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C3F" w:rsidRPr="009B5EB0" w:rsidP="00857487" w14:paraId="7D2CEACC" w14:textId="1E129AD1">
      <w:pPr>
        <w:suppressAutoHyphens/>
        <w:spacing w:after="240"/>
        <w:jc w:val="center"/>
        <w:rPr>
          <w:rFonts w:ascii="Times New Roman" w:hAnsi="Times New Roman"/>
          <w:b/>
        </w:rPr>
      </w:pPr>
      <w:r w:rsidRPr="009B5EB0">
        <w:rPr>
          <w:rFonts w:ascii="Times New Roman" w:hAnsi="Times New Roman"/>
          <w:b/>
        </w:rPr>
        <w:t xml:space="preserve">SUPPORTING STATEMENT FOR </w:t>
      </w:r>
      <w:r w:rsidR="00864D9A">
        <w:rPr>
          <w:rFonts w:ascii="Times New Roman" w:hAnsi="Times New Roman"/>
          <w:b/>
        </w:rPr>
        <w:t xml:space="preserve">REVISED </w:t>
      </w:r>
      <w:r w:rsidRPr="009B5EB0">
        <w:rPr>
          <w:rFonts w:ascii="Times New Roman" w:hAnsi="Times New Roman"/>
          <w:b/>
        </w:rPr>
        <w:t>INFORMATION COLLECTION</w:t>
      </w:r>
    </w:p>
    <w:p w:rsidR="00C05C3F" w:rsidP="00857487" w14:paraId="3F387F8F" w14:textId="77777777">
      <w:pPr>
        <w:tabs>
          <w:tab w:val="center" w:pos="4680"/>
        </w:tabs>
        <w:suppressAutoHyphens/>
        <w:spacing w:after="240"/>
        <w:jc w:val="center"/>
        <w:rPr>
          <w:rFonts w:ascii="Times New Roman" w:hAnsi="Times New Roman"/>
          <w:b/>
        </w:rPr>
      </w:pPr>
      <w:r w:rsidRPr="009B5EB0">
        <w:rPr>
          <w:rFonts w:ascii="Times New Roman" w:hAnsi="Times New Roman"/>
          <w:b/>
        </w:rPr>
        <w:t>OMB CONTROL NUMBER 3038-</w:t>
      </w:r>
      <w:r w:rsidRPr="009B5EB0" w:rsidR="002F6957">
        <w:rPr>
          <w:rFonts w:ascii="Times New Roman" w:hAnsi="Times New Roman"/>
          <w:b/>
        </w:rPr>
        <w:t>0093</w:t>
      </w:r>
    </w:p>
    <w:p w:rsidR="00864D9A" w:rsidRPr="00864D9A" w:rsidP="00A17C2A" w14:paraId="758256B4" w14:textId="77777777">
      <w:pPr>
        <w:tabs>
          <w:tab w:val="center" w:pos="4680"/>
        </w:tabs>
        <w:suppressAutoHyphens/>
        <w:spacing w:after="240"/>
        <w:jc w:val="center"/>
        <w:rPr>
          <w:rFonts w:ascii="Times New Roman" w:hAnsi="Times New Roman"/>
          <w:b/>
          <w:caps/>
          <w:szCs w:val="24"/>
        </w:rPr>
      </w:pPr>
      <w:r w:rsidRPr="00864D9A">
        <w:rPr>
          <w:rFonts w:ascii="Times New Roman" w:hAnsi="Times New Roman"/>
          <w:b/>
          <w:caps/>
          <w:color w:val="000000"/>
          <w:szCs w:val="24"/>
          <w:shd w:val="clear" w:color="auto" w:fill="FFFFFF"/>
        </w:rPr>
        <w:t>Part 40, Provisions Common to Registered Entities</w:t>
      </w:r>
    </w:p>
    <w:p w:rsidR="00C05C3F" w:rsidRPr="009B5EB0" w:rsidP="00857487" w14:paraId="24453BB7" w14:textId="77777777">
      <w:pPr>
        <w:tabs>
          <w:tab w:val="left" w:pos="-720"/>
        </w:tabs>
        <w:suppressAutoHyphens/>
        <w:spacing w:after="240"/>
        <w:rPr>
          <w:rFonts w:ascii="Times New Roman" w:hAnsi="Times New Roman"/>
          <w:b/>
        </w:rPr>
      </w:pPr>
      <w:r w:rsidRPr="009B5EB0">
        <w:rPr>
          <w:rFonts w:ascii="Times New Roman" w:hAnsi="Times New Roman"/>
          <w:b/>
        </w:rPr>
        <w:t>Justification</w:t>
      </w:r>
    </w:p>
    <w:p w:rsidR="00C05C3F" w:rsidRPr="009B5EB0" w:rsidP="002E6DAA" w14:paraId="0F10ACEE" w14:textId="77777777">
      <w:pPr>
        <w:numPr>
          <w:ilvl w:val="0"/>
          <w:numId w:val="1"/>
        </w:numPr>
        <w:tabs>
          <w:tab w:val="left" w:pos="-720"/>
          <w:tab w:val="left" w:pos="0"/>
        </w:tabs>
        <w:suppressAutoHyphens/>
        <w:spacing w:after="240"/>
        <w:ind w:hanging="720"/>
        <w:rPr>
          <w:rFonts w:ascii="Times New Roman" w:hAnsi="Times New Roman"/>
          <w:b/>
        </w:rPr>
      </w:pPr>
      <w:r w:rsidRPr="009B5EB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5EB0" w:rsidP="00B55465" w14:paraId="0DC6EAF3" w14:textId="5E58FF18">
      <w:pPr>
        <w:pStyle w:val="Default"/>
        <w:spacing w:after="240"/>
        <w:ind w:firstLine="720"/>
        <w:rPr>
          <w:rFonts w:ascii="Times New Roman" w:hAnsi="Times New Roman" w:cs="Times New Roman"/>
        </w:rPr>
      </w:pPr>
      <w:r w:rsidRPr="009B5EB0">
        <w:rPr>
          <w:rFonts w:ascii="Times New Roman" w:hAnsi="Times New Roman" w:cs="Times New Roman"/>
        </w:rPr>
        <w:t xml:space="preserve">The Commission is </w:t>
      </w:r>
      <w:r w:rsidR="00864D9A">
        <w:rPr>
          <w:rFonts w:ascii="Times New Roman" w:hAnsi="Times New Roman" w:cs="Times New Roman"/>
        </w:rPr>
        <w:t>revis</w:t>
      </w:r>
      <w:r w:rsidR="001E6528">
        <w:rPr>
          <w:rFonts w:ascii="Times New Roman" w:hAnsi="Times New Roman" w:cs="Times New Roman"/>
        </w:rPr>
        <w:t>ing</w:t>
      </w:r>
      <w:r w:rsidRPr="009B5EB0" w:rsidR="00864D9A">
        <w:rPr>
          <w:rFonts w:ascii="Times New Roman" w:hAnsi="Times New Roman" w:cs="Times New Roman"/>
        </w:rPr>
        <w:t xml:space="preserve"> </w:t>
      </w:r>
      <w:r w:rsidRPr="009B5EB0">
        <w:rPr>
          <w:rFonts w:ascii="Times New Roman" w:hAnsi="Times New Roman" w:cs="Times New Roman"/>
        </w:rPr>
        <w:t>control number 3038-0093</w:t>
      </w:r>
      <w:r>
        <w:rPr>
          <w:rFonts w:ascii="Times New Roman" w:hAnsi="Times New Roman" w:cs="Times New Roman"/>
        </w:rPr>
        <w:t xml:space="preserve"> </w:t>
      </w:r>
      <w:r w:rsidR="00864D9A">
        <w:rPr>
          <w:rFonts w:ascii="Times New Roman" w:hAnsi="Times New Roman" w:cs="Times New Roman"/>
        </w:rPr>
        <w:t>in connection with</w:t>
      </w:r>
      <w:r>
        <w:rPr>
          <w:rFonts w:ascii="Times New Roman" w:hAnsi="Times New Roman" w:cs="Times New Roman"/>
        </w:rPr>
        <w:t xml:space="preserve"> </w:t>
      </w:r>
      <w:r w:rsidR="00A74061">
        <w:rPr>
          <w:rFonts w:ascii="Times New Roman" w:hAnsi="Times New Roman" w:cs="Times New Roman"/>
        </w:rPr>
        <w:t>final</w:t>
      </w:r>
      <w:r>
        <w:rPr>
          <w:rFonts w:ascii="Times New Roman" w:hAnsi="Times New Roman" w:cs="Times New Roman"/>
        </w:rPr>
        <w:t xml:space="preserve"> amendments to the </w:t>
      </w:r>
      <w:r w:rsidRPr="009B5EB0">
        <w:rPr>
          <w:rFonts w:ascii="Times New Roman" w:hAnsi="Times New Roman" w:cs="Times New Roman"/>
        </w:rPr>
        <w:t>Commission’s regulations under Part 40 (including regulations 40.2, 40.3, 40.4, 40.5, 40.6 and 40.10)</w:t>
      </w:r>
      <w:r>
        <w:rPr>
          <w:rFonts w:ascii="Times New Roman" w:hAnsi="Times New Roman" w:cs="Times New Roman"/>
        </w:rPr>
        <w:t>.  Part 40</w:t>
      </w:r>
      <w:r w:rsidRPr="009B5EB0">
        <w:rPr>
          <w:rFonts w:ascii="Times New Roman" w:hAnsi="Times New Roman" w:cs="Times New Roman"/>
        </w:rPr>
        <w:t xml:space="preserve"> provide</w:t>
      </w:r>
      <w:r>
        <w:rPr>
          <w:rFonts w:ascii="Times New Roman" w:hAnsi="Times New Roman" w:cs="Times New Roman"/>
        </w:rPr>
        <w:t>s</w:t>
      </w:r>
      <w:r w:rsidRPr="009B5EB0">
        <w:rPr>
          <w:rFonts w:ascii="Times New Roman" w:hAnsi="Times New Roman" w:cs="Times New Roman"/>
        </w:rPr>
        <w:t xml:space="preserve"> procedures for the submission of rules and rule amendments by registered entities</w:t>
      </w:r>
      <w:r w:rsidR="00F822CE">
        <w:rPr>
          <w:rFonts w:ascii="Times New Roman" w:hAnsi="Times New Roman" w:cs="Times New Roman"/>
        </w:rPr>
        <w:t>, including designated contract markets, swap execution facilities, derivatives clearing organizations, and swap data repositories</w:t>
      </w:r>
      <w:r w:rsidRPr="009B5EB0">
        <w:rPr>
          <w:rFonts w:ascii="Times New Roman" w:hAnsi="Times New Roman" w:cs="Times New Roman"/>
        </w:rPr>
        <w:t xml:space="preserve">.  </w:t>
      </w:r>
      <w:r>
        <w:rPr>
          <w:rFonts w:ascii="Times New Roman" w:hAnsi="Times New Roman" w:cs="Times New Roman"/>
        </w:rPr>
        <w:t>It</w:t>
      </w:r>
      <w:r w:rsidRPr="009B5EB0">
        <w:rPr>
          <w:rFonts w:ascii="Times New Roman" w:hAnsi="Times New Roman" w:cs="Times New Roman"/>
        </w:rPr>
        <w:t xml:space="preserve"> establish</w:t>
      </w:r>
      <w:r>
        <w:rPr>
          <w:rFonts w:ascii="Times New Roman" w:hAnsi="Times New Roman" w:cs="Times New Roman"/>
        </w:rPr>
        <w:t>es</w:t>
      </w:r>
      <w:r w:rsidRPr="009B5EB0">
        <w:rPr>
          <w:rFonts w:ascii="Times New Roman" w:hAnsi="Times New Roman" w:cs="Times New Roman"/>
        </w:rPr>
        <w:t xml:space="preserve"> the procedures for submitting the “written certification” required by Section 5c of the </w:t>
      </w:r>
      <w:r w:rsidR="00FA1308">
        <w:rPr>
          <w:rFonts w:ascii="Times New Roman" w:hAnsi="Times New Roman" w:cs="Times New Roman"/>
        </w:rPr>
        <w:t xml:space="preserve">Commodity Exchange </w:t>
      </w:r>
      <w:r w:rsidRPr="009B5EB0">
        <w:rPr>
          <w:rFonts w:ascii="Times New Roman" w:hAnsi="Times New Roman" w:cs="Times New Roman"/>
        </w:rPr>
        <w:t>Act</w:t>
      </w:r>
      <w:r>
        <w:rPr>
          <w:rFonts w:ascii="Times New Roman" w:hAnsi="Times New Roman" w:cs="Times New Roman"/>
        </w:rPr>
        <w:t xml:space="preserve"> </w:t>
      </w:r>
      <w:r w:rsidR="00FA1308">
        <w:rPr>
          <w:rFonts w:ascii="Times New Roman" w:hAnsi="Times New Roman" w:cs="Times New Roman"/>
        </w:rPr>
        <w:t xml:space="preserve">(“CEA”) </w:t>
      </w:r>
      <w:r>
        <w:rPr>
          <w:rFonts w:ascii="Times New Roman" w:hAnsi="Times New Roman" w:cs="Times New Roman"/>
        </w:rPr>
        <w:t xml:space="preserve">in </w:t>
      </w:r>
      <w:r w:rsidRPr="009B5EB0">
        <w:rPr>
          <w:rFonts w:ascii="Times New Roman" w:hAnsi="Times New Roman" w:cs="Times New Roman"/>
        </w:rPr>
        <w:t>connection with a product or rule certification.</w:t>
      </w:r>
    </w:p>
    <w:p w:rsidR="001924AC" w:rsidP="001924AC" w14:paraId="22C3FEB3" w14:textId="12B4B034">
      <w:pPr>
        <w:pStyle w:val="Default"/>
        <w:spacing w:after="240"/>
        <w:ind w:firstLine="720"/>
        <w:rPr>
          <w:rFonts w:ascii="Times New Roman" w:hAnsi="Times New Roman" w:cs="Times New Roman"/>
        </w:rPr>
      </w:pPr>
      <w:r>
        <w:rPr>
          <w:rFonts w:ascii="Times New Roman" w:hAnsi="Times New Roman" w:cs="Times New Roman"/>
        </w:rPr>
        <w:t>The Commission is amend</w:t>
      </w:r>
      <w:r w:rsidR="001E6528">
        <w:rPr>
          <w:rFonts w:ascii="Times New Roman" w:hAnsi="Times New Roman" w:cs="Times New Roman"/>
        </w:rPr>
        <w:t>ing</w:t>
      </w:r>
      <w:r>
        <w:rPr>
          <w:rFonts w:ascii="Times New Roman" w:hAnsi="Times New Roman" w:cs="Times New Roman"/>
        </w:rPr>
        <w:t xml:space="preserve"> the Part 40 regulations to </w:t>
      </w:r>
      <w:r w:rsidRPr="003046EA">
        <w:rPr>
          <w:rFonts w:ascii="Times New Roman" w:hAnsi="Times New Roman" w:cs="Times New Roman"/>
        </w:rPr>
        <w:t>clarify, simplify</w:t>
      </w:r>
      <w:r w:rsidR="00F02014">
        <w:rPr>
          <w:rFonts w:ascii="Times New Roman" w:hAnsi="Times New Roman" w:cs="Times New Roman"/>
        </w:rPr>
        <w:t>,</w:t>
      </w:r>
      <w:r w:rsidRPr="003046EA">
        <w:rPr>
          <w:rFonts w:ascii="Times New Roman" w:hAnsi="Times New Roman" w:cs="Times New Roman"/>
        </w:rPr>
        <w:t xml:space="preserve"> and enhance the</w:t>
      </w:r>
      <w:r w:rsidR="00F822CE">
        <w:rPr>
          <w:rFonts w:ascii="Times New Roman" w:hAnsi="Times New Roman" w:cs="Times New Roman"/>
        </w:rPr>
        <w:t>ir</w:t>
      </w:r>
      <w:r w:rsidRPr="003046EA">
        <w:rPr>
          <w:rFonts w:ascii="Times New Roman" w:hAnsi="Times New Roman" w:cs="Times New Roman"/>
        </w:rPr>
        <w:t xml:space="preserve"> utility for market participants and the Commission</w:t>
      </w:r>
      <w:r>
        <w:rPr>
          <w:rFonts w:ascii="Times New Roman" w:hAnsi="Times New Roman" w:cs="Times New Roman"/>
        </w:rPr>
        <w:t xml:space="preserve">.  </w:t>
      </w:r>
      <w:r>
        <w:rPr>
          <w:rFonts w:ascii="Times New Roman" w:hAnsi="Times New Roman"/>
        </w:rPr>
        <w:t>Commission staff</w:t>
      </w:r>
      <w:r w:rsidRPr="003046EA">
        <w:rPr>
          <w:rFonts w:ascii="Times New Roman" w:hAnsi="Times New Roman"/>
        </w:rPr>
        <w:t xml:space="preserve"> </w:t>
      </w:r>
      <w:r>
        <w:rPr>
          <w:rFonts w:ascii="Times New Roman" w:hAnsi="Times New Roman"/>
        </w:rPr>
        <w:t xml:space="preserve">has </w:t>
      </w:r>
      <w:r w:rsidRPr="003046EA">
        <w:rPr>
          <w:rFonts w:ascii="Times New Roman" w:hAnsi="Times New Roman"/>
        </w:rPr>
        <w:t xml:space="preserve">observed a trend that </w:t>
      </w:r>
      <w:r w:rsidR="00BA525A">
        <w:rPr>
          <w:rFonts w:ascii="Times New Roman" w:hAnsi="Times New Roman"/>
        </w:rPr>
        <w:t xml:space="preserve">some of the </w:t>
      </w:r>
      <w:r>
        <w:rPr>
          <w:rFonts w:ascii="Times New Roman" w:hAnsi="Times New Roman"/>
        </w:rPr>
        <w:t>submissions</w:t>
      </w:r>
      <w:r w:rsidRPr="003046EA">
        <w:rPr>
          <w:rFonts w:ascii="Times New Roman" w:hAnsi="Times New Roman"/>
        </w:rPr>
        <w:t xml:space="preserve"> </w:t>
      </w:r>
      <w:r>
        <w:rPr>
          <w:rFonts w:ascii="Times New Roman" w:hAnsi="Times New Roman"/>
        </w:rPr>
        <w:t xml:space="preserve">under </w:t>
      </w:r>
      <w:r w:rsidR="00BA525A">
        <w:rPr>
          <w:rFonts w:ascii="Times New Roman" w:hAnsi="Times New Roman"/>
        </w:rPr>
        <w:t>part 40</w:t>
      </w:r>
      <w:r>
        <w:rPr>
          <w:rFonts w:ascii="Times New Roman" w:hAnsi="Times New Roman"/>
        </w:rPr>
        <w:t xml:space="preserve"> </w:t>
      </w:r>
      <w:r w:rsidRPr="003046EA">
        <w:rPr>
          <w:rFonts w:ascii="Times New Roman" w:hAnsi="Times New Roman"/>
        </w:rPr>
        <w:t>tend not to include sufficient information</w:t>
      </w:r>
      <w:r>
        <w:rPr>
          <w:rFonts w:ascii="Times New Roman" w:hAnsi="Times New Roman"/>
        </w:rPr>
        <w:t xml:space="preserve">.  Accordingly, the Commission is adding </w:t>
      </w:r>
      <w:r w:rsidR="00F6024C">
        <w:rPr>
          <w:rFonts w:ascii="Times New Roman" w:hAnsi="Times New Roman"/>
        </w:rPr>
        <w:t xml:space="preserve">language clarifying that </w:t>
      </w:r>
      <w:r>
        <w:rPr>
          <w:rFonts w:ascii="Times New Roman" w:hAnsi="Times New Roman"/>
        </w:rPr>
        <w:t>the submissions</w:t>
      </w:r>
      <w:r w:rsidR="00F6024C">
        <w:rPr>
          <w:rFonts w:ascii="Times New Roman" w:hAnsi="Times New Roman"/>
        </w:rPr>
        <w:t xml:space="preserve"> must</w:t>
      </w:r>
      <w:r>
        <w:rPr>
          <w:rFonts w:ascii="Times New Roman" w:hAnsi="Times New Roman"/>
        </w:rPr>
        <w:t xml:space="preserve"> be “complete.”</w:t>
      </w:r>
    </w:p>
    <w:p w:rsidR="009B5EB0" w:rsidRPr="009B5EB0" w:rsidP="00E96E11" w14:paraId="23302081" w14:textId="63ED93F4">
      <w:pPr>
        <w:pStyle w:val="Default"/>
        <w:spacing w:after="240"/>
        <w:ind w:firstLine="720"/>
        <w:rPr>
          <w:rFonts w:ascii="Times New Roman" w:hAnsi="Times New Roman" w:cs="Times New Roman"/>
        </w:rPr>
      </w:pPr>
      <w:r>
        <w:rPr>
          <w:rFonts w:ascii="Times New Roman" w:hAnsi="Times New Roman" w:cs="Times New Roman"/>
        </w:rPr>
        <w:t xml:space="preserve">These amendments </w:t>
      </w:r>
      <w:r w:rsidRPr="00EF1F2C" w:rsidR="00EF1F2C">
        <w:rPr>
          <w:rFonts w:ascii="Times New Roman" w:hAnsi="Times New Roman" w:cs="Times New Roman"/>
        </w:rPr>
        <w:t>are likely to modestly increase the</w:t>
      </w:r>
      <w:r w:rsidR="00C47EEB">
        <w:rPr>
          <w:rFonts w:ascii="Times New Roman" w:hAnsi="Times New Roman" w:cs="Times New Roman"/>
        </w:rPr>
        <w:t xml:space="preserve"> PRA</w:t>
      </w:r>
      <w:r w:rsidRPr="00EF1F2C" w:rsidR="00EF1F2C">
        <w:rPr>
          <w:rFonts w:ascii="Times New Roman" w:hAnsi="Times New Roman" w:cs="Times New Roman"/>
        </w:rPr>
        <w:t xml:space="preserve"> reporting burden for registered entities, although some registered entities are already providing the information required under the final rule.  </w:t>
      </w:r>
      <w:r w:rsidRPr="00030E91" w:rsidR="005C7D8A">
        <w:rPr>
          <w:rFonts w:ascii="Times New Roman" w:hAnsi="Times New Roman" w:cs="Times New Roman"/>
        </w:rPr>
        <w:t xml:space="preserve">While </w:t>
      </w:r>
      <w:r w:rsidR="00797A39">
        <w:rPr>
          <w:rFonts w:ascii="Times New Roman" w:hAnsi="Times New Roman" w:cs="Times New Roman"/>
        </w:rPr>
        <w:t>the amendments are</w:t>
      </w:r>
      <w:r w:rsidRPr="00030E91" w:rsidR="005C7D8A">
        <w:rPr>
          <w:rFonts w:ascii="Times New Roman" w:hAnsi="Times New Roman" w:cs="Times New Roman"/>
        </w:rPr>
        <w:t xml:space="preserve"> not intended to expand or otherwise alter the scope of the current regulation, the Commission conservatively estimates some reporting entities may expend some additional time</w:t>
      </w:r>
      <w:r w:rsidR="00C03D0C">
        <w:rPr>
          <w:rFonts w:ascii="Times New Roman" w:hAnsi="Times New Roman" w:cs="Times New Roman"/>
        </w:rPr>
        <w:t xml:space="preserve"> cognizable under the PRA</w:t>
      </w:r>
      <w:r w:rsidRPr="00030E91" w:rsidR="005C7D8A">
        <w:rPr>
          <w:rFonts w:ascii="Times New Roman" w:hAnsi="Times New Roman" w:cs="Times New Roman"/>
        </w:rPr>
        <w:t xml:space="preserve"> to ensure the completeness of their submissions.</w:t>
      </w:r>
    </w:p>
    <w:p w:rsidR="00C05C3F" w:rsidP="00B55465" w14:paraId="42CE1B51" w14:textId="692B0AB3">
      <w:pPr>
        <w:pStyle w:val="Default"/>
        <w:spacing w:after="240"/>
        <w:ind w:firstLine="720"/>
        <w:rPr>
          <w:rFonts w:ascii="Times New Roman" w:hAnsi="Times New Roman"/>
        </w:rPr>
      </w:pPr>
      <w:r>
        <w:rPr>
          <w:rFonts w:ascii="Times New Roman" w:hAnsi="Times New Roman" w:cs="Times New Roman"/>
        </w:rPr>
        <w:t xml:space="preserve">Regulation 40.10 also contains submission procedures for certain risk-related rules proposed by a systemically important derivatives clearing organization (“SIDCO”). The SIDCO regulations require, among other things, 60-days advance notice of proposed rules </w:t>
      </w:r>
      <w:r w:rsidR="00FA1308">
        <w:rPr>
          <w:rFonts w:ascii="Times New Roman" w:hAnsi="Times New Roman" w:cs="Times New Roman"/>
        </w:rPr>
        <w:t xml:space="preserve">or rule amendments </w:t>
      </w:r>
      <w:r>
        <w:rPr>
          <w:rFonts w:ascii="Times New Roman" w:hAnsi="Times New Roman" w:cs="Times New Roman"/>
        </w:rPr>
        <w:t>that may materially affect the nature or level of risk</w:t>
      </w:r>
      <w:r w:rsidR="00FA1308">
        <w:rPr>
          <w:rFonts w:ascii="Times New Roman" w:hAnsi="Times New Roman" w:cs="Times New Roman"/>
        </w:rPr>
        <w:t>s</w:t>
      </w:r>
      <w:r>
        <w:rPr>
          <w:rFonts w:ascii="Times New Roman" w:hAnsi="Times New Roman" w:cs="Times New Roman"/>
        </w:rPr>
        <w:t xml:space="preserve"> presented by the SIDCO.  </w:t>
      </w:r>
      <w:r w:rsidR="009B5EB0">
        <w:rPr>
          <w:rFonts w:ascii="Times New Roman" w:hAnsi="Times New Roman" w:cs="Times New Roman"/>
        </w:rPr>
        <w:t>The SIDCO reporting burden will not be impacted by the amendments.</w:t>
      </w:r>
    </w:p>
    <w:p w:rsidR="0010119C" w:rsidRPr="00B55465" w:rsidP="00727837" w14:paraId="77FAC465" w14:textId="77777777">
      <w:pPr>
        <w:keepNext/>
        <w:numPr>
          <w:ilvl w:val="0"/>
          <w:numId w:val="1"/>
        </w:numPr>
        <w:tabs>
          <w:tab w:val="left" w:pos="-720"/>
          <w:tab w:val="left" w:pos="0"/>
        </w:tabs>
        <w:suppressAutoHyphens/>
        <w:spacing w:after="240"/>
        <w:ind w:hanging="720"/>
        <w:rPr>
          <w:rFonts w:ascii="Times New Roman" w:hAnsi="Times New Roman"/>
        </w:rPr>
      </w:pPr>
      <w:r w:rsidRPr="00B55465">
        <w:rPr>
          <w:rFonts w:ascii="Times New Roman" w:hAnsi="Times New Roman"/>
          <w:b/>
          <w:szCs w:val="24"/>
        </w:rPr>
        <w:t>Indicate how, by whom, and for what purpose the data would be used.  Except for a new collection, indicate the actual us</w:t>
      </w:r>
      <w:r w:rsidRPr="00B55465">
        <w:rPr>
          <w:rFonts w:ascii="Times New Roman" w:hAnsi="Times New Roman"/>
          <w:b/>
        </w:rPr>
        <w:t>e the agency has made of the information received from the current collection.</w:t>
      </w:r>
    </w:p>
    <w:p w:rsidR="00E04E05" w:rsidP="00727837" w14:paraId="36B1FB76" w14:textId="643A67F4">
      <w:pPr>
        <w:pStyle w:val="Default"/>
        <w:keepNext/>
        <w:spacing w:after="240"/>
        <w:ind w:firstLine="720"/>
        <w:rPr>
          <w:rFonts w:ascii="Times New Roman" w:hAnsi="Times New Roman"/>
        </w:rPr>
      </w:pPr>
      <w:r>
        <w:rPr>
          <w:rFonts w:ascii="Times New Roman" w:hAnsi="Times New Roman"/>
        </w:rPr>
        <w:t xml:space="preserve">For new products, registered entities currently must submit information complying with </w:t>
      </w:r>
      <w:r w:rsidRPr="00DE6D8D">
        <w:rPr>
          <w:rFonts w:ascii="Times New Roman" w:hAnsi="Times New Roman"/>
        </w:rPr>
        <w:t>either</w:t>
      </w:r>
      <w:r>
        <w:rPr>
          <w:rFonts w:ascii="Times New Roman" w:hAnsi="Times New Roman"/>
        </w:rPr>
        <w:t xml:space="preserve"> § 40.2 (self-certification) or § 40.3 (voluntary submission for Commission approval).  </w:t>
      </w:r>
      <w:r w:rsidR="00F864FA">
        <w:rPr>
          <w:rFonts w:ascii="Times New Roman" w:hAnsi="Times New Roman"/>
        </w:rPr>
        <w:t xml:space="preserve">The Commission is adding </w:t>
      </w:r>
      <w:r w:rsidR="00143363">
        <w:rPr>
          <w:rFonts w:ascii="Times New Roman" w:hAnsi="Times New Roman"/>
        </w:rPr>
        <w:t xml:space="preserve">language clarifying that the </w:t>
      </w:r>
      <w:r w:rsidR="003142A7">
        <w:rPr>
          <w:rFonts w:ascii="Times New Roman" w:hAnsi="Times New Roman"/>
        </w:rPr>
        <w:t xml:space="preserve">§ 40.2 and § 40.3 </w:t>
      </w:r>
      <w:r w:rsidR="00143363">
        <w:rPr>
          <w:rFonts w:ascii="Times New Roman" w:hAnsi="Times New Roman"/>
        </w:rPr>
        <w:t>submissions must be “complete.”</w:t>
      </w:r>
    </w:p>
    <w:p w:rsidR="00856365" w:rsidP="00727837" w14:paraId="4EE886D5" w14:textId="12AAC4B6">
      <w:pPr>
        <w:pStyle w:val="Default"/>
        <w:keepNext/>
        <w:spacing w:after="240"/>
        <w:ind w:firstLine="720"/>
        <w:rPr>
          <w:rFonts w:ascii="Times New Roman" w:hAnsi="Times New Roman"/>
        </w:rPr>
      </w:pPr>
      <w:r w:rsidRPr="00B55465">
        <w:rPr>
          <w:rFonts w:ascii="Times New Roman" w:hAnsi="Times New Roman" w:cs="Times New Roman"/>
        </w:rPr>
        <w:t>The</w:t>
      </w:r>
      <w:r>
        <w:rPr>
          <w:rFonts w:ascii="Times New Roman" w:hAnsi="Times New Roman"/>
        </w:rPr>
        <w:t xml:space="preserve"> requested information </w:t>
      </w:r>
      <w:r w:rsidRPr="007B5A63">
        <w:rPr>
          <w:rFonts w:ascii="Times New Roman" w:hAnsi="Times New Roman" w:cs="Times New Roman"/>
        </w:rPr>
        <w:t>should help achieve improved regulatory effectiveness of the self-certification processes by resulting in all (rather than just some) registered entities explaining how and why their products</w:t>
      </w:r>
      <w:r w:rsidR="0089413A">
        <w:rPr>
          <w:rFonts w:ascii="Times New Roman" w:hAnsi="Times New Roman" w:cs="Times New Roman"/>
        </w:rPr>
        <w:t>, rules</w:t>
      </w:r>
      <w:r w:rsidR="00F34583">
        <w:rPr>
          <w:rFonts w:ascii="Times New Roman" w:hAnsi="Times New Roman" w:cs="Times New Roman"/>
        </w:rPr>
        <w:t>,</w:t>
      </w:r>
      <w:r w:rsidR="0089413A">
        <w:rPr>
          <w:rFonts w:ascii="Times New Roman" w:hAnsi="Times New Roman" w:cs="Times New Roman"/>
        </w:rPr>
        <w:t xml:space="preserve"> and rule amendments </w:t>
      </w:r>
      <w:r w:rsidRPr="007B5A63">
        <w:rPr>
          <w:rFonts w:ascii="Times New Roman" w:hAnsi="Times New Roman" w:cs="Times New Roman"/>
        </w:rPr>
        <w:t>comply with the Act and Commission’s regulations, thereby enabling the Commission to more effectively complete its analysis of compliance</w:t>
      </w:r>
      <w:r w:rsidR="00C252A3">
        <w:rPr>
          <w:rFonts w:ascii="Times New Roman" w:hAnsi="Times New Roman" w:cs="Times New Roman"/>
        </w:rPr>
        <w:t xml:space="preserve"> and </w:t>
      </w:r>
      <w:r w:rsidRPr="007B5A63" w:rsidR="00C252A3">
        <w:rPr>
          <w:rFonts w:ascii="Times New Roman" w:hAnsi="Times New Roman" w:cs="Times New Roman"/>
        </w:rPr>
        <w:t>allowing market participants to understand the products being listed for trading</w:t>
      </w:r>
      <w:r w:rsidR="00C252A3">
        <w:rPr>
          <w:rFonts w:ascii="Times New Roman" w:hAnsi="Times New Roman" w:cs="Times New Roman"/>
        </w:rPr>
        <w:t xml:space="preserve"> and the rules being submitted</w:t>
      </w:r>
      <w:r w:rsidRPr="007B5A63">
        <w:rPr>
          <w:rFonts w:ascii="Times New Roman" w:hAnsi="Times New Roman" w:cs="Times New Roman"/>
        </w:rPr>
        <w:t>.</w:t>
      </w:r>
    </w:p>
    <w:p w:rsidR="00C05C3F" w:rsidRPr="00857487" w:rsidP="00727837" w14:paraId="03BA420B" w14:textId="77777777">
      <w:pPr>
        <w:keepNext/>
        <w:numPr>
          <w:ilvl w:val="0"/>
          <w:numId w:val="1"/>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57487">
        <w:rPr>
          <w:rFonts w:ascii="Times New Roman" w:hAnsi="Times New Roman"/>
          <w:b/>
          <w:i/>
        </w:rPr>
        <w:t>e.g.</w:t>
      </w:r>
      <w:r w:rsidRPr="00857487">
        <w:rPr>
          <w:rFonts w:ascii="Times New Roman" w:hAnsi="Times New Roman"/>
          <w:b/>
        </w:rPr>
        <w:t>, permitting electronic submission of responses, and the basis for the decision for adopting this means of collection.  Also describe any consideration of using information technology to reduce burden.</w:t>
      </w:r>
    </w:p>
    <w:p w:rsidR="00E42401" w:rsidP="00727837" w14:paraId="1B8440F8" w14:textId="10814438">
      <w:pPr>
        <w:pStyle w:val="Default"/>
        <w:keepNext/>
        <w:spacing w:after="240"/>
        <w:ind w:firstLine="720"/>
        <w:rPr>
          <w:rFonts w:ascii="Times New Roman" w:hAnsi="Times New Roman"/>
        </w:rPr>
      </w:pPr>
      <w:r w:rsidRPr="00D468FE">
        <w:rPr>
          <w:rFonts w:ascii="Times New Roman" w:hAnsi="Times New Roman"/>
        </w:rPr>
        <w:t xml:space="preserve">The Commission is committed to utilizing technology </w:t>
      </w:r>
      <w:r w:rsidRPr="00D468FE">
        <w:rPr>
          <w:rFonts w:ascii="Times New Roman" w:hAnsi="Times New Roman"/>
        </w:rPr>
        <w:t>in order to</w:t>
      </w:r>
      <w:r w:rsidRPr="00D468FE">
        <w:rPr>
          <w:rFonts w:ascii="Times New Roman" w:hAnsi="Times New Roman"/>
        </w:rPr>
        <w:t xml:space="preserve"> reduce reporting burdens for respondents.  </w:t>
      </w:r>
      <w:r>
        <w:rPr>
          <w:rFonts w:ascii="Times New Roman" w:hAnsi="Times New Roman"/>
        </w:rPr>
        <w:t>The Commission</w:t>
      </w:r>
      <w:r w:rsidR="00870C8A">
        <w:rPr>
          <w:rFonts w:ascii="Times New Roman" w:hAnsi="Times New Roman"/>
        </w:rPr>
        <w:t xml:space="preserve"> </w:t>
      </w:r>
      <w:r>
        <w:rPr>
          <w:rFonts w:ascii="Times New Roman" w:hAnsi="Times New Roman"/>
        </w:rPr>
        <w:t>require</w:t>
      </w:r>
      <w:r w:rsidR="00870C8A">
        <w:rPr>
          <w:rFonts w:ascii="Times New Roman" w:hAnsi="Times New Roman"/>
        </w:rPr>
        <w:t>s</w:t>
      </w:r>
      <w:r>
        <w:rPr>
          <w:rFonts w:ascii="Times New Roman" w:hAnsi="Times New Roman"/>
        </w:rPr>
        <w:t xml:space="preserve"> all submissions </w:t>
      </w:r>
      <w:r w:rsidR="00C54780">
        <w:rPr>
          <w:rFonts w:ascii="Times New Roman" w:hAnsi="Times New Roman"/>
        </w:rPr>
        <w:t xml:space="preserve">under Part 40 </w:t>
      </w:r>
      <w:r>
        <w:rPr>
          <w:rFonts w:ascii="Times New Roman" w:hAnsi="Times New Roman"/>
        </w:rPr>
        <w:t>to be submitted to the Commission electronically</w:t>
      </w:r>
      <w:r w:rsidR="00857487">
        <w:rPr>
          <w:rFonts w:ascii="Times New Roman" w:hAnsi="Times New Roman"/>
        </w:rPr>
        <w:t xml:space="preserve"> via a web portal on the Commission’s website at cftc.gov</w:t>
      </w:r>
      <w:r>
        <w:rPr>
          <w:rFonts w:ascii="Times New Roman" w:hAnsi="Times New Roman"/>
        </w:rPr>
        <w:t>.  The Commission intends to continue its practice of publishing all incoming submissions on its website</w:t>
      </w:r>
      <w:r w:rsidR="00857487">
        <w:rPr>
          <w:rFonts w:ascii="Times New Roman" w:hAnsi="Times New Roman"/>
        </w:rPr>
        <w:t>, which</w:t>
      </w:r>
      <w:r>
        <w:rPr>
          <w:rFonts w:ascii="Times New Roman" w:hAnsi="Times New Roman"/>
        </w:rPr>
        <w:t xml:space="preserve"> expedites public review of submissions.</w:t>
      </w:r>
      <w:r>
        <w:rPr>
          <w:rFonts w:ascii="Times New Roman" w:hAnsi="Times New Roman"/>
        </w:rPr>
        <w:t xml:space="preserve">  </w:t>
      </w:r>
      <w:r w:rsidRPr="00D468FE">
        <w:rPr>
          <w:rFonts w:ascii="Times New Roman" w:hAnsi="Times New Roman"/>
        </w:rPr>
        <w:t>The Commission anticipates that 100% of the collection of information will be submitted electronically.</w:t>
      </w:r>
    </w:p>
    <w:p w:rsidR="00C05C3F" w:rsidRPr="00857487" w:rsidP="002E6DAA" w14:paraId="3BBD1A93" w14:textId="77777777">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Describe efforts to identify duplication.  Show specifically why any similar information already available cannot be used or modified for use for the purposes described in Item 2 above.</w:t>
      </w:r>
    </w:p>
    <w:p w:rsidR="00C05C3F" w:rsidP="00B55465" w14:paraId="60B140E2" w14:textId="2B5AAB89">
      <w:pPr>
        <w:pStyle w:val="Default"/>
        <w:spacing w:after="240"/>
        <w:ind w:firstLine="720"/>
        <w:rPr>
          <w:rFonts w:ascii="Times New Roman" w:hAnsi="Times New Roman"/>
        </w:rPr>
      </w:pPr>
      <w:r>
        <w:rPr>
          <w:rFonts w:ascii="Times New Roman" w:hAnsi="Times New Roman"/>
        </w:rPr>
        <w:t xml:space="preserve">The </w:t>
      </w:r>
      <w:r w:rsidR="00FA1308">
        <w:rPr>
          <w:rFonts w:ascii="Times New Roman" w:hAnsi="Times New Roman"/>
        </w:rPr>
        <w:t>CEA</w:t>
      </w:r>
      <w:r w:rsidR="00915AB0">
        <w:rPr>
          <w:rFonts w:ascii="Times New Roman" w:hAnsi="Times New Roman"/>
        </w:rPr>
        <w:t xml:space="preserve"> and </w:t>
      </w:r>
      <w:r>
        <w:rPr>
          <w:rFonts w:ascii="Times New Roman" w:hAnsi="Times New Roman"/>
        </w:rPr>
        <w:t>regulations require registered entities to submit certain information</w:t>
      </w:r>
      <w:r w:rsidR="00C663C3">
        <w:rPr>
          <w:rFonts w:ascii="Times New Roman" w:hAnsi="Times New Roman"/>
        </w:rPr>
        <w:t xml:space="preserve"> (</w:t>
      </w:r>
      <w:r>
        <w:rPr>
          <w:rFonts w:ascii="Times New Roman" w:hAnsi="Times New Roman"/>
        </w:rPr>
        <w:t>product terms and conditions, explanations of the cash market and other aspects of the product and its compliance with applicable law, rule changes and explanations of the operation, purpose and effect of such changes, and notices of certain risk management rules</w:t>
      </w:r>
      <w:r w:rsidR="00316A4A">
        <w:rPr>
          <w:rFonts w:ascii="Times New Roman" w:hAnsi="Times New Roman"/>
        </w:rPr>
        <w:t>)</w:t>
      </w:r>
      <w:r>
        <w:rPr>
          <w:rFonts w:ascii="Times New Roman" w:hAnsi="Times New Roman"/>
        </w:rPr>
        <w:t xml:space="preserve"> that is not available from any other source and generally is specific to the </w:t>
      </w:r>
      <w:r w:rsidR="00584402">
        <w:rPr>
          <w:rFonts w:ascii="Times New Roman" w:hAnsi="Times New Roman"/>
        </w:rPr>
        <w:t xml:space="preserve">product or rule and </w:t>
      </w:r>
      <w:r w:rsidR="00791D3E">
        <w:rPr>
          <w:rFonts w:ascii="Times New Roman" w:hAnsi="Times New Roman"/>
        </w:rPr>
        <w:t xml:space="preserve">to the </w:t>
      </w:r>
      <w:r>
        <w:rPr>
          <w:rFonts w:ascii="Times New Roman" w:hAnsi="Times New Roman"/>
        </w:rPr>
        <w:t>registered entity.</w:t>
      </w:r>
    </w:p>
    <w:p w:rsidR="00C05C3F" w:rsidRPr="00857487" w:rsidP="002E6DAA" w14:paraId="0B1302E2" w14:textId="77B763EF">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 xml:space="preserve">If the collection of information involves small business or other small entities (Item 5 of OMB </w:t>
      </w:r>
      <w:r w:rsidRPr="00857487" w:rsidR="00857487">
        <w:rPr>
          <w:rFonts w:ascii="Times New Roman" w:hAnsi="Times New Roman"/>
          <w:b/>
        </w:rPr>
        <w:t xml:space="preserve">Form </w:t>
      </w:r>
      <w:r w:rsidRPr="00857487">
        <w:rPr>
          <w:rFonts w:ascii="Times New Roman" w:hAnsi="Times New Roman"/>
          <w:b/>
        </w:rPr>
        <w:t>83-I), describe the methods used to minimize burden.</w:t>
      </w:r>
    </w:p>
    <w:p w:rsidR="00482A98" w:rsidRPr="00482A98" w:rsidP="00B55465" w14:paraId="73625757" w14:textId="1DEBB34B">
      <w:pPr>
        <w:pStyle w:val="Default"/>
        <w:spacing w:after="240"/>
        <w:ind w:firstLine="720"/>
        <w:rPr>
          <w:rFonts w:ascii="Times New Roman" w:hAnsi="Times New Roman"/>
        </w:rPr>
      </w:pPr>
      <w:r>
        <w:rPr>
          <w:rFonts w:ascii="Times New Roman" w:hAnsi="Times New Roman"/>
        </w:rPr>
        <w:t xml:space="preserve">The collection of information does not involve small businesses or other small entities.  </w:t>
      </w:r>
      <w:r w:rsidRPr="00D468FE">
        <w:rPr>
          <w:rFonts w:ascii="Times New Roman" w:hAnsi="Times New Roman"/>
        </w:rPr>
        <w:t xml:space="preserve">The Commission has </w:t>
      </w:r>
      <w:r>
        <w:rPr>
          <w:rFonts w:ascii="Times New Roman" w:hAnsi="Times New Roman"/>
        </w:rPr>
        <w:t xml:space="preserve">previously </w:t>
      </w:r>
      <w:r w:rsidRPr="00D468FE">
        <w:rPr>
          <w:rFonts w:ascii="Times New Roman" w:hAnsi="Times New Roman"/>
        </w:rPr>
        <w:t xml:space="preserve">determined </w:t>
      </w:r>
      <w:r>
        <w:rPr>
          <w:rFonts w:ascii="Times New Roman" w:hAnsi="Times New Roman"/>
        </w:rPr>
        <w:t xml:space="preserve">that the </w:t>
      </w:r>
      <w:r w:rsidRPr="009B5EB0">
        <w:rPr>
          <w:rFonts w:ascii="Times New Roman" w:hAnsi="Times New Roman" w:cs="Times New Roman"/>
        </w:rPr>
        <w:t>registered entities</w:t>
      </w:r>
      <w:r>
        <w:rPr>
          <w:rFonts w:ascii="Times New Roman" w:hAnsi="Times New Roman" w:cs="Times New Roman"/>
        </w:rPr>
        <w:t xml:space="preserve"> subject to Part 40, including designated contract markets, swap execution facilities, derivatives clearing </w:t>
      </w:r>
      <w:r>
        <w:rPr>
          <w:rFonts w:ascii="Times New Roman" w:hAnsi="Times New Roman" w:cs="Times New Roman"/>
        </w:rPr>
        <w:t>organizations, and swap data repositories,</w:t>
      </w:r>
      <w:r w:rsidRPr="00D468FE">
        <w:rPr>
          <w:rFonts w:ascii="Times New Roman" w:hAnsi="Times New Roman"/>
        </w:rPr>
        <w:t xml:space="preserve"> are not small entities for purposes of the Regulatory Flexibility Act.</w:t>
      </w:r>
    </w:p>
    <w:p w:rsidR="00C05C3F" w:rsidRPr="00857487" w:rsidP="002E6DAA" w14:paraId="1EBD8A23" w14:textId="77777777">
      <w:pPr>
        <w:numPr>
          <w:ilvl w:val="0"/>
          <w:numId w:val="1"/>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Describe the consequence to the Federal Program or policy activities if the collection were conducted less frequently as well as any technical or legal obstacles to reducing burden.</w:t>
      </w:r>
    </w:p>
    <w:p w:rsidR="00C05C3F" w:rsidP="00B55465" w14:paraId="686918FC" w14:textId="7649FF36">
      <w:pPr>
        <w:pStyle w:val="Default"/>
        <w:spacing w:after="240"/>
        <w:ind w:firstLine="720"/>
        <w:rPr>
          <w:rFonts w:ascii="Times New Roman" w:hAnsi="Times New Roman"/>
        </w:rPr>
      </w:pPr>
      <w:r w:rsidRPr="00113EB0">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r w:rsidR="002B3973">
        <w:rPr>
          <w:rFonts w:ascii="Times New Roman" w:hAnsi="Times New Roman"/>
        </w:rPr>
        <w:t xml:space="preserve">Without contemporaneous submission of the information, the Commission could not adequately review the product or rule prior to </w:t>
      </w:r>
      <w:r w:rsidR="002B3973">
        <w:rPr>
          <w:rFonts w:ascii="Times New Roman" w:hAnsi="Times New Roman"/>
        </w:rPr>
        <w:t>its</w:t>
      </w:r>
      <w:r w:rsidR="002B3973">
        <w:rPr>
          <w:rFonts w:ascii="Times New Roman" w:hAnsi="Times New Roman"/>
        </w:rPr>
        <w:t xml:space="preserve"> becoming effective at the registered entity, which would </w:t>
      </w:r>
      <w:r w:rsidR="00D468FE">
        <w:rPr>
          <w:rFonts w:ascii="Times New Roman" w:hAnsi="Times New Roman"/>
        </w:rPr>
        <w:t>undermine</w:t>
      </w:r>
      <w:r w:rsidR="002B3973">
        <w:rPr>
          <w:rFonts w:ascii="Times New Roman" w:hAnsi="Times New Roman"/>
        </w:rPr>
        <w:t xml:space="preserve"> the Commission’s statutory oversight.</w:t>
      </w:r>
    </w:p>
    <w:p w:rsidR="00C05C3F" w:rsidRPr="00915AB0" w:rsidP="002E6DAA" w14:paraId="22F06533" w14:textId="77777777">
      <w:pPr>
        <w:numPr>
          <w:ilvl w:val="0"/>
          <w:numId w:val="1"/>
        </w:numPr>
        <w:tabs>
          <w:tab w:val="left" w:pos="-720"/>
          <w:tab w:val="left" w:pos="0"/>
        </w:tabs>
        <w:suppressAutoHyphens/>
        <w:spacing w:after="240"/>
        <w:ind w:hanging="720"/>
        <w:rPr>
          <w:rFonts w:ascii="Times New Roman" w:hAnsi="Times New Roman"/>
          <w:u w:val="single"/>
        </w:rPr>
      </w:pPr>
      <w:r w:rsidRPr="00F9300C">
        <w:rPr>
          <w:rFonts w:ascii="Times New Roman" w:hAnsi="Times New Roman"/>
          <w:b/>
        </w:rPr>
        <w:t>Explain any special circumstances that require the collection to be conducted in a manner:</w:t>
      </w:r>
    </w:p>
    <w:p w:rsidR="00C05C3F" w:rsidP="00857487" w14:paraId="7B670D58" w14:textId="77777777">
      <w:pPr>
        <w:tabs>
          <w:tab w:val="left" w:pos="-720"/>
          <w:tab w:val="left" w:pos="0"/>
          <w:tab w:val="left" w:pos="720"/>
        </w:tabs>
        <w:suppressAutoHyphens/>
        <w:spacing w:after="240"/>
        <w:ind w:left="1440" w:hanging="1440"/>
        <w:rPr>
          <w:rFonts w:ascii="Times New Roman" w:hAnsi="Times New Roman"/>
          <w:u w:val="single"/>
        </w:rPr>
      </w:pPr>
      <w:r>
        <w:rPr>
          <w:rFonts w:ascii="Times New Roman" w:hAnsi="Times New Roman"/>
        </w:rPr>
        <w:tab/>
        <w:t>-</w:t>
      </w:r>
      <w:r>
        <w:rPr>
          <w:rFonts w:ascii="Times New Roman" w:hAnsi="Times New Roman"/>
        </w:rPr>
        <w:tab/>
      </w:r>
      <w:r w:rsidRPr="00F9300C">
        <w:rPr>
          <w:rFonts w:ascii="Times New Roman" w:hAnsi="Times New Roman"/>
          <w:b/>
        </w:rPr>
        <w:t xml:space="preserve">requiring respondents to report information to the agency more often than </w:t>
      </w:r>
      <w:r w:rsidRPr="00F9300C">
        <w:rPr>
          <w:rFonts w:ascii="Times New Roman" w:hAnsi="Times New Roman"/>
          <w:b/>
        </w:rPr>
        <w:t>quarterly;</w:t>
      </w:r>
    </w:p>
    <w:p w:rsidR="00C05C3F" w:rsidP="00B55465" w14:paraId="3B77F589" w14:textId="77777777">
      <w:pPr>
        <w:pStyle w:val="Default"/>
        <w:spacing w:after="240"/>
        <w:ind w:firstLine="720"/>
        <w:rPr>
          <w:rFonts w:ascii="Times New Roman" w:hAnsi="Times New Roman"/>
        </w:rPr>
      </w:pPr>
      <w:r>
        <w:rPr>
          <w:rFonts w:ascii="Times New Roman" w:hAnsi="Times New Roman"/>
        </w:rPr>
        <w:t>This does not apply.</w:t>
      </w:r>
    </w:p>
    <w:p w:rsidR="00C05C3F" w:rsidRPr="00F9300C" w:rsidP="00857487" w14:paraId="04135952"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 xml:space="preserve">requiring respondents to prepare a written response to a collection of information in fewer than 30 days after receipt of </w:t>
      </w:r>
      <w:r w:rsidRPr="00F9300C">
        <w:rPr>
          <w:rFonts w:ascii="Times New Roman" w:hAnsi="Times New Roman"/>
          <w:b/>
        </w:rPr>
        <w:t>it;</w:t>
      </w:r>
    </w:p>
    <w:p w:rsidR="00C05C3F" w:rsidP="00B55465" w14:paraId="75565C61"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D22DAEB"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 xml:space="preserve">requiring respondents to submit more than an original and two copies of any </w:t>
      </w:r>
      <w:r w:rsidRPr="00F9300C">
        <w:rPr>
          <w:rFonts w:ascii="Times New Roman" w:hAnsi="Times New Roman"/>
          <w:b/>
        </w:rPr>
        <w:t>document;</w:t>
      </w:r>
    </w:p>
    <w:p w:rsidR="00C05C3F" w:rsidP="00B55465" w14:paraId="0D352F95"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4C6F222C"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 xml:space="preserve">requiring respondents to retain records other than health, medical, government contract, grant-in-aid, or tax records, for more than three </w:t>
      </w:r>
      <w:r w:rsidRPr="00F9300C">
        <w:rPr>
          <w:rFonts w:ascii="Times New Roman" w:hAnsi="Times New Roman"/>
          <w:b/>
        </w:rPr>
        <w:t>years;</w:t>
      </w:r>
    </w:p>
    <w:p w:rsidR="00C05C3F" w:rsidP="00727837" w14:paraId="5E7ED0EB" w14:textId="7B3E3277">
      <w:pPr>
        <w:pStyle w:val="Default"/>
        <w:spacing w:after="240"/>
        <w:ind w:firstLine="720"/>
        <w:rPr>
          <w:rFonts w:ascii="Times New Roman" w:hAnsi="Times New Roman"/>
        </w:rPr>
      </w:pPr>
      <w:r>
        <w:rPr>
          <w:rFonts w:ascii="Times New Roman" w:hAnsi="Times New Roman"/>
        </w:rPr>
        <w:t>Commission Regulation 1.31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C05C3F" w:rsidP="00857487" w14:paraId="4221A688"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 xml:space="preserve">in connection with a statistical survey that is not designed to produce valid and reliable results that can be generalized to the universe of </w:t>
      </w:r>
      <w:r w:rsidRPr="00F9300C">
        <w:rPr>
          <w:rFonts w:ascii="Times New Roman" w:hAnsi="Times New Roman"/>
          <w:b/>
        </w:rPr>
        <w:t>study;</w:t>
      </w:r>
    </w:p>
    <w:p w:rsidR="00C05C3F" w:rsidP="00B55465" w14:paraId="1FFE7D1C"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1125C83"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BA4016">
        <w:rPr>
          <w:rFonts w:ascii="Times New Roman" w:hAnsi="Times New Roman"/>
          <w:b/>
        </w:rPr>
        <w:t xml:space="preserve">requiring the use of a statistical data classification that has not been reviewed and approved by </w:t>
      </w:r>
      <w:r w:rsidRPr="00BA4016">
        <w:rPr>
          <w:rFonts w:ascii="Times New Roman" w:hAnsi="Times New Roman"/>
          <w:b/>
        </w:rPr>
        <w:t>OMB;</w:t>
      </w:r>
    </w:p>
    <w:p w:rsidR="00C05C3F" w:rsidP="00857487" w14:paraId="3873D00D" w14:textId="77777777">
      <w:pPr>
        <w:tabs>
          <w:tab w:val="left" w:pos="-720"/>
        </w:tabs>
        <w:suppressAutoHyphens/>
        <w:spacing w:after="240"/>
        <w:ind w:firstLine="720"/>
        <w:rPr>
          <w:rFonts w:ascii="Times New Roman" w:hAnsi="Times New Roman"/>
        </w:rPr>
      </w:pPr>
      <w:r>
        <w:rPr>
          <w:rFonts w:ascii="Times New Roman" w:hAnsi="Times New Roman"/>
        </w:rPr>
        <w:t>This does not apply.</w:t>
      </w:r>
    </w:p>
    <w:p w:rsidR="00F62C02" w:rsidP="00857487" w14:paraId="4E0160FC" w14:textId="76CF50C5">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9300C">
        <w:rPr>
          <w:rFonts w:ascii="Times New Roman" w:hAnsi="Times New Roman"/>
          <w:b/>
        </w:rPr>
        <w:t>; or</w:t>
      </w:r>
      <w:r w:rsidRPr="002D3FBF" w:rsidR="002D3FBF">
        <w:rPr>
          <w:rFonts w:ascii="Times New Roman" w:hAnsi="Times New Roman"/>
          <w:b/>
        </w:rPr>
        <w:t xml:space="preserve"> </w:t>
      </w:r>
      <w:r w:rsidRPr="00F9300C" w:rsidR="002D3FBF">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727837" w:rsidP="00727837" w14:paraId="0A5A79E6" w14:textId="0DA7D087">
      <w:pPr>
        <w:pStyle w:val="Default"/>
        <w:spacing w:after="240"/>
        <w:ind w:firstLine="720"/>
        <w:rPr>
          <w:rFonts w:ascii="Times New Roman" w:hAnsi="Times New Roman"/>
        </w:rPr>
      </w:pPr>
      <w:r>
        <w:rPr>
          <w:rFonts w:ascii="Times New Roman" w:hAnsi="Times New Roman"/>
        </w:rPr>
        <w:t xml:space="preserve">The </w:t>
      </w:r>
      <w:r w:rsidR="00A74061">
        <w:rPr>
          <w:rFonts w:ascii="Times New Roman" w:hAnsi="Times New Roman"/>
        </w:rPr>
        <w:t>final</w:t>
      </w:r>
      <w:r>
        <w:rPr>
          <w:rFonts w:ascii="Times New Roman" w:hAnsi="Times New Roman"/>
        </w:rPr>
        <w:t xml:space="preserve"> rule do</w:t>
      </w:r>
      <w:r w:rsidR="00A74061">
        <w:rPr>
          <w:rFonts w:ascii="Times New Roman" w:hAnsi="Times New Roman"/>
        </w:rPr>
        <w:t>es</w:t>
      </w:r>
      <w:r>
        <w:rPr>
          <w:rFonts w:ascii="Times New Roman" w:hAnsi="Times New Roman"/>
        </w:rPr>
        <w:t xml:space="preserve"> not involve any specific pledge of confidentiality with respect to the part 40 submissions.  </w:t>
      </w:r>
      <w:r w:rsidRPr="0071759C">
        <w:rPr>
          <w:rFonts w:ascii="Times New Roman" w:hAnsi="Times New Roman"/>
        </w:rPr>
        <w:t>The Commission protects sensitive information according to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w:t>
      </w:r>
    </w:p>
    <w:p w:rsidR="00C05C3F" w:rsidP="002E6DAA" w14:paraId="21E04FA6" w14:textId="190F63D6">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 xml:space="preserve">If applicable, provide a copy and identify the date and page number of </w:t>
      </w:r>
      <w:r w:rsidRPr="005B5FA8">
        <w:rPr>
          <w:rFonts w:ascii="Times New Roman" w:hAnsi="Times New Roman"/>
          <w:b/>
        </w:rPr>
        <w:t>publication</w:t>
      </w:r>
      <w:r w:rsidRPr="005B5FA8">
        <w:rPr>
          <w:rFonts w:ascii="Times New Roman" w:hAnsi="Times New Roman"/>
          <w:b/>
        </w:rPr>
        <w:t xml:space="preserve"> in the Federal Register of the agency</w:t>
      </w:r>
      <w:r w:rsidR="00992C71">
        <w:rPr>
          <w:rFonts w:ascii="Times New Roman" w:hAnsi="Times New Roman"/>
          <w:b/>
        </w:rPr>
        <w:t>’</w:t>
      </w:r>
      <w:r w:rsidRPr="005B5FA8">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2BCB" w:rsidP="00B55465" w14:paraId="355C620E" w14:textId="6DD1C3E7">
      <w:pPr>
        <w:pStyle w:val="Default"/>
        <w:spacing w:after="240"/>
        <w:ind w:firstLine="720"/>
        <w:rPr>
          <w:rFonts w:ascii="Times New Roman" w:hAnsi="Times New Roman"/>
        </w:rPr>
      </w:pPr>
      <w:r>
        <w:rPr>
          <w:rFonts w:ascii="Times New Roman" w:hAnsi="Times New Roman"/>
        </w:rPr>
        <w:t xml:space="preserve">On September 6, 2023, the Commission published in the Federal Register a Notice of Proposed Rulemaking seeking comment on all aspects of the proposed rules, including the proposed information collection requirements and accompanying burden estimates.  </w:t>
      </w:r>
      <w:r>
        <w:rPr>
          <w:rFonts w:ascii="Times New Roman" w:hAnsi="Times New Roman"/>
          <w:i/>
        </w:rPr>
        <w:t xml:space="preserve">See </w:t>
      </w:r>
      <w:r>
        <w:rPr>
          <w:rFonts w:ascii="Times New Roman" w:hAnsi="Times New Roman"/>
        </w:rPr>
        <w:t>Provisions Common to Registered Entities, 88 FR 61432 (Sep. 6, 2023).</w:t>
      </w:r>
    </w:p>
    <w:p w:rsidR="00646D53" w:rsidP="0099345B" w14:paraId="44028208" w14:textId="600F9570">
      <w:pPr>
        <w:spacing w:after="240"/>
        <w:ind w:firstLine="720"/>
        <w:rPr>
          <w:rFonts w:ascii="Times New Roman" w:hAnsi="Times New Roman"/>
          <w:szCs w:val="24"/>
        </w:rPr>
      </w:pPr>
      <w:r>
        <w:rPr>
          <w:rFonts w:ascii="Times New Roman" w:hAnsi="Times New Roman"/>
          <w:szCs w:val="24"/>
        </w:rPr>
        <w:t>The Commission received two comments on its burden analysis under the PRA in the proposal.</w:t>
      </w:r>
      <w:r>
        <w:rPr>
          <w:rStyle w:val="FootnoteReference"/>
          <w:rFonts w:ascii="Times New Roman" w:hAnsi="Times New Roman"/>
          <w:szCs w:val="24"/>
        </w:rPr>
        <w:footnoteReference w:id="3"/>
      </w:r>
      <w:r>
        <w:rPr>
          <w:rFonts w:ascii="Times New Roman" w:hAnsi="Times New Roman"/>
          <w:szCs w:val="24"/>
        </w:rPr>
        <w:t xml:space="preserve">  First, A16z </w:t>
      </w:r>
      <w:r w:rsidRPr="00646D53">
        <w:rPr>
          <w:rFonts w:ascii="Times New Roman" w:hAnsi="Times New Roman"/>
          <w:szCs w:val="24"/>
        </w:rPr>
        <w:t xml:space="preserve">noted an apparent inconsistency between the </w:t>
      </w:r>
      <w:r w:rsidR="00AA63A3">
        <w:rPr>
          <w:rFonts w:ascii="Times New Roman" w:hAnsi="Times New Roman"/>
          <w:szCs w:val="24"/>
        </w:rPr>
        <w:t>cost-benefit considerations</w:t>
      </w:r>
      <w:r w:rsidRPr="00646D53" w:rsidR="00AA63A3">
        <w:rPr>
          <w:rFonts w:ascii="Times New Roman" w:hAnsi="Times New Roman"/>
          <w:szCs w:val="24"/>
        </w:rPr>
        <w:t xml:space="preserve"> </w:t>
      </w:r>
      <w:r w:rsidR="00AA63A3">
        <w:rPr>
          <w:rFonts w:ascii="Times New Roman" w:hAnsi="Times New Roman"/>
          <w:szCs w:val="24"/>
        </w:rPr>
        <w:t>(“</w:t>
      </w:r>
      <w:r w:rsidRPr="00646D53">
        <w:rPr>
          <w:rFonts w:ascii="Times New Roman" w:hAnsi="Times New Roman"/>
          <w:szCs w:val="24"/>
        </w:rPr>
        <w:t>CBC</w:t>
      </w:r>
      <w:r w:rsidR="00AA63A3">
        <w:rPr>
          <w:rFonts w:ascii="Times New Roman" w:hAnsi="Times New Roman"/>
          <w:szCs w:val="24"/>
        </w:rPr>
        <w:t>”)</w:t>
      </w:r>
      <w:r w:rsidRPr="00646D53">
        <w:rPr>
          <w:rFonts w:ascii="Times New Roman" w:hAnsi="Times New Roman"/>
          <w:szCs w:val="24"/>
        </w:rPr>
        <w:t xml:space="preserve"> and PRA analyses in the NPRM, </w:t>
      </w:r>
      <w:r>
        <w:rPr>
          <w:rFonts w:ascii="Times New Roman" w:hAnsi="Times New Roman"/>
          <w:szCs w:val="24"/>
        </w:rPr>
        <w:t>because</w:t>
      </w:r>
      <w:r w:rsidRPr="00646D53">
        <w:rPr>
          <w:rFonts w:ascii="Times New Roman" w:hAnsi="Times New Roman"/>
          <w:szCs w:val="24"/>
        </w:rPr>
        <w:t xml:space="preserve"> the PRA recognized a cost associated with the </w:t>
      </w:r>
      <w:r>
        <w:rPr>
          <w:rFonts w:ascii="Times New Roman" w:hAnsi="Times New Roman"/>
          <w:szCs w:val="24"/>
        </w:rPr>
        <w:t>“</w:t>
      </w:r>
      <w:r w:rsidRPr="00646D53">
        <w:rPr>
          <w:rFonts w:ascii="Times New Roman" w:hAnsi="Times New Roman"/>
          <w:szCs w:val="24"/>
        </w:rPr>
        <w:t>completeness</w:t>
      </w:r>
      <w:r>
        <w:rPr>
          <w:rFonts w:ascii="Times New Roman" w:hAnsi="Times New Roman"/>
          <w:szCs w:val="24"/>
        </w:rPr>
        <w:t>”</w:t>
      </w:r>
      <w:r w:rsidRPr="00646D53">
        <w:rPr>
          <w:rFonts w:ascii="Times New Roman" w:hAnsi="Times New Roman"/>
          <w:szCs w:val="24"/>
        </w:rPr>
        <w:t xml:space="preserve"> requirement for product and rule submissions under </w:t>
      </w:r>
      <w:r w:rsidRPr="00646D53">
        <w:rPr>
          <w:rFonts w:ascii="Times New Roman" w:hAnsi="Times New Roman"/>
          <w:szCs w:val="24"/>
        </w:rPr>
        <w:t>part</w:t>
      </w:r>
      <w:r w:rsidRPr="00646D53">
        <w:rPr>
          <w:rFonts w:ascii="Times New Roman" w:hAnsi="Times New Roman"/>
          <w:szCs w:val="24"/>
        </w:rPr>
        <w:t xml:space="preserve"> 40, but the </w:t>
      </w:r>
      <w:r>
        <w:rPr>
          <w:rFonts w:ascii="Times New Roman" w:hAnsi="Times New Roman"/>
          <w:szCs w:val="24"/>
        </w:rPr>
        <w:t>CBC</w:t>
      </w:r>
      <w:r w:rsidR="00AA63A3">
        <w:rPr>
          <w:rFonts w:ascii="Times New Roman" w:hAnsi="Times New Roman"/>
          <w:szCs w:val="24"/>
        </w:rPr>
        <w:t xml:space="preserve"> analysis </w:t>
      </w:r>
      <w:r w:rsidRPr="00646D53">
        <w:rPr>
          <w:rFonts w:ascii="Times New Roman" w:hAnsi="Times New Roman"/>
          <w:szCs w:val="24"/>
        </w:rPr>
        <w:t xml:space="preserve">did not.  Because A16z did not make any specific comments about the PRA estimates, but only noted an apparent inconsistency with the CBC, the Commission has not made any </w:t>
      </w:r>
      <w:r w:rsidRPr="00646D53">
        <w:rPr>
          <w:rFonts w:ascii="Times New Roman" w:hAnsi="Times New Roman"/>
          <w:szCs w:val="24"/>
        </w:rPr>
        <w:t>changes to its PRA estimates in response to the A16z comment.</w:t>
      </w:r>
      <w:r>
        <w:rPr>
          <w:rStyle w:val="FootnoteReference"/>
          <w:rFonts w:ascii="Times New Roman" w:hAnsi="Times New Roman"/>
          <w:szCs w:val="24"/>
        </w:rPr>
        <w:footnoteReference w:id="4"/>
      </w:r>
      <w:r>
        <w:rPr>
          <w:rFonts w:ascii="Times New Roman" w:hAnsi="Times New Roman"/>
          <w:szCs w:val="24"/>
        </w:rPr>
        <w:t xml:space="preserve">  </w:t>
      </w:r>
      <w:r w:rsidR="00275123">
        <w:rPr>
          <w:rFonts w:ascii="Times New Roman" w:hAnsi="Times New Roman"/>
          <w:szCs w:val="24"/>
        </w:rPr>
        <w:t>Accordingly,</w:t>
      </w:r>
      <w:r w:rsidRPr="00646D53">
        <w:rPr>
          <w:rFonts w:ascii="Times New Roman" w:hAnsi="Times New Roman"/>
          <w:szCs w:val="24"/>
        </w:rPr>
        <w:t xml:space="preserve"> the Commission </w:t>
      </w:r>
      <w:r w:rsidR="00275123">
        <w:rPr>
          <w:rFonts w:ascii="Times New Roman" w:hAnsi="Times New Roman"/>
          <w:szCs w:val="24"/>
        </w:rPr>
        <w:t xml:space="preserve">is retaining its prior burden estimates and </w:t>
      </w:r>
      <w:r w:rsidRPr="00646D53">
        <w:rPr>
          <w:rFonts w:ascii="Times New Roman" w:hAnsi="Times New Roman"/>
          <w:szCs w:val="24"/>
        </w:rPr>
        <w:t>has not made any changes to its PRA estimates in response to the A16z comment.</w:t>
      </w:r>
    </w:p>
    <w:p w:rsidR="0099345B" w:rsidP="0099345B" w14:paraId="26E4EA4D" w14:textId="38BDAF35">
      <w:pPr>
        <w:spacing w:after="240"/>
        <w:ind w:firstLine="720"/>
        <w:rPr>
          <w:rFonts w:ascii="Times New Roman" w:hAnsi="Times New Roman"/>
          <w:szCs w:val="24"/>
        </w:rPr>
      </w:pPr>
      <w:r>
        <w:rPr>
          <w:rFonts w:ascii="Times New Roman" w:hAnsi="Times New Roman"/>
          <w:szCs w:val="24"/>
        </w:rPr>
        <w:t xml:space="preserve">Second, </w:t>
      </w:r>
      <w:r w:rsidR="00275123">
        <w:rPr>
          <w:rFonts w:ascii="Times New Roman" w:hAnsi="Times New Roman"/>
          <w:szCs w:val="24"/>
        </w:rPr>
        <w:t>Coinbase asserted th</w:t>
      </w:r>
      <w:r>
        <w:rPr>
          <w:rFonts w:ascii="Times New Roman" w:hAnsi="Times New Roman"/>
          <w:szCs w:val="24"/>
        </w:rPr>
        <w:t>at the proposed revision to § 40.2</w:t>
      </w:r>
      <w:r w:rsidRPr="00F47C23">
        <w:rPr>
          <w:rFonts w:ascii="Times New Roman" w:hAnsi="Times New Roman"/>
          <w:szCs w:val="24"/>
        </w:rPr>
        <w:t xml:space="preserve"> </w:t>
      </w:r>
      <w:r>
        <w:rPr>
          <w:rFonts w:ascii="Times New Roman" w:hAnsi="Times New Roman"/>
          <w:szCs w:val="24"/>
        </w:rPr>
        <w:t>“</w:t>
      </w:r>
      <w:r w:rsidRPr="00F47C23">
        <w:rPr>
          <w:rFonts w:ascii="Times New Roman" w:hAnsi="Times New Roman"/>
          <w:szCs w:val="24"/>
        </w:rPr>
        <w:t>could significantly expand a DCM’s regulatory</w:t>
      </w:r>
      <w:r>
        <w:rPr>
          <w:rFonts w:ascii="Times New Roman" w:hAnsi="Times New Roman"/>
          <w:szCs w:val="24"/>
        </w:rPr>
        <w:t xml:space="preserve"> </w:t>
      </w:r>
      <w:r w:rsidRPr="00F47C23">
        <w:rPr>
          <w:rFonts w:ascii="Times New Roman" w:hAnsi="Times New Roman"/>
          <w:szCs w:val="24"/>
        </w:rPr>
        <w:t>costs for preparing certified product filings.</w:t>
      </w:r>
      <w:r>
        <w:rPr>
          <w:rFonts w:ascii="Times New Roman" w:hAnsi="Times New Roman"/>
          <w:szCs w:val="24"/>
        </w:rPr>
        <w:t>”</w:t>
      </w:r>
      <w:r>
        <w:rPr>
          <w:rStyle w:val="FootnoteReference"/>
          <w:rFonts w:ascii="Times New Roman" w:hAnsi="Times New Roman"/>
          <w:szCs w:val="24"/>
        </w:rPr>
        <w:footnoteReference w:id="5"/>
      </w:r>
      <w:r>
        <w:rPr>
          <w:rFonts w:ascii="Times New Roman" w:hAnsi="Times New Roman"/>
          <w:szCs w:val="24"/>
        </w:rPr>
        <w:t xml:space="preserve">  Although th</w:t>
      </w:r>
      <w:r w:rsidR="00275123">
        <w:rPr>
          <w:rFonts w:ascii="Times New Roman" w:hAnsi="Times New Roman"/>
          <w:szCs w:val="24"/>
        </w:rPr>
        <w:t>e</w:t>
      </w:r>
      <w:r>
        <w:rPr>
          <w:rFonts w:ascii="Times New Roman" w:hAnsi="Times New Roman"/>
          <w:szCs w:val="24"/>
        </w:rPr>
        <w:t xml:space="preserve"> commenter did not expressly reference the Commission’s PRA burden estimates, the Commission </w:t>
      </w:r>
      <w:r w:rsidR="00275123">
        <w:rPr>
          <w:rFonts w:ascii="Times New Roman" w:hAnsi="Times New Roman"/>
          <w:szCs w:val="24"/>
        </w:rPr>
        <w:t xml:space="preserve">addressed this comment in the </w:t>
      </w:r>
      <w:r w:rsidR="00D56954">
        <w:rPr>
          <w:rFonts w:ascii="Times New Roman" w:hAnsi="Times New Roman"/>
          <w:szCs w:val="24"/>
        </w:rPr>
        <w:t xml:space="preserve">preamble of the </w:t>
      </w:r>
      <w:r w:rsidR="00501428">
        <w:rPr>
          <w:rFonts w:ascii="Times New Roman" w:hAnsi="Times New Roman"/>
          <w:szCs w:val="24"/>
        </w:rPr>
        <w:t xml:space="preserve">Final Rule </w:t>
      </w:r>
      <w:r>
        <w:rPr>
          <w:rFonts w:ascii="Times New Roman" w:hAnsi="Times New Roman"/>
          <w:szCs w:val="24"/>
        </w:rPr>
        <w:t xml:space="preserve">as part of its PRA burden analysis.  </w:t>
      </w:r>
      <w:r w:rsidRPr="00504C56">
        <w:rPr>
          <w:rFonts w:ascii="Times New Roman" w:hAnsi="Times New Roman"/>
          <w:szCs w:val="24"/>
        </w:rPr>
        <w:t xml:space="preserve">As </w:t>
      </w:r>
      <w:r w:rsidR="00275123">
        <w:rPr>
          <w:rFonts w:ascii="Times New Roman" w:hAnsi="Times New Roman"/>
          <w:szCs w:val="24"/>
        </w:rPr>
        <w:t xml:space="preserve">explained in the </w:t>
      </w:r>
      <w:r w:rsidR="00501428">
        <w:rPr>
          <w:rFonts w:ascii="Times New Roman" w:hAnsi="Times New Roman"/>
          <w:szCs w:val="24"/>
        </w:rPr>
        <w:t>Final Rule</w:t>
      </w:r>
      <w:r w:rsidRPr="00504C56">
        <w:rPr>
          <w:rFonts w:ascii="Times New Roman" w:hAnsi="Times New Roman"/>
          <w:szCs w:val="24"/>
        </w:rPr>
        <w:t>, the Commission does not anticipate that the new requirement for “complete” § 40.2 submissions will constitute a significant expansion in regulatory costs because registered entities, through their due diligence</w:t>
      </w:r>
      <w:r w:rsidR="00275123">
        <w:rPr>
          <w:rFonts w:ascii="Times New Roman" w:hAnsi="Times New Roman"/>
          <w:szCs w:val="24"/>
        </w:rPr>
        <w:t xml:space="preserve"> in the regular course of business</w:t>
      </w:r>
      <w:r w:rsidRPr="00504C56">
        <w:rPr>
          <w:rFonts w:ascii="Times New Roman" w:hAnsi="Times New Roman"/>
          <w:szCs w:val="24"/>
        </w:rPr>
        <w:t xml:space="preserve">, will have already collected the information that they </w:t>
      </w:r>
      <w:r w:rsidR="00275123">
        <w:rPr>
          <w:rFonts w:ascii="Times New Roman" w:hAnsi="Times New Roman"/>
          <w:szCs w:val="24"/>
        </w:rPr>
        <w:t>are expected to</w:t>
      </w:r>
      <w:r w:rsidRPr="00504C56">
        <w:rPr>
          <w:rFonts w:ascii="Times New Roman" w:hAnsi="Times New Roman"/>
          <w:szCs w:val="24"/>
        </w:rPr>
        <w:t xml:space="preserve"> provide in their §40.2 filings.</w:t>
      </w:r>
      <w:r>
        <w:rPr>
          <w:rFonts w:ascii="Times New Roman" w:hAnsi="Times New Roman"/>
          <w:szCs w:val="24"/>
        </w:rPr>
        <w:t xml:space="preserve">  Additionally, the new submissions do not necessarily need to be lengthy. </w:t>
      </w:r>
      <w:r w:rsidR="00275123">
        <w:rPr>
          <w:rFonts w:ascii="Times New Roman" w:hAnsi="Times New Roman"/>
          <w:szCs w:val="24"/>
        </w:rPr>
        <w:t xml:space="preserve"> </w:t>
      </w:r>
      <w:r>
        <w:rPr>
          <w:rFonts w:ascii="Times New Roman" w:hAnsi="Times New Roman"/>
          <w:szCs w:val="24"/>
        </w:rPr>
        <w:t>Thus, the Commission continues to estimate an increase of one burden hour</w:t>
      </w:r>
      <w:r>
        <w:rPr>
          <w:rFonts w:ascii="Times New Roman" w:hAnsi="Times New Roman"/>
          <w:szCs w:val="24"/>
        </w:rPr>
        <w:t xml:space="preserve"> </w:t>
      </w:r>
      <w:r>
        <w:rPr>
          <w:rFonts w:ascii="Times New Roman" w:hAnsi="Times New Roman"/>
          <w:szCs w:val="24"/>
        </w:rPr>
        <w:t xml:space="preserve">per </w:t>
      </w:r>
      <w:r w:rsidR="000C251D">
        <w:rPr>
          <w:rFonts w:ascii="Times New Roman" w:hAnsi="Times New Roman"/>
          <w:szCs w:val="24"/>
        </w:rPr>
        <w:t xml:space="preserve">§§ 40.2/40.3 </w:t>
      </w:r>
      <w:r>
        <w:rPr>
          <w:rFonts w:ascii="Times New Roman" w:hAnsi="Times New Roman"/>
          <w:szCs w:val="24"/>
        </w:rPr>
        <w:t>product filing, averaged across all filers.</w:t>
      </w:r>
    </w:p>
    <w:p w:rsidR="00C05C3F" w:rsidP="00857487" w14:paraId="342A8941" w14:textId="77777777">
      <w:pPr>
        <w:tabs>
          <w:tab w:val="left" w:pos="-720"/>
          <w:tab w:val="left" w:pos="0"/>
        </w:tabs>
        <w:suppressAutoHyphens/>
        <w:spacing w:after="240"/>
        <w:ind w:left="720" w:hanging="720"/>
        <w:rPr>
          <w:rFonts w:ascii="Times New Roman" w:hAnsi="Times New Roman"/>
          <w:u w:val="single"/>
        </w:rPr>
      </w:pPr>
      <w:r>
        <w:rPr>
          <w:rFonts w:ascii="Times New Roman" w:hAnsi="Times New Roman"/>
        </w:rPr>
        <w:tab/>
      </w:r>
      <w:r w:rsidRPr="005B5FA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RPr="007B55D0" w:rsidP="00B55465" w14:paraId="5EE0581B" w14:textId="77777777">
      <w:pPr>
        <w:pStyle w:val="Default"/>
        <w:spacing w:after="240"/>
        <w:ind w:firstLine="720"/>
        <w:rPr>
          <w:rFonts w:ascii="Times New Roman" w:hAnsi="Times New Roman"/>
        </w:rPr>
      </w:pPr>
      <w:r>
        <w:rPr>
          <w:rFonts w:ascii="Times New Roman" w:hAnsi="Times New Roman"/>
        </w:rPr>
        <w:t>The Commission maintains regular contact with regulated entities.</w:t>
      </w:r>
    </w:p>
    <w:p w:rsidR="00C05C3F" w:rsidP="00857487" w14:paraId="5FA0E750" w14:textId="77777777">
      <w:pPr>
        <w:tabs>
          <w:tab w:val="left" w:pos="-720"/>
          <w:tab w:val="left" w:pos="0"/>
        </w:tabs>
        <w:suppressAutoHyphens/>
        <w:spacing w:after="240"/>
        <w:ind w:left="720" w:hanging="720"/>
        <w:rPr>
          <w:rFonts w:ascii="Times New Roman" w:hAnsi="Times New Roman"/>
        </w:rPr>
      </w:pPr>
      <w:r>
        <w:rPr>
          <w:rFonts w:ascii="Times New Roman" w:hAnsi="Times New Roman"/>
        </w:rPr>
        <w:tab/>
      </w:r>
      <w:r w:rsidRPr="005B5FA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6C31EC" w:rsidP="00B55465" w14:paraId="3AD6CA4B" w14:textId="77777777">
      <w:pPr>
        <w:pStyle w:val="Default"/>
        <w:spacing w:after="240"/>
        <w:ind w:firstLine="720"/>
        <w:rPr>
          <w:rFonts w:ascii="Times New Roman" w:hAnsi="Times New Roman"/>
        </w:rPr>
      </w:pPr>
      <w:r>
        <w:rPr>
          <w:rFonts w:ascii="Times New Roman" w:hAnsi="Times New Roman"/>
        </w:rPr>
        <w:t>This does not apply.</w:t>
      </w:r>
    </w:p>
    <w:p w:rsidR="00C05C3F" w:rsidP="002E6DAA" w14:paraId="5D1B7E1B"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Explain any decision to provide any payment or gift to respondents, other than remuneration of contractors or grantees.</w:t>
      </w:r>
    </w:p>
    <w:p w:rsidR="00C05C3F" w:rsidP="00B55465" w14:paraId="02C1AA01" w14:textId="77777777">
      <w:pPr>
        <w:pStyle w:val="Default"/>
        <w:spacing w:after="240"/>
        <w:ind w:firstLine="720"/>
        <w:rPr>
          <w:rFonts w:ascii="Times New Roman" w:hAnsi="Times New Roman"/>
        </w:rPr>
      </w:pPr>
      <w:r>
        <w:rPr>
          <w:rFonts w:ascii="Times New Roman" w:hAnsi="Times New Roman"/>
        </w:rPr>
        <w:t>This question does not apply.</w:t>
      </w:r>
      <w:r w:rsidR="001D0F6C">
        <w:rPr>
          <w:rFonts w:ascii="Times New Roman" w:hAnsi="Times New Roman"/>
        </w:rPr>
        <w:t xml:space="preserve">  </w:t>
      </w:r>
      <w:r w:rsidRPr="001D0F6C" w:rsidR="001D0F6C">
        <w:rPr>
          <w:rFonts w:ascii="Times New Roman" w:hAnsi="Times New Roman"/>
        </w:rPr>
        <w:t>The Commission has neither considered nor made any payment or gift to a respondent.</w:t>
      </w:r>
    </w:p>
    <w:p w:rsidR="00C05C3F" w:rsidP="002E6DAA" w14:paraId="5AA393D2"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Describe any assurance of confidentiality provided to respondents and the basis for the assurance in statute, regulations, or agency policy.</w:t>
      </w:r>
    </w:p>
    <w:p w:rsidR="00185A95" w:rsidP="00B55465" w14:paraId="506AC69E" w14:textId="77777777">
      <w:pPr>
        <w:pStyle w:val="Default"/>
        <w:spacing w:after="240"/>
        <w:ind w:firstLine="720"/>
        <w:rPr>
          <w:rFonts w:ascii="Times New Roman" w:hAnsi="Times New Roman"/>
        </w:rPr>
      </w:pPr>
      <w:r w:rsidRPr="00185A95">
        <w:rPr>
          <w:rFonts w:ascii="Times New Roman" w:hAnsi="Times New Roman"/>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C05C3F" w:rsidRPr="001D0F6C" w:rsidP="00E006FB" w14:paraId="2B527863" w14:textId="77777777">
      <w:pPr>
        <w:numPr>
          <w:ilvl w:val="0"/>
          <w:numId w:val="1"/>
        </w:numPr>
        <w:tabs>
          <w:tab w:val="left" w:pos="-720"/>
          <w:tab w:val="left" w:pos="0"/>
        </w:tabs>
        <w:suppressAutoHyphens/>
        <w:spacing w:after="240"/>
        <w:ind w:hanging="720"/>
        <w:rPr>
          <w:rFonts w:ascii="Times New Roman" w:hAnsi="Times New Roman"/>
        </w:rPr>
      </w:pPr>
      <w:r w:rsidRPr="001D0F6C">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C3F" w:rsidP="00B55465" w14:paraId="15E13167" w14:textId="019AB2AD">
      <w:pPr>
        <w:pStyle w:val="Default"/>
        <w:spacing w:after="240"/>
        <w:ind w:firstLine="720"/>
        <w:rPr>
          <w:rFonts w:ascii="Times New Roman" w:hAnsi="Times New Roman"/>
        </w:rPr>
      </w:pPr>
      <w:r>
        <w:rPr>
          <w:rFonts w:ascii="Times New Roman" w:hAnsi="Times New Roman"/>
        </w:rPr>
        <w:t xml:space="preserve">The </w:t>
      </w:r>
      <w:r w:rsidR="00A74061">
        <w:rPr>
          <w:rFonts w:ascii="Times New Roman" w:hAnsi="Times New Roman"/>
        </w:rPr>
        <w:t>final</w:t>
      </w:r>
      <w:r w:rsidR="00676ACA">
        <w:rPr>
          <w:rFonts w:ascii="Times New Roman" w:hAnsi="Times New Roman"/>
        </w:rPr>
        <w:t xml:space="preserve"> </w:t>
      </w:r>
      <w:r>
        <w:rPr>
          <w:rFonts w:ascii="Times New Roman" w:hAnsi="Times New Roman"/>
        </w:rPr>
        <w:t xml:space="preserve">regulations covered by </w:t>
      </w:r>
      <w:r w:rsidR="00676ACA">
        <w:rPr>
          <w:rFonts w:ascii="Times New Roman" w:hAnsi="Times New Roman"/>
        </w:rPr>
        <w:t xml:space="preserve">this </w:t>
      </w:r>
      <w:r>
        <w:rPr>
          <w:rFonts w:ascii="Times New Roman" w:hAnsi="Times New Roman"/>
        </w:rPr>
        <w:t>collection do not require the giving of sensitive information, as that term is used in Question 11.</w:t>
      </w:r>
    </w:p>
    <w:p w:rsidR="00C05C3F" w:rsidRPr="00857487" w:rsidP="002E6DAA" w14:paraId="7B31022C" w14:textId="77777777">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Provide estimates of the hour burden of the collection of information.  The Statement should:</w:t>
      </w:r>
    </w:p>
    <w:p w:rsidR="00C05C3F" w:rsidRPr="004A301A" w:rsidP="00857487" w14:paraId="222D564F"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4A301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Pr="004A301A" w:rsidP="00857487" w14:paraId="4054E626" w14:textId="77777777">
      <w:pPr>
        <w:tabs>
          <w:tab w:val="left" w:pos="-720"/>
          <w:tab w:val="left" w:pos="0"/>
          <w:tab w:val="left" w:pos="720"/>
        </w:tabs>
        <w:suppressAutoHyphens/>
        <w:spacing w:after="240"/>
        <w:ind w:left="1440" w:hanging="1440"/>
        <w:rPr>
          <w:rFonts w:ascii="Times New Roman" w:hAnsi="Times New Roman"/>
          <w:b/>
        </w:rPr>
      </w:pPr>
      <w:r w:rsidRPr="004A301A">
        <w:rPr>
          <w:rFonts w:ascii="Times New Roman" w:hAnsi="Times New Roman"/>
          <w:b/>
        </w:rPr>
        <w:tab/>
        <w:t>-</w:t>
      </w:r>
      <w:r w:rsidRPr="004A301A">
        <w:rPr>
          <w:rFonts w:ascii="Times New Roman" w:hAnsi="Times New Roman"/>
          <w:b/>
        </w:rPr>
        <w:tab/>
        <w:t>If the request for approval covers more than one form, provide separate hour burden estimates for each form and aggregate the hour burdens in Item 13 of OMB Form 83-I.</w:t>
      </w:r>
    </w:p>
    <w:p w:rsidR="00C05C3F" w:rsidP="002E6DAA" w14:paraId="140E044B" w14:textId="77777777">
      <w:pPr>
        <w:tabs>
          <w:tab w:val="left" w:pos="-720"/>
          <w:tab w:val="left" w:pos="0"/>
          <w:tab w:val="left" w:pos="720"/>
        </w:tabs>
        <w:suppressAutoHyphens/>
        <w:spacing w:after="240"/>
        <w:ind w:left="1440" w:hanging="1440"/>
        <w:rPr>
          <w:rFonts w:ascii="Times New Roman" w:hAnsi="Times New Roman"/>
        </w:rPr>
      </w:pPr>
      <w:r w:rsidRPr="004A301A">
        <w:rPr>
          <w:rFonts w:ascii="Times New Roman" w:hAnsi="Times New Roman"/>
          <w:b/>
        </w:rPr>
        <w:tab/>
        <w:t>-</w:t>
      </w:r>
      <w:r w:rsidRPr="004A301A">
        <w:rPr>
          <w:rFonts w:ascii="Times New Roman" w:hAnsi="Times New Roman"/>
          <w:b/>
        </w:rPr>
        <w:tab/>
        <w:t xml:space="preserve">Provide estimates of annualized cost to respondents for the hours burdens for collections of information, identifying and using appropriate wage rate categories.  The cost of contracting out or paying outside parties for </w:t>
      </w:r>
      <w:r w:rsidRPr="004A301A">
        <w:rPr>
          <w:rFonts w:ascii="Times New Roman" w:hAnsi="Times New Roman"/>
          <w:b/>
        </w:rPr>
        <w:t>information collection activities should not be included here.  Instead, this cost should be included in Item 13.</w:t>
      </w:r>
    </w:p>
    <w:p w:rsidR="00D061F9" w:rsidP="004078BE" w14:paraId="7A571341" w14:textId="77777777">
      <w:pPr>
        <w:pStyle w:val="Default"/>
        <w:spacing w:after="240"/>
        <w:ind w:firstLine="720"/>
        <w:rPr>
          <w:rFonts w:ascii="Times New Roman" w:hAnsi="Times New Roman"/>
        </w:rPr>
      </w:pPr>
      <w:r w:rsidRPr="005B5FA8">
        <w:rPr>
          <w:rFonts w:ascii="Times New Roman" w:hAnsi="Times New Roman"/>
        </w:rPr>
        <w:t>See</w:t>
      </w:r>
      <w:r>
        <w:rPr>
          <w:rFonts w:ascii="Times New Roman" w:hAnsi="Times New Roman"/>
        </w:rPr>
        <w:t xml:space="preserve"> Attachment A.</w:t>
      </w:r>
      <w:r w:rsidR="002E6DAA">
        <w:rPr>
          <w:rFonts w:ascii="Times New Roman" w:hAnsi="Times New Roman"/>
        </w:rPr>
        <w:t xml:space="preserve">  </w:t>
      </w:r>
    </w:p>
    <w:p w:rsidR="00D061F9" w:rsidRPr="00EC2BD8" w:rsidP="004078BE" w14:paraId="1BF83C13" w14:textId="77777777">
      <w:pPr>
        <w:spacing w:after="240"/>
        <w:ind w:firstLine="720"/>
        <w:rPr>
          <w:rFonts w:ascii="Times New Roman" w:hAnsi="Times New Roman"/>
          <w:szCs w:val="24"/>
        </w:rPr>
      </w:pPr>
      <w:r w:rsidRPr="000E2909">
        <w:rPr>
          <w:rFonts w:ascii="Times New Roman" w:hAnsi="Times New Roman"/>
          <w:i/>
          <w:szCs w:val="24"/>
        </w:rPr>
        <w:t>Burden Estimates</w:t>
      </w:r>
    </w:p>
    <w:p w:rsidR="00D061F9" w:rsidP="00931BB6" w14:paraId="414A694B" w14:textId="1B0939CD">
      <w:pPr>
        <w:spacing w:after="240"/>
        <w:ind w:firstLine="720"/>
        <w:rPr>
          <w:rFonts w:ascii="Times New Roman" w:hAnsi="Times New Roman"/>
          <w:szCs w:val="24"/>
          <w:u w:val="single"/>
        </w:rPr>
      </w:pPr>
      <w:r w:rsidRPr="000E2909">
        <w:rPr>
          <w:rFonts w:ascii="Times New Roman" w:hAnsi="Times New Roman"/>
          <w:szCs w:val="24"/>
          <w:u w:val="single"/>
        </w:rPr>
        <w:t>Product Submissions (§§ 40.2 and 40.3)</w:t>
      </w:r>
    </w:p>
    <w:p w:rsidR="00D061F9" w:rsidRPr="00070AF4" w:rsidP="00931BB6" w14:paraId="73C03B76" w14:textId="55F8FBE0">
      <w:pPr>
        <w:spacing w:after="240"/>
        <w:ind w:firstLine="720"/>
        <w:rPr>
          <w:rFonts w:ascii="Times New Roman" w:hAnsi="Times New Roman"/>
          <w:szCs w:val="24"/>
        </w:rPr>
      </w:pPr>
      <w:r>
        <w:rPr>
          <w:rFonts w:ascii="Times New Roman" w:hAnsi="Times New Roman"/>
          <w:szCs w:val="24"/>
        </w:rPr>
        <w:t>As part of the Final Rule, the Commission is</w:t>
      </w:r>
      <w:r w:rsidR="00E63561">
        <w:rPr>
          <w:rFonts w:ascii="Times New Roman" w:hAnsi="Times New Roman"/>
          <w:szCs w:val="24"/>
        </w:rPr>
        <w:t xml:space="preserve"> revising its regulations to require </w:t>
      </w:r>
      <w:r>
        <w:rPr>
          <w:rFonts w:ascii="Times New Roman" w:hAnsi="Times New Roman"/>
          <w:szCs w:val="24"/>
        </w:rPr>
        <w:t>that respondents that provide product submission to the Commission u</w:t>
      </w:r>
      <w:r>
        <w:rPr>
          <w:rFonts w:ascii="Times New Roman" w:hAnsi="Times New Roman"/>
          <w:szCs w:val="24"/>
        </w:rPr>
        <w:t>nder §§ 40.2 and 40.3</w:t>
      </w:r>
      <w:r>
        <w:rPr>
          <w:rFonts w:ascii="Times New Roman" w:hAnsi="Times New Roman"/>
          <w:szCs w:val="24"/>
        </w:rPr>
        <w:t xml:space="preserve"> </w:t>
      </w:r>
      <w:r w:rsidR="00E63561">
        <w:rPr>
          <w:rFonts w:ascii="Times New Roman" w:hAnsi="Times New Roman"/>
          <w:szCs w:val="24"/>
        </w:rPr>
        <w:t xml:space="preserve">include </w:t>
      </w:r>
      <w:r w:rsidR="0099345B">
        <w:rPr>
          <w:rFonts w:ascii="Times New Roman" w:hAnsi="Times New Roman"/>
          <w:szCs w:val="24"/>
        </w:rPr>
        <w:t>“</w:t>
      </w:r>
      <w:r>
        <w:rPr>
          <w:rFonts w:ascii="Times New Roman" w:hAnsi="Times New Roman"/>
          <w:szCs w:val="24"/>
        </w:rPr>
        <w:t>complete</w:t>
      </w:r>
      <w:r w:rsidR="0099345B">
        <w:rPr>
          <w:rFonts w:ascii="Times New Roman" w:hAnsi="Times New Roman"/>
          <w:szCs w:val="24"/>
        </w:rPr>
        <w:t>”</w:t>
      </w:r>
      <w:r>
        <w:rPr>
          <w:rFonts w:ascii="Times New Roman" w:hAnsi="Times New Roman"/>
          <w:szCs w:val="24"/>
        </w:rPr>
        <w:t xml:space="preserve"> information. </w:t>
      </w:r>
      <w:r w:rsidRPr="0001671B">
        <w:rPr>
          <w:rFonts w:ascii="Times New Roman" w:hAnsi="Times New Roman"/>
          <w:szCs w:val="24"/>
        </w:rPr>
        <w:t xml:space="preserve"> </w:t>
      </w:r>
      <w:r w:rsidRPr="00030E91">
        <w:rPr>
          <w:rFonts w:ascii="Times New Roman" w:hAnsi="Times New Roman"/>
          <w:szCs w:val="24"/>
        </w:rPr>
        <w:t xml:space="preserve">While this </w:t>
      </w:r>
      <w:r>
        <w:rPr>
          <w:rFonts w:ascii="Times New Roman" w:hAnsi="Times New Roman"/>
          <w:szCs w:val="24"/>
        </w:rPr>
        <w:t>“completeness” requirement is not</w:t>
      </w:r>
      <w:r w:rsidRPr="00030E91">
        <w:rPr>
          <w:rFonts w:ascii="Times New Roman" w:hAnsi="Times New Roman"/>
          <w:szCs w:val="24"/>
        </w:rPr>
        <w:t xml:space="preserve"> intended to expand or otherwise alter the scope of the explanation or analysis required in the current regulation, the Commission conservatively estimates some reporting entities may expend some additional time to ensure the completeness of their submissions</w:t>
      </w:r>
      <w:r>
        <w:rPr>
          <w:rFonts w:ascii="Times New Roman" w:hAnsi="Times New Roman"/>
          <w:szCs w:val="24"/>
        </w:rPr>
        <w:t xml:space="preserve">.  Accordingly, the Commission is increasing its estimate of the average time per response under </w:t>
      </w:r>
      <w:r w:rsidRPr="0001671B">
        <w:rPr>
          <w:rFonts w:ascii="Times New Roman" w:hAnsi="Times New Roman"/>
          <w:szCs w:val="24"/>
        </w:rPr>
        <w:t>§§ 40.2(a)(3)(v)</w:t>
      </w:r>
      <w:r>
        <w:rPr>
          <w:rFonts w:ascii="Times New Roman" w:hAnsi="Times New Roman"/>
          <w:szCs w:val="24"/>
        </w:rPr>
        <w:t xml:space="preserve"> and</w:t>
      </w:r>
      <w:r w:rsidRPr="0001671B">
        <w:rPr>
          <w:rFonts w:ascii="Times New Roman" w:hAnsi="Times New Roman"/>
          <w:szCs w:val="24"/>
        </w:rPr>
        <w:t xml:space="preserve"> 40.3(a)(4)</w:t>
      </w:r>
      <w:r>
        <w:rPr>
          <w:rFonts w:ascii="Times New Roman" w:hAnsi="Times New Roman"/>
          <w:szCs w:val="24"/>
        </w:rPr>
        <w:t xml:space="preserve"> by an </w:t>
      </w:r>
      <w:r w:rsidRPr="00CD7B04">
        <w:rPr>
          <w:rFonts w:ascii="Times New Roman" w:hAnsi="Times New Roman"/>
          <w:szCs w:val="24"/>
        </w:rPr>
        <w:t xml:space="preserve">additional </w:t>
      </w:r>
      <w:r>
        <w:rPr>
          <w:rFonts w:ascii="Times New Roman" w:hAnsi="Times New Roman"/>
          <w:szCs w:val="24"/>
        </w:rPr>
        <w:t>1</w:t>
      </w:r>
      <w:r w:rsidRPr="00CD7B04">
        <w:rPr>
          <w:rFonts w:ascii="Times New Roman" w:hAnsi="Times New Roman"/>
          <w:szCs w:val="24"/>
        </w:rPr>
        <w:t xml:space="preserve"> hour</w:t>
      </w:r>
      <w:r>
        <w:rPr>
          <w:rFonts w:ascii="Times New Roman" w:hAnsi="Times New Roman"/>
          <w:szCs w:val="24"/>
        </w:rPr>
        <w:t xml:space="preserve"> (for a new total of 22 hours, up from the previous estimate of </w:t>
      </w:r>
      <w:r w:rsidRPr="00E47862" w:rsidR="00005D94">
        <w:rPr>
          <w:rFonts w:ascii="Times New Roman" w:hAnsi="Times New Roman"/>
          <w:szCs w:val="24"/>
        </w:rPr>
        <w:t>21</w:t>
      </w:r>
      <w:r w:rsidRPr="00E47862">
        <w:rPr>
          <w:rFonts w:ascii="Times New Roman" w:hAnsi="Times New Roman"/>
          <w:szCs w:val="24"/>
        </w:rPr>
        <w:t xml:space="preserve"> hour</w:t>
      </w:r>
      <w:r w:rsidRPr="00E47862" w:rsidR="00005D94">
        <w:rPr>
          <w:rFonts w:ascii="Times New Roman" w:hAnsi="Times New Roman"/>
          <w:szCs w:val="24"/>
        </w:rPr>
        <w:t>s</w:t>
      </w:r>
      <w:r w:rsidRPr="00E47862">
        <w:rPr>
          <w:rFonts w:ascii="Times New Roman" w:hAnsi="Times New Roman"/>
          <w:szCs w:val="24"/>
        </w:rPr>
        <w:t>)</w:t>
      </w:r>
      <w:r w:rsidRPr="00CD7B04">
        <w:rPr>
          <w:rFonts w:ascii="Times New Roman" w:hAnsi="Times New Roman"/>
          <w:szCs w:val="24"/>
        </w:rPr>
        <w:t>.</w:t>
      </w:r>
      <w:r>
        <w:rPr>
          <w:rFonts w:ascii="Times New Roman" w:hAnsi="Times New Roman"/>
          <w:szCs w:val="24"/>
        </w:rPr>
        <w:t xml:space="preserve">  </w:t>
      </w:r>
      <w:r>
        <w:rPr>
          <w:rFonts w:ascii="Times New Roman" w:hAnsi="Times New Roman"/>
          <w:szCs w:val="24"/>
        </w:rPr>
        <w:t>The number of respondents remains 70.</w:t>
      </w:r>
      <w:r w:rsidR="00E63561">
        <w:rPr>
          <w:rFonts w:ascii="Times New Roman" w:hAnsi="Times New Roman"/>
          <w:szCs w:val="24"/>
        </w:rPr>
        <w:t xml:space="preserve">  </w:t>
      </w:r>
      <w:r>
        <w:rPr>
          <w:rFonts w:ascii="Times New Roman" w:hAnsi="Times New Roman"/>
          <w:szCs w:val="24"/>
        </w:rPr>
        <w:t>Accordingly,</w:t>
      </w:r>
      <w:r>
        <w:rPr>
          <w:rFonts w:ascii="Times New Roman" w:hAnsi="Times New Roman"/>
          <w:szCs w:val="24"/>
        </w:rPr>
        <w:t xml:space="preserve"> as shown in Attachment A,</w:t>
      </w:r>
      <w:r>
        <w:rPr>
          <w:rFonts w:ascii="Times New Roman" w:hAnsi="Times New Roman"/>
          <w:szCs w:val="24"/>
        </w:rPr>
        <w:t xml:space="preserve"> the </w:t>
      </w:r>
      <w:r w:rsidRPr="00E17AE8">
        <w:rPr>
          <w:rFonts w:ascii="Times New Roman" w:hAnsi="Times New Roman"/>
          <w:szCs w:val="24"/>
        </w:rPr>
        <w:t xml:space="preserve">aggregate annual estimate for the reporting burden associated with </w:t>
      </w:r>
      <w:r>
        <w:rPr>
          <w:rFonts w:ascii="Times New Roman" w:hAnsi="Times New Roman"/>
          <w:szCs w:val="24"/>
        </w:rPr>
        <w:t>product submissions (§§ 40.2 and 40.3)</w:t>
      </w:r>
      <w:r w:rsidRPr="00E17AE8">
        <w:rPr>
          <w:rFonts w:ascii="Times New Roman" w:hAnsi="Times New Roman"/>
          <w:szCs w:val="24"/>
        </w:rPr>
        <w:t xml:space="preserve">, as amended by the </w:t>
      </w:r>
      <w:r>
        <w:rPr>
          <w:rFonts w:ascii="Times New Roman" w:hAnsi="Times New Roman"/>
          <w:szCs w:val="24"/>
        </w:rPr>
        <w:t>final rules</w:t>
      </w:r>
      <w:r w:rsidRPr="00E17AE8">
        <w:rPr>
          <w:rFonts w:ascii="Times New Roman" w:hAnsi="Times New Roman"/>
          <w:szCs w:val="24"/>
        </w:rPr>
        <w:t>, is as follows</w:t>
      </w:r>
      <w:r>
        <w:rPr>
          <w:rFonts w:ascii="Times New Roman" w:hAnsi="Times New Roman"/>
          <w:szCs w:val="24"/>
        </w:rPr>
        <w:t>:</w:t>
      </w:r>
    </w:p>
    <w:p w:rsidR="00D061F9" w:rsidRPr="00070AF4" w:rsidP="00931BB6" w14:paraId="1EB0F308" w14:textId="77777777">
      <w:pPr>
        <w:ind w:left="720"/>
        <w:rPr>
          <w:rFonts w:ascii="Times New Roman" w:hAnsi="Times New Roman"/>
          <w:szCs w:val="24"/>
        </w:rPr>
      </w:pPr>
      <w:r w:rsidRPr="00070AF4">
        <w:rPr>
          <w:rFonts w:ascii="Times New Roman" w:hAnsi="Times New Roman"/>
          <w:i/>
          <w:iCs/>
          <w:szCs w:val="24"/>
        </w:rPr>
        <w:t>Estimated number of respondents:</w:t>
      </w:r>
      <w:r w:rsidRPr="00070AF4">
        <w:rPr>
          <w:rFonts w:ascii="Times New Roman" w:hAnsi="Times New Roman"/>
          <w:szCs w:val="24"/>
        </w:rPr>
        <w:t xml:space="preserve"> </w:t>
      </w:r>
      <w:r>
        <w:rPr>
          <w:rFonts w:ascii="Times New Roman" w:hAnsi="Times New Roman"/>
          <w:szCs w:val="24"/>
        </w:rPr>
        <w:t>70</w:t>
      </w:r>
    </w:p>
    <w:p w:rsidR="00D061F9" w:rsidRPr="00070AF4" w:rsidP="00931BB6" w14:paraId="05684391" w14:textId="77777777">
      <w:pPr>
        <w:ind w:left="720"/>
        <w:rPr>
          <w:rFonts w:ascii="Times New Roman" w:hAnsi="Times New Roman"/>
          <w:szCs w:val="24"/>
        </w:rPr>
      </w:pPr>
      <w:r w:rsidRPr="00070AF4">
        <w:rPr>
          <w:rFonts w:ascii="Times New Roman" w:hAnsi="Times New Roman"/>
          <w:i/>
          <w:iCs/>
          <w:szCs w:val="24"/>
        </w:rPr>
        <w:t>Estimated number of reports per respondent:</w:t>
      </w:r>
      <w:r w:rsidRPr="00070AF4">
        <w:rPr>
          <w:rFonts w:ascii="Times New Roman" w:hAnsi="Times New Roman"/>
          <w:szCs w:val="24"/>
        </w:rPr>
        <w:t xml:space="preserve"> </w:t>
      </w:r>
      <w:r>
        <w:rPr>
          <w:rFonts w:ascii="Times New Roman" w:hAnsi="Times New Roman"/>
          <w:szCs w:val="24"/>
        </w:rPr>
        <w:t>12</w:t>
      </w:r>
      <w:r>
        <w:rPr>
          <w:rStyle w:val="FootnoteReference"/>
          <w:szCs w:val="24"/>
        </w:rPr>
        <w:footnoteReference w:id="6"/>
      </w:r>
      <w:r>
        <w:rPr>
          <w:rFonts w:ascii="Times New Roman" w:hAnsi="Times New Roman"/>
          <w:szCs w:val="24"/>
        </w:rPr>
        <w:t xml:space="preserve"> </w:t>
      </w:r>
    </w:p>
    <w:p w:rsidR="00D061F9" w:rsidRPr="00070AF4" w:rsidP="004078BE" w14:paraId="0BF4B3FF" w14:textId="77777777">
      <w:pPr>
        <w:ind w:left="720"/>
        <w:rPr>
          <w:rFonts w:ascii="Times New Roman" w:hAnsi="Times New Roman"/>
          <w:szCs w:val="24"/>
        </w:rPr>
      </w:pPr>
      <w:r w:rsidRPr="00070AF4">
        <w:rPr>
          <w:rFonts w:ascii="Times New Roman" w:hAnsi="Times New Roman"/>
          <w:i/>
          <w:iCs/>
          <w:szCs w:val="24"/>
        </w:rPr>
        <w:t>Average number of hours per report:</w:t>
      </w:r>
      <w:r w:rsidRPr="00070AF4">
        <w:rPr>
          <w:rFonts w:ascii="Times New Roman" w:hAnsi="Times New Roman"/>
          <w:szCs w:val="24"/>
        </w:rPr>
        <w:t xml:space="preserve"> </w:t>
      </w:r>
      <w:r>
        <w:rPr>
          <w:rFonts w:ascii="Times New Roman" w:hAnsi="Times New Roman"/>
          <w:szCs w:val="24"/>
        </w:rPr>
        <w:t>22</w:t>
      </w:r>
      <w:r>
        <w:rPr>
          <w:rStyle w:val="FootnoteReference"/>
          <w:szCs w:val="24"/>
        </w:rPr>
        <w:footnoteReference w:id="7"/>
      </w:r>
    </w:p>
    <w:p w:rsidR="00D061F9" w:rsidRPr="00070AF4" w:rsidP="00931BB6" w14:paraId="45A9F875" w14:textId="77777777">
      <w:pPr>
        <w:spacing w:after="240"/>
        <w:ind w:left="720"/>
        <w:rPr>
          <w:rFonts w:ascii="Times New Roman" w:hAnsi="Times New Roman"/>
          <w:szCs w:val="24"/>
        </w:rPr>
      </w:pPr>
      <w:r w:rsidRPr="00070AF4">
        <w:rPr>
          <w:rFonts w:ascii="Times New Roman" w:hAnsi="Times New Roman"/>
          <w:i/>
          <w:iCs/>
          <w:szCs w:val="24"/>
        </w:rPr>
        <w:t>Estimated gross annual reporting burden</w:t>
      </w:r>
      <w:r>
        <w:rPr>
          <w:rFonts w:ascii="Times New Roman" w:hAnsi="Times New Roman"/>
          <w:i/>
          <w:iCs/>
          <w:szCs w:val="24"/>
        </w:rPr>
        <w:t xml:space="preserve"> (hours)</w:t>
      </w:r>
      <w:r w:rsidRPr="00070AF4">
        <w:rPr>
          <w:rFonts w:ascii="Times New Roman" w:hAnsi="Times New Roman"/>
          <w:i/>
          <w:iCs/>
          <w:szCs w:val="24"/>
        </w:rPr>
        <w:t>:</w:t>
      </w:r>
      <w:r w:rsidRPr="00070AF4">
        <w:rPr>
          <w:rFonts w:ascii="Times New Roman" w:hAnsi="Times New Roman"/>
          <w:szCs w:val="24"/>
        </w:rPr>
        <w:t xml:space="preserve"> </w:t>
      </w:r>
      <w:r w:rsidRPr="00D14BEE">
        <w:rPr>
          <w:rFonts w:ascii="Times New Roman" w:hAnsi="Times New Roman"/>
          <w:szCs w:val="24"/>
        </w:rPr>
        <w:t>18,480</w:t>
      </w:r>
      <w:r>
        <w:rPr>
          <w:rStyle w:val="FootnoteReference"/>
          <w:szCs w:val="24"/>
        </w:rPr>
        <w:footnoteReference w:id="8"/>
      </w:r>
    </w:p>
    <w:p w:rsidR="00D061F9" w:rsidRPr="000E2909" w:rsidP="00C30BD6" w14:paraId="24AD6A89" w14:textId="77777777">
      <w:pPr>
        <w:keepNext/>
        <w:spacing w:after="240"/>
        <w:ind w:firstLine="720"/>
        <w:rPr>
          <w:rStyle w:val="CommentReference"/>
          <w:rFonts w:ascii="Times New Roman" w:hAnsi="Times New Roman"/>
          <w:sz w:val="24"/>
          <w:szCs w:val="24"/>
          <w:u w:val="single"/>
        </w:rPr>
      </w:pPr>
      <w:r w:rsidRPr="000E2909">
        <w:rPr>
          <w:rStyle w:val="CommentReference"/>
          <w:rFonts w:ascii="Times New Roman" w:hAnsi="Times New Roman"/>
          <w:sz w:val="24"/>
          <w:szCs w:val="24"/>
          <w:u w:val="single"/>
        </w:rPr>
        <w:t>Rule Submissions (§§ 40.5 and 40.6)</w:t>
      </w:r>
    </w:p>
    <w:p w:rsidR="004078BE" w:rsidRPr="00070AF4" w:rsidP="00E63561" w14:paraId="684611D1" w14:textId="5C05C564">
      <w:pPr>
        <w:keepNext/>
        <w:spacing w:after="240"/>
        <w:ind w:firstLine="720"/>
        <w:rPr>
          <w:rFonts w:ascii="Times New Roman" w:hAnsi="Times New Roman"/>
          <w:szCs w:val="24"/>
        </w:rPr>
      </w:pPr>
      <w:r>
        <w:rPr>
          <w:rFonts w:ascii="Times New Roman" w:hAnsi="Times New Roman"/>
          <w:szCs w:val="24"/>
        </w:rPr>
        <w:t xml:space="preserve">As part of the Final Rule, the Commission is revising its regulations to require that respondents that provide product submission to the Commission under §§ 40.6 include “complete” information </w:t>
      </w:r>
      <w:r w:rsidR="00D061F9">
        <w:rPr>
          <w:rFonts w:ascii="Times New Roman" w:hAnsi="Times New Roman"/>
          <w:szCs w:val="24"/>
        </w:rPr>
        <w:t xml:space="preserve">to enable the Commission to perform its analysis of </w:t>
      </w:r>
      <w:r w:rsidR="0099345B">
        <w:rPr>
          <w:rFonts w:ascii="Times New Roman" w:hAnsi="Times New Roman"/>
          <w:szCs w:val="24"/>
        </w:rPr>
        <w:t xml:space="preserve">rule </w:t>
      </w:r>
      <w:r w:rsidR="00D061F9">
        <w:rPr>
          <w:rFonts w:ascii="Times New Roman" w:hAnsi="Times New Roman"/>
          <w:szCs w:val="24"/>
        </w:rPr>
        <w:t xml:space="preserve">submissions.  </w:t>
      </w:r>
      <w:r w:rsidR="0099345B">
        <w:rPr>
          <w:rFonts w:ascii="Times New Roman" w:hAnsi="Times New Roman"/>
          <w:szCs w:val="24"/>
        </w:rPr>
        <w:t>T</w:t>
      </w:r>
      <w:r w:rsidRPr="009B203C" w:rsidR="00D061F9">
        <w:rPr>
          <w:rFonts w:ascii="Times New Roman" w:hAnsi="Times New Roman"/>
          <w:szCs w:val="24"/>
        </w:rPr>
        <w:t xml:space="preserve">he Commission estimates </w:t>
      </w:r>
      <w:r w:rsidR="0099345B">
        <w:rPr>
          <w:rFonts w:ascii="Times New Roman" w:hAnsi="Times New Roman"/>
          <w:szCs w:val="24"/>
        </w:rPr>
        <w:t xml:space="preserve">that, because of this completeness requirement, </w:t>
      </w:r>
      <w:r w:rsidRPr="009B203C" w:rsidR="00D061F9">
        <w:rPr>
          <w:rFonts w:ascii="Times New Roman" w:hAnsi="Times New Roman"/>
          <w:szCs w:val="24"/>
        </w:rPr>
        <w:t>some reporting entities may expend</w:t>
      </w:r>
      <w:r w:rsidR="00037A94">
        <w:rPr>
          <w:rFonts w:ascii="Times New Roman" w:hAnsi="Times New Roman"/>
          <w:szCs w:val="24"/>
        </w:rPr>
        <w:t xml:space="preserve"> an</w:t>
      </w:r>
      <w:r w:rsidRPr="009B203C" w:rsidR="00D061F9">
        <w:rPr>
          <w:rFonts w:ascii="Times New Roman" w:hAnsi="Times New Roman"/>
          <w:szCs w:val="24"/>
        </w:rPr>
        <w:t xml:space="preserve"> additional </w:t>
      </w:r>
      <w:r w:rsidR="00037A94">
        <w:rPr>
          <w:rFonts w:ascii="Times New Roman" w:hAnsi="Times New Roman"/>
          <w:szCs w:val="24"/>
        </w:rPr>
        <w:t>0.5 hours</w:t>
      </w:r>
      <w:r w:rsidRPr="009B203C" w:rsidR="00037A94">
        <w:rPr>
          <w:rFonts w:ascii="Times New Roman" w:hAnsi="Times New Roman"/>
          <w:szCs w:val="24"/>
        </w:rPr>
        <w:t xml:space="preserve"> </w:t>
      </w:r>
      <w:r w:rsidRPr="009B203C" w:rsidR="00D061F9">
        <w:rPr>
          <w:rFonts w:ascii="Times New Roman" w:hAnsi="Times New Roman"/>
          <w:szCs w:val="24"/>
        </w:rPr>
        <w:t>to ensure the completeness of their submissions</w:t>
      </w:r>
      <w:r w:rsidR="0099345B">
        <w:rPr>
          <w:rFonts w:ascii="Times New Roman" w:hAnsi="Times New Roman"/>
          <w:szCs w:val="24"/>
        </w:rPr>
        <w:t xml:space="preserve"> (this increase would average out to 2.5 hours per response, up from the previous estimate of 2 hours </w:t>
      </w:r>
      <w:r w:rsidR="0099345B">
        <w:rPr>
          <w:rFonts w:ascii="Times New Roman" w:hAnsi="Times New Roman"/>
          <w:szCs w:val="24"/>
        </w:rPr>
        <w:t>per response)</w:t>
      </w:r>
      <w:r w:rsidRPr="009B203C" w:rsidR="00D061F9">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 xml:space="preserve">Accordingly, </w:t>
      </w:r>
      <w:r>
        <w:rPr>
          <w:rFonts w:ascii="Times New Roman" w:hAnsi="Times New Roman"/>
          <w:szCs w:val="24"/>
        </w:rPr>
        <w:t xml:space="preserve">as shown in Attachment A, </w:t>
      </w:r>
      <w:r>
        <w:rPr>
          <w:rFonts w:ascii="Times New Roman" w:hAnsi="Times New Roman"/>
          <w:szCs w:val="24"/>
        </w:rPr>
        <w:t xml:space="preserve">the </w:t>
      </w:r>
      <w:r w:rsidRPr="00E17AE8">
        <w:rPr>
          <w:rFonts w:ascii="Times New Roman" w:hAnsi="Times New Roman"/>
          <w:szCs w:val="24"/>
        </w:rPr>
        <w:t>aggregate annual estimate for the reporting burden</w:t>
      </w:r>
      <w:r>
        <w:rPr>
          <w:rFonts w:ascii="Times New Roman" w:hAnsi="Times New Roman"/>
          <w:szCs w:val="24"/>
        </w:rPr>
        <w:t xml:space="preserve"> </w:t>
      </w:r>
      <w:r w:rsidRPr="00E17AE8">
        <w:rPr>
          <w:rFonts w:ascii="Times New Roman" w:hAnsi="Times New Roman"/>
          <w:szCs w:val="24"/>
        </w:rPr>
        <w:t xml:space="preserve">associated with </w:t>
      </w:r>
      <w:r>
        <w:rPr>
          <w:rFonts w:ascii="Times New Roman" w:hAnsi="Times New Roman"/>
          <w:szCs w:val="24"/>
        </w:rPr>
        <w:t>rule submissions (§ 40.6)</w:t>
      </w:r>
      <w:r w:rsidRPr="00E17AE8">
        <w:rPr>
          <w:rFonts w:ascii="Times New Roman" w:hAnsi="Times New Roman"/>
          <w:szCs w:val="24"/>
        </w:rPr>
        <w:t xml:space="preserve">, as amended by the </w:t>
      </w:r>
      <w:r>
        <w:rPr>
          <w:rFonts w:ascii="Times New Roman" w:hAnsi="Times New Roman"/>
          <w:szCs w:val="24"/>
        </w:rPr>
        <w:t>final rules</w:t>
      </w:r>
      <w:r w:rsidRPr="00E17AE8">
        <w:rPr>
          <w:rFonts w:ascii="Times New Roman" w:hAnsi="Times New Roman"/>
          <w:szCs w:val="24"/>
        </w:rPr>
        <w:t>, is as follows</w:t>
      </w:r>
      <w:r>
        <w:rPr>
          <w:rFonts w:ascii="Times New Roman" w:hAnsi="Times New Roman"/>
          <w:szCs w:val="24"/>
        </w:rPr>
        <w:t>:</w:t>
      </w:r>
    </w:p>
    <w:p w:rsidR="004078BE" w:rsidRPr="00070AF4" w:rsidP="004078BE" w14:paraId="63266666" w14:textId="77777777">
      <w:pPr>
        <w:ind w:left="720"/>
        <w:rPr>
          <w:rFonts w:ascii="Times New Roman" w:hAnsi="Times New Roman"/>
          <w:szCs w:val="24"/>
        </w:rPr>
      </w:pPr>
      <w:r w:rsidRPr="00070AF4">
        <w:rPr>
          <w:rFonts w:ascii="Times New Roman" w:hAnsi="Times New Roman"/>
          <w:i/>
          <w:iCs/>
          <w:szCs w:val="24"/>
        </w:rPr>
        <w:t>Estimated number of respondents:</w:t>
      </w:r>
      <w:r w:rsidRPr="00070AF4">
        <w:rPr>
          <w:rFonts w:ascii="Times New Roman" w:hAnsi="Times New Roman"/>
          <w:szCs w:val="24"/>
        </w:rPr>
        <w:t xml:space="preserve"> </w:t>
      </w:r>
      <w:r>
        <w:rPr>
          <w:rFonts w:ascii="Times New Roman" w:hAnsi="Times New Roman"/>
          <w:szCs w:val="24"/>
        </w:rPr>
        <w:t>70</w:t>
      </w:r>
      <w:r>
        <w:rPr>
          <w:rStyle w:val="FootnoteReference"/>
          <w:szCs w:val="24"/>
        </w:rPr>
        <w:footnoteReference w:id="9"/>
      </w:r>
    </w:p>
    <w:p w:rsidR="004078BE" w:rsidRPr="00070AF4" w:rsidP="004078BE" w14:paraId="53335156" w14:textId="77777777">
      <w:pPr>
        <w:ind w:left="720"/>
        <w:rPr>
          <w:rFonts w:ascii="Times New Roman" w:hAnsi="Times New Roman"/>
          <w:szCs w:val="24"/>
        </w:rPr>
      </w:pPr>
      <w:r w:rsidRPr="00070AF4">
        <w:rPr>
          <w:rFonts w:ascii="Times New Roman" w:hAnsi="Times New Roman"/>
          <w:i/>
          <w:iCs/>
          <w:szCs w:val="24"/>
        </w:rPr>
        <w:t>Estimated number of reports per respondent:</w:t>
      </w:r>
      <w:r w:rsidRPr="00070AF4">
        <w:rPr>
          <w:rFonts w:ascii="Times New Roman" w:hAnsi="Times New Roman"/>
          <w:szCs w:val="24"/>
        </w:rPr>
        <w:t xml:space="preserve"> </w:t>
      </w:r>
      <w:r>
        <w:rPr>
          <w:rFonts w:ascii="Times New Roman" w:hAnsi="Times New Roman"/>
          <w:szCs w:val="24"/>
        </w:rPr>
        <w:t>20</w:t>
      </w:r>
      <w:r>
        <w:rPr>
          <w:rStyle w:val="FootnoteReference"/>
          <w:szCs w:val="24"/>
        </w:rPr>
        <w:footnoteReference w:id="10"/>
      </w:r>
      <w:r>
        <w:rPr>
          <w:rFonts w:ascii="Times New Roman" w:hAnsi="Times New Roman"/>
          <w:szCs w:val="24"/>
        </w:rPr>
        <w:t xml:space="preserve"> </w:t>
      </w:r>
    </w:p>
    <w:p w:rsidR="004078BE" w:rsidP="004078BE" w14:paraId="72C43ADD" w14:textId="77777777">
      <w:pPr>
        <w:ind w:firstLine="720"/>
        <w:rPr>
          <w:rFonts w:ascii="Times New Roman" w:hAnsi="Times New Roman"/>
          <w:szCs w:val="24"/>
        </w:rPr>
      </w:pPr>
      <w:r w:rsidRPr="00070AF4">
        <w:rPr>
          <w:rFonts w:ascii="Times New Roman" w:hAnsi="Times New Roman"/>
          <w:i/>
          <w:iCs/>
          <w:szCs w:val="24"/>
        </w:rPr>
        <w:t>Average number of hours per report:</w:t>
      </w:r>
      <w:r w:rsidRPr="00070AF4">
        <w:rPr>
          <w:rFonts w:ascii="Times New Roman" w:hAnsi="Times New Roman"/>
          <w:szCs w:val="24"/>
        </w:rPr>
        <w:t xml:space="preserve"> </w:t>
      </w:r>
      <w:r>
        <w:rPr>
          <w:rFonts w:ascii="Times New Roman" w:hAnsi="Times New Roman"/>
          <w:szCs w:val="24"/>
        </w:rPr>
        <w:t>2.5</w:t>
      </w:r>
      <w:r>
        <w:rPr>
          <w:rStyle w:val="FootnoteReference"/>
          <w:szCs w:val="24"/>
        </w:rPr>
        <w:footnoteReference w:id="11"/>
      </w:r>
      <w:r>
        <w:rPr>
          <w:rFonts w:ascii="Times New Roman" w:hAnsi="Times New Roman"/>
          <w:szCs w:val="24"/>
        </w:rPr>
        <w:t xml:space="preserve"> </w:t>
      </w:r>
    </w:p>
    <w:p w:rsidR="004078BE" w:rsidRPr="00CD7B04" w:rsidP="00931BB6" w14:paraId="6D131C54" w14:textId="77777777">
      <w:pPr>
        <w:spacing w:after="240"/>
        <w:ind w:firstLine="720"/>
        <w:rPr>
          <w:rFonts w:ascii="Times New Roman" w:hAnsi="Times New Roman"/>
          <w:szCs w:val="24"/>
        </w:rPr>
      </w:pPr>
      <w:r w:rsidRPr="00070AF4">
        <w:rPr>
          <w:rFonts w:ascii="Times New Roman" w:hAnsi="Times New Roman"/>
          <w:i/>
          <w:iCs/>
          <w:szCs w:val="24"/>
        </w:rPr>
        <w:t>Estimated gross annual reporting burden</w:t>
      </w:r>
      <w:r>
        <w:rPr>
          <w:rFonts w:ascii="Times New Roman" w:hAnsi="Times New Roman"/>
          <w:i/>
          <w:iCs/>
          <w:szCs w:val="24"/>
        </w:rPr>
        <w:t xml:space="preserve"> (hours)</w:t>
      </w:r>
      <w:r w:rsidRPr="00070AF4">
        <w:rPr>
          <w:rFonts w:ascii="Times New Roman" w:hAnsi="Times New Roman"/>
          <w:i/>
          <w:iCs/>
          <w:szCs w:val="24"/>
        </w:rPr>
        <w:t>:</w:t>
      </w:r>
      <w:r w:rsidRPr="00070AF4">
        <w:rPr>
          <w:rFonts w:ascii="Times New Roman" w:hAnsi="Times New Roman"/>
          <w:szCs w:val="24"/>
        </w:rPr>
        <w:t xml:space="preserve"> </w:t>
      </w:r>
      <w:r w:rsidRPr="00D14BEE">
        <w:rPr>
          <w:rFonts w:ascii="Times New Roman" w:hAnsi="Times New Roman"/>
          <w:szCs w:val="24"/>
        </w:rPr>
        <w:t>3,</w:t>
      </w:r>
      <w:r>
        <w:rPr>
          <w:rFonts w:ascii="Times New Roman" w:hAnsi="Times New Roman"/>
          <w:szCs w:val="24"/>
        </w:rPr>
        <w:t>500</w:t>
      </w:r>
      <w:r>
        <w:rPr>
          <w:rStyle w:val="FootnoteReference"/>
          <w:szCs w:val="24"/>
        </w:rPr>
        <w:footnoteReference w:id="12"/>
      </w:r>
    </w:p>
    <w:p w:rsidR="004078BE" w:rsidRPr="000E2909" w:rsidP="00931BB6" w14:paraId="1132C006" w14:textId="47A3BBE5">
      <w:pPr>
        <w:spacing w:after="240"/>
        <w:ind w:firstLine="720"/>
        <w:rPr>
          <w:rFonts w:ascii="Times New Roman" w:hAnsi="Times New Roman"/>
          <w:szCs w:val="24"/>
          <w:u w:val="single"/>
        </w:rPr>
      </w:pPr>
      <w:r w:rsidRPr="000E2909">
        <w:rPr>
          <w:rFonts w:ascii="Times New Roman" w:hAnsi="Times New Roman"/>
          <w:szCs w:val="24"/>
          <w:u w:val="single"/>
        </w:rPr>
        <w:t>SIDCO Submissions (§ 40.10)</w:t>
      </w:r>
    </w:p>
    <w:p w:rsidR="00D061F9" w:rsidRPr="000E2909" w:rsidP="00931BB6" w14:paraId="4BFB3BB3" w14:textId="2E115D93">
      <w:pPr>
        <w:spacing w:after="240"/>
        <w:ind w:firstLine="720"/>
        <w:rPr>
          <w:rFonts w:ascii="Times New Roman" w:hAnsi="Times New Roman"/>
          <w:szCs w:val="24"/>
          <w:u w:val="single"/>
        </w:rPr>
      </w:pPr>
      <w:r>
        <w:rPr>
          <w:rFonts w:ascii="Times New Roman" w:hAnsi="Times New Roman"/>
          <w:szCs w:val="24"/>
        </w:rPr>
        <w:t>The Commission is retaining its existing burden estimates for SIDCO submissions under §</w:t>
      </w:r>
      <w:r w:rsidRPr="001174A2">
        <w:rPr>
          <w:rFonts w:ascii="Times New Roman" w:hAnsi="Times New Roman"/>
          <w:szCs w:val="24"/>
        </w:rPr>
        <w:t xml:space="preserve"> 4</w:t>
      </w:r>
      <w:r>
        <w:rPr>
          <w:rFonts w:ascii="Times New Roman" w:hAnsi="Times New Roman"/>
          <w:szCs w:val="24"/>
        </w:rPr>
        <w:t>0</w:t>
      </w:r>
      <w:r w:rsidRPr="001174A2">
        <w:rPr>
          <w:rFonts w:ascii="Times New Roman" w:hAnsi="Times New Roman"/>
          <w:szCs w:val="24"/>
        </w:rPr>
        <w:t>.10</w:t>
      </w:r>
      <w:r>
        <w:rPr>
          <w:rFonts w:ascii="Times New Roman" w:hAnsi="Times New Roman"/>
          <w:szCs w:val="24"/>
        </w:rPr>
        <w:t xml:space="preserve"> because the burden for SIDCO submissions is unaffected by the amendments.</w:t>
      </w:r>
    </w:p>
    <w:p w:rsidR="00D061F9" w:rsidRPr="00D061F9" w:rsidP="00931BB6" w14:paraId="0F50A58B" w14:textId="1881FA17">
      <w:pPr>
        <w:pStyle w:val="Default"/>
        <w:spacing w:after="240"/>
        <w:ind w:firstLine="720"/>
        <w:rPr>
          <w:rFonts w:ascii="Times New Roman" w:hAnsi="Times New Roman"/>
        </w:rPr>
      </w:pPr>
      <w:r>
        <w:rPr>
          <w:rFonts w:ascii="Times New Roman" w:hAnsi="Times New Roman"/>
          <w:i/>
        </w:rPr>
        <w:t>Labor Cost Estimates</w:t>
      </w:r>
    </w:p>
    <w:p w:rsidR="00C05C3F" w:rsidP="00B55465" w14:paraId="148C9D97" w14:textId="1CB9C28E">
      <w:pPr>
        <w:pStyle w:val="Default"/>
        <w:spacing w:after="240"/>
        <w:ind w:firstLine="720"/>
        <w:rPr>
          <w:rFonts w:ascii="Times New Roman" w:hAnsi="Times New Roman"/>
        </w:rPr>
      </w:pPr>
      <w:r w:rsidRPr="004A301A">
        <w:rPr>
          <w:rFonts w:ascii="Times New Roman" w:hAnsi="Times New Roman"/>
        </w:rPr>
        <w:t xml:space="preserve">In calculating </w:t>
      </w:r>
      <w:r w:rsidR="00D061F9">
        <w:rPr>
          <w:rFonts w:ascii="Times New Roman" w:hAnsi="Times New Roman"/>
        </w:rPr>
        <w:t xml:space="preserve">the accompanying </w:t>
      </w:r>
      <w:r w:rsidR="00524918">
        <w:rPr>
          <w:rFonts w:ascii="Times New Roman" w:hAnsi="Times New Roman"/>
        </w:rPr>
        <w:t>labor</w:t>
      </w:r>
      <w:r w:rsidRPr="004A301A" w:rsidR="00524918">
        <w:rPr>
          <w:rFonts w:ascii="Times New Roman" w:hAnsi="Times New Roman"/>
        </w:rPr>
        <w:t xml:space="preserve"> </w:t>
      </w:r>
      <w:r w:rsidRPr="004A301A">
        <w:rPr>
          <w:rFonts w:ascii="Times New Roman" w:hAnsi="Times New Roman"/>
        </w:rPr>
        <w:t>cost estimate</w:t>
      </w:r>
      <w:r w:rsidR="00524918">
        <w:rPr>
          <w:rFonts w:ascii="Times New Roman" w:hAnsi="Times New Roman"/>
        </w:rPr>
        <w:t>s</w:t>
      </w:r>
      <w:r w:rsidR="00D061F9">
        <w:rPr>
          <w:rFonts w:ascii="Times New Roman" w:hAnsi="Times New Roman"/>
        </w:rPr>
        <w:t xml:space="preserve"> shown in Attachment A</w:t>
      </w:r>
      <w:r w:rsidRPr="004A301A">
        <w:rPr>
          <w:rFonts w:ascii="Times New Roman" w:hAnsi="Times New Roman"/>
        </w:rPr>
        <w:t>, the Commission estimates the appropriate wage rate based on salary information for the securities industry compiled by the Department of Labor’s Bureau of Labor Statistics (“BLS”). Commission staff arrived at an hourly rate of $</w:t>
      </w:r>
      <w:r w:rsidR="001E6528">
        <w:rPr>
          <w:rFonts w:ascii="Times New Roman" w:hAnsi="Times New Roman"/>
        </w:rPr>
        <w:t>112</w:t>
      </w:r>
      <w:r>
        <w:rPr>
          <w:rFonts w:ascii="Times New Roman" w:hAnsi="Times New Roman"/>
        </w:rPr>
        <w:t xml:space="preserve"> </w:t>
      </w:r>
      <w:r w:rsidRPr="004A301A">
        <w:rPr>
          <w:rFonts w:ascii="Times New Roman" w:hAnsi="Times New Roman"/>
        </w:rPr>
        <w:t>using figures from a weighted average of salaries and bonuses across different professions contained in the most recent BLS Occupational Employment and Wages Report (</w:t>
      </w:r>
      <w:r>
        <w:rPr>
          <w:rFonts w:ascii="Times New Roman" w:hAnsi="Times New Roman"/>
        </w:rPr>
        <w:t xml:space="preserve">May </w:t>
      </w:r>
      <w:r w:rsidR="001E6528">
        <w:rPr>
          <w:rFonts w:ascii="Times New Roman" w:hAnsi="Times New Roman"/>
        </w:rPr>
        <w:t>2023</w:t>
      </w:r>
      <w:r w:rsidRPr="004A301A">
        <w:rPr>
          <w:rFonts w:ascii="Times New Roman" w:hAnsi="Times New Roman"/>
        </w:rPr>
        <w:t xml:space="preserve">) </w:t>
      </w:r>
      <w:r>
        <w:rPr>
          <w:rFonts w:ascii="Times New Roman" w:hAnsi="Times New Roman"/>
        </w:rPr>
        <w:t xml:space="preserve">under NAICS 523000 </w:t>
      </w:r>
      <w:r w:rsidRPr="004A301A">
        <w:rPr>
          <w:rFonts w:ascii="Times New Roman" w:hAnsi="Times New Roman"/>
        </w:rPr>
        <w:t xml:space="preserve">multiplied by </w:t>
      </w:r>
      <w:r>
        <w:rPr>
          <w:rFonts w:ascii="Times New Roman" w:hAnsi="Times New Roman"/>
        </w:rPr>
        <w:t>1.3</w:t>
      </w:r>
      <w:r w:rsidRPr="004A301A">
        <w:rPr>
          <w:rFonts w:ascii="Times New Roman" w:hAnsi="Times New Roman"/>
        </w:rPr>
        <w:t xml:space="preserve">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(13-1041</w:t>
      </w:r>
      <w:r w:rsidRPr="004A301A">
        <w:rPr>
          <w:rFonts w:ascii="Times New Roman" w:hAnsi="Times New Roman"/>
        </w:rPr>
        <w:t>) ”</w:t>
      </w:r>
      <w:r w:rsidRPr="004A301A">
        <w:rPr>
          <w:rFonts w:ascii="Times New Roman" w:hAnsi="Times New Roman"/>
        </w:rPr>
        <w:t xml:space="preserve"> (50%); and “lawyer – legal services (23-1101)” (50%). Commission staff chose this methodology to account for the variance in skill sets that may be used to accomplish the collection of information.</w:t>
      </w:r>
    </w:p>
    <w:p w:rsidR="00C05C3F" w:rsidP="002E6DAA" w14:paraId="71865A08"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C05C3F" w:rsidRPr="005B5FA8" w:rsidP="002E6DAA" w14:paraId="4A38DD3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5B5FA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B5FA8">
        <w:rPr>
          <w:rFonts w:ascii="Times New Roman" w:hAnsi="Times New Roman"/>
          <w:b/>
        </w:rPr>
        <w:t>take into account</w:t>
      </w:r>
      <w:r w:rsidRPr="005B5FA8">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w:t>
      </w:r>
      <w:r w:rsidRPr="005B5FA8">
        <w:rPr>
          <w:rFonts w:ascii="Times New Roman" w:hAnsi="Times New Roman"/>
          <w:b/>
        </w:rPr>
        <w:t>time period</w:t>
      </w:r>
      <w:r w:rsidRPr="005B5FA8">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Pr="005B5FA8" w:rsidP="002E6DAA" w14:paraId="028C6294" w14:textId="77777777">
      <w:pPr>
        <w:tabs>
          <w:tab w:val="left" w:pos="-720"/>
          <w:tab w:val="left" w:pos="0"/>
          <w:tab w:val="left" w:pos="720"/>
        </w:tabs>
        <w:suppressAutoHyphens/>
        <w:spacing w:after="240"/>
        <w:ind w:left="1440" w:hanging="1440"/>
        <w:rPr>
          <w:rFonts w:ascii="Times New Roman" w:hAnsi="Times New Roman"/>
          <w:b/>
        </w:rPr>
      </w:pPr>
      <w:r w:rsidRPr="005B5FA8">
        <w:rPr>
          <w:rFonts w:ascii="Times New Roman" w:hAnsi="Times New Roman"/>
          <w:b/>
        </w:rPr>
        <w:tab/>
        <w:t>-</w:t>
      </w:r>
      <w:r w:rsidRPr="005B5FA8">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F31F9" w:rsidP="002E6DAA" w14:paraId="5EAE6D14" w14:textId="77777777">
      <w:pPr>
        <w:tabs>
          <w:tab w:val="left" w:pos="-720"/>
          <w:tab w:val="left" w:pos="0"/>
          <w:tab w:val="left" w:pos="720"/>
        </w:tabs>
        <w:suppressAutoHyphens/>
        <w:spacing w:after="240"/>
        <w:ind w:left="1440" w:hanging="1440"/>
        <w:rPr>
          <w:rFonts w:ascii="Times New Roman" w:hAnsi="Times New Roman"/>
        </w:rPr>
      </w:pPr>
      <w:r w:rsidRPr="005B5FA8">
        <w:rPr>
          <w:rFonts w:ascii="Times New Roman" w:hAnsi="Times New Roman"/>
          <w:b/>
        </w:rPr>
        <w:tab/>
        <w:t>-</w:t>
      </w:r>
      <w:r w:rsidRPr="005B5FA8">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A25434" w14:paraId="649B83A3" w14:textId="3D1339EF">
      <w:pPr>
        <w:pStyle w:val="Default"/>
        <w:spacing w:after="240"/>
        <w:ind w:firstLine="720"/>
        <w:rPr>
          <w:rFonts w:ascii="Times New Roman" w:hAnsi="Times New Roman"/>
        </w:rPr>
      </w:pPr>
      <w:r>
        <w:rPr>
          <w:rFonts w:ascii="Times New Roman" w:hAnsi="Times New Roman"/>
        </w:rPr>
        <w:t>There are no capital</w:t>
      </w:r>
      <w:r w:rsidR="00FE1BC0">
        <w:rPr>
          <w:rFonts w:ascii="Times New Roman" w:hAnsi="Times New Roman"/>
        </w:rPr>
        <w:t xml:space="preserve">, </w:t>
      </w:r>
      <w:r>
        <w:rPr>
          <w:rFonts w:ascii="Times New Roman" w:hAnsi="Times New Roman"/>
        </w:rPr>
        <w:t>start-u</w:t>
      </w:r>
      <w:r w:rsidR="00FE1BC0">
        <w:rPr>
          <w:rFonts w:ascii="Times New Roman" w:hAnsi="Times New Roman"/>
        </w:rPr>
        <w:t xml:space="preserve">p, or maintenance </w:t>
      </w:r>
      <w:r>
        <w:rPr>
          <w:rFonts w:ascii="Times New Roman" w:hAnsi="Times New Roman"/>
        </w:rPr>
        <w:t>costs</w:t>
      </w:r>
      <w:r w:rsidR="00A35CD1">
        <w:rPr>
          <w:rFonts w:ascii="Times New Roman" w:hAnsi="Times New Roman"/>
        </w:rPr>
        <w:t xml:space="preserve"> </w:t>
      </w:r>
      <w:r w:rsidR="00266604">
        <w:rPr>
          <w:rFonts w:ascii="Times New Roman" w:hAnsi="Times New Roman"/>
        </w:rPr>
        <w:t xml:space="preserve">associated with the </w:t>
      </w:r>
      <w:r w:rsidR="00A74061">
        <w:rPr>
          <w:rFonts w:ascii="Times New Roman" w:hAnsi="Times New Roman"/>
        </w:rPr>
        <w:t>final</w:t>
      </w:r>
      <w:r w:rsidR="00266604">
        <w:rPr>
          <w:rFonts w:ascii="Times New Roman" w:hAnsi="Times New Roman"/>
        </w:rPr>
        <w:t xml:space="preserve"> regulations.  The Commission anticipates that respondents will leverage </w:t>
      </w:r>
      <w:r w:rsidR="00A35CD1">
        <w:rPr>
          <w:rFonts w:ascii="Times New Roman" w:hAnsi="Times New Roman"/>
        </w:rPr>
        <w:t>existing systems</w:t>
      </w:r>
      <w:r w:rsidR="00266604">
        <w:rPr>
          <w:rFonts w:ascii="Times New Roman" w:hAnsi="Times New Roman"/>
        </w:rPr>
        <w:t xml:space="preserve"> in complying with the </w:t>
      </w:r>
      <w:r w:rsidR="00A74061">
        <w:rPr>
          <w:rFonts w:ascii="Times New Roman" w:hAnsi="Times New Roman"/>
        </w:rPr>
        <w:t>final</w:t>
      </w:r>
      <w:r w:rsidR="00266604">
        <w:rPr>
          <w:rFonts w:ascii="Times New Roman" w:hAnsi="Times New Roman"/>
        </w:rPr>
        <w:t xml:space="preserve"> regulations</w:t>
      </w:r>
      <w:r>
        <w:rPr>
          <w:rFonts w:ascii="Times New Roman" w:hAnsi="Times New Roman"/>
        </w:rPr>
        <w:t>.</w:t>
      </w:r>
    </w:p>
    <w:p w:rsidR="00C05C3F" w:rsidRPr="002E6DAA" w:rsidP="002E6DAA" w14:paraId="3D160039" w14:textId="77777777">
      <w:pPr>
        <w:numPr>
          <w:ilvl w:val="0"/>
          <w:numId w:val="1"/>
        </w:numPr>
        <w:tabs>
          <w:tab w:val="left" w:pos="-720"/>
          <w:tab w:val="left" w:pos="0"/>
        </w:tabs>
        <w:suppressAutoHyphens/>
        <w:spacing w:after="240"/>
        <w:ind w:hanging="720"/>
        <w:rPr>
          <w:rFonts w:ascii="Times New Roman" w:hAnsi="Times New Roman"/>
        </w:rPr>
      </w:pPr>
      <w:r w:rsidRPr="002E6DAA">
        <w:rPr>
          <w:rFonts w:ascii="Times New Roman" w:hAnsi="Times New Roman"/>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05C3F" w:rsidP="00A25434" w14:paraId="101355CA" w14:textId="04E67A93">
      <w:pPr>
        <w:pStyle w:val="Default"/>
        <w:spacing w:after="240"/>
        <w:ind w:firstLine="720"/>
        <w:rPr>
          <w:rFonts w:ascii="Times New Roman" w:hAnsi="Times New Roman"/>
        </w:rPr>
      </w:pPr>
      <w:r w:rsidRPr="00266604">
        <w:rPr>
          <w:rFonts w:ascii="Times New Roman" w:hAnsi="Times New Roman"/>
        </w:rPr>
        <w:t xml:space="preserve">It is not anticipated that the </w:t>
      </w:r>
      <w:r w:rsidR="00A74061">
        <w:rPr>
          <w:rFonts w:ascii="Times New Roman" w:hAnsi="Times New Roman"/>
        </w:rPr>
        <w:t>final</w:t>
      </w:r>
      <w:r w:rsidRPr="00266604">
        <w:rPr>
          <w:rFonts w:ascii="Times New Roman" w:hAnsi="Times New Roman"/>
        </w:rPr>
        <w:t xml:space="preserve"> regulations will impose any additional costs to the Federal Government</w:t>
      </w:r>
      <w:r>
        <w:rPr>
          <w:rFonts w:ascii="Times New Roman" w:hAnsi="Times New Roman"/>
        </w:rPr>
        <w:t>.</w:t>
      </w:r>
    </w:p>
    <w:p w:rsidR="00C05C3F" w:rsidRPr="00266604" w:rsidP="00086465" w14:paraId="50CEDA02" w14:textId="77777777">
      <w:pPr>
        <w:numPr>
          <w:ilvl w:val="0"/>
          <w:numId w:val="1"/>
        </w:numPr>
        <w:tabs>
          <w:tab w:val="left" w:pos="-720"/>
          <w:tab w:val="left" w:pos="0"/>
        </w:tabs>
        <w:suppressAutoHyphens/>
        <w:spacing w:after="240"/>
        <w:ind w:hanging="720"/>
        <w:rPr>
          <w:rFonts w:ascii="Times New Roman" w:hAnsi="Times New Roman"/>
        </w:rPr>
      </w:pPr>
      <w:r w:rsidRPr="00266604">
        <w:rPr>
          <w:rFonts w:ascii="Times New Roman" w:hAnsi="Times New Roman"/>
          <w:b/>
        </w:rPr>
        <w:t>Explain the reasons for any program changes or adjustments reported in Items 13 or 14 of the OMB Form 83-I.</w:t>
      </w:r>
    </w:p>
    <w:p w:rsidR="001E6528" w:rsidP="00A25434" w14:paraId="7CF48286" w14:textId="7D26D524">
      <w:pPr>
        <w:pStyle w:val="Default"/>
        <w:spacing w:after="240"/>
        <w:ind w:firstLine="720"/>
        <w:rPr>
          <w:rFonts w:ascii="Times New Roman" w:hAnsi="Times New Roman" w:cs="Times New Roman"/>
        </w:rPr>
      </w:pPr>
      <w:r>
        <w:rPr>
          <w:rFonts w:ascii="Times New Roman" w:hAnsi="Times New Roman"/>
        </w:rPr>
        <w:t xml:space="preserve">The </w:t>
      </w:r>
      <w:r w:rsidR="00A74061">
        <w:rPr>
          <w:rFonts w:ascii="Times New Roman" w:hAnsi="Times New Roman"/>
        </w:rPr>
        <w:t>final</w:t>
      </w:r>
      <w:r>
        <w:rPr>
          <w:rFonts w:ascii="Times New Roman" w:hAnsi="Times New Roman"/>
        </w:rPr>
        <w:t xml:space="preserve"> rules would </w:t>
      </w:r>
      <w:r>
        <w:rPr>
          <w:rFonts w:ascii="Times New Roman" w:hAnsi="Times New Roman" w:cs="Times New Roman"/>
        </w:rPr>
        <w:t xml:space="preserve">amend the Part 40 regulations </w:t>
      </w:r>
      <w:r w:rsidR="0082796F">
        <w:rPr>
          <w:rFonts w:ascii="Times New Roman" w:hAnsi="Times New Roman" w:cs="Times New Roman"/>
        </w:rPr>
        <w:t xml:space="preserve">that </w:t>
      </w:r>
      <w:r w:rsidRPr="009B5EB0" w:rsidR="0082796F">
        <w:rPr>
          <w:rFonts w:ascii="Times New Roman" w:hAnsi="Times New Roman" w:cs="Times New Roman"/>
        </w:rPr>
        <w:t xml:space="preserve">provide procedures for the submission of </w:t>
      </w:r>
      <w:r w:rsidR="00A62E04">
        <w:rPr>
          <w:rFonts w:ascii="Times New Roman" w:hAnsi="Times New Roman" w:cs="Times New Roman"/>
        </w:rPr>
        <w:t xml:space="preserve">new products, </w:t>
      </w:r>
      <w:r w:rsidRPr="009B5EB0" w:rsidR="0082796F">
        <w:rPr>
          <w:rFonts w:ascii="Times New Roman" w:hAnsi="Times New Roman" w:cs="Times New Roman"/>
        </w:rPr>
        <w:t>rules and rule amendments by registered entities</w:t>
      </w:r>
      <w:r w:rsidR="0082796F">
        <w:rPr>
          <w:rFonts w:ascii="Times New Roman" w:hAnsi="Times New Roman" w:cs="Times New Roman"/>
        </w:rPr>
        <w:t>, including designated contract markets, swap execution facilities, derivatives clearing organizations, and swap data repositories</w:t>
      </w:r>
      <w:r w:rsidRPr="003046EA">
        <w:rPr>
          <w:rFonts w:ascii="Times New Roman" w:hAnsi="Times New Roman" w:cs="Times New Roman"/>
        </w:rPr>
        <w:t>.</w:t>
      </w:r>
      <w:r>
        <w:rPr>
          <w:rFonts w:ascii="Times New Roman" w:hAnsi="Times New Roman" w:cs="Times New Roman"/>
        </w:rPr>
        <w:t xml:space="preserve">  </w:t>
      </w:r>
      <w:r w:rsidR="0082796F">
        <w:rPr>
          <w:rFonts w:ascii="Times New Roman" w:hAnsi="Times New Roman" w:cs="Times New Roman"/>
        </w:rPr>
        <w:t>These changes would increase</w:t>
      </w:r>
      <w:r>
        <w:rPr>
          <w:rFonts w:ascii="Times New Roman" w:hAnsi="Times New Roman" w:cs="Times New Roman"/>
        </w:rPr>
        <w:t xml:space="preserve"> information submission requirements for the product and rule submission</w:t>
      </w:r>
      <w:r w:rsidR="00A62E04">
        <w:rPr>
          <w:rFonts w:ascii="Times New Roman" w:hAnsi="Times New Roman" w:cs="Times New Roman"/>
        </w:rPr>
        <w:t>s</w:t>
      </w:r>
      <w:r>
        <w:rPr>
          <w:rFonts w:ascii="Times New Roman" w:hAnsi="Times New Roman" w:cs="Times New Roman"/>
        </w:rPr>
        <w:t xml:space="preserve"> to ensure that Commission staff receive the information necessary to assess whether new rules and products, and amendments to existing rules and product terms and conditions, comply with the CEA and Commission regulations.</w:t>
      </w:r>
    </w:p>
    <w:p w:rsidR="00551EB8" w:rsidP="00A25434" w14:paraId="2A8E5E56" w14:textId="5FECB9D4">
      <w:pPr>
        <w:pStyle w:val="Default"/>
        <w:spacing w:after="240"/>
        <w:ind w:firstLine="720"/>
        <w:rPr>
          <w:rFonts w:ascii="Times New Roman" w:hAnsi="Times New Roman"/>
        </w:rPr>
      </w:pPr>
      <w:r>
        <w:rPr>
          <w:rFonts w:ascii="Times New Roman" w:hAnsi="Times New Roman"/>
        </w:rPr>
        <w:t xml:space="preserve">As described in Attachment A, the proposal would </w:t>
      </w:r>
      <w:r w:rsidR="001E6528">
        <w:rPr>
          <w:rFonts w:ascii="Times New Roman" w:hAnsi="Times New Roman"/>
        </w:rPr>
        <w:t>result</w:t>
      </w:r>
      <w:r>
        <w:rPr>
          <w:rFonts w:ascii="Times New Roman" w:hAnsi="Times New Roman"/>
        </w:rPr>
        <w:t xml:space="preserve"> in a</w:t>
      </w:r>
      <w:r w:rsidR="003B1994">
        <w:rPr>
          <w:rFonts w:ascii="Times New Roman" w:hAnsi="Times New Roman"/>
        </w:rPr>
        <w:t xml:space="preserve"> new </w:t>
      </w:r>
      <w:r>
        <w:rPr>
          <w:rFonts w:ascii="Times New Roman" w:hAnsi="Times New Roman"/>
        </w:rPr>
        <w:t>total o</w:t>
      </w:r>
      <w:r w:rsidRPr="00D64FBE">
        <w:rPr>
          <w:rFonts w:ascii="Times New Roman" w:hAnsi="Times New Roman"/>
        </w:rPr>
        <w:t xml:space="preserve">f </w:t>
      </w:r>
      <w:r w:rsidRPr="00D64FBE" w:rsidR="001E6528">
        <w:rPr>
          <w:rFonts w:ascii="Times New Roman" w:hAnsi="Times New Roman"/>
        </w:rPr>
        <w:t>2</w:t>
      </w:r>
      <w:r w:rsidR="00AB664E">
        <w:rPr>
          <w:rFonts w:ascii="Times New Roman" w:hAnsi="Times New Roman"/>
        </w:rPr>
        <w:t xml:space="preserve">2,080 </w:t>
      </w:r>
      <w:r w:rsidRPr="00D64FBE">
        <w:rPr>
          <w:rFonts w:ascii="Times New Roman" w:hAnsi="Times New Roman"/>
        </w:rPr>
        <w:t>burden hours</w:t>
      </w:r>
      <w:r w:rsidR="001E6528">
        <w:rPr>
          <w:rFonts w:ascii="Times New Roman" w:hAnsi="Times New Roman"/>
        </w:rPr>
        <w:t xml:space="preserve"> (this represents an increase of </w:t>
      </w:r>
      <w:r w:rsidRPr="00D64FBE" w:rsidR="00A417C5">
        <w:rPr>
          <w:rFonts w:ascii="Times New Roman" w:hAnsi="Times New Roman"/>
        </w:rPr>
        <w:t>1,540 burden hours</w:t>
      </w:r>
      <w:r w:rsidR="00A417C5">
        <w:rPr>
          <w:rFonts w:ascii="Times New Roman" w:hAnsi="Times New Roman"/>
        </w:rPr>
        <w:t xml:space="preserve"> from the currently approved total of 20,540 burden hours)</w:t>
      </w:r>
      <w:r>
        <w:rPr>
          <w:rFonts w:ascii="Times New Roman" w:hAnsi="Times New Roman"/>
        </w:rPr>
        <w:t>.</w:t>
      </w:r>
    </w:p>
    <w:p w:rsidR="00C05C3F" w:rsidRPr="002E6DAA" w:rsidP="005D1055" w14:paraId="32C5DA64" w14:textId="77777777">
      <w:pPr>
        <w:numPr>
          <w:ilvl w:val="0"/>
          <w:numId w:val="1"/>
        </w:numPr>
        <w:tabs>
          <w:tab w:val="left" w:pos="-720"/>
          <w:tab w:val="left" w:pos="0"/>
        </w:tabs>
        <w:suppressAutoHyphens/>
        <w:spacing w:after="240"/>
        <w:ind w:hanging="720"/>
        <w:rPr>
          <w:rFonts w:ascii="Times New Roman" w:hAnsi="Times New Roman"/>
        </w:rPr>
      </w:pPr>
      <w:r w:rsidRPr="002E6DAA">
        <w:rPr>
          <w:rFonts w:ascii="Times New Roman" w:hAnsi="Times New Roman"/>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C05C3F" w:rsidP="00A25434" w14:paraId="6B57FD4D" w14:textId="77777777">
      <w:pPr>
        <w:pStyle w:val="Default"/>
        <w:spacing w:after="240"/>
        <w:ind w:firstLine="720"/>
        <w:rPr>
          <w:rFonts w:ascii="Times New Roman" w:hAnsi="Times New Roman"/>
        </w:rPr>
      </w:pPr>
      <w:r>
        <w:rPr>
          <w:rFonts w:ascii="Times New Roman" w:hAnsi="Times New Roman"/>
        </w:rPr>
        <w:t>This question does not apply.</w:t>
      </w:r>
    </w:p>
    <w:p w:rsidR="00C05C3F" w:rsidRPr="004A301A" w:rsidP="002E6DAA" w14:paraId="299D5E0C" w14:textId="77777777">
      <w:pPr>
        <w:numPr>
          <w:ilvl w:val="0"/>
          <w:numId w:val="1"/>
        </w:numPr>
        <w:tabs>
          <w:tab w:val="left" w:pos="-720"/>
          <w:tab w:val="left" w:pos="0"/>
        </w:tabs>
        <w:suppressAutoHyphens/>
        <w:spacing w:after="240"/>
        <w:ind w:hanging="720"/>
        <w:rPr>
          <w:rFonts w:ascii="Times New Roman" w:hAnsi="Times New Roman"/>
          <w:b/>
        </w:rPr>
      </w:pPr>
      <w:r w:rsidRPr="004A301A">
        <w:rPr>
          <w:rFonts w:ascii="Times New Roman" w:hAnsi="Times New Roman"/>
          <w:b/>
        </w:rPr>
        <w:t>If seeking approval to not display the expiration date for OMB approval of the information collection, explain the reasons that display would be inappropriate.</w:t>
      </w:r>
    </w:p>
    <w:p w:rsidR="00C05C3F" w:rsidP="00A25434" w14:paraId="152DBB91" w14:textId="77777777">
      <w:pPr>
        <w:pStyle w:val="Default"/>
        <w:spacing w:after="240"/>
        <w:ind w:firstLine="720"/>
        <w:rPr>
          <w:rFonts w:ascii="Times New Roman" w:hAnsi="Times New Roman"/>
        </w:rPr>
      </w:pPr>
      <w:r>
        <w:rPr>
          <w:rFonts w:ascii="Times New Roman" w:hAnsi="Times New Roman"/>
        </w:rPr>
        <w:t xml:space="preserve">This question does not apply.  </w:t>
      </w:r>
    </w:p>
    <w:p w:rsidR="00C05C3F" w:rsidP="00B55465" w14:paraId="16816EEA" w14:textId="5E4D2326">
      <w:pPr>
        <w:numPr>
          <w:ilvl w:val="0"/>
          <w:numId w:val="1"/>
        </w:numPr>
        <w:tabs>
          <w:tab w:val="left" w:pos="-720"/>
          <w:tab w:val="left" w:pos="0"/>
        </w:tabs>
        <w:suppressAutoHyphens/>
        <w:spacing w:after="240"/>
        <w:ind w:hanging="720"/>
        <w:rPr>
          <w:rFonts w:ascii="Times New Roman" w:hAnsi="Times New Roman"/>
        </w:rPr>
      </w:pPr>
      <w:r w:rsidRPr="004A301A">
        <w:rPr>
          <w:rFonts w:ascii="Times New Roman" w:hAnsi="Times New Roman"/>
          <w:b/>
        </w:rPr>
        <w:t xml:space="preserve">Explain each exception to the certification statement identified in Item 19, </w:t>
      </w:r>
      <w:r w:rsidR="00266604">
        <w:rPr>
          <w:rFonts w:ascii="Times New Roman" w:hAnsi="Times New Roman"/>
          <w:b/>
        </w:rPr>
        <w:t>“</w:t>
      </w:r>
      <w:r w:rsidRPr="004A301A">
        <w:rPr>
          <w:rFonts w:ascii="Times New Roman" w:hAnsi="Times New Roman"/>
          <w:b/>
        </w:rPr>
        <w:t>Certification for Paperwork Reduction Act Submissions,</w:t>
      </w:r>
      <w:r w:rsidR="00266604">
        <w:rPr>
          <w:rFonts w:ascii="Times New Roman" w:hAnsi="Times New Roman"/>
          <w:b/>
        </w:rPr>
        <w:t>”</w:t>
      </w:r>
      <w:r w:rsidRPr="004A301A">
        <w:rPr>
          <w:rFonts w:ascii="Times New Roman" w:hAnsi="Times New Roman"/>
          <w:b/>
        </w:rPr>
        <w:t xml:space="preserve"> of OMB Form 83-I.</w:t>
      </w:r>
    </w:p>
    <w:p w:rsidR="00C05C3F" w:rsidP="00A25434" w14:paraId="7E88B430" w14:textId="77777777">
      <w:pPr>
        <w:pStyle w:val="Default"/>
        <w:spacing w:after="240"/>
        <w:ind w:firstLine="720"/>
        <w:rPr>
          <w:rFonts w:ascii="Times New Roman" w:hAnsi="Times New Roman"/>
        </w:rPr>
      </w:pPr>
      <w:r>
        <w:rPr>
          <w:rFonts w:ascii="Times New Roman" w:hAnsi="Times New Roman"/>
        </w:rPr>
        <w:t>No exceptions exist.</w:t>
      </w:r>
    </w:p>
    <w:p w:rsidR="00B42A90" w:rsidP="00894F84" w14:paraId="5D758395" w14:textId="77777777">
      <w:pPr>
        <w:tabs>
          <w:tab w:val="left" w:pos="-720"/>
        </w:tabs>
        <w:suppressAutoHyphens/>
        <w:jc w:val="center"/>
        <w:rPr>
          <w:rFonts w:ascii="Times New Roman" w:hAnsi="Times New Roman"/>
        </w:rPr>
        <w:sectPr w:rsidSect="00B3385A">
          <w:headerReference w:type="default" r:id="rId9"/>
          <w:footerReference w:type="default" r:id="rId10"/>
          <w:endnotePr>
            <w:numFmt w:val="decimal"/>
          </w:endnotePr>
          <w:pgSz w:w="12240" w:h="15840"/>
          <w:pgMar w:top="1440" w:right="1440" w:bottom="1440" w:left="1440" w:header="1440" w:footer="1440" w:gutter="0"/>
          <w:pgNumType w:start="1"/>
          <w:cols w:space="720"/>
          <w:noEndnote/>
        </w:sectPr>
      </w:pPr>
    </w:p>
    <w:p w:rsidR="00894F84" w:rsidP="00B42A90" w14:paraId="0045C592" w14:textId="77777777">
      <w:pPr>
        <w:tabs>
          <w:tab w:val="left" w:pos="-720"/>
        </w:tabs>
        <w:suppressAutoHyphens/>
        <w:spacing w:after="240"/>
        <w:jc w:val="center"/>
        <w:rPr>
          <w:rFonts w:ascii="Times New Roman" w:hAnsi="Times New Roman"/>
          <w:b/>
          <w:u w:val="single"/>
        </w:rPr>
      </w:pPr>
      <w:r>
        <w:rPr>
          <w:rFonts w:ascii="Times New Roman" w:hAnsi="Times New Roman"/>
          <w:b/>
          <w:u w:val="single"/>
        </w:rPr>
        <w:t>Attachment A</w:t>
      </w:r>
    </w:p>
    <w:p w:rsidR="00F7444D" w:rsidP="00C30BEE" w14:paraId="6ECA133C" w14:textId="0610896A">
      <w:pPr>
        <w:pStyle w:val="BodyTextIndent"/>
        <w:spacing w:after="240"/>
        <w:jc w:val="center"/>
        <w:rPr>
          <w:b/>
        </w:rPr>
      </w:pPr>
      <w:r w:rsidRPr="00270670">
        <w:rPr>
          <w:b/>
        </w:rPr>
        <w:t>Estimated Annual Hour and Cost Burden of the Collection of Informatio</w:t>
      </w:r>
      <w:r w:rsidR="00524918">
        <w:rPr>
          <w:b/>
        </w:rPr>
        <w:t>n</w:t>
      </w:r>
    </w:p>
    <w:p w:rsidR="00894F84" w:rsidRPr="00C30BEE" w:rsidP="00AA10DF" w14:paraId="6C36646E" w14:textId="6C454C09">
      <w:pPr>
        <w:pStyle w:val="BodyTextIndent"/>
        <w:spacing w:after="240"/>
        <w:rPr>
          <w:b/>
        </w:rPr>
      </w:pPr>
      <w:r>
        <w:rPr>
          <w:b/>
        </w:rPr>
        <w:t xml:space="preserve">IC:  </w:t>
      </w:r>
      <w:r w:rsidR="007B4B2D">
        <w:rPr>
          <w:b/>
        </w:rPr>
        <w:t xml:space="preserve">Provisions Common to Registered Entities </w:t>
      </w:r>
      <w:r>
        <w:rPr>
          <w:b/>
        </w:rPr>
        <w:t>(REVISED)</w:t>
      </w:r>
    </w:p>
    <w:tbl>
      <w:tblPr>
        <w:tblpPr w:leftFromText="180" w:rightFromText="180" w:vertAnchor="text" w:horzAnchor="page" w:tblpX="559" w:tblpY="75"/>
        <w:tblW w:w="148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255"/>
      </w:tblGrid>
      <w:tr w14:paraId="2013855A" w14:textId="77777777" w:rsidTr="006200F5">
        <w:tblPrEx>
          <w:tblW w:w="148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7936F5" w:rsidRPr="00B42A90" w:rsidP="007A3DB4" w14:paraId="7DB7CF56"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7936F5" w:rsidRPr="00B42A90" w:rsidP="007A3DB4" w14:paraId="0F9A0E5B"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7936F5" w:rsidRPr="00B42A90" w:rsidP="007A3DB4" w14:paraId="2425732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7936F5" w:rsidRPr="00B42A90" w:rsidP="007A3DB4" w14:paraId="4BBE8A0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7936F5" w:rsidRPr="00B42A90" w:rsidP="007A3DB4" w14:paraId="67C34FD1" w14:textId="77777777">
            <w:pPr>
              <w:jc w:val="center"/>
              <w:rPr>
                <w:rFonts w:ascii="Arial" w:hAnsi="Arial" w:cs="Arial"/>
                <w:sz w:val="16"/>
                <w:szCs w:val="16"/>
              </w:rPr>
            </w:pPr>
          </w:p>
        </w:tc>
        <w:tc>
          <w:tcPr>
            <w:tcW w:w="1620" w:type="dxa"/>
          </w:tcPr>
          <w:p w:rsidR="007936F5" w:rsidRPr="00B42A90" w:rsidP="007A3DB4" w14:paraId="4AD9F41E"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7936F5" w:rsidRPr="00B42A90" w:rsidP="007A3DB4" w14:paraId="26771205"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7936F5" w:rsidRPr="00B42A90" w:rsidP="007A3DB4" w14:paraId="40FB0B9B" w14:textId="4EDCF2B9">
            <w:pPr>
              <w:jc w:val="center"/>
              <w:rPr>
                <w:rFonts w:ascii="Arial" w:hAnsi="Arial" w:cs="Arial"/>
                <w:sz w:val="16"/>
                <w:szCs w:val="16"/>
              </w:rPr>
            </w:pPr>
            <w:r w:rsidRPr="00B42A90">
              <w:rPr>
                <w:rFonts w:ascii="Arial" w:hAnsi="Arial" w:cs="Arial"/>
                <w:b/>
                <w:sz w:val="16"/>
                <w:szCs w:val="16"/>
              </w:rPr>
              <w:t>by Each Respondent</w:t>
            </w:r>
            <w:r>
              <w:rPr>
                <w:rStyle w:val="FootnoteReference"/>
                <w:rFonts w:ascii="Arial" w:hAnsi="Arial" w:cs="Arial"/>
                <w:b/>
                <w:sz w:val="16"/>
                <w:szCs w:val="16"/>
              </w:rPr>
              <w:footnoteReference w:id="13"/>
            </w:r>
          </w:p>
        </w:tc>
        <w:tc>
          <w:tcPr>
            <w:tcW w:w="1530" w:type="dxa"/>
          </w:tcPr>
          <w:p w:rsidR="007936F5" w:rsidRPr="00B42A90" w:rsidP="007A3DB4" w14:paraId="79F8FF3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7936F5" w:rsidRPr="00B42A90" w:rsidP="007A3DB4" w14:paraId="6063CCE0" w14:textId="77777777">
            <w:pPr>
              <w:jc w:val="center"/>
              <w:rPr>
                <w:rFonts w:ascii="Arial" w:hAnsi="Arial" w:cs="Arial"/>
                <w:sz w:val="16"/>
                <w:szCs w:val="16"/>
              </w:rPr>
            </w:pPr>
            <w:r w:rsidRPr="00B42A90">
              <w:rPr>
                <w:rFonts w:ascii="Arial" w:hAnsi="Arial" w:cs="Arial"/>
                <w:b/>
                <w:sz w:val="16"/>
                <w:szCs w:val="16"/>
              </w:rPr>
              <w:t xml:space="preserve">Estimated Average </w:t>
            </w:r>
            <w:r w:rsidRPr="00B42A90">
              <w:rPr>
                <w:rFonts w:ascii="Arial" w:hAnsi="Arial" w:cs="Arial"/>
                <w:b/>
                <w:sz w:val="16"/>
                <w:szCs w:val="16"/>
              </w:rPr>
              <w:t>Number</w:t>
            </w:r>
            <w:r w:rsidRPr="00B42A90">
              <w:rPr>
                <w:rFonts w:ascii="Arial" w:hAnsi="Arial" w:cs="Arial"/>
                <w:b/>
                <w:sz w:val="16"/>
                <w:szCs w:val="16"/>
              </w:rPr>
              <w:t xml:space="preserve"> of Burden Hours per Response</w:t>
            </w:r>
          </w:p>
        </w:tc>
        <w:tc>
          <w:tcPr>
            <w:tcW w:w="1625" w:type="dxa"/>
          </w:tcPr>
          <w:p w:rsidR="007936F5" w:rsidRPr="00B42A90" w:rsidP="007A3DB4" w14:paraId="6FB79CC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7936F5" w:rsidRPr="00B42A90" w:rsidP="007A3DB4" w14:paraId="7206F567" w14:textId="4DB770EC">
            <w:pPr>
              <w:tabs>
                <w:tab w:val="left" w:pos="-720"/>
                <w:tab w:val="left" w:pos="0"/>
              </w:tabs>
              <w:suppressAutoHyphens/>
              <w:jc w:val="center"/>
              <w:rPr>
                <w:rFonts w:ascii="Arial" w:hAnsi="Arial" w:cs="Arial"/>
                <w:b/>
                <w:sz w:val="16"/>
                <w:szCs w:val="16"/>
              </w:rPr>
            </w:pPr>
            <w:r w:rsidRPr="00B42A90">
              <w:rPr>
                <w:rFonts w:ascii="Arial" w:hAnsi="Arial" w:cs="Arial"/>
                <w:b/>
                <w:sz w:val="16"/>
                <w:szCs w:val="16"/>
              </w:rPr>
              <w:t xml:space="preserve">Annual </w:t>
            </w:r>
            <w:r w:rsidRPr="00B42A90">
              <w:rPr>
                <w:rFonts w:ascii="Arial" w:hAnsi="Arial" w:cs="Arial"/>
                <w:b/>
                <w:sz w:val="16"/>
                <w:szCs w:val="16"/>
              </w:rPr>
              <w:t>Number</w:t>
            </w:r>
            <w:r w:rsidRPr="00B42A90">
              <w:rPr>
                <w:rFonts w:ascii="Arial" w:hAnsi="Arial" w:cs="Arial"/>
                <w:b/>
                <w:sz w:val="16"/>
                <w:szCs w:val="16"/>
              </w:rPr>
              <w:t xml:space="preserve"> of Burden Hours per Respondent</w:t>
            </w:r>
          </w:p>
          <w:p w:rsidR="007936F5" w:rsidRPr="00B42A90" w:rsidP="007A3DB4" w14:paraId="100172B9" w14:textId="1173DFEF">
            <w:pPr>
              <w:jc w:val="center"/>
              <w:rPr>
                <w:rFonts w:ascii="Arial" w:hAnsi="Arial" w:cs="Arial"/>
                <w:sz w:val="16"/>
                <w:szCs w:val="16"/>
              </w:rPr>
            </w:pPr>
            <w:r w:rsidRPr="00B42A90">
              <w:rPr>
                <w:rFonts w:ascii="Arial" w:hAnsi="Arial" w:cs="Arial"/>
                <w:b/>
                <w:sz w:val="16"/>
                <w:szCs w:val="16"/>
              </w:rPr>
              <w:t xml:space="preserve">(3 </w:t>
            </w:r>
            <w:r w:rsidR="007B4B2D">
              <w:rPr>
                <w:rFonts w:ascii="Arial" w:hAnsi="Arial" w:cs="Arial"/>
                <w:b/>
                <w:sz w:val="16"/>
                <w:szCs w:val="16"/>
              </w:rPr>
              <w:t>×</w:t>
            </w:r>
            <w:r w:rsidRPr="00B42A90">
              <w:rPr>
                <w:rFonts w:ascii="Arial" w:hAnsi="Arial" w:cs="Arial"/>
                <w:b/>
                <w:sz w:val="16"/>
                <w:szCs w:val="16"/>
              </w:rPr>
              <w:t xml:space="preserve"> 4)</w:t>
            </w:r>
          </w:p>
        </w:tc>
        <w:tc>
          <w:tcPr>
            <w:tcW w:w="1520" w:type="dxa"/>
          </w:tcPr>
          <w:p w:rsidR="007936F5" w:rsidRPr="00B42A90" w:rsidP="007A3DB4" w14:paraId="229AD1E4" w14:textId="77777777">
            <w:pPr>
              <w:suppressAutoHyphens/>
              <w:jc w:val="center"/>
              <w:rPr>
                <w:rFonts w:ascii="Arial" w:hAnsi="Arial" w:cs="Arial"/>
                <w:b/>
                <w:bCs/>
                <w:sz w:val="16"/>
                <w:szCs w:val="16"/>
              </w:rPr>
            </w:pPr>
            <w:r w:rsidRPr="00B42A90">
              <w:rPr>
                <w:rFonts w:ascii="Arial" w:hAnsi="Arial" w:cs="Arial"/>
                <w:b/>
                <w:bCs/>
                <w:sz w:val="16"/>
                <w:szCs w:val="16"/>
              </w:rPr>
              <w:t>6.</w:t>
            </w:r>
          </w:p>
          <w:p w:rsidR="007936F5" w:rsidRPr="00B42A90" w:rsidP="007A3DB4" w14:paraId="2872D186" w14:textId="77777777">
            <w:pPr>
              <w:suppressAutoHyphens/>
              <w:jc w:val="center"/>
              <w:rPr>
                <w:rFonts w:ascii="Arial" w:hAnsi="Arial" w:cs="Arial"/>
                <w:b/>
                <w:bCs/>
                <w:sz w:val="16"/>
                <w:szCs w:val="16"/>
                <w:vertAlign w:val="superscript"/>
              </w:rPr>
            </w:pPr>
            <w:r w:rsidRPr="00B42A90">
              <w:rPr>
                <w:rFonts w:ascii="Arial" w:hAnsi="Arial" w:cs="Arial"/>
                <w:b/>
                <w:bCs/>
                <w:sz w:val="16"/>
                <w:szCs w:val="16"/>
              </w:rPr>
              <w:t>Estimated Average Burden Hour Cost</w:t>
            </w:r>
            <w:r>
              <w:rPr>
                <w:rFonts w:ascii="Arial" w:hAnsi="Arial" w:cs="Arial"/>
                <w:b/>
                <w:bCs/>
                <w:sz w:val="16"/>
                <w:szCs w:val="16"/>
                <w:vertAlign w:val="superscript"/>
              </w:rPr>
              <w:footnoteReference w:id="14"/>
            </w:r>
          </w:p>
          <w:p w:rsidR="007936F5" w:rsidRPr="00B42A90" w:rsidP="007A3DB4" w14:paraId="57DCD646" w14:textId="77777777">
            <w:pPr>
              <w:jc w:val="center"/>
              <w:rPr>
                <w:rFonts w:ascii="Arial" w:hAnsi="Arial" w:cs="Arial"/>
                <w:sz w:val="16"/>
                <w:szCs w:val="16"/>
              </w:rPr>
            </w:pPr>
          </w:p>
        </w:tc>
        <w:tc>
          <w:tcPr>
            <w:tcW w:w="1620" w:type="dxa"/>
          </w:tcPr>
          <w:p w:rsidR="007936F5" w:rsidRPr="00B42A90" w:rsidP="007A3DB4" w14:paraId="4E15180A" w14:textId="77777777">
            <w:pPr>
              <w:jc w:val="center"/>
              <w:rPr>
                <w:rFonts w:ascii="Arial" w:hAnsi="Arial" w:cs="Arial"/>
                <w:b/>
                <w:bCs/>
                <w:sz w:val="16"/>
                <w:szCs w:val="16"/>
              </w:rPr>
            </w:pPr>
            <w:r w:rsidRPr="00B42A90">
              <w:rPr>
                <w:rFonts w:ascii="Arial" w:hAnsi="Arial" w:cs="Arial"/>
                <w:b/>
                <w:bCs/>
                <w:sz w:val="16"/>
                <w:szCs w:val="16"/>
              </w:rPr>
              <w:t>7.</w:t>
            </w:r>
          </w:p>
          <w:p w:rsidR="007936F5" w:rsidRPr="00B42A90" w:rsidP="007A3DB4" w14:paraId="1A4824F5"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7936F5" w:rsidRPr="00B42A90" w:rsidP="007A3DB4" w14:paraId="5CBE7F01" w14:textId="25629144">
            <w:pPr>
              <w:jc w:val="center"/>
              <w:rPr>
                <w:rFonts w:ascii="Arial" w:hAnsi="Arial" w:cs="Arial"/>
                <w:sz w:val="16"/>
                <w:szCs w:val="16"/>
              </w:rPr>
            </w:pPr>
            <w:r w:rsidRPr="00B42A90">
              <w:rPr>
                <w:rFonts w:ascii="Arial" w:hAnsi="Arial" w:cs="Arial"/>
                <w:b/>
                <w:sz w:val="16"/>
                <w:szCs w:val="16"/>
              </w:rPr>
              <w:t xml:space="preserve">(5 </w:t>
            </w:r>
            <w:r w:rsidR="007B4B2D">
              <w:rPr>
                <w:rFonts w:ascii="Arial" w:hAnsi="Arial" w:cs="Arial"/>
                <w:b/>
                <w:sz w:val="16"/>
                <w:szCs w:val="16"/>
              </w:rPr>
              <w:t>×</w:t>
            </w:r>
            <w:r w:rsidRPr="00B42A90">
              <w:rPr>
                <w:rFonts w:ascii="Arial" w:hAnsi="Arial" w:cs="Arial"/>
                <w:b/>
                <w:sz w:val="16"/>
                <w:szCs w:val="16"/>
              </w:rPr>
              <w:t xml:space="preserve"> 6)</w:t>
            </w:r>
          </w:p>
        </w:tc>
        <w:tc>
          <w:tcPr>
            <w:tcW w:w="1530" w:type="dxa"/>
          </w:tcPr>
          <w:p w:rsidR="007936F5" w:rsidRPr="00B42A90" w:rsidP="007A3DB4" w14:paraId="131B257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7936F5" w:rsidRPr="00B42A90" w:rsidP="007A3DB4" w14:paraId="13788FB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7936F5" w:rsidRPr="00B42A90" w:rsidP="007A3DB4" w14:paraId="132CFD6D" w14:textId="29E6BBF6">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r>
              <w:rPr>
                <w:rStyle w:val="FootnoteReference"/>
                <w:rFonts w:ascii="Arial" w:hAnsi="Arial" w:cs="Arial"/>
                <w:b/>
                <w:sz w:val="16"/>
                <w:szCs w:val="16"/>
              </w:rPr>
              <w:footnoteReference w:id="15"/>
            </w:r>
          </w:p>
          <w:p w:rsidR="007936F5" w:rsidRPr="00B42A90" w:rsidP="007A3DB4" w14:paraId="4002F1B3" w14:textId="62F9C446">
            <w:pPr>
              <w:jc w:val="center"/>
              <w:rPr>
                <w:rFonts w:ascii="Arial" w:hAnsi="Arial" w:cs="Arial"/>
                <w:sz w:val="16"/>
                <w:szCs w:val="16"/>
              </w:rPr>
            </w:pPr>
          </w:p>
        </w:tc>
        <w:tc>
          <w:tcPr>
            <w:tcW w:w="1260" w:type="dxa"/>
          </w:tcPr>
          <w:p w:rsidR="007936F5" w:rsidRPr="00B42A90" w:rsidP="007A3DB4" w14:paraId="4BFF353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7936F5" w:rsidRPr="00B42A90" w:rsidP="007A3DB4" w14:paraId="18A99357" w14:textId="2C1CA4CA">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7936F5" w:rsidRPr="00B42A90" w:rsidP="007A3DB4" w14:paraId="3C863CF5" w14:textId="61EAB312">
            <w:pPr>
              <w:jc w:val="center"/>
              <w:rPr>
                <w:rFonts w:ascii="Arial" w:hAnsi="Arial" w:cs="Arial"/>
                <w:sz w:val="16"/>
                <w:szCs w:val="16"/>
              </w:rPr>
            </w:pPr>
            <w:r w:rsidRPr="00B42A90">
              <w:rPr>
                <w:rFonts w:ascii="Arial" w:hAnsi="Arial" w:cs="Arial"/>
                <w:b/>
                <w:sz w:val="16"/>
                <w:szCs w:val="16"/>
              </w:rPr>
              <w:t xml:space="preserve">(2 </w:t>
            </w:r>
            <w:r w:rsidR="007B4B2D">
              <w:rPr>
                <w:rFonts w:ascii="Arial" w:hAnsi="Arial" w:cs="Arial"/>
                <w:b/>
                <w:sz w:val="16"/>
                <w:szCs w:val="16"/>
              </w:rPr>
              <w:t>×</w:t>
            </w:r>
            <w:r w:rsidRPr="00B42A90">
              <w:rPr>
                <w:rFonts w:ascii="Arial" w:hAnsi="Arial" w:cs="Arial"/>
                <w:b/>
                <w:sz w:val="16"/>
                <w:szCs w:val="16"/>
              </w:rPr>
              <w:t xml:space="preserve"> 5)</w:t>
            </w:r>
          </w:p>
        </w:tc>
        <w:tc>
          <w:tcPr>
            <w:tcW w:w="1255" w:type="dxa"/>
          </w:tcPr>
          <w:p w:rsidR="007936F5" w:rsidRPr="00B42A90" w:rsidP="007A3DB4" w14:paraId="04DD605E" w14:textId="77777777">
            <w:pPr>
              <w:suppressAutoHyphens/>
              <w:jc w:val="center"/>
              <w:rPr>
                <w:rFonts w:ascii="Arial" w:hAnsi="Arial" w:cs="Arial"/>
                <w:b/>
                <w:bCs/>
                <w:sz w:val="16"/>
                <w:szCs w:val="16"/>
              </w:rPr>
            </w:pPr>
            <w:r w:rsidRPr="00B42A90">
              <w:rPr>
                <w:rFonts w:ascii="Arial" w:hAnsi="Arial" w:cs="Arial"/>
                <w:b/>
                <w:bCs/>
                <w:sz w:val="16"/>
                <w:szCs w:val="16"/>
              </w:rPr>
              <w:t>10.</w:t>
            </w:r>
          </w:p>
          <w:p w:rsidR="007936F5" w:rsidRPr="00B42A90" w:rsidP="007A3DB4" w14:paraId="3BC6B61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7936F5" w:rsidRPr="00B42A90" w:rsidP="007A3DB4" w14:paraId="51435B54" w14:textId="03E4A3A4">
            <w:pPr>
              <w:jc w:val="center"/>
              <w:rPr>
                <w:rFonts w:ascii="Arial" w:hAnsi="Arial" w:cs="Arial"/>
                <w:sz w:val="16"/>
                <w:szCs w:val="16"/>
              </w:rPr>
            </w:pPr>
            <w:r w:rsidRPr="00B42A90">
              <w:rPr>
                <w:rFonts w:ascii="Arial" w:hAnsi="Arial" w:cs="Arial"/>
                <w:b/>
                <w:sz w:val="16"/>
                <w:szCs w:val="16"/>
              </w:rPr>
              <w:t xml:space="preserve">(2 </w:t>
            </w:r>
            <w:r w:rsidR="007B4B2D">
              <w:rPr>
                <w:rFonts w:ascii="Arial" w:hAnsi="Arial" w:cs="Arial"/>
                <w:b/>
                <w:sz w:val="16"/>
                <w:szCs w:val="16"/>
              </w:rPr>
              <w:t>×</w:t>
            </w:r>
            <w:r w:rsidRPr="00B42A90">
              <w:rPr>
                <w:rFonts w:ascii="Arial" w:hAnsi="Arial" w:cs="Arial"/>
                <w:b/>
                <w:sz w:val="16"/>
                <w:szCs w:val="16"/>
              </w:rPr>
              <w:t xml:space="preserve"> 7)</w:t>
            </w:r>
          </w:p>
        </w:tc>
      </w:tr>
      <w:tr w14:paraId="24F68845" w14:textId="77777777" w:rsidTr="006200F5">
        <w:tblPrEx>
          <w:tblW w:w="14845" w:type="dxa"/>
          <w:tblLayout w:type="fixed"/>
          <w:tblLook w:val="04A0"/>
        </w:tblPrEx>
        <w:trPr>
          <w:trHeight w:val="432"/>
        </w:trPr>
        <w:tc>
          <w:tcPr>
            <w:tcW w:w="1440" w:type="dxa"/>
          </w:tcPr>
          <w:p w:rsidR="007936F5" w:rsidP="007A3DB4" w14:paraId="2CFF4C6C"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w:t>
            </w:r>
            <w:r w:rsidRPr="007B4B2D" w:rsidR="00615E4C">
              <w:rPr>
                <w:rFonts w:ascii="Arial" w:hAnsi="Arial" w:cs="Arial"/>
                <w:sz w:val="16"/>
                <w:szCs w:val="16"/>
              </w:rPr>
              <w:t>§</w:t>
            </w:r>
            <w:r w:rsidRPr="007B4B2D">
              <w:rPr>
                <w:rFonts w:ascii="Arial" w:hAnsi="Arial" w:cs="Arial"/>
                <w:sz w:val="16"/>
                <w:szCs w:val="16"/>
              </w:rPr>
              <w:t xml:space="preserve"> 40.2 and 40.3 (Products)</w:t>
            </w:r>
          </w:p>
          <w:p w:rsidR="00BB52AB" w:rsidRPr="007B4B2D" w:rsidP="007A3DB4" w14:paraId="469DA03D" w14:textId="6CA53272">
            <w:pPr>
              <w:tabs>
                <w:tab w:val="left" w:pos="-720"/>
                <w:tab w:val="left" w:pos="0"/>
              </w:tabs>
              <w:suppressAutoHyphens/>
              <w:jc w:val="center"/>
              <w:rPr>
                <w:rFonts w:ascii="Arial" w:hAnsi="Arial" w:cs="Arial"/>
                <w:sz w:val="16"/>
                <w:szCs w:val="16"/>
              </w:rPr>
            </w:pPr>
            <w:r>
              <w:rPr>
                <w:rFonts w:ascii="Arial" w:hAnsi="Arial" w:cs="Arial"/>
                <w:sz w:val="16"/>
                <w:szCs w:val="16"/>
              </w:rPr>
              <w:t>(REVISED)</w:t>
            </w:r>
          </w:p>
        </w:tc>
        <w:tc>
          <w:tcPr>
            <w:tcW w:w="1445" w:type="dxa"/>
          </w:tcPr>
          <w:p w:rsidR="007936F5" w:rsidRPr="007B4B2D" w:rsidP="007A3DB4" w14:paraId="281920C6"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70</w:t>
            </w:r>
          </w:p>
        </w:tc>
        <w:tc>
          <w:tcPr>
            <w:tcW w:w="1620" w:type="dxa"/>
          </w:tcPr>
          <w:p w:rsidR="007936F5" w:rsidRPr="007B4B2D" w:rsidP="007A3DB4" w14:paraId="670B12E2"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12</w:t>
            </w:r>
          </w:p>
        </w:tc>
        <w:tc>
          <w:tcPr>
            <w:tcW w:w="1530" w:type="dxa"/>
          </w:tcPr>
          <w:p w:rsidR="007936F5" w:rsidRPr="007B4B2D" w:rsidP="007A3DB4" w14:paraId="2EE068D4"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22</w:t>
            </w:r>
          </w:p>
        </w:tc>
        <w:tc>
          <w:tcPr>
            <w:tcW w:w="1625" w:type="dxa"/>
          </w:tcPr>
          <w:p w:rsidR="007936F5" w:rsidRPr="007B4B2D" w:rsidP="007A3DB4" w14:paraId="7222691A"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264</w:t>
            </w:r>
          </w:p>
        </w:tc>
        <w:tc>
          <w:tcPr>
            <w:tcW w:w="1520" w:type="dxa"/>
          </w:tcPr>
          <w:p w:rsidR="007936F5" w:rsidRPr="0082796F" w:rsidP="007A3DB4" w14:paraId="2D26ED5A" w14:textId="43744C99">
            <w:pPr>
              <w:suppressAutoHyphens/>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112</w:t>
            </w:r>
          </w:p>
        </w:tc>
        <w:tc>
          <w:tcPr>
            <w:tcW w:w="1620" w:type="dxa"/>
          </w:tcPr>
          <w:p w:rsidR="007936F5" w:rsidRPr="0082796F" w:rsidP="007A3DB4" w14:paraId="496C668B" w14:textId="4C909DBA">
            <w:pPr>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29,568</w:t>
            </w:r>
          </w:p>
        </w:tc>
        <w:tc>
          <w:tcPr>
            <w:tcW w:w="1530" w:type="dxa"/>
          </w:tcPr>
          <w:p w:rsidR="007936F5" w:rsidRPr="0082796F" w:rsidP="007A3DB4" w14:paraId="5EA6BBF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848</w:t>
            </w:r>
          </w:p>
        </w:tc>
        <w:tc>
          <w:tcPr>
            <w:tcW w:w="1260" w:type="dxa"/>
          </w:tcPr>
          <w:p w:rsidR="007936F5" w:rsidRPr="0082796F" w:rsidP="007A3DB4" w14:paraId="3D85A190"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18,480</w:t>
            </w:r>
          </w:p>
        </w:tc>
        <w:tc>
          <w:tcPr>
            <w:tcW w:w="1255" w:type="dxa"/>
          </w:tcPr>
          <w:p w:rsidR="007936F5" w:rsidRPr="0082796F" w:rsidP="007A3DB4" w14:paraId="4A93D8F2" w14:textId="07CC7397">
            <w:pPr>
              <w:suppressAutoHyphens/>
              <w:jc w:val="center"/>
              <w:rPr>
                <w:rFonts w:ascii="Arial" w:hAnsi="Arial" w:cs="Arial"/>
                <w:bCs/>
                <w:sz w:val="16"/>
                <w:szCs w:val="16"/>
              </w:rPr>
            </w:pPr>
            <w:r w:rsidRPr="00EB44FB">
              <w:rPr>
                <w:rFonts w:ascii="Arial" w:hAnsi="Arial" w:cs="Arial"/>
                <w:bCs/>
                <w:sz w:val="16"/>
                <w:szCs w:val="16"/>
              </w:rPr>
              <w:t>$</w:t>
            </w:r>
            <w:r w:rsidR="00EB44FB">
              <w:rPr>
                <w:rFonts w:ascii="Arial" w:hAnsi="Arial" w:cs="Arial"/>
                <w:bCs/>
                <w:sz w:val="16"/>
                <w:szCs w:val="16"/>
              </w:rPr>
              <w:t>2,069,760</w:t>
            </w:r>
          </w:p>
        </w:tc>
      </w:tr>
      <w:tr w14:paraId="5871008E" w14:textId="77777777" w:rsidTr="006200F5">
        <w:tblPrEx>
          <w:tblW w:w="14845" w:type="dxa"/>
          <w:tblLayout w:type="fixed"/>
          <w:tblLook w:val="04A0"/>
        </w:tblPrEx>
        <w:trPr>
          <w:trHeight w:val="432"/>
        </w:trPr>
        <w:tc>
          <w:tcPr>
            <w:tcW w:w="1440" w:type="dxa"/>
          </w:tcPr>
          <w:p w:rsidR="007936F5" w:rsidP="007A3DB4" w14:paraId="7E35DD7C"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w:t>
            </w:r>
            <w:r w:rsidRPr="0082796F" w:rsidR="003A2080">
              <w:rPr>
                <w:rFonts w:ascii="Arial" w:hAnsi="Arial" w:cs="Arial"/>
                <w:sz w:val="16"/>
                <w:szCs w:val="16"/>
              </w:rPr>
              <w:t xml:space="preserve">§ 40.5 and </w:t>
            </w:r>
            <w:r w:rsidRPr="0082796F">
              <w:rPr>
                <w:rFonts w:ascii="Arial" w:hAnsi="Arial" w:cs="Arial"/>
                <w:sz w:val="16"/>
                <w:szCs w:val="16"/>
              </w:rPr>
              <w:t>40.6 (Rules)</w:t>
            </w:r>
          </w:p>
          <w:p w:rsidR="00BB52AB" w:rsidRPr="0082796F" w:rsidP="007A3DB4" w14:paraId="20D67611" w14:textId="720DC756">
            <w:pPr>
              <w:tabs>
                <w:tab w:val="left" w:pos="-720"/>
                <w:tab w:val="left" w:pos="0"/>
              </w:tabs>
              <w:suppressAutoHyphens/>
              <w:jc w:val="center"/>
              <w:rPr>
                <w:rFonts w:ascii="Arial" w:hAnsi="Arial" w:cs="Arial"/>
                <w:sz w:val="16"/>
                <w:szCs w:val="16"/>
              </w:rPr>
            </w:pPr>
            <w:r>
              <w:rPr>
                <w:rFonts w:ascii="Arial" w:hAnsi="Arial" w:cs="Arial"/>
                <w:sz w:val="16"/>
                <w:szCs w:val="16"/>
              </w:rPr>
              <w:t>(REVISED)</w:t>
            </w:r>
          </w:p>
        </w:tc>
        <w:tc>
          <w:tcPr>
            <w:tcW w:w="1445" w:type="dxa"/>
          </w:tcPr>
          <w:p w:rsidR="007936F5" w:rsidRPr="0082796F" w:rsidP="007A3DB4" w14:paraId="5E7C2A17"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70</w:t>
            </w:r>
          </w:p>
        </w:tc>
        <w:tc>
          <w:tcPr>
            <w:tcW w:w="1620" w:type="dxa"/>
          </w:tcPr>
          <w:p w:rsidR="007936F5" w:rsidRPr="0082796F" w:rsidP="007A3DB4" w14:paraId="5C678BDF"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20</w:t>
            </w:r>
          </w:p>
        </w:tc>
        <w:tc>
          <w:tcPr>
            <w:tcW w:w="1530" w:type="dxa"/>
          </w:tcPr>
          <w:p w:rsidR="007936F5" w:rsidRPr="0082796F" w:rsidP="007A3DB4" w14:paraId="0B6DC9D9"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2.5</w:t>
            </w:r>
          </w:p>
        </w:tc>
        <w:tc>
          <w:tcPr>
            <w:tcW w:w="1625" w:type="dxa"/>
          </w:tcPr>
          <w:p w:rsidR="007936F5" w:rsidRPr="0082796F" w:rsidP="007A3DB4" w14:paraId="0DE54986"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7936F5" w:rsidRPr="0082796F" w:rsidP="007A3DB4" w14:paraId="30425C4B" w14:textId="497B1244">
            <w:pPr>
              <w:suppressAutoHyphens/>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112</w:t>
            </w:r>
          </w:p>
          <w:p w:rsidR="007936F5" w:rsidRPr="0082796F" w:rsidP="007A3DB4" w14:paraId="7CDB6F13" w14:textId="77777777">
            <w:pPr>
              <w:suppressAutoHyphens/>
              <w:jc w:val="center"/>
              <w:rPr>
                <w:rFonts w:ascii="Arial" w:hAnsi="Arial" w:cs="Arial"/>
                <w:bCs/>
                <w:sz w:val="16"/>
                <w:szCs w:val="16"/>
              </w:rPr>
            </w:pPr>
          </w:p>
        </w:tc>
        <w:tc>
          <w:tcPr>
            <w:tcW w:w="1620" w:type="dxa"/>
          </w:tcPr>
          <w:p w:rsidR="007936F5" w:rsidRPr="0082796F" w:rsidP="007A3DB4" w14:paraId="09413733" w14:textId="11788D34">
            <w:pPr>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5,600</w:t>
            </w:r>
          </w:p>
        </w:tc>
        <w:tc>
          <w:tcPr>
            <w:tcW w:w="1530" w:type="dxa"/>
          </w:tcPr>
          <w:p w:rsidR="007936F5" w:rsidRPr="0082796F" w:rsidP="007A3DB4" w14:paraId="25EF466B" w14:textId="756685D8">
            <w:pPr>
              <w:tabs>
                <w:tab w:val="left" w:pos="-720"/>
                <w:tab w:val="left" w:pos="0"/>
              </w:tabs>
              <w:suppressAutoHyphens/>
              <w:jc w:val="center"/>
              <w:rPr>
                <w:rFonts w:ascii="Arial" w:hAnsi="Arial" w:cs="Arial"/>
                <w:sz w:val="16"/>
                <w:szCs w:val="16"/>
              </w:rPr>
            </w:pPr>
            <w:r w:rsidRPr="0082796F">
              <w:rPr>
                <w:rFonts w:ascii="Arial" w:hAnsi="Arial" w:cs="Arial"/>
                <w:sz w:val="16"/>
                <w:szCs w:val="16"/>
              </w:rPr>
              <w:t>1,4</w:t>
            </w:r>
            <w:r w:rsidRPr="0082796F" w:rsidR="00060688">
              <w:rPr>
                <w:rFonts w:ascii="Arial" w:hAnsi="Arial" w:cs="Arial"/>
                <w:sz w:val="16"/>
                <w:szCs w:val="16"/>
              </w:rPr>
              <w:t>12</w:t>
            </w:r>
          </w:p>
        </w:tc>
        <w:tc>
          <w:tcPr>
            <w:tcW w:w="1260" w:type="dxa"/>
          </w:tcPr>
          <w:p w:rsidR="007936F5" w:rsidRPr="0082796F" w:rsidP="007A3DB4" w14:paraId="676D34C3"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3,500</w:t>
            </w:r>
          </w:p>
        </w:tc>
        <w:tc>
          <w:tcPr>
            <w:tcW w:w="1255" w:type="dxa"/>
          </w:tcPr>
          <w:p w:rsidR="007936F5" w:rsidRPr="0082796F" w:rsidP="007A3DB4" w14:paraId="638DF807" w14:textId="2167F0DC">
            <w:pPr>
              <w:suppressAutoHyphens/>
              <w:jc w:val="center"/>
              <w:rPr>
                <w:rFonts w:ascii="Arial" w:hAnsi="Arial" w:cs="Arial"/>
                <w:bCs/>
                <w:sz w:val="16"/>
                <w:szCs w:val="16"/>
              </w:rPr>
            </w:pPr>
            <w:r w:rsidRPr="0082796F">
              <w:rPr>
                <w:rFonts w:ascii="Arial" w:hAnsi="Arial" w:cs="Arial"/>
                <w:bCs/>
                <w:sz w:val="16"/>
                <w:szCs w:val="16"/>
              </w:rPr>
              <w:t>$</w:t>
            </w:r>
            <w:r w:rsidR="004838C7">
              <w:rPr>
                <w:rFonts w:ascii="Arial" w:hAnsi="Arial" w:cs="Arial"/>
                <w:bCs/>
                <w:sz w:val="16"/>
                <w:szCs w:val="16"/>
              </w:rPr>
              <w:t>392,000</w:t>
            </w:r>
          </w:p>
        </w:tc>
      </w:tr>
      <w:tr w14:paraId="342C14D8" w14:textId="77777777" w:rsidTr="006200F5">
        <w:tblPrEx>
          <w:tblW w:w="14845" w:type="dxa"/>
          <w:tblLayout w:type="fixed"/>
          <w:tblLook w:val="04A0"/>
        </w:tblPrEx>
        <w:trPr>
          <w:trHeight w:val="432"/>
        </w:trPr>
        <w:tc>
          <w:tcPr>
            <w:tcW w:w="1440" w:type="dxa"/>
          </w:tcPr>
          <w:p w:rsidR="007936F5" w:rsidP="007A3DB4" w14:paraId="7ACE95C9"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 4</w:t>
            </w:r>
            <w:r w:rsidRPr="0082796F" w:rsidR="00042B22">
              <w:rPr>
                <w:rFonts w:ascii="Arial" w:hAnsi="Arial" w:cs="Arial"/>
                <w:sz w:val="16"/>
                <w:szCs w:val="16"/>
              </w:rPr>
              <w:t>0</w:t>
            </w:r>
            <w:r w:rsidRPr="0082796F">
              <w:rPr>
                <w:rFonts w:ascii="Arial" w:hAnsi="Arial" w:cs="Arial"/>
                <w:sz w:val="16"/>
                <w:szCs w:val="16"/>
              </w:rPr>
              <w:t>.10 (SIDCO)</w:t>
            </w:r>
          </w:p>
          <w:p w:rsidR="00BB52AB" w:rsidRPr="0082796F" w:rsidP="007A3DB4" w14:paraId="022F2387" w14:textId="001E3A0B">
            <w:pPr>
              <w:tabs>
                <w:tab w:val="left" w:pos="-720"/>
                <w:tab w:val="left" w:pos="0"/>
              </w:tabs>
              <w:suppressAutoHyphens/>
              <w:jc w:val="center"/>
              <w:rPr>
                <w:rFonts w:ascii="Arial" w:hAnsi="Arial" w:cs="Arial"/>
                <w:sz w:val="16"/>
                <w:szCs w:val="16"/>
              </w:rPr>
            </w:pPr>
            <w:r>
              <w:rPr>
                <w:rFonts w:ascii="Arial" w:hAnsi="Arial" w:cs="Arial"/>
                <w:sz w:val="16"/>
                <w:szCs w:val="16"/>
              </w:rPr>
              <w:t>(UNCHANGED)</w:t>
            </w:r>
          </w:p>
        </w:tc>
        <w:tc>
          <w:tcPr>
            <w:tcW w:w="1445" w:type="dxa"/>
          </w:tcPr>
          <w:p w:rsidR="007936F5" w:rsidRPr="0082796F" w:rsidP="007A3DB4" w14:paraId="6572A0A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620" w:type="dxa"/>
          </w:tcPr>
          <w:p w:rsidR="007936F5" w:rsidRPr="0082796F" w:rsidP="007A3DB4" w14:paraId="7989D96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w:t>
            </w:r>
          </w:p>
        </w:tc>
        <w:tc>
          <w:tcPr>
            <w:tcW w:w="1530" w:type="dxa"/>
          </w:tcPr>
          <w:p w:rsidR="007936F5" w:rsidRPr="0082796F" w:rsidP="007A3DB4" w14:paraId="3865E769"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625" w:type="dxa"/>
          </w:tcPr>
          <w:p w:rsidR="007936F5" w:rsidRPr="0082796F" w:rsidP="007A3DB4" w14:paraId="386B7A6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7936F5" w:rsidRPr="0082796F" w:rsidP="007A3DB4" w14:paraId="0E43209A" w14:textId="2B8FEAAF">
            <w:pPr>
              <w:suppressAutoHyphens/>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112</w:t>
            </w:r>
          </w:p>
          <w:p w:rsidR="007936F5" w:rsidRPr="0082796F" w:rsidP="007A3DB4" w14:paraId="4046785B" w14:textId="77777777">
            <w:pPr>
              <w:suppressAutoHyphens/>
              <w:jc w:val="center"/>
              <w:rPr>
                <w:rFonts w:ascii="Arial" w:hAnsi="Arial" w:cs="Arial"/>
                <w:bCs/>
                <w:sz w:val="16"/>
                <w:szCs w:val="16"/>
              </w:rPr>
            </w:pPr>
          </w:p>
        </w:tc>
        <w:tc>
          <w:tcPr>
            <w:tcW w:w="1620" w:type="dxa"/>
          </w:tcPr>
          <w:p w:rsidR="007936F5" w:rsidRPr="0082796F" w:rsidP="007A3DB4" w14:paraId="6A840EAD" w14:textId="4B2B0F58">
            <w:pPr>
              <w:jc w:val="center"/>
              <w:rPr>
                <w:rFonts w:ascii="Arial" w:hAnsi="Arial" w:cs="Arial"/>
                <w:bCs/>
                <w:sz w:val="16"/>
                <w:szCs w:val="16"/>
              </w:rPr>
            </w:pPr>
            <w:r w:rsidRPr="0082796F">
              <w:rPr>
                <w:rFonts w:ascii="Arial" w:hAnsi="Arial" w:cs="Arial"/>
                <w:bCs/>
                <w:sz w:val="16"/>
                <w:szCs w:val="16"/>
              </w:rPr>
              <w:t>$</w:t>
            </w:r>
            <w:r w:rsidR="00B7195E">
              <w:rPr>
                <w:rFonts w:ascii="Arial" w:hAnsi="Arial" w:cs="Arial"/>
                <w:bCs/>
                <w:sz w:val="16"/>
                <w:szCs w:val="16"/>
              </w:rPr>
              <w:t>5,600</w:t>
            </w:r>
          </w:p>
        </w:tc>
        <w:tc>
          <w:tcPr>
            <w:tcW w:w="1530" w:type="dxa"/>
          </w:tcPr>
          <w:p w:rsidR="007936F5" w:rsidRPr="0082796F" w:rsidP="007A3DB4" w14:paraId="6733F7F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260" w:type="dxa"/>
          </w:tcPr>
          <w:p w:rsidR="007936F5" w:rsidRPr="0082796F" w:rsidP="007A3DB4" w14:paraId="4FBC6E89" w14:textId="77777777">
            <w:pPr>
              <w:suppressAutoHyphens/>
              <w:jc w:val="center"/>
              <w:rPr>
                <w:rFonts w:ascii="Arial" w:hAnsi="Arial" w:cs="Arial"/>
                <w:bCs/>
                <w:sz w:val="16"/>
                <w:szCs w:val="16"/>
              </w:rPr>
            </w:pPr>
            <w:r w:rsidRPr="0082796F">
              <w:rPr>
                <w:rFonts w:ascii="Arial" w:hAnsi="Arial" w:cs="Arial"/>
                <w:bCs/>
                <w:sz w:val="16"/>
                <w:szCs w:val="16"/>
              </w:rPr>
              <w:t>100</w:t>
            </w:r>
          </w:p>
        </w:tc>
        <w:tc>
          <w:tcPr>
            <w:tcW w:w="1255" w:type="dxa"/>
          </w:tcPr>
          <w:p w:rsidR="007936F5" w:rsidRPr="0082796F" w:rsidP="007A3DB4" w14:paraId="0AE95344" w14:textId="51461DF5">
            <w:pPr>
              <w:suppressAutoHyphens/>
              <w:jc w:val="center"/>
              <w:rPr>
                <w:rFonts w:ascii="Arial" w:hAnsi="Arial" w:cs="Arial"/>
                <w:bCs/>
                <w:sz w:val="16"/>
                <w:szCs w:val="16"/>
              </w:rPr>
            </w:pPr>
            <w:r w:rsidRPr="0082796F">
              <w:rPr>
                <w:rFonts w:ascii="Arial" w:hAnsi="Arial" w:cs="Arial"/>
                <w:bCs/>
                <w:sz w:val="16"/>
                <w:szCs w:val="16"/>
              </w:rPr>
              <w:t>$</w:t>
            </w:r>
            <w:r w:rsidR="004838C7">
              <w:rPr>
                <w:rFonts w:ascii="Arial" w:hAnsi="Arial" w:cs="Arial"/>
                <w:bCs/>
                <w:sz w:val="16"/>
                <w:szCs w:val="16"/>
              </w:rPr>
              <w:t>11,200</w:t>
            </w:r>
          </w:p>
        </w:tc>
      </w:tr>
      <w:tr w14:paraId="17846F88" w14:textId="77777777" w:rsidTr="006200F5">
        <w:tblPrEx>
          <w:tblW w:w="14845" w:type="dxa"/>
          <w:tblLayout w:type="fixed"/>
          <w:tblLook w:val="04A0"/>
        </w:tblPrEx>
        <w:trPr>
          <w:trHeight w:val="432"/>
        </w:trPr>
        <w:tc>
          <w:tcPr>
            <w:tcW w:w="1440" w:type="dxa"/>
          </w:tcPr>
          <w:p w:rsidR="00C41377" w:rsidRPr="0082796F" w:rsidP="007A3DB4" w14:paraId="69E13974"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 xml:space="preserve">New </w:t>
            </w:r>
            <w:r w:rsidRPr="0082796F" w:rsidR="00DE4346">
              <w:rPr>
                <w:rFonts w:ascii="Arial" w:hAnsi="Arial" w:cs="Arial"/>
                <w:b/>
                <w:sz w:val="16"/>
                <w:szCs w:val="16"/>
              </w:rPr>
              <w:t>Totals</w:t>
            </w:r>
          </w:p>
        </w:tc>
        <w:tc>
          <w:tcPr>
            <w:tcW w:w="1445" w:type="dxa"/>
          </w:tcPr>
          <w:p w:rsidR="00C41377" w:rsidRPr="0082796F" w:rsidP="007A3DB4" w14:paraId="006601C5"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70</w:t>
            </w:r>
            <w:r>
              <w:rPr>
                <w:rStyle w:val="FootnoteReference"/>
                <w:rFonts w:ascii="Arial" w:hAnsi="Arial" w:cs="Arial"/>
                <w:b/>
                <w:sz w:val="16"/>
                <w:szCs w:val="16"/>
              </w:rPr>
              <w:footnoteReference w:id="16"/>
            </w:r>
          </w:p>
        </w:tc>
        <w:tc>
          <w:tcPr>
            <w:tcW w:w="1620" w:type="dxa"/>
            <w:shd w:val="clear" w:color="auto" w:fill="D9D9D9" w:themeFill="background1" w:themeFillShade="D9"/>
          </w:tcPr>
          <w:p w:rsidR="00C41377" w:rsidRPr="0082796F" w:rsidP="007A3DB4" w14:paraId="645E81E2"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C41377" w:rsidRPr="0082796F" w:rsidP="007A3DB4" w14:paraId="18A9B876"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C41377" w:rsidRPr="0082796F" w:rsidP="007A3DB4" w14:paraId="4216444F"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C41377" w:rsidRPr="0082796F" w:rsidP="007A3DB4" w14:paraId="6B476270"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C41377" w:rsidRPr="0082796F" w:rsidP="007A3DB4" w14:paraId="2C98576D" w14:textId="77777777">
            <w:pPr>
              <w:jc w:val="center"/>
              <w:rPr>
                <w:rFonts w:ascii="Arial" w:hAnsi="Arial" w:cs="Arial"/>
                <w:b/>
                <w:bCs/>
                <w:sz w:val="16"/>
                <w:szCs w:val="16"/>
              </w:rPr>
            </w:pPr>
          </w:p>
        </w:tc>
        <w:tc>
          <w:tcPr>
            <w:tcW w:w="1530" w:type="dxa"/>
            <w:shd w:val="clear" w:color="auto" w:fill="auto"/>
          </w:tcPr>
          <w:p w:rsidR="00C41377" w:rsidRPr="003E4706" w:rsidP="007A3DB4" w14:paraId="6B5ECA6F" w14:textId="09F81640">
            <w:pPr>
              <w:tabs>
                <w:tab w:val="left" w:pos="-720"/>
                <w:tab w:val="left" w:pos="0"/>
              </w:tabs>
              <w:suppressAutoHyphens/>
              <w:jc w:val="center"/>
              <w:rPr>
                <w:rFonts w:ascii="Arial" w:hAnsi="Arial" w:cs="Arial"/>
                <w:b/>
                <w:sz w:val="16"/>
                <w:szCs w:val="16"/>
              </w:rPr>
            </w:pPr>
            <w:r>
              <w:rPr>
                <w:rFonts w:ascii="Arial" w:hAnsi="Arial" w:cs="Arial"/>
                <w:b/>
                <w:sz w:val="16"/>
                <w:szCs w:val="16"/>
              </w:rPr>
              <w:t>2,262</w:t>
            </w:r>
          </w:p>
        </w:tc>
        <w:tc>
          <w:tcPr>
            <w:tcW w:w="1260" w:type="dxa"/>
          </w:tcPr>
          <w:p w:rsidR="00C41377" w:rsidRPr="0082796F" w:rsidP="007A3DB4" w14:paraId="2E88FC5C" w14:textId="0D7A4B5A">
            <w:pPr>
              <w:suppressAutoHyphens/>
              <w:jc w:val="center"/>
              <w:rPr>
                <w:rFonts w:ascii="Arial" w:hAnsi="Arial" w:cs="Arial"/>
                <w:b/>
                <w:bCs/>
                <w:sz w:val="16"/>
                <w:szCs w:val="16"/>
              </w:rPr>
            </w:pPr>
            <w:r w:rsidRPr="0082796F">
              <w:rPr>
                <w:rFonts w:ascii="Arial" w:hAnsi="Arial" w:cs="Arial"/>
                <w:b/>
                <w:bCs/>
                <w:sz w:val="16"/>
                <w:szCs w:val="16"/>
              </w:rPr>
              <w:t>22,</w:t>
            </w:r>
            <w:r w:rsidR="00082645">
              <w:rPr>
                <w:rFonts w:ascii="Arial" w:hAnsi="Arial" w:cs="Arial"/>
                <w:b/>
                <w:bCs/>
                <w:sz w:val="16"/>
                <w:szCs w:val="16"/>
              </w:rPr>
              <w:t>080</w:t>
            </w:r>
          </w:p>
        </w:tc>
        <w:tc>
          <w:tcPr>
            <w:tcW w:w="1255" w:type="dxa"/>
          </w:tcPr>
          <w:p w:rsidR="00C41377" w:rsidRPr="0082796F" w:rsidP="007A3DB4" w14:paraId="58462EF6" w14:textId="701CFDD9">
            <w:pPr>
              <w:suppressAutoHyphens/>
              <w:jc w:val="center"/>
              <w:rPr>
                <w:rFonts w:ascii="Arial" w:hAnsi="Arial" w:cs="Arial"/>
                <w:b/>
                <w:bCs/>
                <w:sz w:val="16"/>
                <w:szCs w:val="16"/>
              </w:rPr>
            </w:pPr>
            <w:r>
              <w:rPr>
                <w:rFonts w:ascii="Arial" w:hAnsi="Arial" w:cs="Arial"/>
                <w:b/>
                <w:bCs/>
                <w:sz w:val="16"/>
                <w:szCs w:val="16"/>
              </w:rPr>
              <w:t>$</w:t>
            </w:r>
            <w:r w:rsidR="004838C7">
              <w:rPr>
                <w:rFonts w:ascii="Arial" w:hAnsi="Arial" w:cs="Arial"/>
                <w:b/>
                <w:bCs/>
                <w:sz w:val="16"/>
                <w:szCs w:val="16"/>
              </w:rPr>
              <w:t>2,472,960</w:t>
            </w:r>
          </w:p>
        </w:tc>
      </w:tr>
    </w:tbl>
    <w:p w:rsidR="007936F5" w:rsidRPr="00AB537A" w:rsidP="007936F5" w14:paraId="4EB777EB" w14:textId="77777777">
      <w:pPr>
        <w:rPr>
          <w:sz w:val="16"/>
          <w:szCs w:val="16"/>
        </w:rPr>
      </w:pPr>
    </w:p>
    <w:p w:rsidR="00E26D5F" w14:paraId="6F803F18" w14:textId="0B1D98E1">
      <w:pPr>
        <w:spacing w:after="200" w:line="276" w:lineRule="auto"/>
        <w:rPr>
          <w:rFonts w:ascii="Times New Roman" w:hAnsi="Times New Roman"/>
          <w:b/>
          <w:u w:val="single"/>
        </w:rPr>
      </w:pPr>
    </w:p>
    <w:sectPr w:rsidSect="00B42A90">
      <w:footnotePr>
        <w:numRestart w:val="eachSect"/>
      </w:footnotePr>
      <w:endnotePr>
        <w:numFmt w:val="decimal"/>
      </w:endnotePr>
      <w:pgSz w:w="15840" w:h="12240" w:orient="landscape"/>
      <w:pgMar w:top="1440" w:right="1440" w:bottom="1440"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1162270"/>
      <w:docPartObj>
        <w:docPartGallery w:val="Page Numbers (Bottom of Page)"/>
        <w:docPartUnique/>
      </w:docPartObj>
    </w:sdtPr>
    <w:sdtEndPr>
      <w:rPr>
        <w:rFonts w:ascii="Times New Roman" w:hAnsi="Times New Roman"/>
        <w:noProof/>
      </w:rPr>
    </w:sdtEndPr>
    <w:sdtContent>
      <w:p w:rsidR="00270670" w:rsidRPr="007F7877" w14:paraId="286D6442" w14:textId="77777777">
        <w:pPr>
          <w:pStyle w:val="Footer"/>
          <w:jc w:val="center"/>
          <w:rPr>
            <w:rFonts w:ascii="Times New Roman" w:hAnsi="Times New Roman"/>
          </w:rPr>
        </w:pPr>
        <w:r w:rsidRPr="007F7877">
          <w:rPr>
            <w:rFonts w:ascii="Times New Roman" w:hAnsi="Times New Roman"/>
          </w:rPr>
          <w:fldChar w:fldCharType="begin"/>
        </w:r>
        <w:r w:rsidRPr="007F7877">
          <w:rPr>
            <w:rFonts w:ascii="Times New Roman" w:hAnsi="Times New Roman"/>
          </w:rPr>
          <w:instrText xml:space="preserve"> PAGE   \* MERGEFORMAT </w:instrText>
        </w:r>
        <w:r w:rsidRPr="007F7877">
          <w:rPr>
            <w:rFonts w:ascii="Times New Roman" w:hAnsi="Times New Roman"/>
          </w:rPr>
          <w:fldChar w:fldCharType="separate"/>
        </w:r>
        <w:r w:rsidRPr="007F7877">
          <w:rPr>
            <w:rFonts w:ascii="Times New Roman" w:hAnsi="Times New Roman"/>
            <w:noProof/>
          </w:rPr>
          <w:t>2</w:t>
        </w:r>
        <w:r w:rsidRPr="007F7877">
          <w:rPr>
            <w:rFonts w:ascii="Times New Roman" w:hAnsi="Times New Roman"/>
            <w:noProof/>
          </w:rPr>
          <w:fldChar w:fldCharType="end"/>
        </w:r>
      </w:p>
    </w:sdtContent>
  </w:sdt>
  <w:p w:rsidR="00270670" w:rsidRPr="007F7877" w14:paraId="07ABFA38"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6BF7" w:rsidP="00C05C3F" w14:paraId="34C4154C" w14:textId="77777777">
      <w:r>
        <w:separator/>
      </w:r>
    </w:p>
  </w:footnote>
  <w:footnote w:type="continuationSeparator" w:id="1">
    <w:p w:rsidR="00646BF7" w:rsidP="00C05C3F" w14:paraId="6813B796" w14:textId="77777777">
      <w:r>
        <w:continuationSeparator/>
      </w:r>
    </w:p>
  </w:footnote>
  <w:footnote w:type="continuationNotice" w:id="2">
    <w:p w:rsidR="00646BF7" w14:paraId="066F655D" w14:textId="77777777"/>
  </w:footnote>
  <w:footnote w:id="3">
    <w:p w:rsidR="00646D53" w:rsidP="00646D53" w14:paraId="19D77177" w14:textId="65AB79F8">
      <w:pPr>
        <w:pStyle w:val="FootnoteText"/>
      </w:pPr>
      <w:r>
        <w:rPr>
          <w:rStyle w:val="FootnoteReference"/>
        </w:rPr>
        <w:footnoteRef/>
      </w:r>
      <w:r>
        <w:t xml:space="preserve"> A16z at 7-8; Coinbase at 8.</w:t>
      </w:r>
    </w:p>
  </w:footnote>
  <w:footnote w:id="4">
    <w:p w:rsidR="00646D53" w14:paraId="54D48E64" w14:textId="2B2F6982">
      <w:pPr>
        <w:pStyle w:val="FootnoteText"/>
      </w:pPr>
      <w:r>
        <w:rPr>
          <w:rStyle w:val="FootnoteReference"/>
        </w:rPr>
        <w:footnoteRef/>
      </w:r>
      <w:r>
        <w:t xml:space="preserve"> </w:t>
      </w:r>
      <w:r w:rsidRPr="00646D53">
        <w:rPr>
          <w:szCs w:val="24"/>
        </w:rPr>
        <w:t xml:space="preserve">As discussed in the </w:t>
      </w:r>
      <w:r w:rsidR="005362DE">
        <w:rPr>
          <w:szCs w:val="24"/>
        </w:rPr>
        <w:t>Preamble to the Final Rule</w:t>
      </w:r>
      <w:r w:rsidRPr="00646D53">
        <w:rPr>
          <w:szCs w:val="24"/>
        </w:rPr>
        <w:t>, the amendments clarify the Commission</w:t>
      </w:r>
      <w:r>
        <w:rPr>
          <w:szCs w:val="24"/>
        </w:rPr>
        <w:t>’</w:t>
      </w:r>
      <w:r w:rsidRPr="00646D53">
        <w:rPr>
          <w:szCs w:val="24"/>
        </w:rPr>
        <w:t xml:space="preserve">s expectations for the content of submissions, which some registered entities had not been meeting in their recent filings. Although the Commission views the amendments as </w:t>
      </w:r>
      <w:r>
        <w:rPr>
          <w:szCs w:val="24"/>
        </w:rPr>
        <w:t xml:space="preserve">changes that clarify existing </w:t>
      </w:r>
      <w:r w:rsidRPr="00646D53">
        <w:rPr>
          <w:szCs w:val="24"/>
        </w:rPr>
        <w:t>filing requirements rather than</w:t>
      </w:r>
      <w:r>
        <w:rPr>
          <w:szCs w:val="24"/>
        </w:rPr>
        <w:t xml:space="preserve"> imposing</w:t>
      </w:r>
      <w:r w:rsidRPr="00646D53">
        <w:rPr>
          <w:szCs w:val="24"/>
        </w:rPr>
        <w:t xml:space="preserve"> new requirements</w:t>
      </w:r>
      <w:r w:rsidR="009F61AE">
        <w:rPr>
          <w:szCs w:val="24"/>
        </w:rPr>
        <w:t xml:space="preserve"> in the CBC analysis</w:t>
      </w:r>
      <w:r w:rsidRPr="00646D53">
        <w:rPr>
          <w:szCs w:val="24"/>
        </w:rPr>
        <w:t>, for practical purposes</w:t>
      </w:r>
      <w:r w:rsidR="009A69E7">
        <w:rPr>
          <w:szCs w:val="24"/>
        </w:rPr>
        <w:t xml:space="preserve"> relative to the PRA</w:t>
      </w:r>
      <w:r w:rsidRPr="00646D53">
        <w:rPr>
          <w:szCs w:val="24"/>
        </w:rPr>
        <w:t xml:space="preserve">, the amendments </w:t>
      </w:r>
      <w:r>
        <w:rPr>
          <w:szCs w:val="24"/>
        </w:rPr>
        <w:t xml:space="preserve">may </w:t>
      </w:r>
      <w:r w:rsidRPr="00646D53">
        <w:rPr>
          <w:szCs w:val="24"/>
        </w:rPr>
        <w:t xml:space="preserve">increase some registered entities’ reporting burden compared to their current filing practices.  The A16z comment regarding the relationship between the PRA burden estimate and the CBC cost estimate is addressed </w:t>
      </w:r>
      <w:r>
        <w:rPr>
          <w:szCs w:val="24"/>
        </w:rPr>
        <w:t xml:space="preserve">further </w:t>
      </w:r>
      <w:r w:rsidRPr="00646D53">
        <w:rPr>
          <w:szCs w:val="24"/>
        </w:rPr>
        <w:t xml:space="preserve">in the CBC </w:t>
      </w:r>
      <w:r w:rsidR="00BE0A96">
        <w:rPr>
          <w:szCs w:val="24"/>
        </w:rPr>
        <w:t xml:space="preserve">in the Preamble to the Final Rule. </w:t>
      </w:r>
    </w:p>
  </w:footnote>
  <w:footnote w:id="5">
    <w:p w:rsidR="0099345B" w:rsidP="0099345B" w14:paraId="36FD51E2" w14:textId="77777777">
      <w:pPr>
        <w:pStyle w:val="FootnoteText"/>
        <w:spacing w:after="120"/>
      </w:pPr>
      <w:r>
        <w:rPr>
          <w:rStyle w:val="FootnoteReference"/>
        </w:rPr>
        <w:footnoteRef/>
      </w:r>
      <w:r>
        <w:t xml:space="preserve"> Coinbase at 8, 11.  </w:t>
      </w:r>
    </w:p>
  </w:footnote>
  <w:footnote w:id="6">
    <w:p w:rsidR="00D061F9" w:rsidRPr="007F11D8" w:rsidP="00D061F9" w14:paraId="50FB4D09" w14:textId="77777777">
      <w:pPr>
        <w:pStyle w:val="FootnoteText"/>
        <w:spacing w:after="120"/>
      </w:pPr>
      <w:r w:rsidRPr="007F11D8">
        <w:rPr>
          <w:rStyle w:val="FootnoteReference"/>
        </w:rPr>
        <w:footnoteRef/>
      </w:r>
      <w:r w:rsidRPr="007F11D8">
        <w:t xml:space="preserve"> The 3-year </w:t>
      </w:r>
      <w:r>
        <w:t>a</w:t>
      </w:r>
      <w:r w:rsidRPr="007F11D8">
        <w:t xml:space="preserve">verage </w:t>
      </w:r>
      <w:r>
        <w:t>of</w:t>
      </w:r>
      <w:r w:rsidRPr="007F11D8">
        <w:t xml:space="preserve"> </w:t>
      </w:r>
      <w:r>
        <w:t>t</w:t>
      </w:r>
      <w:r w:rsidRPr="007F11D8">
        <w:t xml:space="preserve">otal </w:t>
      </w:r>
      <w:r>
        <w:t>r</w:t>
      </w:r>
      <w:r w:rsidRPr="007F11D8">
        <w:t>esponses for §§ 40.2 and 40.3 submissions combined was 848 responses, calculated by taking the annual total submissions received under §§ 40.2 and 40.3 combined from all entities and averaging them for the years of 2020, 2021 and 2022.  The estimated number of reports per respondent is calculated as 848 responses divided by 70 respondents (848 responses / 70 respondents = 12 responses per respondent).</w:t>
      </w:r>
    </w:p>
  </w:footnote>
  <w:footnote w:id="7">
    <w:p w:rsidR="00D061F9" w:rsidRPr="007F11D8" w:rsidP="00D061F9" w14:paraId="53C74489" w14:textId="77777777">
      <w:pPr>
        <w:pStyle w:val="FootnoteText"/>
        <w:spacing w:after="120"/>
      </w:pPr>
      <w:r w:rsidRPr="007F11D8">
        <w:rPr>
          <w:rStyle w:val="FootnoteReference"/>
        </w:rPr>
        <w:footnoteRef/>
      </w:r>
      <w:r w:rsidRPr="007F11D8">
        <w:t xml:space="preserve"> The aggregate number of hours per report for §§ 40.2 and 40.3 adds 1 hour </w:t>
      </w:r>
      <w:r>
        <w:t xml:space="preserve">to the existing burden estimate of 21 hours, </w:t>
      </w:r>
      <w:r w:rsidRPr="007F11D8">
        <w:t xml:space="preserve">for a total of 22.   </w:t>
      </w:r>
    </w:p>
  </w:footnote>
  <w:footnote w:id="8">
    <w:p w:rsidR="00D061F9" w:rsidRPr="007F11D8" w:rsidP="00D061F9" w14:paraId="1E9D15B0" w14:textId="77777777">
      <w:pPr>
        <w:pStyle w:val="FootnoteText"/>
        <w:spacing w:after="120"/>
      </w:pPr>
      <w:r w:rsidRPr="007F11D8">
        <w:rPr>
          <w:rStyle w:val="FootnoteReference"/>
        </w:rPr>
        <w:footnoteRef/>
      </w:r>
      <w:r w:rsidRPr="007F11D8">
        <w:t xml:space="preserve"> The estimated gross annual reporting burden (hours) is calculated by multiplying the </w:t>
      </w:r>
      <w:r>
        <w:t>e</w:t>
      </w:r>
      <w:r w:rsidRPr="007F11D8">
        <w:t>stimated number of respondents time</w:t>
      </w:r>
      <w:r>
        <w:t>s</w:t>
      </w:r>
      <w:r w:rsidRPr="007F11D8">
        <w:t xml:space="preserve"> the estimated number of reports per respondent times the average number of hours per report (70 respondents </w:t>
      </w:r>
      <w:r>
        <w:t>×</w:t>
      </w:r>
      <w:r w:rsidRPr="007F11D8">
        <w:t xml:space="preserve"> 12 reports per respondent </w:t>
      </w:r>
      <w:r>
        <w:t>×</w:t>
      </w:r>
      <w:r w:rsidRPr="007F11D8">
        <w:t xml:space="preserve"> 22 hours per report = 18,480 hours)</w:t>
      </w:r>
    </w:p>
  </w:footnote>
  <w:footnote w:id="9">
    <w:p w:rsidR="004078BE" w:rsidRPr="007F11D8" w:rsidP="004078BE" w14:paraId="2DD54327" w14:textId="77777777">
      <w:pPr>
        <w:pStyle w:val="FootnoteText"/>
        <w:spacing w:after="120"/>
      </w:pPr>
      <w:r w:rsidRPr="007F11D8">
        <w:rPr>
          <w:rStyle w:val="FootnoteReference"/>
        </w:rPr>
        <w:footnoteRef/>
      </w:r>
      <w:r w:rsidRPr="007F11D8">
        <w:t xml:space="preserve"> The estimated number of 70 respondents include</w:t>
      </w:r>
      <w:r>
        <w:t>s</w:t>
      </w:r>
      <w:r w:rsidRPr="007F11D8">
        <w:t xml:space="preserve"> 16 active DCMs, 23 registered SEFs, 15 registered DCOs, 5 provisionally registered SDRs</w:t>
      </w:r>
      <w:r>
        <w:t>,</w:t>
      </w:r>
      <w:r w:rsidRPr="007F11D8">
        <w:t xml:space="preserve"> plus pending applications for those entities. </w:t>
      </w:r>
    </w:p>
  </w:footnote>
  <w:footnote w:id="10">
    <w:p w:rsidR="004078BE" w:rsidRPr="007F11D8" w:rsidP="004078BE" w14:paraId="697DEBC8" w14:textId="6BB13FD2">
      <w:pPr>
        <w:pStyle w:val="FootnoteText"/>
        <w:spacing w:after="120"/>
      </w:pPr>
      <w:r w:rsidRPr="007F11D8">
        <w:rPr>
          <w:rStyle w:val="FootnoteReference"/>
        </w:rPr>
        <w:footnoteRef/>
      </w:r>
      <w:r w:rsidRPr="007F11D8">
        <w:t xml:space="preserve"> </w:t>
      </w:r>
      <w:r w:rsidR="00005D94">
        <w:t>T</w:t>
      </w:r>
      <w:r w:rsidRPr="002E66D7">
        <w:t>he</w:t>
      </w:r>
      <w:r w:rsidRPr="002E66D7">
        <w:t xml:space="preserve"> </w:t>
      </w:r>
      <w:r w:rsidRPr="002E66D7">
        <w:t>amendment increases the burden only for § 40.6 filings (and not for § 40.5 filings).</w:t>
      </w:r>
      <w:r>
        <w:t xml:space="preserve">  However, the Commission aggregates §§ 40.5 and 40.6 for PRA purposes.  </w:t>
      </w:r>
      <w:r w:rsidRPr="007F11D8">
        <w:t xml:space="preserve">The 3-year </w:t>
      </w:r>
      <w:r>
        <w:t>a</w:t>
      </w:r>
      <w:r w:rsidRPr="007F11D8">
        <w:t xml:space="preserve">verage </w:t>
      </w:r>
      <w:r>
        <w:t>of</w:t>
      </w:r>
      <w:r w:rsidRPr="007F11D8">
        <w:t xml:space="preserve"> </w:t>
      </w:r>
      <w:r>
        <w:t>t</w:t>
      </w:r>
      <w:r w:rsidRPr="007F11D8">
        <w:t xml:space="preserve">otal </w:t>
      </w:r>
      <w:r>
        <w:t>r</w:t>
      </w:r>
      <w:r w:rsidRPr="007F11D8">
        <w:t>esponses for §§ 40.5 and 40.6 submissions combined was 1,412 responses, calculated by taking the annual total submissions received under §§ 40.5 and 40.6 combined from all entities and averaging them for the years of 2020, 2021 and 2022.  The estimated number of reports per respondent is calculated as 1,412 responses divided by 70 respondents (1,412 responses/70 respondents = 20 responses per respondent).</w:t>
      </w:r>
      <w:r>
        <w:t xml:space="preserve">  </w:t>
      </w:r>
    </w:p>
  </w:footnote>
  <w:footnote w:id="11">
    <w:p w:rsidR="004078BE" w:rsidRPr="007F11D8" w:rsidP="004078BE" w14:paraId="1ECB55D6" w14:textId="752552F6">
      <w:pPr>
        <w:pStyle w:val="FootnoteText"/>
        <w:spacing w:after="120"/>
      </w:pPr>
      <w:r w:rsidRPr="007F11D8">
        <w:rPr>
          <w:rStyle w:val="FootnoteReference"/>
        </w:rPr>
        <w:footnoteRef/>
      </w:r>
      <w:r w:rsidRPr="007F11D8">
        <w:t xml:space="preserve"> The aggregate number of hours per report for §§ 40.5 and 40.6 adds 0.5 hour</w:t>
      </w:r>
      <w:r>
        <w:t>s to the existing burden of 2 hours per report,</w:t>
      </w:r>
      <w:r w:rsidRPr="007F11D8">
        <w:t xml:space="preserve"> for a total of 2.5.</w:t>
      </w:r>
    </w:p>
  </w:footnote>
  <w:footnote w:id="12">
    <w:p w:rsidR="004078BE" w:rsidRPr="007F11D8" w:rsidP="004078BE" w14:paraId="79A8C815" w14:textId="5848F598">
      <w:pPr>
        <w:pStyle w:val="FootnoteText"/>
        <w:spacing w:after="120"/>
      </w:pPr>
      <w:r w:rsidRPr="007F11D8">
        <w:rPr>
          <w:rStyle w:val="FootnoteReference"/>
        </w:rPr>
        <w:footnoteRef/>
      </w:r>
      <w:r w:rsidRPr="007F11D8">
        <w:t xml:space="preserve"> The estimated gross annual reporting burden (hours) is calculated by multiplying the estimated number of respondents times the estimated number of reports per respondent times the average number of hours per report (70 res</w:t>
      </w:r>
      <w:r>
        <w:t>p</w:t>
      </w:r>
      <w:r w:rsidRPr="007F11D8">
        <w:t xml:space="preserve">ondents </w:t>
      </w:r>
      <w:r w:rsidR="005C349C">
        <w:t>×</w:t>
      </w:r>
      <w:r w:rsidRPr="007F11D8">
        <w:t xml:space="preserve"> 20 reports per respondent </w:t>
      </w:r>
      <w:r w:rsidR="005C349C">
        <w:t>×</w:t>
      </w:r>
      <w:r w:rsidRPr="007F11D8">
        <w:t xml:space="preserve"> 2.5 hours per report = 3,500 hours).</w:t>
      </w:r>
    </w:p>
  </w:footnote>
  <w:footnote w:id="13">
    <w:p w:rsidR="008C761E" w:rsidRPr="008C761E" w:rsidP="00AB537A" w14:paraId="0D587615" w14:textId="22EB9C0E">
      <w:pPr>
        <w:pStyle w:val="FootnoteText"/>
        <w:rPr>
          <w:sz w:val="16"/>
          <w:szCs w:val="16"/>
        </w:rPr>
      </w:pPr>
      <w:r>
        <w:rPr>
          <w:rStyle w:val="FootnoteReference"/>
        </w:rPr>
        <w:footnoteRef/>
      </w:r>
      <w:r>
        <w:t xml:space="preserve"> </w:t>
      </w:r>
      <w:r>
        <w:rPr>
          <w:sz w:val="16"/>
          <w:szCs w:val="16"/>
        </w:rPr>
        <w:t xml:space="preserve">The totals for estimated numbers of reports by respondent per year are rounded.  These estimates are derived by dividing the total number of responses in Column 8 (based on </w:t>
      </w:r>
      <w:r w:rsidR="003132BA">
        <w:rPr>
          <w:sz w:val="16"/>
          <w:szCs w:val="16"/>
        </w:rPr>
        <w:t>an average of actual filings submitted to the Commission over the past three years</w:t>
      </w:r>
      <w:r>
        <w:rPr>
          <w:sz w:val="16"/>
          <w:szCs w:val="16"/>
        </w:rPr>
        <w:t>) by the total number of respondents</w:t>
      </w:r>
      <w:r w:rsidR="00AB537A">
        <w:rPr>
          <w:sz w:val="16"/>
          <w:szCs w:val="16"/>
        </w:rPr>
        <w:t xml:space="preserve"> shown in Column 2.</w:t>
      </w:r>
      <w:r>
        <w:rPr>
          <w:sz w:val="16"/>
          <w:szCs w:val="16"/>
        </w:rPr>
        <w:t xml:space="preserve"> </w:t>
      </w:r>
    </w:p>
  </w:footnote>
  <w:footnote w:id="14">
    <w:p w:rsidR="007936F5" w:rsidRPr="0082796F" w:rsidP="00AB537A" w14:paraId="0771145E" w14:textId="5F2DB9DC">
      <w:pPr>
        <w:pStyle w:val="FootnoteText"/>
        <w:rPr>
          <w:rFonts w:eastAsia="Calibri"/>
          <w:sz w:val="16"/>
          <w:szCs w:val="16"/>
        </w:rPr>
      </w:pPr>
      <w:r w:rsidRPr="0082796F">
        <w:rPr>
          <w:rStyle w:val="FootnoteReference"/>
          <w:sz w:val="16"/>
          <w:szCs w:val="16"/>
        </w:rPr>
        <w:footnoteRef/>
      </w:r>
      <w:r w:rsidRPr="0082796F" w:rsidR="3A2A97E0">
        <w:rPr>
          <w:sz w:val="16"/>
          <w:szCs w:val="16"/>
        </w:rPr>
        <w:t xml:space="preserve"> </w:t>
      </w:r>
      <w:r w:rsidR="00D22594">
        <w:rPr>
          <w:rFonts w:eastAsia="Calibri"/>
          <w:sz w:val="16"/>
          <w:szCs w:val="16"/>
        </w:rPr>
        <w:t>For §§ 40.2. 40.3. 40.5, 40.6, and 40.10, the</w:t>
      </w:r>
      <w:r w:rsidRPr="0082796F" w:rsidR="00D22594">
        <w:rPr>
          <w:rFonts w:eastAsia="Calibri"/>
          <w:sz w:val="16"/>
          <w:szCs w:val="16"/>
        </w:rPr>
        <w:t xml:space="preserve"> </w:t>
      </w:r>
      <w:r w:rsidRPr="0082796F" w:rsidR="3A2A97E0">
        <w:rPr>
          <w:rFonts w:eastAsia="Calibri"/>
          <w:sz w:val="16"/>
          <w:szCs w:val="16"/>
        </w:rPr>
        <w:t>Commission is providing a blended rate using estimated industry specific wages for Compliance Officer and Lawyers multiplied by 1.3 to account for overhead and other benefits</w:t>
      </w:r>
      <w:r w:rsidR="00D22594">
        <w:rPr>
          <w:rFonts w:eastAsia="Calibri"/>
          <w:sz w:val="16"/>
          <w:szCs w:val="16"/>
        </w:rPr>
        <w:t xml:space="preserve"> using data from </w:t>
      </w:r>
      <w:r w:rsidR="001435CD">
        <w:rPr>
          <w:rFonts w:eastAsia="Calibri"/>
          <w:sz w:val="16"/>
          <w:szCs w:val="16"/>
        </w:rPr>
        <w:t>2023</w:t>
      </w:r>
      <w:r w:rsidRPr="0082796F" w:rsidR="3A2A97E0">
        <w:rPr>
          <w:rFonts w:eastAsia="Calibri"/>
          <w:sz w:val="16"/>
          <w:szCs w:val="16"/>
        </w:rPr>
        <w:t>.  Per the U.S. Bureau of Labor Statistics, national industry-specific occupational employment and wage estimates with data collected from employers in the securities, commodity contracts, and other financial investments and related activities</w:t>
      </w:r>
      <w:r w:rsidRPr="0082796F" w:rsidR="003A2080">
        <w:rPr>
          <w:rFonts w:eastAsia="Calibri"/>
          <w:sz w:val="16"/>
          <w:szCs w:val="16"/>
        </w:rPr>
        <w:t xml:space="preserve"> </w:t>
      </w:r>
      <w:r w:rsidRPr="0082796F" w:rsidR="3A2A97E0">
        <w:rPr>
          <w:rFonts w:eastAsia="Calibri"/>
          <w:sz w:val="16"/>
          <w:szCs w:val="16"/>
        </w:rPr>
        <w:t>(NAICS 523000) provides that the mean hourly wage for a compliance officer is $4</w:t>
      </w:r>
      <w:r w:rsidR="00B7195E">
        <w:rPr>
          <w:rFonts w:eastAsia="Calibri"/>
          <w:sz w:val="16"/>
          <w:szCs w:val="16"/>
        </w:rPr>
        <w:t>5.47</w:t>
      </w:r>
      <w:r w:rsidRPr="0082796F" w:rsidR="3A2A97E0">
        <w:rPr>
          <w:rFonts w:eastAsia="Calibri"/>
          <w:sz w:val="16"/>
          <w:szCs w:val="16"/>
        </w:rPr>
        <w:t xml:space="preserve"> and lawyer is $1</w:t>
      </w:r>
      <w:r w:rsidR="00B7195E">
        <w:rPr>
          <w:rFonts w:eastAsia="Calibri"/>
          <w:sz w:val="16"/>
          <w:szCs w:val="16"/>
        </w:rPr>
        <w:t>26.97</w:t>
      </w:r>
      <w:r w:rsidRPr="0082796F" w:rsidR="3A2A97E0">
        <w:rPr>
          <w:rFonts w:eastAsia="Calibri"/>
          <w:sz w:val="16"/>
          <w:szCs w:val="16"/>
        </w:rPr>
        <w:t>.  The average of those wages is $8</w:t>
      </w:r>
      <w:r w:rsidR="00B7195E">
        <w:rPr>
          <w:rFonts w:eastAsia="Calibri"/>
          <w:sz w:val="16"/>
          <w:szCs w:val="16"/>
        </w:rPr>
        <w:t>6.22</w:t>
      </w:r>
      <w:r w:rsidRPr="0082796F" w:rsidR="3A2A97E0">
        <w:rPr>
          <w:rFonts w:eastAsia="Calibri"/>
          <w:sz w:val="16"/>
          <w:szCs w:val="16"/>
        </w:rPr>
        <w:t>, when adjusted by 1.3 multiplier noted above results in the average hourly wage of $</w:t>
      </w:r>
      <w:r w:rsidRPr="0082796F" w:rsidR="3A2A97E0">
        <w:rPr>
          <w:rFonts w:eastAsia="Calibri"/>
          <w:sz w:val="16"/>
          <w:szCs w:val="16"/>
        </w:rPr>
        <w:t>1</w:t>
      </w:r>
      <w:r w:rsidR="00B7195E">
        <w:rPr>
          <w:rFonts w:eastAsia="Calibri"/>
          <w:sz w:val="16"/>
          <w:szCs w:val="16"/>
        </w:rPr>
        <w:t>12</w:t>
      </w:r>
      <w:r w:rsidRPr="0082796F" w:rsidR="3A2A97E0">
        <w:rPr>
          <w:rFonts w:eastAsia="Calibri"/>
          <w:sz w:val="16"/>
          <w:szCs w:val="16"/>
        </w:rPr>
        <w:t xml:space="preserve">  </w:t>
      </w:r>
      <w:r w:rsidRPr="0082796F" w:rsidR="3A2A97E0">
        <w:rPr>
          <w:rFonts w:eastAsia="Calibri"/>
          <w:i/>
          <w:iCs/>
          <w:sz w:val="16"/>
          <w:szCs w:val="16"/>
        </w:rPr>
        <w:t>See</w:t>
      </w:r>
      <w:r w:rsidRPr="0082796F" w:rsidR="003A2080">
        <w:rPr>
          <w:rFonts w:eastAsia="Calibri"/>
          <w:sz w:val="16"/>
          <w:szCs w:val="16"/>
        </w:rPr>
        <w:t xml:space="preserve"> </w:t>
      </w:r>
      <w:r w:rsidRPr="0082796F" w:rsidR="3A2A97E0">
        <w:rPr>
          <w:rFonts w:eastAsia="Calibri"/>
          <w:sz w:val="16"/>
          <w:szCs w:val="16"/>
        </w:rPr>
        <w:t xml:space="preserve">May </w:t>
      </w:r>
      <w:r w:rsidRPr="0082796F" w:rsidR="001435CD">
        <w:rPr>
          <w:rFonts w:eastAsia="Calibri"/>
          <w:sz w:val="16"/>
          <w:szCs w:val="16"/>
        </w:rPr>
        <w:t>202</w:t>
      </w:r>
      <w:r w:rsidR="001435CD">
        <w:rPr>
          <w:rFonts w:eastAsia="Calibri"/>
          <w:sz w:val="16"/>
          <w:szCs w:val="16"/>
        </w:rPr>
        <w:t>3</w:t>
      </w:r>
      <w:r w:rsidRPr="0082796F" w:rsidR="001435CD">
        <w:rPr>
          <w:rFonts w:eastAsia="Calibri"/>
          <w:sz w:val="16"/>
          <w:szCs w:val="16"/>
        </w:rPr>
        <w:t xml:space="preserve"> </w:t>
      </w:r>
      <w:r w:rsidRPr="0082796F" w:rsidR="3A2A97E0">
        <w:rPr>
          <w:rFonts w:eastAsia="Calibri"/>
          <w:sz w:val="16"/>
          <w:szCs w:val="16"/>
        </w:rPr>
        <w:t>National Industry-Specific Occupational Employment and Wage Estimates, NAICS 523000 - Securities, Commodity Contracts, and Other Financial Investments and Related Activities, available at: https://www.bls.gov/oes/current/naics3_523000.htm.</w:t>
      </w:r>
    </w:p>
  </w:footnote>
  <w:footnote w:id="15">
    <w:p w:rsidR="008C761E" w:rsidRPr="003132BA" w:rsidP="00AB537A" w14:paraId="13C59952" w14:textId="1CBE509E">
      <w:pPr>
        <w:pStyle w:val="FootnoteText"/>
      </w:pPr>
      <w:r>
        <w:rPr>
          <w:rStyle w:val="FootnoteReference"/>
        </w:rPr>
        <w:footnoteRef/>
      </w:r>
      <w:r>
        <w:t xml:space="preserve"> </w:t>
      </w:r>
      <w:r w:rsidR="003132BA">
        <w:rPr>
          <w:sz w:val="16"/>
          <w:szCs w:val="16"/>
        </w:rPr>
        <w:t>The Total Annual Responses in column 8 were obtained by querying the Commission’s Portal for the past three years of filings, which were averaged for an annual estimate</w:t>
      </w:r>
      <w:r w:rsidR="009F4764">
        <w:rPr>
          <w:sz w:val="16"/>
          <w:szCs w:val="16"/>
        </w:rPr>
        <w:t xml:space="preserve"> </w:t>
      </w:r>
    </w:p>
  </w:footnote>
  <w:footnote w:id="16">
    <w:p w:rsidR="00D22594" w:rsidRPr="00A17C2A" w:rsidP="00AB537A" w14:paraId="2C28D179" w14:textId="355BFADE">
      <w:pPr>
        <w:pStyle w:val="FootnoteText"/>
        <w:rPr>
          <w:sz w:val="16"/>
          <w:szCs w:val="16"/>
        </w:rPr>
      </w:pPr>
      <w:r w:rsidRPr="00A17C2A">
        <w:rPr>
          <w:rStyle w:val="FootnoteReference"/>
          <w:sz w:val="16"/>
          <w:szCs w:val="16"/>
        </w:rPr>
        <w:footnoteRef/>
      </w:r>
      <w:r w:rsidRPr="00A17C2A">
        <w:rPr>
          <w:sz w:val="16"/>
          <w:szCs w:val="16"/>
        </w:rPr>
        <w:t xml:space="preserve"> The total number of respondents for </w:t>
      </w:r>
      <w:r>
        <w:rPr>
          <w:sz w:val="16"/>
          <w:szCs w:val="16"/>
        </w:rPr>
        <w:t>the Information Collection</w:t>
      </w:r>
      <w:r w:rsidRPr="00A17C2A">
        <w:rPr>
          <w:sz w:val="16"/>
          <w:szCs w:val="16"/>
        </w:rPr>
        <w:t xml:space="preserve"> is 70.  </w:t>
      </w:r>
      <w:r w:rsidR="00C30BEE">
        <w:rPr>
          <w:sz w:val="16"/>
          <w:szCs w:val="16"/>
        </w:rPr>
        <w:t>A</w:t>
      </w:r>
      <w:r w:rsidRPr="00A17C2A">
        <w:rPr>
          <w:sz w:val="16"/>
          <w:szCs w:val="16"/>
        </w:rPr>
        <w:t xml:space="preserve"> subset of 2 </w:t>
      </w:r>
      <w:r w:rsidR="00C30BEE">
        <w:rPr>
          <w:sz w:val="16"/>
          <w:szCs w:val="16"/>
        </w:rPr>
        <w:t xml:space="preserve">respondents </w:t>
      </w:r>
      <w:r w:rsidRPr="00A17C2A">
        <w:rPr>
          <w:sz w:val="16"/>
          <w:szCs w:val="16"/>
        </w:rPr>
        <w:t xml:space="preserve">file </w:t>
      </w:r>
      <w:r>
        <w:rPr>
          <w:sz w:val="16"/>
          <w:szCs w:val="16"/>
        </w:rPr>
        <w:t>reports</w:t>
      </w:r>
      <w:r w:rsidRPr="00A17C2A">
        <w:rPr>
          <w:sz w:val="16"/>
          <w:szCs w:val="16"/>
        </w:rPr>
        <w:t xml:space="preserve"> under § 40.10.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0DF" w14:paraId="3EBC1D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507B"/>
    <w:multiLevelType w:val="hybridMultilevel"/>
    <w:tmpl w:val="CC86D8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83301592">
    <w:abstractNumId w:val="0"/>
  </w:num>
  <w:num w:numId="2" w16cid:durableId="38306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F"/>
    <w:rsid w:val="00005D94"/>
    <w:rsid w:val="00012F85"/>
    <w:rsid w:val="0001671B"/>
    <w:rsid w:val="00030E91"/>
    <w:rsid w:val="00037A94"/>
    <w:rsid w:val="00041996"/>
    <w:rsid w:val="00042B22"/>
    <w:rsid w:val="000530F8"/>
    <w:rsid w:val="00054A5F"/>
    <w:rsid w:val="000576BF"/>
    <w:rsid w:val="00060688"/>
    <w:rsid w:val="00070AF4"/>
    <w:rsid w:val="00072097"/>
    <w:rsid w:val="00072486"/>
    <w:rsid w:val="00072761"/>
    <w:rsid w:val="000803D6"/>
    <w:rsid w:val="00080548"/>
    <w:rsid w:val="00082645"/>
    <w:rsid w:val="00082C11"/>
    <w:rsid w:val="00086465"/>
    <w:rsid w:val="00097261"/>
    <w:rsid w:val="000A0553"/>
    <w:rsid w:val="000B727D"/>
    <w:rsid w:val="000C220F"/>
    <w:rsid w:val="000C251D"/>
    <w:rsid w:val="000D002D"/>
    <w:rsid w:val="000E1AEE"/>
    <w:rsid w:val="000E1DF0"/>
    <w:rsid w:val="000E2909"/>
    <w:rsid w:val="000E47FD"/>
    <w:rsid w:val="000E5773"/>
    <w:rsid w:val="000E6888"/>
    <w:rsid w:val="000F420C"/>
    <w:rsid w:val="000F700E"/>
    <w:rsid w:val="000F7512"/>
    <w:rsid w:val="0010119C"/>
    <w:rsid w:val="00112BE4"/>
    <w:rsid w:val="00112D2B"/>
    <w:rsid w:val="00113EB0"/>
    <w:rsid w:val="00115369"/>
    <w:rsid w:val="001174A2"/>
    <w:rsid w:val="00127E98"/>
    <w:rsid w:val="001417D0"/>
    <w:rsid w:val="00143363"/>
    <w:rsid w:val="001435CD"/>
    <w:rsid w:val="00147462"/>
    <w:rsid w:val="001518FF"/>
    <w:rsid w:val="00152732"/>
    <w:rsid w:val="001532E5"/>
    <w:rsid w:val="001808E9"/>
    <w:rsid w:val="00183FB5"/>
    <w:rsid w:val="00185A95"/>
    <w:rsid w:val="00185B27"/>
    <w:rsid w:val="00190283"/>
    <w:rsid w:val="001924AC"/>
    <w:rsid w:val="001B0806"/>
    <w:rsid w:val="001D0F6C"/>
    <w:rsid w:val="001E2311"/>
    <w:rsid w:val="001E6528"/>
    <w:rsid w:val="001E6564"/>
    <w:rsid w:val="00223D05"/>
    <w:rsid w:val="0022560D"/>
    <w:rsid w:val="00227457"/>
    <w:rsid w:val="00227EAA"/>
    <w:rsid w:val="002375E8"/>
    <w:rsid w:val="0024190E"/>
    <w:rsid w:val="002601C2"/>
    <w:rsid w:val="002634DB"/>
    <w:rsid w:val="00266604"/>
    <w:rsid w:val="002671FC"/>
    <w:rsid w:val="00270670"/>
    <w:rsid w:val="00271E7A"/>
    <w:rsid w:val="00275123"/>
    <w:rsid w:val="002819B6"/>
    <w:rsid w:val="002821B6"/>
    <w:rsid w:val="002B3973"/>
    <w:rsid w:val="002B49FB"/>
    <w:rsid w:val="002D3FBF"/>
    <w:rsid w:val="002E020B"/>
    <w:rsid w:val="002E3635"/>
    <w:rsid w:val="002E5341"/>
    <w:rsid w:val="002E66D7"/>
    <w:rsid w:val="002E6DAA"/>
    <w:rsid w:val="002F6957"/>
    <w:rsid w:val="00302008"/>
    <w:rsid w:val="003046EA"/>
    <w:rsid w:val="00307E70"/>
    <w:rsid w:val="00310B42"/>
    <w:rsid w:val="003132BA"/>
    <w:rsid w:val="003142A7"/>
    <w:rsid w:val="00316A4A"/>
    <w:rsid w:val="003200CF"/>
    <w:rsid w:val="003216DB"/>
    <w:rsid w:val="003313F7"/>
    <w:rsid w:val="00360054"/>
    <w:rsid w:val="00362E40"/>
    <w:rsid w:val="00375F0C"/>
    <w:rsid w:val="00381817"/>
    <w:rsid w:val="003855F2"/>
    <w:rsid w:val="003860DE"/>
    <w:rsid w:val="00386B6D"/>
    <w:rsid w:val="003A2080"/>
    <w:rsid w:val="003B0A71"/>
    <w:rsid w:val="003B1994"/>
    <w:rsid w:val="003D01BC"/>
    <w:rsid w:val="003D2236"/>
    <w:rsid w:val="003D29E1"/>
    <w:rsid w:val="003E2E56"/>
    <w:rsid w:val="003E3804"/>
    <w:rsid w:val="003E3BE1"/>
    <w:rsid w:val="003E4706"/>
    <w:rsid w:val="003F00AD"/>
    <w:rsid w:val="00403823"/>
    <w:rsid w:val="004078BE"/>
    <w:rsid w:val="00411C02"/>
    <w:rsid w:val="004149D3"/>
    <w:rsid w:val="00431A41"/>
    <w:rsid w:val="00442F8D"/>
    <w:rsid w:val="004770D7"/>
    <w:rsid w:val="00480470"/>
    <w:rsid w:val="00481EBF"/>
    <w:rsid w:val="00482A98"/>
    <w:rsid w:val="004838C7"/>
    <w:rsid w:val="00493721"/>
    <w:rsid w:val="004A2CF6"/>
    <w:rsid w:val="004A301A"/>
    <w:rsid w:val="004B0212"/>
    <w:rsid w:val="004B12D3"/>
    <w:rsid w:val="004B34B9"/>
    <w:rsid w:val="004B4E46"/>
    <w:rsid w:val="004C71AC"/>
    <w:rsid w:val="004C79B7"/>
    <w:rsid w:val="004D014B"/>
    <w:rsid w:val="004D5495"/>
    <w:rsid w:val="004E43DA"/>
    <w:rsid w:val="00500B2B"/>
    <w:rsid w:val="00501428"/>
    <w:rsid w:val="00504C56"/>
    <w:rsid w:val="00506D74"/>
    <w:rsid w:val="00507C2A"/>
    <w:rsid w:val="005131BF"/>
    <w:rsid w:val="00513D9E"/>
    <w:rsid w:val="00524918"/>
    <w:rsid w:val="0053222D"/>
    <w:rsid w:val="005362DE"/>
    <w:rsid w:val="00542BAA"/>
    <w:rsid w:val="005462A4"/>
    <w:rsid w:val="00551EB8"/>
    <w:rsid w:val="005570A5"/>
    <w:rsid w:val="00565296"/>
    <w:rsid w:val="00584402"/>
    <w:rsid w:val="00584808"/>
    <w:rsid w:val="00585718"/>
    <w:rsid w:val="005B5FA8"/>
    <w:rsid w:val="005C349C"/>
    <w:rsid w:val="005C445F"/>
    <w:rsid w:val="005C7654"/>
    <w:rsid w:val="005C7D8A"/>
    <w:rsid w:val="005D1055"/>
    <w:rsid w:val="005F4482"/>
    <w:rsid w:val="00602068"/>
    <w:rsid w:val="00603512"/>
    <w:rsid w:val="0060490D"/>
    <w:rsid w:val="00607D38"/>
    <w:rsid w:val="00615E4C"/>
    <w:rsid w:val="006163DC"/>
    <w:rsid w:val="006200F5"/>
    <w:rsid w:val="00623913"/>
    <w:rsid w:val="006243BC"/>
    <w:rsid w:val="006246D8"/>
    <w:rsid w:val="00625AA1"/>
    <w:rsid w:val="0063422E"/>
    <w:rsid w:val="0063622E"/>
    <w:rsid w:val="00637BE5"/>
    <w:rsid w:val="006420B8"/>
    <w:rsid w:val="00643252"/>
    <w:rsid w:val="00646BF7"/>
    <w:rsid w:val="00646D53"/>
    <w:rsid w:val="00646F67"/>
    <w:rsid w:val="00654294"/>
    <w:rsid w:val="0066755D"/>
    <w:rsid w:val="00667CD6"/>
    <w:rsid w:val="00674F18"/>
    <w:rsid w:val="00676ACA"/>
    <w:rsid w:val="006840E8"/>
    <w:rsid w:val="006921FB"/>
    <w:rsid w:val="006A4E2A"/>
    <w:rsid w:val="006A6ABE"/>
    <w:rsid w:val="006B1BD7"/>
    <w:rsid w:val="006B2565"/>
    <w:rsid w:val="006B4FD9"/>
    <w:rsid w:val="006C31EC"/>
    <w:rsid w:val="006C433A"/>
    <w:rsid w:val="006D4CDB"/>
    <w:rsid w:val="006E504E"/>
    <w:rsid w:val="006F47B3"/>
    <w:rsid w:val="007029A9"/>
    <w:rsid w:val="00705F6F"/>
    <w:rsid w:val="00706BE8"/>
    <w:rsid w:val="007117F5"/>
    <w:rsid w:val="00713C5E"/>
    <w:rsid w:val="007141E8"/>
    <w:rsid w:val="0071759C"/>
    <w:rsid w:val="00727837"/>
    <w:rsid w:val="00743FE9"/>
    <w:rsid w:val="00755021"/>
    <w:rsid w:val="00763976"/>
    <w:rsid w:val="00766327"/>
    <w:rsid w:val="0077280B"/>
    <w:rsid w:val="007750CE"/>
    <w:rsid w:val="00790900"/>
    <w:rsid w:val="00791D3E"/>
    <w:rsid w:val="007936F5"/>
    <w:rsid w:val="0079407C"/>
    <w:rsid w:val="007942EE"/>
    <w:rsid w:val="00797A39"/>
    <w:rsid w:val="007A3682"/>
    <w:rsid w:val="007A3DB4"/>
    <w:rsid w:val="007B4B2D"/>
    <w:rsid w:val="007B55D0"/>
    <w:rsid w:val="007B5A63"/>
    <w:rsid w:val="007D0138"/>
    <w:rsid w:val="007E5B95"/>
    <w:rsid w:val="007F11D8"/>
    <w:rsid w:val="007F43FD"/>
    <w:rsid w:val="007F69D0"/>
    <w:rsid w:val="007F7877"/>
    <w:rsid w:val="008114B1"/>
    <w:rsid w:val="0081595B"/>
    <w:rsid w:val="00815CD7"/>
    <w:rsid w:val="00822C94"/>
    <w:rsid w:val="0082796F"/>
    <w:rsid w:val="00834234"/>
    <w:rsid w:val="00834BD3"/>
    <w:rsid w:val="00836497"/>
    <w:rsid w:val="00856365"/>
    <w:rsid w:val="00857487"/>
    <w:rsid w:val="0086300F"/>
    <w:rsid w:val="00864D9A"/>
    <w:rsid w:val="00870C8A"/>
    <w:rsid w:val="008751C2"/>
    <w:rsid w:val="008756F8"/>
    <w:rsid w:val="0089413A"/>
    <w:rsid w:val="00894F84"/>
    <w:rsid w:val="008A0EB3"/>
    <w:rsid w:val="008A5F62"/>
    <w:rsid w:val="008B3082"/>
    <w:rsid w:val="008B420F"/>
    <w:rsid w:val="008C761E"/>
    <w:rsid w:val="008D0A14"/>
    <w:rsid w:val="008D6F48"/>
    <w:rsid w:val="00901A28"/>
    <w:rsid w:val="00901D65"/>
    <w:rsid w:val="00907CEE"/>
    <w:rsid w:val="00915AB0"/>
    <w:rsid w:val="00924B83"/>
    <w:rsid w:val="00927A63"/>
    <w:rsid w:val="009309EC"/>
    <w:rsid w:val="00931BB6"/>
    <w:rsid w:val="00933A95"/>
    <w:rsid w:val="00943477"/>
    <w:rsid w:val="009442DC"/>
    <w:rsid w:val="00965DB8"/>
    <w:rsid w:val="0096708A"/>
    <w:rsid w:val="00974A92"/>
    <w:rsid w:val="00974FCA"/>
    <w:rsid w:val="009779B8"/>
    <w:rsid w:val="00992C71"/>
    <w:rsid w:val="0099345B"/>
    <w:rsid w:val="00994495"/>
    <w:rsid w:val="009A69E7"/>
    <w:rsid w:val="009B203C"/>
    <w:rsid w:val="009B5843"/>
    <w:rsid w:val="009B5EB0"/>
    <w:rsid w:val="009D6E96"/>
    <w:rsid w:val="009D73DA"/>
    <w:rsid w:val="009E5B2E"/>
    <w:rsid w:val="009E71C0"/>
    <w:rsid w:val="009F0F30"/>
    <w:rsid w:val="009F1472"/>
    <w:rsid w:val="009F4764"/>
    <w:rsid w:val="009F6080"/>
    <w:rsid w:val="009F61AE"/>
    <w:rsid w:val="00A05C18"/>
    <w:rsid w:val="00A17C2A"/>
    <w:rsid w:val="00A2041D"/>
    <w:rsid w:val="00A22A55"/>
    <w:rsid w:val="00A25434"/>
    <w:rsid w:val="00A25B88"/>
    <w:rsid w:val="00A3457C"/>
    <w:rsid w:val="00A35B90"/>
    <w:rsid w:val="00A35CD1"/>
    <w:rsid w:val="00A417C5"/>
    <w:rsid w:val="00A427C4"/>
    <w:rsid w:val="00A524A7"/>
    <w:rsid w:val="00A532E6"/>
    <w:rsid w:val="00A53636"/>
    <w:rsid w:val="00A60E81"/>
    <w:rsid w:val="00A62D8F"/>
    <w:rsid w:val="00A62E04"/>
    <w:rsid w:val="00A72BCB"/>
    <w:rsid w:val="00A74061"/>
    <w:rsid w:val="00A8301A"/>
    <w:rsid w:val="00A97539"/>
    <w:rsid w:val="00AA10DF"/>
    <w:rsid w:val="00AA3EA9"/>
    <w:rsid w:val="00AA5877"/>
    <w:rsid w:val="00AA63A3"/>
    <w:rsid w:val="00AB3971"/>
    <w:rsid w:val="00AB4262"/>
    <w:rsid w:val="00AB537A"/>
    <w:rsid w:val="00AB664E"/>
    <w:rsid w:val="00AD013F"/>
    <w:rsid w:val="00AD2E35"/>
    <w:rsid w:val="00AE2934"/>
    <w:rsid w:val="00AE2F40"/>
    <w:rsid w:val="00AE4532"/>
    <w:rsid w:val="00AE7F0C"/>
    <w:rsid w:val="00AF030C"/>
    <w:rsid w:val="00AF446F"/>
    <w:rsid w:val="00AF4C7F"/>
    <w:rsid w:val="00AF5315"/>
    <w:rsid w:val="00B1093F"/>
    <w:rsid w:val="00B3385A"/>
    <w:rsid w:val="00B4040B"/>
    <w:rsid w:val="00B40A14"/>
    <w:rsid w:val="00B42A90"/>
    <w:rsid w:val="00B55465"/>
    <w:rsid w:val="00B555DB"/>
    <w:rsid w:val="00B6005E"/>
    <w:rsid w:val="00B6268A"/>
    <w:rsid w:val="00B63A94"/>
    <w:rsid w:val="00B6782F"/>
    <w:rsid w:val="00B7195E"/>
    <w:rsid w:val="00B80A18"/>
    <w:rsid w:val="00B91704"/>
    <w:rsid w:val="00B95581"/>
    <w:rsid w:val="00BA36C3"/>
    <w:rsid w:val="00BA4016"/>
    <w:rsid w:val="00BA5069"/>
    <w:rsid w:val="00BA525A"/>
    <w:rsid w:val="00BB23B4"/>
    <w:rsid w:val="00BB42DD"/>
    <w:rsid w:val="00BB4FA7"/>
    <w:rsid w:val="00BB52AB"/>
    <w:rsid w:val="00BB5C30"/>
    <w:rsid w:val="00BB65F3"/>
    <w:rsid w:val="00BE0A96"/>
    <w:rsid w:val="00BE21A0"/>
    <w:rsid w:val="00BE4B98"/>
    <w:rsid w:val="00BE6AC8"/>
    <w:rsid w:val="00C00623"/>
    <w:rsid w:val="00C03D0C"/>
    <w:rsid w:val="00C05C3F"/>
    <w:rsid w:val="00C078D4"/>
    <w:rsid w:val="00C23A3C"/>
    <w:rsid w:val="00C252A3"/>
    <w:rsid w:val="00C26F4F"/>
    <w:rsid w:val="00C30BD6"/>
    <w:rsid w:val="00C30BEE"/>
    <w:rsid w:val="00C32674"/>
    <w:rsid w:val="00C35880"/>
    <w:rsid w:val="00C41377"/>
    <w:rsid w:val="00C452B9"/>
    <w:rsid w:val="00C46C96"/>
    <w:rsid w:val="00C47EEB"/>
    <w:rsid w:val="00C5369B"/>
    <w:rsid w:val="00C54780"/>
    <w:rsid w:val="00C575C2"/>
    <w:rsid w:val="00C60F73"/>
    <w:rsid w:val="00C663C3"/>
    <w:rsid w:val="00C72912"/>
    <w:rsid w:val="00C740EE"/>
    <w:rsid w:val="00C761C9"/>
    <w:rsid w:val="00CA05F2"/>
    <w:rsid w:val="00CA1E37"/>
    <w:rsid w:val="00CA24B8"/>
    <w:rsid w:val="00CB2EA3"/>
    <w:rsid w:val="00CC1218"/>
    <w:rsid w:val="00CD7B04"/>
    <w:rsid w:val="00CE0598"/>
    <w:rsid w:val="00CE1D7C"/>
    <w:rsid w:val="00CE2BA2"/>
    <w:rsid w:val="00CE4B1A"/>
    <w:rsid w:val="00D061F9"/>
    <w:rsid w:val="00D14BEE"/>
    <w:rsid w:val="00D2078A"/>
    <w:rsid w:val="00D22594"/>
    <w:rsid w:val="00D27AE8"/>
    <w:rsid w:val="00D32331"/>
    <w:rsid w:val="00D468FE"/>
    <w:rsid w:val="00D52338"/>
    <w:rsid w:val="00D52367"/>
    <w:rsid w:val="00D56954"/>
    <w:rsid w:val="00D608E6"/>
    <w:rsid w:val="00D63FF6"/>
    <w:rsid w:val="00D6405D"/>
    <w:rsid w:val="00D64FBE"/>
    <w:rsid w:val="00D677D9"/>
    <w:rsid w:val="00D77A91"/>
    <w:rsid w:val="00D837AA"/>
    <w:rsid w:val="00DA66F3"/>
    <w:rsid w:val="00DA7A5F"/>
    <w:rsid w:val="00DB0E27"/>
    <w:rsid w:val="00DB1AD1"/>
    <w:rsid w:val="00DB4C0C"/>
    <w:rsid w:val="00DB7297"/>
    <w:rsid w:val="00DC5D4B"/>
    <w:rsid w:val="00DD59A2"/>
    <w:rsid w:val="00DE1261"/>
    <w:rsid w:val="00DE4346"/>
    <w:rsid w:val="00DE6D8D"/>
    <w:rsid w:val="00DE7F7F"/>
    <w:rsid w:val="00DF31F9"/>
    <w:rsid w:val="00E006FB"/>
    <w:rsid w:val="00E04E05"/>
    <w:rsid w:val="00E056E4"/>
    <w:rsid w:val="00E15032"/>
    <w:rsid w:val="00E16250"/>
    <w:rsid w:val="00E17AE8"/>
    <w:rsid w:val="00E238A7"/>
    <w:rsid w:val="00E26D5F"/>
    <w:rsid w:val="00E2727D"/>
    <w:rsid w:val="00E32A8E"/>
    <w:rsid w:val="00E35B61"/>
    <w:rsid w:val="00E36FC3"/>
    <w:rsid w:val="00E37DE1"/>
    <w:rsid w:val="00E407F9"/>
    <w:rsid w:val="00E42401"/>
    <w:rsid w:val="00E456FF"/>
    <w:rsid w:val="00E47862"/>
    <w:rsid w:val="00E5157B"/>
    <w:rsid w:val="00E562CB"/>
    <w:rsid w:val="00E63561"/>
    <w:rsid w:val="00E63C3C"/>
    <w:rsid w:val="00E850CF"/>
    <w:rsid w:val="00E87F90"/>
    <w:rsid w:val="00E96E11"/>
    <w:rsid w:val="00EA391C"/>
    <w:rsid w:val="00EB2FEA"/>
    <w:rsid w:val="00EB44FB"/>
    <w:rsid w:val="00EC188A"/>
    <w:rsid w:val="00EC2BD8"/>
    <w:rsid w:val="00EC36E4"/>
    <w:rsid w:val="00EC7AE2"/>
    <w:rsid w:val="00ED1D36"/>
    <w:rsid w:val="00ED61B7"/>
    <w:rsid w:val="00EF1084"/>
    <w:rsid w:val="00EF184B"/>
    <w:rsid w:val="00EF1F2C"/>
    <w:rsid w:val="00EF64D3"/>
    <w:rsid w:val="00EF7B93"/>
    <w:rsid w:val="00F02014"/>
    <w:rsid w:val="00F11AF6"/>
    <w:rsid w:val="00F12D30"/>
    <w:rsid w:val="00F30D9D"/>
    <w:rsid w:val="00F31EFB"/>
    <w:rsid w:val="00F34583"/>
    <w:rsid w:val="00F378A6"/>
    <w:rsid w:val="00F4338A"/>
    <w:rsid w:val="00F47BAB"/>
    <w:rsid w:val="00F47C23"/>
    <w:rsid w:val="00F5061A"/>
    <w:rsid w:val="00F522CD"/>
    <w:rsid w:val="00F6024C"/>
    <w:rsid w:val="00F621D9"/>
    <w:rsid w:val="00F62C02"/>
    <w:rsid w:val="00F67204"/>
    <w:rsid w:val="00F70237"/>
    <w:rsid w:val="00F7444D"/>
    <w:rsid w:val="00F773F4"/>
    <w:rsid w:val="00F81C8D"/>
    <w:rsid w:val="00F822CE"/>
    <w:rsid w:val="00F84BE9"/>
    <w:rsid w:val="00F84D6C"/>
    <w:rsid w:val="00F864FA"/>
    <w:rsid w:val="00F873F2"/>
    <w:rsid w:val="00F9300C"/>
    <w:rsid w:val="00F96D2C"/>
    <w:rsid w:val="00FA1308"/>
    <w:rsid w:val="00FA6333"/>
    <w:rsid w:val="00FB184D"/>
    <w:rsid w:val="00FC58F5"/>
    <w:rsid w:val="00FE1BC0"/>
    <w:rsid w:val="00FE64EA"/>
    <w:rsid w:val="00FE6DF5"/>
    <w:rsid w:val="00FF4E09"/>
    <w:rsid w:val="03E2A248"/>
    <w:rsid w:val="063AFD34"/>
    <w:rsid w:val="09F69ADF"/>
    <w:rsid w:val="0CFF2D47"/>
    <w:rsid w:val="0EF8743D"/>
    <w:rsid w:val="1029195B"/>
    <w:rsid w:val="10F41DFA"/>
    <w:rsid w:val="12C554FA"/>
    <w:rsid w:val="17038622"/>
    <w:rsid w:val="1B61D4B9"/>
    <w:rsid w:val="1BDEE4CB"/>
    <w:rsid w:val="1C2CBE5A"/>
    <w:rsid w:val="1CF888B4"/>
    <w:rsid w:val="1E118DDB"/>
    <w:rsid w:val="1E320FCB"/>
    <w:rsid w:val="1FF3CAC3"/>
    <w:rsid w:val="27F17707"/>
    <w:rsid w:val="2A90C354"/>
    <w:rsid w:val="2AF3DBFE"/>
    <w:rsid w:val="2BA1D7CE"/>
    <w:rsid w:val="2C4DA2D3"/>
    <w:rsid w:val="2C858340"/>
    <w:rsid w:val="360B5A2E"/>
    <w:rsid w:val="373C4EC3"/>
    <w:rsid w:val="3A2A97E0"/>
    <w:rsid w:val="3BA576B2"/>
    <w:rsid w:val="3DC0618B"/>
    <w:rsid w:val="41B8B923"/>
    <w:rsid w:val="42141390"/>
    <w:rsid w:val="424FEA41"/>
    <w:rsid w:val="437176CB"/>
    <w:rsid w:val="462E3737"/>
    <w:rsid w:val="4AF2EB4A"/>
    <w:rsid w:val="4FCE49F3"/>
    <w:rsid w:val="5046875A"/>
    <w:rsid w:val="5356976D"/>
    <w:rsid w:val="56CADDEC"/>
    <w:rsid w:val="5746705E"/>
    <w:rsid w:val="57D95BD8"/>
    <w:rsid w:val="59028DE7"/>
    <w:rsid w:val="5BAA0392"/>
    <w:rsid w:val="611512DB"/>
    <w:rsid w:val="6618CFD1"/>
    <w:rsid w:val="67EF7FA2"/>
    <w:rsid w:val="6B712CB9"/>
    <w:rsid w:val="71CC48F1"/>
    <w:rsid w:val="72BEA646"/>
    <w:rsid w:val="79074B28"/>
    <w:rsid w:val="7B4D4BC4"/>
    <w:rsid w:val="7D4A58D0"/>
    <w:rsid w:val="7E738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F5C2A"/>
  <w15:docId w15:val="{FA8AAA6E-A5E0-4C86-9092-68E0543D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05C3F"/>
    <w:rPr>
      <w:rFonts w:ascii="Times New Roman" w:hAnsi="Times New Roman"/>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C05C3F"/>
    <w:rPr>
      <w:rFonts w:ascii="Times New Roman" w:eastAsia="Times New Roman" w:hAnsi="Times New Roman" w:cs="Times New Roman"/>
      <w:sz w:val="20"/>
      <w:szCs w:val="20"/>
    </w:rPr>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basedOn w:val="DefaultParagraphFont"/>
    <w:uiPriority w:val="99"/>
    <w:qFormat/>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unhideWhenUsed/>
    <w:rsid w:val="00506D74"/>
    <w:rPr>
      <w:sz w:val="16"/>
      <w:szCs w:val="16"/>
    </w:rPr>
  </w:style>
  <w:style w:type="paragraph" w:styleId="CommentText">
    <w:name w:val="annotation text"/>
    <w:basedOn w:val="Normal"/>
    <w:link w:val="CommentTextChar"/>
    <w:uiPriority w:val="99"/>
    <w:unhideWhenUsed/>
    <w:rsid w:val="00506D74"/>
    <w:rPr>
      <w:sz w:val="20"/>
    </w:rPr>
  </w:style>
  <w:style w:type="character" w:customStyle="1" w:styleId="CommentTextChar">
    <w:name w:val="Comment Text Char"/>
    <w:basedOn w:val="DefaultParagraphFont"/>
    <w:link w:val="CommentText"/>
    <w:uiPriority w:val="99"/>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 w:type="paragraph" w:styleId="ListParagraph">
    <w:name w:val="List Paragraph"/>
    <w:basedOn w:val="Normal"/>
    <w:uiPriority w:val="34"/>
    <w:qFormat/>
    <w:rsid w:val="00F9300C"/>
    <w:pPr>
      <w:ind w:left="720"/>
      <w:contextualSpacing/>
    </w:pPr>
  </w:style>
  <w:style w:type="paragraph" w:styleId="Footer">
    <w:name w:val="footer"/>
    <w:basedOn w:val="Normal"/>
    <w:link w:val="FooterChar"/>
    <w:uiPriority w:val="99"/>
    <w:unhideWhenUsed/>
    <w:rsid w:val="00270670"/>
    <w:pPr>
      <w:tabs>
        <w:tab w:val="center" w:pos="4680"/>
        <w:tab w:val="right" w:pos="9360"/>
      </w:tabs>
    </w:pPr>
  </w:style>
  <w:style w:type="character" w:customStyle="1" w:styleId="FooterChar">
    <w:name w:val="Footer Char"/>
    <w:basedOn w:val="DefaultParagraphFont"/>
    <w:link w:val="Footer"/>
    <w:uiPriority w:val="99"/>
    <w:rsid w:val="00270670"/>
    <w:rPr>
      <w:rFonts w:ascii="Courier" w:eastAsia="Times New Roman" w:hAnsi="Courier" w:cs="Times New Roman"/>
      <w:sz w:val="24"/>
      <w:szCs w:val="20"/>
    </w:rPr>
  </w:style>
  <w:style w:type="character" w:customStyle="1" w:styleId="normaltextrun">
    <w:name w:val="normaltextrun"/>
    <w:basedOn w:val="DefaultParagraphFont"/>
    <w:rsid w:val="00EC7AE2"/>
  </w:style>
  <w:style w:type="character" w:customStyle="1" w:styleId="eop">
    <w:name w:val="eop"/>
    <w:basedOn w:val="DefaultParagraphFont"/>
    <w:rsid w:val="00EC7AE2"/>
  </w:style>
  <w:style w:type="paragraph" w:styleId="Revision">
    <w:name w:val="Revision"/>
    <w:hidden/>
    <w:uiPriority w:val="99"/>
    <w:semiHidden/>
    <w:rsid w:val="00DE4346"/>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9" ma:contentTypeDescription="Create a new document." ma:contentTypeScope="" ma:versionID="e1d2f3202d7455d406d9828dab19d8c1">
  <xsd:schema xmlns:xsd="http://www.w3.org/2001/XMLSchema" xmlns:xs="http://www.w3.org/2001/XMLSchema" xmlns:p="http://schemas.microsoft.com/office/2006/metadata/properties" xmlns:ns3="808b604e-1bb8-4308-a31c-73b0071a6f24" targetNamespace="http://schemas.microsoft.com/office/2006/metadata/properties" ma:root="true" ma:fieldsID="f941e2c9f5fa0a4a6d9eff3307c0b1fb"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58227-68A1-41B4-B424-1AE986B06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CEEB8-593C-4C52-BDA2-69D673BB5585}">
  <ds:schemaRefs>
    <ds:schemaRef ds:uri="http://schemas.openxmlformats.org/officeDocument/2006/bibliography"/>
  </ds:schemaRefs>
</ds:datastoreItem>
</file>

<file path=customXml/itemProps3.xml><?xml version="1.0" encoding="utf-8"?>
<ds:datastoreItem xmlns:ds="http://schemas.openxmlformats.org/officeDocument/2006/customXml" ds:itemID="{14DC17D7-E1D5-4589-9202-466873AF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A3BDC-F4AF-4C54-BFEB-151BE495C48B}">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Kenny Wright</cp:lastModifiedBy>
  <cp:revision>4</cp:revision>
  <cp:lastPrinted>2018-08-20T18:22:00Z</cp:lastPrinted>
  <dcterms:created xsi:type="dcterms:W3CDTF">2024-09-25T21:04:00Z</dcterms:created>
  <dcterms:modified xsi:type="dcterms:W3CDTF">2024-09-27T14:26:00Z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