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1585A" w:rsidRPr="009276B7" w:rsidP="00416AFE" w14:paraId="44CC759A" w14:textId="211BBBD2">
      <w:pPr>
        <w:suppressAutoHyphens/>
        <w:rPr>
          <w:rFonts w:ascii="Times New Roman" w:hAnsi="Times New Roman"/>
          <w:b/>
          <w:szCs w:val="24"/>
        </w:rPr>
      </w:pPr>
      <w:r w:rsidRPr="009276B7">
        <w:rPr>
          <w:rFonts w:ascii="Times New Roman" w:hAnsi="Times New Roman"/>
          <w:b/>
          <w:szCs w:val="24"/>
        </w:rPr>
        <w:t>Sections 52.21 through 52.3</w:t>
      </w:r>
      <w:r w:rsidRPr="009276B7" w:rsidR="00817EF2">
        <w:rPr>
          <w:rFonts w:ascii="Times New Roman" w:hAnsi="Times New Roman"/>
          <w:b/>
          <w:szCs w:val="24"/>
        </w:rPr>
        <w:t>7</w:t>
      </w:r>
      <w:r w:rsidRPr="009276B7">
        <w:rPr>
          <w:rFonts w:ascii="Times New Roman" w:hAnsi="Times New Roman"/>
          <w:b/>
          <w:szCs w:val="24"/>
        </w:rPr>
        <w:t>, Telephone Number</w:t>
      </w:r>
      <w:r w:rsidRPr="009276B7">
        <w:rPr>
          <w:rFonts w:ascii="Times New Roman" w:hAnsi="Times New Roman"/>
          <w:b/>
          <w:szCs w:val="24"/>
        </w:rPr>
        <w:tab/>
      </w:r>
      <w:r w:rsidRPr="009276B7">
        <w:rPr>
          <w:rFonts w:ascii="Times New Roman" w:hAnsi="Times New Roman"/>
          <w:b/>
          <w:szCs w:val="24"/>
        </w:rPr>
        <w:tab/>
      </w:r>
      <w:r w:rsidRPr="009276B7">
        <w:rPr>
          <w:rFonts w:ascii="Times New Roman" w:hAnsi="Times New Roman"/>
          <w:b/>
          <w:szCs w:val="24"/>
        </w:rPr>
        <w:tab/>
      </w:r>
      <w:r w:rsidRPr="009276B7">
        <w:rPr>
          <w:rFonts w:ascii="Times New Roman" w:hAnsi="Times New Roman"/>
          <w:b/>
          <w:szCs w:val="24"/>
        </w:rPr>
        <w:tab/>
        <w:t xml:space="preserve">       </w:t>
      </w:r>
      <w:r w:rsidRPr="009276B7" w:rsidR="00372945">
        <w:rPr>
          <w:rFonts w:ascii="Times New Roman" w:hAnsi="Times New Roman"/>
          <w:b/>
          <w:szCs w:val="24"/>
        </w:rPr>
        <w:t xml:space="preserve">   </w:t>
      </w:r>
      <w:r w:rsidRPr="009276B7" w:rsidR="007C0DB4">
        <w:rPr>
          <w:rFonts w:ascii="Times New Roman" w:hAnsi="Times New Roman"/>
          <w:b/>
          <w:szCs w:val="24"/>
        </w:rPr>
        <w:tab/>
      </w:r>
      <w:r w:rsidRPr="009276B7" w:rsidR="008D45D6">
        <w:rPr>
          <w:rFonts w:ascii="Times New Roman" w:hAnsi="Times New Roman"/>
          <w:b/>
          <w:szCs w:val="24"/>
        </w:rPr>
        <w:t xml:space="preserve"> </w:t>
      </w:r>
      <w:r w:rsidRPr="009276B7">
        <w:rPr>
          <w:rFonts w:ascii="Times New Roman" w:hAnsi="Times New Roman"/>
          <w:b/>
          <w:szCs w:val="24"/>
        </w:rPr>
        <w:t>3060-0742</w:t>
      </w:r>
    </w:p>
    <w:p w:rsidR="00104CB6" w:rsidRPr="009276B7" w:rsidP="00416AFE" w14:paraId="72C87048" w14:textId="54A126B7">
      <w:pPr>
        <w:suppressAutoHyphens/>
        <w:rPr>
          <w:rFonts w:ascii="Times New Roman" w:hAnsi="Times New Roman"/>
          <w:b/>
          <w:szCs w:val="24"/>
        </w:rPr>
      </w:pPr>
      <w:r w:rsidRPr="009276B7">
        <w:rPr>
          <w:rFonts w:ascii="Times New Roman" w:hAnsi="Times New Roman"/>
          <w:b/>
          <w:szCs w:val="24"/>
        </w:rPr>
        <w:t>Portabi</w:t>
      </w:r>
      <w:r w:rsidRPr="009276B7" w:rsidR="00754492">
        <w:rPr>
          <w:rFonts w:ascii="Times New Roman" w:hAnsi="Times New Roman"/>
          <w:b/>
          <w:szCs w:val="24"/>
        </w:rPr>
        <w:t>lity, 47 CFR Part 52, Subpart (C)</w:t>
      </w:r>
      <w:r w:rsidRPr="009276B7">
        <w:rPr>
          <w:rFonts w:ascii="Times New Roman" w:hAnsi="Times New Roman"/>
          <w:b/>
          <w:szCs w:val="24"/>
        </w:rPr>
        <w:t xml:space="preserve"> and </w:t>
      </w:r>
      <w:r w:rsidRPr="009276B7">
        <w:rPr>
          <w:rFonts w:ascii="Times New Roman" w:hAnsi="Times New Roman"/>
          <w:b/>
          <w:szCs w:val="24"/>
        </w:rPr>
        <w:tab/>
      </w:r>
      <w:r w:rsidRPr="009276B7">
        <w:rPr>
          <w:rFonts w:ascii="Times New Roman" w:hAnsi="Times New Roman"/>
          <w:b/>
          <w:szCs w:val="24"/>
        </w:rPr>
        <w:tab/>
      </w:r>
      <w:r w:rsidRPr="009276B7">
        <w:rPr>
          <w:rFonts w:ascii="Times New Roman" w:hAnsi="Times New Roman"/>
          <w:b/>
          <w:szCs w:val="24"/>
        </w:rPr>
        <w:tab/>
      </w:r>
      <w:r w:rsidR="00AE34C1">
        <w:rPr>
          <w:rFonts w:ascii="Times New Roman" w:hAnsi="Times New Roman"/>
          <w:b/>
          <w:szCs w:val="24"/>
        </w:rPr>
        <w:t xml:space="preserve">                   </w:t>
      </w:r>
      <w:r w:rsidR="00BD6E63">
        <w:rPr>
          <w:rFonts w:ascii="Times New Roman" w:hAnsi="Times New Roman"/>
          <w:b/>
          <w:szCs w:val="24"/>
        </w:rPr>
        <w:t>October</w:t>
      </w:r>
      <w:r w:rsidRPr="009276B7" w:rsidR="00BD6E63">
        <w:rPr>
          <w:rFonts w:ascii="Times New Roman" w:hAnsi="Times New Roman"/>
          <w:b/>
          <w:szCs w:val="24"/>
        </w:rPr>
        <w:t xml:space="preserve"> </w:t>
      </w:r>
      <w:r w:rsidRPr="009276B7" w:rsidR="008D45D6">
        <w:rPr>
          <w:rFonts w:ascii="Times New Roman" w:hAnsi="Times New Roman"/>
          <w:b/>
          <w:szCs w:val="24"/>
        </w:rPr>
        <w:t>202</w:t>
      </w:r>
      <w:r w:rsidRPr="009276B7" w:rsidR="00817EF2">
        <w:rPr>
          <w:rFonts w:ascii="Times New Roman" w:hAnsi="Times New Roman"/>
          <w:b/>
          <w:szCs w:val="24"/>
        </w:rPr>
        <w:t>4</w:t>
      </w:r>
    </w:p>
    <w:p w:rsidR="0071585A" w:rsidRPr="009276B7" w:rsidP="00416AFE" w14:paraId="0E88641C" w14:textId="77777777">
      <w:pPr>
        <w:suppressAutoHyphens/>
        <w:rPr>
          <w:rFonts w:ascii="Times New Roman" w:hAnsi="Times New Roman"/>
          <w:b/>
          <w:szCs w:val="24"/>
        </w:rPr>
      </w:pPr>
      <w:r w:rsidRPr="009276B7">
        <w:rPr>
          <w:rFonts w:ascii="Times New Roman" w:hAnsi="Times New Roman"/>
          <w:b/>
          <w:szCs w:val="24"/>
        </w:rPr>
        <w:t xml:space="preserve">CC Docket No 95-116 </w:t>
      </w:r>
    </w:p>
    <w:p w:rsidR="0071585A" w:rsidRPr="009276B7" w14:paraId="217533A8" w14:textId="77777777">
      <w:pPr>
        <w:suppressAutoHyphens/>
        <w:rPr>
          <w:rFonts w:ascii="Times New Roman" w:hAnsi="Times New Roman"/>
          <w:szCs w:val="24"/>
        </w:rPr>
      </w:pPr>
    </w:p>
    <w:p w:rsidR="0071585A" w:rsidRPr="009276B7" w14:paraId="284B7153" w14:textId="77777777">
      <w:pPr>
        <w:tabs>
          <w:tab w:val="center" w:pos="4680"/>
        </w:tabs>
        <w:suppressAutoHyphens/>
        <w:rPr>
          <w:rFonts w:ascii="Times New Roman" w:hAnsi="Times New Roman"/>
          <w:b/>
          <w:szCs w:val="24"/>
        </w:rPr>
      </w:pPr>
      <w:r w:rsidRPr="009276B7">
        <w:rPr>
          <w:rFonts w:ascii="Times New Roman" w:hAnsi="Times New Roman"/>
          <w:szCs w:val="24"/>
        </w:rPr>
        <w:tab/>
      </w:r>
      <w:r w:rsidRPr="009276B7">
        <w:rPr>
          <w:rFonts w:ascii="Times New Roman" w:hAnsi="Times New Roman"/>
          <w:b/>
          <w:szCs w:val="24"/>
        </w:rPr>
        <w:t>SUPPORTING STATEMENT</w:t>
      </w:r>
    </w:p>
    <w:p w:rsidR="00FC5B65" w:rsidRPr="009276B7" w14:paraId="714746F4" w14:textId="77777777">
      <w:pPr>
        <w:tabs>
          <w:tab w:val="center" w:pos="4680"/>
        </w:tabs>
        <w:suppressAutoHyphens/>
        <w:rPr>
          <w:rFonts w:ascii="Times New Roman" w:hAnsi="Times New Roman"/>
          <w:szCs w:val="24"/>
        </w:rPr>
      </w:pPr>
    </w:p>
    <w:p w:rsidR="00FC5B65" w:rsidRPr="009276B7" w14:paraId="5679FB9F" w14:textId="7E534B95">
      <w:pPr>
        <w:tabs>
          <w:tab w:val="left" w:pos="-720"/>
        </w:tabs>
        <w:suppressAutoHyphens/>
        <w:rPr>
          <w:rFonts w:ascii="Times New Roman" w:hAnsi="Times New Roman"/>
          <w:bCs/>
          <w:szCs w:val="24"/>
        </w:rPr>
      </w:pPr>
      <w:r w:rsidRPr="009276B7">
        <w:rPr>
          <w:rFonts w:ascii="Times New Roman" w:hAnsi="Times New Roman"/>
          <w:bCs/>
          <w:szCs w:val="24"/>
        </w:rPr>
        <w:t xml:space="preserve">This revised information collection is being submitted to obtain approval from the Office of Management and Budget (OMB) for new or revised information collection requirements that result in part from actions taken in the recent Federal Communications Commission (Commission or FCC) </w:t>
      </w:r>
      <w:r w:rsidRPr="009276B7">
        <w:rPr>
          <w:rFonts w:ascii="Times New Roman" w:hAnsi="Times New Roman"/>
          <w:bCs/>
          <w:i/>
          <w:iCs/>
          <w:szCs w:val="24"/>
        </w:rPr>
        <w:t xml:space="preserve">SIM Swap and Port-Out Fraud Report and Order </w:t>
      </w:r>
      <w:r w:rsidRPr="009276B7">
        <w:rPr>
          <w:rFonts w:ascii="Times New Roman" w:hAnsi="Times New Roman"/>
          <w:bCs/>
          <w:szCs w:val="24"/>
        </w:rPr>
        <w:t>(</w:t>
      </w:r>
      <w:r w:rsidRPr="009276B7">
        <w:rPr>
          <w:rFonts w:ascii="Times New Roman" w:hAnsi="Times New Roman"/>
          <w:bCs/>
          <w:spacing w:val="-3"/>
          <w:szCs w:val="24"/>
          <w:shd w:val="clear" w:color="auto" w:fill="FFFFFF"/>
        </w:rPr>
        <w:t>FCC 23-95, 88 FR 85794 (Dec. 8, 2023))</w:t>
      </w:r>
      <w:r w:rsidRPr="009276B7">
        <w:rPr>
          <w:rFonts w:ascii="Times New Roman" w:hAnsi="Times New Roman"/>
          <w:bCs/>
          <w:szCs w:val="24"/>
        </w:rPr>
        <w:t xml:space="preserve">, as explained below.  </w:t>
      </w:r>
    </w:p>
    <w:p w:rsidR="00817EF2" w:rsidRPr="009276B7" w14:paraId="53421B7D" w14:textId="77777777">
      <w:pPr>
        <w:tabs>
          <w:tab w:val="left" w:pos="-720"/>
        </w:tabs>
        <w:suppressAutoHyphens/>
        <w:rPr>
          <w:rFonts w:ascii="Times New Roman" w:hAnsi="Times New Roman"/>
          <w:szCs w:val="24"/>
        </w:rPr>
      </w:pPr>
    </w:p>
    <w:p w:rsidR="0071585A" w:rsidRPr="009276B7" w14:paraId="20B6DBB4" w14:textId="77777777">
      <w:pPr>
        <w:tabs>
          <w:tab w:val="left" w:pos="-720"/>
        </w:tabs>
        <w:suppressAutoHyphens/>
        <w:rPr>
          <w:rFonts w:ascii="Times New Roman" w:hAnsi="Times New Roman"/>
          <w:b/>
          <w:szCs w:val="24"/>
          <w:u w:val="single"/>
        </w:rPr>
      </w:pPr>
      <w:r w:rsidRPr="009276B7">
        <w:rPr>
          <w:rFonts w:ascii="Times New Roman" w:hAnsi="Times New Roman"/>
          <w:b/>
          <w:szCs w:val="24"/>
        </w:rPr>
        <w:t>A.</w:t>
      </w:r>
      <w:r w:rsidRPr="009276B7">
        <w:rPr>
          <w:rFonts w:ascii="Times New Roman" w:hAnsi="Times New Roman"/>
          <w:b/>
          <w:szCs w:val="24"/>
        </w:rPr>
        <w:tab/>
      </w:r>
      <w:r w:rsidRPr="009276B7">
        <w:rPr>
          <w:rFonts w:ascii="Times New Roman" w:hAnsi="Times New Roman"/>
          <w:b/>
          <w:szCs w:val="24"/>
          <w:u w:val="single"/>
        </w:rPr>
        <w:t>Justification:</w:t>
      </w:r>
    </w:p>
    <w:p w:rsidR="0071585A" w:rsidRPr="009276B7" w14:paraId="2217532C" w14:textId="77777777">
      <w:pPr>
        <w:tabs>
          <w:tab w:val="left" w:pos="-720"/>
        </w:tabs>
        <w:suppressAutoHyphens/>
        <w:rPr>
          <w:rFonts w:ascii="Times New Roman" w:hAnsi="Times New Roman"/>
          <w:szCs w:val="24"/>
        </w:rPr>
      </w:pPr>
    </w:p>
    <w:p w:rsidR="00130540" w14:paraId="76D5D012" w14:textId="77777777">
      <w:pPr>
        <w:tabs>
          <w:tab w:val="left" w:pos="-720"/>
        </w:tabs>
        <w:suppressAutoHyphens/>
        <w:rPr>
          <w:rFonts w:ascii="Times New Roman" w:hAnsi="Times New Roman"/>
          <w:szCs w:val="24"/>
        </w:rPr>
      </w:pPr>
      <w:r w:rsidRPr="009276B7">
        <w:rPr>
          <w:rFonts w:ascii="Times New Roman" w:hAnsi="Times New Roman"/>
          <w:szCs w:val="24"/>
        </w:rPr>
        <w:tab/>
        <w:t>1.</w:t>
      </w:r>
      <w:r w:rsidRPr="009276B7">
        <w:rPr>
          <w:rFonts w:ascii="Times New Roman" w:hAnsi="Times New Roman"/>
          <w:szCs w:val="24"/>
        </w:rPr>
        <w:tab/>
      </w:r>
      <w:r w:rsidRPr="009276B7" w:rsidR="009276B7">
        <w:rPr>
          <w:rFonts w:ascii="Times New Roman" w:hAnsi="Times New Roman"/>
          <w:i/>
          <w:iCs/>
          <w:spacing w:val="-3"/>
          <w:szCs w:val="24"/>
          <w:shd w:val="clear" w:color="auto" w:fill="FFFFFF"/>
        </w:rPr>
        <w:t>Circumstances that make the collection necessary</w:t>
      </w:r>
      <w:r w:rsidRPr="009276B7" w:rsidR="009276B7">
        <w:rPr>
          <w:rFonts w:ascii="Times New Roman" w:hAnsi="Times New Roman"/>
          <w:spacing w:val="-3"/>
          <w:szCs w:val="24"/>
          <w:shd w:val="clear" w:color="auto" w:fill="FFFFFF"/>
        </w:rPr>
        <w:t xml:space="preserve">.  </w:t>
      </w:r>
      <w:r w:rsidRPr="009276B7">
        <w:rPr>
          <w:rFonts w:ascii="Times New Roman" w:hAnsi="Times New Roman"/>
          <w:szCs w:val="24"/>
        </w:rPr>
        <w:t xml:space="preserve">47 CFR Part 52, Subpart C implements the statutory requirement that local exchange carriers (LECs) </w:t>
      </w:r>
      <w:r w:rsidRPr="009276B7" w:rsidR="001112B9">
        <w:rPr>
          <w:rFonts w:ascii="Times New Roman" w:hAnsi="Times New Roman"/>
          <w:szCs w:val="24"/>
        </w:rPr>
        <w:t xml:space="preserve">and Commercial </w:t>
      </w:r>
      <w:r w:rsidRPr="009276B7" w:rsidR="00000537">
        <w:rPr>
          <w:rFonts w:ascii="Times New Roman" w:hAnsi="Times New Roman"/>
          <w:szCs w:val="24"/>
        </w:rPr>
        <w:t xml:space="preserve">Mobile </w:t>
      </w:r>
      <w:r w:rsidRPr="009276B7" w:rsidR="001112B9">
        <w:rPr>
          <w:rFonts w:ascii="Times New Roman" w:hAnsi="Times New Roman"/>
          <w:szCs w:val="24"/>
        </w:rPr>
        <w:t xml:space="preserve">Radio Service (CMRS) providers </w:t>
      </w:r>
      <w:r w:rsidRPr="009276B7">
        <w:rPr>
          <w:rFonts w:ascii="Times New Roman" w:hAnsi="Times New Roman"/>
          <w:szCs w:val="24"/>
        </w:rPr>
        <w:t xml:space="preserve">provide </w:t>
      </w:r>
      <w:r w:rsidRPr="009276B7" w:rsidR="00422DEB">
        <w:rPr>
          <w:rFonts w:ascii="Times New Roman" w:hAnsi="Times New Roman"/>
          <w:szCs w:val="24"/>
        </w:rPr>
        <w:t xml:space="preserve">local </w:t>
      </w:r>
      <w:r w:rsidRPr="009276B7">
        <w:rPr>
          <w:rFonts w:ascii="Times New Roman" w:hAnsi="Times New Roman"/>
          <w:szCs w:val="24"/>
        </w:rPr>
        <w:t>number portability</w:t>
      </w:r>
      <w:r w:rsidRPr="009276B7" w:rsidR="00422DEB">
        <w:rPr>
          <w:rFonts w:ascii="Times New Roman" w:hAnsi="Times New Roman"/>
          <w:szCs w:val="24"/>
        </w:rPr>
        <w:t xml:space="preserve"> (LNP)</w:t>
      </w:r>
      <w:r w:rsidRPr="009276B7">
        <w:rPr>
          <w:rFonts w:ascii="Times New Roman" w:hAnsi="Times New Roman"/>
          <w:szCs w:val="24"/>
        </w:rPr>
        <w:t xml:space="preserve"> as set forth in Section</w:t>
      </w:r>
      <w:r w:rsidRPr="009276B7" w:rsidR="00422DEB">
        <w:rPr>
          <w:rFonts w:ascii="Times New Roman" w:hAnsi="Times New Roman"/>
          <w:szCs w:val="24"/>
        </w:rPr>
        <w:t xml:space="preserve">s 1, 2, 4, 251 and 332 </w:t>
      </w:r>
      <w:r w:rsidRPr="009276B7">
        <w:rPr>
          <w:rFonts w:ascii="Times New Roman" w:hAnsi="Times New Roman"/>
          <w:szCs w:val="24"/>
        </w:rPr>
        <w:t xml:space="preserve">of the </w:t>
      </w:r>
      <w:r w:rsidRPr="009276B7" w:rsidR="00592437">
        <w:rPr>
          <w:rFonts w:ascii="Times New Roman" w:hAnsi="Times New Roman"/>
          <w:szCs w:val="24"/>
        </w:rPr>
        <w:t xml:space="preserve">Communications Act of 1934, as amended </w:t>
      </w:r>
      <w:r w:rsidRPr="009276B7" w:rsidR="00792D9D">
        <w:rPr>
          <w:rFonts w:ascii="Times New Roman" w:hAnsi="Times New Roman"/>
          <w:szCs w:val="24"/>
        </w:rPr>
        <w:t>(</w:t>
      </w:r>
      <w:r w:rsidRPr="009276B7" w:rsidR="00592437">
        <w:rPr>
          <w:rFonts w:ascii="Times New Roman" w:hAnsi="Times New Roman"/>
          <w:szCs w:val="24"/>
        </w:rPr>
        <w:t xml:space="preserve">the </w:t>
      </w:r>
      <w:r w:rsidRPr="009276B7">
        <w:rPr>
          <w:rFonts w:ascii="Times New Roman" w:hAnsi="Times New Roman"/>
          <w:szCs w:val="24"/>
        </w:rPr>
        <w:t xml:space="preserve">Act).  </w:t>
      </w:r>
    </w:p>
    <w:p w:rsidR="00130540" w14:paraId="7B3C910E" w14:textId="77777777">
      <w:pPr>
        <w:tabs>
          <w:tab w:val="left" w:pos="-720"/>
        </w:tabs>
        <w:suppressAutoHyphens/>
        <w:rPr>
          <w:rFonts w:ascii="Times New Roman" w:hAnsi="Times New Roman"/>
          <w:szCs w:val="24"/>
        </w:rPr>
      </w:pPr>
    </w:p>
    <w:p w:rsidR="00130540" w:rsidRPr="00A63918" w14:paraId="35ABC42A" w14:textId="2B8ADF4D">
      <w:pPr>
        <w:tabs>
          <w:tab w:val="left" w:pos="-720"/>
        </w:tabs>
        <w:suppressAutoHyphens/>
        <w:rPr>
          <w:rFonts w:ascii="Times New Roman" w:hAnsi="Times New Roman"/>
          <w:szCs w:val="24"/>
        </w:rPr>
      </w:pPr>
      <w:r w:rsidRPr="00A63918">
        <w:rPr>
          <w:rFonts w:ascii="Times New Roman" w:hAnsi="Times New Roman"/>
          <w:bCs/>
          <w:i/>
          <w:iCs/>
          <w:spacing w:val="-3"/>
          <w:szCs w:val="24"/>
          <w:shd w:val="clear" w:color="auto" w:fill="FFFFFF"/>
        </w:rPr>
        <w:t xml:space="preserve">SIM Swap and Port-Out Fraud Order.  </w:t>
      </w:r>
      <w:bookmarkStart w:id="0" w:name="_Hlk169011632"/>
      <w:r w:rsidRPr="00A63918">
        <w:rPr>
          <w:rFonts w:ascii="Times New Roman" w:hAnsi="Times New Roman"/>
          <w:bCs/>
          <w:spacing w:val="-3"/>
          <w:szCs w:val="24"/>
          <w:shd w:val="clear" w:color="auto" w:fill="FFFFFF"/>
        </w:rPr>
        <w:t xml:space="preserve">On November 16, 2023, the FCC released a </w:t>
      </w:r>
      <w:r w:rsidRPr="00A63918">
        <w:rPr>
          <w:rFonts w:ascii="Times New Roman" w:hAnsi="Times New Roman"/>
          <w:bCs/>
          <w:i/>
          <w:iCs/>
          <w:spacing w:val="-3"/>
          <w:szCs w:val="24"/>
          <w:shd w:val="clear" w:color="auto" w:fill="FFFFFF"/>
        </w:rPr>
        <w:t>Report and Order and Further Notice of Proposed Rulemaking</w:t>
      </w:r>
      <w:r w:rsidRPr="00A63918">
        <w:rPr>
          <w:rFonts w:ascii="Times New Roman" w:hAnsi="Times New Roman"/>
          <w:bCs/>
          <w:spacing w:val="-3"/>
          <w:szCs w:val="24"/>
          <w:shd w:val="clear" w:color="auto" w:fill="FFFFFF"/>
        </w:rPr>
        <w:t xml:space="preserve"> (FCC 23-95) (88 FR 85794 (Dec. 8, 2023))</w:t>
      </w:r>
      <w:r w:rsidR="0033618E">
        <w:rPr>
          <w:rFonts w:ascii="Times New Roman" w:hAnsi="Times New Roman"/>
          <w:bCs/>
          <w:spacing w:val="-3"/>
          <w:szCs w:val="24"/>
          <w:shd w:val="clear" w:color="auto" w:fill="FFFFFF"/>
        </w:rPr>
        <w:t xml:space="preserve"> (</w:t>
      </w:r>
      <w:r w:rsidRPr="00D403CF" w:rsidR="0033618E">
        <w:rPr>
          <w:rFonts w:ascii="Times New Roman" w:hAnsi="Times New Roman"/>
          <w:i/>
          <w:iCs/>
          <w:szCs w:val="24"/>
        </w:rPr>
        <w:t>SIM Swap and Port-Out Fraud Order</w:t>
      </w:r>
      <w:r w:rsidR="0033618E">
        <w:rPr>
          <w:rFonts w:ascii="Times New Roman" w:hAnsi="Times New Roman"/>
          <w:i/>
          <w:iCs/>
          <w:szCs w:val="24"/>
        </w:rPr>
        <w:t>)</w:t>
      </w:r>
      <w:r w:rsidRPr="00A63918">
        <w:rPr>
          <w:rFonts w:ascii="Times New Roman" w:hAnsi="Times New Roman"/>
          <w:bCs/>
          <w:spacing w:val="-3"/>
          <w:szCs w:val="24"/>
          <w:shd w:val="clear" w:color="auto" w:fill="FFFFFF"/>
        </w:rPr>
        <w:t xml:space="preserve">, which </w:t>
      </w:r>
      <w:r w:rsidRPr="00A63918">
        <w:rPr>
          <w:rFonts w:ascii="Times New Roman" w:hAnsi="Times New Roman"/>
          <w:szCs w:val="24"/>
        </w:rPr>
        <w:t>adds new information collection requirements in paragraph</w:t>
      </w:r>
      <w:r w:rsidR="009F2B25">
        <w:rPr>
          <w:rFonts w:ascii="Times New Roman" w:hAnsi="Times New Roman"/>
          <w:szCs w:val="24"/>
        </w:rPr>
        <w:t>s</w:t>
      </w:r>
      <w:r w:rsidRPr="00A63918">
        <w:rPr>
          <w:rFonts w:ascii="Times New Roman" w:hAnsi="Times New Roman"/>
          <w:szCs w:val="24"/>
        </w:rPr>
        <w:t xml:space="preserve"> (e)</w:t>
      </w:r>
      <w:r w:rsidR="009F2B25">
        <w:rPr>
          <w:rFonts w:ascii="Times New Roman" w:hAnsi="Times New Roman"/>
          <w:szCs w:val="24"/>
        </w:rPr>
        <w:t xml:space="preserve"> through (</w:t>
      </w:r>
      <w:r w:rsidR="00084081">
        <w:rPr>
          <w:rFonts w:ascii="Times New Roman" w:hAnsi="Times New Roman"/>
          <w:szCs w:val="24"/>
        </w:rPr>
        <w:t>g</w:t>
      </w:r>
      <w:r w:rsidR="009F2B25">
        <w:rPr>
          <w:rFonts w:ascii="Times New Roman" w:hAnsi="Times New Roman"/>
          <w:szCs w:val="24"/>
        </w:rPr>
        <w:t>)</w:t>
      </w:r>
      <w:r w:rsidRPr="00A63918">
        <w:rPr>
          <w:rFonts w:ascii="Times New Roman" w:hAnsi="Times New Roman"/>
          <w:szCs w:val="24"/>
        </w:rPr>
        <w:t xml:space="preserve"> of this supporting statement.  The </w:t>
      </w:r>
      <w:r w:rsidRPr="00A63918">
        <w:rPr>
          <w:rFonts w:ascii="Times New Roman" w:hAnsi="Times New Roman"/>
          <w:i/>
          <w:iCs/>
          <w:szCs w:val="24"/>
        </w:rPr>
        <w:t>SIM Swap and Port-Out Fraud Order</w:t>
      </w:r>
      <w:r w:rsidRPr="00A63918">
        <w:rPr>
          <w:rFonts w:ascii="Times New Roman" w:hAnsi="Times New Roman"/>
          <w:szCs w:val="24"/>
        </w:rPr>
        <w:t xml:space="preserve"> adopted baseline measures to increase protections for customers against fraudulent port-outs by adding new section 52.37 in Part 52, and adds new information collection requirements in paragraphs (c)</w:t>
      </w:r>
      <w:r w:rsidR="00084081">
        <w:rPr>
          <w:rFonts w:ascii="Times New Roman" w:hAnsi="Times New Roman"/>
          <w:szCs w:val="24"/>
        </w:rPr>
        <w:t>,</w:t>
      </w:r>
      <w:r w:rsidRPr="00A63918">
        <w:rPr>
          <w:rFonts w:ascii="Times New Roman" w:hAnsi="Times New Roman"/>
          <w:szCs w:val="24"/>
        </w:rPr>
        <w:t xml:space="preserve"> (</w:t>
      </w:r>
      <w:r w:rsidRPr="00A63918" w:rsidR="00EE1372">
        <w:rPr>
          <w:rFonts w:ascii="Times New Roman" w:hAnsi="Times New Roman"/>
          <w:szCs w:val="24"/>
        </w:rPr>
        <w:t>e</w:t>
      </w:r>
      <w:r w:rsidRPr="00A63918">
        <w:rPr>
          <w:rFonts w:ascii="Times New Roman" w:hAnsi="Times New Roman"/>
          <w:szCs w:val="24"/>
        </w:rPr>
        <w:t>)</w:t>
      </w:r>
      <w:r w:rsidRPr="00A63918" w:rsidR="00EE1372">
        <w:rPr>
          <w:rFonts w:ascii="Times New Roman" w:hAnsi="Times New Roman"/>
          <w:szCs w:val="24"/>
        </w:rPr>
        <w:t>,</w:t>
      </w:r>
      <w:r w:rsidRPr="00A63918">
        <w:rPr>
          <w:rFonts w:ascii="Times New Roman" w:hAnsi="Times New Roman"/>
          <w:szCs w:val="24"/>
        </w:rPr>
        <w:t xml:space="preserve"> and (</w:t>
      </w:r>
      <w:r w:rsidRPr="00A63918" w:rsidR="00EE1372">
        <w:rPr>
          <w:rFonts w:ascii="Times New Roman" w:hAnsi="Times New Roman"/>
          <w:szCs w:val="24"/>
        </w:rPr>
        <w:t>g</w:t>
      </w:r>
      <w:r w:rsidRPr="00A63918">
        <w:rPr>
          <w:rFonts w:ascii="Times New Roman" w:hAnsi="Times New Roman"/>
          <w:szCs w:val="24"/>
        </w:rPr>
        <w:t xml:space="preserve">) of that rule.  </w:t>
      </w:r>
      <w:r w:rsidRPr="00A63918" w:rsidR="00EE1372">
        <w:rPr>
          <w:rFonts w:ascii="Times New Roman" w:hAnsi="Times New Roman"/>
          <w:szCs w:val="24"/>
        </w:rPr>
        <w:t>Port-out fraud occurs where a bad actor impersonates a customers of a wireless provider and convinces the provider to port the real customer’s telephone number to a new wireless provider and a device that the bad actor controls</w:t>
      </w:r>
      <w:r w:rsidRPr="00A63918">
        <w:rPr>
          <w:rFonts w:ascii="Times New Roman" w:hAnsi="Times New Roman"/>
          <w:szCs w:val="24"/>
        </w:rPr>
        <w:t xml:space="preserve">, allowing a bad actor to control the victim’s mobile account and </w:t>
      </w:r>
      <w:r w:rsidRPr="00A63918" w:rsidR="00EE1372">
        <w:rPr>
          <w:rFonts w:ascii="Times New Roman" w:hAnsi="Times New Roman"/>
          <w:szCs w:val="24"/>
        </w:rPr>
        <w:t>receive text messages and phone calls intended for the victim</w:t>
      </w:r>
      <w:r w:rsidRPr="00A63918">
        <w:rPr>
          <w:rFonts w:ascii="Times New Roman" w:hAnsi="Times New Roman"/>
          <w:szCs w:val="24"/>
        </w:rPr>
        <w:t>.  The new rules establish a uniform framework that gives wireless providers</w:t>
      </w:r>
      <w:r>
        <w:rPr>
          <w:rStyle w:val="FootnoteReference"/>
          <w:rFonts w:ascii="Times New Roman" w:hAnsi="Times New Roman"/>
          <w:bCs/>
          <w:spacing w:val="-3"/>
          <w:szCs w:val="24"/>
          <w:shd w:val="clear" w:color="auto" w:fill="FFFFFF"/>
        </w:rPr>
        <w:footnoteReference w:id="2"/>
      </w:r>
      <w:r w:rsidRPr="00A63918">
        <w:rPr>
          <w:rFonts w:ascii="Times New Roman" w:hAnsi="Times New Roman"/>
          <w:szCs w:val="24"/>
        </w:rPr>
        <w:t xml:space="preserve"> flexibility to implement customer authentication and security methods to address </w:t>
      </w:r>
      <w:r w:rsidRPr="00A63918" w:rsidR="00EE1372">
        <w:rPr>
          <w:rFonts w:ascii="Times New Roman" w:hAnsi="Times New Roman"/>
          <w:szCs w:val="24"/>
        </w:rPr>
        <w:t>port-out f</w:t>
      </w:r>
      <w:r w:rsidRPr="00A63918">
        <w:rPr>
          <w:rFonts w:ascii="Times New Roman" w:hAnsi="Times New Roman"/>
          <w:szCs w:val="24"/>
        </w:rPr>
        <w:t xml:space="preserve">raud.  </w:t>
      </w:r>
      <w:r w:rsidRPr="00A63918">
        <w:rPr>
          <w:rFonts w:ascii="Times New Roman" w:hAnsi="Times New Roman"/>
          <w:i/>
          <w:iCs/>
          <w:szCs w:val="24"/>
        </w:rPr>
        <w:t>See</w:t>
      </w:r>
      <w:r w:rsidRPr="00A63918">
        <w:rPr>
          <w:rFonts w:ascii="Times New Roman" w:hAnsi="Times New Roman"/>
          <w:szCs w:val="24"/>
        </w:rPr>
        <w:t xml:space="preserve"> </w:t>
      </w:r>
      <w:r w:rsidRPr="00A63918">
        <w:rPr>
          <w:rFonts w:ascii="Times New Roman" w:hAnsi="Times New Roman"/>
          <w:i/>
          <w:iCs/>
          <w:szCs w:val="24"/>
        </w:rPr>
        <w:t>SIM Swap and Port-Out Fraud Order</w:t>
      </w:r>
      <w:r w:rsidRPr="00A63918">
        <w:rPr>
          <w:rFonts w:ascii="Times New Roman" w:hAnsi="Times New Roman"/>
          <w:szCs w:val="24"/>
        </w:rPr>
        <w:t xml:space="preserve">.  Wireless providers are required to comply with the new or modified rules except where the Safe Connections Act requires alternate procedures to be used, as discussed below.  The </w:t>
      </w:r>
      <w:r w:rsidRPr="00A63918">
        <w:rPr>
          <w:rFonts w:ascii="Times New Roman" w:hAnsi="Times New Roman"/>
          <w:i/>
          <w:iCs/>
          <w:szCs w:val="24"/>
        </w:rPr>
        <w:t>SIM Swap and Port-Out Fraud Order</w:t>
      </w:r>
      <w:r w:rsidRPr="00A63918">
        <w:rPr>
          <w:rFonts w:ascii="Times New Roman" w:hAnsi="Times New Roman"/>
          <w:szCs w:val="24"/>
        </w:rPr>
        <w:t xml:space="preserve"> modifies the existing </w:t>
      </w:r>
      <w:r w:rsidRPr="00A63918" w:rsidR="00EE1372">
        <w:rPr>
          <w:rFonts w:ascii="Times New Roman" w:hAnsi="Times New Roman"/>
          <w:szCs w:val="24"/>
        </w:rPr>
        <w:t>Local Number Portability (LNP)</w:t>
      </w:r>
      <w:r w:rsidRPr="00A63918">
        <w:rPr>
          <w:rFonts w:ascii="Times New Roman" w:hAnsi="Times New Roman"/>
          <w:szCs w:val="24"/>
        </w:rPr>
        <w:t xml:space="preserve"> collection requirements to require wireless providers to:  (1) immediately notify customers of any requests for a </w:t>
      </w:r>
      <w:r w:rsidRPr="00A63918" w:rsidR="00EE1372">
        <w:rPr>
          <w:rFonts w:ascii="Times New Roman" w:hAnsi="Times New Roman"/>
          <w:szCs w:val="24"/>
        </w:rPr>
        <w:t>port-out request</w:t>
      </w:r>
      <w:r w:rsidRPr="00A63918">
        <w:rPr>
          <w:rFonts w:ascii="Times New Roman" w:hAnsi="Times New Roman"/>
          <w:szCs w:val="24"/>
        </w:rPr>
        <w:t xml:space="preserve"> associated with the customer’s account before </w:t>
      </w:r>
      <w:r w:rsidRPr="00A63918" w:rsidR="00EE1372">
        <w:rPr>
          <w:rFonts w:ascii="Times New Roman" w:hAnsi="Times New Roman"/>
          <w:szCs w:val="24"/>
        </w:rPr>
        <w:t>effectuating the request</w:t>
      </w:r>
      <w:r w:rsidRPr="00A63918">
        <w:rPr>
          <w:rFonts w:ascii="Times New Roman" w:hAnsi="Times New Roman"/>
          <w:szCs w:val="24"/>
        </w:rPr>
        <w:t>; (</w:t>
      </w:r>
      <w:r w:rsidRPr="00A63918" w:rsidR="00EE1372">
        <w:rPr>
          <w:rFonts w:ascii="Times New Roman" w:hAnsi="Times New Roman"/>
          <w:szCs w:val="24"/>
        </w:rPr>
        <w:t>2</w:t>
      </w:r>
      <w:r w:rsidRPr="00A63918">
        <w:rPr>
          <w:rFonts w:ascii="Times New Roman" w:hAnsi="Times New Roman"/>
          <w:szCs w:val="24"/>
        </w:rPr>
        <w:t>) provide customers with advance notice of any account protection measures offered;</w:t>
      </w:r>
      <w:r w:rsidRPr="00A63918" w:rsidR="00EE1372">
        <w:rPr>
          <w:rFonts w:ascii="Times New Roman" w:hAnsi="Times New Roman"/>
          <w:szCs w:val="24"/>
        </w:rPr>
        <w:t xml:space="preserve"> and</w:t>
      </w:r>
      <w:r w:rsidRPr="00A63918">
        <w:rPr>
          <w:rFonts w:ascii="Times New Roman" w:hAnsi="Times New Roman"/>
          <w:szCs w:val="24"/>
        </w:rPr>
        <w:t xml:space="preserve"> (</w:t>
      </w:r>
      <w:r w:rsidR="0033618E">
        <w:rPr>
          <w:rFonts w:ascii="Times New Roman" w:hAnsi="Times New Roman"/>
          <w:szCs w:val="24"/>
        </w:rPr>
        <w:t>3</w:t>
      </w:r>
      <w:r w:rsidRPr="00A63918">
        <w:rPr>
          <w:rFonts w:ascii="Times New Roman" w:hAnsi="Times New Roman"/>
          <w:szCs w:val="24"/>
        </w:rPr>
        <w:t>) maintain a clear process for customers to report fraud</w:t>
      </w:r>
      <w:r w:rsidRPr="00A63918" w:rsidR="00EE1372">
        <w:rPr>
          <w:rFonts w:ascii="Times New Roman" w:hAnsi="Times New Roman"/>
          <w:szCs w:val="24"/>
        </w:rPr>
        <w:t>ulent number ports</w:t>
      </w:r>
      <w:r w:rsidRPr="00A63918">
        <w:rPr>
          <w:rFonts w:ascii="Times New Roman" w:hAnsi="Times New Roman"/>
          <w:szCs w:val="24"/>
        </w:rPr>
        <w:t>, and promptly provide customers with documentation of fraud</w:t>
      </w:r>
      <w:r w:rsidRPr="00A63918" w:rsidR="00EE1372">
        <w:rPr>
          <w:rFonts w:ascii="Times New Roman" w:hAnsi="Times New Roman"/>
          <w:szCs w:val="24"/>
        </w:rPr>
        <w:t>ulent ports</w:t>
      </w:r>
      <w:r w:rsidRPr="00A63918">
        <w:rPr>
          <w:rFonts w:ascii="Times New Roman" w:hAnsi="Times New Roman"/>
          <w:szCs w:val="24"/>
        </w:rPr>
        <w:t xml:space="preserve"> involving their accounts.</w:t>
      </w:r>
    </w:p>
    <w:bookmarkEnd w:id="0"/>
    <w:p w:rsidR="00130540" w:rsidRPr="002A4532" w14:paraId="68641AC0" w14:textId="77777777">
      <w:pPr>
        <w:tabs>
          <w:tab w:val="left" w:pos="-720"/>
        </w:tabs>
        <w:suppressAutoHyphens/>
        <w:rPr>
          <w:rFonts w:ascii="Times New Roman" w:hAnsi="Times New Roman"/>
          <w:szCs w:val="24"/>
        </w:rPr>
      </w:pPr>
    </w:p>
    <w:p w:rsidR="0071585A" w:rsidRPr="009276B7" w14:paraId="73DE7D19" w14:textId="2A5ADF7D">
      <w:pPr>
        <w:tabs>
          <w:tab w:val="left" w:pos="-720"/>
        </w:tabs>
        <w:suppressAutoHyphens/>
        <w:rPr>
          <w:rFonts w:ascii="Times New Roman" w:hAnsi="Times New Roman"/>
          <w:szCs w:val="24"/>
        </w:rPr>
      </w:pPr>
      <w:r w:rsidRPr="009276B7">
        <w:rPr>
          <w:rFonts w:ascii="Times New Roman" w:hAnsi="Times New Roman"/>
          <w:szCs w:val="24"/>
        </w:rPr>
        <w:t>The Commission requires the following information to be collected from various entities:</w:t>
      </w:r>
    </w:p>
    <w:p w:rsidR="0071585A" w:rsidRPr="009276B7" w14:paraId="3972182D" w14:textId="77777777">
      <w:pPr>
        <w:tabs>
          <w:tab w:val="left" w:pos="-720"/>
        </w:tabs>
        <w:suppressAutoHyphens/>
        <w:rPr>
          <w:rFonts w:ascii="Times New Roman" w:hAnsi="Times New Roman"/>
          <w:szCs w:val="24"/>
        </w:rPr>
      </w:pPr>
    </w:p>
    <w:p w:rsidR="00526793" w:rsidRPr="009276B7" w:rsidP="00526793" w14:paraId="691645FF" w14:textId="2695E4A5">
      <w:pPr>
        <w:tabs>
          <w:tab w:val="left" w:pos="-720"/>
        </w:tabs>
        <w:suppressAutoHyphens/>
        <w:ind w:left="360"/>
        <w:rPr>
          <w:rFonts w:ascii="Times New Roman" w:hAnsi="Times New Roman"/>
          <w:szCs w:val="24"/>
        </w:rPr>
      </w:pPr>
      <w:r w:rsidRPr="009276B7">
        <w:rPr>
          <w:rFonts w:ascii="Times New Roman" w:hAnsi="Times New Roman"/>
          <w:b/>
          <w:i/>
          <w:spacing w:val="-3"/>
          <w:szCs w:val="24"/>
          <w:shd w:val="clear" w:color="auto" w:fill="FFFFFF"/>
        </w:rPr>
        <w:t>Currently Approved Information Collection Requirements—paragraphs (a) through (</w:t>
      </w:r>
      <w:r w:rsidRPr="009276B7" w:rsidR="0092653D">
        <w:rPr>
          <w:rFonts w:ascii="Times New Roman" w:hAnsi="Times New Roman"/>
          <w:b/>
          <w:i/>
          <w:spacing w:val="-3"/>
          <w:szCs w:val="24"/>
          <w:shd w:val="clear" w:color="auto" w:fill="FFFFFF"/>
        </w:rPr>
        <w:t>d</w:t>
      </w:r>
      <w:r w:rsidRPr="009276B7">
        <w:rPr>
          <w:rFonts w:ascii="Times New Roman" w:hAnsi="Times New Roman"/>
          <w:b/>
          <w:i/>
          <w:spacing w:val="-3"/>
          <w:szCs w:val="24"/>
          <w:shd w:val="clear" w:color="auto" w:fill="FFFFFF"/>
        </w:rPr>
        <w:t>):</w:t>
      </w:r>
    </w:p>
    <w:p w:rsidR="00526793" w:rsidRPr="009276B7" w14:paraId="168824B3" w14:textId="77777777">
      <w:pPr>
        <w:tabs>
          <w:tab w:val="left" w:pos="-720"/>
        </w:tabs>
        <w:suppressAutoHyphens/>
        <w:rPr>
          <w:rFonts w:ascii="Times New Roman" w:hAnsi="Times New Roman"/>
          <w:szCs w:val="24"/>
        </w:rPr>
      </w:pPr>
    </w:p>
    <w:p w:rsidR="0071585A" w:rsidRPr="009276B7" w14:paraId="7E5CABB3" w14:textId="21015EF4">
      <w:pPr>
        <w:tabs>
          <w:tab w:val="left" w:pos="-720"/>
        </w:tabs>
        <w:suppressAutoHyphens/>
        <w:rPr>
          <w:rFonts w:ascii="Times New Roman" w:hAnsi="Times New Roman"/>
          <w:szCs w:val="24"/>
        </w:rPr>
      </w:pPr>
      <w:r w:rsidRPr="009276B7">
        <w:rPr>
          <w:rFonts w:ascii="Times New Roman" w:hAnsi="Times New Roman"/>
          <w:szCs w:val="24"/>
        </w:rPr>
        <w:tab/>
        <w:t>a.</w:t>
      </w:r>
      <w:r w:rsidRPr="009276B7">
        <w:rPr>
          <w:rFonts w:ascii="Times New Roman" w:hAnsi="Times New Roman"/>
          <w:szCs w:val="24"/>
        </w:rPr>
        <w:tab/>
      </w:r>
      <w:r w:rsidRPr="009276B7">
        <w:rPr>
          <w:rFonts w:ascii="Times New Roman" w:hAnsi="Times New Roman"/>
          <w:szCs w:val="24"/>
          <w:u w:val="single"/>
        </w:rPr>
        <w:t>Requests for long-term number portability</w:t>
      </w:r>
      <w:r w:rsidRPr="009276B7" w:rsidR="00EC4AA8">
        <w:rPr>
          <w:rFonts w:ascii="Times New Roman" w:hAnsi="Times New Roman"/>
          <w:szCs w:val="24"/>
        </w:rPr>
        <w:t>:</w:t>
      </w:r>
      <w:r w:rsidRPr="009276B7">
        <w:rPr>
          <w:rFonts w:ascii="Times New Roman" w:hAnsi="Times New Roman"/>
          <w:szCs w:val="24"/>
        </w:rPr>
        <w:t xml:space="preserve"> Long-term number portability must be provided by L</w:t>
      </w:r>
      <w:r w:rsidRPr="009276B7" w:rsidR="00A8169D">
        <w:rPr>
          <w:rFonts w:ascii="Times New Roman" w:hAnsi="Times New Roman"/>
          <w:szCs w:val="24"/>
        </w:rPr>
        <w:t xml:space="preserve">ocal </w:t>
      </w:r>
      <w:r w:rsidRPr="009276B7">
        <w:rPr>
          <w:rFonts w:ascii="Times New Roman" w:hAnsi="Times New Roman"/>
          <w:szCs w:val="24"/>
        </w:rPr>
        <w:t>E</w:t>
      </w:r>
      <w:r w:rsidRPr="009276B7" w:rsidR="00A8169D">
        <w:rPr>
          <w:rFonts w:ascii="Times New Roman" w:hAnsi="Times New Roman"/>
          <w:szCs w:val="24"/>
        </w:rPr>
        <w:t xml:space="preserve">xchange </w:t>
      </w:r>
      <w:r w:rsidRPr="009276B7">
        <w:rPr>
          <w:rFonts w:ascii="Times New Roman" w:hAnsi="Times New Roman"/>
          <w:szCs w:val="24"/>
        </w:rPr>
        <w:t>C</w:t>
      </w:r>
      <w:r w:rsidRPr="009276B7" w:rsidR="00A8169D">
        <w:rPr>
          <w:rFonts w:ascii="Times New Roman" w:hAnsi="Times New Roman"/>
          <w:szCs w:val="24"/>
        </w:rPr>
        <w:t>arrier</w:t>
      </w:r>
      <w:r w:rsidRPr="009276B7">
        <w:rPr>
          <w:rFonts w:ascii="Times New Roman" w:hAnsi="Times New Roman"/>
          <w:szCs w:val="24"/>
        </w:rPr>
        <w:t>s</w:t>
      </w:r>
      <w:r w:rsidRPr="009276B7" w:rsidR="00A8169D">
        <w:rPr>
          <w:rFonts w:ascii="Times New Roman" w:hAnsi="Times New Roman"/>
          <w:szCs w:val="24"/>
        </w:rPr>
        <w:t xml:space="preserve"> (LECs)</w:t>
      </w:r>
      <w:r w:rsidRPr="009276B7">
        <w:rPr>
          <w:rFonts w:ascii="Times New Roman" w:hAnsi="Times New Roman"/>
          <w:szCs w:val="24"/>
        </w:rPr>
        <w:t xml:space="preserve"> and C</w:t>
      </w:r>
      <w:r w:rsidRPr="009276B7" w:rsidR="00A8169D">
        <w:rPr>
          <w:rFonts w:ascii="Times New Roman" w:hAnsi="Times New Roman"/>
          <w:szCs w:val="24"/>
        </w:rPr>
        <w:t xml:space="preserve">ommercial </w:t>
      </w:r>
      <w:r w:rsidRPr="009276B7">
        <w:rPr>
          <w:rFonts w:ascii="Times New Roman" w:hAnsi="Times New Roman"/>
          <w:szCs w:val="24"/>
        </w:rPr>
        <w:t>M</w:t>
      </w:r>
      <w:r w:rsidRPr="009276B7" w:rsidR="00A8169D">
        <w:rPr>
          <w:rFonts w:ascii="Times New Roman" w:hAnsi="Times New Roman"/>
          <w:szCs w:val="24"/>
        </w:rPr>
        <w:t xml:space="preserve">obile </w:t>
      </w:r>
      <w:r w:rsidRPr="009276B7">
        <w:rPr>
          <w:rFonts w:ascii="Times New Roman" w:hAnsi="Times New Roman"/>
          <w:szCs w:val="24"/>
        </w:rPr>
        <w:t>R</w:t>
      </w:r>
      <w:r w:rsidRPr="009276B7" w:rsidR="00A8169D">
        <w:rPr>
          <w:rFonts w:ascii="Times New Roman" w:hAnsi="Times New Roman"/>
          <w:szCs w:val="24"/>
        </w:rPr>
        <w:t xml:space="preserve">adio </w:t>
      </w:r>
      <w:r w:rsidRPr="009276B7">
        <w:rPr>
          <w:rFonts w:ascii="Times New Roman" w:hAnsi="Times New Roman"/>
          <w:szCs w:val="24"/>
        </w:rPr>
        <w:t>S</w:t>
      </w:r>
      <w:r w:rsidRPr="009276B7" w:rsidR="00A8169D">
        <w:rPr>
          <w:rFonts w:ascii="Times New Roman" w:hAnsi="Times New Roman"/>
          <w:szCs w:val="24"/>
        </w:rPr>
        <w:t>ervice (CMRS)</w:t>
      </w:r>
      <w:r w:rsidRPr="009276B7">
        <w:rPr>
          <w:rFonts w:ascii="Times New Roman" w:hAnsi="Times New Roman"/>
          <w:szCs w:val="24"/>
        </w:rPr>
        <w:t xml:space="preserve"> providers in switches for which another carrier has made a specific request for number portability, according to the Commission</w:t>
      </w:r>
      <w:r w:rsidRPr="009276B7" w:rsidR="00592437">
        <w:rPr>
          <w:rFonts w:ascii="Times New Roman" w:hAnsi="Times New Roman"/>
          <w:szCs w:val="24"/>
        </w:rPr>
        <w:t>’</w:t>
      </w:r>
      <w:r w:rsidRPr="009276B7">
        <w:rPr>
          <w:rFonts w:ascii="Times New Roman" w:hAnsi="Times New Roman"/>
          <w:szCs w:val="24"/>
        </w:rPr>
        <w:t xml:space="preserve">s deployment schedule. </w:t>
      </w:r>
      <w:r w:rsidRPr="009276B7" w:rsidR="00254B52">
        <w:rPr>
          <w:rFonts w:ascii="Times New Roman" w:hAnsi="Times New Roman"/>
          <w:szCs w:val="24"/>
        </w:rPr>
        <w:t xml:space="preserve"> </w:t>
      </w:r>
      <w:r w:rsidRPr="009276B7" w:rsidR="001112B9">
        <w:rPr>
          <w:rFonts w:ascii="Times New Roman" w:hAnsi="Times New Roman"/>
          <w:szCs w:val="24"/>
        </w:rPr>
        <w:t>Wireline carriers began providing LNP in 199</w:t>
      </w:r>
      <w:r w:rsidRPr="009276B7" w:rsidR="00741156">
        <w:rPr>
          <w:rFonts w:ascii="Times New Roman" w:hAnsi="Times New Roman"/>
          <w:szCs w:val="24"/>
        </w:rPr>
        <w:t>8</w:t>
      </w:r>
      <w:r w:rsidRPr="009276B7" w:rsidR="001112B9">
        <w:rPr>
          <w:rFonts w:ascii="Times New Roman" w:hAnsi="Times New Roman"/>
          <w:szCs w:val="24"/>
        </w:rPr>
        <w:t xml:space="preserve">.  </w:t>
      </w:r>
      <w:r w:rsidRPr="009276B7">
        <w:rPr>
          <w:rFonts w:ascii="Times New Roman" w:hAnsi="Times New Roman"/>
          <w:szCs w:val="24"/>
        </w:rPr>
        <w:t xml:space="preserve">In a </w:t>
      </w:r>
      <w:r w:rsidRPr="009276B7">
        <w:rPr>
          <w:rFonts w:ascii="Times New Roman" w:hAnsi="Times New Roman"/>
          <w:i/>
          <w:szCs w:val="24"/>
        </w:rPr>
        <w:t>Memorandum Opinion and Orde</w:t>
      </w:r>
      <w:r w:rsidRPr="009276B7" w:rsidR="00A7566B">
        <w:rPr>
          <w:rFonts w:ascii="Times New Roman" w:hAnsi="Times New Roman"/>
          <w:i/>
          <w:szCs w:val="24"/>
        </w:rPr>
        <w:t>r</w:t>
      </w:r>
      <w:r w:rsidRPr="009276B7" w:rsidR="00A7566B">
        <w:rPr>
          <w:rFonts w:ascii="Times New Roman" w:hAnsi="Times New Roman"/>
          <w:szCs w:val="24"/>
        </w:rPr>
        <w:t xml:space="preserve"> (FCC 02-215)</w:t>
      </w:r>
      <w:r w:rsidRPr="009276B7">
        <w:rPr>
          <w:rFonts w:ascii="Times New Roman" w:hAnsi="Times New Roman"/>
          <w:szCs w:val="24"/>
        </w:rPr>
        <w:t xml:space="preserve"> in CC Docket No. 95-116, the Commission extended the deadline for CMRS providers to </w:t>
      </w:r>
      <w:r w:rsidRPr="009276B7" w:rsidR="00DF11E2">
        <w:rPr>
          <w:rFonts w:ascii="Times New Roman" w:hAnsi="Times New Roman"/>
          <w:szCs w:val="24"/>
        </w:rPr>
        <w:t>offer</w:t>
      </w:r>
      <w:r w:rsidRPr="009276B7">
        <w:rPr>
          <w:rFonts w:ascii="Times New Roman" w:hAnsi="Times New Roman"/>
          <w:szCs w:val="24"/>
        </w:rPr>
        <w:t xml:space="preserve"> LNP.  </w:t>
      </w:r>
      <w:r w:rsidRPr="009276B7" w:rsidR="00FF2459">
        <w:rPr>
          <w:rFonts w:ascii="Times New Roman" w:hAnsi="Times New Roman"/>
          <w:szCs w:val="24"/>
        </w:rPr>
        <w:t>CMRS providers began offering LNP</w:t>
      </w:r>
      <w:r w:rsidRPr="009276B7" w:rsidR="00A32CC5">
        <w:rPr>
          <w:rFonts w:ascii="Times New Roman" w:hAnsi="Times New Roman"/>
          <w:szCs w:val="24"/>
        </w:rPr>
        <w:t xml:space="preserve"> in</w:t>
      </w:r>
      <w:r w:rsidRPr="009276B7" w:rsidR="00FF2459">
        <w:rPr>
          <w:rFonts w:ascii="Times New Roman" w:hAnsi="Times New Roman"/>
          <w:szCs w:val="24"/>
        </w:rPr>
        <w:t xml:space="preserve"> 2003.</w:t>
      </w:r>
      <w:r w:rsidRPr="009276B7" w:rsidR="005B6C67">
        <w:rPr>
          <w:rFonts w:ascii="Times New Roman" w:hAnsi="Times New Roman"/>
          <w:szCs w:val="24"/>
        </w:rPr>
        <w:t xml:space="preserve"> </w:t>
      </w:r>
    </w:p>
    <w:p w:rsidR="0071585A" w:rsidRPr="009276B7" w14:paraId="4433E62B" w14:textId="77777777">
      <w:pPr>
        <w:tabs>
          <w:tab w:val="left" w:pos="-720"/>
        </w:tabs>
        <w:suppressAutoHyphens/>
        <w:rPr>
          <w:rFonts w:ascii="Times New Roman" w:hAnsi="Times New Roman"/>
          <w:szCs w:val="24"/>
        </w:rPr>
      </w:pPr>
    </w:p>
    <w:p w:rsidR="00D671D3" w:rsidRPr="009276B7" w14:paraId="7D83FBDC" w14:textId="0F4CCDAD">
      <w:pPr>
        <w:tabs>
          <w:tab w:val="left" w:pos="-720"/>
        </w:tabs>
        <w:suppressAutoHyphens/>
        <w:rPr>
          <w:rFonts w:ascii="Times New Roman" w:hAnsi="Times New Roman"/>
          <w:szCs w:val="24"/>
        </w:rPr>
      </w:pPr>
      <w:r w:rsidRPr="009276B7">
        <w:rPr>
          <w:rFonts w:ascii="Times New Roman" w:hAnsi="Times New Roman"/>
          <w:szCs w:val="24"/>
        </w:rPr>
        <w:tab/>
      </w:r>
      <w:r w:rsidRPr="009276B7" w:rsidR="00D4503F">
        <w:rPr>
          <w:rFonts w:ascii="Times New Roman" w:hAnsi="Times New Roman"/>
          <w:szCs w:val="24"/>
        </w:rPr>
        <w:t>b</w:t>
      </w:r>
      <w:r w:rsidRPr="009276B7">
        <w:rPr>
          <w:rFonts w:ascii="Times New Roman" w:hAnsi="Times New Roman"/>
          <w:szCs w:val="24"/>
        </w:rPr>
        <w:t>.</w:t>
      </w:r>
      <w:r w:rsidRPr="009276B7">
        <w:rPr>
          <w:rFonts w:ascii="Times New Roman" w:hAnsi="Times New Roman"/>
          <w:szCs w:val="24"/>
        </w:rPr>
        <w:tab/>
      </w:r>
      <w:r w:rsidRPr="009276B7">
        <w:rPr>
          <w:rFonts w:ascii="Times New Roman" w:hAnsi="Times New Roman"/>
          <w:szCs w:val="24"/>
          <w:u w:val="single"/>
        </w:rPr>
        <w:t>Tariffs and Cost Support:</w:t>
      </w:r>
      <w:r w:rsidRPr="009276B7">
        <w:rPr>
          <w:rFonts w:ascii="Times New Roman" w:hAnsi="Times New Roman"/>
          <w:szCs w:val="24"/>
        </w:rPr>
        <w:t xml:space="preserve">  Incumbent LECs may recover their carrier-specific costs directly related to providing long-term number portability by establishing in tariffs filed with the Commission certain number portability charges.  </w:t>
      </w:r>
      <w:r w:rsidRPr="009276B7">
        <w:rPr>
          <w:rFonts w:ascii="Times New Roman" w:hAnsi="Times New Roman"/>
          <w:i/>
          <w:iCs/>
          <w:szCs w:val="24"/>
        </w:rPr>
        <w:t>See</w:t>
      </w:r>
      <w:r w:rsidRPr="009276B7">
        <w:rPr>
          <w:rFonts w:ascii="Times New Roman" w:hAnsi="Times New Roman"/>
          <w:szCs w:val="24"/>
        </w:rPr>
        <w:t xml:space="preserve"> 47 CFR </w:t>
      </w:r>
      <w:r w:rsidRPr="009276B7" w:rsidR="008F6FA7">
        <w:rPr>
          <w:rFonts w:ascii="Times New Roman" w:hAnsi="Times New Roman"/>
          <w:szCs w:val="24"/>
        </w:rPr>
        <w:t>§ </w:t>
      </w:r>
      <w:r w:rsidRPr="009276B7">
        <w:rPr>
          <w:rFonts w:ascii="Times New Roman" w:hAnsi="Times New Roman"/>
          <w:szCs w:val="24"/>
        </w:rPr>
        <w:t xml:space="preserve">52.33.  Incumbent LECs are required to include many details in their cost support that are unique to the number portability proceeding pursuant to the </w:t>
      </w:r>
      <w:r w:rsidRPr="009276B7">
        <w:rPr>
          <w:rFonts w:ascii="Times New Roman" w:hAnsi="Times New Roman"/>
          <w:i/>
          <w:szCs w:val="24"/>
        </w:rPr>
        <w:t>Cost Classification Order</w:t>
      </w:r>
      <w:r w:rsidRPr="009276B7">
        <w:rPr>
          <w:rFonts w:ascii="Times New Roman" w:hAnsi="Times New Roman"/>
          <w:szCs w:val="24"/>
        </w:rPr>
        <w:t xml:space="preserve">.  For instance, incumbent LECs must demonstrate that any incremental overhead costs claimed in their cost support are actually new costs incremental to and resulting from the provision of long-term number portability. </w:t>
      </w:r>
      <w:r w:rsidRPr="009276B7" w:rsidR="00C62DC2">
        <w:rPr>
          <w:rFonts w:ascii="Times New Roman" w:hAnsi="Times New Roman"/>
          <w:szCs w:val="24"/>
        </w:rPr>
        <w:t xml:space="preserve"> </w:t>
      </w:r>
      <w:r w:rsidRPr="009276B7">
        <w:rPr>
          <w:rFonts w:ascii="Times New Roman" w:hAnsi="Times New Roman"/>
          <w:szCs w:val="24"/>
        </w:rPr>
        <w:t xml:space="preserve">See </w:t>
      </w:r>
      <w:r w:rsidRPr="009276B7">
        <w:rPr>
          <w:rFonts w:ascii="Times New Roman" w:hAnsi="Times New Roman"/>
          <w:i/>
          <w:szCs w:val="24"/>
        </w:rPr>
        <w:t>Cost Classification Order</w:t>
      </w:r>
      <w:r w:rsidRPr="009276B7">
        <w:rPr>
          <w:rFonts w:ascii="Times New Roman" w:hAnsi="Times New Roman"/>
          <w:szCs w:val="24"/>
        </w:rPr>
        <w:t>.</w:t>
      </w:r>
      <w:r w:rsidRPr="009276B7" w:rsidR="00FC5B65">
        <w:rPr>
          <w:rFonts w:ascii="Times New Roman" w:hAnsi="Times New Roman"/>
          <w:szCs w:val="24"/>
        </w:rPr>
        <w:t xml:space="preserve">  </w:t>
      </w:r>
      <w:r w:rsidRPr="009276B7" w:rsidR="009D0EF2">
        <w:rPr>
          <w:rFonts w:ascii="Times New Roman" w:hAnsi="Times New Roman"/>
          <w:szCs w:val="24"/>
        </w:rPr>
        <w:t xml:space="preserve"> </w:t>
      </w:r>
    </w:p>
    <w:p w:rsidR="00D671D3" w:rsidRPr="009276B7" w14:paraId="0F1C4D08" w14:textId="77777777">
      <w:pPr>
        <w:tabs>
          <w:tab w:val="left" w:pos="-720"/>
        </w:tabs>
        <w:suppressAutoHyphens/>
        <w:rPr>
          <w:rFonts w:ascii="Times New Roman" w:hAnsi="Times New Roman"/>
          <w:szCs w:val="24"/>
        </w:rPr>
      </w:pPr>
    </w:p>
    <w:p w:rsidR="009D0EF2" w:rsidRPr="009276B7" w14:paraId="4BC3E0CE" w14:textId="299BFD88">
      <w:pPr>
        <w:tabs>
          <w:tab w:val="left" w:pos="-720"/>
        </w:tabs>
        <w:suppressAutoHyphens/>
        <w:rPr>
          <w:rFonts w:ascii="Times New Roman" w:hAnsi="Times New Roman"/>
          <w:b/>
          <w:szCs w:val="24"/>
          <w:u w:val="single"/>
        </w:rPr>
      </w:pPr>
      <w:r w:rsidRPr="009276B7">
        <w:rPr>
          <w:rFonts w:ascii="Times New Roman" w:hAnsi="Times New Roman"/>
          <w:szCs w:val="24"/>
        </w:rPr>
        <w:tab/>
      </w:r>
      <w:r w:rsidRPr="009276B7" w:rsidR="00D4503F">
        <w:rPr>
          <w:rFonts w:ascii="Times New Roman" w:hAnsi="Times New Roman"/>
          <w:szCs w:val="24"/>
        </w:rPr>
        <w:t>c</w:t>
      </w:r>
      <w:r w:rsidRPr="009276B7">
        <w:rPr>
          <w:rFonts w:ascii="Times New Roman" w:hAnsi="Times New Roman"/>
          <w:szCs w:val="24"/>
        </w:rPr>
        <w:t>.</w:t>
      </w:r>
      <w:r w:rsidRPr="009276B7">
        <w:rPr>
          <w:rFonts w:ascii="Times New Roman" w:hAnsi="Times New Roman"/>
          <w:szCs w:val="24"/>
        </w:rPr>
        <w:tab/>
      </w:r>
      <w:r w:rsidRPr="009276B7">
        <w:rPr>
          <w:rFonts w:ascii="Times New Roman" w:hAnsi="Times New Roman"/>
          <w:szCs w:val="24"/>
          <w:u w:val="single"/>
        </w:rPr>
        <w:t>Recordkeeping Requirement</w:t>
      </w:r>
      <w:r w:rsidRPr="009276B7" w:rsidR="00EC4AA8">
        <w:rPr>
          <w:rFonts w:ascii="Times New Roman" w:hAnsi="Times New Roman"/>
          <w:szCs w:val="24"/>
        </w:rPr>
        <w:t>:</w:t>
      </w:r>
      <w:r w:rsidRPr="009276B7">
        <w:rPr>
          <w:rFonts w:ascii="Times New Roman" w:hAnsi="Times New Roman"/>
          <w:szCs w:val="24"/>
        </w:rPr>
        <w:t xml:space="preserve">  Incumbent LECs are required to maintain records that detail both the nature and specific amount of these carrier-specific costs that are directly related to number portability, and those carrier-specific costs that are not directly related to number portability. </w:t>
      </w:r>
      <w:r w:rsidRPr="009276B7" w:rsidR="00DF11E2">
        <w:rPr>
          <w:rFonts w:ascii="Times New Roman" w:hAnsi="Times New Roman"/>
          <w:szCs w:val="24"/>
        </w:rPr>
        <w:t xml:space="preserve"> </w:t>
      </w:r>
      <w:r w:rsidRPr="009276B7">
        <w:rPr>
          <w:rFonts w:ascii="Times New Roman" w:hAnsi="Times New Roman"/>
          <w:i/>
          <w:iCs/>
          <w:szCs w:val="24"/>
        </w:rPr>
        <w:t>See</w:t>
      </w:r>
      <w:r w:rsidRPr="009276B7">
        <w:rPr>
          <w:rFonts w:ascii="Times New Roman" w:hAnsi="Times New Roman"/>
          <w:szCs w:val="24"/>
        </w:rPr>
        <w:t xml:space="preserve"> the </w:t>
      </w:r>
      <w:r w:rsidRPr="009276B7">
        <w:rPr>
          <w:rFonts w:ascii="Times New Roman" w:hAnsi="Times New Roman"/>
          <w:i/>
          <w:iCs/>
          <w:szCs w:val="24"/>
        </w:rPr>
        <w:t>Third Report and Order</w:t>
      </w:r>
      <w:r w:rsidRPr="009276B7">
        <w:rPr>
          <w:rFonts w:ascii="Times New Roman" w:hAnsi="Times New Roman"/>
          <w:szCs w:val="24"/>
        </w:rPr>
        <w:t>, CC Docket No. 95-116, released May 12, 1998</w:t>
      </w:r>
      <w:r w:rsidRPr="009276B7">
        <w:rPr>
          <w:rFonts w:ascii="Times New Roman" w:hAnsi="Times New Roman"/>
          <w:szCs w:val="24"/>
        </w:rPr>
        <w:t xml:space="preserve">. </w:t>
      </w:r>
    </w:p>
    <w:p w:rsidR="001A019D" w:rsidRPr="009276B7" w14:paraId="349421D1" w14:textId="77777777">
      <w:pPr>
        <w:tabs>
          <w:tab w:val="left" w:pos="-720"/>
        </w:tabs>
        <w:suppressAutoHyphens/>
        <w:rPr>
          <w:rFonts w:ascii="Times New Roman" w:hAnsi="Times New Roman"/>
          <w:szCs w:val="24"/>
        </w:rPr>
      </w:pPr>
    </w:p>
    <w:p w:rsidR="004651AB" w:rsidRPr="00D30196" w:rsidP="004651AB" w14:paraId="31E226BE" w14:textId="2377FA3F">
      <w:pPr>
        <w:tabs>
          <w:tab w:val="left" w:pos="-720"/>
        </w:tabs>
        <w:suppressAutoHyphens/>
        <w:rPr>
          <w:rFonts w:ascii="Times New Roman" w:hAnsi="Times New Roman"/>
          <w:szCs w:val="24"/>
        </w:rPr>
      </w:pPr>
      <w:r w:rsidRPr="009276B7">
        <w:rPr>
          <w:rFonts w:ascii="Times New Roman" w:hAnsi="Times New Roman"/>
          <w:szCs w:val="24"/>
        </w:rPr>
        <w:tab/>
      </w:r>
      <w:r w:rsidRPr="009276B7" w:rsidR="00D4503F">
        <w:rPr>
          <w:rFonts w:ascii="Times New Roman" w:hAnsi="Times New Roman"/>
          <w:szCs w:val="24"/>
        </w:rPr>
        <w:t>d</w:t>
      </w:r>
      <w:r w:rsidRPr="009276B7">
        <w:rPr>
          <w:rFonts w:ascii="Times New Roman" w:hAnsi="Times New Roman"/>
          <w:szCs w:val="24"/>
        </w:rPr>
        <w:t>.</w:t>
      </w:r>
      <w:r w:rsidRPr="009276B7">
        <w:rPr>
          <w:rFonts w:ascii="Times New Roman" w:hAnsi="Times New Roman"/>
          <w:szCs w:val="24"/>
        </w:rPr>
        <w:tab/>
      </w:r>
      <w:r w:rsidRPr="009276B7">
        <w:rPr>
          <w:rFonts w:ascii="Times New Roman" w:hAnsi="Times New Roman"/>
          <w:szCs w:val="24"/>
          <w:u w:val="single"/>
        </w:rPr>
        <w:t xml:space="preserve">Standardized Local Service Request </w:t>
      </w:r>
      <w:r w:rsidRPr="009276B7" w:rsidR="00F91BEE">
        <w:rPr>
          <w:rFonts w:ascii="Times New Roman" w:hAnsi="Times New Roman"/>
          <w:szCs w:val="24"/>
          <w:u w:val="single"/>
        </w:rPr>
        <w:t xml:space="preserve">Data </w:t>
      </w:r>
      <w:r w:rsidRPr="009276B7">
        <w:rPr>
          <w:rFonts w:ascii="Times New Roman" w:hAnsi="Times New Roman"/>
          <w:szCs w:val="24"/>
          <w:u w:val="single"/>
        </w:rPr>
        <w:t>Fields</w:t>
      </w:r>
      <w:r w:rsidRPr="009276B7">
        <w:rPr>
          <w:rFonts w:ascii="Times New Roman" w:hAnsi="Times New Roman"/>
          <w:szCs w:val="24"/>
        </w:rPr>
        <w:t xml:space="preserve">:  Section 251(b)(2) of the </w:t>
      </w:r>
      <w:r w:rsidRPr="009276B7" w:rsidR="00AB56E2">
        <w:rPr>
          <w:rFonts w:ascii="Times New Roman" w:hAnsi="Times New Roman"/>
          <w:szCs w:val="24"/>
        </w:rPr>
        <w:t>Telecommunications Act of 1996</w:t>
      </w:r>
      <w:r w:rsidRPr="009276B7" w:rsidR="007F1723">
        <w:rPr>
          <w:rFonts w:ascii="Times New Roman" w:hAnsi="Times New Roman"/>
          <w:szCs w:val="24"/>
        </w:rPr>
        <w:t xml:space="preserve"> </w:t>
      </w:r>
      <w:r w:rsidRPr="009276B7" w:rsidR="00826A69">
        <w:rPr>
          <w:rFonts w:ascii="Times New Roman" w:hAnsi="Times New Roman"/>
          <w:szCs w:val="24"/>
        </w:rPr>
        <w:t xml:space="preserve">requires </w:t>
      </w:r>
      <w:r w:rsidRPr="009276B7">
        <w:rPr>
          <w:rFonts w:ascii="Times New Roman" w:hAnsi="Times New Roman"/>
          <w:szCs w:val="24"/>
        </w:rPr>
        <w:t xml:space="preserve">LECs to “provide, to the extent technically feasible, number portability in accordance with requirements prescribed by the Commission.”  Through the </w:t>
      </w:r>
      <w:r w:rsidRPr="009276B7" w:rsidR="007F1723">
        <w:rPr>
          <w:rFonts w:ascii="Times New Roman" w:hAnsi="Times New Roman"/>
          <w:szCs w:val="24"/>
        </w:rPr>
        <w:t>LNP</w:t>
      </w:r>
      <w:r w:rsidRPr="009276B7">
        <w:rPr>
          <w:rFonts w:ascii="Times New Roman" w:hAnsi="Times New Roman"/>
          <w:szCs w:val="24"/>
        </w:rPr>
        <w:t xml:space="preserve"> process, consumers have the ability to retain their phone number when switching telecommunications service providers, enabling them to choose a provider that best suits their needs and enhancing competition.  In the </w:t>
      </w:r>
      <w:r w:rsidRPr="009276B7">
        <w:rPr>
          <w:rFonts w:ascii="Times New Roman" w:hAnsi="Times New Roman"/>
          <w:i/>
          <w:szCs w:val="24"/>
        </w:rPr>
        <w:t>Porting Interval Order and Further Notice</w:t>
      </w:r>
      <w:r w:rsidRPr="009276B7">
        <w:rPr>
          <w:rFonts w:ascii="Times New Roman" w:hAnsi="Times New Roman"/>
          <w:szCs w:val="24"/>
        </w:rPr>
        <w:t xml:space="preserve">, the Commission mandated a one business day porting interval for simple wireline-to-wireline and </w:t>
      </w:r>
      <w:r w:rsidRPr="00D30196">
        <w:rPr>
          <w:rFonts w:ascii="Times New Roman" w:hAnsi="Times New Roman"/>
          <w:szCs w:val="24"/>
        </w:rPr>
        <w:t>intermodal port requests.  The information collected in the standard local service request data fields is necessary to complete simple wireline-to-wireline and intermodal ports within the one business day porting interval mandated by the Commission and will be used to comply with Section 251 of the Telecommunications Act of 1996.</w:t>
      </w:r>
    </w:p>
    <w:p w:rsidR="00A712A6" w:rsidRPr="00D30196" w:rsidP="004651AB" w14:paraId="7B39F06F" w14:textId="77777777">
      <w:pPr>
        <w:tabs>
          <w:tab w:val="left" w:pos="-720"/>
        </w:tabs>
        <w:suppressAutoHyphens/>
        <w:rPr>
          <w:rFonts w:ascii="Times New Roman" w:hAnsi="Times New Roman"/>
          <w:szCs w:val="24"/>
        </w:rPr>
      </w:pPr>
    </w:p>
    <w:p w:rsidR="00A712A6" w:rsidRPr="00D30196" w:rsidP="00A712A6" w14:paraId="50E2E027" w14:textId="119B08C5">
      <w:pPr>
        <w:rPr>
          <w:rFonts w:ascii="Times New Roman" w:hAnsi="Times New Roman"/>
          <w:b/>
          <w:i/>
          <w:spacing w:val="-3"/>
          <w:sz w:val="22"/>
          <w:szCs w:val="22"/>
          <w:shd w:val="clear" w:color="auto" w:fill="FFFFFF"/>
        </w:rPr>
      </w:pPr>
      <w:r w:rsidRPr="00D30196">
        <w:rPr>
          <w:rFonts w:ascii="Times New Roman" w:hAnsi="Times New Roman"/>
          <w:b/>
          <w:spacing w:val="-3"/>
          <w:sz w:val="22"/>
          <w:szCs w:val="22"/>
          <w:shd w:val="clear" w:color="auto" w:fill="FFFFFF"/>
        </w:rPr>
        <w:t>New or Revised Information Collection Requirements Resulting from Changes</w:t>
      </w:r>
      <w:r w:rsidRPr="00D30196">
        <w:rPr>
          <w:rFonts w:ascii="Times New Roman" w:hAnsi="Times New Roman"/>
          <w:spacing w:val="-3"/>
          <w:sz w:val="22"/>
          <w:szCs w:val="22"/>
          <w:shd w:val="clear" w:color="auto" w:fill="FFFFFF"/>
        </w:rPr>
        <w:t xml:space="preserve"> </w:t>
      </w:r>
      <w:r w:rsidRPr="00D30196">
        <w:rPr>
          <w:rFonts w:ascii="Times New Roman" w:hAnsi="Times New Roman"/>
          <w:b/>
          <w:spacing w:val="-3"/>
          <w:sz w:val="22"/>
          <w:szCs w:val="22"/>
          <w:shd w:val="clear" w:color="auto" w:fill="FFFFFF"/>
        </w:rPr>
        <w:t xml:space="preserve">in </w:t>
      </w:r>
      <w:r w:rsidRPr="00D30196">
        <w:rPr>
          <w:rFonts w:ascii="Times New Roman" w:hAnsi="Times New Roman"/>
          <w:b/>
          <w:i/>
          <w:iCs/>
          <w:spacing w:val="-3"/>
          <w:sz w:val="22"/>
          <w:szCs w:val="22"/>
          <w:shd w:val="clear" w:color="auto" w:fill="FFFFFF"/>
        </w:rPr>
        <w:t>SIM Swap and P</w:t>
      </w:r>
      <w:r w:rsidRPr="00D30196">
        <w:rPr>
          <w:rFonts w:ascii="Times New Roman" w:hAnsi="Times New Roman"/>
          <w:b/>
          <w:i/>
          <w:spacing w:val="-3"/>
          <w:sz w:val="22"/>
          <w:szCs w:val="22"/>
          <w:shd w:val="clear" w:color="auto" w:fill="FFFFFF"/>
        </w:rPr>
        <w:t>o</w:t>
      </w:r>
      <w:r w:rsidRPr="00D30196">
        <w:rPr>
          <w:rFonts w:ascii="Times New Roman" w:hAnsi="Times New Roman"/>
          <w:b/>
          <w:i/>
          <w:iCs/>
          <w:spacing w:val="-3"/>
          <w:sz w:val="22"/>
          <w:szCs w:val="22"/>
          <w:shd w:val="clear" w:color="auto" w:fill="FFFFFF"/>
        </w:rPr>
        <w:t>rt-Out Fraud Order</w:t>
      </w:r>
    </w:p>
    <w:p w:rsidR="00A712A6" w:rsidRPr="00D30196" w:rsidP="00A712A6" w14:paraId="2ABE28CA" w14:textId="77777777">
      <w:pPr>
        <w:rPr>
          <w:rFonts w:ascii="Times New Roman" w:hAnsi="Times New Roman"/>
          <w:b/>
          <w:i/>
          <w:spacing w:val="-3"/>
          <w:sz w:val="22"/>
          <w:szCs w:val="22"/>
          <w:shd w:val="clear" w:color="auto" w:fill="FFFFFF"/>
        </w:rPr>
      </w:pPr>
    </w:p>
    <w:p w:rsidR="00A712A6" w:rsidRPr="00D30196" w:rsidP="00D30196" w14:paraId="35F91343" w14:textId="07BF6C32">
      <w:pPr>
        <w:ind w:firstLine="720"/>
        <w:rPr>
          <w:rFonts w:ascii="Times New Roman" w:hAnsi="Times New Roman"/>
          <w:bCs/>
          <w:spacing w:val="-3"/>
          <w:szCs w:val="24"/>
          <w:shd w:val="clear" w:color="auto" w:fill="FFFFFF"/>
        </w:rPr>
      </w:pPr>
      <w:r w:rsidRPr="00D30196">
        <w:rPr>
          <w:rFonts w:ascii="Times New Roman" w:hAnsi="Times New Roman"/>
          <w:bCs/>
          <w:spacing w:val="-3"/>
          <w:sz w:val="22"/>
          <w:szCs w:val="22"/>
          <w:shd w:val="clear" w:color="auto" w:fill="FFFFFF"/>
        </w:rPr>
        <w:t xml:space="preserve">e. </w:t>
      </w:r>
      <w:r w:rsidRPr="00D30196">
        <w:rPr>
          <w:rFonts w:ascii="Times New Roman" w:hAnsi="Times New Roman"/>
          <w:bCs/>
          <w:spacing w:val="-3"/>
          <w:sz w:val="22"/>
          <w:szCs w:val="22"/>
          <w:shd w:val="clear" w:color="auto" w:fill="FFFFFF"/>
        </w:rPr>
        <w:tab/>
      </w:r>
      <w:r w:rsidRPr="00D30196">
        <w:rPr>
          <w:rFonts w:ascii="Times New Roman" w:hAnsi="Times New Roman"/>
          <w:bCs/>
          <w:spacing w:val="-3"/>
          <w:szCs w:val="24"/>
          <w:u w:val="single"/>
          <w:shd w:val="clear" w:color="auto" w:fill="FFFFFF"/>
        </w:rPr>
        <w:t>Customer notification of port-out requests</w:t>
      </w:r>
      <w:r w:rsidRPr="00D30196" w:rsidR="00243EED">
        <w:rPr>
          <w:rFonts w:ascii="Times New Roman" w:hAnsi="Times New Roman"/>
          <w:bCs/>
          <w:spacing w:val="-3"/>
          <w:szCs w:val="24"/>
          <w:shd w:val="clear" w:color="auto" w:fill="FFFFFF"/>
        </w:rPr>
        <w:t>:</w:t>
      </w:r>
      <w:r w:rsidRPr="00D30196">
        <w:rPr>
          <w:rFonts w:ascii="Times New Roman" w:hAnsi="Times New Roman"/>
          <w:bCs/>
          <w:spacing w:val="-3"/>
          <w:szCs w:val="24"/>
          <w:shd w:val="clear" w:color="auto" w:fill="FFFFFF"/>
        </w:rPr>
        <w:t xml:space="preserve">  To provide customers with an early warning that their account may be subject to fraudulent activity, upon receiving a port-out request, CMRS providers must provide immediate notification to customers that a port-out request </w:t>
      </w:r>
      <w:r w:rsidRPr="00D30196">
        <w:rPr>
          <w:rFonts w:ascii="Times New Roman" w:hAnsi="Times New Roman"/>
          <w:bCs/>
          <w:spacing w:val="-3"/>
          <w:szCs w:val="24"/>
          <w:shd w:val="clear" w:color="auto" w:fill="FFFFFF"/>
        </w:rPr>
        <w:t xml:space="preserve">associated with the customer’s account was made, sent in accordance with customer preferences, if indicated.  While the Commission declines to prescribe particular content or wording of port-out request notifications, the notifications must use clear and concise language with sufficient information to effectively inform a customer that a port-out request involving the customer’s account was made. </w:t>
      </w:r>
      <w:r w:rsidRPr="00D30196">
        <w:rPr>
          <w:rFonts w:ascii="Times New Roman" w:hAnsi="Times New Roman"/>
          <w:bCs/>
          <w:i/>
          <w:iCs/>
          <w:spacing w:val="-3"/>
          <w:szCs w:val="24"/>
          <w:shd w:val="clear" w:color="auto" w:fill="FFFFFF"/>
        </w:rPr>
        <w:t>See</w:t>
      </w:r>
      <w:r w:rsidRPr="00D30196">
        <w:rPr>
          <w:rFonts w:ascii="Times New Roman" w:hAnsi="Times New Roman"/>
          <w:bCs/>
          <w:spacing w:val="-3"/>
          <w:szCs w:val="24"/>
          <w:shd w:val="clear" w:color="auto" w:fill="FFFFFF"/>
        </w:rPr>
        <w:t xml:space="preserve"> 47 CFR § 52.37(c) and paragraphs 58-60 of the </w:t>
      </w:r>
      <w:r w:rsidRPr="00D30196">
        <w:rPr>
          <w:rFonts w:ascii="Times New Roman" w:hAnsi="Times New Roman"/>
          <w:bCs/>
          <w:i/>
          <w:iCs/>
          <w:spacing w:val="-3"/>
          <w:szCs w:val="24"/>
          <w:shd w:val="clear" w:color="auto" w:fill="FFFFFF"/>
        </w:rPr>
        <w:t>SIM Swap and Port-Out Fraud Order</w:t>
      </w:r>
      <w:r w:rsidRPr="00D30196">
        <w:rPr>
          <w:rFonts w:ascii="Times New Roman" w:hAnsi="Times New Roman"/>
          <w:bCs/>
          <w:spacing w:val="-3"/>
          <w:szCs w:val="24"/>
          <w:shd w:val="clear" w:color="auto" w:fill="FFFFFF"/>
        </w:rPr>
        <w:t xml:space="preserve"> (FCC 23-95). </w:t>
      </w:r>
    </w:p>
    <w:p w:rsidR="00A712A6" w:rsidRPr="00D30196" w:rsidP="00A712A6" w14:paraId="2F64C76F" w14:textId="77777777">
      <w:pPr>
        <w:pStyle w:val="ListParagraph"/>
        <w:rPr>
          <w:bCs/>
          <w:spacing w:val="-3"/>
          <w:sz w:val="24"/>
          <w:szCs w:val="24"/>
          <w:shd w:val="clear" w:color="auto" w:fill="FFFFFF"/>
        </w:rPr>
      </w:pPr>
    </w:p>
    <w:p w:rsidR="00A712A6" w:rsidRPr="00D30196" w:rsidP="00D30196" w14:paraId="7BE3795B" w14:textId="3F86B03C">
      <w:pPr>
        <w:ind w:firstLine="720"/>
        <w:rPr>
          <w:rFonts w:ascii="Times New Roman" w:hAnsi="Times New Roman"/>
          <w:bCs/>
          <w:spacing w:val="-3"/>
          <w:szCs w:val="24"/>
          <w:shd w:val="clear" w:color="auto" w:fill="FFFFFF"/>
        </w:rPr>
      </w:pPr>
      <w:r w:rsidRPr="00D30196">
        <w:rPr>
          <w:rFonts w:ascii="Times New Roman" w:hAnsi="Times New Roman"/>
          <w:szCs w:val="24"/>
        </w:rPr>
        <w:t xml:space="preserve">f. </w:t>
      </w:r>
      <w:r w:rsidRPr="00D30196">
        <w:rPr>
          <w:rFonts w:ascii="Times New Roman" w:hAnsi="Times New Roman"/>
          <w:szCs w:val="24"/>
        </w:rPr>
        <w:tab/>
      </w:r>
      <w:r w:rsidRPr="00D30196">
        <w:rPr>
          <w:rFonts w:ascii="Times New Roman" w:hAnsi="Times New Roman"/>
          <w:szCs w:val="24"/>
          <w:u w:val="single"/>
        </w:rPr>
        <w:t>Notice of account protection measures</w:t>
      </w:r>
      <w:r w:rsidRPr="00D30196">
        <w:rPr>
          <w:rFonts w:ascii="Times New Roman" w:hAnsi="Times New Roman"/>
          <w:szCs w:val="24"/>
        </w:rPr>
        <w:t xml:space="preserve">:  </w:t>
      </w:r>
      <w:r w:rsidRPr="00D30196">
        <w:rPr>
          <w:rFonts w:ascii="Times New Roman" w:hAnsi="Times New Roman"/>
          <w:szCs w:val="24"/>
        </w:rPr>
        <w:t xml:space="preserve">CMRS providers must provide customers with notice of any account protection measures offered, including those to prevent port-out fraud, and to make this notice easily accessible via provider websites and applications.  </w:t>
      </w:r>
      <w:r w:rsidRPr="00D30196">
        <w:rPr>
          <w:rFonts w:ascii="Times New Roman" w:hAnsi="Times New Roman"/>
          <w:i/>
          <w:iCs/>
          <w:szCs w:val="24"/>
        </w:rPr>
        <w:t>See</w:t>
      </w:r>
      <w:r w:rsidRPr="00D30196">
        <w:rPr>
          <w:rFonts w:ascii="Times New Roman" w:hAnsi="Times New Roman"/>
          <w:szCs w:val="24"/>
        </w:rPr>
        <w:t xml:space="preserve"> 47 CFR § 52.37(e) and paragraph 67 of the </w:t>
      </w:r>
      <w:r w:rsidRPr="00D30196">
        <w:rPr>
          <w:rFonts w:ascii="Times New Roman" w:hAnsi="Times New Roman"/>
          <w:i/>
          <w:iCs/>
          <w:szCs w:val="24"/>
        </w:rPr>
        <w:t>SIM Swap and Port-Out Fraud Order</w:t>
      </w:r>
      <w:r w:rsidRPr="00D30196">
        <w:rPr>
          <w:rFonts w:ascii="Times New Roman" w:hAnsi="Times New Roman"/>
          <w:szCs w:val="24"/>
        </w:rPr>
        <w:t xml:space="preserve"> (FCC 23-95).</w:t>
      </w:r>
    </w:p>
    <w:p w:rsidR="00A712A6" w:rsidRPr="00D30196" w:rsidP="00A712A6" w14:paraId="60B3A0CD" w14:textId="77777777">
      <w:pPr>
        <w:pStyle w:val="ListParagraph"/>
        <w:ind w:left="1080"/>
        <w:rPr>
          <w:bCs/>
          <w:spacing w:val="-3"/>
          <w:sz w:val="24"/>
          <w:szCs w:val="24"/>
          <w:shd w:val="clear" w:color="auto" w:fill="FFFFFF"/>
        </w:rPr>
      </w:pPr>
    </w:p>
    <w:p w:rsidR="00A712A6" w:rsidRPr="00D30196" w:rsidP="00D30196" w14:paraId="662CC557" w14:textId="49CB053B">
      <w:pPr>
        <w:ind w:firstLine="720"/>
        <w:rPr>
          <w:rFonts w:ascii="Times New Roman" w:hAnsi="Times New Roman"/>
          <w:bCs/>
          <w:spacing w:val="-3"/>
          <w:szCs w:val="24"/>
          <w:shd w:val="clear" w:color="auto" w:fill="FFFFFF"/>
        </w:rPr>
      </w:pPr>
      <w:r w:rsidRPr="00D30196">
        <w:rPr>
          <w:rFonts w:ascii="Times New Roman" w:hAnsi="Times New Roman"/>
          <w:szCs w:val="24"/>
        </w:rPr>
        <w:t xml:space="preserve">g. </w:t>
      </w:r>
      <w:r w:rsidRPr="00D30196">
        <w:rPr>
          <w:rFonts w:ascii="Times New Roman" w:hAnsi="Times New Roman"/>
          <w:szCs w:val="24"/>
        </w:rPr>
        <w:tab/>
      </w:r>
      <w:r w:rsidRPr="00D30196">
        <w:rPr>
          <w:rFonts w:ascii="Times New Roman" w:hAnsi="Times New Roman"/>
          <w:szCs w:val="24"/>
          <w:u w:val="single"/>
        </w:rPr>
        <w:t>Procedures to resolve fraudulent SIM changes</w:t>
      </w:r>
      <w:r w:rsidRPr="00D30196">
        <w:rPr>
          <w:rFonts w:ascii="Times New Roman" w:hAnsi="Times New Roman"/>
          <w:szCs w:val="24"/>
        </w:rPr>
        <w:t>:</w:t>
      </w:r>
      <w:r w:rsidRPr="00D30196">
        <w:rPr>
          <w:rFonts w:ascii="Times New Roman" w:hAnsi="Times New Roman"/>
          <w:szCs w:val="24"/>
        </w:rPr>
        <w:t xml:space="preserve">  CMRS providers must maintain a clearly disclosed, transparent, and easy-to-use process, at no cost, for customers to report port-out fraud, promptly investigate and take reasonable steps to remediate such fraud, and upon request, promptly provide customers with documentation of the fraud involving their accounts.  </w:t>
      </w:r>
      <w:r w:rsidRPr="00D30196">
        <w:rPr>
          <w:rFonts w:ascii="Times New Roman" w:hAnsi="Times New Roman"/>
          <w:i/>
          <w:iCs/>
          <w:szCs w:val="24"/>
        </w:rPr>
        <w:t>See</w:t>
      </w:r>
      <w:r w:rsidRPr="00D30196">
        <w:rPr>
          <w:rFonts w:ascii="Times New Roman" w:hAnsi="Times New Roman"/>
          <w:szCs w:val="24"/>
        </w:rPr>
        <w:t xml:space="preserve"> 47 CFR § 52.37(g) and paragraphs 72-</w:t>
      </w:r>
      <w:r w:rsidRPr="00D30196" w:rsidR="0018287B">
        <w:rPr>
          <w:rFonts w:ascii="Times New Roman" w:hAnsi="Times New Roman"/>
          <w:szCs w:val="24"/>
        </w:rPr>
        <w:t>76</w:t>
      </w:r>
      <w:r w:rsidRPr="00D30196">
        <w:rPr>
          <w:rFonts w:ascii="Times New Roman" w:hAnsi="Times New Roman"/>
          <w:szCs w:val="24"/>
        </w:rPr>
        <w:t xml:space="preserve"> of the </w:t>
      </w:r>
      <w:r w:rsidRPr="00D30196">
        <w:rPr>
          <w:rFonts w:ascii="Times New Roman" w:hAnsi="Times New Roman"/>
          <w:i/>
          <w:iCs/>
          <w:szCs w:val="24"/>
        </w:rPr>
        <w:t>SIM Swap and Port-Out Fraud Order</w:t>
      </w:r>
      <w:r w:rsidRPr="00D30196">
        <w:rPr>
          <w:rFonts w:ascii="Times New Roman" w:hAnsi="Times New Roman"/>
          <w:szCs w:val="24"/>
        </w:rPr>
        <w:t xml:space="preserve"> (FCC 23-95).  </w:t>
      </w:r>
    </w:p>
    <w:p w:rsidR="00A712A6" w:rsidRPr="00D30196" w:rsidP="00A712A6" w14:paraId="5E9B97E2" w14:textId="77777777">
      <w:pPr>
        <w:pStyle w:val="ListParagraph"/>
        <w:ind w:left="1080"/>
        <w:rPr>
          <w:bCs/>
          <w:spacing w:val="-3"/>
          <w:sz w:val="24"/>
          <w:szCs w:val="24"/>
          <w:shd w:val="clear" w:color="auto" w:fill="FFFFFF"/>
        </w:rPr>
      </w:pPr>
    </w:p>
    <w:p w:rsidR="004651AB" w:rsidRPr="009276B7" w:rsidP="004651AB" w14:paraId="4BF51C5E" w14:textId="77777777">
      <w:pPr>
        <w:tabs>
          <w:tab w:val="left" w:pos="-720"/>
        </w:tabs>
        <w:suppressAutoHyphens/>
        <w:rPr>
          <w:rFonts w:ascii="Times New Roman" w:hAnsi="Times New Roman"/>
          <w:szCs w:val="24"/>
        </w:rPr>
      </w:pPr>
    </w:p>
    <w:p w:rsidR="00104CB6" w:rsidRPr="009276B7" w:rsidP="004651AB" w14:paraId="154E17B8" w14:textId="45671B48">
      <w:pPr>
        <w:tabs>
          <w:tab w:val="left" w:pos="-720"/>
        </w:tabs>
        <w:suppressAutoHyphens/>
        <w:rPr>
          <w:rFonts w:ascii="Times New Roman" w:hAnsi="Times New Roman"/>
          <w:szCs w:val="24"/>
        </w:rPr>
      </w:pPr>
      <w:r w:rsidRPr="009276B7">
        <w:rPr>
          <w:rFonts w:ascii="Times New Roman" w:hAnsi="Times New Roman"/>
          <w:szCs w:val="24"/>
        </w:rPr>
        <w:t>The Commission is seeking a</w:t>
      </w:r>
      <w:r w:rsidRPr="009276B7" w:rsidR="008B271F">
        <w:rPr>
          <w:rFonts w:ascii="Times New Roman" w:hAnsi="Times New Roman"/>
          <w:szCs w:val="24"/>
        </w:rPr>
        <w:t xml:space="preserve"> revision </w:t>
      </w:r>
      <w:r w:rsidRPr="009276B7">
        <w:rPr>
          <w:rFonts w:ascii="Times New Roman" w:hAnsi="Times New Roman"/>
          <w:szCs w:val="24"/>
        </w:rPr>
        <w:t>to an existing collection from the Office of Ma</w:t>
      </w:r>
      <w:r w:rsidRPr="009276B7" w:rsidR="00A8215C">
        <w:rPr>
          <w:rFonts w:ascii="Times New Roman" w:hAnsi="Times New Roman"/>
          <w:szCs w:val="24"/>
        </w:rPr>
        <w:t>nagement and Budget (OMB) in order to obtain the full three-year clearance from them.</w:t>
      </w:r>
      <w:r w:rsidRPr="009276B7" w:rsidR="005C4BDD">
        <w:rPr>
          <w:rFonts w:ascii="Times New Roman" w:hAnsi="Times New Roman"/>
          <w:szCs w:val="24"/>
        </w:rPr>
        <w:t xml:space="preserve">  </w:t>
      </w:r>
    </w:p>
    <w:p w:rsidR="00A8215C" w:rsidRPr="009276B7" w:rsidP="004651AB" w14:paraId="6FF0B1F3" w14:textId="77777777">
      <w:pPr>
        <w:tabs>
          <w:tab w:val="left" w:pos="-720"/>
        </w:tabs>
        <w:suppressAutoHyphens/>
        <w:rPr>
          <w:rFonts w:ascii="Times New Roman" w:hAnsi="Times New Roman"/>
          <w:szCs w:val="24"/>
        </w:rPr>
      </w:pPr>
    </w:p>
    <w:p w:rsidR="001A019D" w:rsidRPr="009276B7" w:rsidP="001A019D" w14:paraId="7FE7BBBF" w14:textId="77777777">
      <w:pPr>
        <w:tabs>
          <w:tab w:val="left" w:pos="-720"/>
        </w:tabs>
        <w:suppressAutoHyphens/>
        <w:rPr>
          <w:rFonts w:ascii="Times New Roman" w:hAnsi="Times New Roman"/>
          <w:bCs/>
          <w:szCs w:val="24"/>
        </w:rPr>
      </w:pPr>
      <w:r w:rsidRPr="009276B7">
        <w:rPr>
          <w:rFonts w:ascii="Times New Roman" w:hAnsi="Times New Roman"/>
          <w:bCs/>
          <w:szCs w:val="24"/>
        </w:rPr>
        <w:t>T</w:t>
      </w:r>
      <w:r w:rsidRPr="009276B7">
        <w:rPr>
          <w:rFonts w:ascii="Times New Roman" w:hAnsi="Times New Roman"/>
          <w:bCs/>
          <w:szCs w:val="24"/>
        </w:rPr>
        <w:t>his information collection does not affect individuals or households; thus, there are no impacts under the Privacy Act.</w:t>
      </w:r>
    </w:p>
    <w:p w:rsidR="001A019D" w:rsidRPr="009276B7" w:rsidP="001A019D" w14:paraId="781A93FB" w14:textId="77777777">
      <w:pPr>
        <w:tabs>
          <w:tab w:val="left" w:pos="-720"/>
        </w:tabs>
        <w:suppressAutoHyphens/>
        <w:rPr>
          <w:rFonts w:ascii="Times New Roman" w:hAnsi="Times New Roman"/>
          <w:bCs/>
          <w:szCs w:val="24"/>
        </w:rPr>
      </w:pPr>
    </w:p>
    <w:p w:rsidR="009D0EF2" w:rsidRPr="009276B7" w14:paraId="2EABFF4B" w14:textId="77777777">
      <w:pPr>
        <w:tabs>
          <w:tab w:val="left" w:pos="-720"/>
        </w:tabs>
        <w:suppressAutoHyphens/>
        <w:rPr>
          <w:rFonts w:ascii="Times New Roman" w:hAnsi="Times New Roman"/>
          <w:szCs w:val="24"/>
        </w:rPr>
      </w:pPr>
      <w:r w:rsidRPr="009276B7">
        <w:rPr>
          <w:rFonts w:ascii="Times New Roman" w:hAnsi="Times New Roman"/>
          <w:szCs w:val="24"/>
        </w:rPr>
        <w:t xml:space="preserve">The statutory authority for this collection is contained in: </w:t>
      </w:r>
      <w:r w:rsidRPr="009276B7" w:rsidR="008F6FA7">
        <w:rPr>
          <w:rFonts w:ascii="Times New Roman" w:hAnsi="Times New Roman"/>
          <w:szCs w:val="24"/>
        </w:rPr>
        <w:t xml:space="preserve"> </w:t>
      </w:r>
      <w:r w:rsidRPr="009276B7" w:rsidR="002D4B9B">
        <w:rPr>
          <w:rFonts w:ascii="Times New Roman" w:hAnsi="Times New Roman"/>
          <w:szCs w:val="24"/>
        </w:rPr>
        <w:t>4</w:t>
      </w:r>
      <w:r w:rsidRPr="009276B7">
        <w:rPr>
          <w:rFonts w:ascii="Times New Roman" w:hAnsi="Times New Roman"/>
          <w:szCs w:val="24"/>
        </w:rPr>
        <w:t>7 U.S.C. §§</w:t>
      </w:r>
      <w:r w:rsidRPr="009276B7" w:rsidR="008F6FA7">
        <w:rPr>
          <w:rFonts w:ascii="Times New Roman" w:hAnsi="Times New Roman"/>
          <w:szCs w:val="24"/>
        </w:rPr>
        <w:t> </w:t>
      </w:r>
      <w:r w:rsidRPr="009276B7">
        <w:rPr>
          <w:rFonts w:ascii="Times New Roman" w:hAnsi="Times New Roman"/>
          <w:szCs w:val="24"/>
        </w:rPr>
        <w:t>151, 152, 154(i), 201-205, 215, 251(b)(2), 251(e)(2), and 332.</w:t>
      </w:r>
    </w:p>
    <w:p w:rsidR="0071585A" w:rsidRPr="009276B7" w14:paraId="176DA482" w14:textId="77777777">
      <w:pPr>
        <w:tabs>
          <w:tab w:val="left" w:pos="-720"/>
        </w:tabs>
        <w:suppressAutoHyphens/>
        <w:rPr>
          <w:rFonts w:ascii="Times New Roman" w:hAnsi="Times New Roman"/>
          <w:szCs w:val="24"/>
        </w:rPr>
      </w:pPr>
    </w:p>
    <w:p w:rsidR="0071585A" w:rsidRPr="009276B7" w14:paraId="644CD4E8" w14:textId="3B7F60F3">
      <w:pPr>
        <w:tabs>
          <w:tab w:val="left" w:pos="-720"/>
        </w:tabs>
        <w:suppressAutoHyphens/>
        <w:rPr>
          <w:rFonts w:ascii="Times New Roman" w:hAnsi="Times New Roman"/>
          <w:szCs w:val="24"/>
        </w:rPr>
      </w:pPr>
      <w:r w:rsidRPr="009276B7">
        <w:rPr>
          <w:rFonts w:ascii="Times New Roman" w:hAnsi="Times New Roman"/>
          <w:szCs w:val="24"/>
        </w:rPr>
        <w:tab/>
        <w:t>2.</w:t>
      </w:r>
      <w:r w:rsidRPr="009276B7">
        <w:rPr>
          <w:rFonts w:ascii="Times New Roman" w:hAnsi="Times New Roman"/>
          <w:szCs w:val="24"/>
        </w:rPr>
        <w:tab/>
      </w:r>
      <w:r w:rsidRPr="009276B7" w:rsidR="009276B7">
        <w:rPr>
          <w:rFonts w:ascii="Times New Roman" w:hAnsi="Times New Roman"/>
          <w:i/>
          <w:iCs/>
          <w:spacing w:val="-3"/>
          <w:szCs w:val="24"/>
          <w:shd w:val="clear" w:color="auto" w:fill="FFFFFF"/>
        </w:rPr>
        <w:t>Use of information.</w:t>
      </w:r>
      <w:r w:rsidRPr="009276B7" w:rsidR="009276B7">
        <w:rPr>
          <w:rFonts w:ascii="Times New Roman" w:hAnsi="Times New Roman"/>
          <w:szCs w:val="24"/>
        </w:rPr>
        <w:t xml:space="preserve"> </w:t>
      </w:r>
      <w:r w:rsidRPr="009276B7" w:rsidR="0018147F">
        <w:rPr>
          <w:rFonts w:ascii="Times New Roman" w:hAnsi="Times New Roman"/>
          <w:szCs w:val="24"/>
        </w:rPr>
        <w:t xml:space="preserve">Providers already exchange numerous types of information in order </w:t>
      </w:r>
      <w:r w:rsidRPr="009276B7" w:rsidR="00FE1BC1">
        <w:rPr>
          <w:rFonts w:ascii="Times New Roman" w:hAnsi="Times New Roman"/>
          <w:szCs w:val="24"/>
        </w:rPr>
        <w:t xml:space="preserve">to </w:t>
      </w:r>
      <w:r w:rsidRPr="009276B7" w:rsidR="0018147F">
        <w:rPr>
          <w:rFonts w:ascii="Times New Roman" w:hAnsi="Times New Roman"/>
          <w:szCs w:val="24"/>
        </w:rPr>
        <w:t xml:space="preserve">complete port requests.  The information collected in the standard local service request data fields minimizes and standardizes that information at the request of the industry to ensure that providers are able to complete simple wireline-to-wireline and intermodal ports within the one business day porting interval mandated by the Commission and will be used to comply with Section 251 of the Telecommunications Act of 1996. </w:t>
      </w:r>
      <w:r w:rsidR="00C63661">
        <w:rPr>
          <w:rFonts w:ascii="Times New Roman" w:hAnsi="Times New Roman"/>
          <w:szCs w:val="24"/>
        </w:rPr>
        <w:t xml:space="preserve">The new </w:t>
      </w:r>
      <w:r w:rsidR="00CE1571">
        <w:rPr>
          <w:rFonts w:ascii="Times New Roman" w:hAnsi="Times New Roman"/>
          <w:szCs w:val="24"/>
        </w:rPr>
        <w:t>information collection requirements will help to protect customers from</w:t>
      </w:r>
      <w:r w:rsidRPr="00A63918" w:rsidR="00CE1571">
        <w:rPr>
          <w:rFonts w:ascii="Times New Roman" w:hAnsi="Times New Roman"/>
          <w:szCs w:val="24"/>
        </w:rPr>
        <w:t xml:space="preserve"> port-out fraud.</w:t>
      </w:r>
    </w:p>
    <w:p w:rsidR="0071585A" w:rsidRPr="009276B7" w14:paraId="7290C5A2" w14:textId="77777777">
      <w:pPr>
        <w:tabs>
          <w:tab w:val="left" w:pos="-720"/>
        </w:tabs>
        <w:suppressAutoHyphens/>
        <w:rPr>
          <w:rFonts w:ascii="Times New Roman" w:hAnsi="Times New Roman"/>
          <w:szCs w:val="24"/>
        </w:rPr>
      </w:pPr>
    </w:p>
    <w:p w:rsidR="0071585A" w:rsidRPr="009276B7" w14:paraId="36FAD3A2" w14:textId="0EEDC340">
      <w:pPr>
        <w:tabs>
          <w:tab w:val="left" w:pos="-720"/>
        </w:tabs>
        <w:suppressAutoHyphens/>
        <w:rPr>
          <w:rFonts w:ascii="Times New Roman" w:hAnsi="Times New Roman"/>
          <w:szCs w:val="24"/>
        </w:rPr>
      </w:pPr>
      <w:r w:rsidRPr="009276B7">
        <w:rPr>
          <w:rFonts w:ascii="Times New Roman" w:hAnsi="Times New Roman"/>
          <w:szCs w:val="24"/>
        </w:rPr>
        <w:tab/>
        <w:t>3.</w:t>
      </w:r>
      <w:r w:rsidRPr="009276B7">
        <w:rPr>
          <w:rFonts w:ascii="Times New Roman" w:hAnsi="Times New Roman"/>
          <w:szCs w:val="24"/>
        </w:rPr>
        <w:tab/>
      </w:r>
      <w:r w:rsidRPr="009276B7" w:rsidR="009276B7">
        <w:rPr>
          <w:rFonts w:ascii="Times New Roman" w:hAnsi="Times New Roman"/>
          <w:i/>
          <w:iCs/>
          <w:spacing w:val="-3"/>
          <w:szCs w:val="24"/>
          <w:shd w:val="clear" w:color="auto" w:fill="FFFFFF"/>
        </w:rPr>
        <w:t>Technological collection techniques.</w:t>
      </w:r>
      <w:r w:rsidRPr="009276B7" w:rsidR="009276B7">
        <w:rPr>
          <w:rFonts w:ascii="Times New Roman" w:hAnsi="Times New Roman"/>
          <w:szCs w:val="24"/>
        </w:rPr>
        <w:t xml:space="preserve"> </w:t>
      </w:r>
      <w:r w:rsidRPr="009276B7">
        <w:rPr>
          <w:rFonts w:ascii="Times New Roman" w:hAnsi="Times New Roman"/>
          <w:szCs w:val="24"/>
        </w:rPr>
        <w:t xml:space="preserve">Incumbent LECs seeking to recover their number portability costs must file a tariff.  All incumbent LECs were directed to file interstate tariffs and associated documents through the Internet on ETFS as of July 1, 1998, pursuant to an Order, Electronic Tariff Filing System (ETFS), adopted May 28, 1998, released May 28, 1998, DA 98-914.  Accordingly, paper tariff filings will not be accepted.  </w:t>
      </w:r>
    </w:p>
    <w:p w:rsidR="00826A69" w:rsidRPr="009276B7" w14:paraId="4F95CA63" w14:textId="77777777">
      <w:pPr>
        <w:tabs>
          <w:tab w:val="left" w:pos="-720"/>
        </w:tabs>
        <w:suppressAutoHyphens/>
        <w:rPr>
          <w:rFonts w:ascii="Times New Roman" w:hAnsi="Times New Roman"/>
          <w:szCs w:val="24"/>
        </w:rPr>
      </w:pPr>
    </w:p>
    <w:p w:rsidR="00826A69" w:rsidRPr="009276B7" w14:paraId="40821E51" w14:textId="77777777">
      <w:pPr>
        <w:tabs>
          <w:tab w:val="left" w:pos="-720"/>
        </w:tabs>
        <w:suppressAutoHyphens/>
        <w:rPr>
          <w:rFonts w:ascii="Times New Roman" w:hAnsi="Times New Roman"/>
          <w:szCs w:val="24"/>
        </w:rPr>
      </w:pPr>
      <w:r w:rsidRPr="009276B7">
        <w:rPr>
          <w:rFonts w:ascii="Times New Roman" w:hAnsi="Times New Roman"/>
          <w:szCs w:val="24"/>
        </w:rPr>
        <w:tab/>
        <w:t xml:space="preserve">In addition, information collected in the standard local service request data fields may be both collected and provided through the use of automated or electronic collection techniques, </w:t>
      </w:r>
      <w:r w:rsidRPr="009276B7">
        <w:rPr>
          <w:rFonts w:ascii="Times New Roman" w:hAnsi="Times New Roman"/>
          <w:szCs w:val="24"/>
        </w:rPr>
        <w:t>depending on the provider.</w:t>
      </w:r>
    </w:p>
    <w:p w:rsidR="00EA2DC4" w:rsidRPr="009276B7" w14:paraId="5AD1E7E9" w14:textId="77777777">
      <w:pPr>
        <w:tabs>
          <w:tab w:val="left" w:pos="-720"/>
        </w:tabs>
        <w:suppressAutoHyphens/>
        <w:rPr>
          <w:rFonts w:ascii="Times New Roman" w:hAnsi="Times New Roman"/>
          <w:szCs w:val="24"/>
        </w:rPr>
      </w:pPr>
    </w:p>
    <w:p w:rsidR="0071585A" w:rsidRPr="009276B7" w14:paraId="41BAB15B" w14:textId="43D71DFD">
      <w:pPr>
        <w:tabs>
          <w:tab w:val="left" w:pos="-720"/>
        </w:tabs>
        <w:suppressAutoHyphens/>
        <w:rPr>
          <w:rFonts w:ascii="Times New Roman" w:hAnsi="Times New Roman"/>
          <w:szCs w:val="24"/>
        </w:rPr>
      </w:pPr>
      <w:r w:rsidRPr="009276B7">
        <w:rPr>
          <w:rFonts w:ascii="Times New Roman" w:hAnsi="Times New Roman"/>
          <w:szCs w:val="24"/>
        </w:rPr>
        <w:tab/>
        <w:t>4.</w:t>
      </w:r>
      <w:r w:rsidRPr="009276B7">
        <w:rPr>
          <w:rFonts w:ascii="Times New Roman" w:hAnsi="Times New Roman"/>
          <w:szCs w:val="24"/>
        </w:rPr>
        <w:tab/>
      </w:r>
      <w:r w:rsidRPr="009276B7" w:rsidR="009276B7">
        <w:rPr>
          <w:rFonts w:ascii="Times New Roman" w:hAnsi="Times New Roman"/>
          <w:i/>
          <w:iCs/>
          <w:spacing w:val="-3"/>
          <w:szCs w:val="24"/>
          <w:shd w:val="clear" w:color="auto" w:fill="FFFFFF"/>
        </w:rPr>
        <w:t>Efforts to identify duplication.</w:t>
      </w:r>
      <w:r w:rsidRPr="009276B7" w:rsidR="009276B7">
        <w:rPr>
          <w:rFonts w:ascii="Times New Roman" w:hAnsi="Times New Roman"/>
          <w:szCs w:val="24"/>
        </w:rPr>
        <w:t xml:space="preserve"> </w:t>
      </w:r>
      <w:r w:rsidRPr="009276B7">
        <w:rPr>
          <w:rFonts w:ascii="Times New Roman" w:hAnsi="Times New Roman"/>
          <w:szCs w:val="24"/>
        </w:rPr>
        <w:t xml:space="preserve">There will be no duplication of information filed. </w:t>
      </w:r>
    </w:p>
    <w:p w:rsidR="0071585A" w:rsidRPr="009276B7" w14:paraId="3232D67D" w14:textId="77777777">
      <w:pPr>
        <w:tabs>
          <w:tab w:val="left" w:pos="-720"/>
        </w:tabs>
        <w:suppressAutoHyphens/>
        <w:rPr>
          <w:rFonts w:ascii="Times New Roman" w:hAnsi="Times New Roman"/>
          <w:szCs w:val="24"/>
        </w:rPr>
      </w:pPr>
    </w:p>
    <w:p w:rsidR="0071585A" w:rsidRPr="009276B7" w14:paraId="635B387F" w14:textId="4B18D440">
      <w:pPr>
        <w:tabs>
          <w:tab w:val="left" w:pos="-720"/>
        </w:tabs>
        <w:suppressAutoHyphens/>
        <w:rPr>
          <w:rFonts w:ascii="Times New Roman" w:hAnsi="Times New Roman"/>
          <w:szCs w:val="24"/>
        </w:rPr>
      </w:pPr>
      <w:r w:rsidRPr="009276B7">
        <w:rPr>
          <w:rFonts w:ascii="Times New Roman" w:hAnsi="Times New Roman"/>
          <w:szCs w:val="24"/>
        </w:rPr>
        <w:tab/>
        <w:t>5.</w:t>
      </w:r>
      <w:r w:rsidRPr="009276B7">
        <w:rPr>
          <w:rFonts w:ascii="Times New Roman" w:hAnsi="Times New Roman"/>
          <w:szCs w:val="24"/>
        </w:rPr>
        <w:tab/>
      </w:r>
      <w:r w:rsidRPr="009276B7" w:rsidR="009276B7">
        <w:rPr>
          <w:rFonts w:ascii="Times New Roman" w:hAnsi="Times New Roman"/>
          <w:i/>
          <w:iCs/>
          <w:spacing w:val="-3"/>
          <w:szCs w:val="24"/>
          <w:shd w:val="clear" w:color="auto" w:fill="FFFFFF"/>
        </w:rPr>
        <w:t>Impact on small entities</w:t>
      </w:r>
      <w:r w:rsidRPr="009276B7" w:rsidR="009276B7">
        <w:rPr>
          <w:rFonts w:ascii="Times New Roman" w:hAnsi="Times New Roman"/>
          <w:spacing w:val="-3"/>
          <w:szCs w:val="24"/>
          <w:shd w:val="clear" w:color="auto" w:fill="FFFFFF"/>
        </w:rPr>
        <w:t xml:space="preserve">.  </w:t>
      </w:r>
      <w:r w:rsidRPr="009276B7">
        <w:rPr>
          <w:rFonts w:ascii="Times New Roman" w:hAnsi="Times New Roman"/>
          <w:szCs w:val="24"/>
        </w:rPr>
        <w:t xml:space="preserve">The collection of information will affect large and small entities.  Because the information sought is relatively modest, we do not believe that the requirements severely impact small businesses.  The tariff filing enables small entities to recover their costs so it will not negatively impact small businesses.  </w:t>
      </w:r>
    </w:p>
    <w:p w:rsidR="00EA2DC4" w:rsidRPr="009276B7" w14:paraId="3D935E17" w14:textId="77777777">
      <w:pPr>
        <w:tabs>
          <w:tab w:val="left" w:pos="-720"/>
        </w:tabs>
        <w:suppressAutoHyphens/>
        <w:rPr>
          <w:rFonts w:ascii="Times New Roman" w:hAnsi="Times New Roman"/>
          <w:szCs w:val="24"/>
        </w:rPr>
      </w:pPr>
    </w:p>
    <w:p w:rsidR="0071585A" w:rsidRPr="009276B7" w14:paraId="598D7F28" w14:textId="21BEB441">
      <w:pPr>
        <w:tabs>
          <w:tab w:val="left" w:pos="-720"/>
        </w:tabs>
        <w:suppressAutoHyphens/>
        <w:rPr>
          <w:rFonts w:ascii="Times New Roman" w:hAnsi="Times New Roman"/>
          <w:b/>
          <w:szCs w:val="24"/>
        </w:rPr>
      </w:pPr>
      <w:r w:rsidRPr="009276B7">
        <w:rPr>
          <w:rFonts w:ascii="Times New Roman" w:hAnsi="Times New Roman"/>
          <w:szCs w:val="24"/>
        </w:rPr>
        <w:tab/>
        <w:t>6.</w:t>
      </w:r>
      <w:r w:rsidRPr="009276B7">
        <w:rPr>
          <w:rFonts w:ascii="Times New Roman" w:hAnsi="Times New Roman"/>
          <w:szCs w:val="24"/>
        </w:rPr>
        <w:tab/>
      </w:r>
      <w:r w:rsidRPr="009276B7" w:rsidR="009276B7">
        <w:rPr>
          <w:rFonts w:ascii="Times New Roman" w:hAnsi="Times New Roman"/>
          <w:i/>
          <w:iCs/>
          <w:spacing w:val="-3"/>
          <w:szCs w:val="24"/>
          <w:shd w:val="clear" w:color="auto" w:fill="FFFFFF"/>
        </w:rPr>
        <w:t>Consequences if the information is not collected</w:t>
      </w:r>
      <w:r w:rsidRPr="009276B7" w:rsidR="009276B7">
        <w:rPr>
          <w:rFonts w:ascii="Times New Roman" w:hAnsi="Times New Roman"/>
          <w:spacing w:val="-3"/>
          <w:szCs w:val="24"/>
          <w:shd w:val="clear" w:color="auto" w:fill="FFFFFF"/>
        </w:rPr>
        <w:t xml:space="preserve">.  </w:t>
      </w:r>
      <w:r w:rsidRPr="009276B7">
        <w:rPr>
          <w:rFonts w:ascii="Times New Roman" w:hAnsi="Times New Roman"/>
          <w:szCs w:val="24"/>
        </w:rPr>
        <w:t>If the information sought is not collected, it will impair the Comm</w:t>
      </w:r>
      <w:r w:rsidRPr="009276B7" w:rsidR="00FF2459">
        <w:rPr>
          <w:rFonts w:ascii="Times New Roman" w:hAnsi="Times New Roman"/>
          <w:szCs w:val="24"/>
        </w:rPr>
        <w:t xml:space="preserve">ission’s ability to </w:t>
      </w:r>
      <w:r w:rsidR="00130540">
        <w:rPr>
          <w:rFonts w:ascii="Times New Roman" w:hAnsi="Times New Roman"/>
          <w:szCs w:val="24"/>
        </w:rPr>
        <w:t xml:space="preserve">protect customers from fraudulent use of phone numbers, and to </w:t>
      </w:r>
      <w:r w:rsidRPr="009276B7" w:rsidR="00FF2459">
        <w:rPr>
          <w:rFonts w:ascii="Times New Roman" w:hAnsi="Times New Roman"/>
          <w:szCs w:val="24"/>
        </w:rPr>
        <w:t xml:space="preserve">ensure that </w:t>
      </w:r>
      <w:r w:rsidRPr="009276B7" w:rsidR="00420086">
        <w:rPr>
          <w:rFonts w:ascii="Times New Roman" w:hAnsi="Times New Roman"/>
          <w:szCs w:val="24"/>
        </w:rPr>
        <w:t xml:space="preserve">carriers are in compliance with the </w:t>
      </w:r>
      <w:r w:rsidRPr="009276B7" w:rsidR="00DF11E2">
        <w:rPr>
          <w:rFonts w:ascii="Times New Roman" w:hAnsi="Times New Roman"/>
          <w:szCs w:val="24"/>
        </w:rPr>
        <w:t xml:space="preserve">Commission’s number portability </w:t>
      </w:r>
      <w:r w:rsidRPr="009276B7" w:rsidR="00420086">
        <w:rPr>
          <w:rFonts w:ascii="Times New Roman" w:hAnsi="Times New Roman"/>
          <w:szCs w:val="24"/>
        </w:rPr>
        <w:t xml:space="preserve">rules and that long-term number portability costs are </w:t>
      </w:r>
      <w:r w:rsidRPr="009276B7" w:rsidR="00DF11E2">
        <w:rPr>
          <w:rFonts w:ascii="Times New Roman" w:hAnsi="Times New Roman"/>
          <w:szCs w:val="24"/>
        </w:rPr>
        <w:t>recovered in a</w:t>
      </w:r>
      <w:r w:rsidRPr="009276B7" w:rsidR="00420086">
        <w:rPr>
          <w:rFonts w:ascii="Times New Roman" w:hAnsi="Times New Roman"/>
          <w:szCs w:val="24"/>
        </w:rPr>
        <w:t xml:space="preserve"> com</w:t>
      </w:r>
      <w:r w:rsidRPr="009276B7">
        <w:rPr>
          <w:rFonts w:ascii="Times New Roman" w:hAnsi="Times New Roman"/>
          <w:szCs w:val="24"/>
        </w:rPr>
        <w:t>petitively-neutral manner, in accordance with the requirements of the T</w:t>
      </w:r>
      <w:r w:rsidRPr="009276B7" w:rsidR="00FB4E2F">
        <w:rPr>
          <w:rFonts w:ascii="Times New Roman" w:hAnsi="Times New Roman"/>
          <w:szCs w:val="24"/>
        </w:rPr>
        <w:t>elecommunications Act of 1996</w:t>
      </w:r>
      <w:r w:rsidRPr="009276B7">
        <w:rPr>
          <w:rFonts w:ascii="Times New Roman" w:hAnsi="Times New Roman"/>
          <w:szCs w:val="24"/>
        </w:rPr>
        <w:t>.</w:t>
      </w:r>
      <w:r w:rsidRPr="009276B7" w:rsidR="00DE131D">
        <w:rPr>
          <w:rFonts w:ascii="Times New Roman" w:hAnsi="Times New Roman"/>
          <w:szCs w:val="24"/>
        </w:rPr>
        <w:t xml:space="preserve">  </w:t>
      </w:r>
      <w:r w:rsidRPr="009276B7" w:rsidR="00A7566B">
        <w:rPr>
          <w:rFonts w:ascii="Times New Roman" w:hAnsi="Times New Roman"/>
          <w:szCs w:val="24"/>
        </w:rPr>
        <w:t xml:space="preserve"> </w:t>
      </w:r>
    </w:p>
    <w:p w:rsidR="0071585A" w:rsidRPr="009276B7" w14:paraId="24540377" w14:textId="77777777">
      <w:pPr>
        <w:tabs>
          <w:tab w:val="left" w:pos="-720"/>
        </w:tabs>
        <w:suppressAutoHyphens/>
        <w:rPr>
          <w:rFonts w:ascii="Times New Roman" w:hAnsi="Times New Roman"/>
          <w:szCs w:val="24"/>
        </w:rPr>
      </w:pPr>
    </w:p>
    <w:p w:rsidR="0071585A" w:rsidRPr="009276B7" w14:paraId="4615AF37" w14:textId="79317579">
      <w:pPr>
        <w:tabs>
          <w:tab w:val="left" w:pos="-720"/>
        </w:tabs>
        <w:suppressAutoHyphens/>
        <w:rPr>
          <w:rFonts w:ascii="Times New Roman" w:hAnsi="Times New Roman"/>
          <w:szCs w:val="24"/>
        </w:rPr>
      </w:pPr>
      <w:r w:rsidRPr="009276B7">
        <w:rPr>
          <w:rFonts w:ascii="Times New Roman" w:hAnsi="Times New Roman"/>
          <w:szCs w:val="24"/>
        </w:rPr>
        <w:tab/>
        <w:t>7.</w:t>
      </w:r>
      <w:r w:rsidRPr="009276B7">
        <w:rPr>
          <w:rFonts w:ascii="Times New Roman" w:hAnsi="Times New Roman"/>
          <w:szCs w:val="24"/>
        </w:rPr>
        <w:tab/>
      </w:r>
      <w:r w:rsidRPr="009276B7" w:rsidR="009276B7">
        <w:rPr>
          <w:rFonts w:ascii="Times New Roman" w:hAnsi="Times New Roman"/>
          <w:i/>
          <w:iCs/>
          <w:spacing w:val="-3"/>
          <w:szCs w:val="24"/>
          <w:shd w:val="clear" w:color="auto" w:fill="FFFFFF"/>
        </w:rPr>
        <w:t>Special circumstances</w:t>
      </w:r>
      <w:r w:rsidRPr="009276B7" w:rsidR="009276B7">
        <w:rPr>
          <w:rFonts w:ascii="Times New Roman" w:hAnsi="Times New Roman"/>
          <w:spacing w:val="-3"/>
          <w:szCs w:val="24"/>
          <w:shd w:val="clear" w:color="auto" w:fill="FFFFFF"/>
        </w:rPr>
        <w:t>.</w:t>
      </w:r>
      <w:r w:rsidRPr="009276B7" w:rsidR="009276B7">
        <w:rPr>
          <w:rFonts w:ascii="Times New Roman" w:hAnsi="Times New Roman"/>
          <w:b/>
          <w:bCs/>
          <w:spacing w:val="-3"/>
          <w:szCs w:val="24"/>
          <w:shd w:val="clear" w:color="auto" w:fill="FFFFFF"/>
        </w:rPr>
        <w:t xml:space="preserve"> </w:t>
      </w:r>
      <w:r w:rsidRPr="009276B7" w:rsidR="009276B7">
        <w:rPr>
          <w:rFonts w:ascii="Times New Roman" w:hAnsi="Times New Roman"/>
          <w:spacing w:val="-3"/>
          <w:szCs w:val="24"/>
          <w:shd w:val="clear" w:color="auto" w:fill="FFFFFF"/>
        </w:rPr>
        <w:t xml:space="preserve"> </w:t>
      </w:r>
      <w:r w:rsidRPr="009276B7">
        <w:rPr>
          <w:rFonts w:ascii="Times New Roman" w:hAnsi="Times New Roman"/>
          <w:szCs w:val="24"/>
        </w:rPr>
        <w:t>There are no special circumstances</w:t>
      </w:r>
      <w:r w:rsidRPr="009276B7" w:rsidR="00104CB6">
        <w:rPr>
          <w:rFonts w:ascii="Times New Roman" w:hAnsi="Times New Roman"/>
          <w:szCs w:val="24"/>
        </w:rPr>
        <w:t xml:space="preserve"> associated with this information collection</w:t>
      </w:r>
      <w:r w:rsidRPr="009276B7">
        <w:rPr>
          <w:rFonts w:ascii="Times New Roman" w:hAnsi="Times New Roman"/>
          <w:szCs w:val="24"/>
        </w:rPr>
        <w:t>.</w:t>
      </w:r>
    </w:p>
    <w:p w:rsidR="0071585A" w:rsidRPr="009276B7" w14:paraId="48EFB9A8" w14:textId="77777777">
      <w:pPr>
        <w:tabs>
          <w:tab w:val="left" w:pos="-720"/>
        </w:tabs>
        <w:suppressAutoHyphens/>
        <w:rPr>
          <w:rFonts w:ascii="Times New Roman" w:hAnsi="Times New Roman"/>
          <w:szCs w:val="24"/>
        </w:rPr>
      </w:pPr>
    </w:p>
    <w:p w:rsidR="00D8444E" w:rsidRPr="00D8444E" w:rsidP="00D8444E" w14:paraId="2F83172C" w14:textId="77777777">
      <w:pPr>
        <w:rPr>
          <w:rFonts w:ascii="Times New Roman" w:hAnsi="Times New Roman"/>
          <w:szCs w:val="24"/>
        </w:rPr>
      </w:pPr>
      <w:r w:rsidRPr="009276B7">
        <w:rPr>
          <w:rFonts w:ascii="Times New Roman" w:hAnsi="Times New Roman"/>
          <w:szCs w:val="24"/>
        </w:rPr>
        <w:tab/>
        <w:t>8.</w:t>
      </w:r>
      <w:r w:rsidRPr="009276B7">
        <w:rPr>
          <w:rFonts w:ascii="Times New Roman" w:hAnsi="Times New Roman"/>
          <w:szCs w:val="24"/>
        </w:rPr>
        <w:tab/>
      </w:r>
      <w:r w:rsidRPr="009276B7" w:rsidR="009276B7">
        <w:rPr>
          <w:rFonts w:ascii="Times New Roman" w:hAnsi="Times New Roman"/>
          <w:i/>
          <w:iCs/>
          <w:szCs w:val="24"/>
        </w:rPr>
        <w:t xml:space="preserve">Federal Register Notice.  </w:t>
      </w:r>
      <w:r w:rsidRPr="00D8444E" w:rsidR="001A019D">
        <w:rPr>
          <w:rFonts w:ascii="Times New Roman" w:hAnsi="Times New Roman"/>
          <w:szCs w:val="24"/>
        </w:rPr>
        <w:t xml:space="preserve">Pursuant to 5 CFR </w:t>
      </w:r>
      <w:r w:rsidRPr="00D8444E" w:rsidR="008F6FA7">
        <w:rPr>
          <w:rFonts w:ascii="Times New Roman" w:hAnsi="Times New Roman"/>
          <w:szCs w:val="24"/>
        </w:rPr>
        <w:t>§ </w:t>
      </w:r>
      <w:r w:rsidRPr="00D8444E" w:rsidR="001A019D">
        <w:rPr>
          <w:rFonts w:ascii="Times New Roman" w:hAnsi="Times New Roman"/>
          <w:szCs w:val="24"/>
        </w:rPr>
        <w:t xml:space="preserve">1320.8(d), the </w:t>
      </w:r>
      <w:r w:rsidRPr="00D8444E" w:rsidR="00AB56E2">
        <w:rPr>
          <w:rFonts w:ascii="Times New Roman" w:hAnsi="Times New Roman"/>
          <w:szCs w:val="24"/>
        </w:rPr>
        <w:t>Commission publish</w:t>
      </w:r>
      <w:r w:rsidRPr="00D8444E" w:rsidR="00997640">
        <w:rPr>
          <w:rFonts w:ascii="Times New Roman" w:hAnsi="Times New Roman"/>
          <w:szCs w:val="24"/>
        </w:rPr>
        <w:t>ed</w:t>
      </w:r>
      <w:r w:rsidRPr="00D8444E" w:rsidR="00AB56E2">
        <w:rPr>
          <w:rFonts w:ascii="Times New Roman" w:hAnsi="Times New Roman"/>
          <w:szCs w:val="24"/>
        </w:rPr>
        <w:t xml:space="preserve"> </w:t>
      </w:r>
      <w:r w:rsidRPr="00D8444E" w:rsidR="007D399A">
        <w:rPr>
          <w:rFonts w:ascii="Times New Roman" w:hAnsi="Times New Roman"/>
          <w:szCs w:val="24"/>
        </w:rPr>
        <w:t xml:space="preserve">a </w:t>
      </w:r>
      <w:r w:rsidRPr="00D8444E" w:rsidR="00D22DCA">
        <w:rPr>
          <w:rFonts w:ascii="Times New Roman" w:hAnsi="Times New Roman"/>
          <w:szCs w:val="24"/>
        </w:rPr>
        <w:t>notice in the Federal Registe</w:t>
      </w:r>
      <w:r w:rsidRPr="00D8444E" w:rsidR="00BB154A">
        <w:rPr>
          <w:rFonts w:ascii="Times New Roman" w:hAnsi="Times New Roman"/>
          <w:szCs w:val="24"/>
        </w:rPr>
        <w:t>r to solicit public comment on</w:t>
      </w:r>
      <w:r w:rsidRPr="00D8444E" w:rsidR="00C0697A">
        <w:rPr>
          <w:rFonts w:ascii="Times New Roman" w:hAnsi="Times New Roman"/>
          <w:szCs w:val="24"/>
        </w:rPr>
        <w:t xml:space="preserve"> </w:t>
      </w:r>
      <w:r w:rsidRPr="00D8444E" w:rsidR="00A64256">
        <w:rPr>
          <w:rFonts w:ascii="Times New Roman" w:hAnsi="Times New Roman"/>
          <w:szCs w:val="24"/>
        </w:rPr>
        <w:t>June 25, 2024</w:t>
      </w:r>
      <w:r w:rsidRPr="00D8444E" w:rsidR="00777348">
        <w:rPr>
          <w:rFonts w:ascii="Times New Roman" w:hAnsi="Times New Roman"/>
          <w:szCs w:val="24"/>
        </w:rPr>
        <w:t xml:space="preserve"> (</w:t>
      </w:r>
      <w:r w:rsidRPr="00D8444E" w:rsidR="00A64256">
        <w:rPr>
          <w:rFonts w:ascii="Times New Roman" w:hAnsi="Times New Roman"/>
          <w:szCs w:val="24"/>
        </w:rPr>
        <w:t>89</w:t>
      </w:r>
      <w:r w:rsidRPr="00D8444E" w:rsidR="00F15C06">
        <w:rPr>
          <w:rFonts w:ascii="Times New Roman" w:hAnsi="Times New Roman"/>
          <w:szCs w:val="24"/>
        </w:rPr>
        <w:t xml:space="preserve"> </w:t>
      </w:r>
      <w:r w:rsidRPr="00D8444E" w:rsidR="00777348">
        <w:rPr>
          <w:rFonts w:ascii="Times New Roman" w:hAnsi="Times New Roman"/>
          <w:szCs w:val="24"/>
        </w:rPr>
        <w:t xml:space="preserve">FR </w:t>
      </w:r>
      <w:r w:rsidRPr="00D8444E" w:rsidR="00A64256">
        <w:rPr>
          <w:rFonts w:ascii="Times New Roman" w:hAnsi="Times New Roman"/>
          <w:szCs w:val="24"/>
        </w:rPr>
        <w:t>53079</w:t>
      </w:r>
      <w:r w:rsidRPr="00D8444E" w:rsidR="00777348">
        <w:rPr>
          <w:rFonts w:ascii="Times New Roman" w:hAnsi="Times New Roman"/>
          <w:szCs w:val="24"/>
        </w:rPr>
        <w:t>)</w:t>
      </w:r>
      <w:r w:rsidRPr="00D8444E" w:rsidR="00BB154A">
        <w:rPr>
          <w:rFonts w:ascii="Times New Roman" w:hAnsi="Times New Roman"/>
          <w:szCs w:val="24"/>
        </w:rPr>
        <w:t>.</w:t>
      </w:r>
      <w:r w:rsidRPr="00D8444E" w:rsidR="00777CA9">
        <w:rPr>
          <w:rFonts w:ascii="Times New Roman" w:hAnsi="Times New Roman"/>
          <w:szCs w:val="24"/>
        </w:rPr>
        <w:t xml:space="preserve"> </w:t>
      </w:r>
      <w:r w:rsidRPr="00D8444E" w:rsidR="001A019D">
        <w:rPr>
          <w:rFonts w:ascii="Times New Roman" w:hAnsi="Times New Roman"/>
          <w:szCs w:val="24"/>
        </w:rPr>
        <w:t xml:space="preserve"> </w:t>
      </w:r>
      <w:r w:rsidRPr="00D8444E">
        <w:rPr>
          <w:rFonts w:ascii="Times New Roman" w:hAnsi="Times New Roman"/>
          <w:szCs w:val="24"/>
        </w:rPr>
        <w:t>Three</w:t>
      </w:r>
      <w:r w:rsidRPr="00D8444E">
        <w:rPr>
          <w:rFonts w:ascii="Times New Roman" w:hAnsi="Times New Roman"/>
          <w:spacing w:val="-3"/>
          <w:szCs w:val="24"/>
          <w:shd w:val="clear" w:color="auto" w:fill="FFFFFF"/>
        </w:rPr>
        <w:t xml:space="preserve"> comments were received in response to the  60-day notice</w:t>
      </w:r>
      <w:r w:rsidRPr="00D8444E">
        <w:rPr>
          <w:rFonts w:ascii="Times New Roman" w:hAnsi="Times New Roman"/>
          <w:szCs w:val="24"/>
        </w:rPr>
        <w:t>, from Competitive Carriers Association (CCA), NCTA – The Internet &amp; Television Association (NCTA), and CTIA</w:t>
      </w:r>
      <w:r w:rsidRPr="00D8444E">
        <w:rPr>
          <w:rFonts w:ascii="Times New Roman" w:hAnsi="Times New Roman"/>
          <w:spacing w:val="-3"/>
          <w:szCs w:val="24"/>
          <w:shd w:val="clear" w:color="auto" w:fill="FFFFFF"/>
        </w:rPr>
        <w:t>.</w:t>
      </w:r>
      <w:r w:rsidRPr="00D8444E">
        <w:rPr>
          <w:rFonts w:ascii="Times New Roman" w:hAnsi="Times New Roman"/>
          <w:szCs w:val="24"/>
        </w:rPr>
        <w:t xml:space="preserve">  Generally, CCA asserts that the FCC “severely underestimates the burden and time required to come in to compliance,” and urges the FCC to revise its cost and burden estimates.</w:t>
      </w:r>
      <w:r>
        <w:rPr>
          <w:rStyle w:val="FootnoteReference"/>
          <w:rFonts w:ascii="Times New Roman" w:hAnsi="Times New Roman"/>
          <w:spacing w:val="-3"/>
          <w:szCs w:val="24"/>
          <w:shd w:val="clear" w:color="auto" w:fill="FFFFFF"/>
        </w:rPr>
        <w:footnoteReference w:id="3"/>
      </w:r>
      <w:r w:rsidRPr="00D8444E">
        <w:rPr>
          <w:rFonts w:ascii="Times New Roman" w:hAnsi="Times New Roman"/>
          <w:szCs w:val="24"/>
        </w:rPr>
        <w:t xml:space="preserve">  Similarly, NCTA requests that the Commission reassess the burdens of compliance with the new rules, and urges the Commission to reissue the PRA notice with more detailed burden and cost analysis.</w:t>
      </w:r>
      <w:r>
        <w:rPr>
          <w:rStyle w:val="FootnoteReference"/>
          <w:rFonts w:ascii="Times New Roman" w:hAnsi="Times New Roman"/>
          <w:spacing w:val="-3"/>
          <w:szCs w:val="24"/>
          <w:shd w:val="clear" w:color="auto" w:fill="FFFFFF"/>
        </w:rPr>
        <w:footnoteReference w:id="4"/>
      </w:r>
      <w:r w:rsidRPr="00D8444E">
        <w:rPr>
          <w:rFonts w:ascii="Times New Roman" w:hAnsi="Times New Roman"/>
          <w:szCs w:val="24"/>
        </w:rPr>
        <w:t xml:space="preserve">  NCTA asserts that the initial 60-day notice did not provide sufficiently detailed burden estimates for each of the requirements.</w:t>
      </w:r>
      <w:r>
        <w:rPr>
          <w:rStyle w:val="FootnoteReference"/>
          <w:rFonts w:ascii="Times New Roman" w:hAnsi="Times New Roman"/>
          <w:spacing w:val="-3"/>
          <w:szCs w:val="24"/>
          <w:shd w:val="clear" w:color="auto" w:fill="FFFFFF"/>
        </w:rPr>
        <w:footnoteReference w:id="5"/>
      </w:r>
      <w:r w:rsidRPr="00D8444E">
        <w:rPr>
          <w:rFonts w:ascii="Times New Roman" w:hAnsi="Times New Roman"/>
          <w:szCs w:val="24"/>
        </w:rPr>
        <w:t xml:space="preserve">  NCTA further asserts that providers anticipate that the cost of implementing the rules subject to the PRA “will be between $500,000 and $1 million.”</w:t>
      </w:r>
      <w:r>
        <w:rPr>
          <w:rStyle w:val="FootnoteReference"/>
          <w:rFonts w:ascii="Times New Roman" w:hAnsi="Times New Roman"/>
          <w:spacing w:val="-3"/>
          <w:szCs w:val="24"/>
          <w:shd w:val="clear" w:color="auto" w:fill="FFFFFF"/>
        </w:rPr>
        <w:footnoteReference w:id="6"/>
      </w:r>
      <w:r w:rsidRPr="00D8444E">
        <w:rPr>
          <w:rFonts w:ascii="Times New Roman" w:hAnsi="Times New Roman"/>
          <w:szCs w:val="24"/>
        </w:rPr>
        <w:t xml:space="preserve">  Likewise, CTIA raises concerns that the FCC has “underestimated the burdens and costs of the new information collections and urges” the FCC to reissue its PRA Notice with an updated analysis for its burden and cost estimates, which should “either increase the Commission’s estimate, consistent with the record, or explain its rational for the current estimates in the PRA Notice.”</w:t>
      </w:r>
      <w:r>
        <w:rPr>
          <w:rStyle w:val="FootnoteReference"/>
          <w:rFonts w:ascii="Times New Roman" w:hAnsi="Times New Roman"/>
          <w:spacing w:val="-3"/>
          <w:szCs w:val="24"/>
          <w:shd w:val="clear" w:color="auto" w:fill="FFFFFF"/>
        </w:rPr>
        <w:footnoteReference w:id="7"/>
      </w:r>
      <w:r w:rsidRPr="00D8444E">
        <w:rPr>
          <w:rFonts w:ascii="Times New Roman" w:hAnsi="Times New Roman"/>
          <w:szCs w:val="24"/>
        </w:rPr>
        <w:t xml:space="preserve">  CTIA raises concerns that the PRA Notice provides aggregate estimates, but does not explain how those totals should be divided among the various information collections under the Order.</w:t>
      </w:r>
      <w:r>
        <w:rPr>
          <w:rStyle w:val="FootnoteReference"/>
          <w:rFonts w:ascii="Times New Roman" w:hAnsi="Times New Roman"/>
          <w:spacing w:val="-3"/>
          <w:szCs w:val="24"/>
          <w:shd w:val="clear" w:color="auto" w:fill="FFFFFF"/>
        </w:rPr>
        <w:footnoteReference w:id="8"/>
      </w:r>
      <w:r w:rsidRPr="00D8444E">
        <w:rPr>
          <w:rFonts w:ascii="Times New Roman" w:hAnsi="Times New Roman"/>
          <w:szCs w:val="24"/>
        </w:rPr>
        <w:t xml:space="preserve">  CTIA also asserts that the burdens are too low, and the notice “appears to ignore the burden of </w:t>
      </w:r>
      <w:r w:rsidRPr="00D8444E">
        <w:rPr>
          <w:rFonts w:ascii="Times New Roman" w:hAnsi="Times New Roman"/>
          <w:i/>
          <w:iCs/>
          <w:szCs w:val="24"/>
        </w:rPr>
        <w:t xml:space="preserve">initial implementation </w:t>
      </w:r>
      <w:r w:rsidRPr="00D8444E">
        <w:rPr>
          <w:rFonts w:ascii="Times New Roman" w:hAnsi="Times New Roman"/>
          <w:szCs w:val="24"/>
        </w:rPr>
        <w:t>of the new information collection requirements.”</w:t>
      </w:r>
      <w:r>
        <w:rPr>
          <w:rStyle w:val="FootnoteReference"/>
          <w:rFonts w:ascii="Times New Roman" w:hAnsi="Times New Roman"/>
          <w:spacing w:val="-3"/>
          <w:szCs w:val="24"/>
          <w:shd w:val="clear" w:color="auto" w:fill="FFFFFF"/>
        </w:rPr>
        <w:footnoteReference w:id="9"/>
      </w:r>
      <w:r w:rsidRPr="00D8444E">
        <w:rPr>
          <w:rFonts w:ascii="Times New Roman" w:hAnsi="Times New Roman"/>
          <w:szCs w:val="24"/>
        </w:rPr>
        <w:t xml:space="preserve">  </w:t>
      </w:r>
    </w:p>
    <w:p w:rsidR="00D8444E" w:rsidRPr="00D8444E" w:rsidP="00D8444E" w14:paraId="531CBAD7" w14:textId="77777777">
      <w:pPr>
        <w:ind w:firstLine="720"/>
        <w:rPr>
          <w:rFonts w:ascii="Times New Roman" w:hAnsi="Times New Roman"/>
          <w:spacing w:val="-3"/>
          <w:szCs w:val="24"/>
          <w:shd w:val="clear" w:color="auto" w:fill="FFFFFF"/>
        </w:rPr>
      </w:pPr>
    </w:p>
    <w:p w:rsidR="00D8444E" w:rsidRPr="00D8444E" w:rsidP="00D8444E" w14:paraId="1038AB5E" w14:textId="7112B65C">
      <w:pPr>
        <w:ind w:firstLine="720"/>
        <w:rPr>
          <w:rFonts w:ascii="Times New Roman" w:hAnsi="Times New Roman"/>
          <w:szCs w:val="24"/>
        </w:rPr>
      </w:pPr>
      <w:r w:rsidRPr="00D8444E">
        <w:rPr>
          <w:rFonts w:ascii="Times New Roman" w:hAnsi="Times New Roman"/>
          <w:szCs w:val="24"/>
        </w:rPr>
        <w:t>As an initial matter, the 60-day PRA notices published by the Commission comply with the PRA and OMB regulations.  Additionally, this supporting statement provides significant detail broken down by requirement, as CTIA and NCTA request.</w:t>
      </w:r>
      <w:r>
        <w:rPr>
          <w:rStyle w:val="FootnoteReference"/>
          <w:rFonts w:ascii="Times New Roman" w:hAnsi="Times New Roman"/>
          <w:spacing w:val="-3"/>
          <w:szCs w:val="24"/>
          <w:shd w:val="clear" w:color="auto" w:fill="FFFFFF"/>
        </w:rPr>
        <w:footnoteReference w:id="10"/>
      </w:r>
      <w:r w:rsidRPr="00D8444E">
        <w:rPr>
          <w:rFonts w:ascii="Times New Roman" w:hAnsi="Times New Roman"/>
          <w:szCs w:val="24"/>
        </w:rPr>
        <w:t xml:space="preserve">  Further, as explained below in paragraph 12, the burden estimates include front-end time necessary for providers to design, develop, test, and implement procedures to address the new requirements subject to the PRA.  However, to address commenter concerns, we upwardly adjust the burden estimate to account for additional time necessary for these activities, which are specifically associated with initial implementation.</w:t>
      </w:r>
    </w:p>
    <w:p w:rsidR="00D8444E" w:rsidRPr="00D8444E" w:rsidP="00D8444E" w14:paraId="6912DFC8" w14:textId="77777777">
      <w:pPr>
        <w:rPr>
          <w:rFonts w:ascii="Times New Roman" w:hAnsi="Times New Roman"/>
          <w:szCs w:val="24"/>
        </w:rPr>
      </w:pPr>
    </w:p>
    <w:p w:rsidR="00D8444E" w:rsidRPr="00D8444E" w:rsidP="00D8444E" w14:paraId="141FE30F" w14:textId="4F6AF5F7">
      <w:pPr>
        <w:ind w:firstLine="720"/>
        <w:rPr>
          <w:rFonts w:ascii="Times New Roman" w:hAnsi="Times New Roman"/>
          <w:szCs w:val="24"/>
        </w:rPr>
      </w:pPr>
      <w:r w:rsidRPr="00D8444E">
        <w:rPr>
          <w:rFonts w:ascii="Times New Roman" w:hAnsi="Times New Roman"/>
          <w:szCs w:val="24"/>
        </w:rPr>
        <w:t>Commenters also raise concerns about the burdens associated with specific new requirements.  With respect to account locking, CCA asserts that some members’ vendors do not have readily accessible solutions and that “expensive unanticipated, and time-intensive software upgrades or customer solutions have been required.”</w:t>
      </w:r>
      <w:r>
        <w:rPr>
          <w:rStyle w:val="FootnoteReference"/>
          <w:rFonts w:ascii="Times New Roman" w:hAnsi="Times New Roman"/>
          <w:spacing w:val="-3"/>
          <w:szCs w:val="24"/>
          <w:shd w:val="clear" w:color="auto" w:fill="FFFFFF"/>
        </w:rPr>
        <w:footnoteReference w:id="11"/>
      </w:r>
      <w:r w:rsidRPr="00D8444E">
        <w:rPr>
          <w:rFonts w:ascii="Times New Roman" w:hAnsi="Times New Roman"/>
          <w:szCs w:val="24"/>
        </w:rPr>
        <w:t xml:space="preserve">  With regard to customer notifications, CCA asserts that implementing the various customer notification requirements will take upwards of 700-800 hours of work at a cost of at least $70,000-$80,000 for vendor services and carrier resources required for implementation.</w:t>
      </w:r>
      <w:r>
        <w:rPr>
          <w:rStyle w:val="FootnoteReference"/>
          <w:rFonts w:ascii="Times New Roman" w:hAnsi="Times New Roman"/>
          <w:spacing w:val="-3"/>
          <w:szCs w:val="24"/>
          <w:shd w:val="clear" w:color="auto" w:fill="FFFFFF"/>
        </w:rPr>
        <w:footnoteReference w:id="12"/>
      </w:r>
      <w:r w:rsidRPr="00D8444E">
        <w:rPr>
          <w:rFonts w:ascii="Times New Roman" w:hAnsi="Times New Roman"/>
          <w:szCs w:val="24"/>
        </w:rPr>
        <w:t xml:space="preserve">  CCA further estimates that achieving compliance with new requirements for account protection measures and procedures to resolve fraudulent SIM swaps or ports will take no less than 3,000-4,000 hours at a cost of between $300,000-$400,000 for vendor services and carrier resources required for implementation.</w:t>
      </w:r>
      <w:r>
        <w:rPr>
          <w:rStyle w:val="FootnoteReference"/>
          <w:rFonts w:ascii="Times New Roman" w:hAnsi="Times New Roman"/>
          <w:spacing w:val="-3"/>
          <w:szCs w:val="24"/>
          <w:shd w:val="clear" w:color="auto" w:fill="FFFFFF"/>
        </w:rPr>
        <w:footnoteReference w:id="13"/>
      </w:r>
      <w:r w:rsidRPr="00D8444E">
        <w:rPr>
          <w:rFonts w:ascii="Times New Roman" w:hAnsi="Times New Roman"/>
          <w:szCs w:val="24"/>
        </w:rPr>
        <w:t xml:space="preserve">  CTIA, too, raises concerns regarding the ongoing burdens associated with the new requirements for customer notifications, customer account locks, </w:t>
      </w:r>
      <w:r w:rsidR="00A24847">
        <w:rPr>
          <w:rFonts w:ascii="Times New Roman" w:hAnsi="Times New Roman"/>
          <w:szCs w:val="24"/>
        </w:rPr>
        <w:t xml:space="preserve">and </w:t>
      </w:r>
      <w:r w:rsidRPr="00D8444E">
        <w:rPr>
          <w:rFonts w:ascii="Times New Roman" w:hAnsi="Times New Roman"/>
          <w:szCs w:val="24"/>
        </w:rPr>
        <w:t>procedures to resolve fraudulent SIM changes</w:t>
      </w:r>
      <w:r w:rsidR="00A24847">
        <w:rPr>
          <w:rFonts w:ascii="Times New Roman" w:hAnsi="Times New Roman"/>
          <w:szCs w:val="24"/>
        </w:rPr>
        <w:t xml:space="preserve"> and port-outs</w:t>
      </w:r>
      <w:r w:rsidRPr="00D8444E">
        <w:rPr>
          <w:rFonts w:ascii="Times New Roman" w:hAnsi="Times New Roman"/>
          <w:szCs w:val="24"/>
        </w:rPr>
        <w:t>.</w:t>
      </w:r>
      <w:r>
        <w:rPr>
          <w:rStyle w:val="FootnoteReference"/>
          <w:rFonts w:ascii="Times New Roman" w:hAnsi="Times New Roman"/>
          <w:szCs w:val="24"/>
        </w:rPr>
        <w:footnoteReference w:id="14"/>
      </w:r>
      <w:r w:rsidRPr="00D8444E">
        <w:rPr>
          <w:rFonts w:ascii="Times New Roman" w:hAnsi="Times New Roman"/>
          <w:szCs w:val="24"/>
        </w:rPr>
        <w:t xml:space="preserve">   </w:t>
      </w:r>
    </w:p>
    <w:p w:rsidR="00D8444E" w:rsidRPr="00D8444E" w:rsidP="00D8444E" w14:paraId="26568367" w14:textId="77777777">
      <w:pPr>
        <w:ind w:firstLine="720"/>
        <w:rPr>
          <w:rFonts w:ascii="Times New Roman" w:hAnsi="Times New Roman"/>
          <w:szCs w:val="24"/>
        </w:rPr>
      </w:pPr>
    </w:p>
    <w:p w:rsidR="00D8444E" w:rsidRPr="00D8444E" w:rsidP="00D8444E" w14:paraId="5FFBCECC" w14:textId="77777777">
      <w:pPr>
        <w:rPr>
          <w:rFonts w:ascii="Times New Roman" w:hAnsi="Times New Roman"/>
          <w:szCs w:val="24"/>
        </w:rPr>
      </w:pPr>
      <w:r w:rsidRPr="00D8444E">
        <w:rPr>
          <w:rFonts w:ascii="Times New Roman" w:hAnsi="Times New Roman"/>
          <w:spacing w:val="-3"/>
          <w:szCs w:val="24"/>
          <w:shd w:val="clear" w:color="auto" w:fill="FFFFFF"/>
        </w:rPr>
        <w:tab/>
      </w:r>
      <w:r w:rsidRPr="00D8444E">
        <w:rPr>
          <w:rFonts w:ascii="Times New Roman" w:hAnsi="Times New Roman"/>
          <w:szCs w:val="24"/>
        </w:rPr>
        <w:t xml:space="preserve">The commenters do not, however, fully distinguish between the burden associated with the information collection elements of the new rules and full compliance with the new rules generally.  For example, the </w:t>
      </w:r>
      <w:r w:rsidRPr="00D8444E">
        <w:rPr>
          <w:rFonts w:ascii="Times New Roman" w:hAnsi="Times New Roman"/>
          <w:i/>
          <w:iCs/>
          <w:szCs w:val="24"/>
        </w:rPr>
        <w:t xml:space="preserve">SIM Swap and Port-Out Fraud Order </w:t>
      </w:r>
      <w:r w:rsidRPr="00D8444E">
        <w:rPr>
          <w:rFonts w:ascii="Times New Roman" w:hAnsi="Times New Roman"/>
          <w:szCs w:val="24"/>
        </w:rPr>
        <w:t>requires providers to provide notice of any account protection measures the provider offers.  The rules also require providers to maintain “a clearly disclosed, transparent, and easy-to-use process for customers to report SIM swap and port-out fraud, promptly investigate and take reasonable steps within their control to remediate such fraud, and upon request, promptly provide customers with documentation of SIM swap and port-out fraud involving their accounts.”</w:t>
      </w:r>
      <w:r>
        <w:rPr>
          <w:rStyle w:val="FootnoteReference"/>
          <w:rFonts w:ascii="Times New Roman" w:hAnsi="Times New Roman"/>
          <w:spacing w:val="-3"/>
          <w:szCs w:val="24"/>
          <w:shd w:val="clear" w:color="auto" w:fill="FFFFFF"/>
        </w:rPr>
        <w:footnoteReference w:id="15"/>
      </w:r>
      <w:r w:rsidRPr="00D8444E">
        <w:rPr>
          <w:rFonts w:ascii="Times New Roman" w:hAnsi="Times New Roman"/>
          <w:szCs w:val="24"/>
        </w:rPr>
        <w:t xml:space="preserve">  CCA estimates 3,000-4,000 hours to comply with these rules alone.  However, CCA does not distinguish between the burden of providing notice of account protection measures and costs associated with implementing account protection measures themselves (which are not collections of information subject to the PRA),</w:t>
      </w:r>
      <w:r>
        <w:rPr>
          <w:rStyle w:val="FootnoteReference"/>
          <w:rFonts w:ascii="Times New Roman" w:hAnsi="Times New Roman"/>
          <w:spacing w:val="-3"/>
          <w:szCs w:val="24"/>
          <w:shd w:val="clear" w:color="auto" w:fill="FFFFFF"/>
        </w:rPr>
        <w:footnoteReference w:id="16"/>
      </w:r>
      <w:r w:rsidRPr="00D8444E">
        <w:rPr>
          <w:rFonts w:ascii="Times New Roman" w:hAnsi="Times New Roman"/>
          <w:szCs w:val="24"/>
        </w:rPr>
        <w:t xml:space="preserve"> nor do commenters distinguish between the burden of developing and providing notice of a fraud reporting mechanism, and investigating and remediating fraud (which are also not subject to the </w:t>
      </w:r>
      <w:r w:rsidRPr="00D8444E">
        <w:rPr>
          <w:rFonts w:ascii="Times New Roman" w:hAnsi="Times New Roman"/>
          <w:szCs w:val="24"/>
        </w:rPr>
        <w:t>PRA).</w:t>
      </w:r>
      <w:r>
        <w:rPr>
          <w:rStyle w:val="FootnoteReference"/>
          <w:rFonts w:ascii="Times New Roman" w:hAnsi="Times New Roman"/>
          <w:spacing w:val="-3"/>
          <w:szCs w:val="24"/>
          <w:shd w:val="clear" w:color="auto" w:fill="FFFFFF"/>
        </w:rPr>
        <w:footnoteReference w:id="17"/>
      </w:r>
      <w:r w:rsidRPr="00D8444E">
        <w:rPr>
          <w:rFonts w:ascii="Times New Roman" w:hAnsi="Times New Roman"/>
          <w:szCs w:val="24"/>
        </w:rPr>
        <w:t xml:space="preserve">  We nonetheless upwardly adjust the burden estimates associated with the notice and disclosure aspects of the new rules to account for commenter concerns. </w:t>
      </w:r>
    </w:p>
    <w:p w:rsidR="00D8444E" w:rsidRPr="00D8444E" w:rsidP="00D8444E" w14:paraId="5A3953C8" w14:textId="77777777">
      <w:pPr>
        <w:rPr>
          <w:rFonts w:ascii="Times New Roman" w:hAnsi="Times New Roman"/>
          <w:szCs w:val="24"/>
        </w:rPr>
      </w:pPr>
    </w:p>
    <w:p w:rsidR="00D8444E" w:rsidRPr="00D8444E" w:rsidP="00D8444E" w14:paraId="644FFA2B" w14:textId="633170BB">
      <w:pPr>
        <w:ind w:firstLine="720"/>
        <w:rPr>
          <w:rFonts w:ascii="Times New Roman" w:hAnsi="Times New Roman"/>
          <w:szCs w:val="24"/>
        </w:rPr>
      </w:pPr>
      <w:r w:rsidRPr="00D8444E">
        <w:rPr>
          <w:rFonts w:ascii="Times New Roman" w:hAnsi="Times New Roman"/>
          <w:szCs w:val="24"/>
        </w:rPr>
        <w:t xml:space="preserve"> Further, we do not believe that CCA’s burden estimates for complying with the new account locking requirements are relevant to PRA calculations because such requirements and the costs of implementing “account locking solutions” do not implicate the PRA.</w:t>
      </w:r>
      <w:r>
        <w:rPr>
          <w:rStyle w:val="FootnoteReference"/>
          <w:rFonts w:ascii="Times New Roman" w:hAnsi="Times New Roman"/>
          <w:spacing w:val="-3"/>
          <w:szCs w:val="24"/>
          <w:shd w:val="clear" w:color="auto" w:fill="FFFFFF"/>
        </w:rPr>
        <w:footnoteReference w:id="18"/>
      </w:r>
      <w:r w:rsidRPr="00D8444E">
        <w:rPr>
          <w:rFonts w:ascii="Times New Roman" w:hAnsi="Times New Roman"/>
          <w:szCs w:val="24"/>
        </w:rPr>
        <w:t xml:space="preserve">  And, with respect to customer notifications, we explain further below that the primary burden associated with notifications to customers is in developing the initial system to automate such notices, which we have accounted for in our burden estimate.  Nonetheless, we upwardly adjust this estimate based on commenter concerns.</w:t>
      </w:r>
    </w:p>
    <w:p w:rsidR="00D8444E" w:rsidRPr="00D8444E" w:rsidP="00D8444E" w14:paraId="6B3D2DA4" w14:textId="77777777">
      <w:pPr>
        <w:rPr>
          <w:rFonts w:ascii="Times New Roman" w:hAnsi="Times New Roman"/>
          <w:szCs w:val="24"/>
        </w:rPr>
      </w:pPr>
    </w:p>
    <w:p w:rsidR="00D8444E" w:rsidRPr="00D8444E" w:rsidP="00D8444E" w14:paraId="250CED9B" w14:textId="7BAC18E0">
      <w:pPr>
        <w:rPr>
          <w:rFonts w:ascii="Times New Roman" w:hAnsi="Times New Roman"/>
          <w:spacing w:val="-3"/>
          <w:szCs w:val="24"/>
          <w:shd w:val="clear" w:color="auto" w:fill="FFFFFF"/>
        </w:rPr>
      </w:pPr>
      <w:r w:rsidRPr="00D8444E">
        <w:rPr>
          <w:rFonts w:ascii="Times New Roman" w:hAnsi="Times New Roman"/>
          <w:szCs w:val="24"/>
        </w:rPr>
        <w:tab/>
        <w:t xml:space="preserve">The record in the </w:t>
      </w:r>
      <w:r w:rsidRPr="00D8444E">
        <w:rPr>
          <w:rFonts w:ascii="Times New Roman" w:hAnsi="Times New Roman"/>
          <w:i/>
          <w:iCs/>
          <w:szCs w:val="24"/>
        </w:rPr>
        <w:t xml:space="preserve">SIM Swap and Port-Out Fraud Order </w:t>
      </w:r>
      <w:r w:rsidRPr="00D8444E">
        <w:rPr>
          <w:rFonts w:ascii="Times New Roman" w:hAnsi="Times New Roman"/>
          <w:szCs w:val="24"/>
        </w:rPr>
        <w:t>indicated that a number of wireless providers already rely, at least partly, on some of the policies and procedures adopted in that Order and that are the subject of this collection.</w:t>
      </w:r>
      <w:r>
        <w:rPr>
          <w:rStyle w:val="FootnoteReference"/>
          <w:rFonts w:ascii="Times New Roman" w:hAnsi="Times New Roman"/>
          <w:szCs w:val="24"/>
        </w:rPr>
        <w:footnoteReference w:id="19"/>
      </w:r>
      <w:r w:rsidRPr="00D8444E">
        <w:rPr>
          <w:rFonts w:ascii="Times New Roman" w:hAnsi="Times New Roman"/>
          <w:szCs w:val="24"/>
        </w:rPr>
        <w:t xml:space="preserve">  But neither CCA, CTIA, nor NCTA quantify how many providers already have processes in place to comply with the newly-adopted requirements, or how many would require more significant time to come into compliance, and how those numbers would affect the burden estimates they cite.  Based on the record in the </w:t>
      </w:r>
      <w:r w:rsidRPr="00D8444E">
        <w:rPr>
          <w:rFonts w:ascii="Times New Roman" w:hAnsi="Times New Roman"/>
          <w:i/>
          <w:iCs/>
          <w:szCs w:val="24"/>
        </w:rPr>
        <w:t xml:space="preserve">SIM Swap and Port-Out Fraud </w:t>
      </w:r>
      <w:r w:rsidRPr="00D8444E">
        <w:rPr>
          <w:rFonts w:ascii="Times New Roman" w:hAnsi="Times New Roman"/>
          <w:szCs w:val="24"/>
        </w:rPr>
        <w:t xml:space="preserve"> proceeding and the comments received in response to the 60-day PRA notice, we believe it is reasonable to assume that some providers would incur less burden, and others a greater burden, in implementing the requirements subject to the PRA, and thus use a burden hour estimate in between such ranges.  Further, none of the commenters distinguished between the burdens associated with complying with the new rules for </w:t>
      </w:r>
      <w:r w:rsidR="0007252E">
        <w:rPr>
          <w:rFonts w:ascii="Times New Roman" w:hAnsi="Times New Roman"/>
          <w:szCs w:val="24"/>
        </w:rPr>
        <w:t>port-out fraud</w:t>
      </w:r>
      <w:r w:rsidRPr="00D8444E">
        <w:rPr>
          <w:rFonts w:ascii="Times New Roman" w:hAnsi="Times New Roman"/>
          <w:szCs w:val="24"/>
        </w:rPr>
        <w:t xml:space="preserve">, covered by this collection, and for </w:t>
      </w:r>
      <w:r w:rsidRPr="00D8444E" w:rsidR="00EE2001">
        <w:rPr>
          <w:rFonts w:ascii="Times New Roman" w:hAnsi="Times New Roman"/>
          <w:szCs w:val="24"/>
        </w:rPr>
        <w:t>SIM changes</w:t>
      </w:r>
      <w:r w:rsidRPr="00D8444E">
        <w:rPr>
          <w:rFonts w:ascii="Times New Roman" w:hAnsi="Times New Roman"/>
          <w:szCs w:val="24"/>
        </w:rPr>
        <w:t>, covered in collection 3060-07</w:t>
      </w:r>
      <w:r w:rsidR="00EE2001">
        <w:rPr>
          <w:rFonts w:ascii="Times New Roman" w:hAnsi="Times New Roman"/>
          <w:szCs w:val="24"/>
        </w:rPr>
        <w:t>15</w:t>
      </w:r>
      <w:r w:rsidRPr="00D8444E">
        <w:rPr>
          <w:rFonts w:ascii="Times New Roman" w:hAnsi="Times New Roman"/>
          <w:szCs w:val="24"/>
        </w:rPr>
        <w:t xml:space="preserve">.  Nonetheless, to address commenter concerns, we upwardly adjust the burden estimates overall pertaining to the new requirements from the </w:t>
      </w:r>
      <w:r w:rsidRPr="00D8444E">
        <w:rPr>
          <w:rFonts w:ascii="Times New Roman" w:hAnsi="Times New Roman"/>
          <w:i/>
          <w:iCs/>
          <w:szCs w:val="24"/>
        </w:rPr>
        <w:t xml:space="preserve">SIM Swap and Port-Out Fraud Order </w:t>
      </w:r>
      <w:r w:rsidRPr="00D8444E">
        <w:rPr>
          <w:rFonts w:ascii="Times New Roman" w:hAnsi="Times New Roman"/>
          <w:szCs w:val="24"/>
        </w:rPr>
        <w:t>subject to the PRA in both this collection and collection 3060-07</w:t>
      </w:r>
      <w:r w:rsidR="00EE2001">
        <w:rPr>
          <w:rFonts w:ascii="Times New Roman" w:hAnsi="Times New Roman"/>
          <w:szCs w:val="24"/>
        </w:rPr>
        <w:t>15</w:t>
      </w:r>
      <w:r w:rsidRPr="00D8444E">
        <w:rPr>
          <w:rFonts w:ascii="Times New Roman" w:hAnsi="Times New Roman"/>
          <w:szCs w:val="24"/>
        </w:rPr>
        <w:t xml:space="preserve">, but split the burden for developing systems between the two collections, on the assumption that there will be substantial overlap between the two.   </w:t>
      </w:r>
    </w:p>
    <w:p w:rsidR="00D8444E" w:rsidRPr="00D8444E" w:rsidP="00D8444E" w14:paraId="7C04250D" w14:textId="77777777">
      <w:pPr>
        <w:rPr>
          <w:rFonts w:ascii="Times New Roman" w:hAnsi="Times New Roman"/>
          <w:spacing w:val="-3"/>
          <w:szCs w:val="24"/>
          <w:shd w:val="clear" w:color="auto" w:fill="FFFFFF"/>
        </w:rPr>
      </w:pPr>
    </w:p>
    <w:p w:rsidR="00D8444E" w:rsidRPr="00D8444E" w:rsidP="00D8444E" w14:paraId="460E6A72" w14:textId="77777777">
      <w:pPr>
        <w:ind w:firstLine="720"/>
        <w:rPr>
          <w:rFonts w:ascii="Times New Roman" w:hAnsi="Times New Roman"/>
          <w:spacing w:val="-3"/>
          <w:szCs w:val="24"/>
          <w:shd w:val="clear" w:color="auto" w:fill="FFFFFF"/>
        </w:rPr>
      </w:pPr>
      <w:r w:rsidRPr="00D8444E">
        <w:rPr>
          <w:rFonts w:ascii="Times New Roman" w:hAnsi="Times New Roman"/>
          <w:szCs w:val="24"/>
        </w:rPr>
        <w:t xml:space="preserve">CCA also asserts that the Commission’s estimate regarding the notice requirements adopted in the </w:t>
      </w:r>
      <w:r w:rsidRPr="00D8444E">
        <w:rPr>
          <w:rFonts w:ascii="Times New Roman" w:hAnsi="Times New Roman"/>
          <w:i/>
          <w:iCs/>
          <w:szCs w:val="24"/>
        </w:rPr>
        <w:t>SIM Swap and Port-Out Fraud Order</w:t>
      </w:r>
      <w:r w:rsidRPr="00D8444E">
        <w:rPr>
          <w:rFonts w:ascii="Times New Roman" w:hAnsi="Times New Roman"/>
          <w:szCs w:val="24"/>
        </w:rPr>
        <w:t xml:space="preserve"> does not account for the going forward increases in customer representative time and other employee time due to the new procedures and processes.  We do not believe that such costs are implicated by the PRA with respect to the notice requirements adopted.  Nonetheless, we upwardly adjust the burden estimates pertaining to the development of automated systems to implement the notice requirements in response to commenter concerns.</w:t>
      </w:r>
    </w:p>
    <w:p w:rsidR="00D8444E" w:rsidRPr="00D8444E" w:rsidP="00D8444E" w14:paraId="321661AB" w14:textId="77777777">
      <w:pPr>
        <w:rPr>
          <w:rFonts w:ascii="Times New Roman" w:hAnsi="Times New Roman"/>
          <w:spacing w:val="-3"/>
          <w:szCs w:val="24"/>
          <w:shd w:val="clear" w:color="auto" w:fill="FFFFFF"/>
        </w:rPr>
      </w:pPr>
    </w:p>
    <w:p w:rsidR="00D8444E" w:rsidRPr="00D8444E" w:rsidP="00D8444E" w14:paraId="1FADB730" w14:textId="77777777">
      <w:pPr>
        <w:ind w:firstLine="720"/>
        <w:rPr>
          <w:rFonts w:ascii="Times New Roman" w:hAnsi="Times New Roman"/>
          <w:szCs w:val="24"/>
        </w:rPr>
      </w:pPr>
      <w:r w:rsidRPr="00D8444E">
        <w:rPr>
          <w:rFonts w:ascii="Times New Roman" w:hAnsi="Times New Roman"/>
          <w:szCs w:val="24"/>
        </w:rPr>
        <w:t xml:space="preserve">Commenters also raise three comments about timing.  NCTA asserts that the 60-day PRA notice fails to meet the requirement that the information collection “reduces to the extent practicable and appropriate the burden,” because the Commission has “disregarded” providers’ </w:t>
      </w:r>
      <w:r w:rsidRPr="00D8444E">
        <w:rPr>
          <w:rFonts w:ascii="Times New Roman" w:hAnsi="Times New Roman"/>
          <w:szCs w:val="24"/>
        </w:rPr>
        <w:t>requests for additional time.</w:t>
      </w:r>
      <w:r>
        <w:rPr>
          <w:rStyle w:val="FootnoteReference"/>
          <w:rFonts w:ascii="Times New Roman" w:hAnsi="Times New Roman"/>
          <w:szCs w:val="24"/>
        </w:rPr>
        <w:footnoteReference w:id="20"/>
      </w:r>
      <w:r w:rsidRPr="00D8444E">
        <w:rPr>
          <w:rFonts w:ascii="Times New Roman" w:hAnsi="Times New Roman"/>
          <w:szCs w:val="24"/>
        </w:rPr>
        <w:t xml:space="preserve">  And CCA contends that that the FCC “provided no indication” of the timing of the Public Notice announcing the compliance date or how long after the Public Notice enforcement might begin.</w:t>
      </w:r>
      <w:r>
        <w:rPr>
          <w:rStyle w:val="FootnoteReference"/>
          <w:rFonts w:ascii="Times New Roman" w:hAnsi="Times New Roman"/>
          <w:spacing w:val="-3"/>
          <w:szCs w:val="24"/>
          <w:shd w:val="clear" w:color="auto" w:fill="FFFFFF"/>
        </w:rPr>
        <w:footnoteReference w:id="21"/>
      </w:r>
      <w:r w:rsidRPr="00D8444E">
        <w:rPr>
          <w:rFonts w:ascii="Times New Roman" w:hAnsi="Times New Roman"/>
          <w:szCs w:val="24"/>
        </w:rPr>
        <w:t xml:space="preserve"> The Commission did not, however, disregard requests for additional time.  On July 5, 2024, the Wireline Competition Bureau (Bureau) adopted an Order finding that good cause exists to waive compliance with the rules adopted in the </w:t>
      </w:r>
      <w:r w:rsidRPr="00D8444E">
        <w:rPr>
          <w:rFonts w:ascii="Times New Roman" w:hAnsi="Times New Roman"/>
          <w:i/>
          <w:iCs/>
          <w:szCs w:val="24"/>
        </w:rPr>
        <w:t xml:space="preserve">SIM Swap and Port-Out Fraud Order </w:t>
      </w:r>
      <w:r w:rsidRPr="00D8444E">
        <w:rPr>
          <w:rFonts w:ascii="Times New Roman" w:hAnsi="Times New Roman"/>
          <w:szCs w:val="24"/>
        </w:rPr>
        <w:t>that are not subject to OMB review until the effective date of the rules that are subject to OMB approval, which effectively results in a single synchronized timeframe:  compliance with the rules in their entirety, including those not subject to the PRA, will not be required until after OMB completes review of the information collection requirements associated with the Order, and the Commission publishes a notice in the Federal Register announcing the compliance date.</w:t>
      </w:r>
      <w:r>
        <w:rPr>
          <w:rStyle w:val="FootnoteReference"/>
          <w:rFonts w:ascii="Times New Roman" w:hAnsi="Times New Roman"/>
          <w:szCs w:val="24"/>
        </w:rPr>
        <w:footnoteReference w:id="22"/>
      </w:r>
      <w:r w:rsidRPr="00D8444E">
        <w:rPr>
          <w:rFonts w:ascii="Times New Roman" w:hAnsi="Times New Roman"/>
          <w:szCs w:val="24"/>
        </w:rPr>
        <w:t xml:space="preserve">  As for the timing of the Public Notice announcing a compliance date, to provide additional clarity to providers, the Commission commits to ensuring that compliance with the new rules will not be required for at least 30 days after the publication in the Federal Register of notice that OMB has completed its review. </w:t>
      </w:r>
    </w:p>
    <w:p w:rsidR="00D8444E" w:rsidRPr="00D8444E" w:rsidP="00D8444E" w14:paraId="66596CA6" w14:textId="77777777">
      <w:pPr>
        <w:ind w:firstLine="720"/>
        <w:rPr>
          <w:rFonts w:ascii="Times New Roman" w:hAnsi="Times New Roman"/>
          <w:szCs w:val="24"/>
        </w:rPr>
      </w:pPr>
    </w:p>
    <w:p w:rsidR="0071585A" w:rsidRPr="00D8444E" w:rsidP="00D8444E" w14:paraId="2FB2325B" w14:textId="00654155">
      <w:pPr>
        <w:tabs>
          <w:tab w:val="left" w:pos="-720"/>
        </w:tabs>
        <w:suppressAutoHyphens/>
        <w:rPr>
          <w:rFonts w:ascii="Times New Roman" w:hAnsi="Times New Roman"/>
          <w:szCs w:val="24"/>
        </w:rPr>
      </w:pPr>
      <w:r>
        <w:rPr>
          <w:rFonts w:ascii="Times New Roman" w:hAnsi="Times New Roman"/>
          <w:spacing w:val="-3"/>
          <w:szCs w:val="24"/>
          <w:shd w:val="clear" w:color="auto" w:fill="FFFFFF"/>
        </w:rPr>
        <w:tab/>
      </w:r>
      <w:r w:rsidRPr="00D8444E" w:rsidR="00D8444E">
        <w:rPr>
          <w:rFonts w:ascii="Times New Roman" w:hAnsi="Times New Roman"/>
          <w:spacing w:val="-3"/>
          <w:szCs w:val="24"/>
          <w:shd w:val="clear" w:color="auto" w:fill="FFFFFF"/>
        </w:rPr>
        <w:t xml:space="preserve">Finally, </w:t>
      </w:r>
      <w:r w:rsidRPr="00D8444E" w:rsidR="00D8444E">
        <w:rPr>
          <w:rFonts w:ascii="Times New Roman" w:hAnsi="Times New Roman"/>
          <w:szCs w:val="24"/>
        </w:rPr>
        <w:t>CTIA raises concerns regarding the “No Cost Burden” estimates for the information collections.  CTIA asserts that “providers report that the costs of contracting vendors and other third-party resources to assist in implementing the systems to fulfill the Order’s information collection requirements could range from tens of thousands of dollars for regional providers, to millions of dollars for nationwide wireless providers.”</w:t>
      </w:r>
      <w:r>
        <w:rPr>
          <w:rStyle w:val="FootnoteReference"/>
          <w:rFonts w:ascii="Times New Roman" w:hAnsi="Times New Roman"/>
          <w:spacing w:val="-3"/>
          <w:szCs w:val="24"/>
          <w:shd w:val="clear" w:color="auto" w:fill="FFFFFF"/>
        </w:rPr>
        <w:footnoteReference w:id="23"/>
      </w:r>
      <w:r w:rsidRPr="00D8444E" w:rsidR="00D8444E">
        <w:rPr>
          <w:rFonts w:ascii="Times New Roman" w:hAnsi="Times New Roman"/>
          <w:szCs w:val="24"/>
        </w:rPr>
        <w:t xml:space="preserve">  With respect to CTIA’s concerns raised about the “no cost burden” estimates for the information collections, consistent with OMB’s instructions, the Commission’s estimate of “Total Annual Cost” includes capital, start-up, operation, and maintenance costs, and excludes hourly labor costs, which are estimated separately.  Thus $0 “Total Annual Cost” does not mean that the Commission does not expect that providers will have no costs to implement the collection.  Provider costs are simply captured elsewhere in the information collection.  Further, while CTIA and CCA assert that complying with the new rules will require engagement with outside vendors, contractors, and equipment manufacturers,</w:t>
      </w:r>
      <w:r>
        <w:rPr>
          <w:rStyle w:val="FootnoteReference"/>
          <w:rFonts w:ascii="Times New Roman" w:hAnsi="Times New Roman"/>
          <w:szCs w:val="24"/>
        </w:rPr>
        <w:footnoteReference w:id="24"/>
      </w:r>
      <w:r w:rsidRPr="00D8444E" w:rsidR="00D8444E">
        <w:rPr>
          <w:rFonts w:ascii="Times New Roman" w:hAnsi="Times New Roman"/>
          <w:szCs w:val="24"/>
        </w:rPr>
        <w:t xml:space="preserve"> we make clear that the Commission did not suggest that providers would incur no costs in responding to the collection.  Further, neither CTIA nor CCA provided estimates for: (a) how many providers would rely on outside expert consultants, (b) how much consultant time would be incurred by providers, (c) what type of consultants would be used (e.g., NTCA did not specify whether “outside expert consultants” would be attorneys, engineers, or web administrators, etc.), or (d) the costs of obtaining outside expert consultants (e.g., hourly rates).  We do not estimate that any costs associated with obtaining necessary outside consultants would be substantially different from the estimates of in-house costs.</w:t>
      </w:r>
      <w:r w:rsidRPr="00D8444E" w:rsidR="000E065B">
        <w:rPr>
          <w:rFonts w:ascii="Times New Roman" w:hAnsi="Times New Roman"/>
          <w:szCs w:val="24"/>
        </w:rPr>
        <w:t xml:space="preserve"> </w:t>
      </w:r>
    </w:p>
    <w:p w:rsidR="00AB56E2" w:rsidRPr="00D8444E" w14:paraId="62429C1B" w14:textId="77777777">
      <w:pPr>
        <w:tabs>
          <w:tab w:val="left" w:pos="-720"/>
        </w:tabs>
        <w:suppressAutoHyphens/>
        <w:rPr>
          <w:rFonts w:ascii="Times New Roman" w:hAnsi="Times New Roman"/>
          <w:szCs w:val="24"/>
        </w:rPr>
      </w:pPr>
    </w:p>
    <w:p w:rsidR="0071585A" w:rsidRPr="009276B7" w14:paraId="306BA9DA" w14:textId="3EF32F49">
      <w:pPr>
        <w:tabs>
          <w:tab w:val="left" w:pos="-720"/>
        </w:tabs>
        <w:suppressAutoHyphens/>
        <w:rPr>
          <w:rFonts w:ascii="Times New Roman" w:hAnsi="Times New Roman"/>
          <w:szCs w:val="24"/>
        </w:rPr>
      </w:pPr>
      <w:r w:rsidRPr="009276B7">
        <w:rPr>
          <w:rFonts w:ascii="Times New Roman" w:hAnsi="Times New Roman"/>
          <w:szCs w:val="24"/>
        </w:rPr>
        <w:tab/>
        <w:t>9.</w:t>
      </w:r>
      <w:r w:rsidRPr="009276B7">
        <w:rPr>
          <w:rFonts w:ascii="Times New Roman" w:hAnsi="Times New Roman"/>
          <w:szCs w:val="24"/>
        </w:rPr>
        <w:tab/>
      </w:r>
      <w:r w:rsidRPr="009276B7" w:rsidR="009276B7">
        <w:rPr>
          <w:rFonts w:ascii="Times New Roman" w:hAnsi="Times New Roman"/>
          <w:i/>
          <w:iCs/>
          <w:spacing w:val="-3"/>
          <w:szCs w:val="24"/>
          <w:shd w:val="clear" w:color="auto" w:fill="FFFFFF"/>
        </w:rPr>
        <w:t>Payments or gifts to respondents.</w:t>
      </w:r>
      <w:r w:rsidRPr="009276B7" w:rsidR="009276B7">
        <w:rPr>
          <w:rFonts w:ascii="Times New Roman" w:hAnsi="Times New Roman"/>
          <w:szCs w:val="24"/>
        </w:rPr>
        <w:t xml:space="preserve"> </w:t>
      </w:r>
      <w:r w:rsidRPr="009276B7">
        <w:rPr>
          <w:rFonts w:ascii="Times New Roman" w:hAnsi="Times New Roman"/>
          <w:szCs w:val="24"/>
        </w:rPr>
        <w:t>The Commission does not anticipate providing any payment or gift to respondents.</w:t>
      </w:r>
    </w:p>
    <w:p w:rsidR="0071585A" w:rsidRPr="009276B7" w14:paraId="2D5FD535" w14:textId="77777777">
      <w:pPr>
        <w:tabs>
          <w:tab w:val="left" w:pos="-720"/>
        </w:tabs>
        <w:suppressAutoHyphens/>
        <w:rPr>
          <w:rFonts w:ascii="Times New Roman" w:hAnsi="Times New Roman"/>
          <w:szCs w:val="24"/>
        </w:rPr>
      </w:pPr>
    </w:p>
    <w:p w:rsidR="0071585A" w:rsidRPr="009276B7" w14:paraId="508310E5" w14:textId="2B5012BA">
      <w:pPr>
        <w:tabs>
          <w:tab w:val="left" w:pos="-720"/>
        </w:tabs>
        <w:suppressAutoHyphens/>
        <w:rPr>
          <w:rFonts w:ascii="Times New Roman" w:hAnsi="Times New Roman"/>
          <w:szCs w:val="24"/>
        </w:rPr>
      </w:pPr>
      <w:r w:rsidRPr="009276B7">
        <w:rPr>
          <w:rFonts w:ascii="Times New Roman" w:hAnsi="Times New Roman"/>
          <w:szCs w:val="24"/>
        </w:rPr>
        <w:tab/>
        <w:t>10.</w:t>
      </w:r>
      <w:r w:rsidRPr="009276B7">
        <w:rPr>
          <w:rFonts w:ascii="Times New Roman" w:hAnsi="Times New Roman"/>
          <w:szCs w:val="24"/>
        </w:rPr>
        <w:tab/>
      </w:r>
      <w:r w:rsidRPr="009276B7" w:rsidR="009276B7">
        <w:rPr>
          <w:rFonts w:ascii="Times New Roman" w:hAnsi="Times New Roman"/>
          <w:i/>
          <w:iCs/>
          <w:szCs w:val="24"/>
        </w:rPr>
        <w:t xml:space="preserve">Assurances of Confidentiality.  </w:t>
      </w:r>
      <w:r w:rsidRPr="009276B7">
        <w:rPr>
          <w:rFonts w:ascii="Times New Roman" w:hAnsi="Times New Roman"/>
          <w:szCs w:val="24"/>
        </w:rPr>
        <w:t>The Commission is not requesting respondents to submit confidential information to the Commission.  If the Commission requests respondents to submit information which the respondents believe is confidential, respondents may request confidential treatment of such information pursuant to Section 0.459 of the Commission</w:t>
      </w:r>
      <w:r w:rsidR="00130540">
        <w:rPr>
          <w:rFonts w:ascii="Times New Roman" w:hAnsi="Times New Roman"/>
          <w:szCs w:val="24"/>
        </w:rPr>
        <w:t>’</w:t>
      </w:r>
      <w:r w:rsidRPr="009276B7">
        <w:rPr>
          <w:rFonts w:ascii="Times New Roman" w:hAnsi="Times New Roman"/>
          <w:szCs w:val="24"/>
        </w:rPr>
        <w:t>s rules, 47 CFR §</w:t>
      </w:r>
      <w:r w:rsidRPr="009276B7" w:rsidR="007C38E0">
        <w:rPr>
          <w:rFonts w:ascii="Times New Roman" w:hAnsi="Times New Roman"/>
          <w:szCs w:val="24"/>
        </w:rPr>
        <w:t> </w:t>
      </w:r>
      <w:r w:rsidRPr="009276B7">
        <w:rPr>
          <w:rFonts w:ascii="Times New Roman" w:hAnsi="Times New Roman"/>
          <w:szCs w:val="24"/>
        </w:rPr>
        <w:t>0.459.</w:t>
      </w:r>
    </w:p>
    <w:p w:rsidR="0071585A" w:rsidRPr="009276B7" w14:paraId="4F2BF556" w14:textId="77777777">
      <w:pPr>
        <w:tabs>
          <w:tab w:val="left" w:pos="-720"/>
        </w:tabs>
        <w:suppressAutoHyphens/>
        <w:rPr>
          <w:rFonts w:ascii="Times New Roman" w:hAnsi="Times New Roman"/>
          <w:szCs w:val="24"/>
        </w:rPr>
      </w:pPr>
    </w:p>
    <w:p w:rsidR="0071585A" w:rsidRPr="009276B7" w14:paraId="646FBD68" w14:textId="55E6E032">
      <w:pPr>
        <w:tabs>
          <w:tab w:val="left" w:pos="-720"/>
        </w:tabs>
        <w:suppressAutoHyphens/>
        <w:rPr>
          <w:rFonts w:ascii="Times New Roman" w:hAnsi="Times New Roman"/>
          <w:szCs w:val="24"/>
        </w:rPr>
      </w:pPr>
      <w:r w:rsidRPr="009276B7">
        <w:rPr>
          <w:rFonts w:ascii="Times New Roman" w:hAnsi="Times New Roman"/>
          <w:szCs w:val="24"/>
        </w:rPr>
        <w:tab/>
        <w:t>11.</w:t>
      </w:r>
      <w:r w:rsidRPr="009276B7">
        <w:rPr>
          <w:rFonts w:ascii="Times New Roman" w:hAnsi="Times New Roman"/>
          <w:szCs w:val="24"/>
        </w:rPr>
        <w:tab/>
      </w:r>
      <w:r w:rsidRPr="009276B7" w:rsidR="009276B7">
        <w:rPr>
          <w:rFonts w:ascii="Times New Roman" w:hAnsi="Times New Roman"/>
          <w:i/>
          <w:iCs/>
          <w:szCs w:val="24"/>
        </w:rPr>
        <w:t xml:space="preserve">Questions of a Sensitive Nature.  </w:t>
      </w:r>
      <w:r w:rsidRPr="009276B7">
        <w:rPr>
          <w:rFonts w:ascii="Times New Roman" w:hAnsi="Times New Roman"/>
          <w:szCs w:val="24"/>
        </w:rPr>
        <w:t>There are no questions of a sensitive nature with respect to the information collected.</w:t>
      </w:r>
    </w:p>
    <w:p w:rsidR="0071585A" w:rsidRPr="009276B7" w14:paraId="2DC21E77" w14:textId="77777777">
      <w:pPr>
        <w:tabs>
          <w:tab w:val="left" w:pos="-720"/>
        </w:tabs>
        <w:suppressAutoHyphens/>
        <w:rPr>
          <w:rFonts w:ascii="Times New Roman" w:hAnsi="Times New Roman"/>
          <w:szCs w:val="24"/>
        </w:rPr>
      </w:pPr>
    </w:p>
    <w:p w:rsidR="0071585A" w:rsidRPr="009276B7" w14:paraId="0B17935A" w14:textId="580D9D43">
      <w:pPr>
        <w:tabs>
          <w:tab w:val="left" w:pos="-720"/>
        </w:tabs>
        <w:suppressAutoHyphens/>
        <w:rPr>
          <w:rFonts w:ascii="Times New Roman" w:hAnsi="Times New Roman"/>
          <w:szCs w:val="24"/>
        </w:rPr>
      </w:pPr>
      <w:r w:rsidRPr="009276B7">
        <w:rPr>
          <w:rFonts w:ascii="Times New Roman" w:hAnsi="Times New Roman"/>
          <w:szCs w:val="24"/>
        </w:rPr>
        <w:tab/>
        <w:t>12.</w:t>
      </w:r>
      <w:r w:rsidRPr="009276B7">
        <w:rPr>
          <w:rFonts w:ascii="Times New Roman" w:hAnsi="Times New Roman"/>
          <w:szCs w:val="24"/>
        </w:rPr>
        <w:tab/>
      </w:r>
      <w:r w:rsidRPr="00A64256" w:rsidR="009276B7">
        <w:rPr>
          <w:rFonts w:ascii="Times New Roman" w:hAnsi="Times New Roman"/>
          <w:i/>
          <w:iCs/>
          <w:spacing w:val="-3"/>
          <w:szCs w:val="24"/>
          <w:shd w:val="clear" w:color="auto" w:fill="FFFFFF"/>
        </w:rPr>
        <w:t>Estimates of the hour burden of the collection to respondents</w:t>
      </w:r>
      <w:r w:rsidRPr="00A64256" w:rsidR="009276B7">
        <w:rPr>
          <w:rFonts w:ascii="Times New Roman" w:hAnsi="Times New Roman"/>
          <w:spacing w:val="-3"/>
          <w:szCs w:val="24"/>
          <w:shd w:val="clear" w:color="auto" w:fill="FFFFFF"/>
        </w:rPr>
        <w:t xml:space="preserve">. </w:t>
      </w:r>
      <w:r w:rsidRPr="009276B7">
        <w:rPr>
          <w:rFonts w:ascii="Times New Roman" w:hAnsi="Times New Roman"/>
          <w:szCs w:val="24"/>
        </w:rPr>
        <w:t>The following represents the estimates of hour burden of the collection of information:</w:t>
      </w:r>
    </w:p>
    <w:p w:rsidR="0071585A" w:rsidRPr="009276B7" w14:paraId="227C8830" w14:textId="77777777">
      <w:pPr>
        <w:tabs>
          <w:tab w:val="left" w:pos="-720"/>
        </w:tabs>
        <w:suppressAutoHyphens/>
        <w:rPr>
          <w:rFonts w:ascii="Times New Roman" w:hAnsi="Times New Roman"/>
          <w:szCs w:val="24"/>
        </w:rPr>
      </w:pPr>
    </w:p>
    <w:p w:rsidR="00526793" w:rsidRPr="009276B7" w:rsidP="00526793" w14:paraId="1E815E86" w14:textId="579BEFBE">
      <w:pPr>
        <w:ind w:left="360"/>
        <w:rPr>
          <w:rFonts w:ascii="Times New Roman" w:hAnsi="Times New Roman"/>
          <w:bCs/>
          <w:iCs/>
          <w:spacing w:val="-3"/>
          <w:szCs w:val="24"/>
          <w:shd w:val="clear" w:color="auto" w:fill="FFFFFF"/>
        </w:rPr>
      </w:pPr>
      <w:r w:rsidRPr="009276B7">
        <w:rPr>
          <w:rFonts w:ascii="Times New Roman" w:hAnsi="Times New Roman"/>
          <w:b/>
          <w:i/>
          <w:spacing w:val="-3"/>
          <w:szCs w:val="24"/>
          <w:shd w:val="clear" w:color="auto" w:fill="FFFFFF"/>
        </w:rPr>
        <w:t>Currently Approved Information Collection Requirements—paragraphs (a) through (</w:t>
      </w:r>
      <w:r w:rsidRPr="009276B7" w:rsidR="00D4503F">
        <w:rPr>
          <w:rFonts w:ascii="Times New Roman" w:hAnsi="Times New Roman"/>
          <w:b/>
          <w:i/>
          <w:spacing w:val="-3"/>
          <w:szCs w:val="24"/>
          <w:shd w:val="clear" w:color="auto" w:fill="FFFFFF"/>
        </w:rPr>
        <w:t>d</w:t>
      </w:r>
      <w:r w:rsidRPr="009276B7">
        <w:rPr>
          <w:rFonts w:ascii="Times New Roman" w:hAnsi="Times New Roman"/>
          <w:b/>
          <w:i/>
          <w:spacing w:val="-3"/>
          <w:szCs w:val="24"/>
          <w:shd w:val="clear" w:color="auto" w:fill="FFFFFF"/>
        </w:rPr>
        <w:t>):</w:t>
      </w:r>
    </w:p>
    <w:p w:rsidR="00526793" w:rsidRPr="009276B7" w14:paraId="64140049" w14:textId="77777777">
      <w:pPr>
        <w:tabs>
          <w:tab w:val="left" w:pos="-720"/>
        </w:tabs>
        <w:suppressAutoHyphens/>
        <w:rPr>
          <w:rFonts w:ascii="Times New Roman" w:hAnsi="Times New Roman"/>
          <w:szCs w:val="24"/>
        </w:rPr>
      </w:pPr>
    </w:p>
    <w:p w:rsidR="0071585A" w:rsidRPr="009276B7" w14:paraId="6E5BE6E7" w14:textId="77777777">
      <w:pPr>
        <w:tabs>
          <w:tab w:val="left" w:pos="-720"/>
        </w:tabs>
        <w:suppressAutoHyphens/>
        <w:rPr>
          <w:rFonts w:ascii="Times New Roman" w:hAnsi="Times New Roman"/>
          <w:b/>
          <w:szCs w:val="24"/>
          <w:u w:val="single"/>
        </w:rPr>
      </w:pPr>
      <w:r w:rsidRPr="009276B7">
        <w:rPr>
          <w:rFonts w:ascii="Times New Roman" w:hAnsi="Times New Roman"/>
          <w:szCs w:val="24"/>
        </w:rPr>
        <w:tab/>
      </w:r>
      <w:r w:rsidRPr="009276B7">
        <w:rPr>
          <w:rFonts w:ascii="Times New Roman" w:hAnsi="Times New Roman"/>
          <w:szCs w:val="24"/>
        </w:rPr>
        <w:tab/>
        <w:t>a.</w:t>
      </w:r>
      <w:r w:rsidRPr="009276B7">
        <w:rPr>
          <w:rFonts w:ascii="Times New Roman" w:hAnsi="Times New Roman"/>
          <w:szCs w:val="24"/>
        </w:rPr>
        <w:tab/>
      </w:r>
      <w:r w:rsidRPr="009276B7">
        <w:rPr>
          <w:rFonts w:ascii="Times New Roman" w:hAnsi="Times New Roman"/>
          <w:szCs w:val="24"/>
          <w:u w:val="single"/>
        </w:rPr>
        <w:t>Requests for long-term number portability</w:t>
      </w:r>
      <w:r w:rsidRPr="009276B7" w:rsidR="00D7198F">
        <w:rPr>
          <w:rFonts w:ascii="Times New Roman" w:hAnsi="Times New Roman"/>
          <w:szCs w:val="24"/>
        </w:rPr>
        <w:t>:</w:t>
      </w:r>
      <w:r w:rsidRPr="009276B7" w:rsidR="00702C4F">
        <w:rPr>
          <w:rFonts w:ascii="Times New Roman" w:hAnsi="Times New Roman"/>
          <w:szCs w:val="24"/>
          <w:u w:val="single"/>
        </w:rPr>
        <w:t xml:space="preserve"> </w:t>
      </w:r>
      <w:r w:rsidRPr="009276B7" w:rsidR="00702C4F">
        <w:rPr>
          <w:rFonts w:ascii="Times New Roman" w:hAnsi="Times New Roman"/>
          <w:szCs w:val="24"/>
        </w:rPr>
        <w:t xml:space="preserve">  </w:t>
      </w:r>
    </w:p>
    <w:p w:rsidR="00D7198F" w:rsidRPr="009276B7" w14:paraId="56B62BD2" w14:textId="77777777">
      <w:pPr>
        <w:tabs>
          <w:tab w:val="left" w:pos="-720"/>
        </w:tabs>
        <w:suppressAutoHyphens/>
        <w:rPr>
          <w:rFonts w:ascii="Times New Roman" w:hAnsi="Times New Roman"/>
          <w:szCs w:val="24"/>
        </w:rPr>
      </w:pPr>
    </w:p>
    <w:p w:rsidR="0071585A" w:rsidRPr="009276B7" w14:paraId="25BBF387" w14:textId="77777777">
      <w:pPr>
        <w:tabs>
          <w:tab w:val="left" w:pos="-720"/>
        </w:tabs>
        <w:suppressAutoHyphens/>
        <w:rPr>
          <w:rFonts w:ascii="Times New Roman" w:hAnsi="Times New Roman"/>
          <w:szCs w:val="24"/>
        </w:rPr>
      </w:pPr>
      <w:r w:rsidRPr="009276B7">
        <w:rPr>
          <w:rFonts w:ascii="Times New Roman" w:hAnsi="Times New Roman"/>
          <w:szCs w:val="24"/>
        </w:rPr>
        <w:tab/>
      </w:r>
      <w:r w:rsidRPr="009276B7">
        <w:rPr>
          <w:rFonts w:ascii="Times New Roman" w:hAnsi="Times New Roman"/>
          <w:szCs w:val="24"/>
        </w:rPr>
        <w:tab/>
        <w:t>(1)</w:t>
      </w:r>
      <w:r w:rsidRPr="009276B7">
        <w:rPr>
          <w:rFonts w:ascii="Times New Roman" w:hAnsi="Times New Roman"/>
          <w:szCs w:val="24"/>
        </w:rPr>
        <w:tab/>
      </w:r>
      <w:r w:rsidRPr="009276B7" w:rsidR="00D7198F">
        <w:rPr>
          <w:rFonts w:ascii="Times New Roman" w:hAnsi="Times New Roman"/>
          <w:szCs w:val="24"/>
        </w:rPr>
        <w:t>L</w:t>
      </w:r>
      <w:r w:rsidRPr="009276B7">
        <w:rPr>
          <w:rFonts w:ascii="Times New Roman" w:hAnsi="Times New Roman"/>
          <w:szCs w:val="24"/>
        </w:rPr>
        <w:t xml:space="preserve">ong-term number portability must be provided by LECs and CMRS providers </w:t>
      </w:r>
      <w:r w:rsidRPr="009276B7" w:rsidR="00D7198F">
        <w:rPr>
          <w:rFonts w:ascii="Times New Roman" w:hAnsi="Times New Roman"/>
          <w:szCs w:val="24"/>
        </w:rPr>
        <w:t>within six months after a specific request by another telecommunications</w:t>
      </w:r>
      <w:r w:rsidRPr="009276B7" w:rsidR="00D00CBC">
        <w:rPr>
          <w:rFonts w:ascii="Times New Roman" w:hAnsi="Times New Roman"/>
          <w:szCs w:val="24"/>
        </w:rPr>
        <w:t xml:space="preserve"> carrier</w:t>
      </w:r>
      <w:r w:rsidRPr="009276B7" w:rsidR="00D7198F">
        <w:rPr>
          <w:rFonts w:ascii="Times New Roman" w:hAnsi="Times New Roman"/>
          <w:szCs w:val="24"/>
        </w:rPr>
        <w:t xml:space="preserve">.  </w:t>
      </w:r>
      <w:r w:rsidRPr="009276B7">
        <w:rPr>
          <w:rFonts w:ascii="Times New Roman" w:hAnsi="Times New Roman"/>
          <w:szCs w:val="24"/>
        </w:rPr>
        <w:t>It is difficult to reliably estimate how many requests will occur, since it is difficult to predict how quickly competition will develop.  More specifically, it is difficult to determine the number of likely new entrants.  There are approximately 9,000 switches nationwide (not counting remote switches</w:t>
      </w:r>
      <w:r w:rsidRPr="009276B7" w:rsidR="00FB4E2F">
        <w:rPr>
          <w:rFonts w:ascii="Times New Roman" w:hAnsi="Times New Roman"/>
          <w:szCs w:val="24"/>
        </w:rPr>
        <w:t xml:space="preserve">), </w:t>
      </w:r>
      <w:r w:rsidRPr="009276B7" w:rsidR="00DF11E2">
        <w:rPr>
          <w:rFonts w:ascii="Times New Roman" w:hAnsi="Times New Roman"/>
          <w:szCs w:val="24"/>
        </w:rPr>
        <w:t>many</w:t>
      </w:r>
      <w:r w:rsidRPr="009276B7" w:rsidR="00FB4E2F">
        <w:rPr>
          <w:rFonts w:ascii="Times New Roman" w:hAnsi="Times New Roman"/>
          <w:szCs w:val="24"/>
        </w:rPr>
        <w:t xml:space="preserve"> of which w</w:t>
      </w:r>
      <w:r w:rsidRPr="009276B7" w:rsidR="00D7198F">
        <w:rPr>
          <w:rFonts w:ascii="Times New Roman" w:hAnsi="Times New Roman"/>
          <w:szCs w:val="24"/>
        </w:rPr>
        <w:t xml:space="preserve">ere </w:t>
      </w:r>
      <w:r w:rsidRPr="009276B7" w:rsidR="00FB4E2F">
        <w:rPr>
          <w:rFonts w:ascii="Times New Roman" w:hAnsi="Times New Roman"/>
          <w:szCs w:val="24"/>
        </w:rPr>
        <w:t>upgraded to accommodate number portability during the 15 months prior to December 31, 1998</w:t>
      </w:r>
      <w:r w:rsidRPr="009276B7">
        <w:rPr>
          <w:rFonts w:ascii="Times New Roman" w:hAnsi="Times New Roman"/>
          <w:szCs w:val="24"/>
        </w:rPr>
        <w:t>.</w:t>
      </w:r>
    </w:p>
    <w:p w:rsidR="0071585A" w:rsidRPr="009276B7" w14:paraId="367A4C86" w14:textId="77777777">
      <w:pPr>
        <w:tabs>
          <w:tab w:val="left" w:pos="-720"/>
        </w:tabs>
        <w:suppressAutoHyphens/>
        <w:rPr>
          <w:rFonts w:ascii="Times New Roman" w:hAnsi="Times New Roman"/>
          <w:b/>
          <w:szCs w:val="24"/>
        </w:rPr>
      </w:pPr>
      <w:r w:rsidRPr="009276B7">
        <w:rPr>
          <w:rFonts w:ascii="Times New Roman" w:hAnsi="Times New Roman"/>
          <w:szCs w:val="24"/>
        </w:rPr>
        <w:tab/>
      </w:r>
      <w:r w:rsidRPr="009276B7">
        <w:rPr>
          <w:rFonts w:ascii="Times New Roman" w:hAnsi="Times New Roman"/>
          <w:szCs w:val="24"/>
        </w:rPr>
        <w:tab/>
      </w:r>
      <w:r w:rsidRPr="009276B7">
        <w:rPr>
          <w:rFonts w:ascii="Times New Roman" w:hAnsi="Times New Roman"/>
          <w:szCs w:val="24"/>
        </w:rPr>
        <w:tab/>
      </w:r>
      <w:r w:rsidRPr="009276B7">
        <w:rPr>
          <w:rFonts w:ascii="Times New Roman" w:hAnsi="Times New Roman"/>
          <w:szCs w:val="24"/>
        </w:rPr>
        <w:t>(A)</w:t>
      </w:r>
      <w:r w:rsidRPr="009276B7">
        <w:rPr>
          <w:rFonts w:ascii="Times New Roman" w:hAnsi="Times New Roman"/>
          <w:szCs w:val="24"/>
        </w:rPr>
        <w:tab/>
      </w:r>
      <w:r w:rsidRPr="009276B7">
        <w:rPr>
          <w:rFonts w:ascii="Times New Roman" w:hAnsi="Times New Roman"/>
          <w:szCs w:val="24"/>
          <w:u w:val="single"/>
        </w:rPr>
        <w:t>Number of respondents</w:t>
      </w:r>
      <w:r w:rsidRPr="009276B7">
        <w:rPr>
          <w:rFonts w:ascii="Times New Roman" w:hAnsi="Times New Roman"/>
          <w:szCs w:val="24"/>
        </w:rPr>
        <w:t xml:space="preserve">: </w:t>
      </w:r>
      <w:r w:rsidRPr="009276B7" w:rsidR="00F15C06">
        <w:rPr>
          <w:rFonts w:ascii="Times New Roman" w:hAnsi="Times New Roman"/>
          <w:szCs w:val="24"/>
        </w:rPr>
        <w:t xml:space="preserve"> </w:t>
      </w:r>
      <w:r w:rsidRPr="009276B7" w:rsidR="00D7198F">
        <w:rPr>
          <w:rFonts w:ascii="Times New Roman" w:hAnsi="Times New Roman"/>
          <w:szCs w:val="24"/>
        </w:rPr>
        <w:t>300</w:t>
      </w:r>
      <w:r w:rsidRPr="009276B7" w:rsidR="00B706DA">
        <w:rPr>
          <w:rFonts w:ascii="Times New Roman" w:hAnsi="Times New Roman"/>
          <w:szCs w:val="24"/>
        </w:rPr>
        <w:t xml:space="preserve">.  </w:t>
      </w:r>
    </w:p>
    <w:p w:rsidR="0071585A" w:rsidRPr="009276B7" w14:paraId="0CD6794A" w14:textId="77777777">
      <w:pPr>
        <w:tabs>
          <w:tab w:val="left" w:pos="-720"/>
        </w:tabs>
        <w:suppressAutoHyphens/>
        <w:rPr>
          <w:rFonts w:ascii="Times New Roman" w:hAnsi="Times New Roman"/>
          <w:szCs w:val="24"/>
        </w:rPr>
      </w:pPr>
      <w:r w:rsidRPr="009276B7">
        <w:rPr>
          <w:rFonts w:ascii="Times New Roman" w:hAnsi="Times New Roman"/>
          <w:szCs w:val="24"/>
        </w:rPr>
        <w:tab/>
      </w:r>
      <w:r w:rsidRPr="009276B7">
        <w:rPr>
          <w:rFonts w:ascii="Times New Roman" w:hAnsi="Times New Roman"/>
          <w:szCs w:val="24"/>
        </w:rPr>
        <w:tab/>
      </w:r>
      <w:r w:rsidRPr="009276B7">
        <w:rPr>
          <w:rFonts w:ascii="Times New Roman" w:hAnsi="Times New Roman"/>
          <w:szCs w:val="24"/>
        </w:rPr>
        <w:tab/>
        <w:t>(B)</w:t>
      </w:r>
      <w:r w:rsidRPr="009276B7">
        <w:rPr>
          <w:rFonts w:ascii="Times New Roman" w:hAnsi="Times New Roman"/>
          <w:szCs w:val="24"/>
        </w:rPr>
        <w:tab/>
      </w:r>
      <w:r w:rsidRPr="009276B7">
        <w:rPr>
          <w:rFonts w:ascii="Times New Roman" w:hAnsi="Times New Roman"/>
          <w:szCs w:val="24"/>
          <w:u w:val="single"/>
        </w:rPr>
        <w:t>Frequency of Response</w:t>
      </w:r>
      <w:r w:rsidRPr="009276B7">
        <w:rPr>
          <w:rFonts w:ascii="Times New Roman" w:hAnsi="Times New Roman"/>
          <w:szCs w:val="24"/>
        </w:rPr>
        <w:t xml:space="preserve">: </w:t>
      </w:r>
      <w:r w:rsidRPr="009276B7" w:rsidR="00F15C06">
        <w:rPr>
          <w:rFonts w:ascii="Times New Roman" w:hAnsi="Times New Roman"/>
          <w:szCs w:val="24"/>
        </w:rPr>
        <w:t xml:space="preserve"> </w:t>
      </w:r>
      <w:r w:rsidRPr="009276B7">
        <w:rPr>
          <w:rFonts w:ascii="Times New Roman" w:hAnsi="Times New Roman"/>
          <w:szCs w:val="24"/>
        </w:rPr>
        <w:t>Once per geographic area</w:t>
      </w:r>
      <w:r w:rsidRPr="009276B7" w:rsidR="008B5484">
        <w:rPr>
          <w:rFonts w:ascii="Times New Roman" w:hAnsi="Times New Roman"/>
          <w:szCs w:val="24"/>
        </w:rPr>
        <w:t xml:space="preserve"> (reporting requirement).</w:t>
      </w:r>
    </w:p>
    <w:p w:rsidR="00B47EC5" w:rsidRPr="009276B7" w14:paraId="1AF7BFBC" w14:textId="77777777">
      <w:pPr>
        <w:tabs>
          <w:tab w:val="left" w:pos="-720"/>
        </w:tabs>
        <w:suppressAutoHyphens/>
        <w:rPr>
          <w:rFonts w:ascii="Times New Roman" w:hAnsi="Times New Roman"/>
          <w:szCs w:val="24"/>
        </w:rPr>
      </w:pPr>
      <w:r w:rsidRPr="009276B7">
        <w:rPr>
          <w:rFonts w:ascii="Times New Roman" w:hAnsi="Times New Roman"/>
          <w:szCs w:val="24"/>
        </w:rPr>
        <w:tab/>
      </w:r>
      <w:r w:rsidRPr="009276B7">
        <w:rPr>
          <w:rFonts w:ascii="Times New Roman" w:hAnsi="Times New Roman"/>
          <w:szCs w:val="24"/>
        </w:rPr>
        <w:tab/>
      </w:r>
      <w:r w:rsidRPr="009276B7">
        <w:rPr>
          <w:rFonts w:ascii="Times New Roman" w:hAnsi="Times New Roman"/>
          <w:szCs w:val="24"/>
        </w:rPr>
        <w:tab/>
        <w:t>(C</w:t>
      </w:r>
      <w:r w:rsidRPr="009276B7" w:rsidR="00F15C06">
        <w:rPr>
          <w:rFonts w:ascii="Times New Roman" w:hAnsi="Times New Roman"/>
          <w:szCs w:val="24"/>
        </w:rPr>
        <w:t>)</w:t>
      </w:r>
      <w:r w:rsidRPr="009276B7" w:rsidR="00F15C06">
        <w:rPr>
          <w:rFonts w:ascii="Times New Roman" w:hAnsi="Times New Roman"/>
          <w:szCs w:val="24"/>
        </w:rPr>
        <w:tab/>
      </w:r>
      <w:r w:rsidRPr="009276B7">
        <w:rPr>
          <w:rFonts w:ascii="Times New Roman" w:hAnsi="Times New Roman"/>
          <w:szCs w:val="24"/>
          <w:u w:val="single"/>
        </w:rPr>
        <w:t>Total number of responses annually</w:t>
      </w:r>
      <w:r w:rsidRPr="009276B7">
        <w:rPr>
          <w:rFonts w:ascii="Times New Roman" w:hAnsi="Times New Roman"/>
          <w:szCs w:val="24"/>
        </w:rPr>
        <w:t xml:space="preserve">: </w:t>
      </w:r>
      <w:r w:rsidRPr="009276B7" w:rsidR="00F15C06">
        <w:rPr>
          <w:rFonts w:ascii="Times New Roman" w:hAnsi="Times New Roman"/>
          <w:szCs w:val="24"/>
        </w:rPr>
        <w:t xml:space="preserve"> </w:t>
      </w:r>
      <w:r w:rsidRPr="009276B7">
        <w:rPr>
          <w:rFonts w:ascii="Times New Roman" w:hAnsi="Times New Roman"/>
          <w:szCs w:val="24"/>
        </w:rPr>
        <w:t>300.</w:t>
      </w:r>
    </w:p>
    <w:p w:rsidR="0071585A" w:rsidRPr="009276B7" w14:paraId="2D835D73" w14:textId="77777777">
      <w:pPr>
        <w:tabs>
          <w:tab w:val="left" w:pos="-720"/>
        </w:tabs>
        <w:suppressAutoHyphens/>
        <w:rPr>
          <w:rFonts w:ascii="Times New Roman" w:hAnsi="Times New Roman"/>
          <w:szCs w:val="24"/>
        </w:rPr>
      </w:pPr>
      <w:r w:rsidRPr="009276B7">
        <w:rPr>
          <w:rFonts w:ascii="Times New Roman" w:hAnsi="Times New Roman"/>
          <w:szCs w:val="24"/>
        </w:rPr>
        <w:tab/>
      </w:r>
      <w:r w:rsidRPr="009276B7">
        <w:rPr>
          <w:rFonts w:ascii="Times New Roman" w:hAnsi="Times New Roman"/>
          <w:szCs w:val="24"/>
        </w:rPr>
        <w:tab/>
      </w:r>
      <w:r w:rsidRPr="009276B7">
        <w:rPr>
          <w:rFonts w:ascii="Times New Roman" w:hAnsi="Times New Roman"/>
          <w:szCs w:val="24"/>
        </w:rPr>
        <w:tab/>
        <w:t>(D)</w:t>
      </w:r>
      <w:r w:rsidRPr="009276B7">
        <w:rPr>
          <w:rFonts w:ascii="Times New Roman" w:hAnsi="Times New Roman"/>
          <w:szCs w:val="24"/>
        </w:rPr>
        <w:tab/>
      </w:r>
      <w:r w:rsidRPr="009276B7" w:rsidR="00596148">
        <w:rPr>
          <w:rFonts w:ascii="Times New Roman" w:hAnsi="Times New Roman"/>
          <w:szCs w:val="24"/>
          <w:u w:val="single"/>
        </w:rPr>
        <w:t>Estimated Time per Response:</w:t>
      </w:r>
      <w:r w:rsidRPr="009276B7">
        <w:rPr>
          <w:rFonts w:ascii="Times New Roman" w:hAnsi="Times New Roman"/>
          <w:szCs w:val="24"/>
        </w:rPr>
        <w:t xml:space="preserve">  3 hours; </w:t>
      </w:r>
      <w:r w:rsidRPr="00030526">
        <w:rPr>
          <w:rFonts w:ascii="Times New Roman" w:hAnsi="Times New Roman"/>
          <w:szCs w:val="24"/>
        </w:rPr>
        <w:t>Total annual hour burden</w:t>
      </w:r>
      <w:r w:rsidRPr="009276B7">
        <w:rPr>
          <w:rFonts w:ascii="Times New Roman" w:hAnsi="Times New Roman"/>
          <w:szCs w:val="24"/>
        </w:rPr>
        <w:t>:</w:t>
      </w:r>
      <w:r w:rsidRPr="009276B7" w:rsidR="00F15C06">
        <w:rPr>
          <w:rFonts w:ascii="Times New Roman" w:hAnsi="Times New Roman"/>
          <w:szCs w:val="24"/>
        </w:rPr>
        <w:t xml:space="preserve"> </w:t>
      </w:r>
      <w:r w:rsidRPr="009276B7">
        <w:rPr>
          <w:rFonts w:ascii="Times New Roman" w:hAnsi="Times New Roman"/>
          <w:szCs w:val="24"/>
        </w:rPr>
        <w:t xml:space="preserve"> </w:t>
      </w:r>
      <w:r w:rsidRPr="009276B7" w:rsidR="00D7198F">
        <w:rPr>
          <w:rFonts w:ascii="Times New Roman" w:hAnsi="Times New Roman"/>
          <w:b/>
          <w:szCs w:val="24"/>
        </w:rPr>
        <w:t>90</w:t>
      </w:r>
      <w:r w:rsidRPr="009276B7" w:rsidR="00666C84">
        <w:rPr>
          <w:rFonts w:ascii="Times New Roman" w:hAnsi="Times New Roman"/>
          <w:b/>
          <w:szCs w:val="24"/>
        </w:rPr>
        <w:t>0</w:t>
      </w:r>
      <w:r w:rsidRPr="009276B7">
        <w:rPr>
          <w:rFonts w:ascii="Times New Roman" w:hAnsi="Times New Roman"/>
          <w:b/>
          <w:szCs w:val="24"/>
        </w:rPr>
        <w:t xml:space="preserve"> hours.</w:t>
      </w:r>
    </w:p>
    <w:p w:rsidR="0071585A" w:rsidRPr="009276B7" w14:paraId="23A4C990" w14:textId="77777777">
      <w:pPr>
        <w:tabs>
          <w:tab w:val="left" w:pos="-720"/>
        </w:tabs>
        <w:suppressAutoHyphens/>
        <w:rPr>
          <w:rFonts w:ascii="Times New Roman" w:hAnsi="Times New Roman"/>
          <w:szCs w:val="24"/>
        </w:rPr>
      </w:pPr>
      <w:r w:rsidRPr="009276B7">
        <w:rPr>
          <w:rFonts w:ascii="Times New Roman" w:hAnsi="Times New Roman"/>
          <w:szCs w:val="24"/>
        </w:rPr>
        <w:tab/>
      </w:r>
      <w:r w:rsidRPr="009276B7">
        <w:rPr>
          <w:rFonts w:ascii="Times New Roman" w:hAnsi="Times New Roman"/>
          <w:szCs w:val="24"/>
        </w:rPr>
        <w:tab/>
      </w:r>
      <w:r w:rsidRPr="009276B7">
        <w:rPr>
          <w:rFonts w:ascii="Times New Roman" w:hAnsi="Times New Roman"/>
          <w:szCs w:val="24"/>
        </w:rPr>
        <w:tab/>
        <w:t>(</w:t>
      </w:r>
      <w:r w:rsidRPr="009276B7" w:rsidR="00B47EC5">
        <w:rPr>
          <w:rFonts w:ascii="Times New Roman" w:hAnsi="Times New Roman"/>
          <w:szCs w:val="24"/>
        </w:rPr>
        <w:t>E</w:t>
      </w:r>
      <w:r w:rsidRPr="009276B7">
        <w:rPr>
          <w:rFonts w:ascii="Times New Roman" w:hAnsi="Times New Roman"/>
          <w:szCs w:val="24"/>
        </w:rPr>
        <w:t xml:space="preserve">) </w:t>
      </w:r>
      <w:r w:rsidRPr="009276B7">
        <w:rPr>
          <w:rFonts w:ascii="Times New Roman" w:hAnsi="Times New Roman"/>
          <w:szCs w:val="24"/>
        </w:rPr>
        <w:tab/>
      </w:r>
      <w:r w:rsidRPr="009276B7">
        <w:rPr>
          <w:rFonts w:ascii="Times New Roman" w:hAnsi="Times New Roman"/>
          <w:szCs w:val="24"/>
          <w:u w:val="single"/>
        </w:rPr>
        <w:t>How the burden was estimated</w:t>
      </w:r>
      <w:r w:rsidRPr="009276B7">
        <w:rPr>
          <w:rFonts w:ascii="Times New Roman" w:hAnsi="Times New Roman"/>
          <w:szCs w:val="24"/>
        </w:rPr>
        <w:t>:  We estimate that the preparation of a specific request for number portability will take a relatively short period of time because the request must simply state:</w:t>
      </w:r>
      <w:r w:rsidRPr="009276B7" w:rsidR="007C38E0">
        <w:rPr>
          <w:rFonts w:ascii="Times New Roman" w:hAnsi="Times New Roman"/>
          <w:szCs w:val="24"/>
        </w:rPr>
        <w:t xml:space="preserve"> </w:t>
      </w:r>
      <w:r w:rsidRPr="009276B7">
        <w:rPr>
          <w:rFonts w:ascii="Times New Roman" w:hAnsi="Times New Roman"/>
          <w:szCs w:val="24"/>
        </w:rPr>
        <w:t xml:space="preserve"> (1) the requester's desire for long-term number portability, and (2) an identification of the switch or area covered by the request.</w:t>
      </w:r>
    </w:p>
    <w:p w:rsidR="0071585A" w:rsidRPr="009276B7" w14:paraId="03D5696A" w14:textId="2DE4CE80">
      <w:pPr>
        <w:tabs>
          <w:tab w:val="left" w:pos="-720"/>
        </w:tabs>
        <w:suppressAutoHyphens/>
        <w:rPr>
          <w:rFonts w:ascii="Times New Roman" w:hAnsi="Times New Roman"/>
          <w:szCs w:val="24"/>
        </w:rPr>
      </w:pPr>
      <w:r w:rsidRPr="009276B7">
        <w:rPr>
          <w:rFonts w:ascii="Times New Roman" w:hAnsi="Times New Roman"/>
          <w:szCs w:val="24"/>
        </w:rPr>
        <w:tab/>
      </w:r>
      <w:r w:rsidRPr="009276B7">
        <w:rPr>
          <w:rFonts w:ascii="Times New Roman" w:hAnsi="Times New Roman"/>
          <w:szCs w:val="24"/>
        </w:rPr>
        <w:tab/>
      </w:r>
      <w:r w:rsidRPr="009276B7">
        <w:rPr>
          <w:rFonts w:ascii="Times New Roman" w:hAnsi="Times New Roman"/>
          <w:szCs w:val="24"/>
        </w:rPr>
        <w:tab/>
        <w:t>(</w:t>
      </w:r>
      <w:r w:rsidRPr="009276B7" w:rsidR="00B47EC5">
        <w:rPr>
          <w:rFonts w:ascii="Times New Roman" w:hAnsi="Times New Roman"/>
          <w:szCs w:val="24"/>
        </w:rPr>
        <w:t>F</w:t>
      </w:r>
      <w:r w:rsidRPr="009276B7">
        <w:rPr>
          <w:rFonts w:ascii="Times New Roman" w:hAnsi="Times New Roman"/>
          <w:szCs w:val="24"/>
        </w:rPr>
        <w:t>)</w:t>
      </w:r>
      <w:r w:rsidRPr="009276B7">
        <w:rPr>
          <w:rFonts w:ascii="Times New Roman" w:hAnsi="Times New Roman"/>
          <w:szCs w:val="24"/>
        </w:rPr>
        <w:tab/>
      </w:r>
      <w:r w:rsidRPr="009276B7">
        <w:rPr>
          <w:rFonts w:ascii="Times New Roman" w:hAnsi="Times New Roman"/>
          <w:szCs w:val="24"/>
          <w:u w:val="single"/>
        </w:rPr>
        <w:t xml:space="preserve">Estimate of </w:t>
      </w:r>
      <w:r w:rsidRPr="009276B7" w:rsidR="00F5697A">
        <w:rPr>
          <w:rFonts w:ascii="Times New Roman" w:hAnsi="Times New Roman"/>
          <w:szCs w:val="24"/>
          <w:u w:val="single"/>
        </w:rPr>
        <w:t xml:space="preserve">total </w:t>
      </w:r>
      <w:r w:rsidRPr="009276B7" w:rsidR="00A8215C">
        <w:rPr>
          <w:rFonts w:ascii="Times New Roman" w:hAnsi="Times New Roman"/>
          <w:szCs w:val="24"/>
          <w:u w:val="single"/>
        </w:rPr>
        <w:t xml:space="preserve">in-house </w:t>
      </w:r>
      <w:r w:rsidRPr="009276B7">
        <w:rPr>
          <w:rFonts w:ascii="Times New Roman" w:hAnsi="Times New Roman"/>
          <w:szCs w:val="24"/>
          <w:u w:val="single"/>
        </w:rPr>
        <w:t>cost to respondent</w:t>
      </w:r>
      <w:r w:rsidRPr="009276B7" w:rsidR="00F5697A">
        <w:rPr>
          <w:rFonts w:ascii="Times New Roman" w:hAnsi="Times New Roman"/>
          <w:szCs w:val="24"/>
          <w:u w:val="single"/>
        </w:rPr>
        <w:t>s</w:t>
      </w:r>
      <w:r w:rsidRPr="009276B7">
        <w:rPr>
          <w:rFonts w:ascii="Times New Roman" w:hAnsi="Times New Roman"/>
          <w:szCs w:val="24"/>
          <w:u w:val="single"/>
        </w:rPr>
        <w:t xml:space="preserve"> for the hour burdens for collection of information</w:t>
      </w:r>
      <w:r w:rsidRPr="009276B7">
        <w:rPr>
          <w:rFonts w:ascii="Times New Roman" w:hAnsi="Times New Roman"/>
          <w:szCs w:val="24"/>
        </w:rPr>
        <w:t>:  $</w:t>
      </w:r>
      <w:r w:rsidR="00921EBF">
        <w:rPr>
          <w:rFonts w:ascii="Times New Roman" w:hAnsi="Times New Roman"/>
          <w:szCs w:val="24"/>
        </w:rPr>
        <w:t>64</w:t>
      </w:r>
      <w:r w:rsidRPr="009276B7" w:rsidR="007C38E0">
        <w:rPr>
          <w:rFonts w:ascii="Times New Roman" w:hAnsi="Times New Roman"/>
          <w:szCs w:val="24"/>
        </w:rPr>
        <w:t>.0</w:t>
      </w:r>
      <w:r w:rsidR="00921EBF">
        <w:rPr>
          <w:rFonts w:ascii="Times New Roman" w:hAnsi="Times New Roman"/>
          <w:szCs w:val="24"/>
        </w:rPr>
        <w:t>6</w:t>
      </w:r>
      <w:r w:rsidRPr="009276B7" w:rsidR="005936BE">
        <w:rPr>
          <w:rFonts w:ascii="Times New Roman" w:hAnsi="Times New Roman"/>
          <w:szCs w:val="24"/>
        </w:rPr>
        <w:t xml:space="preserve"> (comparable to a GS 1</w:t>
      </w:r>
      <w:r w:rsidRPr="009276B7" w:rsidR="00613203">
        <w:rPr>
          <w:rFonts w:ascii="Times New Roman" w:hAnsi="Times New Roman"/>
          <w:szCs w:val="24"/>
        </w:rPr>
        <w:t>3</w:t>
      </w:r>
      <w:r w:rsidRPr="009276B7" w:rsidR="005936BE">
        <w:rPr>
          <w:rFonts w:ascii="Times New Roman" w:hAnsi="Times New Roman"/>
          <w:szCs w:val="24"/>
        </w:rPr>
        <w:t xml:space="preserve">, step </w:t>
      </w:r>
      <w:r w:rsidRPr="009276B7" w:rsidR="00F5697A">
        <w:rPr>
          <w:rFonts w:ascii="Times New Roman" w:hAnsi="Times New Roman"/>
          <w:szCs w:val="24"/>
        </w:rPr>
        <w:t>5</w:t>
      </w:r>
      <w:r w:rsidRPr="009276B7" w:rsidR="005936BE">
        <w:rPr>
          <w:rFonts w:ascii="Times New Roman" w:hAnsi="Times New Roman"/>
          <w:szCs w:val="24"/>
        </w:rPr>
        <w:t xml:space="preserve"> hourly rate</w:t>
      </w:r>
      <w:r>
        <w:rPr>
          <w:rStyle w:val="FootnoteReference"/>
          <w:rFonts w:ascii="Times New Roman" w:hAnsi="Times New Roman"/>
          <w:szCs w:val="24"/>
        </w:rPr>
        <w:footnoteReference w:id="25"/>
      </w:r>
      <w:r w:rsidRPr="009276B7" w:rsidR="005936BE">
        <w:rPr>
          <w:rFonts w:ascii="Times New Roman" w:hAnsi="Times New Roman"/>
          <w:szCs w:val="24"/>
        </w:rPr>
        <w:t>)</w:t>
      </w:r>
      <w:r w:rsidRPr="009276B7">
        <w:rPr>
          <w:rFonts w:ascii="Times New Roman" w:hAnsi="Times New Roman"/>
          <w:szCs w:val="24"/>
        </w:rPr>
        <w:t xml:space="preserve"> x 3 hours</w:t>
      </w:r>
      <w:r w:rsidRPr="009276B7" w:rsidR="00F5697A">
        <w:rPr>
          <w:rFonts w:ascii="Times New Roman" w:hAnsi="Times New Roman"/>
          <w:szCs w:val="24"/>
        </w:rPr>
        <w:t xml:space="preserve"> x 300 respondents</w:t>
      </w:r>
      <w:r w:rsidRPr="009276B7">
        <w:rPr>
          <w:rFonts w:ascii="Times New Roman" w:hAnsi="Times New Roman"/>
          <w:szCs w:val="24"/>
        </w:rPr>
        <w:t xml:space="preserve"> = $</w:t>
      </w:r>
      <w:r w:rsidR="00921EBF">
        <w:rPr>
          <w:rFonts w:ascii="Times New Roman" w:hAnsi="Times New Roman"/>
          <w:szCs w:val="24"/>
        </w:rPr>
        <w:t>57,654</w:t>
      </w:r>
      <w:r w:rsidRPr="009276B7" w:rsidR="00F0253D">
        <w:rPr>
          <w:rFonts w:ascii="Times New Roman" w:hAnsi="Times New Roman"/>
          <w:szCs w:val="24"/>
        </w:rPr>
        <w:t>.00</w:t>
      </w:r>
      <w:r w:rsidRPr="009276B7" w:rsidR="00F5697A">
        <w:rPr>
          <w:rFonts w:ascii="Times New Roman" w:hAnsi="Times New Roman"/>
          <w:szCs w:val="24"/>
        </w:rPr>
        <w:t>.</w:t>
      </w:r>
      <w:r w:rsidRPr="009276B7">
        <w:rPr>
          <w:rFonts w:ascii="Times New Roman" w:hAnsi="Times New Roman"/>
          <w:szCs w:val="24"/>
        </w:rPr>
        <w:tab/>
      </w:r>
      <w:r w:rsidRPr="009276B7">
        <w:rPr>
          <w:rFonts w:ascii="Times New Roman" w:hAnsi="Times New Roman"/>
          <w:szCs w:val="24"/>
        </w:rPr>
        <w:tab/>
      </w:r>
      <w:r w:rsidRPr="009276B7">
        <w:rPr>
          <w:rFonts w:ascii="Times New Roman" w:hAnsi="Times New Roman"/>
          <w:szCs w:val="24"/>
        </w:rPr>
        <w:tab/>
      </w:r>
      <w:r w:rsidRPr="009276B7">
        <w:rPr>
          <w:rFonts w:ascii="Times New Roman" w:hAnsi="Times New Roman"/>
          <w:szCs w:val="24"/>
        </w:rPr>
        <w:tab/>
      </w:r>
      <w:r w:rsidRPr="009276B7">
        <w:rPr>
          <w:rFonts w:ascii="Times New Roman" w:hAnsi="Times New Roman"/>
          <w:szCs w:val="24"/>
        </w:rPr>
        <w:tab/>
      </w:r>
      <w:r w:rsidRPr="009276B7">
        <w:rPr>
          <w:rFonts w:ascii="Times New Roman" w:hAnsi="Times New Roman"/>
          <w:szCs w:val="24"/>
        </w:rPr>
        <w:tab/>
      </w:r>
      <w:r w:rsidRPr="009276B7">
        <w:rPr>
          <w:rFonts w:ascii="Times New Roman" w:hAnsi="Times New Roman"/>
          <w:szCs w:val="24"/>
        </w:rPr>
        <w:tab/>
      </w:r>
      <w:r w:rsidRPr="009276B7">
        <w:rPr>
          <w:rFonts w:ascii="Times New Roman" w:hAnsi="Times New Roman"/>
          <w:szCs w:val="24"/>
        </w:rPr>
        <w:tab/>
      </w:r>
      <w:r w:rsidRPr="009276B7">
        <w:rPr>
          <w:rFonts w:ascii="Times New Roman" w:hAnsi="Times New Roman"/>
          <w:szCs w:val="24"/>
        </w:rPr>
        <w:tab/>
      </w:r>
      <w:r w:rsidRPr="009276B7">
        <w:rPr>
          <w:rFonts w:ascii="Times New Roman" w:hAnsi="Times New Roman"/>
          <w:szCs w:val="24"/>
        </w:rPr>
        <w:tab/>
      </w:r>
    </w:p>
    <w:p w:rsidR="0071585A" w:rsidRPr="009276B7" w14:paraId="2D39C1A7" w14:textId="77777777">
      <w:pPr>
        <w:tabs>
          <w:tab w:val="left" w:pos="-720"/>
        </w:tabs>
        <w:suppressAutoHyphens/>
        <w:rPr>
          <w:rFonts w:ascii="Times New Roman" w:hAnsi="Times New Roman"/>
          <w:szCs w:val="24"/>
        </w:rPr>
      </w:pPr>
      <w:r w:rsidRPr="009276B7">
        <w:rPr>
          <w:rFonts w:ascii="Times New Roman" w:hAnsi="Times New Roman"/>
          <w:szCs w:val="24"/>
        </w:rPr>
        <w:tab/>
      </w:r>
      <w:r w:rsidRPr="009276B7">
        <w:rPr>
          <w:rFonts w:ascii="Times New Roman" w:hAnsi="Times New Roman"/>
          <w:szCs w:val="24"/>
        </w:rPr>
        <w:tab/>
        <w:t>(</w:t>
      </w:r>
      <w:r w:rsidRPr="009276B7" w:rsidR="00D7198F">
        <w:rPr>
          <w:rFonts w:ascii="Times New Roman" w:hAnsi="Times New Roman"/>
          <w:szCs w:val="24"/>
        </w:rPr>
        <w:t>2</w:t>
      </w:r>
      <w:r w:rsidRPr="009276B7">
        <w:rPr>
          <w:rFonts w:ascii="Times New Roman" w:hAnsi="Times New Roman"/>
          <w:szCs w:val="24"/>
        </w:rPr>
        <w:t>)</w:t>
      </w:r>
      <w:r w:rsidRPr="009276B7">
        <w:rPr>
          <w:rFonts w:ascii="Times New Roman" w:hAnsi="Times New Roman"/>
          <w:szCs w:val="24"/>
        </w:rPr>
        <w:tab/>
        <w:t xml:space="preserve">As stated above, the states will have the option to aggregate switch requests.  The Commission </w:t>
      </w:r>
      <w:r w:rsidRPr="009276B7" w:rsidR="00DF11E2">
        <w:rPr>
          <w:rFonts w:ascii="Times New Roman" w:hAnsi="Times New Roman"/>
          <w:szCs w:val="24"/>
        </w:rPr>
        <w:t>believes</w:t>
      </w:r>
      <w:r w:rsidRPr="009276B7">
        <w:rPr>
          <w:rFonts w:ascii="Times New Roman" w:hAnsi="Times New Roman"/>
          <w:szCs w:val="24"/>
        </w:rPr>
        <w:t xml:space="preserve"> that these figures will be useful in accessing implementation of number portability.</w:t>
      </w:r>
    </w:p>
    <w:p w:rsidR="0071585A" w:rsidRPr="009276B7" w14:paraId="1BC6FBB6" w14:textId="77777777">
      <w:pPr>
        <w:tabs>
          <w:tab w:val="left" w:pos="-720"/>
        </w:tabs>
        <w:suppressAutoHyphens/>
        <w:rPr>
          <w:rFonts w:ascii="Times New Roman" w:hAnsi="Times New Roman"/>
          <w:szCs w:val="24"/>
        </w:rPr>
      </w:pPr>
      <w:r w:rsidRPr="009276B7">
        <w:rPr>
          <w:rFonts w:ascii="Times New Roman" w:hAnsi="Times New Roman"/>
          <w:szCs w:val="24"/>
        </w:rPr>
        <w:tab/>
      </w:r>
      <w:r w:rsidRPr="009276B7">
        <w:rPr>
          <w:rFonts w:ascii="Times New Roman" w:hAnsi="Times New Roman"/>
          <w:szCs w:val="24"/>
        </w:rPr>
        <w:tab/>
      </w:r>
      <w:r w:rsidRPr="009276B7">
        <w:rPr>
          <w:rFonts w:ascii="Times New Roman" w:hAnsi="Times New Roman"/>
          <w:szCs w:val="24"/>
        </w:rPr>
        <w:tab/>
        <w:t>(A)</w:t>
      </w:r>
      <w:r w:rsidRPr="009276B7">
        <w:rPr>
          <w:rFonts w:ascii="Times New Roman" w:hAnsi="Times New Roman"/>
          <w:szCs w:val="24"/>
        </w:rPr>
        <w:tab/>
      </w:r>
      <w:r w:rsidRPr="009276B7">
        <w:rPr>
          <w:rFonts w:ascii="Times New Roman" w:hAnsi="Times New Roman"/>
          <w:szCs w:val="24"/>
          <w:u w:val="single"/>
        </w:rPr>
        <w:t>Number of respondents</w:t>
      </w:r>
      <w:r w:rsidRPr="009276B7">
        <w:rPr>
          <w:rFonts w:ascii="Times New Roman" w:hAnsi="Times New Roman"/>
          <w:szCs w:val="24"/>
        </w:rPr>
        <w:t xml:space="preserve">: </w:t>
      </w:r>
      <w:r w:rsidRPr="009276B7" w:rsidR="00F0253D">
        <w:rPr>
          <w:rFonts w:ascii="Times New Roman" w:hAnsi="Times New Roman"/>
          <w:szCs w:val="24"/>
        </w:rPr>
        <w:t xml:space="preserve"> </w:t>
      </w:r>
      <w:r w:rsidRPr="009276B7">
        <w:rPr>
          <w:rFonts w:ascii="Times New Roman" w:hAnsi="Times New Roman"/>
          <w:szCs w:val="24"/>
        </w:rPr>
        <w:t>50</w:t>
      </w:r>
      <w:r w:rsidRPr="009276B7" w:rsidR="00B706DA">
        <w:rPr>
          <w:rFonts w:ascii="Times New Roman" w:hAnsi="Times New Roman"/>
          <w:szCs w:val="24"/>
        </w:rPr>
        <w:t xml:space="preserve">.  </w:t>
      </w:r>
    </w:p>
    <w:p w:rsidR="0071585A" w:rsidRPr="009276B7" w14:paraId="3BB33901" w14:textId="77777777">
      <w:pPr>
        <w:tabs>
          <w:tab w:val="left" w:pos="-720"/>
        </w:tabs>
        <w:suppressAutoHyphens/>
        <w:rPr>
          <w:rFonts w:ascii="Times New Roman" w:hAnsi="Times New Roman"/>
          <w:szCs w:val="24"/>
        </w:rPr>
      </w:pPr>
      <w:r w:rsidRPr="009276B7">
        <w:rPr>
          <w:rFonts w:ascii="Times New Roman" w:hAnsi="Times New Roman"/>
          <w:szCs w:val="24"/>
        </w:rPr>
        <w:tab/>
      </w:r>
      <w:r w:rsidRPr="009276B7">
        <w:rPr>
          <w:rFonts w:ascii="Times New Roman" w:hAnsi="Times New Roman"/>
          <w:szCs w:val="24"/>
        </w:rPr>
        <w:tab/>
      </w:r>
      <w:r w:rsidRPr="009276B7">
        <w:rPr>
          <w:rFonts w:ascii="Times New Roman" w:hAnsi="Times New Roman"/>
          <w:szCs w:val="24"/>
        </w:rPr>
        <w:tab/>
        <w:t>(B)</w:t>
      </w:r>
      <w:r w:rsidRPr="009276B7">
        <w:rPr>
          <w:rFonts w:ascii="Times New Roman" w:hAnsi="Times New Roman"/>
          <w:szCs w:val="24"/>
        </w:rPr>
        <w:tab/>
      </w:r>
      <w:r w:rsidRPr="009276B7">
        <w:rPr>
          <w:rFonts w:ascii="Times New Roman" w:hAnsi="Times New Roman"/>
          <w:szCs w:val="24"/>
          <w:u w:val="single"/>
        </w:rPr>
        <w:t>Frequency of Response</w:t>
      </w:r>
      <w:r w:rsidRPr="009276B7">
        <w:rPr>
          <w:rFonts w:ascii="Times New Roman" w:hAnsi="Times New Roman"/>
          <w:szCs w:val="24"/>
        </w:rPr>
        <w:t xml:space="preserve">: </w:t>
      </w:r>
      <w:r w:rsidRPr="009276B7" w:rsidR="00F0253D">
        <w:rPr>
          <w:rFonts w:ascii="Times New Roman" w:hAnsi="Times New Roman"/>
          <w:szCs w:val="24"/>
        </w:rPr>
        <w:t xml:space="preserve"> </w:t>
      </w:r>
      <w:r w:rsidRPr="009276B7">
        <w:rPr>
          <w:rFonts w:ascii="Times New Roman" w:hAnsi="Times New Roman"/>
          <w:szCs w:val="24"/>
        </w:rPr>
        <w:t>Once per geographic area</w:t>
      </w:r>
      <w:r w:rsidRPr="009276B7" w:rsidR="008B5484">
        <w:rPr>
          <w:rFonts w:ascii="Times New Roman" w:hAnsi="Times New Roman"/>
          <w:szCs w:val="24"/>
        </w:rPr>
        <w:t xml:space="preserve"> (reporting requirement).</w:t>
      </w:r>
    </w:p>
    <w:p w:rsidR="00B47EC5" w:rsidRPr="009276B7" w14:paraId="659EA491" w14:textId="77777777">
      <w:pPr>
        <w:tabs>
          <w:tab w:val="left" w:pos="-720"/>
        </w:tabs>
        <w:suppressAutoHyphens/>
        <w:rPr>
          <w:rFonts w:ascii="Times New Roman" w:hAnsi="Times New Roman"/>
          <w:szCs w:val="24"/>
        </w:rPr>
      </w:pPr>
      <w:r w:rsidRPr="009276B7">
        <w:rPr>
          <w:rFonts w:ascii="Times New Roman" w:hAnsi="Times New Roman"/>
          <w:szCs w:val="24"/>
        </w:rPr>
        <w:tab/>
      </w:r>
      <w:r w:rsidRPr="009276B7">
        <w:rPr>
          <w:rFonts w:ascii="Times New Roman" w:hAnsi="Times New Roman"/>
          <w:szCs w:val="24"/>
        </w:rPr>
        <w:tab/>
      </w:r>
      <w:r w:rsidRPr="009276B7">
        <w:rPr>
          <w:rFonts w:ascii="Times New Roman" w:hAnsi="Times New Roman"/>
          <w:szCs w:val="24"/>
        </w:rPr>
        <w:tab/>
        <w:t>(C)</w:t>
      </w:r>
      <w:r w:rsidRPr="009276B7">
        <w:rPr>
          <w:rFonts w:ascii="Times New Roman" w:hAnsi="Times New Roman"/>
          <w:szCs w:val="24"/>
        </w:rPr>
        <w:tab/>
      </w:r>
      <w:r w:rsidRPr="009276B7">
        <w:rPr>
          <w:rFonts w:ascii="Times New Roman" w:hAnsi="Times New Roman"/>
          <w:szCs w:val="24"/>
          <w:u w:val="single"/>
        </w:rPr>
        <w:t>Total number of responses annually</w:t>
      </w:r>
      <w:r w:rsidRPr="009276B7">
        <w:rPr>
          <w:rFonts w:ascii="Times New Roman" w:hAnsi="Times New Roman"/>
          <w:szCs w:val="24"/>
        </w:rPr>
        <w:t xml:space="preserve">: </w:t>
      </w:r>
      <w:r w:rsidRPr="009276B7" w:rsidR="00F0253D">
        <w:rPr>
          <w:rFonts w:ascii="Times New Roman" w:hAnsi="Times New Roman"/>
          <w:szCs w:val="24"/>
        </w:rPr>
        <w:t xml:space="preserve"> </w:t>
      </w:r>
      <w:r w:rsidRPr="009276B7">
        <w:rPr>
          <w:rFonts w:ascii="Times New Roman" w:hAnsi="Times New Roman"/>
          <w:szCs w:val="24"/>
        </w:rPr>
        <w:t>50.</w:t>
      </w:r>
    </w:p>
    <w:p w:rsidR="0071585A" w:rsidRPr="009276B7" w14:paraId="121C3A47" w14:textId="77777777">
      <w:pPr>
        <w:tabs>
          <w:tab w:val="left" w:pos="-720"/>
        </w:tabs>
        <w:suppressAutoHyphens/>
        <w:rPr>
          <w:rFonts w:ascii="Times New Roman" w:hAnsi="Times New Roman"/>
          <w:szCs w:val="24"/>
        </w:rPr>
      </w:pPr>
      <w:r w:rsidRPr="009276B7">
        <w:rPr>
          <w:rFonts w:ascii="Times New Roman" w:hAnsi="Times New Roman"/>
          <w:szCs w:val="24"/>
        </w:rPr>
        <w:tab/>
      </w:r>
      <w:r w:rsidRPr="009276B7">
        <w:rPr>
          <w:rFonts w:ascii="Times New Roman" w:hAnsi="Times New Roman"/>
          <w:szCs w:val="24"/>
        </w:rPr>
        <w:tab/>
      </w:r>
      <w:r w:rsidRPr="009276B7">
        <w:rPr>
          <w:rFonts w:ascii="Times New Roman" w:hAnsi="Times New Roman"/>
          <w:szCs w:val="24"/>
        </w:rPr>
        <w:tab/>
        <w:t>(D)</w:t>
      </w:r>
      <w:r w:rsidRPr="009276B7">
        <w:rPr>
          <w:rFonts w:ascii="Times New Roman" w:hAnsi="Times New Roman"/>
          <w:szCs w:val="24"/>
        </w:rPr>
        <w:tab/>
      </w:r>
      <w:r w:rsidRPr="009276B7" w:rsidR="00596148">
        <w:rPr>
          <w:rFonts w:ascii="Times New Roman" w:hAnsi="Times New Roman"/>
          <w:szCs w:val="24"/>
          <w:u w:val="single"/>
        </w:rPr>
        <w:t>Estimated Time per Response:</w:t>
      </w:r>
      <w:r w:rsidRPr="009276B7">
        <w:rPr>
          <w:rFonts w:ascii="Times New Roman" w:hAnsi="Times New Roman"/>
          <w:szCs w:val="24"/>
        </w:rPr>
        <w:t xml:space="preserve">  3 hours; Total annual hour burden:  </w:t>
      </w:r>
      <w:r w:rsidRPr="009276B7">
        <w:rPr>
          <w:rFonts w:ascii="Times New Roman" w:hAnsi="Times New Roman"/>
          <w:b/>
          <w:szCs w:val="24"/>
        </w:rPr>
        <w:t>150 hours.</w:t>
      </w:r>
    </w:p>
    <w:p w:rsidR="0071585A" w:rsidRPr="009276B7" w14:paraId="5FF462F9" w14:textId="77777777">
      <w:pPr>
        <w:tabs>
          <w:tab w:val="left" w:pos="-720"/>
        </w:tabs>
        <w:suppressAutoHyphens/>
        <w:rPr>
          <w:rFonts w:ascii="Times New Roman" w:hAnsi="Times New Roman"/>
          <w:szCs w:val="24"/>
        </w:rPr>
      </w:pPr>
      <w:r w:rsidRPr="009276B7">
        <w:rPr>
          <w:rFonts w:ascii="Times New Roman" w:hAnsi="Times New Roman"/>
          <w:szCs w:val="24"/>
        </w:rPr>
        <w:tab/>
      </w:r>
      <w:r w:rsidRPr="009276B7">
        <w:rPr>
          <w:rFonts w:ascii="Times New Roman" w:hAnsi="Times New Roman"/>
          <w:szCs w:val="24"/>
        </w:rPr>
        <w:tab/>
      </w:r>
      <w:r w:rsidRPr="009276B7">
        <w:rPr>
          <w:rFonts w:ascii="Times New Roman" w:hAnsi="Times New Roman"/>
          <w:szCs w:val="24"/>
        </w:rPr>
        <w:tab/>
        <w:t>(</w:t>
      </w:r>
      <w:r w:rsidRPr="009276B7" w:rsidR="00B47EC5">
        <w:rPr>
          <w:rFonts w:ascii="Times New Roman" w:hAnsi="Times New Roman"/>
          <w:szCs w:val="24"/>
        </w:rPr>
        <w:t>E</w:t>
      </w:r>
      <w:r w:rsidRPr="009276B7">
        <w:rPr>
          <w:rFonts w:ascii="Times New Roman" w:hAnsi="Times New Roman"/>
          <w:szCs w:val="24"/>
        </w:rPr>
        <w:t>)</w:t>
      </w:r>
      <w:r w:rsidRPr="009276B7">
        <w:rPr>
          <w:rFonts w:ascii="Times New Roman" w:hAnsi="Times New Roman"/>
          <w:szCs w:val="24"/>
        </w:rPr>
        <w:tab/>
      </w:r>
      <w:r w:rsidRPr="009276B7">
        <w:rPr>
          <w:rFonts w:ascii="Times New Roman" w:hAnsi="Times New Roman"/>
          <w:szCs w:val="24"/>
          <w:u w:val="single"/>
        </w:rPr>
        <w:t>How the burden was estimated</w:t>
      </w:r>
      <w:r w:rsidRPr="009276B7">
        <w:rPr>
          <w:rFonts w:ascii="Times New Roman" w:hAnsi="Times New Roman"/>
          <w:szCs w:val="24"/>
        </w:rPr>
        <w:t>:  We estimate that the tabulation of requests for portability for each switch will take a relatively s</w:t>
      </w:r>
      <w:r w:rsidRPr="009276B7" w:rsidR="00D7198F">
        <w:rPr>
          <w:rFonts w:ascii="Times New Roman" w:hAnsi="Times New Roman"/>
          <w:szCs w:val="24"/>
        </w:rPr>
        <w:t>hort period of time because the states</w:t>
      </w:r>
      <w:r w:rsidRPr="009276B7">
        <w:rPr>
          <w:rFonts w:ascii="Times New Roman" w:hAnsi="Times New Roman"/>
          <w:szCs w:val="24"/>
        </w:rPr>
        <w:t xml:space="preserve"> can obtain statistics from carriers which are r</w:t>
      </w:r>
      <w:r w:rsidRPr="009276B7" w:rsidR="00D7198F">
        <w:rPr>
          <w:rFonts w:ascii="Times New Roman" w:hAnsi="Times New Roman"/>
          <w:szCs w:val="24"/>
        </w:rPr>
        <w:t>equired to provide these lists</w:t>
      </w:r>
      <w:r w:rsidRPr="009276B7">
        <w:rPr>
          <w:rFonts w:ascii="Times New Roman" w:hAnsi="Times New Roman"/>
          <w:szCs w:val="24"/>
        </w:rPr>
        <w:t xml:space="preserve"> to anyone who asks for the information.</w:t>
      </w:r>
    </w:p>
    <w:p w:rsidR="0071585A" w:rsidRPr="009276B7" w14:paraId="3D85D89A" w14:textId="232907A8">
      <w:pPr>
        <w:tabs>
          <w:tab w:val="left" w:pos="-720"/>
        </w:tabs>
        <w:suppressAutoHyphens/>
        <w:rPr>
          <w:rFonts w:ascii="Times New Roman" w:hAnsi="Times New Roman"/>
          <w:szCs w:val="24"/>
        </w:rPr>
      </w:pPr>
      <w:r w:rsidRPr="009276B7">
        <w:rPr>
          <w:rFonts w:ascii="Times New Roman" w:hAnsi="Times New Roman"/>
          <w:szCs w:val="24"/>
        </w:rPr>
        <w:tab/>
      </w:r>
      <w:r w:rsidRPr="009276B7">
        <w:rPr>
          <w:rFonts w:ascii="Times New Roman" w:hAnsi="Times New Roman"/>
          <w:szCs w:val="24"/>
        </w:rPr>
        <w:tab/>
      </w:r>
      <w:r w:rsidRPr="009276B7">
        <w:rPr>
          <w:rFonts w:ascii="Times New Roman" w:hAnsi="Times New Roman"/>
          <w:szCs w:val="24"/>
        </w:rPr>
        <w:tab/>
        <w:t>(</w:t>
      </w:r>
      <w:r w:rsidRPr="009276B7" w:rsidR="00B47EC5">
        <w:rPr>
          <w:rFonts w:ascii="Times New Roman" w:hAnsi="Times New Roman"/>
          <w:szCs w:val="24"/>
        </w:rPr>
        <w:t>F</w:t>
      </w:r>
      <w:r w:rsidRPr="009276B7">
        <w:rPr>
          <w:rFonts w:ascii="Times New Roman" w:hAnsi="Times New Roman"/>
          <w:szCs w:val="24"/>
        </w:rPr>
        <w:t>)</w:t>
      </w:r>
      <w:r w:rsidRPr="009276B7">
        <w:rPr>
          <w:rFonts w:ascii="Times New Roman" w:hAnsi="Times New Roman"/>
          <w:szCs w:val="24"/>
        </w:rPr>
        <w:tab/>
      </w:r>
      <w:r w:rsidRPr="009276B7">
        <w:rPr>
          <w:rFonts w:ascii="Times New Roman" w:hAnsi="Times New Roman"/>
          <w:szCs w:val="24"/>
          <w:u w:val="single"/>
        </w:rPr>
        <w:t xml:space="preserve">Estimate of </w:t>
      </w:r>
      <w:r w:rsidRPr="009276B7" w:rsidR="00F5697A">
        <w:rPr>
          <w:rFonts w:ascii="Times New Roman" w:hAnsi="Times New Roman"/>
          <w:szCs w:val="24"/>
          <w:u w:val="single"/>
        </w:rPr>
        <w:t xml:space="preserve">total </w:t>
      </w:r>
      <w:r w:rsidRPr="009276B7" w:rsidR="00A8215C">
        <w:rPr>
          <w:rFonts w:ascii="Times New Roman" w:hAnsi="Times New Roman"/>
          <w:szCs w:val="24"/>
          <w:u w:val="single"/>
        </w:rPr>
        <w:t xml:space="preserve">in-house </w:t>
      </w:r>
      <w:r w:rsidRPr="009276B7">
        <w:rPr>
          <w:rFonts w:ascii="Times New Roman" w:hAnsi="Times New Roman"/>
          <w:szCs w:val="24"/>
          <w:u w:val="single"/>
        </w:rPr>
        <w:t>cost to respondent</w:t>
      </w:r>
      <w:r w:rsidRPr="009276B7" w:rsidR="00F5697A">
        <w:rPr>
          <w:rFonts w:ascii="Times New Roman" w:hAnsi="Times New Roman"/>
          <w:szCs w:val="24"/>
          <w:u w:val="single"/>
        </w:rPr>
        <w:t>s</w:t>
      </w:r>
      <w:r w:rsidRPr="009276B7">
        <w:rPr>
          <w:rFonts w:ascii="Times New Roman" w:hAnsi="Times New Roman"/>
          <w:szCs w:val="24"/>
          <w:u w:val="single"/>
        </w:rPr>
        <w:t xml:space="preserve"> for the hour burdens for collection of information</w:t>
      </w:r>
      <w:r w:rsidRPr="009276B7">
        <w:rPr>
          <w:rFonts w:ascii="Times New Roman" w:hAnsi="Times New Roman"/>
          <w:szCs w:val="24"/>
        </w:rPr>
        <w:t>:  $</w:t>
      </w:r>
      <w:r w:rsidR="00921EBF">
        <w:rPr>
          <w:rFonts w:ascii="Times New Roman" w:hAnsi="Times New Roman"/>
          <w:szCs w:val="24"/>
        </w:rPr>
        <w:t>64</w:t>
      </w:r>
      <w:r w:rsidRPr="009276B7" w:rsidR="007C38E0">
        <w:rPr>
          <w:rFonts w:ascii="Times New Roman" w:hAnsi="Times New Roman"/>
          <w:szCs w:val="24"/>
        </w:rPr>
        <w:t>.0</w:t>
      </w:r>
      <w:r w:rsidR="00921EBF">
        <w:rPr>
          <w:rFonts w:ascii="Times New Roman" w:hAnsi="Times New Roman"/>
          <w:szCs w:val="24"/>
        </w:rPr>
        <w:t>6</w:t>
      </w:r>
      <w:r w:rsidRPr="009276B7" w:rsidR="0025063D">
        <w:rPr>
          <w:rFonts w:ascii="Times New Roman" w:hAnsi="Times New Roman"/>
          <w:szCs w:val="24"/>
        </w:rPr>
        <w:t xml:space="preserve"> </w:t>
      </w:r>
      <w:r w:rsidRPr="009276B7" w:rsidR="005936BE">
        <w:rPr>
          <w:rFonts w:ascii="Times New Roman" w:hAnsi="Times New Roman"/>
          <w:szCs w:val="24"/>
        </w:rPr>
        <w:t>(comparable to a GS 1</w:t>
      </w:r>
      <w:r w:rsidRPr="009276B7" w:rsidR="00613203">
        <w:rPr>
          <w:rFonts w:ascii="Times New Roman" w:hAnsi="Times New Roman"/>
          <w:szCs w:val="24"/>
        </w:rPr>
        <w:t>3</w:t>
      </w:r>
      <w:r w:rsidRPr="009276B7" w:rsidR="005936BE">
        <w:rPr>
          <w:rFonts w:ascii="Times New Roman" w:hAnsi="Times New Roman"/>
          <w:szCs w:val="24"/>
        </w:rPr>
        <w:t xml:space="preserve">, step </w:t>
      </w:r>
      <w:r w:rsidRPr="009276B7" w:rsidR="0025063D">
        <w:rPr>
          <w:rFonts w:ascii="Times New Roman" w:hAnsi="Times New Roman"/>
          <w:szCs w:val="24"/>
        </w:rPr>
        <w:t>5</w:t>
      </w:r>
      <w:r w:rsidRPr="009276B7" w:rsidR="005936BE">
        <w:rPr>
          <w:rFonts w:ascii="Times New Roman" w:hAnsi="Times New Roman"/>
          <w:szCs w:val="24"/>
        </w:rPr>
        <w:t xml:space="preserve"> hourly rate)</w:t>
      </w:r>
      <w:r w:rsidRPr="009276B7">
        <w:rPr>
          <w:rFonts w:ascii="Times New Roman" w:hAnsi="Times New Roman"/>
          <w:szCs w:val="24"/>
        </w:rPr>
        <w:t xml:space="preserve"> x 3 hours </w:t>
      </w:r>
      <w:r w:rsidRPr="009276B7" w:rsidR="00F5697A">
        <w:rPr>
          <w:rFonts w:ascii="Times New Roman" w:hAnsi="Times New Roman"/>
          <w:szCs w:val="24"/>
        </w:rPr>
        <w:t xml:space="preserve">x 50 respondents </w:t>
      </w:r>
      <w:r w:rsidRPr="009276B7">
        <w:rPr>
          <w:rFonts w:ascii="Times New Roman" w:hAnsi="Times New Roman"/>
          <w:szCs w:val="24"/>
        </w:rPr>
        <w:t>= $</w:t>
      </w:r>
      <w:r w:rsidR="00921EBF">
        <w:rPr>
          <w:rFonts w:ascii="Times New Roman" w:hAnsi="Times New Roman"/>
          <w:szCs w:val="24"/>
        </w:rPr>
        <w:t>9,609.00</w:t>
      </w:r>
      <w:r w:rsidRPr="009276B7" w:rsidR="00E042B5">
        <w:rPr>
          <w:rFonts w:ascii="Times New Roman" w:hAnsi="Times New Roman"/>
          <w:szCs w:val="24"/>
        </w:rPr>
        <w:t>.</w:t>
      </w:r>
      <w:r w:rsidRPr="009276B7">
        <w:rPr>
          <w:rFonts w:ascii="Times New Roman" w:hAnsi="Times New Roman"/>
          <w:szCs w:val="24"/>
        </w:rPr>
        <w:t xml:space="preserve">   </w:t>
      </w:r>
      <w:r w:rsidRPr="009276B7">
        <w:rPr>
          <w:rFonts w:ascii="Times New Roman" w:hAnsi="Times New Roman"/>
          <w:szCs w:val="24"/>
        </w:rPr>
        <w:tab/>
      </w:r>
      <w:r w:rsidRPr="009276B7">
        <w:rPr>
          <w:rFonts w:ascii="Times New Roman" w:hAnsi="Times New Roman"/>
          <w:szCs w:val="24"/>
        </w:rPr>
        <w:tab/>
      </w:r>
    </w:p>
    <w:p w:rsidR="0071585A" w:rsidRPr="009276B7" w:rsidP="00D4503F" w14:paraId="3BB6829A" w14:textId="59A88212">
      <w:pPr>
        <w:tabs>
          <w:tab w:val="left" w:pos="-720"/>
        </w:tabs>
        <w:suppressAutoHyphens/>
        <w:rPr>
          <w:rFonts w:ascii="Times New Roman" w:hAnsi="Times New Roman"/>
          <w:szCs w:val="24"/>
        </w:rPr>
      </w:pPr>
    </w:p>
    <w:p w:rsidR="0071585A" w:rsidRPr="009276B7" w14:paraId="63BD2DC7" w14:textId="77777777">
      <w:pPr>
        <w:tabs>
          <w:tab w:val="left" w:pos="-720"/>
        </w:tabs>
        <w:suppressAutoHyphens/>
        <w:rPr>
          <w:rFonts w:ascii="Times New Roman" w:hAnsi="Times New Roman"/>
          <w:szCs w:val="24"/>
        </w:rPr>
      </w:pPr>
    </w:p>
    <w:p w:rsidR="00C62DC2" w:rsidRPr="009276B7" w14:paraId="6B921158" w14:textId="3092E2B2">
      <w:pPr>
        <w:tabs>
          <w:tab w:val="left" w:pos="-720"/>
        </w:tabs>
        <w:suppressAutoHyphens/>
        <w:rPr>
          <w:rFonts w:ascii="Times New Roman" w:hAnsi="Times New Roman"/>
          <w:szCs w:val="24"/>
        </w:rPr>
      </w:pPr>
      <w:r w:rsidRPr="009276B7">
        <w:rPr>
          <w:rFonts w:ascii="Times New Roman" w:hAnsi="Times New Roman"/>
          <w:szCs w:val="24"/>
        </w:rPr>
        <w:tab/>
      </w:r>
      <w:r w:rsidRPr="009276B7">
        <w:rPr>
          <w:rFonts w:ascii="Times New Roman" w:hAnsi="Times New Roman"/>
          <w:szCs w:val="24"/>
        </w:rPr>
        <w:tab/>
      </w:r>
      <w:r w:rsidRPr="009276B7" w:rsidR="00D4503F">
        <w:rPr>
          <w:rFonts w:ascii="Times New Roman" w:hAnsi="Times New Roman"/>
          <w:szCs w:val="24"/>
        </w:rPr>
        <w:t>b</w:t>
      </w:r>
      <w:r w:rsidRPr="009276B7">
        <w:rPr>
          <w:rFonts w:ascii="Times New Roman" w:hAnsi="Times New Roman"/>
          <w:szCs w:val="24"/>
        </w:rPr>
        <w:t>.</w:t>
      </w:r>
      <w:r w:rsidRPr="009276B7">
        <w:rPr>
          <w:rFonts w:ascii="Times New Roman" w:hAnsi="Times New Roman"/>
          <w:szCs w:val="24"/>
        </w:rPr>
        <w:tab/>
      </w:r>
      <w:r w:rsidRPr="009276B7" w:rsidR="0071585A">
        <w:rPr>
          <w:rFonts w:ascii="Times New Roman" w:hAnsi="Times New Roman"/>
          <w:szCs w:val="24"/>
          <w:u w:val="single"/>
        </w:rPr>
        <w:t>Tariffs and Cost Support</w:t>
      </w:r>
      <w:r w:rsidRPr="009276B7" w:rsidR="00596148">
        <w:rPr>
          <w:rFonts w:ascii="Times New Roman" w:hAnsi="Times New Roman"/>
          <w:szCs w:val="24"/>
        </w:rPr>
        <w:t>:</w:t>
      </w:r>
    </w:p>
    <w:p w:rsidR="0071585A" w:rsidRPr="009276B7" w14:paraId="5DB045F1" w14:textId="77777777">
      <w:pPr>
        <w:tabs>
          <w:tab w:val="left" w:pos="-720"/>
        </w:tabs>
        <w:suppressAutoHyphens/>
        <w:rPr>
          <w:rFonts w:ascii="Times New Roman" w:hAnsi="Times New Roman"/>
          <w:szCs w:val="24"/>
        </w:rPr>
      </w:pPr>
      <w:r w:rsidRPr="009276B7">
        <w:rPr>
          <w:rFonts w:ascii="Times New Roman" w:hAnsi="Times New Roman"/>
          <w:szCs w:val="24"/>
        </w:rPr>
        <w:tab/>
      </w:r>
      <w:r w:rsidRPr="009276B7">
        <w:rPr>
          <w:rFonts w:ascii="Times New Roman" w:hAnsi="Times New Roman"/>
          <w:szCs w:val="24"/>
        </w:rPr>
        <w:tab/>
      </w:r>
      <w:r w:rsidRPr="009276B7">
        <w:rPr>
          <w:rFonts w:ascii="Times New Roman" w:hAnsi="Times New Roman"/>
          <w:szCs w:val="24"/>
        </w:rPr>
        <w:tab/>
        <w:t xml:space="preserve">(1) </w:t>
      </w:r>
      <w:r w:rsidRPr="009276B7">
        <w:rPr>
          <w:rFonts w:ascii="Times New Roman" w:hAnsi="Times New Roman"/>
          <w:szCs w:val="24"/>
          <w:u w:val="single"/>
        </w:rPr>
        <w:t>Number of respondents:</w:t>
      </w:r>
      <w:r w:rsidRPr="009276B7">
        <w:rPr>
          <w:rFonts w:ascii="Times New Roman" w:hAnsi="Times New Roman"/>
          <w:szCs w:val="24"/>
        </w:rPr>
        <w:t xml:space="preserve">  </w:t>
      </w:r>
      <w:r w:rsidRPr="009276B7" w:rsidR="00F5697A">
        <w:rPr>
          <w:rFonts w:ascii="Times New Roman" w:hAnsi="Times New Roman"/>
          <w:szCs w:val="24"/>
        </w:rPr>
        <w:t>5</w:t>
      </w:r>
      <w:r w:rsidRPr="009276B7" w:rsidR="00C62DC2">
        <w:rPr>
          <w:rFonts w:ascii="Times New Roman" w:hAnsi="Times New Roman"/>
          <w:szCs w:val="24"/>
        </w:rPr>
        <w:t>0</w:t>
      </w:r>
      <w:r w:rsidRPr="009276B7" w:rsidR="00B706DA">
        <w:rPr>
          <w:rFonts w:ascii="Times New Roman" w:hAnsi="Times New Roman"/>
          <w:szCs w:val="24"/>
        </w:rPr>
        <w:t xml:space="preserve">.  </w:t>
      </w:r>
    </w:p>
    <w:p w:rsidR="0071585A" w:rsidRPr="009276B7" w14:paraId="4E781AD2" w14:textId="77777777">
      <w:pPr>
        <w:tabs>
          <w:tab w:val="left" w:pos="-720"/>
        </w:tabs>
        <w:suppressAutoHyphens/>
        <w:rPr>
          <w:rFonts w:ascii="Times New Roman" w:hAnsi="Times New Roman"/>
          <w:szCs w:val="24"/>
        </w:rPr>
      </w:pPr>
      <w:r w:rsidRPr="009276B7">
        <w:rPr>
          <w:rFonts w:ascii="Times New Roman" w:hAnsi="Times New Roman"/>
          <w:szCs w:val="24"/>
        </w:rPr>
        <w:tab/>
      </w:r>
      <w:r w:rsidRPr="009276B7">
        <w:rPr>
          <w:rFonts w:ascii="Times New Roman" w:hAnsi="Times New Roman"/>
          <w:szCs w:val="24"/>
        </w:rPr>
        <w:tab/>
      </w:r>
      <w:r w:rsidRPr="009276B7">
        <w:rPr>
          <w:rFonts w:ascii="Times New Roman" w:hAnsi="Times New Roman"/>
          <w:szCs w:val="24"/>
        </w:rPr>
        <w:tab/>
        <w:t xml:space="preserve">(2) </w:t>
      </w:r>
      <w:r w:rsidRPr="009276B7">
        <w:rPr>
          <w:rFonts w:ascii="Times New Roman" w:hAnsi="Times New Roman"/>
          <w:szCs w:val="24"/>
          <w:u w:val="single"/>
        </w:rPr>
        <w:t>Frequency of response:</w:t>
      </w:r>
      <w:r w:rsidRPr="009276B7">
        <w:rPr>
          <w:rFonts w:ascii="Times New Roman" w:hAnsi="Times New Roman"/>
          <w:szCs w:val="24"/>
        </w:rPr>
        <w:t xml:space="preserve">  On occasion</w:t>
      </w:r>
      <w:r w:rsidRPr="009276B7" w:rsidR="00596148">
        <w:rPr>
          <w:rFonts w:ascii="Times New Roman" w:hAnsi="Times New Roman"/>
          <w:szCs w:val="24"/>
        </w:rPr>
        <w:t xml:space="preserve"> reporting requirement</w:t>
      </w:r>
      <w:r w:rsidRPr="009276B7">
        <w:rPr>
          <w:rFonts w:ascii="Times New Roman" w:hAnsi="Times New Roman"/>
          <w:szCs w:val="24"/>
        </w:rPr>
        <w:t>.</w:t>
      </w:r>
    </w:p>
    <w:p w:rsidR="00D62965" w:rsidRPr="009276B7" w14:paraId="70A9D62F" w14:textId="77777777">
      <w:pPr>
        <w:tabs>
          <w:tab w:val="left" w:pos="-720"/>
        </w:tabs>
        <w:suppressAutoHyphens/>
        <w:rPr>
          <w:rFonts w:ascii="Times New Roman" w:hAnsi="Times New Roman"/>
          <w:szCs w:val="24"/>
        </w:rPr>
      </w:pPr>
      <w:r w:rsidRPr="009276B7">
        <w:rPr>
          <w:rFonts w:ascii="Times New Roman" w:hAnsi="Times New Roman"/>
          <w:szCs w:val="24"/>
        </w:rPr>
        <w:tab/>
      </w:r>
      <w:r w:rsidRPr="009276B7">
        <w:rPr>
          <w:rFonts w:ascii="Times New Roman" w:hAnsi="Times New Roman"/>
          <w:szCs w:val="24"/>
        </w:rPr>
        <w:tab/>
      </w:r>
      <w:r w:rsidRPr="009276B7">
        <w:rPr>
          <w:rFonts w:ascii="Times New Roman" w:hAnsi="Times New Roman"/>
          <w:szCs w:val="24"/>
        </w:rPr>
        <w:tab/>
        <w:t xml:space="preserve">(3) </w:t>
      </w:r>
      <w:r w:rsidRPr="009276B7">
        <w:rPr>
          <w:rFonts w:ascii="Times New Roman" w:hAnsi="Times New Roman"/>
          <w:szCs w:val="24"/>
          <w:u w:val="single"/>
        </w:rPr>
        <w:t>Total number of responses annually</w:t>
      </w:r>
      <w:r w:rsidRPr="009276B7">
        <w:rPr>
          <w:rFonts w:ascii="Times New Roman" w:hAnsi="Times New Roman"/>
          <w:szCs w:val="24"/>
        </w:rPr>
        <w:t xml:space="preserve">: </w:t>
      </w:r>
      <w:r w:rsidRPr="009276B7" w:rsidR="006E4E15">
        <w:rPr>
          <w:rFonts w:ascii="Times New Roman" w:hAnsi="Times New Roman"/>
          <w:szCs w:val="24"/>
        </w:rPr>
        <w:t xml:space="preserve"> </w:t>
      </w:r>
      <w:r w:rsidRPr="009276B7">
        <w:rPr>
          <w:rFonts w:ascii="Times New Roman" w:hAnsi="Times New Roman"/>
          <w:szCs w:val="24"/>
        </w:rPr>
        <w:t>50.</w:t>
      </w:r>
    </w:p>
    <w:p w:rsidR="0071585A" w:rsidRPr="009276B7" w14:paraId="3E8AB87E" w14:textId="77777777">
      <w:pPr>
        <w:tabs>
          <w:tab w:val="left" w:pos="-720"/>
        </w:tabs>
        <w:suppressAutoHyphens/>
        <w:rPr>
          <w:rFonts w:ascii="Times New Roman" w:hAnsi="Times New Roman"/>
          <w:b/>
          <w:szCs w:val="24"/>
        </w:rPr>
      </w:pPr>
      <w:r w:rsidRPr="009276B7">
        <w:rPr>
          <w:rFonts w:ascii="Times New Roman" w:hAnsi="Times New Roman"/>
          <w:szCs w:val="24"/>
        </w:rPr>
        <w:tab/>
      </w:r>
      <w:r w:rsidRPr="009276B7">
        <w:rPr>
          <w:rFonts w:ascii="Times New Roman" w:hAnsi="Times New Roman"/>
          <w:szCs w:val="24"/>
        </w:rPr>
        <w:tab/>
      </w:r>
      <w:r w:rsidRPr="009276B7">
        <w:rPr>
          <w:rFonts w:ascii="Times New Roman" w:hAnsi="Times New Roman"/>
          <w:szCs w:val="24"/>
        </w:rPr>
        <w:tab/>
        <w:t>(</w:t>
      </w:r>
      <w:r w:rsidRPr="009276B7" w:rsidR="00D62965">
        <w:rPr>
          <w:rFonts w:ascii="Times New Roman" w:hAnsi="Times New Roman"/>
          <w:szCs w:val="24"/>
        </w:rPr>
        <w:t>4</w:t>
      </w:r>
      <w:r w:rsidRPr="009276B7">
        <w:rPr>
          <w:rFonts w:ascii="Times New Roman" w:hAnsi="Times New Roman"/>
          <w:szCs w:val="24"/>
        </w:rPr>
        <w:t xml:space="preserve">) </w:t>
      </w:r>
      <w:r w:rsidRPr="009276B7" w:rsidR="00596148">
        <w:rPr>
          <w:rFonts w:ascii="Times New Roman" w:hAnsi="Times New Roman"/>
          <w:szCs w:val="24"/>
          <w:u w:val="single"/>
        </w:rPr>
        <w:t>Estimated Time per Response</w:t>
      </w:r>
      <w:r w:rsidRPr="009276B7">
        <w:rPr>
          <w:rFonts w:ascii="Times New Roman" w:hAnsi="Times New Roman"/>
          <w:szCs w:val="24"/>
          <w:u w:val="single"/>
        </w:rPr>
        <w:t>:</w:t>
      </w:r>
      <w:r w:rsidRPr="009276B7">
        <w:rPr>
          <w:rFonts w:ascii="Times New Roman" w:hAnsi="Times New Roman"/>
          <w:szCs w:val="24"/>
        </w:rPr>
        <w:t xml:space="preserve">  </w:t>
      </w:r>
      <w:r w:rsidRPr="009276B7" w:rsidR="00C62DC2">
        <w:rPr>
          <w:rFonts w:ascii="Times New Roman" w:hAnsi="Times New Roman"/>
          <w:szCs w:val="24"/>
        </w:rPr>
        <w:t>50</w:t>
      </w:r>
      <w:r w:rsidRPr="009276B7">
        <w:rPr>
          <w:rFonts w:ascii="Times New Roman" w:hAnsi="Times New Roman"/>
          <w:szCs w:val="24"/>
        </w:rPr>
        <w:t xml:space="preserve"> hours</w:t>
      </w:r>
      <w:r w:rsidRPr="009276B7" w:rsidR="00596148">
        <w:rPr>
          <w:rFonts w:ascii="Times New Roman" w:hAnsi="Times New Roman"/>
          <w:szCs w:val="24"/>
        </w:rPr>
        <w:t xml:space="preserve">; </w:t>
      </w:r>
      <w:r w:rsidRPr="009276B7">
        <w:rPr>
          <w:rFonts w:ascii="Times New Roman" w:hAnsi="Times New Roman"/>
          <w:szCs w:val="24"/>
          <w:u w:val="single"/>
        </w:rPr>
        <w:t>Total annual hour burden</w:t>
      </w:r>
      <w:r w:rsidRPr="009276B7">
        <w:rPr>
          <w:rFonts w:ascii="Times New Roman" w:hAnsi="Times New Roman"/>
          <w:szCs w:val="24"/>
        </w:rPr>
        <w:t>:</w:t>
      </w:r>
      <w:r w:rsidRPr="009276B7" w:rsidR="008E63BF">
        <w:rPr>
          <w:rFonts w:ascii="Times New Roman" w:hAnsi="Times New Roman"/>
          <w:szCs w:val="24"/>
        </w:rPr>
        <w:t xml:space="preserve"> </w:t>
      </w:r>
      <w:r w:rsidRPr="009276B7">
        <w:rPr>
          <w:rFonts w:ascii="Times New Roman" w:hAnsi="Times New Roman"/>
          <w:szCs w:val="24"/>
        </w:rPr>
        <w:t xml:space="preserve"> </w:t>
      </w:r>
      <w:r w:rsidRPr="009276B7" w:rsidR="0025063D">
        <w:rPr>
          <w:rFonts w:ascii="Times New Roman" w:hAnsi="Times New Roman"/>
          <w:b/>
          <w:szCs w:val="24"/>
        </w:rPr>
        <w:t>2</w:t>
      </w:r>
      <w:r w:rsidRPr="009276B7" w:rsidR="00C62DC2">
        <w:rPr>
          <w:rFonts w:ascii="Times New Roman" w:hAnsi="Times New Roman"/>
          <w:b/>
          <w:szCs w:val="24"/>
        </w:rPr>
        <w:t>,500</w:t>
      </w:r>
      <w:r w:rsidRPr="009276B7">
        <w:rPr>
          <w:rFonts w:ascii="Times New Roman" w:hAnsi="Times New Roman"/>
          <w:b/>
          <w:szCs w:val="24"/>
        </w:rPr>
        <w:t xml:space="preserve"> hours</w:t>
      </w:r>
      <w:r w:rsidRPr="009276B7" w:rsidR="009D0EF2">
        <w:rPr>
          <w:rFonts w:ascii="Times New Roman" w:hAnsi="Times New Roman"/>
          <w:b/>
          <w:szCs w:val="24"/>
        </w:rPr>
        <w:t>.</w:t>
      </w:r>
    </w:p>
    <w:p w:rsidR="0071585A" w:rsidRPr="009276B7" w14:paraId="6AD49782" w14:textId="77777777">
      <w:pPr>
        <w:tabs>
          <w:tab w:val="left" w:pos="-720"/>
        </w:tabs>
        <w:suppressAutoHyphens/>
        <w:rPr>
          <w:rFonts w:ascii="Times New Roman" w:hAnsi="Times New Roman"/>
          <w:szCs w:val="24"/>
        </w:rPr>
      </w:pPr>
      <w:r w:rsidRPr="009276B7">
        <w:rPr>
          <w:rFonts w:ascii="Times New Roman" w:hAnsi="Times New Roman"/>
          <w:szCs w:val="24"/>
        </w:rPr>
        <w:tab/>
      </w:r>
      <w:r w:rsidRPr="009276B7">
        <w:rPr>
          <w:rFonts w:ascii="Times New Roman" w:hAnsi="Times New Roman"/>
          <w:szCs w:val="24"/>
        </w:rPr>
        <w:tab/>
      </w:r>
      <w:r w:rsidRPr="009276B7">
        <w:rPr>
          <w:rFonts w:ascii="Times New Roman" w:hAnsi="Times New Roman"/>
          <w:szCs w:val="24"/>
        </w:rPr>
        <w:tab/>
        <w:t>(</w:t>
      </w:r>
      <w:r w:rsidRPr="009276B7" w:rsidR="00D62965">
        <w:rPr>
          <w:rFonts w:ascii="Times New Roman" w:hAnsi="Times New Roman"/>
          <w:szCs w:val="24"/>
        </w:rPr>
        <w:t>5</w:t>
      </w:r>
      <w:r w:rsidRPr="009276B7">
        <w:rPr>
          <w:rFonts w:ascii="Times New Roman" w:hAnsi="Times New Roman"/>
          <w:szCs w:val="24"/>
        </w:rPr>
        <w:t xml:space="preserve">) </w:t>
      </w:r>
      <w:r w:rsidRPr="009276B7">
        <w:rPr>
          <w:rFonts w:ascii="Times New Roman" w:hAnsi="Times New Roman"/>
          <w:szCs w:val="24"/>
          <w:u w:val="single"/>
        </w:rPr>
        <w:t>How the burden was estimated:</w:t>
      </w:r>
      <w:r w:rsidRPr="009276B7">
        <w:rPr>
          <w:rFonts w:ascii="Times New Roman" w:hAnsi="Times New Roman"/>
          <w:szCs w:val="24"/>
        </w:rPr>
        <w:t xml:space="preserve">  Based on past experience with tariff filings, this is an estimate of the amount of time that an average incumbent LEC will spend preparing a tariff filing and cost support for submission to the Commission.</w:t>
      </w:r>
    </w:p>
    <w:p w:rsidR="0071585A" w:rsidRPr="009276B7" w14:paraId="78C538FB" w14:textId="42C5D413">
      <w:pPr>
        <w:tabs>
          <w:tab w:val="left" w:pos="-720"/>
        </w:tabs>
        <w:suppressAutoHyphens/>
        <w:rPr>
          <w:rFonts w:ascii="Times New Roman" w:hAnsi="Times New Roman"/>
          <w:szCs w:val="24"/>
        </w:rPr>
      </w:pPr>
      <w:r w:rsidRPr="009276B7">
        <w:rPr>
          <w:rFonts w:ascii="Times New Roman" w:hAnsi="Times New Roman"/>
          <w:szCs w:val="24"/>
        </w:rPr>
        <w:tab/>
      </w:r>
      <w:r w:rsidRPr="009276B7">
        <w:rPr>
          <w:rFonts w:ascii="Times New Roman" w:hAnsi="Times New Roman"/>
          <w:szCs w:val="24"/>
        </w:rPr>
        <w:tab/>
      </w:r>
      <w:r w:rsidRPr="009276B7">
        <w:rPr>
          <w:rFonts w:ascii="Times New Roman" w:hAnsi="Times New Roman"/>
          <w:szCs w:val="24"/>
        </w:rPr>
        <w:tab/>
        <w:t>(</w:t>
      </w:r>
      <w:r w:rsidRPr="009276B7" w:rsidR="00D62965">
        <w:rPr>
          <w:rFonts w:ascii="Times New Roman" w:hAnsi="Times New Roman"/>
          <w:szCs w:val="24"/>
        </w:rPr>
        <w:t>6</w:t>
      </w:r>
      <w:r w:rsidRPr="009276B7">
        <w:rPr>
          <w:rFonts w:ascii="Times New Roman" w:hAnsi="Times New Roman"/>
          <w:szCs w:val="24"/>
        </w:rPr>
        <w:t xml:space="preserve">) </w:t>
      </w:r>
      <w:r w:rsidRPr="009276B7" w:rsidR="00D7198F">
        <w:rPr>
          <w:rFonts w:ascii="Times New Roman" w:hAnsi="Times New Roman"/>
          <w:szCs w:val="24"/>
          <w:u w:val="single"/>
        </w:rPr>
        <w:t>Estimate</w:t>
      </w:r>
      <w:r w:rsidRPr="009276B7">
        <w:rPr>
          <w:rFonts w:ascii="Times New Roman" w:hAnsi="Times New Roman"/>
          <w:szCs w:val="24"/>
          <w:u w:val="single"/>
        </w:rPr>
        <w:t xml:space="preserve"> of </w:t>
      </w:r>
      <w:r w:rsidRPr="009276B7" w:rsidR="0025063D">
        <w:rPr>
          <w:rFonts w:ascii="Times New Roman" w:hAnsi="Times New Roman"/>
          <w:szCs w:val="24"/>
          <w:u w:val="single"/>
        </w:rPr>
        <w:t xml:space="preserve">total </w:t>
      </w:r>
      <w:r w:rsidRPr="009276B7" w:rsidR="00A8215C">
        <w:rPr>
          <w:rFonts w:ascii="Times New Roman" w:hAnsi="Times New Roman"/>
          <w:szCs w:val="24"/>
          <w:u w:val="single"/>
        </w:rPr>
        <w:t>in-house</w:t>
      </w:r>
      <w:r w:rsidRPr="009276B7">
        <w:rPr>
          <w:rFonts w:ascii="Times New Roman" w:hAnsi="Times New Roman"/>
          <w:szCs w:val="24"/>
          <w:u w:val="single"/>
        </w:rPr>
        <w:t xml:space="preserve"> cost to respondent</w:t>
      </w:r>
      <w:r w:rsidRPr="009276B7" w:rsidR="0025063D">
        <w:rPr>
          <w:rFonts w:ascii="Times New Roman" w:hAnsi="Times New Roman"/>
          <w:szCs w:val="24"/>
          <w:u w:val="single"/>
        </w:rPr>
        <w:t>s</w:t>
      </w:r>
      <w:r w:rsidRPr="009276B7">
        <w:rPr>
          <w:rFonts w:ascii="Times New Roman" w:hAnsi="Times New Roman"/>
          <w:szCs w:val="24"/>
          <w:u w:val="single"/>
        </w:rPr>
        <w:t xml:space="preserve"> for the hour burdens for collections of information:</w:t>
      </w:r>
      <w:r w:rsidRPr="009276B7" w:rsidR="006E4E15">
        <w:rPr>
          <w:rFonts w:ascii="Times New Roman" w:hAnsi="Times New Roman"/>
          <w:szCs w:val="24"/>
          <w:u w:val="single"/>
        </w:rPr>
        <w:t xml:space="preserve"> </w:t>
      </w:r>
      <w:r w:rsidRPr="009276B7">
        <w:rPr>
          <w:rFonts w:ascii="Times New Roman" w:hAnsi="Times New Roman"/>
          <w:szCs w:val="24"/>
        </w:rPr>
        <w:t xml:space="preserve"> </w:t>
      </w:r>
      <w:r w:rsidRPr="009276B7" w:rsidR="00F5697A">
        <w:rPr>
          <w:rFonts w:ascii="Times New Roman" w:hAnsi="Times New Roman"/>
          <w:szCs w:val="24"/>
        </w:rPr>
        <w:t>2</w:t>
      </w:r>
      <w:r w:rsidRPr="009276B7" w:rsidR="00C62DC2">
        <w:rPr>
          <w:rFonts w:ascii="Times New Roman" w:hAnsi="Times New Roman"/>
          <w:szCs w:val="24"/>
        </w:rPr>
        <w:t>,500</w:t>
      </w:r>
      <w:r w:rsidRPr="009276B7">
        <w:rPr>
          <w:rFonts w:ascii="Times New Roman" w:hAnsi="Times New Roman"/>
          <w:szCs w:val="24"/>
        </w:rPr>
        <w:t xml:space="preserve"> hours x $</w:t>
      </w:r>
      <w:r w:rsidR="00921EBF">
        <w:rPr>
          <w:rFonts w:ascii="Times New Roman" w:hAnsi="Times New Roman"/>
          <w:szCs w:val="24"/>
        </w:rPr>
        <w:t xml:space="preserve">64.06 </w:t>
      </w:r>
      <w:r w:rsidRPr="009276B7" w:rsidR="0025063D">
        <w:rPr>
          <w:rFonts w:ascii="Times New Roman" w:hAnsi="Times New Roman"/>
          <w:szCs w:val="24"/>
        </w:rPr>
        <w:t xml:space="preserve">per hour </w:t>
      </w:r>
      <w:r w:rsidRPr="009276B7" w:rsidR="001E616A">
        <w:rPr>
          <w:rFonts w:ascii="Times New Roman" w:hAnsi="Times New Roman"/>
          <w:szCs w:val="24"/>
        </w:rPr>
        <w:t>(comparable to a GS 1</w:t>
      </w:r>
      <w:r w:rsidRPr="009276B7" w:rsidR="00613203">
        <w:rPr>
          <w:rFonts w:ascii="Times New Roman" w:hAnsi="Times New Roman"/>
          <w:szCs w:val="24"/>
        </w:rPr>
        <w:t>3</w:t>
      </w:r>
      <w:r w:rsidRPr="009276B7" w:rsidR="001E616A">
        <w:rPr>
          <w:rFonts w:ascii="Times New Roman" w:hAnsi="Times New Roman"/>
          <w:szCs w:val="24"/>
        </w:rPr>
        <w:t xml:space="preserve">, step </w:t>
      </w:r>
      <w:r w:rsidRPr="009276B7" w:rsidR="0025063D">
        <w:rPr>
          <w:rFonts w:ascii="Times New Roman" w:hAnsi="Times New Roman"/>
          <w:szCs w:val="24"/>
        </w:rPr>
        <w:t>5</w:t>
      </w:r>
      <w:r w:rsidRPr="009276B7" w:rsidR="001E616A">
        <w:rPr>
          <w:rFonts w:ascii="Times New Roman" w:hAnsi="Times New Roman"/>
          <w:szCs w:val="24"/>
        </w:rPr>
        <w:t xml:space="preserve"> hourly rate)</w:t>
      </w:r>
      <w:r w:rsidRPr="009276B7">
        <w:rPr>
          <w:rFonts w:ascii="Times New Roman" w:hAnsi="Times New Roman"/>
          <w:szCs w:val="24"/>
        </w:rPr>
        <w:t xml:space="preserve"> </w:t>
      </w:r>
      <w:r w:rsidRPr="009276B7" w:rsidR="00F5697A">
        <w:rPr>
          <w:rFonts w:ascii="Times New Roman" w:hAnsi="Times New Roman"/>
          <w:szCs w:val="24"/>
        </w:rPr>
        <w:t>+ (50 respondents x $</w:t>
      </w:r>
      <w:r w:rsidR="00921EBF">
        <w:rPr>
          <w:rFonts w:ascii="Times New Roman" w:hAnsi="Times New Roman"/>
          <w:szCs w:val="24"/>
        </w:rPr>
        <w:t>104</w:t>
      </w:r>
      <w:r w:rsidRPr="009276B7" w:rsidR="00F0253D">
        <w:rPr>
          <w:rFonts w:ascii="Times New Roman" w:hAnsi="Times New Roman"/>
          <w:szCs w:val="24"/>
        </w:rPr>
        <w:t>0</w:t>
      </w:r>
      <w:r w:rsidRPr="009276B7" w:rsidR="00F5697A">
        <w:rPr>
          <w:rFonts w:ascii="Times New Roman" w:hAnsi="Times New Roman"/>
          <w:szCs w:val="24"/>
        </w:rPr>
        <w:t xml:space="preserve"> tariff filing fee)</w:t>
      </w:r>
      <w:r w:rsidRPr="009276B7">
        <w:rPr>
          <w:rFonts w:ascii="Times New Roman" w:hAnsi="Times New Roman"/>
          <w:szCs w:val="24"/>
        </w:rPr>
        <w:t xml:space="preserve"> = $</w:t>
      </w:r>
      <w:r w:rsidR="00921EBF">
        <w:rPr>
          <w:rFonts w:ascii="Times New Roman" w:hAnsi="Times New Roman"/>
          <w:szCs w:val="24"/>
        </w:rPr>
        <w:t>212,150</w:t>
      </w:r>
      <w:r w:rsidRPr="009276B7" w:rsidR="00F0253D">
        <w:rPr>
          <w:rFonts w:ascii="Times New Roman" w:hAnsi="Times New Roman"/>
          <w:szCs w:val="24"/>
        </w:rPr>
        <w:t>.00</w:t>
      </w:r>
      <w:r w:rsidRPr="009276B7">
        <w:rPr>
          <w:rFonts w:ascii="Times New Roman" w:hAnsi="Times New Roman"/>
          <w:szCs w:val="24"/>
        </w:rPr>
        <w:t>.</w:t>
      </w:r>
    </w:p>
    <w:p w:rsidR="0071585A" w:rsidRPr="009276B7" w14:paraId="4127DE9C" w14:textId="77777777">
      <w:pPr>
        <w:tabs>
          <w:tab w:val="left" w:pos="-720"/>
        </w:tabs>
        <w:suppressAutoHyphens/>
        <w:rPr>
          <w:rFonts w:ascii="Times New Roman" w:hAnsi="Times New Roman"/>
          <w:szCs w:val="24"/>
        </w:rPr>
      </w:pPr>
    </w:p>
    <w:p w:rsidR="00702C4F" w:rsidRPr="009276B7" w:rsidP="00702C4F" w14:paraId="3193D007" w14:textId="5DF4E055">
      <w:pPr>
        <w:tabs>
          <w:tab w:val="left" w:pos="-720"/>
        </w:tabs>
        <w:suppressAutoHyphens/>
        <w:rPr>
          <w:rFonts w:ascii="Times New Roman" w:hAnsi="Times New Roman"/>
          <w:b/>
          <w:szCs w:val="24"/>
          <w:u w:val="single"/>
        </w:rPr>
      </w:pPr>
      <w:r w:rsidRPr="009276B7">
        <w:rPr>
          <w:rFonts w:ascii="Times New Roman" w:hAnsi="Times New Roman"/>
          <w:szCs w:val="24"/>
        </w:rPr>
        <w:tab/>
      </w:r>
      <w:r w:rsidRPr="009276B7">
        <w:rPr>
          <w:rFonts w:ascii="Times New Roman" w:hAnsi="Times New Roman"/>
          <w:szCs w:val="24"/>
        </w:rPr>
        <w:tab/>
      </w:r>
      <w:r w:rsidRPr="009276B7" w:rsidR="00D4503F">
        <w:rPr>
          <w:rFonts w:ascii="Times New Roman" w:hAnsi="Times New Roman"/>
          <w:szCs w:val="24"/>
        </w:rPr>
        <w:t>c</w:t>
      </w:r>
      <w:r w:rsidRPr="009276B7" w:rsidR="0071585A">
        <w:rPr>
          <w:rFonts w:ascii="Times New Roman" w:hAnsi="Times New Roman"/>
          <w:szCs w:val="24"/>
        </w:rPr>
        <w:t>.</w:t>
      </w:r>
      <w:r w:rsidRPr="009276B7">
        <w:rPr>
          <w:rFonts w:ascii="Times New Roman" w:hAnsi="Times New Roman"/>
          <w:szCs w:val="24"/>
        </w:rPr>
        <w:tab/>
      </w:r>
      <w:r w:rsidRPr="009276B7">
        <w:rPr>
          <w:rFonts w:ascii="Times New Roman" w:hAnsi="Times New Roman"/>
          <w:szCs w:val="24"/>
          <w:u w:val="single"/>
        </w:rPr>
        <w:t>Recordkeeping Requirement</w:t>
      </w:r>
      <w:r w:rsidRPr="009276B7" w:rsidR="00CB133E">
        <w:rPr>
          <w:rFonts w:ascii="Times New Roman" w:hAnsi="Times New Roman"/>
          <w:szCs w:val="24"/>
        </w:rPr>
        <w:t xml:space="preserve"> </w:t>
      </w:r>
      <w:r w:rsidRPr="009276B7">
        <w:rPr>
          <w:rFonts w:ascii="Times New Roman" w:hAnsi="Times New Roman"/>
          <w:szCs w:val="24"/>
        </w:rPr>
        <w:t xml:space="preserve"> </w:t>
      </w:r>
    </w:p>
    <w:p w:rsidR="0071585A" w:rsidRPr="009276B7" w14:paraId="0EA06FB7" w14:textId="77777777">
      <w:pPr>
        <w:tabs>
          <w:tab w:val="left" w:pos="-720"/>
        </w:tabs>
        <w:suppressAutoHyphens/>
        <w:rPr>
          <w:rFonts w:ascii="Times New Roman" w:hAnsi="Times New Roman"/>
          <w:szCs w:val="24"/>
        </w:rPr>
      </w:pPr>
      <w:r w:rsidRPr="009276B7">
        <w:rPr>
          <w:rFonts w:ascii="Times New Roman" w:hAnsi="Times New Roman"/>
          <w:szCs w:val="24"/>
        </w:rPr>
        <w:tab/>
      </w:r>
      <w:r w:rsidRPr="009276B7">
        <w:rPr>
          <w:rFonts w:ascii="Times New Roman" w:hAnsi="Times New Roman"/>
          <w:szCs w:val="24"/>
        </w:rPr>
        <w:tab/>
      </w:r>
      <w:r w:rsidRPr="009276B7">
        <w:rPr>
          <w:rFonts w:ascii="Times New Roman" w:hAnsi="Times New Roman"/>
          <w:szCs w:val="24"/>
        </w:rPr>
        <w:tab/>
        <w:t xml:space="preserve">(1) </w:t>
      </w:r>
      <w:r w:rsidRPr="009276B7">
        <w:rPr>
          <w:rFonts w:ascii="Times New Roman" w:hAnsi="Times New Roman"/>
          <w:szCs w:val="24"/>
          <w:u w:val="single"/>
        </w:rPr>
        <w:t>Number of respondents</w:t>
      </w:r>
      <w:r w:rsidRPr="009276B7">
        <w:rPr>
          <w:rFonts w:ascii="Times New Roman" w:hAnsi="Times New Roman"/>
          <w:szCs w:val="24"/>
        </w:rPr>
        <w:t>:  1</w:t>
      </w:r>
      <w:r w:rsidRPr="009276B7" w:rsidR="00EA2DC4">
        <w:rPr>
          <w:rFonts w:ascii="Times New Roman" w:hAnsi="Times New Roman"/>
          <w:szCs w:val="24"/>
        </w:rPr>
        <w:t>,</w:t>
      </w:r>
      <w:r w:rsidRPr="009276B7" w:rsidR="00666C84">
        <w:rPr>
          <w:rFonts w:ascii="Times New Roman" w:hAnsi="Times New Roman"/>
          <w:szCs w:val="24"/>
        </w:rPr>
        <w:t>6</w:t>
      </w:r>
      <w:r w:rsidRPr="009276B7">
        <w:rPr>
          <w:rFonts w:ascii="Times New Roman" w:hAnsi="Times New Roman"/>
          <w:szCs w:val="24"/>
        </w:rPr>
        <w:t>00</w:t>
      </w:r>
      <w:r w:rsidRPr="009276B7" w:rsidR="00B706DA">
        <w:rPr>
          <w:rFonts w:ascii="Times New Roman" w:hAnsi="Times New Roman"/>
          <w:szCs w:val="24"/>
        </w:rPr>
        <w:t xml:space="preserve">.  </w:t>
      </w:r>
    </w:p>
    <w:p w:rsidR="0071585A" w:rsidRPr="009276B7" w14:paraId="3BEA8AC9" w14:textId="77777777">
      <w:pPr>
        <w:tabs>
          <w:tab w:val="left" w:pos="-720"/>
        </w:tabs>
        <w:suppressAutoHyphens/>
        <w:rPr>
          <w:rFonts w:ascii="Times New Roman" w:hAnsi="Times New Roman"/>
          <w:szCs w:val="24"/>
        </w:rPr>
      </w:pPr>
      <w:r w:rsidRPr="009276B7">
        <w:rPr>
          <w:rFonts w:ascii="Times New Roman" w:hAnsi="Times New Roman"/>
          <w:szCs w:val="24"/>
        </w:rPr>
        <w:tab/>
      </w:r>
      <w:r w:rsidRPr="009276B7">
        <w:rPr>
          <w:rFonts w:ascii="Times New Roman" w:hAnsi="Times New Roman"/>
          <w:szCs w:val="24"/>
        </w:rPr>
        <w:tab/>
      </w:r>
      <w:r w:rsidRPr="009276B7">
        <w:rPr>
          <w:rFonts w:ascii="Times New Roman" w:hAnsi="Times New Roman"/>
          <w:szCs w:val="24"/>
        </w:rPr>
        <w:tab/>
        <w:t xml:space="preserve">(2) </w:t>
      </w:r>
      <w:r w:rsidRPr="009276B7">
        <w:rPr>
          <w:rFonts w:ascii="Times New Roman" w:hAnsi="Times New Roman"/>
          <w:szCs w:val="24"/>
          <w:u w:val="single"/>
        </w:rPr>
        <w:t>Frequency of response</w:t>
      </w:r>
      <w:r w:rsidRPr="009276B7">
        <w:rPr>
          <w:rFonts w:ascii="Times New Roman" w:hAnsi="Times New Roman"/>
          <w:szCs w:val="24"/>
        </w:rPr>
        <w:t xml:space="preserve">:  </w:t>
      </w:r>
      <w:r w:rsidRPr="009276B7" w:rsidR="009A1CEB">
        <w:rPr>
          <w:rFonts w:ascii="Times New Roman" w:hAnsi="Times New Roman"/>
          <w:szCs w:val="24"/>
        </w:rPr>
        <w:t>Recordkeeping</w:t>
      </w:r>
      <w:r w:rsidRPr="009276B7" w:rsidR="00740D9B">
        <w:rPr>
          <w:rFonts w:ascii="Times New Roman" w:hAnsi="Times New Roman"/>
          <w:szCs w:val="24"/>
        </w:rPr>
        <w:t xml:space="preserve"> requirement</w:t>
      </w:r>
      <w:r w:rsidRPr="009276B7">
        <w:rPr>
          <w:rFonts w:ascii="Times New Roman" w:hAnsi="Times New Roman"/>
          <w:szCs w:val="24"/>
        </w:rPr>
        <w:t>.</w:t>
      </w:r>
    </w:p>
    <w:p w:rsidR="00D62965" w:rsidRPr="009276B7" w14:paraId="2FDB098D" w14:textId="77777777">
      <w:pPr>
        <w:tabs>
          <w:tab w:val="left" w:pos="-720"/>
        </w:tabs>
        <w:suppressAutoHyphens/>
        <w:rPr>
          <w:rFonts w:ascii="Times New Roman" w:hAnsi="Times New Roman"/>
          <w:szCs w:val="24"/>
        </w:rPr>
      </w:pPr>
      <w:r w:rsidRPr="009276B7">
        <w:rPr>
          <w:rFonts w:ascii="Times New Roman" w:hAnsi="Times New Roman"/>
          <w:szCs w:val="24"/>
        </w:rPr>
        <w:tab/>
      </w:r>
      <w:r w:rsidRPr="009276B7">
        <w:rPr>
          <w:rFonts w:ascii="Times New Roman" w:hAnsi="Times New Roman"/>
          <w:szCs w:val="24"/>
        </w:rPr>
        <w:tab/>
      </w:r>
      <w:r w:rsidRPr="009276B7">
        <w:rPr>
          <w:rFonts w:ascii="Times New Roman" w:hAnsi="Times New Roman"/>
          <w:szCs w:val="24"/>
        </w:rPr>
        <w:tab/>
        <w:t xml:space="preserve">(3) </w:t>
      </w:r>
      <w:r w:rsidRPr="009276B7">
        <w:rPr>
          <w:rFonts w:ascii="Times New Roman" w:hAnsi="Times New Roman"/>
          <w:szCs w:val="24"/>
          <w:u w:val="single"/>
        </w:rPr>
        <w:t>Total number of responses annually</w:t>
      </w:r>
      <w:r w:rsidRPr="009276B7">
        <w:rPr>
          <w:rFonts w:ascii="Times New Roman" w:hAnsi="Times New Roman"/>
          <w:szCs w:val="24"/>
        </w:rPr>
        <w:t xml:space="preserve">: </w:t>
      </w:r>
      <w:r w:rsidRPr="009276B7" w:rsidR="008E63BF">
        <w:rPr>
          <w:rFonts w:ascii="Times New Roman" w:hAnsi="Times New Roman"/>
          <w:szCs w:val="24"/>
        </w:rPr>
        <w:t xml:space="preserve"> </w:t>
      </w:r>
      <w:r w:rsidRPr="009276B7">
        <w:rPr>
          <w:rFonts w:ascii="Times New Roman" w:hAnsi="Times New Roman"/>
          <w:szCs w:val="24"/>
        </w:rPr>
        <w:t>1,600.</w:t>
      </w:r>
    </w:p>
    <w:p w:rsidR="0071585A" w:rsidRPr="009276B7" w14:paraId="010A3979" w14:textId="77777777">
      <w:pPr>
        <w:tabs>
          <w:tab w:val="left" w:pos="-720"/>
        </w:tabs>
        <w:suppressAutoHyphens/>
        <w:rPr>
          <w:rFonts w:ascii="Times New Roman" w:hAnsi="Times New Roman"/>
          <w:b/>
          <w:szCs w:val="24"/>
        </w:rPr>
      </w:pPr>
      <w:r w:rsidRPr="009276B7">
        <w:rPr>
          <w:rFonts w:ascii="Times New Roman" w:hAnsi="Times New Roman"/>
          <w:szCs w:val="24"/>
        </w:rPr>
        <w:tab/>
      </w:r>
      <w:r w:rsidRPr="009276B7">
        <w:rPr>
          <w:rFonts w:ascii="Times New Roman" w:hAnsi="Times New Roman"/>
          <w:szCs w:val="24"/>
        </w:rPr>
        <w:tab/>
      </w:r>
      <w:r w:rsidRPr="009276B7">
        <w:rPr>
          <w:rFonts w:ascii="Times New Roman" w:hAnsi="Times New Roman"/>
          <w:szCs w:val="24"/>
        </w:rPr>
        <w:tab/>
        <w:t>(</w:t>
      </w:r>
      <w:r w:rsidRPr="009276B7" w:rsidR="00D62965">
        <w:rPr>
          <w:rFonts w:ascii="Times New Roman" w:hAnsi="Times New Roman"/>
          <w:szCs w:val="24"/>
        </w:rPr>
        <w:t>4</w:t>
      </w:r>
      <w:r w:rsidRPr="009276B7">
        <w:rPr>
          <w:rFonts w:ascii="Times New Roman" w:hAnsi="Times New Roman"/>
          <w:szCs w:val="24"/>
        </w:rPr>
        <w:t>)</w:t>
      </w:r>
      <w:r w:rsidRPr="009276B7" w:rsidR="00596148">
        <w:rPr>
          <w:rFonts w:ascii="Times New Roman" w:hAnsi="Times New Roman"/>
          <w:szCs w:val="24"/>
        </w:rPr>
        <w:t xml:space="preserve"> </w:t>
      </w:r>
      <w:r w:rsidRPr="009276B7" w:rsidR="00596148">
        <w:rPr>
          <w:rFonts w:ascii="Times New Roman" w:hAnsi="Times New Roman"/>
          <w:szCs w:val="24"/>
          <w:u w:val="single"/>
        </w:rPr>
        <w:t>Estimated Time per Response</w:t>
      </w:r>
      <w:r w:rsidRPr="009276B7">
        <w:rPr>
          <w:rFonts w:ascii="Times New Roman" w:hAnsi="Times New Roman"/>
          <w:szCs w:val="24"/>
        </w:rPr>
        <w:t>:  2 hours</w:t>
      </w:r>
      <w:r w:rsidRPr="009276B7" w:rsidR="008E63BF">
        <w:rPr>
          <w:rFonts w:ascii="Times New Roman" w:hAnsi="Times New Roman"/>
          <w:szCs w:val="24"/>
        </w:rPr>
        <w:t>.</w:t>
      </w:r>
      <w:r w:rsidRPr="009276B7">
        <w:rPr>
          <w:rFonts w:ascii="Times New Roman" w:hAnsi="Times New Roman"/>
          <w:szCs w:val="24"/>
        </w:rPr>
        <w:t xml:space="preserve">  </w:t>
      </w:r>
      <w:r w:rsidRPr="009276B7">
        <w:rPr>
          <w:rFonts w:ascii="Times New Roman" w:hAnsi="Times New Roman"/>
          <w:szCs w:val="24"/>
          <w:u w:val="single"/>
        </w:rPr>
        <w:t>Total annual hour burden</w:t>
      </w:r>
      <w:r w:rsidRPr="009276B7">
        <w:rPr>
          <w:rFonts w:ascii="Times New Roman" w:hAnsi="Times New Roman"/>
          <w:szCs w:val="24"/>
        </w:rPr>
        <w:t>:</w:t>
      </w:r>
      <w:r w:rsidRPr="009276B7" w:rsidR="008E63BF">
        <w:rPr>
          <w:rFonts w:ascii="Times New Roman" w:hAnsi="Times New Roman"/>
          <w:szCs w:val="24"/>
          <w:u w:val="single"/>
        </w:rPr>
        <w:t xml:space="preserve"> </w:t>
      </w:r>
      <w:r w:rsidRPr="009276B7">
        <w:rPr>
          <w:rFonts w:ascii="Times New Roman" w:hAnsi="Times New Roman"/>
          <w:szCs w:val="24"/>
        </w:rPr>
        <w:t xml:space="preserve"> </w:t>
      </w:r>
      <w:r w:rsidRPr="009276B7" w:rsidR="00666C84">
        <w:rPr>
          <w:rFonts w:ascii="Times New Roman" w:hAnsi="Times New Roman"/>
          <w:b/>
          <w:szCs w:val="24"/>
        </w:rPr>
        <w:t>3</w:t>
      </w:r>
      <w:r w:rsidRPr="009276B7" w:rsidR="00EA2DC4">
        <w:rPr>
          <w:rFonts w:ascii="Times New Roman" w:hAnsi="Times New Roman"/>
          <w:b/>
          <w:szCs w:val="24"/>
        </w:rPr>
        <w:t>,</w:t>
      </w:r>
      <w:r w:rsidRPr="009276B7" w:rsidR="00666C84">
        <w:rPr>
          <w:rFonts w:ascii="Times New Roman" w:hAnsi="Times New Roman"/>
          <w:b/>
          <w:szCs w:val="24"/>
        </w:rPr>
        <w:t>2</w:t>
      </w:r>
      <w:r w:rsidRPr="009276B7">
        <w:rPr>
          <w:rFonts w:ascii="Times New Roman" w:hAnsi="Times New Roman"/>
          <w:b/>
          <w:szCs w:val="24"/>
        </w:rPr>
        <w:t>00 hours.</w:t>
      </w:r>
    </w:p>
    <w:p w:rsidR="0071585A" w:rsidRPr="009276B7" w14:paraId="004B82DF" w14:textId="77777777">
      <w:pPr>
        <w:tabs>
          <w:tab w:val="left" w:pos="-720"/>
        </w:tabs>
        <w:suppressAutoHyphens/>
        <w:rPr>
          <w:rFonts w:ascii="Times New Roman" w:hAnsi="Times New Roman"/>
          <w:szCs w:val="24"/>
        </w:rPr>
      </w:pPr>
      <w:r w:rsidRPr="009276B7">
        <w:rPr>
          <w:rFonts w:ascii="Times New Roman" w:hAnsi="Times New Roman"/>
          <w:szCs w:val="24"/>
        </w:rPr>
        <w:tab/>
      </w:r>
      <w:r w:rsidRPr="009276B7">
        <w:rPr>
          <w:rFonts w:ascii="Times New Roman" w:hAnsi="Times New Roman"/>
          <w:szCs w:val="24"/>
        </w:rPr>
        <w:tab/>
      </w:r>
      <w:r w:rsidRPr="009276B7">
        <w:rPr>
          <w:rFonts w:ascii="Times New Roman" w:hAnsi="Times New Roman"/>
          <w:szCs w:val="24"/>
        </w:rPr>
        <w:tab/>
        <w:t>(</w:t>
      </w:r>
      <w:r w:rsidRPr="009276B7" w:rsidR="00D62965">
        <w:rPr>
          <w:rFonts w:ascii="Times New Roman" w:hAnsi="Times New Roman"/>
          <w:szCs w:val="24"/>
        </w:rPr>
        <w:t>5</w:t>
      </w:r>
      <w:r w:rsidRPr="009276B7">
        <w:rPr>
          <w:rFonts w:ascii="Times New Roman" w:hAnsi="Times New Roman"/>
          <w:szCs w:val="24"/>
        </w:rPr>
        <w:t xml:space="preserve">) </w:t>
      </w:r>
      <w:r w:rsidRPr="009276B7">
        <w:rPr>
          <w:rFonts w:ascii="Times New Roman" w:hAnsi="Times New Roman"/>
          <w:szCs w:val="24"/>
          <w:u w:val="single"/>
        </w:rPr>
        <w:t>How the burden was estimated</w:t>
      </w:r>
      <w:r w:rsidRPr="009276B7">
        <w:rPr>
          <w:rFonts w:ascii="Times New Roman" w:hAnsi="Times New Roman"/>
          <w:szCs w:val="24"/>
        </w:rPr>
        <w:t>:</w:t>
      </w:r>
      <w:r w:rsidRPr="009276B7" w:rsidR="00DF11E2">
        <w:rPr>
          <w:rFonts w:ascii="Times New Roman" w:hAnsi="Times New Roman"/>
          <w:szCs w:val="24"/>
        </w:rPr>
        <w:t xml:space="preserve"> </w:t>
      </w:r>
      <w:r w:rsidRPr="009276B7" w:rsidR="007C38E0">
        <w:rPr>
          <w:rFonts w:ascii="Times New Roman" w:hAnsi="Times New Roman"/>
          <w:szCs w:val="24"/>
        </w:rPr>
        <w:t xml:space="preserve"> </w:t>
      </w:r>
      <w:r w:rsidRPr="009276B7" w:rsidR="00DF11E2">
        <w:rPr>
          <w:rFonts w:ascii="Times New Roman" w:hAnsi="Times New Roman"/>
          <w:szCs w:val="24"/>
        </w:rPr>
        <w:t>Based o</w:t>
      </w:r>
      <w:r w:rsidRPr="009276B7" w:rsidR="00391129">
        <w:rPr>
          <w:rFonts w:ascii="Times New Roman" w:hAnsi="Times New Roman"/>
          <w:szCs w:val="24"/>
        </w:rPr>
        <w:t xml:space="preserve">n the implementation of LNP by </w:t>
      </w:r>
      <w:r w:rsidRPr="009276B7" w:rsidR="00DF11E2">
        <w:rPr>
          <w:rFonts w:ascii="Times New Roman" w:hAnsi="Times New Roman"/>
          <w:szCs w:val="24"/>
        </w:rPr>
        <w:t>wireline carriers and CMRS providers to date.</w:t>
      </w:r>
    </w:p>
    <w:p w:rsidR="0022555B" w:rsidRPr="009276B7" w14:paraId="6BE8430F" w14:textId="631E242F">
      <w:pPr>
        <w:tabs>
          <w:tab w:val="left" w:pos="-720"/>
        </w:tabs>
        <w:suppressAutoHyphens/>
        <w:rPr>
          <w:rFonts w:ascii="Times New Roman" w:hAnsi="Times New Roman"/>
          <w:szCs w:val="24"/>
        </w:rPr>
      </w:pPr>
      <w:r w:rsidRPr="009276B7">
        <w:rPr>
          <w:rFonts w:ascii="Times New Roman" w:hAnsi="Times New Roman"/>
          <w:szCs w:val="24"/>
        </w:rPr>
        <w:tab/>
      </w:r>
      <w:r w:rsidRPr="009276B7">
        <w:rPr>
          <w:rFonts w:ascii="Times New Roman" w:hAnsi="Times New Roman"/>
          <w:szCs w:val="24"/>
        </w:rPr>
        <w:tab/>
      </w:r>
      <w:r w:rsidRPr="009276B7">
        <w:rPr>
          <w:rFonts w:ascii="Times New Roman" w:hAnsi="Times New Roman"/>
          <w:szCs w:val="24"/>
        </w:rPr>
        <w:tab/>
        <w:t>(</w:t>
      </w:r>
      <w:r w:rsidRPr="009276B7" w:rsidR="00D62965">
        <w:rPr>
          <w:rFonts w:ascii="Times New Roman" w:hAnsi="Times New Roman"/>
          <w:szCs w:val="24"/>
        </w:rPr>
        <w:t>6</w:t>
      </w:r>
      <w:r w:rsidRPr="009276B7">
        <w:rPr>
          <w:rFonts w:ascii="Times New Roman" w:hAnsi="Times New Roman"/>
          <w:szCs w:val="24"/>
        </w:rPr>
        <w:t xml:space="preserve">) </w:t>
      </w:r>
      <w:r w:rsidRPr="009276B7">
        <w:rPr>
          <w:rFonts w:ascii="Times New Roman" w:hAnsi="Times New Roman"/>
          <w:szCs w:val="24"/>
          <w:u w:val="single"/>
        </w:rPr>
        <w:t xml:space="preserve">Estimate of </w:t>
      </w:r>
      <w:r w:rsidRPr="009276B7" w:rsidR="00A8215C">
        <w:rPr>
          <w:rFonts w:ascii="Times New Roman" w:hAnsi="Times New Roman"/>
          <w:szCs w:val="24"/>
          <w:u w:val="single"/>
        </w:rPr>
        <w:t>in-house</w:t>
      </w:r>
      <w:r w:rsidRPr="009276B7">
        <w:rPr>
          <w:rFonts w:ascii="Times New Roman" w:hAnsi="Times New Roman"/>
          <w:szCs w:val="24"/>
          <w:u w:val="single"/>
        </w:rPr>
        <w:t xml:space="preserve"> cost to respondent for the hour burdens for collection of information</w:t>
      </w:r>
      <w:r w:rsidRPr="009276B7">
        <w:rPr>
          <w:rFonts w:ascii="Times New Roman" w:hAnsi="Times New Roman"/>
          <w:szCs w:val="24"/>
        </w:rPr>
        <w:t>:  3</w:t>
      </w:r>
      <w:r w:rsidRPr="009276B7" w:rsidR="00BA1FC0">
        <w:rPr>
          <w:rFonts w:ascii="Times New Roman" w:hAnsi="Times New Roman"/>
          <w:szCs w:val="24"/>
        </w:rPr>
        <w:t>,</w:t>
      </w:r>
      <w:r w:rsidRPr="009276B7">
        <w:rPr>
          <w:rFonts w:ascii="Times New Roman" w:hAnsi="Times New Roman"/>
          <w:szCs w:val="24"/>
        </w:rPr>
        <w:t>200 hours x $</w:t>
      </w:r>
      <w:r w:rsidR="00921EBF">
        <w:rPr>
          <w:rFonts w:ascii="Times New Roman" w:hAnsi="Times New Roman"/>
          <w:szCs w:val="24"/>
        </w:rPr>
        <w:t xml:space="preserve">64.06 </w:t>
      </w:r>
      <w:r w:rsidRPr="009276B7" w:rsidR="0025063D">
        <w:rPr>
          <w:rFonts w:ascii="Times New Roman" w:hAnsi="Times New Roman"/>
          <w:szCs w:val="24"/>
        </w:rPr>
        <w:t>per hour</w:t>
      </w:r>
      <w:r w:rsidRPr="009276B7" w:rsidR="001E616A">
        <w:rPr>
          <w:rFonts w:ascii="Times New Roman" w:hAnsi="Times New Roman"/>
          <w:szCs w:val="24"/>
        </w:rPr>
        <w:t xml:space="preserve"> (comparable to a GS 1</w:t>
      </w:r>
      <w:r w:rsidRPr="009276B7" w:rsidR="00613203">
        <w:rPr>
          <w:rFonts w:ascii="Times New Roman" w:hAnsi="Times New Roman"/>
          <w:szCs w:val="24"/>
        </w:rPr>
        <w:t>3</w:t>
      </w:r>
      <w:r w:rsidRPr="009276B7" w:rsidR="001E616A">
        <w:rPr>
          <w:rFonts w:ascii="Times New Roman" w:hAnsi="Times New Roman"/>
          <w:szCs w:val="24"/>
        </w:rPr>
        <w:t xml:space="preserve">, step </w:t>
      </w:r>
      <w:r w:rsidRPr="009276B7" w:rsidR="000A4082">
        <w:rPr>
          <w:rFonts w:ascii="Times New Roman" w:hAnsi="Times New Roman"/>
          <w:szCs w:val="24"/>
        </w:rPr>
        <w:t>5</w:t>
      </w:r>
      <w:r w:rsidRPr="009276B7" w:rsidR="001E616A">
        <w:rPr>
          <w:rFonts w:ascii="Times New Roman" w:hAnsi="Times New Roman"/>
          <w:szCs w:val="24"/>
        </w:rPr>
        <w:t xml:space="preserve"> hourly rate)</w:t>
      </w:r>
      <w:r w:rsidRPr="009276B7">
        <w:rPr>
          <w:rFonts w:ascii="Times New Roman" w:hAnsi="Times New Roman"/>
          <w:szCs w:val="24"/>
        </w:rPr>
        <w:t xml:space="preserve"> = $</w:t>
      </w:r>
      <w:r w:rsidR="00921EBF">
        <w:rPr>
          <w:rFonts w:ascii="Times New Roman" w:hAnsi="Times New Roman"/>
          <w:szCs w:val="24"/>
        </w:rPr>
        <w:t>204,992</w:t>
      </w:r>
      <w:r w:rsidRPr="009276B7" w:rsidR="00F0253D">
        <w:rPr>
          <w:rFonts w:ascii="Times New Roman" w:hAnsi="Times New Roman"/>
          <w:szCs w:val="24"/>
        </w:rPr>
        <w:t>.00</w:t>
      </w:r>
      <w:r w:rsidRPr="009276B7" w:rsidR="00043BC5">
        <w:rPr>
          <w:rFonts w:ascii="Times New Roman" w:hAnsi="Times New Roman"/>
          <w:szCs w:val="24"/>
        </w:rPr>
        <w:t>.</w:t>
      </w:r>
      <w:r w:rsidRPr="009276B7">
        <w:rPr>
          <w:rFonts w:ascii="Times New Roman" w:hAnsi="Times New Roman"/>
          <w:szCs w:val="24"/>
        </w:rPr>
        <w:tab/>
      </w:r>
    </w:p>
    <w:p w:rsidR="0022555B" w:rsidRPr="009276B7" w14:paraId="48617592" w14:textId="77777777">
      <w:pPr>
        <w:tabs>
          <w:tab w:val="left" w:pos="-720"/>
        </w:tabs>
        <w:suppressAutoHyphens/>
        <w:rPr>
          <w:rFonts w:ascii="Times New Roman" w:hAnsi="Times New Roman"/>
          <w:szCs w:val="24"/>
        </w:rPr>
      </w:pPr>
    </w:p>
    <w:p w:rsidR="0022555B" w:rsidRPr="009276B7" w:rsidP="0022555B" w14:paraId="5DE82B64" w14:textId="6D62C02D">
      <w:pPr>
        <w:tabs>
          <w:tab w:val="left" w:pos="-720"/>
        </w:tabs>
        <w:suppressAutoHyphens/>
        <w:rPr>
          <w:rFonts w:ascii="Times New Roman" w:hAnsi="Times New Roman"/>
          <w:b/>
          <w:szCs w:val="24"/>
          <w:u w:val="single"/>
        </w:rPr>
      </w:pPr>
      <w:r w:rsidRPr="009276B7">
        <w:rPr>
          <w:rFonts w:ascii="Times New Roman" w:hAnsi="Times New Roman"/>
          <w:szCs w:val="24"/>
        </w:rPr>
        <w:tab/>
      </w:r>
      <w:r w:rsidRPr="009276B7">
        <w:rPr>
          <w:rFonts w:ascii="Times New Roman" w:hAnsi="Times New Roman"/>
          <w:szCs w:val="24"/>
        </w:rPr>
        <w:tab/>
      </w:r>
      <w:r w:rsidRPr="009276B7" w:rsidR="00D4503F">
        <w:rPr>
          <w:rFonts w:ascii="Times New Roman" w:hAnsi="Times New Roman"/>
          <w:szCs w:val="24"/>
        </w:rPr>
        <w:t>d</w:t>
      </w:r>
      <w:r w:rsidRPr="009276B7">
        <w:rPr>
          <w:rFonts w:ascii="Times New Roman" w:hAnsi="Times New Roman"/>
          <w:szCs w:val="24"/>
        </w:rPr>
        <w:t xml:space="preserve">.  </w:t>
      </w:r>
      <w:r w:rsidRPr="009276B7">
        <w:rPr>
          <w:rFonts w:ascii="Times New Roman" w:hAnsi="Times New Roman"/>
          <w:szCs w:val="24"/>
        </w:rPr>
        <w:tab/>
      </w:r>
      <w:r w:rsidRPr="009276B7">
        <w:rPr>
          <w:rFonts w:ascii="Times New Roman" w:hAnsi="Times New Roman"/>
          <w:szCs w:val="24"/>
          <w:u w:val="single"/>
        </w:rPr>
        <w:t xml:space="preserve">Standardized Local Service Request </w:t>
      </w:r>
      <w:r w:rsidRPr="009276B7" w:rsidR="00F91BEE">
        <w:rPr>
          <w:rFonts w:ascii="Times New Roman" w:hAnsi="Times New Roman"/>
          <w:szCs w:val="24"/>
          <w:u w:val="single"/>
        </w:rPr>
        <w:t xml:space="preserve">Data </w:t>
      </w:r>
      <w:r w:rsidRPr="009276B7">
        <w:rPr>
          <w:rFonts w:ascii="Times New Roman" w:hAnsi="Times New Roman"/>
          <w:szCs w:val="24"/>
          <w:u w:val="single"/>
        </w:rPr>
        <w:t>Fields</w:t>
      </w:r>
    </w:p>
    <w:p w:rsidR="0022555B" w:rsidRPr="009276B7" w:rsidP="0022555B" w14:paraId="2ED594DD" w14:textId="77777777">
      <w:pPr>
        <w:tabs>
          <w:tab w:val="left" w:pos="-720"/>
        </w:tabs>
        <w:suppressAutoHyphens/>
        <w:rPr>
          <w:rFonts w:ascii="Times New Roman" w:hAnsi="Times New Roman"/>
          <w:szCs w:val="24"/>
        </w:rPr>
      </w:pPr>
      <w:r w:rsidRPr="009276B7">
        <w:rPr>
          <w:rFonts w:ascii="Times New Roman" w:hAnsi="Times New Roman"/>
          <w:szCs w:val="24"/>
        </w:rPr>
        <w:tab/>
      </w:r>
      <w:r w:rsidRPr="009276B7">
        <w:rPr>
          <w:rFonts w:ascii="Times New Roman" w:hAnsi="Times New Roman"/>
          <w:szCs w:val="24"/>
        </w:rPr>
        <w:tab/>
      </w:r>
      <w:r w:rsidRPr="009276B7">
        <w:rPr>
          <w:rFonts w:ascii="Times New Roman" w:hAnsi="Times New Roman"/>
          <w:szCs w:val="24"/>
        </w:rPr>
        <w:tab/>
        <w:t xml:space="preserve">(1) </w:t>
      </w:r>
      <w:r w:rsidRPr="009276B7">
        <w:rPr>
          <w:rFonts w:ascii="Times New Roman" w:hAnsi="Times New Roman"/>
          <w:szCs w:val="24"/>
          <w:u w:val="single"/>
        </w:rPr>
        <w:t>Number of respondents:</w:t>
      </w:r>
      <w:r w:rsidRPr="009276B7">
        <w:rPr>
          <w:rFonts w:ascii="Times New Roman" w:hAnsi="Times New Roman"/>
          <w:szCs w:val="24"/>
        </w:rPr>
        <w:t xml:space="preserve">  1,626</w:t>
      </w:r>
      <w:r w:rsidRPr="009276B7" w:rsidR="00526793">
        <w:rPr>
          <w:rFonts w:ascii="Times New Roman" w:hAnsi="Times New Roman"/>
          <w:szCs w:val="24"/>
        </w:rPr>
        <w:t xml:space="preserve">.  </w:t>
      </w:r>
      <w:r w:rsidRPr="009276B7" w:rsidR="009F7183">
        <w:rPr>
          <w:rFonts w:ascii="Times New Roman" w:hAnsi="Times New Roman"/>
          <w:szCs w:val="24"/>
        </w:rPr>
        <w:t>(</w:t>
      </w:r>
      <w:r w:rsidRPr="009276B7" w:rsidR="00920EB7">
        <w:rPr>
          <w:rFonts w:ascii="Times New Roman" w:hAnsi="Times New Roman"/>
          <w:szCs w:val="24"/>
        </w:rPr>
        <w:t>6,150 annual responses per respondent</w:t>
      </w:r>
      <w:r w:rsidRPr="009276B7" w:rsidR="009F7183">
        <w:rPr>
          <w:rFonts w:ascii="Times New Roman" w:hAnsi="Times New Roman"/>
          <w:szCs w:val="24"/>
        </w:rPr>
        <w:t>).</w:t>
      </w:r>
      <w:r w:rsidRPr="009276B7" w:rsidR="0075278D">
        <w:rPr>
          <w:rFonts w:ascii="Times New Roman" w:hAnsi="Times New Roman"/>
          <w:szCs w:val="24"/>
        </w:rPr>
        <w:t xml:space="preserve"> </w:t>
      </w:r>
    </w:p>
    <w:p w:rsidR="0022555B" w:rsidRPr="009276B7" w:rsidP="0022555B" w14:paraId="52BCAD96" w14:textId="77777777">
      <w:pPr>
        <w:tabs>
          <w:tab w:val="left" w:pos="-720"/>
        </w:tabs>
        <w:suppressAutoHyphens/>
        <w:rPr>
          <w:rFonts w:ascii="Times New Roman" w:hAnsi="Times New Roman"/>
          <w:szCs w:val="24"/>
        </w:rPr>
      </w:pPr>
      <w:r w:rsidRPr="009276B7">
        <w:rPr>
          <w:rFonts w:ascii="Times New Roman" w:hAnsi="Times New Roman"/>
          <w:szCs w:val="24"/>
        </w:rPr>
        <w:tab/>
      </w:r>
      <w:r w:rsidRPr="009276B7">
        <w:rPr>
          <w:rFonts w:ascii="Times New Roman" w:hAnsi="Times New Roman"/>
          <w:szCs w:val="24"/>
        </w:rPr>
        <w:tab/>
      </w:r>
      <w:r w:rsidRPr="009276B7">
        <w:rPr>
          <w:rFonts w:ascii="Times New Roman" w:hAnsi="Times New Roman"/>
          <w:szCs w:val="24"/>
        </w:rPr>
        <w:tab/>
        <w:t xml:space="preserve">(2) </w:t>
      </w:r>
      <w:r w:rsidRPr="009276B7">
        <w:rPr>
          <w:rFonts w:ascii="Times New Roman" w:hAnsi="Times New Roman"/>
          <w:szCs w:val="24"/>
          <w:u w:val="single"/>
        </w:rPr>
        <w:t>Frequency of response:</w:t>
      </w:r>
      <w:r w:rsidRPr="009276B7">
        <w:rPr>
          <w:rFonts w:ascii="Times New Roman" w:hAnsi="Times New Roman"/>
          <w:szCs w:val="24"/>
        </w:rPr>
        <w:t xml:space="preserve">  On occasion</w:t>
      </w:r>
      <w:r w:rsidRPr="009276B7" w:rsidR="009A1CEB">
        <w:rPr>
          <w:rFonts w:ascii="Times New Roman" w:hAnsi="Times New Roman"/>
          <w:szCs w:val="24"/>
        </w:rPr>
        <w:t xml:space="preserve"> reporting requirement/</w:t>
      </w:r>
      <w:r w:rsidRPr="009276B7" w:rsidR="007F1723">
        <w:rPr>
          <w:rFonts w:ascii="Times New Roman" w:hAnsi="Times New Roman"/>
          <w:szCs w:val="24"/>
        </w:rPr>
        <w:t>recordkeeping</w:t>
      </w:r>
      <w:r w:rsidRPr="009276B7" w:rsidR="009A1CEB">
        <w:rPr>
          <w:rFonts w:ascii="Times New Roman" w:hAnsi="Times New Roman"/>
          <w:szCs w:val="24"/>
        </w:rPr>
        <w:t xml:space="preserve"> requirement</w:t>
      </w:r>
      <w:r w:rsidRPr="009276B7">
        <w:rPr>
          <w:rFonts w:ascii="Times New Roman" w:hAnsi="Times New Roman"/>
          <w:szCs w:val="24"/>
        </w:rPr>
        <w:t>.</w:t>
      </w:r>
    </w:p>
    <w:p w:rsidR="00D62965" w:rsidRPr="009276B7" w:rsidP="0022555B" w14:paraId="2B5C4263" w14:textId="77777777">
      <w:pPr>
        <w:tabs>
          <w:tab w:val="left" w:pos="-720"/>
        </w:tabs>
        <w:suppressAutoHyphens/>
        <w:rPr>
          <w:rFonts w:ascii="Times New Roman" w:hAnsi="Times New Roman"/>
          <w:szCs w:val="24"/>
        </w:rPr>
      </w:pPr>
      <w:r w:rsidRPr="009276B7">
        <w:rPr>
          <w:rFonts w:ascii="Times New Roman" w:hAnsi="Times New Roman"/>
          <w:szCs w:val="24"/>
        </w:rPr>
        <w:tab/>
      </w:r>
      <w:r w:rsidRPr="009276B7">
        <w:rPr>
          <w:rFonts w:ascii="Times New Roman" w:hAnsi="Times New Roman"/>
          <w:szCs w:val="24"/>
        </w:rPr>
        <w:tab/>
      </w:r>
      <w:r w:rsidRPr="009276B7">
        <w:rPr>
          <w:rFonts w:ascii="Times New Roman" w:hAnsi="Times New Roman"/>
          <w:szCs w:val="24"/>
        </w:rPr>
        <w:tab/>
        <w:t xml:space="preserve">(3) </w:t>
      </w:r>
      <w:r w:rsidRPr="009276B7">
        <w:rPr>
          <w:rFonts w:ascii="Times New Roman" w:hAnsi="Times New Roman"/>
          <w:szCs w:val="24"/>
          <w:u w:val="single"/>
        </w:rPr>
        <w:t>Total number of responses annually</w:t>
      </w:r>
      <w:r w:rsidRPr="009276B7">
        <w:rPr>
          <w:rFonts w:ascii="Times New Roman" w:hAnsi="Times New Roman"/>
          <w:szCs w:val="24"/>
        </w:rPr>
        <w:t xml:space="preserve">: </w:t>
      </w:r>
      <w:r w:rsidRPr="009276B7" w:rsidR="008E63BF">
        <w:rPr>
          <w:rFonts w:ascii="Times New Roman" w:hAnsi="Times New Roman"/>
          <w:szCs w:val="24"/>
        </w:rPr>
        <w:t xml:space="preserve"> </w:t>
      </w:r>
      <w:r w:rsidRPr="009276B7">
        <w:rPr>
          <w:rFonts w:ascii="Times New Roman" w:hAnsi="Times New Roman"/>
          <w:szCs w:val="24"/>
        </w:rPr>
        <w:t>10,000,000</w:t>
      </w:r>
    </w:p>
    <w:p w:rsidR="0022555B" w:rsidRPr="009276B7" w:rsidP="0022555B" w14:paraId="0D6BA337" w14:textId="77777777">
      <w:pPr>
        <w:tabs>
          <w:tab w:val="left" w:pos="-720"/>
        </w:tabs>
        <w:suppressAutoHyphens/>
        <w:rPr>
          <w:rFonts w:ascii="Times New Roman" w:hAnsi="Times New Roman"/>
          <w:b/>
          <w:szCs w:val="24"/>
        </w:rPr>
      </w:pPr>
      <w:r w:rsidRPr="009276B7">
        <w:rPr>
          <w:rFonts w:ascii="Times New Roman" w:hAnsi="Times New Roman"/>
          <w:szCs w:val="24"/>
        </w:rPr>
        <w:tab/>
      </w:r>
      <w:r w:rsidRPr="009276B7">
        <w:rPr>
          <w:rFonts w:ascii="Times New Roman" w:hAnsi="Times New Roman"/>
          <w:szCs w:val="24"/>
        </w:rPr>
        <w:tab/>
      </w:r>
      <w:r w:rsidRPr="009276B7">
        <w:rPr>
          <w:rFonts w:ascii="Times New Roman" w:hAnsi="Times New Roman"/>
          <w:szCs w:val="24"/>
        </w:rPr>
        <w:tab/>
        <w:t>(</w:t>
      </w:r>
      <w:r w:rsidRPr="009276B7" w:rsidR="00D62965">
        <w:rPr>
          <w:rFonts w:ascii="Times New Roman" w:hAnsi="Times New Roman"/>
          <w:szCs w:val="24"/>
        </w:rPr>
        <w:t>4</w:t>
      </w:r>
      <w:r w:rsidRPr="009276B7">
        <w:rPr>
          <w:rFonts w:ascii="Times New Roman" w:hAnsi="Times New Roman"/>
          <w:szCs w:val="24"/>
        </w:rPr>
        <w:t xml:space="preserve">) </w:t>
      </w:r>
      <w:r w:rsidRPr="009276B7">
        <w:rPr>
          <w:rFonts w:ascii="Times New Roman" w:hAnsi="Times New Roman"/>
          <w:szCs w:val="24"/>
          <w:u w:val="single"/>
        </w:rPr>
        <w:t>Estimated Time per Response:</w:t>
      </w:r>
      <w:r w:rsidRPr="009276B7" w:rsidR="00920EB7">
        <w:rPr>
          <w:rFonts w:ascii="Times New Roman" w:hAnsi="Times New Roman"/>
          <w:szCs w:val="24"/>
        </w:rPr>
        <w:t xml:space="preserve"> </w:t>
      </w:r>
      <w:r w:rsidRPr="009276B7">
        <w:rPr>
          <w:rFonts w:ascii="Times New Roman" w:hAnsi="Times New Roman"/>
          <w:szCs w:val="24"/>
        </w:rPr>
        <w:t xml:space="preserve"> </w:t>
      </w:r>
      <w:r w:rsidRPr="009276B7" w:rsidR="00920EB7">
        <w:rPr>
          <w:rFonts w:ascii="Times New Roman" w:hAnsi="Times New Roman"/>
          <w:szCs w:val="24"/>
        </w:rPr>
        <w:t>6</w:t>
      </w:r>
      <w:r w:rsidRPr="009276B7" w:rsidR="008B5484">
        <w:rPr>
          <w:rFonts w:ascii="Times New Roman" w:hAnsi="Times New Roman"/>
          <w:szCs w:val="24"/>
        </w:rPr>
        <w:t>,</w:t>
      </w:r>
      <w:r w:rsidRPr="009276B7" w:rsidR="00920EB7">
        <w:rPr>
          <w:rFonts w:ascii="Times New Roman" w:hAnsi="Times New Roman"/>
          <w:szCs w:val="24"/>
        </w:rPr>
        <w:t xml:space="preserve">150 responses x </w:t>
      </w:r>
      <w:r w:rsidRPr="009276B7" w:rsidR="00E042B5">
        <w:rPr>
          <w:rFonts w:ascii="Times New Roman" w:hAnsi="Times New Roman"/>
          <w:szCs w:val="24"/>
        </w:rPr>
        <w:t>0.</w:t>
      </w:r>
      <w:r w:rsidRPr="009276B7" w:rsidR="00BA1FC0">
        <w:rPr>
          <w:rFonts w:ascii="Times New Roman" w:hAnsi="Times New Roman"/>
          <w:szCs w:val="24"/>
        </w:rPr>
        <w:t>0</w:t>
      </w:r>
      <w:r w:rsidRPr="009276B7" w:rsidR="00E042B5">
        <w:rPr>
          <w:rFonts w:ascii="Times New Roman" w:hAnsi="Times New Roman"/>
          <w:szCs w:val="24"/>
        </w:rPr>
        <w:t xml:space="preserve">666 hours </w:t>
      </w:r>
      <w:r w:rsidRPr="009276B7" w:rsidR="00920EB7">
        <w:rPr>
          <w:rFonts w:ascii="Times New Roman" w:hAnsi="Times New Roman"/>
          <w:szCs w:val="24"/>
        </w:rPr>
        <w:t>= 410 hours per respondent x 1</w:t>
      </w:r>
      <w:r w:rsidRPr="009276B7" w:rsidR="008B5484">
        <w:rPr>
          <w:rFonts w:ascii="Times New Roman" w:hAnsi="Times New Roman"/>
          <w:szCs w:val="24"/>
        </w:rPr>
        <w:t>,</w:t>
      </w:r>
      <w:r w:rsidRPr="009276B7" w:rsidR="00920EB7">
        <w:rPr>
          <w:rFonts w:ascii="Times New Roman" w:hAnsi="Times New Roman"/>
          <w:szCs w:val="24"/>
        </w:rPr>
        <w:t>626</w:t>
      </w:r>
      <w:r w:rsidRPr="009276B7" w:rsidR="00920EB7">
        <w:rPr>
          <w:rFonts w:ascii="Times New Roman" w:hAnsi="Times New Roman"/>
          <w:b/>
          <w:szCs w:val="24"/>
        </w:rPr>
        <w:t xml:space="preserve"> </w:t>
      </w:r>
      <w:r w:rsidRPr="009276B7" w:rsidR="00920EB7">
        <w:rPr>
          <w:rFonts w:ascii="Times New Roman" w:hAnsi="Times New Roman"/>
          <w:szCs w:val="24"/>
        </w:rPr>
        <w:t>respondents</w:t>
      </w:r>
      <w:r w:rsidRPr="009276B7" w:rsidR="00826A69">
        <w:rPr>
          <w:rFonts w:ascii="Times New Roman" w:hAnsi="Times New Roman"/>
          <w:szCs w:val="24"/>
        </w:rPr>
        <w:t>.</w:t>
      </w:r>
      <w:r w:rsidRPr="009276B7" w:rsidR="003E75B7">
        <w:rPr>
          <w:rFonts w:ascii="Times New Roman" w:hAnsi="Times New Roman"/>
          <w:szCs w:val="24"/>
        </w:rPr>
        <w:t xml:space="preserve"> </w:t>
      </w:r>
      <w:r w:rsidRPr="009276B7">
        <w:rPr>
          <w:rFonts w:ascii="Times New Roman" w:hAnsi="Times New Roman"/>
          <w:szCs w:val="24"/>
        </w:rPr>
        <w:t xml:space="preserve"> </w:t>
      </w:r>
      <w:r w:rsidRPr="009276B7">
        <w:rPr>
          <w:rFonts w:ascii="Times New Roman" w:hAnsi="Times New Roman"/>
          <w:szCs w:val="24"/>
          <w:u w:val="single"/>
        </w:rPr>
        <w:t>Total annual hour burden:</w:t>
      </w:r>
      <w:r w:rsidRPr="009276B7">
        <w:rPr>
          <w:rFonts w:ascii="Times New Roman" w:hAnsi="Times New Roman"/>
          <w:szCs w:val="24"/>
        </w:rPr>
        <w:t xml:space="preserve"> </w:t>
      </w:r>
      <w:r w:rsidRPr="009276B7" w:rsidR="00826A69">
        <w:rPr>
          <w:rFonts w:ascii="Times New Roman" w:hAnsi="Times New Roman"/>
          <w:szCs w:val="24"/>
        </w:rPr>
        <w:t xml:space="preserve"> </w:t>
      </w:r>
      <w:r w:rsidRPr="009276B7" w:rsidR="00920EB7">
        <w:rPr>
          <w:rFonts w:ascii="Times New Roman" w:hAnsi="Times New Roman"/>
          <w:szCs w:val="24"/>
        </w:rPr>
        <w:t>666,66</w:t>
      </w:r>
      <w:r w:rsidRPr="009276B7" w:rsidR="001E616A">
        <w:rPr>
          <w:rFonts w:ascii="Times New Roman" w:hAnsi="Times New Roman"/>
          <w:szCs w:val="24"/>
        </w:rPr>
        <w:t>0</w:t>
      </w:r>
      <w:r w:rsidRPr="009276B7" w:rsidR="00920EB7">
        <w:rPr>
          <w:rFonts w:ascii="Times New Roman" w:hAnsi="Times New Roman"/>
          <w:szCs w:val="24"/>
        </w:rPr>
        <w:t xml:space="preserve"> hours</w:t>
      </w:r>
      <w:r w:rsidRPr="009276B7" w:rsidR="00BA1FC0">
        <w:rPr>
          <w:rFonts w:ascii="Times New Roman" w:hAnsi="Times New Roman"/>
          <w:szCs w:val="24"/>
        </w:rPr>
        <w:t xml:space="preserve"> (rounded </w:t>
      </w:r>
      <w:r w:rsidRPr="009276B7" w:rsidR="00BA1FC0">
        <w:rPr>
          <w:rFonts w:ascii="Times New Roman" w:hAnsi="Times New Roman"/>
          <w:szCs w:val="24"/>
        </w:rPr>
        <w:t>up)</w:t>
      </w:r>
      <w:r w:rsidRPr="009276B7">
        <w:rPr>
          <w:rFonts w:ascii="Times New Roman" w:hAnsi="Times New Roman"/>
          <w:b/>
          <w:szCs w:val="24"/>
        </w:rPr>
        <w:t>.</w:t>
      </w:r>
    </w:p>
    <w:p w:rsidR="00D671D3" w:rsidRPr="009276B7" w:rsidP="00526793" w14:paraId="756120E3" w14:textId="77777777">
      <w:pPr>
        <w:tabs>
          <w:tab w:val="left" w:pos="-720"/>
        </w:tabs>
        <w:suppressAutoHyphens/>
        <w:rPr>
          <w:rFonts w:ascii="Times New Roman" w:hAnsi="Times New Roman"/>
          <w:szCs w:val="24"/>
        </w:rPr>
      </w:pPr>
      <w:r w:rsidRPr="009276B7">
        <w:rPr>
          <w:rFonts w:ascii="Times New Roman" w:hAnsi="Times New Roman"/>
          <w:szCs w:val="24"/>
        </w:rPr>
        <w:tab/>
      </w:r>
      <w:r w:rsidRPr="009276B7">
        <w:rPr>
          <w:rFonts w:ascii="Times New Roman" w:hAnsi="Times New Roman"/>
          <w:szCs w:val="24"/>
        </w:rPr>
        <w:tab/>
      </w:r>
      <w:r w:rsidRPr="009276B7">
        <w:rPr>
          <w:rFonts w:ascii="Times New Roman" w:hAnsi="Times New Roman"/>
          <w:szCs w:val="24"/>
        </w:rPr>
        <w:tab/>
        <w:t>(</w:t>
      </w:r>
      <w:r w:rsidRPr="009276B7" w:rsidR="00D62965">
        <w:rPr>
          <w:rFonts w:ascii="Times New Roman" w:hAnsi="Times New Roman"/>
          <w:szCs w:val="24"/>
        </w:rPr>
        <w:t>5</w:t>
      </w:r>
      <w:r w:rsidRPr="009276B7">
        <w:rPr>
          <w:rFonts w:ascii="Times New Roman" w:hAnsi="Times New Roman"/>
          <w:szCs w:val="24"/>
        </w:rPr>
        <w:t xml:space="preserve">) </w:t>
      </w:r>
      <w:r w:rsidRPr="009276B7">
        <w:rPr>
          <w:rFonts w:ascii="Times New Roman" w:hAnsi="Times New Roman"/>
          <w:szCs w:val="24"/>
          <w:u w:val="single"/>
        </w:rPr>
        <w:t>How the burden was estimated</w:t>
      </w:r>
      <w:r w:rsidRPr="009276B7">
        <w:rPr>
          <w:rFonts w:ascii="Times New Roman" w:hAnsi="Times New Roman"/>
          <w:szCs w:val="24"/>
        </w:rPr>
        <w:t xml:space="preserve">: </w:t>
      </w:r>
      <w:r w:rsidRPr="009276B7" w:rsidR="00826A69">
        <w:rPr>
          <w:rFonts w:ascii="Times New Roman" w:hAnsi="Times New Roman"/>
          <w:szCs w:val="24"/>
        </w:rPr>
        <w:t xml:space="preserve"> </w:t>
      </w:r>
      <w:r w:rsidRPr="009276B7">
        <w:rPr>
          <w:rFonts w:ascii="Times New Roman" w:hAnsi="Times New Roman"/>
          <w:szCs w:val="24"/>
        </w:rPr>
        <w:t xml:space="preserve">Based on the </w:t>
      </w:r>
      <w:r w:rsidRPr="009276B7" w:rsidR="004F6D6A">
        <w:rPr>
          <w:rFonts w:ascii="Times New Roman" w:hAnsi="Times New Roman"/>
          <w:szCs w:val="24"/>
        </w:rPr>
        <w:t xml:space="preserve">amount of time it would take wireline and CMRS providers to complete local service request standardized </w:t>
      </w:r>
      <w:r w:rsidRPr="009276B7" w:rsidR="00F91BEE">
        <w:rPr>
          <w:rFonts w:ascii="Times New Roman" w:hAnsi="Times New Roman"/>
          <w:szCs w:val="24"/>
        </w:rPr>
        <w:t xml:space="preserve">data </w:t>
      </w:r>
      <w:r w:rsidRPr="009276B7" w:rsidR="004F6D6A">
        <w:rPr>
          <w:rFonts w:ascii="Times New Roman" w:hAnsi="Times New Roman"/>
          <w:szCs w:val="24"/>
        </w:rPr>
        <w:t xml:space="preserve">fields for </w:t>
      </w:r>
      <w:r w:rsidRPr="009276B7" w:rsidR="00920EB7">
        <w:rPr>
          <w:rFonts w:ascii="Times New Roman" w:hAnsi="Times New Roman"/>
          <w:szCs w:val="24"/>
        </w:rPr>
        <w:t xml:space="preserve">every </w:t>
      </w:r>
      <w:r w:rsidRPr="009276B7" w:rsidR="004F6D6A">
        <w:rPr>
          <w:rFonts w:ascii="Times New Roman" w:hAnsi="Times New Roman"/>
          <w:szCs w:val="24"/>
        </w:rPr>
        <w:t xml:space="preserve">simple intermodal and </w:t>
      </w:r>
      <w:r w:rsidRPr="009276B7" w:rsidR="006D0941">
        <w:rPr>
          <w:rFonts w:ascii="Times New Roman" w:hAnsi="Times New Roman"/>
          <w:szCs w:val="24"/>
        </w:rPr>
        <w:t>wireline</w:t>
      </w:r>
      <w:r w:rsidRPr="009276B7" w:rsidR="004F6D6A">
        <w:rPr>
          <w:rFonts w:ascii="Times New Roman" w:hAnsi="Times New Roman"/>
          <w:szCs w:val="24"/>
        </w:rPr>
        <w:t xml:space="preserve"> port.</w:t>
      </w:r>
      <w:r w:rsidRPr="009276B7" w:rsidR="00526793">
        <w:rPr>
          <w:rFonts w:ascii="Times New Roman" w:hAnsi="Times New Roman"/>
          <w:szCs w:val="24"/>
        </w:rPr>
        <w:t xml:space="preserve">  We estimate an average of 1,626 carriers that engage </w:t>
      </w:r>
    </w:p>
    <w:p w:rsidR="00526793" w:rsidRPr="009276B7" w:rsidP="00526793" w14:paraId="2A378F3D" w14:textId="77777777">
      <w:pPr>
        <w:tabs>
          <w:tab w:val="left" w:pos="-720"/>
        </w:tabs>
        <w:suppressAutoHyphens/>
        <w:rPr>
          <w:rFonts w:ascii="Times New Roman" w:hAnsi="Times New Roman"/>
          <w:szCs w:val="24"/>
        </w:rPr>
      </w:pPr>
      <w:r w:rsidRPr="009276B7">
        <w:rPr>
          <w:rFonts w:ascii="Times New Roman" w:hAnsi="Times New Roman"/>
          <w:szCs w:val="24"/>
        </w:rPr>
        <w:t>in simple intermodal and wireline ports.  We also estimate an average total of 10,000,000 simple intermodal and wireline ports per year.  Accordingly, we estimate that each of the 1,626 carriers completes an average of 6,150 simple intermodal and wireline ports per year (10,000,000/1,626= 6,150).</w:t>
      </w:r>
    </w:p>
    <w:p w:rsidR="00754492" w14:paraId="307EEADB" w14:textId="152D1B7E">
      <w:pPr>
        <w:tabs>
          <w:tab w:val="left" w:pos="-720"/>
        </w:tabs>
        <w:suppressAutoHyphens/>
        <w:rPr>
          <w:rFonts w:ascii="Times New Roman" w:hAnsi="Times New Roman"/>
          <w:szCs w:val="24"/>
        </w:rPr>
      </w:pPr>
      <w:r w:rsidRPr="009276B7">
        <w:rPr>
          <w:rFonts w:ascii="Times New Roman" w:hAnsi="Times New Roman"/>
          <w:szCs w:val="24"/>
        </w:rPr>
        <w:tab/>
      </w:r>
      <w:r w:rsidRPr="009276B7">
        <w:rPr>
          <w:rFonts w:ascii="Times New Roman" w:hAnsi="Times New Roman"/>
          <w:szCs w:val="24"/>
        </w:rPr>
        <w:tab/>
      </w:r>
      <w:r w:rsidRPr="009276B7">
        <w:rPr>
          <w:rFonts w:ascii="Times New Roman" w:hAnsi="Times New Roman"/>
          <w:szCs w:val="24"/>
        </w:rPr>
        <w:tab/>
        <w:t>(</w:t>
      </w:r>
      <w:r w:rsidRPr="009276B7" w:rsidR="00D62965">
        <w:rPr>
          <w:rFonts w:ascii="Times New Roman" w:hAnsi="Times New Roman"/>
          <w:szCs w:val="24"/>
        </w:rPr>
        <w:t>6</w:t>
      </w:r>
      <w:r w:rsidRPr="009276B7">
        <w:rPr>
          <w:rFonts w:ascii="Times New Roman" w:hAnsi="Times New Roman"/>
          <w:szCs w:val="24"/>
        </w:rPr>
        <w:t xml:space="preserve">) </w:t>
      </w:r>
      <w:r w:rsidRPr="009276B7" w:rsidR="00D7198F">
        <w:rPr>
          <w:rFonts w:ascii="Times New Roman" w:hAnsi="Times New Roman"/>
          <w:szCs w:val="24"/>
          <w:u w:val="single"/>
        </w:rPr>
        <w:t>Estimate</w:t>
      </w:r>
      <w:r w:rsidRPr="009276B7">
        <w:rPr>
          <w:rFonts w:ascii="Times New Roman" w:hAnsi="Times New Roman"/>
          <w:szCs w:val="24"/>
          <w:u w:val="single"/>
        </w:rPr>
        <w:t xml:space="preserve"> of </w:t>
      </w:r>
      <w:r w:rsidRPr="009276B7" w:rsidR="00A8215C">
        <w:rPr>
          <w:rFonts w:ascii="Times New Roman" w:hAnsi="Times New Roman"/>
          <w:szCs w:val="24"/>
          <w:u w:val="single"/>
        </w:rPr>
        <w:t xml:space="preserve">in-house </w:t>
      </w:r>
      <w:r w:rsidRPr="009276B7">
        <w:rPr>
          <w:rFonts w:ascii="Times New Roman" w:hAnsi="Times New Roman"/>
          <w:szCs w:val="24"/>
          <w:u w:val="single"/>
        </w:rPr>
        <w:t xml:space="preserve">cost to respondent for </w:t>
      </w:r>
      <w:r w:rsidRPr="009276B7" w:rsidR="00D7198F">
        <w:rPr>
          <w:rFonts w:ascii="Times New Roman" w:hAnsi="Times New Roman"/>
          <w:szCs w:val="24"/>
          <w:u w:val="single"/>
        </w:rPr>
        <w:t>the hour burdens for collection</w:t>
      </w:r>
      <w:r w:rsidRPr="009276B7">
        <w:rPr>
          <w:rFonts w:ascii="Times New Roman" w:hAnsi="Times New Roman"/>
          <w:szCs w:val="24"/>
          <w:u w:val="single"/>
        </w:rPr>
        <w:t xml:space="preserve"> of information</w:t>
      </w:r>
      <w:r w:rsidRPr="009276B7">
        <w:rPr>
          <w:rFonts w:ascii="Times New Roman" w:hAnsi="Times New Roman"/>
          <w:szCs w:val="24"/>
        </w:rPr>
        <w:t xml:space="preserve">:  </w:t>
      </w:r>
      <w:r w:rsidRPr="009276B7" w:rsidR="00920EB7">
        <w:rPr>
          <w:rFonts w:ascii="Times New Roman" w:hAnsi="Times New Roman"/>
          <w:szCs w:val="24"/>
        </w:rPr>
        <w:t>666,66</w:t>
      </w:r>
      <w:r w:rsidRPr="009276B7" w:rsidR="001E616A">
        <w:rPr>
          <w:rFonts w:ascii="Times New Roman" w:hAnsi="Times New Roman"/>
          <w:szCs w:val="24"/>
        </w:rPr>
        <w:t>0</w:t>
      </w:r>
      <w:r w:rsidRPr="009276B7" w:rsidR="00920EB7">
        <w:rPr>
          <w:rFonts w:ascii="Times New Roman" w:hAnsi="Times New Roman"/>
          <w:szCs w:val="24"/>
        </w:rPr>
        <w:t xml:space="preserve"> hours</w:t>
      </w:r>
      <w:r w:rsidRPr="009276B7">
        <w:rPr>
          <w:rFonts w:ascii="Times New Roman" w:hAnsi="Times New Roman"/>
          <w:szCs w:val="24"/>
        </w:rPr>
        <w:t xml:space="preserve"> x $</w:t>
      </w:r>
      <w:r w:rsidRPr="009276B7" w:rsidR="007C38E0">
        <w:rPr>
          <w:rFonts w:ascii="Times New Roman" w:hAnsi="Times New Roman"/>
          <w:szCs w:val="24"/>
        </w:rPr>
        <w:t>3</w:t>
      </w:r>
      <w:r w:rsidR="00921EBF">
        <w:rPr>
          <w:rFonts w:ascii="Times New Roman" w:hAnsi="Times New Roman"/>
          <w:szCs w:val="24"/>
        </w:rPr>
        <w:t>3.63</w:t>
      </w:r>
      <w:r w:rsidRPr="009276B7" w:rsidR="003E08AE">
        <w:rPr>
          <w:rFonts w:ascii="Times New Roman" w:hAnsi="Times New Roman"/>
          <w:szCs w:val="24"/>
        </w:rPr>
        <w:t xml:space="preserve"> </w:t>
      </w:r>
      <w:r w:rsidRPr="009276B7" w:rsidR="0025063D">
        <w:rPr>
          <w:rFonts w:ascii="Times New Roman" w:hAnsi="Times New Roman"/>
          <w:szCs w:val="24"/>
        </w:rPr>
        <w:t>per hour</w:t>
      </w:r>
      <w:r w:rsidRPr="009276B7" w:rsidR="009F2014">
        <w:rPr>
          <w:rFonts w:ascii="Times New Roman" w:hAnsi="Times New Roman"/>
          <w:szCs w:val="24"/>
        </w:rPr>
        <w:t xml:space="preserve"> (comparable to a GS </w:t>
      </w:r>
      <w:r w:rsidRPr="009276B7" w:rsidR="0025063D">
        <w:rPr>
          <w:rFonts w:ascii="Times New Roman" w:hAnsi="Times New Roman"/>
          <w:szCs w:val="24"/>
        </w:rPr>
        <w:t>8</w:t>
      </w:r>
      <w:r w:rsidRPr="009276B7" w:rsidR="009F2014">
        <w:rPr>
          <w:rFonts w:ascii="Times New Roman" w:hAnsi="Times New Roman"/>
          <w:szCs w:val="24"/>
        </w:rPr>
        <w:t xml:space="preserve">, step </w:t>
      </w:r>
      <w:r w:rsidRPr="009276B7" w:rsidR="0025063D">
        <w:rPr>
          <w:rFonts w:ascii="Times New Roman" w:hAnsi="Times New Roman"/>
          <w:szCs w:val="24"/>
        </w:rPr>
        <w:t>5</w:t>
      </w:r>
      <w:r w:rsidRPr="009276B7" w:rsidR="009F2014">
        <w:rPr>
          <w:rFonts w:ascii="Times New Roman" w:hAnsi="Times New Roman"/>
          <w:szCs w:val="24"/>
        </w:rPr>
        <w:t xml:space="preserve"> hourly rate) </w:t>
      </w:r>
      <w:r w:rsidRPr="009276B7">
        <w:rPr>
          <w:rFonts w:ascii="Times New Roman" w:hAnsi="Times New Roman"/>
          <w:szCs w:val="24"/>
        </w:rPr>
        <w:t>= $</w:t>
      </w:r>
      <w:r w:rsidR="00921EBF">
        <w:rPr>
          <w:rFonts w:ascii="Times New Roman" w:hAnsi="Times New Roman"/>
          <w:szCs w:val="24"/>
        </w:rPr>
        <w:t>22,419,775.80</w:t>
      </w:r>
      <w:r w:rsidRPr="009276B7">
        <w:rPr>
          <w:rFonts w:ascii="Times New Roman" w:hAnsi="Times New Roman"/>
          <w:szCs w:val="24"/>
        </w:rPr>
        <w:t>.</w:t>
      </w:r>
      <w:r w:rsidRPr="009276B7">
        <w:rPr>
          <w:rFonts w:ascii="Times New Roman" w:hAnsi="Times New Roman"/>
          <w:szCs w:val="24"/>
        </w:rPr>
        <w:tab/>
      </w:r>
    </w:p>
    <w:p w:rsidR="00482FB9" w:rsidRPr="007C0621" w14:paraId="006446ED" w14:textId="77777777">
      <w:pPr>
        <w:tabs>
          <w:tab w:val="left" w:pos="-720"/>
        </w:tabs>
        <w:suppressAutoHyphens/>
        <w:rPr>
          <w:rFonts w:ascii="Times New Roman" w:hAnsi="Times New Roman"/>
          <w:szCs w:val="24"/>
        </w:rPr>
      </w:pPr>
    </w:p>
    <w:p w:rsidR="0042369B" w:rsidRPr="007C0621" w:rsidP="0042369B" w14:paraId="61D882D5" w14:textId="65789742">
      <w:pPr>
        <w:ind w:left="360"/>
        <w:rPr>
          <w:rFonts w:ascii="Times New Roman" w:hAnsi="Times New Roman"/>
          <w:bCs/>
          <w:iCs/>
          <w:spacing w:val="-3"/>
          <w:szCs w:val="24"/>
          <w:shd w:val="clear" w:color="auto" w:fill="FFFFFF"/>
        </w:rPr>
      </w:pPr>
      <w:r w:rsidRPr="007C0621">
        <w:rPr>
          <w:rFonts w:ascii="Times New Roman" w:hAnsi="Times New Roman"/>
          <w:szCs w:val="24"/>
        </w:rPr>
        <w:tab/>
      </w:r>
      <w:r w:rsidRPr="007C0621">
        <w:rPr>
          <w:rFonts w:ascii="Times New Roman" w:hAnsi="Times New Roman"/>
          <w:b/>
          <w:i/>
          <w:spacing w:val="-3"/>
          <w:szCs w:val="24"/>
          <w:shd w:val="clear" w:color="auto" w:fill="FFFFFF"/>
        </w:rPr>
        <w:t>New Information Collection Requirements—paragraph (e):</w:t>
      </w:r>
    </w:p>
    <w:p w:rsidR="0042369B" w:rsidRPr="007C0621" w14:paraId="7C149AA3" w14:textId="4A200D9B">
      <w:pPr>
        <w:tabs>
          <w:tab w:val="left" w:pos="-720"/>
        </w:tabs>
        <w:suppressAutoHyphens/>
        <w:rPr>
          <w:rFonts w:ascii="Times New Roman" w:hAnsi="Times New Roman"/>
          <w:szCs w:val="24"/>
        </w:rPr>
      </w:pPr>
    </w:p>
    <w:p w:rsidR="0042369B" w:rsidRPr="007C0621" w14:paraId="2177E409" w14:textId="13F850C4">
      <w:pPr>
        <w:tabs>
          <w:tab w:val="left" w:pos="-720"/>
        </w:tabs>
        <w:suppressAutoHyphens/>
        <w:rPr>
          <w:rFonts w:ascii="Times New Roman" w:hAnsi="Times New Roman"/>
          <w:szCs w:val="24"/>
          <w:u w:val="single"/>
        </w:rPr>
      </w:pPr>
      <w:r w:rsidRPr="007C0621">
        <w:rPr>
          <w:rFonts w:ascii="Times New Roman" w:hAnsi="Times New Roman"/>
          <w:szCs w:val="24"/>
        </w:rPr>
        <w:tab/>
        <w:t xml:space="preserve">e. </w:t>
      </w:r>
      <w:r w:rsidRPr="007C0621">
        <w:rPr>
          <w:rFonts w:ascii="Times New Roman" w:hAnsi="Times New Roman"/>
          <w:szCs w:val="24"/>
          <w:u w:val="single"/>
        </w:rPr>
        <w:t>Number Portability Requirements for Wireless Providers.</w:t>
      </w:r>
    </w:p>
    <w:p w:rsidR="0042369B" w:rsidRPr="00B47C2D" w14:paraId="3443F22B" w14:textId="77777777">
      <w:pPr>
        <w:tabs>
          <w:tab w:val="left" w:pos="-720"/>
        </w:tabs>
        <w:suppressAutoHyphens/>
        <w:rPr>
          <w:rFonts w:ascii="Times New Roman" w:hAnsi="Times New Roman"/>
          <w:szCs w:val="24"/>
          <w:u w:val="single"/>
        </w:rPr>
      </w:pPr>
    </w:p>
    <w:p w:rsidR="00482FB9" w:rsidRPr="00060845" w:rsidP="00B47C2D" w14:paraId="7F36661A" w14:textId="40FBF6F5">
      <w:pPr>
        <w:spacing w:line="257" w:lineRule="auto"/>
        <w:ind w:firstLine="720"/>
        <w:rPr>
          <w:szCs w:val="24"/>
        </w:rPr>
      </w:pPr>
      <w:r w:rsidRPr="00B47C2D">
        <w:rPr>
          <w:rFonts w:ascii="Times New Roman" w:hAnsi="Times New Roman"/>
          <w:szCs w:val="24"/>
        </w:rPr>
        <w:t>(1)</w:t>
      </w:r>
      <w:r w:rsidRPr="00B47C2D">
        <w:rPr>
          <w:rFonts w:ascii="Times New Roman" w:hAnsi="Times New Roman"/>
          <w:szCs w:val="24"/>
        </w:rPr>
        <w:t xml:space="preserve"> § </w:t>
      </w:r>
      <w:r w:rsidRPr="00B47C2D">
        <w:rPr>
          <w:rFonts w:ascii="Times New Roman" w:hAnsi="Times New Roman"/>
          <w:szCs w:val="24"/>
        </w:rPr>
        <w:t>52.37(c)</w:t>
      </w:r>
      <w:r w:rsidRPr="00B47C2D">
        <w:rPr>
          <w:rFonts w:ascii="Times New Roman" w:hAnsi="Times New Roman"/>
          <w:szCs w:val="24"/>
        </w:rPr>
        <w:t xml:space="preserve"> Customer notification of </w:t>
      </w:r>
      <w:r w:rsidRPr="00B47C2D">
        <w:rPr>
          <w:rFonts w:ascii="Times New Roman" w:hAnsi="Times New Roman"/>
          <w:szCs w:val="24"/>
        </w:rPr>
        <w:t>port-out</w:t>
      </w:r>
      <w:r w:rsidRPr="00B47C2D">
        <w:rPr>
          <w:rFonts w:ascii="Times New Roman" w:hAnsi="Times New Roman"/>
          <w:szCs w:val="24"/>
        </w:rPr>
        <w:t xml:space="preserve"> requests. </w:t>
      </w:r>
    </w:p>
    <w:p w:rsidR="00482FB9" w:rsidRPr="00B47C2D" w:rsidP="00482FB9" w14:paraId="64F7E58F" w14:textId="23D38E49">
      <w:pPr>
        <w:spacing w:after="160" w:line="257" w:lineRule="auto"/>
        <w:rPr>
          <w:rFonts w:ascii="Times New Roman" w:hAnsi="Times New Roman"/>
          <w:szCs w:val="24"/>
        </w:rPr>
      </w:pPr>
      <w:r w:rsidRPr="00B47C2D">
        <w:rPr>
          <w:rFonts w:ascii="Times New Roman" w:hAnsi="Times New Roman"/>
          <w:szCs w:val="24"/>
        </w:rPr>
        <w:t xml:space="preserve">To provide customers with an early warning that their account may be subject to fraudulent activity, CMRS providers are required to provide immediate notification to a customer that a </w:t>
      </w:r>
      <w:r w:rsidRPr="00B47C2D" w:rsidR="0042369B">
        <w:rPr>
          <w:rFonts w:ascii="Times New Roman" w:hAnsi="Times New Roman"/>
          <w:szCs w:val="24"/>
        </w:rPr>
        <w:t>port-out</w:t>
      </w:r>
      <w:r w:rsidRPr="00B47C2D">
        <w:rPr>
          <w:rFonts w:ascii="Times New Roman" w:hAnsi="Times New Roman"/>
          <w:szCs w:val="24"/>
        </w:rPr>
        <w:t xml:space="preserve"> request associated with the customer’s account was made, sent in accordance with customer preferences, if indicated, and specify that the notification must be sent before the </w:t>
      </w:r>
      <w:r w:rsidRPr="00B47C2D" w:rsidR="0042369B">
        <w:rPr>
          <w:rFonts w:ascii="Times New Roman" w:hAnsi="Times New Roman"/>
          <w:szCs w:val="24"/>
        </w:rPr>
        <w:t>port-out</w:t>
      </w:r>
      <w:r w:rsidRPr="00B47C2D">
        <w:rPr>
          <w:rFonts w:ascii="Times New Roman" w:hAnsi="Times New Roman"/>
          <w:szCs w:val="24"/>
        </w:rPr>
        <w:t xml:space="preserve"> is effectuated, except to the extent otherwise required by the Safe Connections Act.  This would include delivering a notification in the language of the customer’s choosing, if the CMRS provider permits communications preferences in other languages and the customer has previously indicated such choice.  Compliance also may require system upgrades to handle increased customer notification volumes and development for pre-paid notifications.  Providers have flexibility to determine the most appropriate methods to provide the required notifications, so that providers can account for the complexities of notifications in various contexts as well as the technical capabilities, accessibility needs, or broadband access of individual customers.  Providers are permitted to use existing methods of notification that are reasonably designed to reach the customer associated with the account.</w:t>
      </w:r>
    </w:p>
    <w:p w:rsidR="00482FB9" w:rsidRPr="00B47C2D" w:rsidP="00482FB9" w14:paraId="368B84A3" w14:textId="77777777">
      <w:pPr>
        <w:pStyle w:val="ListParagraph"/>
        <w:numPr>
          <w:ilvl w:val="0"/>
          <w:numId w:val="7"/>
        </w:numPr>
        <w:spacing w:line="257" w:lineRule="auto"/>
        <w:ind w:left="1080"/>
        <w:rPr>
          <w:sz w:val="24"/>
          <w:szCs w:val="24"/>
        </w:rPr>
      </w:pPr>
      <w:r w:rsidRPr="00B47C2D">
        <w:rPr>
          <w:sz w:val="24"/>
          <w:szCs w:val="24"/>
        </w:rPr>
        <w:t>Total Number of Respondents (CMRS Providers):  600</w:t>
      </w:r>
    </w:p>
    <w:p w:rsidR="00482FB9" w:rsidRPr="00B47C2D" w:rsidP="00482FB9" w14:paraId="216C319D" w14:textId="4DEDF138">
      <w:pPr>
        <w:pStyle w:val="ListParagraph"/>
        <w:numPr>
          <w:ilvl w:val="0"/>
          <w:numId w:val="7"/>
        </w:numPr>
        <w:spacing w:line="257" w:lineRule="auto"/>
        <w:ind w:left="1080"/>
        <w:rPr>
          <w:sz w:val="24"/>
          <w:szCs w:val="24"/>
        </w:rPr>
      </w:pPr>
      <w:r w:rsidRPr="00B47C2D">
        <w:rPr>
          <w:sz w:val="24"/>
          <w:szCs w:val="24"/>
        </w:rPr>
        <w:t xml:space="preserve">Frequency of Response:  </w:t>
      </w:r>
      <w:r w:rsidRPr="7F2667BC" w:rsidR="00EC0CA4">
        <w:rPr>
          <w:sz w:val="22"/>
          <w:szCs w:val="22"/>
        </w:rPr>
        <w:t>Third-party disclosure</w:t>
      </w:r>
      <w:r w:rsidR="00EC0CA4">
        <w:rPr>
          <w:sz w:val="22"/>
          <w:szCs w:val="22"/>
        </w:rPr>
        <w:t>;</w:t>
      </w:r>
      <w:r w:rsidRPr="00B47C2D" w:rsidR="00EC0CA4">
        <w:rPr>
          <w:sz w:val="24"/>
          <w:szCs w:val="24"/>
        </w:rPr>
        <w:t xml:space="preserve"> </w:t>
      </w:r>
      <w:r w:rsidRPr="00B47C2D">
        <w:rPr>
          <w:sz w:val="24"/>
          <w:szCs w:val="24"/>
        </w:rPr>
        <w:t>Design, development, and implementation of procedures.</w:t>
      </w:r>
    </w:p>
    <w:p w:rsidR="00362347" w:rsidP="00362347" w14:paraId="7D1A84C6" w14:textId="6C72C537">
      <w:pPr>
        <w:spacing w:after="160" w:line="257" w:lineRule="auto"/>
        <w:ind w:firstLine="720"/>
        <w:rPr>
          <w:rFonts w:ascii="Times New Roman" w:hAnsi="Times New Roman"/>
          <w:szCs w:val="24"/>
        </w:rPr>
      </w:pPr>
      <w:r w:rsidRPr="00B47C2D">
        <w:rPr>
          <w:rFonts w:ascii="Times New Roman" w:hAnsi="Times New Roman"/>
          <w:szCs w:val="24"/>
        </w:rPr>
        <w:t xml:space="preserve"> </w:t>
      </w:r>
      <w:r>
        <w:rPr>
          <w:rFonts w:ascii="Times New Roman" w:hAnsi="Times New Roman"/>
          <w:szCs w:val="24"/>
        </w:rPr>
        <w:t>(3) Number of Responses</w:t>
      </w:r>
      <w:r w:rsidR="004372AF">
        <w:rPr>
          <w:rFonts w:ascii="Times New Roman" w:hAnsi="Times New Roman"/>
          <w:szCs w:val="24"/>
        </w:rPr>
        <w:t xml:space="preserve"> Annually</w:t>
      </w:r>
      <w:r>
        <w:rPr>
          <w:rFonts w:ascii="Times New Roman" w:hAnsi="Times New Roman"/>
          <w:szCs w:val="24"/>
        </w:rPr>
        <w:t>: 3,650,000 responses</w:t>
      </w:r>
    </w:p>
    <w:p w:rsidR="000C0FA4" w:rsidRPr="001C2D09" w:rsidP="000C0FA4" w14:paraId="1991E526" w14:textId="77777777">
      <w:pPr>
        <w:spacing w:after="160" w:line="257" w:lineRule="auto"/>
        <w:ind w:firstLine="720"/>
        <w:rPr>
          <w:sz w:val="22"/>
          <w:szCs w:val="22"/>
        </w:rPr>
      </w:pPr>
      <w:r>
        <w:rPr>
          <w:sz w:val="22"/>
          <w:szCs w:val="22"/>
        </w:rPr>
        <w:t>Wireless providers typically report less than 1% churn rate of their customers.  Thus w</w:t>
      </w:r>
      <w:r w:rsidRPr="00FC13C4">
        <w:rPr>
          <w:sz w:val="22"/>
          <w:szCs w:val="22"/>
        </w:rPr>
        <w:t xml:space="preserve">e conservatively estimate that approximately </w:t>
      </w:r>
      <w:r>
        <w:rPr>
          <w:sz w:val="22"/>
          <w:szCs w:val="22"/>
        </w:rPr>
        <w:t>1%</w:t>
      </w:r>
      <w:r w:rsidRPr="00FC13C4">
        <w:rPr>
          <w:sz w:val="22"/>
          <w:szCs w:val="22"/>
        </w:rPr>
        <w:t xml:space="preserve"> of wireless customers will request a </w:t>
      </w:r>
      <w:r>
        <w:rPr>
          <w:sz w:val="22"/>
          <w:szCs w:val="22"/>
        </w:rPr>
        <w:t>port-out</w:t>
      </w:r>
      <w:r w:rsidRPr="00FC13C4">
        <w:rPr>
          <w:sz w:val="22"/>
          <w:szCs w:val="22"/>
        </w:rPr>
        <w:t xml:space="preserve"> each year.  </w:t>
      </w:r>
      <w:r>
        <w:rPr>
          <w:sz w:val="22"/>
          <w:szCs w:val="22"/>
        </w:rPr>
        <w:t>Further, since we</w:t>
      </w:r>
      <w:r w:rsidRPr="00C426F7">
        <w:rPr>
          <w:sz w:val="22"/>
          <w:szCs w:val="22"/>
        </w:rPr>
        <w:t xml:space="preserve"> expect these notifications to be automated, the only cost is in designing and implementing the system.</w:t>
      </w:r>
    </w:p>
    <w:p w:rsidR="00362347" w:rsidRPr="00FC13C4" w:rsidP="00362347" w14:paraId="48B9CDEA" w14:textId="0D10AB44">
      <w:pPr>
        <w:spacing w:after="160" w:line="257" w:lineRule="auto"/>
        <w:rPr>
          <w:sz w:val="22"/>
          <w:szCs w:val="22"/>
        </w:rPr>
      </w:pPr>
      <w:r w:rsidRPr="00FC13C4">
        <w:rPr>
          <w:sz w:val="22"/>
          <w:szCs w:val="22"/>
        </w:rPr>
        <w:t>Assuming approximately 365,000,000 wireless customers x 0.</w:t>
      </w:r>
      <w:r>
        <w:rPr>
          <w:sz w:val="22"/>
          <w:szCs w:val="22"/>
        </w:rPr>
        <w:t>01</w:t>
      </w:r>
      <w:r w:rsidRPr="00FC13C4">
        <w:rPr>
          <w:sz w:val="22"/>
          <w:szCs w:val="22"/>
        </w:rPr>
        <w:t xml:space="preserve"> = 3</w:t>
      </w:r>
      <w:r>
        <w:rPr>
          <w:sz w:val="22"/>
          <w:szCs w:val="22"/>
        </w:rPr>
        <w:t>,</w:t>
      </w:r>
      <w:r w:rsidRPr="00FC13C4">
        <w:rPr>
          <w:sz w:val="22"/>
          <w:szCs w:val="22"/>
        </w:rPr>
        <w:t>650</w:t>
      </w:r>
      <w:r>
        <w:rPr>
          <w:sz w:val="22"/>
          <w:szCs w:val="22"/>
        </w:rPr>
        <w:t>,</w:t>
      </w:r>
      <w:r w:rsidRPr="00FC13C4">
        <w:rPr>
          <w:sz w:val="22"/>
          <w:szCs w:val="22"/>
        </w:rPr>
        <w:t>000 responses</w:t>
      </w:r>
    </w:p>
    <w:p w:rsidR="00482FB9" w:rsidRPr="00B47C2D" w:rsidP="00482FB9" w14:paraId="4EB82A0D" w14:textId="2BBC2CFD">
      <w:pPr>
        <w:spacing w:after="160" w:line="257" w:lineRule="auto"/>
        <w:ind w:left="720"/>
        <w:rPr>
          <w:rFonts w:ascii="Times New Roman" w:hAnsi="Times New Roman"/>
          <w:szCs w:val="24"/>
        </w:rPr>
      </w:pPr>
    </w:p>
    <w:p w:rsidR="007403F1" w:rsidP="007403F1" w14:paraId="1ADE8430" w14:textId="77777777">
      <w:pPr>
        <w:spacing w:after="160" w:line="257" w:lineRule="auto"/>
        <w:ind w:firstLine="720"/>
        <w:rPr>
          <w:rFonts w:ascii="Times New Roman" w:hAnsi="Times New Roman"/>
          <w:szCs w:val="24"/>
        </w:rPr>
      </w:pPr>
      <w:r>
        <w:rPr>
          <w:rFonts w:ascii="Times New Roman" w:hAnsi="Times New Roman"/>
          <w:szCs w:val="24"/>
        </w:rPr>
        <w:t>4) Total Annual Burden Hours: 48</w:t>
      </w:r>
      <w:r w:rsidRPr="00B47C2D">
        <w:rPr>
          <w:rFonts w:ascii="Times New Roman" w:hAnsi="Times New Roman"/>
          <w:szCs w:val="24"/>
        </w:rPr>
        <w:t xml:space="preserve">,000 hours </w:t>
      </w:r>
    </w:p>
    <w:p w:rsidR="00482FB9" w:rsidRPr="00B47C2D" w:rsidP="007403F1" w14:paraId="0A3222A5" w14:textId="7AEAC041">
      <w:pPr>
        <w:spacing w:after="160" w:line="257" w:lineRule="auto"/>
        <w:ind w:firstLine="720"/>
        <w:rPr>
          <w:rFonts w:ascii="Times New Roman" w:hAnsi="Times New Roman"/>
          <w:szCs w:val="24"/>
        </w:rPr>
      </w:pPr>
      <w:r w:rsidRPr="00B47C2D">
        <w:rPr>
          <w:rFonts w:ascii="Times New Roman" w:hAnsi="Times New Roman"/>
          <w:szCs w:val="24"/>
        </w:rPr>
        <w:t xml:space="preserve">CMRS providers should already have processes in place to immediately notify customers of certain account changes in accordance with existing rules, which should enable them to build on these processes to provide immediate notification regarding </w:t>
      </w:r>
      <w:r w:rsidRPr="00B47C2D" w:rsidR="0042369B">
        <w:rPr>
          <w:rFonts w:ascii="Times New Roman" w:hAnsi="Times New Roman"/>
          <w:szCs w:val="24"/>
        </w:rPr>
        <w:t>port-out</w:t>
      </w:r>
      <w:r w:rsidRPr="00B47C2D">
        <w:rPr>
          <w:rFonts w:ascii="Times New Roman" w:hAnsi="Times New Roman"/>
          <w:szCs w:val="24"/>
        </w:rPr>
        <w:t xml:space="preserve"> requests, thereby minimizing potential burdens associated with this new rule.  The record demonstrates that some providers already notify customers of </w:t>
      </w:r>
      <w:r w:rsidRPr="00B47C2D" w:rsidR="0042369B">
        <w:rPr>
          <w:rFonts w:ascii="Times New Roman" w:hAnsi="Times New Roman"/>
          <w:szCs w:val="24"/>
        </w:rPr>
        <w:t>port-out</w:t>
      </w:r>
      <w:r w:rsidRPr="00B47C2D">
        <w:rPr>
          <w:rFonts w:ascii="Times New Roman" w:hAnsi="Times New Roman"/>
          <w:szCs w:val="24"/>
        </w:rPr>
        <w:t xml:space="preserve"> requests in most instances and therefore will only need to update their processes to notify customers in all cases.  </w:t>
      </w:r>
    </w:p>
    <w:p w:rsidR="00482FB9" w:rsidP="00482FB9" w14:paraId="4067D953" w14:textId="52297B04">
      <w:pPr>
        <w:spacing w:after="160" w:line="257" w:lineRule="auto"/>
        <w:rPr>
          <w:rFonts w:ascii="Times New Roman" w:hAnsi="Times New Roman"/>
          <w:szCs w:val="24"/>
        </w:rPr>
      </w:pPr>
      <w:r w:rsidRPr="00B47C2D">
        <w:rPr>
          <w:rFonts w:ascii="Times New Roman" w:hAnsi="Times New Roman"/>
          <w:szCs w:val="24"/>
        </w:rPr>
        <w:t xml:space="preserve">For these reasons, the Commission estimates that respondents in the aggregate (i.e., certain respondents will require significantly more hours and many other respondents will require significantly less hours) will require approximately </w:t>
      </w:r>
      <w:r w:rsidR="00A140CB">
        <w:rPr>
          <w:rFonts w:ascii="Times New Roman" w:hAnsi="Times New Roman"/>
          <w:szCs w:val="24"/>
        </w:rPr>
        <w:t>8</w:t>
      </w:r>
      <w:r w:rsidRPr="00B47C2D">
        <w:rPr>
          <w:rFonts w:ascii="Times New Roman" w:hAnsi="Times New Roman"/>
          <w:szCs w:val="24"/>
        </w:rPr>
        <w:t xml:space="preserve">0 hours to build on existing processes to provide immediate notification to a customer that a </w:t>
      </w:r>
      <w:r w:rsidRPr="00B47C2D" w:rsidR="0042369B">
        <w:rPr>
          <w:rFonts w:ascii="Times New Roman" w:hAnsi="Times New Roman"/>
          <w:szCs w:val="24"/>
        </w:rPr>
        <w:t>port-out</w:t>
      </w:r>
      <w:r w:rsidRPr="00B47C2D">
        <w:rPr>
          <w:rFonts w:ascii="Times New Roman" w:hAnsi="Times New Roman"/>
          <w:szCs w:val="24"/>
        </w:rPr>
        <w:t xml:space="preserve"> request associated with the customer’s account was made, including employee training.  Our burden estimate takes into consideration that respondents will be able to leverage the resources utilized while simultaneously preparing to come into compliance with the similar immediate customer notification requirement for port-out requests adopted in this proceeding and to come into compliance with the Safe Connections Act and its implementing regulations.</w:t>
      </w:r>
    </w:p>
    <w:p w:rsidR="00482FB9" w:rsidRPr="00B47C2D" w:rsidP="00482FB9" w14:paraId="6B0926A2" w14:textId="4CA998EE">
      <w:pPr>
        <w:spacing w:after="160" w:line="257" w:lineRule="auto"/>
        <w:rPr>
          <w:rFonts w:ascii="Times New Roman" w:hAnsi="Times New Roman"/>
          <w:szCs w:val="24"/>
        </w:rPr>
      </w:pPr>
      <w:r w:rsidRPr="00B47C2D">
        <w:rPr>
          <w:rFonts w:ascii="Times New Roman" w:hAnsi="Times New Roman"/>
          <w:b/>
          <w:bCs/>
          <w:szCs w:val="24"/>
        </w:rPr>
        <w:t>Total Cumulative Burden Hours</w:t>
      </w:r>
      <w:r w:rsidRPr="00B47C2D">
        <w:rPr>
          <w:rFonts w:ascii="Times New Roman" w:hAnsi="Times New Roman"/>
          <w:szCs w:val="24"/>
        </w:rPr>
        <w:t xml:space="preserve">:  600 respondents x </w:t>
      </w:r>
      <w:r w:rsidR="00A140CB">
        <w:rPr>
          <w:rFonts w:ascii="Times New Roman" w:hAnsi="Times New Roman"/>
          <w:szCs w:val="24"/>
        </w:rPr>
        <w:t>8</w:t>
      </w:r>
      <w:r w:rsidRPr="00B47C2D">
        <w:rPr>
          <w:rFonts w:ascii="Times New Roman" w:hAnsi="Times New Roman"/>
          <w:szCs w:val="24"/>
        </w:rPr>
        <w:t xml:space="preserve">0 hours = </w:t>
      </w:r>
      <w:r w:rsidR="00A140CB">
        <w:rPr>
          <w:rFonts w:ascii="Times New Roman" w:hAnsi="Times New Roman"/>
          <w:szCs w:val="24"/>
        </w:rPr>
        <w:t>48</w:t>
      </w:r>
      <w:r w:rsidRPr="00B47C2D">
        <w:rPr>
          <w:rFonts w:ascii="Times New Roman" w:hAnsi="Times New Roman"/>
          <w:szCs w:val="24"/>
        </w:rPr>
        <w:t>,000 hours</w:t>
      </w:r>
    </w:p>
    <w:p w:rsidR="004F36FF" w:rsidRPr="00F40CB9" w:rsidP="00482FB9" w14:paraId="3DC1FB9C" w14:textId="77777777">
      <w:pPr>
        <w:spacing w:after="160" w:line="257" w:lineRule="auto"/>
        <w:rPr>
          <w:rFonts w:ascii="Times New Roman" w:hAnsi="Times New Roman"/>
          <w:szCs w:val="24"/>
        </w:rPr>
      </w:pPr>
      <w:r>
        <w:rPr>
          <w:rFonts w:ascii="Times New Roman" w:hAnsi="Times New Roman"/>
          <w:szCs w:val="24"/>
        </w:rPr>
        <w:t xml:space="preserve">5) </w:t>
      </w:r>
      <w:r w:rsidRPr="00F40CB9">
        <w:rPr>
          <w:rFonts w:ascii="Times New Roman" w:hAnsi="Times New Roman"/>
          <w:szCs w:val="24"/>
        </w:rPr>
        <w:t xml:space="preserve">Estimate of in-house cost to respondent for the hour burdens for collection of information </w:t>
      </w:r>
    </w:p>
    <w:p w:rsidR="00482FB9" w:rsidRPr="00B47C2D" w:rsidP="00482FB9" w14:paraId="591BFAC1" w14:textId="4FC117FC">
      <w:pPr>
        <w:spacing w:after="160" w:line="257" w:lineRule="auto"/>
        <w:rPr>
          <w:rFonts w:ascii="Times New Roman" w:hAnsi="Times New Roman"/>
          <w:szCs w:val="24"/>
        </w:rPr>
      </w:pPr>
      <w:r w:rsidRPr="00B47C2D">
        <w:rPr>
          <w:rFonts w:ascii="Times New Roman" w:hAnsi="Times New Roman"/>
          <w:szCs w:val="24"/>
        </w:rPr>
        <w:t xml:space="preserve">The Commission assumes that respondents will use personnel comparable in pay to a GS-14/Step 5 ($75.70/hour) Federal employee, plus 30% overhead, to develop, test, and implement procedures to provide immediate notification that a </w:t>
      </w:r>
      <w:r w:rsidRPr="00B47C2D" w:rsidR="0042369B">
        <w:rPr>
          <w:rFonts w:ascii="Times New Roman" w:hAnsi="Times New Roman"/>
          <w:szCs w:val="24"/>
        </w:rPr>
        <w:t>port-out</w:t>
      </w:r>
      <w:r w:rsidRPr="00B47C2D">
        <w:rPr>
          <w:rFonts w:ascii="Times New Roman" w:hAnsi="Times New Roman"/>
          <w:szCs w:val="24"/>
        </w:rPr>
        <w:t xml:space="preserve"> request was made.  </w:t>
      </w:r>
    </w:p>
    <w:p w:rsidR="00482FB9" w:rsidRPr="00B47C2D" w:rsidP="00482FB9" w14:paraId="216F9927" w14:textId="635B8826">
      <w:pPr>
        <w:spacing w:after="160" w:line="257" w:lineRule="auto"/>
        <w:rPr>
          <w:rFonts w:ascii="Times New Roman" w:hAnsi="Times New Roman"/>
          <w:szCs w:val="24"/>
        </w:rPr>
      </w:pPr>
      <w:r w:rsidRPr="00B47C2D">
        <w:rPr>
          <w:rFonts w:ascii="Times New Roman" w:hAnsi="Times New Roman"/>
          <w:b/>
          <w:bCs/>
          <w:szCs w:val="24"/>
        </w:rPr>
        <w:t xml:space="preserve">Estimated Cumulative In-House Cost to Respondents: </w:t>
      </w:r>
      <w:r w:rsidRPr="00B47C2D">
        <w:rPr>
          <w:rFonts w:ascii="Times New Roman" w:hAnsi="Times New Roman"/>
          <w:szCs w:val="24"/>
        </w:rPr>
        <w:tab/>
      </w:r>
      <w:r w:rsidR="00513662">
        <w:rPr>
          <w:rFonts w:ascii="Times New Roman" w:hAnsi="Times New Roman"/>
          <w:szCs w:val="24"/>
        </w:rPr>
        <w:t>48</w:t>
      </w:r>
      <w:r w:rsidRPr="00B47C2D">
        <w:rPr>
          <w:rFonts w:ascii="Times New Roman" w:hAnsi="Times New Roman"/>
          <w:szCs w:val="24"/>
        </w:rPr>
        <w:t>,000 x $75.70 = $</w:t>
      </w:r>
      <w:r w:rsidR="00F94CD9">
        <w:rPr>
          <w:rFonts w:ascii="Times New Roman" w:hAnsi="Times New Roman"/>
          <w:szCs w:val="24"/>
        </w:rPr>
        <w:t>3,633,6</w:t>
      </w:r>
      <w:r w:rsidR="00B2752D">
        <w:rPr>
          <w:rFonts w:ascii="Times New Roman" w:hAnsi="Times New Roman"/>
          <w:szCs w:val="24"/>
        </w:rPr>
        <w:t>00</w:t>
      </w:r>
    </w:p>
    <w:p w:rsidR="00482FB9" w:rsidRPr="00B47C2D" w:rsidP="00482FB9" w14:paraId="51533B3E" w14:textId="05920496">
      <w:pPr>
        <w:spacing w:after="160" w:line="257" w:lineRule="auto"/>
        <w:rPr>
          <w:rFonts w:ascii="Times New Roman" w:hAnsi="Times New Roman"/>
          <w:szCs w:val="24"/>
          <w:u w:val="single"/>
        </w:rPr>
      </w:pPr>
      <w:r w:rsidRPr="00B47C2D">
        <w:rPr>
          <w:rFonts w:ascii="Times New Roman" w:hAnsi="Times New Roman"/>
          <w:szCs w:val="24"/>
        </w:rPr>
        <w:t xml:space="preserve">      </w:t>
      </w:r>
      <w:r w:rsidR="00513662">
        <w:rPr>
          <w:rFonts w:ascii="Times New Roman" w:hAnsi="Times New Roman"/>
          <w:szCs w:val="24"/>
        </w:rPr>
        <w:tab/>
      </w:r>
      <w:r w:rsidR="00513662">
        <w:rPr>
          <w:rFonts w:ascii="Times New Roman" w:hAnsi="Times New Roman"/>
          <w:szCs w:val="24"/>
        </w:rPr>
        <w:tab/>
      </w:r>
      <w:r w:rsidR="00513662">
        <w:rPr>
          <w:rFonts w:ascii="Times New Roman" w:hAnsi="Times New Roman"/>
          <w:szCs w:val="24"/>
        </w:rPr>
        <w:tab/>
      </w:r>
      <w:r w:rsidR="00513662">
        <w:rPr>
          <w:rFonts w:ascii="Times New Roman" w:hAnsi="Times New Roman"/>
          <w:szCs w:val="24"/>
        </w:rPr>
        <w:tab/>
      </w:r>
      <w:r w:rsidR="00513662">
        <w:rPr>
          <w:rFonts w:ascii="Times New Roman" w:hAnsi="Times New Roman"/>
          <w:szCs w:val="24"/>
        </w:rPr>
        <w:tab/>
      </w:r>
      <w:r w:rsidR="00513662">
        <w:rPr>
          <w:rFonts w:ascii="Times New Roman" w:hAnsi="Times New Roman"/>
          <w:szCs w:val="24"/>
        </w:rPr>
        <w:tab/>
      </w:r>
      <w:r w:rsidR="00513662">
        <w:rPr>
          <w:rFonts w:ascii="Times New Roman" w:hAnsi="Times New Roman"/>
          <w:szCs w:val="24"/>
        </w:rPr>
        <w:tab/>
      </w:r>
      <w:r w:rsidR="00513662">
        <w:rPr>
          <w:rFonts w:ascii="Times New Roman" w:hAnsi="Times New Roman"/>
          <w:szCs w:val="24"/>
        </w:rPr>
        <w:tab/>
        <w:t>+</w:t>
      </w:r>
      <w:r w:rsidRPr="00B47C2D">
        <w:rPr>
          <w:rFonts w:ascii="Times New Roman" w:hAnsi="Times New Roman"/>
          <w:szCs w:val="24"/>
        </w:rPr>
        <w:t xml:space="preserve">30% overhead = </w:t>
      </w:r>
      <w:r w:rsidRPr="00B47C2D">
        <w:rPr>
          <w:rFonts w:ascii="Times New Roman" w:hAnsi="Times New Roman"/>
          <w:szCs w:val="24"/>
          <w:u w:val="single"/>
        </w:rPr>
        <w:t>$</w:t>
      </w:r>
      <w:r w:rsidR="00F94CD9">
        <w:rPr>
          <w:rFonts w:ascii="Times New Roman" w:hAnsi="Times New Roman"/>
          <w:szCs w:val="24"/>
          <w:u w:val="single"/>
        </w:rPr>
        <w:t>1,090,080</w:t>
      </w:r>
    </w:p>
    <w:p w:rsidR="00482FB9" w:rsidRPr="00B47C2D" w:rsidP="00482FB9" w14:paraId="01149DB5" w14:textId="22642BD6">
      <w:pPr>
        <w:spacing w:after="160" w:line="257" w:lineRule="auto"/>
        <w:rPr>
          <w:rFonts w:ascii="Times New Roman" w:hAnsi="Times New Roman"/>
          <w:szCs w:val="24"/>
        </w:rPr>
      </w:pPr>
      <w:r w:rsidRPr="00B47C2D">
        <w:rPr>
          <w:rFonts w:ascii="Times New Roman" w:hAnsi="Times New Roman"/>
          <w:b/>
          <w:bCs/>
          <w:szCs w:val="24"/>
        </w:rPr>
        <w:t>Estimated Total Cumulative In-House Cost to Respondents:</w:t>
      </w:r>
      <w:r w:rsidRPr="00B47C2D">
        <w:rPr>
          <w:rFonts w:ascii="Times New Roman" w:hAnsi="Times New Roman"/>
          <w:szCs w:val="24"/>
        </w:rPr>
        <w:tab/>
      </w:r>
      <w:r w:rsidRPr="00B47C2D">
        <w:rPr>
          <w:rFonts w:ascii="Times New Roman" w:hAnsi="Times New Roman"/>
          <w:szCs w:val="24"/>
        </w:rPr>
        <w:tab/>
        <w:t xml:space="preserve"> = $</w:t>
      </w:r>
      <w:r w:rsidR="001622FD">
        <w:rPr>
          <w:rFonts w:ascii="Times New Roman" w:hAnsi="Times New Roman"/>
          <w:szCs w:val="24"/>
        </w:rPr>
        <w:t>4,723,680</w:t>
      </w:r>
    </w:p>
    <w:p w:rsidR="00482FB9" w:rsidRPr="00B47C2D" w:rsidP="00482FB9" w14:paraId="0EF2D69D" w14:textId="7BBD0724">
      <w:pPr>
        <w:spacing w:after="160" w:line="257" w:lineRule="auto"/>
        <w:rPr>
          <w:rFonts w:ascii="Times New Roman" w:hAnsi="Times New Roman"/>
          <w:szCs w:val="24"/>
        </w:rPr>
      </w:pPr>
      <w:r w:rsidRPr="00B47C2D">
        <w:rPr>
          <w:rFonts w:ascii="Times New Roman" w:hAnsi="Times New Roman"/>
          <w:b/>
          <w:bCs/>
          <w:szCs w:val="24"/>
        </w:rPr>
        <w:t>Average Cost per Respondent to Design, Develop, and Implement</w:t>
      </w:r>
      <w:r w:rsidR="009E7A08">
        <w:rPr>
          <w:rFonts w:ascii="Times New Roman" w:hAnsi="Times New Roman"/>
          <w:b/>
          <w:bCs/>
          <w:szCs w:val="24"/>
        </w:rPr>
        <w:t>:</w:t>
      </w:r>
      <w:r w:rsidRPr="00B47C2D">
        <w:rPr>
          <w:rFonts w:ascii="Times New Roman" w:hAnsi="Times New Roman"/>
          <w:szCs w:val="24"/>
        </w:rPr>
        <w:t xml:space="preserve"> $</w:t>
      </w:r>
      <w:r w:rsidR="009E7A08">
        <w:rPr>
          <w:rFonts w:ascii="Times New Roman" w:hAnsi="Times New Roman"/>
          <w:szCs w:val="24"/>
        </w:rPr>
        <w:t>4,723,680</w:t>
      </w:r>
      <w:r w:rsidRPr="00B47C2D">
        <w:rPr>
          <w:rFonts w:ascii="Times New Roman" w:hAnsi="Times New Roman"/>
          <w:szCs w:val="24"/>
        </w:rPr>
        <w:t>/600 = $</w:t>
      </w:r>
      <w:r w:rsidR="009E7A08">
        <w:rPr>
          <w:rFonts w:ascii="Times New Roman" w:hAnsi="Times New Roman"/>
          <w:szCs w:val="24"/>
        </w:rPr>
        <w:t>7,873</w:t>
      </w:r>
    </w:p>
    <w:p w:rsidR="00482FB9" w:rsidRPr="00B47C2D" w:rsidP="00482FB9" w14:paraId="151FFECF" w14:textId="77777777">
      <w:pPr>
        <w:spacing w:line="257" w:lineRule="auto"/>
        <w:ind w:left="720"/>
        <w:rPr>
          <w:rFonts w:ascii="Times New Roman" w:hAnsi="Times New Roman"/>
          <w:szCs w:val="24"/>
        </w:rPr>
      </w:pPr>
      <w:r w:rsidRPr="00B47C2D">
        <w:rPr>
          <w:rFonts w:ascii="Times New Roman" w:hAnsi="Times New Roman"/>
          <w:szCs w:val="24"/>
        </w:rPr>
        <w:t xml:space="preserve"> </w:t>
      </w:r>
    </w:p>
    <w:p w:rsidR="00482FB9" w:rsidRPr="00B47C2D" w:rsidP="00B47C2D" w14:paraId="501E37C2" w14:textId="25440484">
      <w:pPr>
        <w:spacing w:line="257" w:lineRule="auto"/>
        <w:ind w:left="360" w:firstLine="360"/>
        <w:rPr>
          <w:szCs w:val="24"/>
        </w:rPr>
      </w:pPr>
      <w:r>
        <w:rPr>
          <w:rFonts w:ascii="Times New Roman" w:hAnsi="Times New Roman"/>
          <w:szCs w:val="24"/>
        </w:rPr>
        <w:t xml:space="preserve">f.  </w:t>
      </w:r>
      <w:r w:rsidRPr="00B47C2D">
        <w:rPr>
          <w:rFonts w:ascii="Times New Roman" w:hAnsi="Times New Roman"/>
          <w:szCs w:val="24"/>
          <w:u w:val="single"/>
        </w:rPr>
        <w:t xml:space="preserve">§ </w:t>
      </w:r>
      <w:r w:rsidRPr="00B47C2D" w:rsidR="007C0621">
        <w:rPr>
          <w:rFonts w:ascii="Times New Roman" w:hAnsi="Times New Roman"/>
          <w:szCs w:val="24"/>
          <w:u w:val="single"/>
        </w:rPr>
        <w:t>52.37(e</w:t>
      </w:r>
      <w:r w:rsidRPr="00B47C2D">
        <w:rPr>
          <w:rFonts w:ascii="Times New Roman" w:hAnsi="Times New Roman"/>
          <w:szCs w:val="24"/>
          <w:u w:val="single"/>
        </w:rPr>
        <w:t>) Notice of account protection measures</w:t>
      </w:r>
      <w:r w:rsidRPr="00B47C2D">
        <w:rPr>
          <w:rFonts w:ascii="Times New Roman" w:hAnsi="Times New Roman"/>
          <w:szCs w:val="24"/>
        </w:rPr>
        <w:t xml:space="preserve">. </w:t>
      </w:r>
    </w:p>
    <w:p w:rsidR="00482FB9" w:rsidRPr="00B47C2D" w:rsidP="00482FB9" w14:paraId="324DF208" w14:textId="7ABADC78">
      <w:pPr>
        <w:spacing w:after="160" w:line="257" w:lineRule="auto"/>
        <w:rPr>
          <w:rFonts w:ascii="Times New Roman" w:hAnsi="Times New Roman"/>
          <w:szCs w:val="24"/>
        </w:rPr>
      </w:pPr>
      <w:r w:rsidRPr="00B47C2D">
        <w:rPr>
          <w:rFonts w:ascii="Times New Roman" w:hAnsi="Times New Roman"/>
          <w:szCs w:val="24"/>
        </w:rPr>
        <w:t xml:space="preserve">CMRS providers are required to provide customers with notice of any account protection measures offered, including those to prevent </w:t>
      </w:r>
      <w:r w:rsidR="007C0621">
        <w:rPr>
          <w:rFonts w:ascii="Times New Roman" w:hAnsi="Times New Roman"/>
          <w:szCs w:val="24"/>
        </w:rPr>
        <w:t>port-out</w:t>
      </w:r>
      <w:r w:rsidRPr="00B47C2D">
        <w:rPr>
          <w:rFonts w:ascii="Times New Roman" w:hAnsi="Times New Roman"/>
          <w:szCs w:val="24"/>
        </w:rPr>
        <w:t xml:space="preserve"> fraud.  Providers have flexibility to design the format and content of the required notice, but must use clear and concise language and make the notice easily accessible via provider websites and applications. The record demonstrates that some wireless providers have already developed content to educate customers about some account protection measures.</w:t>
      </w:r>
    </w:p>
    <w:p w:rsidR="00482FB9" w:rsidRPr="00B47C2D" w:rsidP="00482FB9" w14:paraId="734AED9A" w14:textId="02D3E573">
      <w:pPr>
        <w:spacing w:after="160" w:line="257" w:lineRule="auto"/>
        <w:rPr>
          <w:rFonts w:ascii="Times New Roman" w:hAnsi="Times New Roman"/>
          <w:szCs w:val="24"/>
        </w:rPr>
      </w:pPr>
      <w:r w:rsidRPr="00B47C2D">
        <w:rPr>
          <w:rFonts w:ascii="Times New Roman" w:hAnsi="Times New Roman"/>
          <w:szCs w:val="24"/>
        </w:rPr>
        <w:t xml:space="preserve">Given that providers already develop content to educate customers about their product and service offerings and display such content on their websites and applications, the Commission believes that compliance with this requirement will have a negligible impact.  Our burden estimate takes into consideration that respondents will be able to leverage the resources utilized </w:t>
      </w:r>
      <w:r w:rsidRPr="00B47C2D">
        <w:rPr>
          <w:rFonts w:ascii="Times New Roman" w:hAnsi="Times New Roman"/>
          <w:szCs w:val="24"/>
        </w:rPr>
        <w:t xml:space="preserve">while simultaneously preparing to come into compliance with the similar account protection measures to prevent </w:t>
      </w:r>
      <w:r w:rsidR="007C0621">
        <w:rPr>
          <w:rFonts w:ascii="Times New Roman" w:hAnsi="Times New Roman"/>
          <w:szCs w:val="24"/>
        </w:rPr>
        <w:t>SIM swap</w:t>
      </w:r>
      <w:r w:rsidRPr="00B47C2D">
        <w:rPr>
          <w:rFonts w:ascii="Times New Roman" w:hAnsi="Times New Roman"/>
          <w:szCs w:val="24"/>
        </w:rPr>
        <w:t xml:space="preserve"> fraud adopted same </w:t>
      </w:r>
      <w:r w:rsidRPr="00B47C2D">
        <w:rPr>
          <w:rFonts w:ascii="Times New Roman" w:hAnsi="Times New Roman"/>
          <w:i/>
          <w:iCs/>
          <w:szCs w:val="24"/>
        </w:rPr>
        <w:t>SIM Swap/Port-Out Fraud</w:t>
      </w:r>
      <w:r w:rsidRPr="00B47C2D">
        <w:rPr>
          <w:rFonts w:ascii="Times New Roman" w:hAnsi="Times New Roman"/>
          <w:szCs w:val="24"/>
        </w:rPr>
        <w:t xml:space="preserve"> proceeding.</w:t>
      </w:r>
    </w:p>
    <w:p w:rsidR="00482FB9" w:rsidRPr="00B47C2D" w:rsidP="00482FB9" w14:paraId="1C8A1ED7" w14:textId="77777777">
      <w:pPr>
        <w:spacing w:after="160" w:line="257" w:lineRule="auto"/>
        <w:ind w:firstLine="720"/>
        <w:rPr>
          <w:rFonts w:ascii="Times New Roman" w:hAnsi="Times New Roman"/>
          <w:szCs w:val="24"/>
        </w:rPr>
      </w:pPr>
      <w:r w:rsidRPr="00B47C2D">
        <w:rPr>
          <w:rFonts w:ascii="Times New Roman" w:hAnsi="Times New Roman"/>
          <w:szCs w:val="24"/>
          <w:u w:val="single"/>
        </w:rPr>
        <w:t>Notice of account protection measures</w:t>
      </w:r>
      <w:r w:rsidRPr="00B47C2D">
        <w:rPr>
          <w:rFonts w:ascii="Times New Roman" w:hAnsi="Times New Roman"/>
          <w:szCs w:val="24"/>
        </w:rPr>
        <w:t>:</w:t>
      </w:r>
    </w:p>
    <w:p w:rsidR="00482FB9" w:rsidRPr="00B47C2D" w:rsidP="00482FB9" w14:paraId="79CDD52D" w14:textId="77777777">
      <w:pPr>
        <w:pStyle w:val="ListParagraph"/>
        <w:numPr>
          <w:ilvl w:val="0"/>
          <w:numId w:val="5"/>
        </w:numPr>
        <w:spacing w:line="257" w:lineRule="auto"/>
        <w:ind w:left="1080"/>
        <w:rPr>
          <w:sz w:val="24"/>
          <w:szCs w:val="24"/>
        </w:rPr>
      </w:pPr>
      <w:r w:rsidRPr="00B47C2D">
        <w:rPr>
          <w:sz w:val="24"/>
          <w:szCs w:val="24"/>
        </w:rPr>
        <w:t>Total Number of Respondents (CMRS Providers):  600</w:t>
      </w:r>
    </w:p>
    <w:p w:rsidR="00482FB9" w:rsidRPr="00B47C2D" w:rsidP="00482FB9" w14:paraId="68780C97" w14:textId="77777777">
      <w:pPr>
        <w:pStyle w:val="ListParagraph"/>
        <w:numPr>
          <w:ilvl w:val="0"/>
          <w:numId w:val="5"/>
        </w:numPr>
        <w:spacing w:line="257" w:lineRule="auto"/>
        <w:ind w:left="1080"/>
        <w:rPr>
          <w:sz w:val="24"/>
          <w:szCs w:val="24"/>
        </w:rPr>
      </w:pPr>
      <w:r w:rsidRPr="00B47C2D">
        <w:rPr>
          <w:sz w:val="24"/>
          <w:szCs w:val="24"/>
        </w:rPr>
        <w:t>Frequency of Response:  Development and implementation of procedures.</w:t>
      </w:r>
    </w:p>
    <w:p w:rsidR="00482FB9" w:rsidP="00482FB9" w14:paraId="6087F6C3" w14:textId="52CBA03A">
      <w:pPr>
        <w:spacing w:after="160" w:line="257" w:lineRule="auto"/>
        <w:rPr>
          <w:rFonts w:ascii="Times New Roman" w:hAnsi="Times New Roman"/>
          <w:szCs w:val="24"/>
        </w:rPr>
      </w:pPr>
      <w:r w:rsidRPr="00B47C2D">
        <w:rPr>
          <w:rFonts w:ascii="Times New Roman" w:hAnsi="Times New Roman"/>
          <w:szCs w:val="24"/>
        </w:rPr>
        <w:t xml:space="preserve">The Commission estimates that respondents will require approximately 5 hours to develop and implement this measure. Our burden estimate takes into consideration that respondents will be able to leverage the resources utilized while simultaneously preparing to come into compliance with the similar account protection measures to prevent </w:t>
      </w:r>
      <w:r w:rsidR="007C0621">
        <w:rPr>
          <w:rFonts w:ascii="Times New Roman" w:hAnsi="Times New Roman"/>
          <w:szCs w:val="24"/>
        </w:rPr>
        <w:t>SIM swap</w:t>
      </w:r>
      <w:r w:rsidRPr="00B47C2D">
        <w:rPr>
          <w:rFonts w:ascii="Times New Roman" w:hAnsi="Times New Roman"/>
          <w:szCs w:val="24"/>
        </w:rPr>
        <w:t xml:space="preserve"> fraud.</w:t>
      </w:r>
    </w:p>
    <w:p w:rsidR="00614BFF" w:rsidP="00482FB9" w14:paraId="741F975C" w14:textId="42D9DA5A">
      <w:pPr>
        <w:spacing w:after="160" w:line="257" w:lineRule="auto"/>
        <w:rPr>
          <w:rFonts w:ascii="Times New Roman" w:hAnsi="Times New Roman"/>
          <w:szCs w:val="24"/>
        </w:rPr>
      </w:pPr>
      <w:r>
        <w:rPr>
          <w:rFonts w:ascii="Times New Roman" w:hAnsi="Times New Roman"/>
          <w:szCs w:val="24"/>
        </w:rPr>
        <w:tab/>
        <w:t>(3) Total Number of Responses Annually</w:t>
      </w:r>
      <w:r w:rsidR="00BC4B48">
        <w:rPr>
          <w:rFonts w:ascii="Times New Roman" w:hAnsi="Times New Roman"/>
          <w:szCs w:val="24"/>
        </w:rPr>
        <w:t>:</w:t>
      </w:r>
      <w:r w:rsidR="002F1CE8">
        <w:rPr>
          <w:rFonts w:ascii="Times New Roman" w:hAnsi="Times New Roman"/>
          <w:szCs w:val="24"/>
        </w:rPr>
        <w:t xml:space="preserve"> 600</w:t>
      </w:r>
    </w:p>
    <w:p w:rsidR="00614BFF" w:rsidRPr="00B47C2D" w:rsidP="00482FB9" w14:paraId="43E6D363" w14:textId="77CEAA16">
      <w:pPr>
        <w:spacing w:after="160" w:line="257" w:lineRule="auto"/>
        <w:rPr>
          <w:rFonts w:ascii="Times New Roman" w:hAnsi="Times New Roman"/>
          <w:szCs w:val="24"/>
        </w:rPr>
      </w:pPr>
      <w:r>
        <w:rPr>
          <w:rFonts w:ascii="Times New Roman" w:hAnsi="Times New Roman"/>
          <w:szCs w:val="24"/>
        </w:rPr>
        <w:tab/>
        <w:t xml:space="preserve">(4) Total </w:t>
      </w:r>
      <w:r w:rsidR="00BC4B48">
        <w:rPr>
          <w:rFonts w:ascii="Times New Roman" w:hAnsi="Times New Roman"/>
          <w:szCs w:val="24"/>
        </w:rPr>
        <w:t>Annual Burden Hours:</w:t>
      </w:r>
      <w:r w:rsidR="002F1CE8">
        <w:rPr>
          <w:rFonts w:ascii="Times New Roman" w:hAnsi="Times New Roman"/>
          <w:szCs w:val="24"/>
        </w:rPr>
        <w:t xml:space="preserve"> 3,000 hours</w:t>
      </w:r>
    </w:p>
    <w:p w:rsidR="00482FB9" w:rsidRPr="00B47C2D" w:rsidP="00482FB9" w14:paraId="5B1284FC" w14:textId="77777777">
      <w:pPr>
        <w:spacing w:after="160" w:line="257" w:lineRule="auto"/>
        <w:rPr>
          <w:rFonts w:ascii="Times New Roman" w:hAnsi="Times New Roman"/>
          <w:szCs w:val="24"/>
        </w:rPr>
      </w:pPr>
      <w:r w:rsidRPr="00B47C2D">
        <w:rPr>
          <w:rFonts w:ascii="Times New Roman" w:hAnsi="Times New Roman"/>
          <w:b/>
          <w:bCs/>
          <w:szCs w:val="24"/>
        </w:rPr>
        <w:t>Total Cumulative Burden Hours</w:t>
      </w:r>
      <w:r w:rsidRPr="00B47C2D">
        <w:rPr>
          <w:rFonts w:ascii="Times New Roman" w:hAnsi="Times New Roman"/>
          <w:szCs w:val="24"/>
        </w:rPr>
        <w:t>:  600 respondents x 5 hours = 3,000 hours</w:t>
      </w:r>
    </w:p>
    <w:p w:rsidR="00B47C2D" w:rsidRPr="00785FDC" w:rsidP="00B47C2D" w14:paraId="2CEC357A" w14:textId="77777777">
      <w:pPr>
        <w:spacing w:after="160" w:line="257" w:lineRule="auto"/>
        <w:rPr>
          <w:rFonts w:ascii="Times New Roman" w:hAnsi="Times New Roman"/>
          <w:szCs w:val="24"/>
        </w:rPr>
      </w:pPr>
      <w:r w:rsidRPr="00785FDC">
        <w:rPr>
          <w:rFonts w:ascii="Times New Roman" w:hAnsi="Times New Roman"/>
          <w:szCs w:val="24"/>
        </w:rPr>
        <w:t xml:space="preserve">The Commission assumes that respondents will use personnel comparable in pay to a GS-12/Step </w:t>
      </w:r>
      <w:r>
        <w:rPr>
          <w:rFonts w:ascii="Times New Roman" w:hAnsi="Times New Roman"/>
          <w:szCs w:val="24"/>
        </w:rPr>
        <w:t>5</w:t>
      </w:r>
      <w:r w:rsidRPr="00785FDC">
        <w:rPr>
          <w:rFonts w:ascii="Times New Roman" w:hAnsi="Times New Roman"/>
          <w:szCs w:val="24"/>
        </w:rPr>
        <w:t xml:space="preserve"> ($</w:t>
      </w:r>
      <w:r>
        <w:rPr>
          <w:rFonts w:ascii="Times New Roman" w:hAnsi="Times New Roman"/>
          <w:szCs w:val="24"/>
        </w:rPr>
        <w:t>53.87</w:t>
      </w:r>
      <w:r w:rsidRPr="00785FDC">
        <w:rPr>
          <w:rFonts w:ascii="Times New Roman" w:hAnsi="Times New Roman"/>
          <w:szCs w:val="24"/>
        </w:rPr>
        <w:t xml:space="preserve">/hour) Federal employee to develop content to provide customers with notice of any account protection measures offered, including to prevent </w:t>
      </w:r>
      <w:r>
        <w:rPr>
          <w:rFonts w:ascii="Times New Roman" w:hAnsi="Times New Roman"/>
          <w:szCs w:val="24"/>
        </w:rPr>
        <w:t>port-out</w:t>
      </w:r>
      <w:r w:rsidRPr="00785FDC">
        <w:rPr>
          <w:rFonts w:ascii="Times New Roman" w:hAnsi="Times New Roman"/>
          <w:szCs w:val="24"/>
        </w:rPr>
        <w:t xml:space="preserve"> fraud.  </w:t>
      </w:r>
    </w:p>
    <w:p w:rsidR="00B47C2D" w:rsidRPr="00785FDC" w:rsidP="00B47C2D" w14:paraId="7CCC5F09" w14:textId="77777777">
      <w:pPr>
        <w:rPr>
          <w:rFonts w:ascii="Times New Roman" w:hAnsi="Times New Roman"/>
          <w:szCs w:val="24"/>
        </w:rPr>
      </w:pPr>
      <w:r w:rsidRPr="00785FDC">
        <w:rPr>
          <w:rFonts w:ascii="Times New Roman" w:hAnsi="Times New Roman"/>
          <w:b/>
          <w:bCs/>
          <w:szCs w:val="24"/>
        </w:rPr>
        <w:t xml:space="preserve">Estimated Total Cumulative In-House Cost to Respondents: </w:t>
      </w:r>
      <w:r w:rsidRPr="00785FDC">
        <w:rPr>
          <w:rFonts w:ascii="Times New Roman" w:hAnsi="Times New Roman"/>
          <w:szCs w:val="24"/>
        </w:rPr>
        <w:tab/>
        <w:t>3,000 x $</w:t>
      </w:r>
      <w:r>
        <w:rPr>
          <w:rFonts w:ascii="Times New Roman" w:hAnsi="Times New Roman"/>
          <w:szCs w:val="24"/>
        </w:rPr>
        <w:t>53.87</w:t>
      </w:r>
      <w:r w:rsidRPr="00785FDC">
        <w:rPr>
          <w:rFonts w:ascii="Times New Roman" w:hAnsi="Times New Roman"/>
          <w:szCs w:val="24"/>
        </w:rPr>
        <w:t>= $</w:t>
      </w:r>
      <w:r>
        <w:rPr>
          <w:rFonts w:ascii="Times New Roman" w:hAnsi="Times New Roman"/>
          <w:szCs w:val="24"/>
        </w:rPr>
        <w:t>161,610</w:t>
      </w:r>
    </w:p>
    <w:p w:rsidR="00B47C2D" w:rsidRPr="00785FDC" w:rsidP="00B47C2D" w14:paraId="4766D4AE" w14:textId="77777777">
      <w:pPr>
        <w:ind w:left="5760" w:firstLine="720"/>
        <w:rPr>
          <w:rFonts w:ascii="Times New Roman" w:hAnsi="Times New Roman"/>
          <w:szCs w:val="24"/>
          <w:u w:val="single"/>
        </w:rPr>
      </w:pPr>
      <w:r w:rsidRPr="00785FDC">
        <w:rPr>
          <w:rFonts w:ascii="Times New Roman" w:hAnsi="Times New Roman"/>
          <w:szCs w:val="24"/>
        </w:rPr>
        <w:t xml:space="preserve"> 30% overhead =</w:t>
      </w:r>
      <w:r w:rsidRPr="00785FDC">
        <w:rPr>
          <w:rFonts w:ascii="Times New Roman" w:hAnsi="Times New Roman"/>
          <w:szCs w:val="24"/>
          <w:u w:val="single"/>
        </w:rPr>
        <w:t>$  4</w:t>
      </w:r>
      <w:r>
        <w:rPr>
          <w:rFonts w:ascii="Times New Roman" w:hAnsi="Times New Roman"/>
          <w:szCs w:val="24"/>
          <w:u w:val="single"/>
        </w:rPr>
        <w:t>8,483</w:t>
      </w:r>
    </w:p>
    <w:p w:rsidR="00B47C2D" w:rsidRPr="00785FDC" w:rsidP="00B47C2D" w14:paraId="4EF9ED27" w14:textId="77777777">
      <w:pPr>
        <w:ind w:left="7200" w:firstLine="720"/>
        <w:rPr>
          <w:rFonts w:ascii="Times New Roman" w:hAnsi="Times New Roman"/>
          <w:szCs w:val="24"/>
        </w:rPr>
      </w:pPr>
      <w:r w:rsidRPr="00785FDC">
        <w:rPr>
          <w:rFonts w:ascii="Times New Roman" w:hAnsi="Times New Roman"/>
          <w:szCs w:val="24"/>
        </w:rPr>
        <w:t xml:space="preserve"> =$</w:t>
      </w:r>
      <w:r>
        <w:rPr>
          <w:rFonts w:ascii="Times New Roman" w:hAnsi="Times New Roman"/>
          <w:szCs w:val="24"/>
        </w:rPr>
        <w:t>210,093</w:t>
      </w:r>
    </w:p>
    <w:p w:rsidR="00B47C2D" w:rsidRPr="00785FDC" w:rsidP="00B47C2D" w14:paraId="650BD81E" w14:textId="77777777">
      <w:pPr>
        <w:rPr>
          <w:rFonts w:ascii="Times New Roman" w:hAnsi="Times New Roman"/>
          <w:szCs w:val="24"/>
        </w:rPr>
      </w:pPr>
      <w:r w:rsidRPr="00785FDC">
        <w:rPr>
          <w:rFonts w:ascii="Times New Roman" w:hAnsi="Times New Roman"/>
          <w:szCs w:val="24"/>
        </w:rPr>
        <w:t xml:space="preserve"> </w:t>
      </w:r>
    </w:p>
    <w:p w:rsidR="00B47C2D" w:rsidRPr="00785FDC" w:rsidP="00B47C2D" w14:paraId="126EE6C5" w14:textId="77777777">
      <w:pPr>
        <w:spacing w:after="160" w:line="257" w:lineRule="auto"/>
        <w:rPr>
          <w:rFonts w:ascii="Times New Roman" w:hAnsi="Times New Roman"/>
          <w:szCs w:val="24"/>
        </w:rPr>
      </w:pPr>
      <w:r w:rsidRPr="00785FDC">
        <w:rPr>
          <w:rFonts w:ascii="Times New Roman" w:hAnsi="Times New Roman"/>
          <w:b/>
          <w:bCs/>
          <w:szCs w:val="24"/>
        </w:rPr>
        <w:t>Average Cost per Respondent to Develop and Implement:</w:t>
      </w:r>
      <w:r w:rsidRPr="00785FDC">
        <w:rPr>
          <w:rFonts w:ascii="Times New Roman" w:hAnsi="Times New Roman"/>
          <w:szCs w:val="24"/>
        </w:rPr>
        <w:tab/>
        <w:t xml:space="preserve">     </w:t>
      </w:r>
      <w:r w:rsidRPr="00785FDC">
        <w:rPr>
          <w:rFonts w:ascii="Times New Roman" w:hAnsi="Times New Roman"/>
          <w:szCs w:val="24"/>
        </w:rPr>
        <w:tab/>
        <w:t xml:space="preserve">            $</w:t>
      </w:r>
      <w:r>
        <w:rPr>
          <w:rFonts w:ascii="Times New Roman" w:hAnsi="Times New Roman"/>
          <w:szCs w:val="24"/>
        </w:rPr>
        <w:t>210,093</w:t>
      </w:r>
      <w:r w:rsidRPr="00785FDC">
        <w:rPr>
          <w:rFonts w:ascii="Times New Roman" w:hAnsi="Times New Roman"/>
          <w:szCs w:val="24"/>
        </w:rPr>
        <w:t>/600 = $3</w:t>
      </w:r>
      <w:r>
        <w:rPr>
          <w:rFonts w:ascii="Times New Roman" w:hAnsi="Times New Roman"/>
          <w:szCs w:val="24"/>
        </w:rPr>
        <w:t>50</w:t>
      </w:r>
    </w:p>
    <w:p w:rsidR="00B47C2D" w:rsidRPr="001E09BC" w:rsidP="00B47C2D" w14:paraId="4397CE4F" w14:textId="77777777">
      <w:pPr>
        <w:spacing w:after="160" w:line="257" w:lineRule="auto"/>
        <w:rPr>
          <w:rFonts w:ascii="Times New Roman" w:hAnsi="Times New Roman"/>
          <w:szCs w:val="24"/>
        </w:rPr>
      </w:pPr>
      <w:r w:rsidRPr="00785FDC">
        <w:rPr>
          <w:rFonts w:ascii="Times New Roman" w:hAnsi="Times New Roman"/>
          <w:szCs w:val="24"/>
        </w:rPr>
        <w:t xml:space="preserve"> </w:t>
      </w:r>
    </w:p>
    <w:p w:rsidR="00B47C2D" w:rsidRPr="001E09BC" w:rsidP="00B47C2D" w14:paraId="31D29620" w14:textId="4B6607A2">
      <w:pPr>
        <w:spacing w:line="257" w:lineRule="auto"/>
        <w:ind w:left="360" w:firstLine="360"/>
        <w:rPr>
          <w:rFonts w:ascii="Times New Roman" w:hAnsi="Times New Roman"/>
          <w:szCs w:val="24"/>
        </w:rPr>
      </w:pPr>
      <w:r w:rsidRPr="001E09BC">
        <w:rPr>
          <w:rFonts w:ascii="Times New Roman" w:hAnsi="Times New Roman"/>
          <w:szCs w:val="24"/>
        </w:rPr>
        <w:t xml:space="preserve">g. </w:t>
      </w:r>
      <w:r w:rsidRPr="001E09BC" w:rsidR="0054758A">
        <w:rPr>
          <w:rFonts w:ascii="Times New Roman" w:hAnsi="Times New Roman"/>
          <w:szCs w:val="24"/>
          <w:u w:val="single"/>
        </w:rPr>
        <w:t>Processes for receiving port-out fraud reports</w:t>
      </w:r>
      <w:r w:rsidRPr="001E09BC">
        <w:rPr>
          <w:rFonts w:ascii="Times New Roman" w:hAnsi="Times New Roman"/>
          <w:szCs w:val="24"/>
        </w:rPr>
        <w:t xml:space="preserve">. </w:t>
      </w:r>
    </w:p>
    <w:p w:rsidR="00B47C2D" w:rsidRPr="001E09BC" w:rsidP="00B47C2D" w14:paraId="76D612E7" w14:textId="6F717324">
      <w:pPr>
        <w:spacing w:after="160" w:line="257" w:lineRule="auto"/>
        <w:rPr>
          <w:rFonts w:ascii="Times New Roman" w:hAnsi="Times New Roman"/>
          <w:szCs w:val="24"/>
        </w:rPr>
      </w:pPr>
      <w:r w:rsidRPr="001E09BC">
        <w:rPr>
          <w:rFonts w:ascii="Times New Roman" w:hAnsi="Times New Roman"/>
          <w:szCs w:val="24"/>
        </w:rPr>
        <w:t xml:space="preserve">CMRS providers are required to maintain a clearly disclosed, easy-to-use and transparent process for reporting port-out fraud, and promptly provide customers, at no cost, with documentation of fraud involving their accounts upon request.  Providers have flexibility to determine the form and content of such documentation.    </w:t>
      </w:r>
    </w:p>
    <w:p w:rsidR="00B47C2D" w:rsidRPr="001E09BC" w:rsidP="00B47C2D" w14:paraId="5224D68C" w14:textId="77777777">
      <w:pPr>
        <w:pStyle w:val="ListParagraph"/>
        <w:numPr>
          <w:ilvl w:val="0"/>
          <w:numId w:val="4"/>
        </w:numPr>
        <w:spacing w:line="257" w:lineRule="auto"/>
        <w:ind w:left="1080"/>
        <w:rPr>
          <w:sz w:val="24"/>
          <w:szCs w:val="24"/>
        </w:rPr>
      </w:pPr>
      <w:r w:rsidRPr="001E09BC">
        <w:rPr>
          <w:sz w:val="24"/>
          <w:szCs w:val="24"/>
        </w:rPr>
        <w:t>Total Number of Respondents (CMRS Providers):  600</w:t>
      </w:r>
    </w:p>
    <w:p w:rsidR="00B47C2D" w:rsidRPr="001E09BC" w:rsidP="00B47C2D" w14:paraId="6A4787FB" w14:textId="48789BCD">
      <w:pPr>
        <w:pStyle w:val="ListParagraph"/>
        <w:numPr>
          <w:ilvl w:val="0"/>
          <w:numId w:val="4"/>
        </w:numPr>
        <w:spacing w:line="257" w:lineRule="auto"/>
        <w:ind w:left="1080"/>
        <w:rPr>
          <w:sz w:val="24"/>
          <w:szCs w:val="24"/>
        </w:rPr>
      </w:pPr>
      <w:r w:rsidRPr="001E09BC">
        <w:rPr>
          <w:sz w:val="24"/>
          <w:szCs w:val="24"/>
        </w:rPr>
        <w:t>Frequency of Response:  Development and implementation of procedures</w:t>
      </w:r>
      <w:r w:rsidRPr="001E09BC" w:rsidR="00707DE2">
        <w:rPr>
          <w:sz w:val="24"/>
          <w:szCs w:val="24"/>
        </w:rPr>
        <w:t>; third party disclosures</w:t>
      </w:r>
      <w:r w:rsidRPr="001E09BC">
        <w:rPr>
          <w:sz w:val="24"/>
          <w:szCs w:val="24"/>
        </w:rPr>
        <w:t>.</w:t>
      </w:r>
    </w:p>
    <w:p w:rsidR="0063762D" w:rsidRPr="001E09BC" w:rsidP="00107E63" w14:paraId="4D503831" w14:textId="48A5B735">
      <w:pPr>
        <w:pStyle w:val="ListParagraph"/>
        <w:spacing w:after="160" w:line="257" w:lineRule="auto"/>
        <w:rPr>
          <w:sz w:val="24"/>
          <w:szCs w:val="24"/>
        </w:rPr>
      </w:pPr>
      <w:r w:rsidRPr="001E09BC">
        <w:rPr>
          <w:sz w:val="24"/>
          <w:szCs w:val="24"/>
        </w:rPr>
        <w:t xml:space="preserve">(3) Total Number of Responses Annually: </w:t>
      </w:r>
      <w:r w:rsidRPr="001E09BC" w:rsidR="00077D9C">
        <w:rPr>
          <w:sz w:val="24"/>
          <w:szCs w:val="24"/>
        </w:rPr>
        <w:t>19,450</w:t>
      </w:r>
      <w:r w:rsidRPr="001E09BC">
        <w:rPr>
          <w:sz w:val="24"/>
          <w:szCs w:val="24"/>
        </w:rPr>
        <w:t xml:space="preserve"> responses</w:t>
      </w:r>
    </w:p>
    <w:p w:rsidR="0063762D" w:rsidRPr="001E09BC" w:rsidP="00107E63" w14:paraId="19888526" w14:textId="18527D43">
      <w:pPr>
        <w:pStyle w:val="ListParagraph"/>
        <w:spacing w:after="160" w:line="257" w:lineRule="auto"/>
        <w:rPr>
          <w:sz w:val="24"/>
          <w:szCs w:val="24"/>
        </w:rPr>
      </w:pPr>
      <w:r w:rsidRPr="001E09BC">
        <w:rPr>
          <w:sz w:val="24"/>
          <w:szCs w:val="24"/>
        </w:rPr>
        <w:t>Development of process for reporting fraud (600) + disclosure of fraud reporting process (600) + documentation of fraud upon customer request (0.5%</w:t>
      </w:r>
      <w:r>
        <w:rPr>
          <w:rStyle w:val="FootnoteReference"/>
          <w:rFonts w:ascii="Times New Roman" w:hAnsi="Times New Roman"/>
          <w:szCs w:val="24"/>
        </w:rPr>
        <w:footnoteReference w:id="26"/>
      </w:r>
      <w:r w:rsidRPr="001E09BC">
        <w:rPr>
          <w:sz w:val="24"/>
          <w:szCs w:val="24"/>
        </w:rPr>
        <w:t xml:space="preserve"> of </w:t>
      </w:r>
      <w:r w:rsidRPr="001E09BC" w:rsidR="00074B0C">
        <w:rPr>
          <w:sz w:val="24"/>
          <w:szCs w:val="24"/>
        </w:rPr>
        <w:t xml:space="preserve">3,650,000 port-out </w:t>
      </w:r>
      <w:r w:rsidRPr="001E09BC">
        <w:rPr>
          <w:sz w:val="24"/>
          <w:szCs w:val="24"/>
        </w:rPr>
        <w:t>requests</w:t>
      </w:r>
      <w:r w:rsidRPr="001E09BC" w:rsidR="004F309F">
        <w:rPr>
          <w:sz w:val="24"/>
          <w:szCs w:val="24"/>
        </w:rPr>
        <w:t xml:space="preserve"> </w:t>
      </w:r>
      <w:r w:rsidRPr="001E09BC">
        <w:rPr>
          <w:sz w:val="24"/>
          <w:szCs w:val="24"/>
        </w:rPr>
        <w:t xml:space="preserve">=  </w:t>
      </w:r>
      <w:r w:rsidRPr="001E09BC" w:rsidR="004F309F">
        <w:rPr>
          <w:sz w:val="24"/>
          <w:szCs w:val="24"/>
        </w:rPr>
        <w:t>18,250</w:t>
      </w:r>
      <w:r w:rsidRPr="001E09BC">
        <w:rPr>
          <w:sz w:val="24"/>
          <w:szCs w:val="24"/>
        </w:rPr>
        <w:t xml:space="preserve">) = </w:t>
      </w:r>
      <w:r w:rsidRPr="001E09BC" w:rsidR="0069161D">
        <w:rPr>
          <w:sz w:val="24"/>
          <w:szCs w:val="24"/>
        </w:rPr>
        <w:t>19</w:t>
      </w:r>
      <w:r w:rsidRPr="001E09BC">
        <w:rPr>
          <w:sz w:val="24"/>
          <w:szCs w:val="24"/>
        </w:rPr>
        <w:t>,450 responses</w:t>
      </w:r>
    </w:p>
    <w:p w:rsidR="0069161D" w:rsidRPr="001E09BC" w:rsidP="0069161D" w14:paraId="59D6AA82" w14:textId="47046E83">
      <w:pPr>
        <w:spacing w:after="160" w:line="257" w:lineRule="auto"/>
        <w:ind w:firstLine="360"/>
        <w:rPr>
          <w:rFonts w:ascii="Times New Roman" w:hAnsi="Times New Roman"/>
          <w:szCs w:val="24"/>
        </w:rPr>
      </w:pPr>
      <w:r w:rsidRPr="001E09BC">
        <w:rPr>
          <w:rFonts w:ascii="Times New Roman" w:hAnsi="Times New Roman"/>
          <w:szCs w:val="24"/>
        </w:rPr>
        <w:t xml:space="preserve">(4) Total Hourly Burden: </w:t>
      </w:r>
      <w:r w:rsidRPr="001E09BC" w:rsidR="001910D0">
        <w:rPr>
          <w:rFonts w:ascii="Times New Roman" w:hAnsi="Times New Roman"/>
          <w:szCs w:val="24"/>
        </w:rPr>
        <w:t>67,8</w:t>
      </w:r>
      <w:r w:rsidRPr="001E09BC">
        <w:rPr>
          <w:rFonts w:ascii="Times New Roman" w:hAnsi="Times New Roman"/>
          <w:szCs w:val="24"/>
        </w:rPr>
        <w:t>25 hours</w:t>
      </w:r>
    </w:p>
    <w:p w:rsidR="0063762D" w:rsidRPr="001E09BC" w:rsidP="00107E63" w14:paraId="3C81E133" w14:textId="1810112D">
      <w:pPr>
        <w:spacing w:after="160" w:line="257" w:lineRule="auto"/>
        <w:ind w:firstLine="360"/>
        <w:rPr>
          <w:rFonts w:ascii="Times New Roman" w:hAnsi="Times New Roman"/>
          <w:szCs w:val="24"/>
        </w:rPr>
      </w:pPr>
      <w:r w:rsidRPr="001E09BC">
        <w:rPr>
          <w:rFonts w:ascii="Times New Roman" w:hAnsi="Times New Roman"/>
          <w:szCs w:val="24"/>
        </w:rPr>
        <w:t xml:space="preserve">While we expect that most wireless carriers already have a method for customers to report fraud, the Commission estimates that respondents will require approximately </w:t>
      </w:r>
      <w:r w:rsidRPr="001E09BC" w:rsidR="004F4D22">
        <w:rPr>
          <w:rFonts w:ascii="Times New Roman" w:hAnsi="Times New Roman"/>
          <w:szCs w:val="24"/>
        </w:rPr>
        <w:t>100</w:t>
      </w:r>
      <w:r w:rsidRPr="001E09BC">
        <w:rPr>
          <w:rFonts w:ascii="Times New Roman" w:hAnsi="Times New Roman"/>
          <w:szCs w:val="24"/>
        </w:rPr>
        <w:t xml:space="preserve"> hours to modify their systems to develop an easy-to-use and transparent process for reporting </w:t>
      </w:r>
      <w:r w:rsidRPr="001E09BC" w:rsidR="0069161D">
        <w:rPr>
          <w:rFonts w:ascii="Times New Roman" w:hAnsi="Times New Roman"/>
          <w:szCs w:val="24"/>
        </w:rPr>
        <w:t>port-out</w:t>
      </w:r>
      <w:r w:rsidRPr="001E09BC">
        <w:rPr>
          <w:rFonts w:ascii="Times New Roman" w:hAnsi="Times New Roman"/>
          <w:szCs w:val="24"/>
        </w:rPr>
        <w:t xml:space="preserve"> fraud and an additional 10 hours to disclose and maintain that process. Our burden estimate takes into consideration that respondents will be able to leverage the resources utilized while simultaneously preparing to come into compliance with the similar requirement to make available a process for reporting fraudulent </w:t>
      </w:r>
      <w:r w:rsidRPr="001E09BC" w:rsidR="0069161D">
        <w:rPr>
          <w:rFonts w:ascii="Times New Roman" w:hAnsi="Times New Roman"/>
          <w:szCs w:val="24"/>
        </w:rPr>
        <w:t>SIM changes</w:t>
      </w:r>
      <w:r w:rsidRPr="001E09BC">
        <w:rPr>
          <w:rFonts w:ascii="Times New Roman" w:hAnsi="Times New Roman"/>
          <w:szCs w:val="24"/>
        </w:rPr>
        <w:t xml:space="preserve">.  In addition, we expect that provision of documentation of </w:t>
      </w:r>
      <w:r w:rsidRPr="001E09BC" w:rsidR="0069161D">
        <w:rPr>
          <w:rFonts w:ascii="Times New Roman" w:hAnsi="Times New Roman"/>
          <w:szCs w:val="24"/>
        </w:rPr>
        <w:t>port-out f</w:t>
      </w:r>
      <w:r w:rsidRPr="001E09BC">
        <w:rPr>
          <w:rFonts w:ascii="Times New Roman" w:hAnsi="Times New Roman"/>
          <w:szCs w:val="24"/>
        </w:rPr>
        <w:t>raud will be automated and integrated into the fraud reporting process in most cases, imposing minimal burden hours (0.1 hours per request) for most providers once the reporting system has been implemented.</w:t>
      </w:r>
    </w:p>
    <w:p w:rsidR="0063762D" w:rsidRPr="001E09BC" w:rsidP="00107E63" w14:paraId="5DA93FA3" w14:textId="77777777">
      <w:pPr>
        <w:spacing w:after="160" w:line="257" w:lineRule="auto"/>
        <w:ind w:firstLine="360"/>
        <w:rPr>
          <w:rFonts w:ascii="Times New Roman" w:hAnsi="Times New Roman"/>
          <w:szCs w:val="24"/>
        </w:rPr>
      </w:pPr>
      <w:r w:rsidRPr="001E09BC">
        <w:rPr>
          <w:rFonts w:ascii="Times New Roman" w:hAnsi="Times New Roman"/>
          <w:szCs w:val="24"/>
        </w:rPr>
        <w:t>Modification and development of systems for reporting fraud: 100 hours x 600 responses = 60,000 hours</w:t>
      </w:r>
    </w:p>
    <w:p w:rsidR="0063762D" w:rsidRPr="001E09BC" w:rsidP="00AB7C59" w14:paraId="40FB2F73" w14:textId="304B7300">
      <w:pPr>
        <w:pStyle w:val="ListParagraph"/>
        <w:spacing w:after="160" w:line="257" w:lineRule="auto"/>
        <w:rPr>
          <w:sz w:val="24"/>
          <w:szCs w:val="24"/>
        </w:rPr>
      </w:pPr>
      <w:r w:rsidRPr="001E09BC">
        <w:rPr>
          <w:sz w:val="24"/>
          <w:szCs w:val="24"/>
        </w:rPr>
        <w:t xml:space="preserve">Maintenance and disclosure of </w:t>
      </w:r>
      <w:r w:rsidRPr="001E09BC" w:rsidR="00AB7C59">
        <w:rPr>
          <w:sz w:val="24"/>
          <w:szCs w:val="24"/>
        </w:rPr>
        <w:t>port-out</w:t>
      </w:r>
      <w:r w:rsidRPr="001E09BC">
        <w:rPr>
          <w:sz w:val="24"/>
          <w:szCs w:val="24"/>
        </w:rPr>
        <w:t xml:space="preserve"> fraud reporting process: 10 hours x 600 responses = 6,000 hours </w:t>
      </w:r>
    </w:p>
    <w:p w:rsidR="00AB7C59" w:rsidRPr="001E09BC" w:rsidP="00107E63" w14:paraId="5DC68056" w14:textId="77777777">
      <w:pPr>
        <w:pStyle w:val="ListParagraph"/>
        <w:spacing w:after="160" w:line="257" w:lineRule="auto"/>
        <w:rPr>
          <w:sz w:val="24"/>
          <w:szCs w:val="24"/>
        </w:rPr>
      </w:pPr>
    </w:p>
    <w:p w:rsidR="0063762D" w:rsidRPr="001E09BC" w:rsidP="00107E63" w14:paraId="7F582371" w14:textId="68B16217">
      <w:pPr>
        <w:pStyle w:val="ListParagraph"/>
        <w:spacing w:after="160" w:line="257" w:lineRule="auto"/>
        <w:rPr>
          <w:sz w:val="24"/>
          <w:szCs w:val="24"/>
        </w:rPr>
      </w:pPr>
      <w:r w:rsidRPr="001E09BC">
        <w:rPr>
          <w:sz w:val="24"/>
          <w:szCs w:val="24"/>
        </w:rPr>
        <w:t xml:space="preserve">Providing documentation of fraud upon request: 0.1 hours x </w:t>
      </w:r>
      <w:r w:rsidRPr="001E09BC" w:rsidR="00AB7C59">
        <w:rPr>
          <w:sz w:val="24"/>
          <w:szCs w:val="24"/>
        </w:rPr>
        <w:t>18,250</w:t>
      </w:r>
      <w:r w:rsidRPr="001E09BC">
        <w:rPr>
          <w:sz w:val="24"/>
          <w:szCs w:val="24"/>
        </w:rPr>
        <w:t xml:space="preserve"> responses = </w:t>
      </w:r>
      <w:r w:rsidRPr="001E09BC" w:rsidR="00AB7C59">
        <w:rPr>
          <w:sz w:val="24"/>
          <w:szCs w:val="24"/>
        </w:rPr>
        <w:t>1,825</w:t>
      </w:r>
      <w:r w:rsidRPr="001E09BC">
        <w:rPr>
          <w:sz w:val="24"/>
          <w:szCs w:val="24"/>
        </w:rPr>
        <w:t xml:space="preserve"> hours</w:t>
      </w:r>
    </w:p>
    <w:p w:rsidR="0063762D" w:rsidRPr="001E09BC" w:rsidP="00107E63" w14:paraId="7354AFFE" w14:textId="77777777">
      <w:pPr>
        <w:pStyle w:val="ListParagraph"/>
        <w:spacing w:after="160" w:line="257" w:lineRule="auto"/>
        <w:rPr>
          <w:sz w:val="24"/>
          <w:szCs w:val="24"/>
        </w:rPr>
      </w:pPr>
    </w:p>
    <w:p w:rsidR="0063762D" w:rsidRPr="001E09BC" w:rsidP="00107E63" w14:paraId="113BDB9D" w14:textId="49CCBAD2">
      <w:pPr>
        <w:pStyle w:val="ListParagraph"/>
        <w:spacing w:after="160" w:line="257" w:lineRule="auto"/>
        <w:rPr>
          <w:sz w:val="24"/>
          <w:szCs w:val="24"/>
        </w:rPr>
      </w:pPr>
      <w:r w:rsidRPr="001E09BC">
        <w:rPr>
          <w:b/>
          <w:bCs/>
          <w:sz w:val="24"/>
          <w:szCs w:val="24"/>
        </w:rPr>
        <w:t>Total Cumulative Burden Hours</w:t>
      </w:r>
      <w:r w:rsidRPr="001E09BC">
        <w:rPr>
          <w:sz w:val="24"/>
          <w:szCs w:val="24"/>
        </w:rPr>
        <w:t xml:space="preserve">:  60,000 hours + 6,000 hours + </w:t>
      </w:r>
      <w:r w:rsidRPr="001E09BC" w:rsidR="00C939DA">
        <w:rPr>
          <w:sz w:val="24"/>
          <w:szCs w:val="24"/>
        </w:rPr>
        <w:t xml:space="preserve">1,825 </w:t>
      </w:r>
      <w:r w:rsidRPr="001E09BC">
        <w:rPr>
          <w:sz w:val="24"/>
          <w:szCs w:val="24"/>
        </w:rPr>
        <w:t xml:space="preserve">hours = </w:t>
      </w:r>
      <w:r w:rsidRPr="001E09BC" w:rsidR="001910D0">
        <w:rPr>
          <w:sz w:val="24"/>
          <w:szCs w:val="24"/>
        </w:rPr>
        <w:t>67,825</w:t>
      </w:r>
      <w:r w:rsidRPr="001E09BC">
        <w:rPr>
          <w:sz w:val="24"/>
          <w:szCs w:val="24"/>
        </w:rPr>
        <w:t xml:space="preserve"> hours</w:t>
      </w:r>
    </w:p>
    <w:p w:rsidR="00C90FBD" w:rsidRPr="001E09BC" w:rsidP="00C90FBD" w14:paraId="2D80A7E9" w14:textId="77777777">
      <w:pPr>
        <w:spacing w:after="160" w:line="257" w:lineRule="auto"/>
        <w:ind w:firstLine="720"/>
        <w:rPr>
          <w:rFonts w:ascii="Times New Roman" w:hAnsi="Times New Roman"/>
          <w:szCs w:val="24"/>
        </w:rPr>
      </w:pPr>
      <w:r w:rsidRPr="001E09BC">
        <w:rPr>
          <w:rFonts w:ascii="Times New Roman" w:hAnsi="Times New Roman"/>
          <w:szCs w:val="24"/>
        </w:rPr>
        <w:t xml:space="preserve">5) Total “In House” Costs: </w:t>
      </w:r>
    </w:p>
    <w:p w:rsidR="003D65CD" w:rsidRPr="001E09BC" w:rsidP="003D65CD" w14:paraId="69329501" w14:textId="0E5E769A">
      <w:pPr>
        <w:spacing w:after="160" w:line="257" w:lineRule="auto"/>
        <w:rPr>
          <w:rFonts w:ascii="Times New Roman" w:hAnsi="Times New Roman"/>
          <w:szCs w:val="24"/>
        </w:rPr>
      </w:pPr>
      <w:r w:rsidRPr="001E09BC">
        <w:rPr>
          <w:rFonts w:ascii="Times New Roman" w:hAnsi="Times New Roman"/>
          <w:szCs w:val="24"/>
        </w:rPr>
        <w:t xml:space="preserve">The Commission assumes that respondents will use personnel comparable in pay to a GS-12/Step 5 ($53.87/hour) Federal employee to </w:t>
      </w:r>
      <w:r w:rsidRPr="001E09BC" w:rsidR="005051F5">
        <w:rPr>
          <w:rFonts w:ascii="Times New Roman" w:hAnsi="Times New Roman"/>
          <w:szCs w:val="24"/>
        </w:rPr>
        <w:t xml:space="preserve">develop and implement a fraud reporting process, </w:t>
      </w:r>
      <w:r w:rsidRPr="001E09BC">
        <w:rPr>
          <w:rFonts w:ascii="Times New Roman" w:hAnsi="Times New Roman"/>
          <w:szCs w:val="24"/>
        </w:rPr>
        <w:t xml:space="preserve">disclose their process for reporting fraud, and provide documentation to customers upon request. </w:t>
      </w:r>
    </w:p>
    <w:p w:rsidR="00B47C2D" w:rsidRPr="001E09BC" w:rsidP="00107E63" w14:paraId="4A17241A" w14:textId="548B253F">
      <w:pPr>
        <w:spacing w:after="160" w:line="257" w:lineRule="auto"/>
        <w:ind w:firstLine="720"/>
        <w:rPr>
          <w:rFonts w:ascii="Times New Roman" w:hAnsi="Times New Roman"/>
          <w:szCs w:val="24"/>
        </w:rPr>
      </w:pPr>
      <w:r w:rsidRPr="001E09BC">
        <w:rPr>
          <w:rFonts w:ascii="Times New Roman" w:hAnsi="Times New Roman"/>
          <w:szCs w:val="24"/>
        </w:rPr>
        <w:t xml:space="preserve">.  </w:t>
      </w:r>
    </w:p>
    <w:p w:rsidR="00107E63" w:rsidP="00B47C2D" w14:paraId="788B74EB" w14:textId="1326CAF4">
      <w:pPr>
        <w:rPr>
          <w:rFonts w:ascii="Times New Roman" w:hAnsi="Times New Roman"/>
          <w:szCs w:val="24"/>
        </w:rPr>
      </w:pPr>
      <w:r w:rsidRPr="00785FDC">
        <w:rPr>
          <w:rFonts w:ascii="Times New Roman" w:hAnsi="Times New Roman"/>
          <w:b/>
          <w:bCs/>
          <w:szCs w:val="24"/>
        </w:rPr>
        <w:t xml:space="preserve">Estimated Total Cumulative In-House Cost to Respondents: </w:t>
      </w:r>
      <w:r w:rsidRPr="00785FDC">
        <w:rPr>
          <w:rFonts w:ascii="Times New Roman" w:hAnsi="Times New Roman"/>
          <w:szCs w:val="24"/>
        </w:rPr>
        <w:tab/>
      </w:r>
      <w:r w:rsidR="00DE191C">
        <w:rPr>
          <w:rFonts w:ascii="Times New Roman" w:hAnsi="Times New Roman"/>
          <w:szCs w:val="24"/>
        </w:rPr>
        <w:t xml:space="preserve">     </w:t>
      </w:r>
      <w:r>
        <w:rPr>
          <w:rFonts w:ascii="Times New Roman" w:hAnsi="Times New Roman"/>
          <w:szCs w:val="24"/>
        </w:rPr>
        <w:t>$4,749,8</w:t>
      </w:r>
      <w:r w:rsidR="00DE191C">
        <w:rPr>
          <w:rFonts w:ascii="Times New Roman" w:hAnsi="Times New Roman"/>
          <w:szCs w:val="24"/>
        </w:rPr>
        <w:t>53</w:t>
      </w:r>
    </w:p>
    <w:p w:rsidR="00C16F5C" w:rsidP="00C16F5C" w14:paraId="66D96FA5" w14:textId="1C89026D">
      <w:pPr>
        <w:ind w:left="4320" w:firstLine="720"/>
        <w:rPr>
          <w:rFonts w:ascii="Times New Roman" w:hAnsi="Times New Roman"/>
          <w:szCs w:val="24"/>
        </w:rPr>
      </w:pPr>
      <w:r>
        <w:rPr>
          <w:rFonts w:ascii="Times New Roman" w:hAnsi="Times New Roman"/>
          <w:szCs w:val="24"/>
        </w:rPr>
        <w:t>67,825</w:t>
      </w:r>
      <w:r w:rsidRPr="00785FDC" w:rsidR="00B47C2D">
        <w:rPr>
          <w:rFonts w:ascii="Times New Roman" w:hAnsi="Times New Roman"/>
          <w:szCs w:val="24"/>
        </w:rPr>
        <w:t xml:space="preserve"> x $</w:t>
      </w:r>
      <w:r w:rsidR="00B47C2D">
        <w:rPr>
          <w:rFonts w:ascii="Times New Roman" w:hAnsi="Times New Roman"/>
          <w:szCs w:val="24"/>
        </w:rPr>
        <w:t>53.87</w:t>
      </w:r>
      <w:r w:rsidRPr="00785FDC" w:rsidR="00B47C2D">
        <w:rPr>
          <w:rFonts w:ascii="Times New Roman" w:hAnsi="Times New Roman"/>
          <w:szCs w:val="24"/>
        </w:rPr>
        <w:t>= $</w:t>
      </w:r>
      <w:r w:rsidR="0093280E">
        <w:rPr>
          <w:rFonts w:ascii="Times New Roman" w:hAnsi="Times New Roman"/>
          <w:szCs w:val="24"/>
        </w:rPr>
        <w:t>3</w:t>
      </w:r>
      <w:r w:rsidR="002B76A3">
        <w:rPr>
          <w:rFonts w:ascii="Times New Roman" w:hAnsi="Times New Roman"/>
          <w:szCs w:val="24"/>
        </w:rPr>
        <w:t>,</w:t>
      </w:r>
      <w:r w:rsidR="0093280E">
        <w:rPr>
          <w:rFonts w:ascii="Times New Roman" w:hAnsi="Times New Roman"/>
          <w:szCs w:val="24"/>
        </w:rPr>
        <w:t>653</w:t>
      </w:r>
      <w:r w:rsidR="002B76A3">
        <w:rPr>
          <w:rFonts w:ascii="Times New Roman" w:hAnsi="Times New Roman"/>
          <w:szCs w:val="24"/>
        </w:rPr>
        <w:t>,</w:t>
      </w:r>
      <w:r w:rsidR="0093280E">
        <w:rPr>
          <w:rFonts w:ascii="Times New Roman" w:hAnsi="Times New Roman"/>
          <w:szCs w:val="24"/>
        </w:rPr>
        <w:t>7</w:t>
      </w:r>
      <w:r w:rsidR="002B76A3">
        <w:rPr>
          <w:rFonts w:ascii="Times New Roman" w:hAnsi="Times New Roman"/>
          <w:szCs w:val="24"/>
        </w:rPr>
        <w:t>3</w:t>
      </w:r>
      <w:r w:rsidR="00DE191C">
        <w:rPr>
          <w:rFonts w:ascii="Times New Roman" w:hAnsi="Times New Roman"/>
          <w:szCs w:val="24"/>
        </w:rPr>
        <w:t>3</w:t>
      </w:r>
    </w:p>
    <w:p w:rsidR="00B47C2D" w:rsidRPr="00C16F5C" w:rsidP="00C16F5C" w14:paraId="08E7B8F9" w14:textId="7587C473">
      <w:pPr>
        <w:ind w:left="4320" w:firstLine="720"/>
        <w:rPr>
          <w:rFonts w:ascii="Times New Roman" w:hAnsi="Times New Roman"/>
          <w:szCs w:val="24"/>
        </w:rPr>
      </w:pPr>
      <w:r>
        <w:rPr>
          <w:rFonts w:ascii="Times New Roman" w:hAnsi="Times New Roman"/>
          <w:szCs w:val="24"/>
        </w:rPr>
        <w:t>3</w:t>
      </w:r>
      <w:r w:rsidRPr="00785FDC">
        <w:rPr>
          <w:rFonts w:ascii="Times New Roman" w:hAnsi="Times New Roman"/>
          <w:szCs w:val="24"/>
        </w:rPr>
        <w:t xml:space="preserve">0% overhead = </w:t>
      </w:r>
      <w:r w:rsidR="00DE191C">
        <w:rPr>
          <w:rFonts w:ascii="Times New Roman" w:hAnsi="Times New Roman"/>
          <w:szCs w:val="24"/>
        </w:rPr>
        <w:t xml:space="preserve">  </w:t>
      </w:r>
      <w:r w:rsidRPr="00785FDC">
        <w:rPr>
          <w:rFonts w:ascii="Times New Roman" w:hAnsi="Times New Roman"/>
          <w:szCs w:val="24"/>
          <w:u w:val="single"/>
        </w:rPr>
        <w:t>$</w:t>
      </w:r>
      <w:r w:rsidR="008E2014">
        <w:rPr>
          <w:rFonts w:ascii="Times New Roman" w:hAnsi="Times New Roman"/>
          <w:szCs w:val="24"/>
          <w:u w:val="single"/>
        </w:rPr>
        <w:t>1,096,120</w:t>
      </w:r>
    </w:p>
    <w:p w:rsidR="00B47C2D" w:rsidRPr="00785FDC" w:rsidP="00C16F5C" w14:paraId="3CAFDF88" w14:textId="0E6272FC">
      <w:pPr>
        <w:ind w:left="5760" w:firstLine="720"/>
        <w:rPr>
          <w:rFonts w:ascii="Times New Roman" w:hAnsi="Times New Roman"/>
          <w:szCs w:val="24"/>
        </w:rPr>
      </w:pPr>
      <w:r w:rsidRPr="00785FDC">
        <w:rPr>
          <w:rFonts w:ascii="Times New Roman" w:hAnsi="Times New Roman"/>
          <w:szCs w:val="24"/>
        </w:rPr>
        <w:t xml:space="preserve"> </w:t>
      </w:r>
      <w:r w:rsidR="00DE191C">
        <w:rPr>
          <w:rFonts w:ascii="Times New Roman" w:hAnsi="Times New Roman"/>
          <w:szCs w:val="24"/>
        </w:rPr>
        <w:t xml:space="preserve">    </w:t>
      </w:r>
      <w:r w:rsidRPr="00785FDC">
        <w:rPr>
          <w:rFonts w:ascii="Times New Roman" w:hAnsi="Times New Roman"/>
          <w:szCs w:val="24"/>
        </w:rPr>
        <w:t>$</w:t>
      </w:r>
      <w:r w:rsidR="00DE191C">
        <w:rPr>
          <w:rFonts w:ascii="Times New Roman" w:hAnsi="Times New Roman"/>
          <w:szCs w:val="24"/>
        </w:rPr>
        <w:t xml:space="preserve"> </w:t>
      </w:r>
      <w:r w:rsidR="004D3B33">
        <w:rPr>
          <w:rFonts w:ascii="Times New Roman" w:hAnsi="Times New Roman"/>
          <w:szCs w:val="24"/>
        </w:rPr>
        <w:t>4,749,8</w:t>
      </w:r>
      <w:r w:rsidR="00DE191C">
        <w:rPr>
          <w:rFonts w:ascii="Times New Roman" w:hAnsi="Times New Roman"/>
          <w:szCs w:val="24"/>
        </w:rPr>
        <w:t>53</w:t>
      </w:r>
    </w:p>
    <w:p w:rsidR="00B47C2D" w:rsidRPr="00785FDC" w:rsidP="00B47C2D" w14:paraId="421F2B4A" w14:textId="5724EAE5">
      <w:pPr>
        <w:rPr>
          <w:rFonts w:ascii="Times New Roman" w:hAnsi="Times New Roman"/>
          <w:szCs w:val="24"/>
        </w:rPr>
      </w:pPr>
    </w:p>
    <w:p w:rsidR="00B47C2D" w:rsidRPr="00785FDC" w:rsidP="00B47C2D" w14:paraId="40CC8947" w14:textId="3C7A94E2">
      <w:pPr>
        <w:rPr>
          <w:rFonts w:ascii="Times New Roman" w:hAnsi="Times New Roman"/>
          <w:szCs w:val="24"/>
        </w:rPr>
      </w:pPr>
      <w:r w:rsidRPr="00785FDC">
        <w:rPr>
          <w:rFonts w:ascii="Times New Roman" w:hAnsi="Times New Roman"/>
          <w:b/>
          <w:bCs/>
          <w:szCs w:val="24"/>
        </w:rPr>
        <w:t>Average Cost per Respondent to Develop and Implement:</w:t>
      </w:r>
      <w:r w:rsidRPr="00785FDC">
        <w:rPr>
          <w:rFonts w:ascii="Times New Roman" w:hAnsi="Times New Roman"/>
          <w:szCs w:val="24"/>
        </w:rPr>
        <w:tab/>
        <w:t xml:space="preserve">            </w:t>
      </w:r>
      <w:r w:rsidRPr="00785FDC">
        <w:rPr>
          <w:rFonts w:ascii="Times New Roman" w:hAnsi="Times New Roman"/>
          <w:szCs w:val="24"/>
        </w:rPr>
        <w:tab/>
        <w:t xml:space="preserve">         $</w:t>
      </w:r>
      <w:r w:rsidR="004D3B33">
        <w:rPr>
          <w:rFonts w:ascii="Times New Roman" w:hAnsi="Times New Roman"/>
          <w:szCs w:val="24"/>
        </w:rPr>
        <w:t>4,749</w:t>
      </w:r>
      <w:r w:rsidR="00107E63">
        <w:rPr>
          <w:rFonts w:ascii="Times New Roman" w:hAnsi="Times New Roman"/>
          <w:szCs w:val="24"/>
        </w:rPr>
        <w:t>,8</w:t>
      </w:r>
      <w:r w:rsidR="00DE191C">
        <w:rPr>
          <w:rFonts w:ascii="Times New Roman" w:hAnsi="Times New Roman"/>
          <w:szCs w:val="24"/>
        </w:rPr>
        <w:t>53</w:t>
      </w:r>
      <w:r w:rsidRPr="00785FDC">
        <w:rPr>
          <w:rFonts w:ascii="Times New Roman" w:hAnsi="Times New Roman"/>
          <w:szCs w:val="24"/>
        </w:rPr>
        <w:t>/600 = $</w:t>
      </w:r>
      <w:r w:rsidR="00107E63">
        <w:rPr>
          <w:rFonts w:ascii="Times New Roman" w:hAnsi="Times New Roman"/>
          <w:szCs w:val="24"/>
        </w:rPr>
        <w:t>7,916</w:t>
      </w:r>
    </w:p>
    <w:p w:rsidR="00B47C2D" w:rsidRPr="00785FDC" w:rsidP="00B47C2D" w14:paraId="01BB4901" w14:textId="77777777">
      <w:pPr>
        <w:spacing w:after="160" w:line="257" w:lineRule="auto"/>
        <w:rPr>
          <w:rFonts w:ascii="Times New Roman" w:hAnsi="Times New Roman"/>
          <w:szCs w:val="24"/>
        </w:rPr>
      </w:pPr>
      <w:r w:rsidRPr="00785FDC">
        <w:rPr>
          <w:rFonts w:ascii="Times New Roman" w:hAnsi="Times New Roman"/>
          <w:szCs w:val="24"/>
        </w:rPr>
        <w:t xml:space="preserve"> </w:t>
      </w:r>
    </w:p>
    <w:p w:rsidR="00B47C2D" w:rsidRPr="009276B7" w:rsidP="00B47C2D" w14:paraId="704CA0C6" w14:textId="77777777">
      <w:pPr>
        <w:tabs>
          <w:tab w:val="left" w:pos="-720"/>
        </w:tabs>
        <w:suppressAutoHyphens/>
        <w:rPr>
          <w:rFonts w:ascii="Times New Roman" w:hAnsi="Times New Roman"/>
          <w:szCs w:val="24"/>
        </w:rPr>
      </w:pPr>
    </w:p>
    <w:p w:rsidR="00B47C2D" w:rsidRPr="009276B7" w:rsidP="00B47C2D" w14:paraId="46C0D0FE" w14:textId="55C2AFA4">
      <w:pPr>
        <w:tabs>
          <w:tab w:val="left" w:pos="-720"/>
        </w:tabs>
        <w:suppressAutoHyphens/>
        <w:rPr>
          <w:rFonts w:ascii="Times New Roman" w:hAnsi="Times New Roman"/>
          <w:b/>
          <w:szCs w:val="24"/>
        </w:rPr>
      </w:pPr>
      <w:r w:rsidRPr="009276B7">
        <w:rPr>
          <w:rFonts w:ascii="Times New Roman" w:hAnsi="Times New Roman"/>
          <w:b/>
          <w:szCs w:val="24"/>
        </w:rPr>
        <w:t xml:space="preserve">Total Respondents:  </w:t>
      </w:r>
      <w:r w:rsidR="00DC3EC7">
        <w:rPr>
          <w:rFonts w:ascii="Times New Roman" w:hAnsi="Times New Roman"/>
          <w:b/>
          <w:szCs w:val="24"/>
        </w:rPr>
        <w:t>1,6</w:t>
      </w:r>
      <w:r w:rsidRPr="009276B7">
        <w:rPr>
          <w:rFonts w:ascii="Times New Roman" w:hAnsi="Times New Roman"/>
          <w:b/>
          <w:szCs w:val="24"/>
        </w:rPr>
        <w:t>26</w:t>
      </w:r>
    </w:p>
    <w:p w:rsidR="00B47C2D" w:rsidRPr="009276B7" w:rsidP="00B47C2D" w14:paraId="6E1E81C1" w14:textId="77777777">
      <w:pPr>
        <w:tabs>
          <w:tab w:val="left" w:pos="-720"/>
        </w:tabs>
        <w:suppressAutoHyphens/>
        <w:rPr>
          <w:rFonts w:ascii="Times New Roman" w:hAnsi="Times New Roman"/>
          <w:b/>
          <w:szCs w:val="24"/>
        </w:rPr>
      </w:pPr>
    </w:p>
    <w:p w:rsidR="00B47C2D" w:rsidRPr="009276B7" w:rsidP="00B47C2D" w14:paraId="2364AF05" w14:textId="20DA1434">
      <w:pPr>
        <w:tabs>
          <w:tab w:val="left" w:pos="-720"/>
        </w:tabs>
        <w:suppressAutoHyphens/>
        <w:rPr>
          <w:rFonts w:ascii="Times New Roman" w:hAnsi="Times New Roman"/>
          <w:szCs w:val="24"/>
        </w:rPr>
      </w:pPr>
      <w:r w:rsidRPr="009276B7">
        <w:rPr>
          <w:rFonts w:ascii="Times New Roman" w:hAnsi="Times New Roman"/>
          <w:b/>
          <w:szCs w:val="24"/>
        </w:rPr>
        <w:t>Total Annual Responses:</w:t>
      </w:r>
      <w:r w:rsidRPr="009276B7">
        <w:rPr>
          <w:rFonts w:ascii="Times New Roman" w:hAnsi="Times New Roman"/>
          <w:szCs w:val="24"/>
        </w:rPr>
        <w:t xml:space="preserve">  </w:t>
      </w:r>
      <w:r w:rsidRPr="009276B7">
        <w:rPr>
          <w:rFonts w:ascii="Times New Roman" w:hAnsi="Times New Roman"/>
          <w:b/>
          <w:szCs w:val="24"/>
        </w:rPr>
        <w:t xml:space="preserve">300 + 50 + 50 +1,600 + 10,000,000 </w:t>
      </w:r>
      <w:r>
        <w:rPr>
          <w:rFonts w:ascii="Times New Roman" w:hAnsi="Times New Roman"/>
          <w:b/>
          <w:szCs w:val="24"/>
        </w:rPr>
        <w:t xml:space="preserve">+ </w:t>
      </w:r>
      <w:r w:rsidR="00EF6710">
        <w:rPr>
          <w:rFonts w:ascii="Times New Roman" w:hAnsi="Times New Roman"/>
          <w:b/>
          <w:szCs w:val="24"/>
        </w:rPr>
        <w:t>3,650,00</w:t>
      </w:r>
      <w:r>
        <w:rPr>
          <w:rFonts w:ascii="Times New Roman" w:hAnsi="Times New Roman"/>
          <w:b/>
          <w:szCs w:val="24"/>
        </w:rPr>
        <w:t xml:space="preserve">0 + </w:t>
      </w:r>
      <w:r w:rsidR="00EF6710">
        <w:rPr>
          <w:rFonts w:ascii="Times New Roman" w:hAnsi="Times New Roman"/>
          <w:b/>
          <w:szCs w:val="24"/>
        </w:rPr>
        <w:t>60</w:t>
      </w:r>
      <w:r>
        <w:rPr>
          <w:rFonts w:ascii="Times New Roman" w:hAnsi="Times New Roman"/>
          <w:b/>
          <w:szCs w:val="24"/>
        </w:rPr>
        <w:t xml:space="preserve">0 + </w:t>
      </w:r>
      <w:r w:rsidR="00976B60">
        <w:rPr>
          <w:rFonts w:ascii="Times New Roman" w:hAnsi="Times New Roman"/>
          <w:b/>
          <w:szCs w:val="24"/>
        </w:rPr>
        <w:t>19,450</w:t>
      </w:r>
      <w:r>
        <w:rPr>
          <w:rFonts w:ascii="Times New Roman" w:hAnsi="Times New Roman"/>
          <w:b/>
          <w:szCs w:val="24"/>
        </w:rPr>
        <w:t xml:space="preserve"> </w:t>
      </w:r>
      <w:r w:rsidRPr="009276B7">
        <w:rPr>
          <w:rFonts w:ascii="Times New Roman" w:hAnsi="Times New Roman"/>
          <w:b/>
          <w:szCs w:val="24"/>
        </w:rPr>
        <w:t xml:space="preserve">= </w:t>
      </w:r>
      <w:r w:rsidR="007F3FA3">
        <w:rPr>
          <w:rFonts w:ascii="Times New Roman" w:hAnsi="Times New Roman"/>
          <w:b/>
          <w:szCs w:val="24"/>
        </w:rPr>
        <w:t>13,672,0</w:t>
      </w:r>
      <w:r w:rsidR="009825B0">
        <w:rPr>
          <w:rFonts w:ascii="Times New Roman" w:hAnsi="Times New Roman"/>
          <w:b/>
          <w:szCs w:val="24"/>
        </w:rPr>
        <w:t>5</w:t>
      </w:r>
      <w:r w:rsidR="007F3FA3">
        <w:rPr>
          <w:rFonts w:ascii="Times New Roman" w:hAnsi="Times New Roman"/>
          <w:b/>
          <w:szCs w:val="24"/>
        </w:rPr>
        <w:t>0</w:t>
      </w:r>
    </w:p>
    <w:p w:rsidR="00B47C2D" w:rsidRPr="009276B7" w:rsidP="00B47C2D" w14:paraId="689B077D" w14:textId="77777777">
      <w:pPr>
        <w:tabs>
          <w:tab w:val="left" w:pos="-720"/>
        </w:tabs>
        <w:suppressAutoHyphens/>
        <w:rPr>
          <w:rFonts w:ascii="Times New Roman" w:hAnsi="Times New Roman"/>
          <w:szCs w:val="24"/>
        </w:rPr>
      </w:pPr>
    </w:p>
    <w:p w:rsidR="00B47C2D" w:rsidRPr="009276B7" w:rsidP="00B47C2D" w14:paraId="1E7B3ADA" w14:textId="4449D96B">
      <w:pPr>
        <w:tabs>
          <w:tab w:val="left" w:pos="-720"/>
        </w:tabs>
        <w:suppressAutoHyphens/>
        <w:rPr>
          <w:rFonts w:ascii="Times New Roman" w:hAnsi="Times New Roman"/>
          <w:b/>
          <w:szCs w:val="24"/>
        </w:rPr>
      </w:pPr>
      <w:r w:rsidRPr="009276B7">
        <w:rPr>
          <w:rFonts w:ascii="Times New Roman" w:hAnsi="Times New Roman"/>
          <w:b/>
          <w:szCs w:val="24"/>
        </w:rPr>
        <w:t>Total Annual Burden Hours:</w:t>
      </w:r>
      <w:r w:rsidRPr="009276B7">
        <w:rPr>
          <w:rFonts w:ascii="Times New Roman" w:hAnsi="Times New Roman"/>
          <w:szCs w:val="24"/>
        </w:rPr>
        <w:t xml:space="preserve">  </w:t>
      </w:r>
      <w:r w:rsidRPr="009276B7">
        <w:rPr>
          <w:rFonts w:ascii="Times New Roman" w:hAnsi="Times New Roman"/>
          <w:b/>
          <w:szCs w:val="24"/>
        </w:rPr>
        <w:t>900 + 150 + 2,500 + 3,200 + 666,660</w:t>
      </w:r>
      <w:r>
        <w:rPr>
          <w:rFonts w:ascii="Times New Roman" w:hAnsi="Times New Roman"/>
          <w:b/>
          <w:szCs w:val="24"/>
        </w:rPr>
        <w:t xml:space="preserve"> + </w:t>
      </w:r>
      <w:r w:rsidR="007F3FA3">
        <w:rPr>
          <w:rFonts w:ascii="Times New Roman" w:hAnsi="Times New Roman"/>
          <w:b/>
          <w:szCs w:val="24"/>
        </w:rPr>
        <w:t>48</w:t>
      </w:r>
      <w:r>
        <w:rPr>
          <w:rFonts w:ascii="Times New Roman" w:hAnsi="Times New Roman"/>
          <w:b/>
          <w:szCs w:val="24"/>
        </w:rPr>
        <w:t xml:space="preserve">,000 + 3,000 + </w:t>
      </w:r>
      <w:r w:rsidR="00FA5A7E">
        <w:rPr>
          <w:rFonts w:ascii="Times New Roman" w:hAnsi="Times New Roman"/>
          <w:b/>
          <w:szCs w:val="24"/>
        </w:rPr>
        <w:t>67,825</w:t>
      </w:r>
      <w:r w:rsidRPr="009276B7">
        <w:rPr>
          <w:rFonts w:ascii="Times New Roman" w:hAnsi="Times New Roman"/>
          <w:b/>
          <w:szCs w:val="24"/>
        </w:rPr>
        <w:t xml:space="preserve"> =</w:t>
      </w:r>
      <w:r w:rsidRPr="009276B7">
        <w:rPr>
          <w:rFonts w:ascii="Times New Roman" w:hAnsi="Times New Roman"/>
          <w:szCs w:val="24"/>
        </w:rPr>
        <w:t xml:space="preserve"> </w:t>
      </w:r>
      <w:r w:rsidR="008F1A27">
        <w:rPr>
          <w:rFonts w:ascii="Times New Roman" w:hAnsi="Times New Roman"/>
          <w:b/>
          <w:szCs w:val="24"/>
        </w:rPr>
        <w:t>792,235</w:t>
      </w:r>
    </w:p>
    <w:p w:rsidR="00B47C2D" w:rsidRPr="009276B7" w:rsidP="00B47C2D" w14:paraId="788D7B02" w14:textId="77777777">
      <w:pPr>
        <w:tabs>
          <w:tab w:val="left" w:pos="-720"/>
        </w:tabs>
        <w:suppressAutoHyphens/>
        <w:rPr>
          <w:rFonts w:ascii="Times New Roman" w:hAnsi="Times New Roman"/>
          <w:b/>
          <w:szCs w:val="24"/>
        </w:rPr>
      </w:pPr>
    </w:p>
    <w:p w:rsidR="00B47C2D" w:rsidP="00B47C2D" w14:paraId="1592C156" w14:textId="7337F800">
      <w:pPr>
        <w:tabs>
          <w:tab w:val="left" w:pos="-720"/>
        </w:tabs>
        <w:suppressAutoHyphens/>
        <w:rPr>
          <w:rFonts w:ascii="Times New Roman" w:hAnsi="Times New Roman"/>
          <w:b/>
          <w:szCs w:val="24"/>
        </w:rPr>
      </w:pPr>
      <w:r w:rsidRPr="009276B7">
        <w:rPr>
          <w:rFonts w:ascii="Times New Roman" w:hAnsi="Times New Roman"/>
          <w:b/>
          <w:szCs w:val="24"/>
        </w:rPr>
        <w:t>Total In-House Cost to Respondents:</w:t>
      </w:r>
      <w:r w:rsidRPr="009276B7">
        <w:rPr>
          <w:rFonts w:ascii="Times New Roman" w:hAnsi="Times New Roman"/>
          <w:szCs w:val="24"/>
        </w:rPr>
        <w:t xml:space="preserve">  </w:t>
      </w:r>
      <w:r w:rsidRPr="009276B7">
        <w:rPr>
          <w:rFonts w:ascii="Times New Roman" w:hAnsi="Times New Roman"/>
          <w:b/>
          <w:szCs w:val="24"/>
        </w:rPr>
        <w:t>$5</w:t>
      </w:r>
      <w:r>
        <w:rPr>
          <w:rFonts w:ascii="Times New Roman" w:hAnsi="Times New Roman"/>
          <w:b/>
          <w:szCs w:val="24"/>
        </w:rPr>
        <w:t>7,654</w:t>
      </w:r>
      <w:r w:rsidRPr="009276B7">
        <w:rPr>
          <w:rFonts w:ascii="Times New Roman" w:hAnsi="Times New Roman"/>
          <w:b/>
          <w:szCs w:val="24"/>
        </w:rPr>
        <w:t xml:space="preserve"> + $</w:t>
      </w:r>
      <w:r>
        <w:rPr>
          <w:rFonts w:ascii="Times New Roman" w:hAnsi="Times New Roman"/>
          <w:b/>
          <w:szCs w:val="24"/>
        </w:rPr>
        <w:t>9,609</w:t>
      </w:r>
      <w:r w:rsidRPr="009276B7">
        <w:rPr>
          <w:rFonts w:ascii="Times New Roman" w:hAnsi="Times New Roman"/>
          <w:b/>
          <w:szCs w:val="24"/>
        </w:rPr>
        <w:t xml:space="preserve"> + $</w:t>
      </w:r>
      <w:r>
        <w:rPr>
          <w:rFonts w:ascii="Times New Roman" w:hAnsi="Times New Roman"/>
          <w:b/>
          <w:szCs w:val="24"/>
        </w:rPr>
        <w:t>212,150</w:t>
      </w:r>
      <w:r w:rsidRPr="009276B7">
        <w:rPr>
          <w:rFonts w:ascii="Times New Roman" w:hAnsi="Times New Roman"/>
          <w:b/>
          <w:szCs w:val="24"/>
        </w:rPr>
        <w:t xml:space="preserve"> + $</w:t>
      </w:r>
      <w:r>
        <w:rPr>
          <w:rFonts w:ascii="Times New Roman" w:hAnsi="Times New Roman"/>
          <w:b/>
          <w:szCs w:val="24"/>
        </w:rPr>
        <w:t>204,992</w:t>
      </w:r>
      <w:r w:rsidRPr="009276B7">
        <w:rPr>
          <w:rFonts w:ascii="Times New Roman" w:hAnsi="Times New Roman"/>
          <w:b/>
          <w:szCs w:val="24"/>
        </w:rPr>
        <w:t xml:space="preserve"> + $</w:t>
      </w:r>
      <w:r>
        <w:rPr>
          <w:rFonts w:ascii="Times New Roman" w:hAnsi="Times New Roman"/>
          <w:b/>
          <w:szCs w:val="24"/>
        </w:rPr>
        <w:t xml:space="preserve">22,419,775.80 + </w:t>
      </w:r>
      <w:r w:rsidR="00400A79">
        <w:rPr>
          <w:rFonts w:ascii="Times New Roman" w:hAnsi="Times New Roman"/>
          <w:b/>
          <w:szCs w:val="24"/>
        </w:rPr>
        <w:t>$</w:t>
      </w:r>
      <w:r w:rsidR="00E52C65">
        <w:rPr>
          <w:rFonts w:ascii="Times New Roman" w:hAnsi="Times New Roman"/>
          <w:b/>
          <w:szCs w:val="24"/>
        </w:rPr>
        <w:t xml:space="preserve">4,723,680 </w:t>
      </w:r>
      <w:r>
        <w:rPr>
          <w:rFonts w:ascii="Times New Roman" w:hAnsi="Times New Roman"/>
          <w:b/>
          <w:szCs w:val="24"/>
        </w:rPr>
        <w:t xml:space="preserve">+ </w:t>
      </w:r>
      <w:r w:rsidR="00400A79">
        <w:rPr>
          <w:rFonts w:ascii="Times New Roman" w:hAnsi="Times New Roman"/>
          <w:b/>
          <w:szCs w:val="24"/>
        </w:rPr>
        <w:t>$</w:t>
      </w:r>
      <w:r>
        <w:rPr>
          <w:rFonts w:ascii="Times New Roman" w:hAnsi="Times New Roman"/>
          <w:b/>
          <w:szCs w:val="24"/>
        </w:rPr>
        <w:t xml:space="preserve">210,093 + </w:t>
      </w:r>
      <w:r w:rsidR="00400A79">
        <w:rPr>
          <w:rFonts w:ascii="Times New Roman" w:hAnsi="Times New Roman"/>
          <w:b/>
          <w:szCs w:val="24"/>
        </w:rPr>
        <w:t>$</w:t>
      </w:r>
      <w:r w:rsidR="00E52C65">
        <w:rPr>
          <w:rFonts w:ascii="Times New Roman" w:hAnsi="Times New Roman"/>
          <w:b/>
          <w:szCs w:val="24"/>
        </w:rPr>
        <w:t>4,749,8</w:t>
      </w:r>
      <w:r w:rsidR="00DE191C">
        <w:rPr>
          <w:rFonts w:ascii="Times New Roman" w:hAnsi="Times New Roman"/>
          <w:b/>
          <w:szCs w:val="24"/>
        </w:rPr>
        <w:t>53</w:t>
      </w:r>
      <w:r w:rsidRPr="009276B7">
        <w:rPr>
          <w:rFonts w:ascii="Times New Roman" w:hAnsi="Times New Roman"/>
          <w:b/>
          <w:szCs w:val="24"/>
        </w:rPr>
        <w:t xml:space="preserve"> = $</w:t>
      </w:r>
      <w:r w:rsidR="00C82E26">
        <w:rPr>
          <w:rFonts w:ascii="Times New Roman" w:hAnsi="Times New Roman"/>
          <w:b/>
          <w:szCs w:val="24"/>
        </w:rPr>
        <w:t>32,587,80</w:t>
      </w:r>
      <w:r w:rsidR="009825B0">
        <w:rPr>
          <w:rFonts w:ascii="Times New Roman" w:hAnsi="Times New Roman"/>
          <w:b/>
          <w:szCs w:val="24"/>
        </w:rPr>
        <w:t>7</w:t>
      </w:r>
    </w:p>
    <w:p w:rsidR="007009D7" w:rsidRPr="009276B7" w:rsidP="00B47C2D" w14:paraId="59CA82C4" w14:textId="7F12F6CB">
      <w:pPr>
        <w:tabs>
          <w:tab w:val="left" w:pos="-720"/>
        </w:tabs>
        <w:suppressAutoHyphens/>
        <w:rPr>
          <w:rFonts w:ascii="Times New Roman" w:hAnsi="Times New Roman"/>
          <w:szCs w:val="24"/>
        </w:rPr>
      </w:pPr>
      <w:r w:rsidRPr="009276B7">
        <w:rPr>
          <w:rFonts w:ascii="Times New Roman" w:hAnsi="Times New Roman"/>
          <w:szCs w:val="24"/>
        </w:rPr>
        <w:tab/>
      </w:r>
    </w:p>
    <w:p w:rsidR="000A4082" w:rsidRPr="009276B7" w:rsidP="007009D7" w14:paraId="49078134" w14:textId="77777777">
      <w:pPr>
        <w:tabs>
          <w:tab w:val="left" w:pos="-720"/>
        </w:tabs>
        <w:suppressAutoHyphens/>
        <w:rPr>
          <w:rFonts w:ascii="Times New Roman" w:hAnsi="Times New Roman"/>
          <w:spacing w:val="-3"/>
          <w:szCs w:val="24"/>
          <w:shd w:val="clear" w:color="auto" w:fill="FFFFFF"/>
        </w:rPr>
      </w:pPr>
      <w:r w:rsidRPr="009276B7">
        <w:rPr>
          <w:rFonts w:ascii="Times New Roman" w:hAnsi="Times New Roman"/>
          <w:szCs w:val="24"/>
        </w:rPr>
        <w:tab/>
      </w:r>
      <w:r w:rsidRPr="009276B7" w:rsidR="0071585A">
        <w:rPr>
          <w:rFonts w:ascii="Times New Roman" w:hAnsi="Times New Roman"/>
          <w:szCs w:val="24"/>
        </w:rPr>
        <w:t>13.</w:t>
      </w:r>
      <w:r w:rsidRPr="009276B7" w:rsidR="0071585A">
        <w:rPr>
          <w:rFonts w:ascii="Times New Roman" w:hAnsi="Times New Roman"/>
          <w:szCs w:val="24"/>
        </w:rPr>
        <w:tab/>
      </w:r>
      <w:r w:rsidRPr="009276B7">
        <w:rPr>
          <w:rFonts w:ascii="Times New Roman" w:hAnsi="Times New Roman"/>
          <w:spacing w:val="-3"/>
          <w:szCs w:val="24"/>
          <w:shd w:val="clear" w:color="auto" w:fill="FFFFFF"/>
        </w:rPr>
        <w:t>The Commission believes that the respondents have sufficient “in</w:t>
      </w:r>
      <w:r w:rsidRPr="009276B7" w:rsidR="002F1E6B">
        <w:rPr>
          <w:rFonts w:ascii="Times New Roman" w:hAnsi="Times New Roman"/>
          <w:spacing w:val="-3"/>
          <w:szCs w:val="24"/>
          <w:shd w:val="clear" w:color="auto" w:fill="FFFFFF"/>
        </w:rPr>
        <w:t>-</w:t>
      </w:r>
      <w:r w:rsidRPr="009276B7">
        <w:rPr>
          <w:rFonts w:ascii="Times New Roman" w:hAnsi="Times New Roman"/>
          <w:spacing w:val="-3"/>
          <w:szCs w:val="24"/>
          <w:shd w:val="clear" w:color="auto" w:fill="FFFFFF"/>
        </w:rPr>
        <w:t>house” staff to address all the information collection requirements using their “in</w:t>
      </w:r>
      <w:r w:rsidRPr="009276B7" w:rsidR="002F1E6B">
        <w:rPr>
          <w:rFonts w:ascii="Times New Roman" w:hAnsi="Times New Roman"/>
          <w:spacing w:val="-3"/>
          <w:szCs w:val="24"/>
          <w:shd w:val="clear" w:color="auto" w:fill="FFFFFF"/>
        </w:rPr>
        <w:t>-</w:t>
      </w:r>
      <w:r w:rsidRPr="009276B7">
        <w:rPr>
          <w:rFonts w:ascii="Times New Roman" w:hAnsi="Times New Roman"/>
          <w:spacing w:val="-3"/>
          <w:szCs w:val="24"/>
          <w:shd w:val="clear" w:color="auto" w:fill="FFFFFF"/>
        </w:rPr>
        <w:t>house” personnel rather than having to contract out this requirement.  Thus:</w:t>
      </w:r>
    </w:p>
    <w:p w:rsidR="000A4082" w:rsidRPr="009276B7" w:rsidP="000A4082" w14:paraId="3FF4863A" w14:textId="77777777">
      <w:pPr>
        <w:ind w:left="720" w:hanging="360"/>
        <w:rPr>
          <w:rFonts w:ascii="Times New Roman" w:hAnsi="Times New Roman"/>
          <w:spacing w:val="-3"/>
          <w:szCs w:val="24"/>
          <w:shd w:val="clear" w:color="auto" w:fill="FFFFFF"/>
        </w:rPr>
      </w:pPr>
    </w:p>
    <w:p w:rsidR="000A4082" w:rsidRPr="009276B7" w:rsidP="000A4082" w14:paraId="22CE2CD9" w14:textId="77777777">
      <w:pPr>
        <w:ind w:left="720" w:hanging="360"/>
        <w:rPr>
          <w:rFonts w:ascii="Times New Roman" w:hAnsi="Times New Roman"/>
          <w:spacing w:val="-3"/>
          <w:szCs w:val="24"/>
          <w:shd w:val="clear" w:color="auto" w:fill="FFFFFF"/>
        </w:rPr>
      </w:pPr>
      <w:r w:rsidRPr="009276B7">
        <w:rPr>
          <w:rFonts w:ascii="Times New Roman" w:hAnsi="Times New Roman"/>
          <w:spacing w:val="-3"/>
          <w:szCs w:val="24"/>
          <w:shd w:val="clear" w:color="auto" w:fill="FFFFFF"/>
        </w:rPr>
        <w:t>(a)</w:t>
      </w:r>
      <w:r w:rsidRPr="009276B7">
        <w:rPr>
          <w:rFonts w:ascii="Times New Roman" w:hAnsi="Times New Roman"/>
          <w:spacing w:val="-3"/>
          <w:szCs w:val="24"/>
          <w:shd w:val="clear" w:color="auto" w:fill="FFFFFF"/>
        </w:rPr>
        <w:tab/>
      </w:r>
      <w:r w:rsidRPr="009276B7">
        <w:rPr>
          <w:rFonts w:ascii="Times New Roman" w:hAnsi="Times New Roman"/>
          <w:spacing w:val="-3"/>
          <w:szCs w:val="24"/>
          <w:u w:val="single"/>
          <w:shd w:val="clear" w:color="auto" w:fill="FFFFFF"/>
        </w:rPr>
        <w:t>Total annualized capital/startup costs</w:t>
      </w:r>
      <w:r w:rsidRPr="009276B7">
        <w:rPr>
          <w:rFonts w:ascii="Times New Roman" w:hAnsi="Times New Roman"/>
          <w:spacing w:val="-3"/>
          <w:szCs w:val="24"/>
          <w:shd w:val="clear" w:color="auto" w:fill="FFFFFF"/>
        </w:rPr>
        <w:t>:</w:t>
      </w:r>
      <w:r w:rsidRPr="009276B7" w:rsidR="006E4E15">
        <w:rPr>
          <w:rFonts w:ascii="Times New Roman" w:hAnsi="Times New Roman"/>
          <w:spacing w:val="-3"/>
          <w:szCs w:val="24"/>
          <w:shd w:val="clear" w:color="auto" w:fill="FFFFFF"/>
        </w:rPr>
        <w:t xml:space="preserve"> </w:t>
      </w:r>
      <w:r w:rsidRPr="009276B7">
        <w:rPr>
          <w:rFonts w:ascii="Times New Roman" w:hAnsi="Times New Roman"/>
          <w:spacing w:val="-3"/>
          <w:szCs w:val="24"/>
          <w:shd w:val="clear" w:color="auto" w:fill="FFFFFF"/>
        </w:rPr>
        <w:t xml:space="preserve"> $0.00</w:t>
      </w:r>
    </w:p>
    <w:p w:rsidR="000A4082" w:rsidRPr="009276B7" w:rsidP="000A4082" w14:paraId="5A9B4923" w14:textId="77777777">
      <w:pPr>
        <w:ind w:left="720" w:hanging="360"/>
        <w:rPr>
          <w:rFonts w:ascii="Times New Roman" w:hAnsi="Times New Roman"/>
          <w:spacing w:val="-3"/>
          <w:szCs w:val="24"/>
          <w:shd w:val="clear" w:color="auto" w:fill="FFFFFF"/>
        </w:rPr>
      </w:pPr>
    </w:p>
    <w:p w:rsidR="000A4082" w:rsidRPr="009276B7" w:rsidP="000A4082" w14:paraId="1251A86C" w14:textId="77777777">
      <w:pPr>
        <w:ind w:left="720" w:hanging="360"/>
        <w:rPr>
          <w:rFonts w:ascii="Times New Roman" w:hAnsi="Times New Roman"/>
          <w:spacing w:val="-3"/>
          <w:szCs w:val="24"/>
          <w:shd w:val="clear" w:color="auto" w:fill="FFFFFF"/>
        </w:rPr>
      </w:pPr>
      <w:r w:rsidRPr="009276B7">
        <w:rPr>
          <w:rFonts w:ascii="Times New Roman" w:hAnsi="Times New Roman"/>
          <w:spacing w:val="-3"/>
          <w:szCs w:val="24"/>
          <w:shd w:val="clear" w:color="auto" w:fill="FFFFFF"/>
        </w:rPr>
        <w:t>(b)</w:t>
      </w:r>
      <w:r w:rsidRPr="009276B7">
        <w:rPr>
          <w:rFonts w:ascii="Times New Roman" w:hAnsi="Times New Roman"/>
          <w:spacing w:val="-3"/>
          <w:szCs w:val="24"/>
          <w:shd w:val="clear" w:color="auto" w:fill="FFFFFF"/>
        </w:rPr>
        <w:tab/>
      </w:r>
      <w:r w:rsidRPr="009276B7">
        <w:rPr>
          <w:rFonts w:ascii="Times New Roman" w:hAnsi="Times New Roman"/>
          <w:spacing w:val="-3"/>
          <w:szCs w:val="24"/>
          <w:u w:val="single"/>
          <w:shd w:val="clear" w:color="auto" w:fill="FFFFFF"/>
        </w:rPr>
        <w:t>Total annualized costs (O&amp;M)</w:t>
      </w:r>
      <w:r w:rsidRPr="009276B7">
        <w:rPr>
          <w:rFonts w:ascii="Times New Roman" w:hAnsi="Times New Roman"/>
          <w:spacing w:val="-3"/>
          <w:szCs w:val="24"/>
          <w:shd w:val="clear" w:color="auto" w:fill="FFFFFF"/>
        </w:rPr>
        <w:t xml:space="preserve">: </w:t>
      </w:r>
      <w:r w:rsidRPr="009276B7" w:rsidR="006E4E15">
        <w:rPr>
          <w:rFonts w:ascii="Times New Roman" w:hAnsi="Times New Roman"/>
          <w:spacing w:val="-3"/>
          <w:szCs w:val="24"/>
          <w:shd w:val="clear" w:color="auto" w:fill="FFFFFF"/>
        </w:rPr>
        <w:t xml:space="preserve"> </w:t>
      </w:r>
      <w:r w:rsidRPr="009276B7">
        <w:rPr>
          <w:rFonts w:ascii="Times New Roman" w:hAnsi="Times New Roman"/>
          <w:spacing w:val="-3"/>
          <w:szCs w:val="24"/>
          <w:shd w:val="clear" w:color="auto" w:fill="FFFFFF"/>
        </w:rPr>
        <w:t>$0.00</w:t>
      </w:r>
    </w:p>
    <w:p w:rsidR="000A4082" w:rsidRPr="009276B7" w:rsidP="000A4082" w14:paraId="61B6EF81" w14:textId="77777777">
      <w:pPr>
        <w:ind w:left="720" w:hanging="360"/>
        <w:rPr>
          <w:rFonts w:ascii="Times New Roman" w:hAnsi="Times New Roman"/>
          <w:spacing w:val="-3"/>
          <w:szCs w:val="24"/>
          <w:shd w:val="clear" w:color="auto" w:fill="FFFFFF"/>
        </w:rPr>
      </w:pPr>
    </w:p>
    <w:p w:rsidR="000A4082" w:rsidRPr="009276B7" w:rsidP="000A4082" w14:paraId="420F1183" w14:textId="77777777">
      <w:pPr>
        <w:ind w:left="720" w:hanging="360"/>
        <w:rPr>
          <w:rFonts w:ascii="Times New Roman" w:hAnsi="Times New Roman"/>
          <w:spacing w:val="-3"/>
          <w:szCs w:val="24"/>
          <w:shd w:val="clear" w:color="auto" w:fill="FFFFFF"/>
        </w:rPr>
      </w:pPr>
      <w:r w:rsidRPr="009276B7">
        <w:rPr>
          <w:rFonts w:ascii="Times New Roman" w:hAnsi="Times New Roman"/>
          <w:spacing w:val="-3"/>
          <w:szCs w:val="24"/>
          <w:shd w:val="clear" w:color="auto" w:fill="FFFFFF"/>
        </w:rPr>
        <w:t>(c)</w:t>
      </w:r>
      <w:r w:rsidRPr="009276B7" w:rsidR="008F6FA7">
        <w:rPr>
          <w:rFonts w:ascii="Times New Roman" w:hAnsi="Times New Roman"/>
          <w:spacing w:val="-3"/>
          <w:szCs w:val="24"/>
          <w:shd w:val="clear" w:color="auto" w:fill="FFFFFF"/>
        </w:rPr>
        <w:t xml:space="preserve"> </w:t>
      </w:r>
      <w:r w:rsidRPr="009276B7" w:rsidR="008F6FA7">
        <w:rPr>
          <w:rFonts w:ascii="Times New Roman" w:hAnsi="Times New Roman"/>
          <w:spacing w:val="-3"/>
          <w:szCs w:val="24"/>
          <w:shd w:val="clear" w:color="auto" w:fill="FFFFFF"/>
        </w:rPr>
        <w:tab/>
      </w:r>
      <w:r w:rsidRPr="009276B7">
        <w:rPr>
          <w:rFonts w:ascii="Times New Roman" w:hAnsi="Times New Roman"/>
          <w:spacing w:val="-3"/>
          <w:szCs w:val="24"/>
          <w:u w:val="single"/>
          <w:shd w:val="clear" w:color="auto" w:fill="FFFFFF"/>
        </w:rPr>
        <w:t>Total annualized cost requested</w:t>
      </w:r>
      <w:r w:rsidRPr="009276B7">
        <w:rPr>
          <w:rFonts w:ascii="Times New Roman" w:hAnsi="Times New Roman"/>
          <w:spacing w:val="-3"/>
          <w:szCs w:val="24"/>
          <w:shd w:val="clear" w:color="auto" w:fill="FFFFFF"/>
        </w:rPr>
        <w:t xml:space="preserve">: </w:t>
      </w:r>
      <w:r w:rsidRPr="009276B7" w:rsidR="006E4E15">
        <w:rPr>
          <w:rFonts w:ascii="Times New Roman" w:hAnsi="Times New Roman"/>
          <w:spacing w:val="-3"/>
          <w:szCs w:val="24"/>
          <w:shd w:val="clear" w:color="auto" w:fill="FFFFFF"/>
        </w:rPr>
        <w:t xml:space="preserve"> </w:t>
      </w:r>
      <w:r w:rsidRPr="009276B7">
        <w:rPr>
          <w:rFonts w:ascii="Times New Roman" w:hAnsi="Times New Roman"/>
          <w:spacing w:val="-3"/>
          <w:szCs w:val="24"/>
          <w:shd w:val="clear" w:color="auto" w:fill="FFFFFF"/>
        </w:rPr>
        <w:t>$0.00</w:t>
      </w:r>
    </w:p>
    <w:p w:rsidR="00986183" w:rsidRPr="009276B7" w:rsidP="000A4082" w14:paraId="571FACC6" w14:textId="77777777">
      <w:pPr>
        <w:tabs>
          <w:tab w:val="left" w:pos="-720"/>
        </w:tabs>
        <w:suppressAutoHyphens/>
        <w:rPr>
          <w:rFonts w:ascii="Times New Roman" w:hAnsi="Times New Roman"/>
          <w:spacing w:val="-3"/>
          <w:szCs w:val="24"/>
          <w:shd w:val="clear" w:color="auto" w:fill="FFFFFF"/>
        </w:rPr>
      </w:pPr>
    </w:p>
    <w:p w:rsidR="004F6D6A" w:rsidRPr="009276B7" w:rsidP="008373C8" w14:paraId="63B55B24" w14:textId="236EF722">
      <w:pPr>
        <w:tabs>
          <w:tab w:val="left" w:pos="-720"/>
        </w:tabs>
        <w:suppressAutoHyphens/>
        <w:rPr>
          <w:rFonts w:ascii="Times New Roman" w:hAnsi="Times New Roman"/>
          <w:szCs w:val="24"/>
        </w:rPr>
      </w:pPr>
      <w:r w:rsidRPr="009276B7">
        <w:rPr>
          <w:rFonts w:ascii="Times New Roman" w:hAnsi="Times New Roman"/>
          <w:szCs w:val="24"/>
        </w:rPr>
        <w:tab/>
        <w:t>14.</w:t>
      </w:r>
      <w:r w:rsidRPr="009276B7">
        <w:rPr>
          <w:rFonts w:ascii="Times New Roman" w:hAnsi="Times New Roman"/>
          <w:szCs w:val="24"/>
        </w:rPr>
        <w:tab/>
      </w:r>
      <w:r w:rsidRPr="000E1C44" w:rsidR="009276B7">
        <w:rPr>
          <w:rFonts w:ascii="Times New Roman" w:hAnsi="Times New Roman"/>
          <w:i/>
          <w:iCs/>
          <w:spacing w:val="-3"/>
          <w:szCs w:val="24"/>
          <w:shd w:val="clear" w:color="auto" w:fill="FFFFFF"/>
        </w:rPr>
        <w:t>Estimates of the cost burden to the Commission.</w:t>
      </w:r>
      <w:r w:rsidRPr="009276B7" w:rsidR="009276B7">
        <w:rPr>
          <w:rFonts w:ascii="Times New Roman" w:hAnsi="Times New Roman"/>
          <w:szCs w:val="24"/>
        </w:rPr>
        <w:t xml:space="preserve"> </w:t>
      </w:r>
      <w:r w:rsidRPr="009276B7">
        <w:rPr>
          <w:rFonts w:ascii="Times New Roman" w:hAnsi="Times New Roman"/>
          <w:szCs w:val="24"/>
        </w:rPr>
        <w:t xml:space="preserve">There will be few, if any, costs to the Commission resulting from the information collection requirements.  </w:t>
      </w:r>
    </w:p>
    <w:p w:rsidR="004F6D6A" w:rsidRPr="009276B7" w14:paraId="3F7650EA" w14:textId="77777777">
      <w:pPr>
        <w:tabs>
          <w:tab w:val="left" w:pos="-720"/>
        </w:tabs>
        <w:suppressAutoHyphens/>
        <w:rPr>
          <w:rFonts w:ascii="Times New Roman" w:hAnsi="Times New Roman"/>
          <w:szCs w:val="24"/>
        </w:rPr>
      </w:pPr>
    </w:p>
    <w:p w:rsidR="00B70571" w:rsidRPr="004E03CD" w:rsidP="004E03CD" w14:paraId="6C457376" w14:textId="65EEAEF9">
      <w:pPr>
        <w:rPr>
          <w:rFonts w:ascii="Times New Roman" w:hAnsi="Times New Roman"/>
          <w:spacing w:val="-3"/>
          <w:szCs w:val="24"/>
        </w:rPr>
      </w:pPr>
      <w:r w:rsidRPr="009276B7">
        <w:rPr>
          <w:rFonts w:ascii="Times New Roman" w:hAnsi="Times New Roman"/>
          <w:szCs w:val="24"/>
        </w:rPr>
        <w:tab/>
        <w:t>15.</w:t>
      </w:r>
      <w:r w:rsidRPr="009276B7">
        <w:rPr>
          <w:rFonts w:ascii="Times New Roman" w:hAnsi="Times New Roman"/>
          <w:szCs w:val="24"/>
        </w:rPr>
        <w:tab/>
      </w:r>
      <w:r w:rsidRPr="009276B7">
        <w:rPr>
          <w:rFonts w:ascii="Times New Roman" w:hAnsi="Times New Roman"/>
          <w:i/>
          <w:iCs/>
          <w:szCs w:val="24"/>
        </w:rPr>
        <w:t xml:space="preserve">Program Changes or Adjustments.  </w:t>
      </w:r>
      <w:r w:rsidRPr="009276B7">
        <w:rPr>
          <w:rFonts w:ascii="Times New Roman" w:hAnsi="Times New Roman"/>
          <w:szCs w:val="24"/>
        </w:rPr>
        <w:t>The Commission is reporting program changes/</w:t>
      </w:r>
      <w:r>
        <w:rPr>
          <w:rFonts w:ascii="Times New Roman" w:hAnsi="Times New Roman"/>
          <w:szCs w:val="24"/>
        </w:rPr>
        <w:t>in</w:t>
      </w:r>
      <w:r w:rsidRPr="009276B7">
        <w:rPr>
          <w:rFonts w:ascii="Times New Roman" w:hAnsi="Times New Roman"/>
          <w:szCs w:val="24"/>
        </w:rPr>
        <w:t>creases to this revised information collection</w:t>
      </w:r>
      <w:r>
        <w:rPr>
          <w:rFonts w:ascii="Times New Roman" w:hAnsi="Times New Roman"/>
          <w:szCs w:val="24"/>
        </w:rPr>
        <w:t xml:space="preserve"> </w:t>
      </w:r>
      <w:r w:rsidRPr="00640328">
        <w:rPr>
          <w:rFonts w:ascii="Times New Roman" w:hAnsi="Times New Roman"/>
          <w:spacing w:val="-3"/>
          <w:szCs w:val="24"/>
          <w:shd w:val="clear" w:color="auto" w:fill="FFFFFF"/>
        </w:rPr>
        <w:t xml:space="preserve">resulting from program changes due to the adoption of certain new or modified rules in the </w:t>
      </w:r>
      <w:r w:rsidRPr="00640328">
        <w:rPr>
          <w:rFonts w:ascii="Times New Roman" w:hAnsi="Times New Roman"/>
          <w:i/>
          <w:iCs/>
          <w:spacing w:val="-3"/>
          <w:szCs w:val="24"/>
          <w:shd w:val="clear" w:color="auto" w:fill="FFFFFF"/>
        </w:rPr>
        <w:t>SIM Swap and Port-Out Fraud Order</w:t>
      </w:r>
      <w:r w:rsidRPr="00640328">
        <w:rPr>
          <w:rFonts w:ascii="Times New Roman" w:hAnsi="Times New Roman"/>
          <w:spacing w:val="-3"/>
          <w:szCs w:val="24"/>
          <w:shd w:val="clear" w:color="auto" w:fill="FFFFFF"/>
        </w:rPr>
        <w:t xml:space="preserve">.  </w:t>
      </w:r>
      <w:r w:rsidRPr="00785FDC">
        <w:rPr>
          <w:rFonts w:ascii="Times New Roman" w:hAnsi="Times New Roman"/>
          <w:szCs w:val="24"/>
        </w:rPr>
        <w:t xml:space="preserve">As discussed in this Supporting Statement, we believe that most respondents have previously developed and currently use a digital internal system to manage and respond to many compliance obligations.  Because of this, the burden for many compliance obligations will be limited to new entrants.  However, implementation of new obligations in the </w:t>
      </w:r>
      <w:r w:rsidRPr="00785FDC">
        <w:rPr>
          <w:rFonts w:ascii="Times New Roman" w:hAnsi="Times New Roman"/>
          <w:i/>
          <w:iCs/>
          <w:szCs w:val="24"/>
        </w:rPr>
        <w:t>SIM Swap and Port-Out Fraud Order</w:t>
      </w:r>
      <w:r w:rsidRPr="00785FDC">
        <w:rPr>
          <w:rFonts w:ascii="Times New Roman" w:hAnsi="Times New Roman"/>
          <w:szCs w:val="24"/>
        </w:rPr>
        <w:t xml:space="preserve"> will require additional hours to design, develop, test, and implement procedures, including employee training.  </w:t>
      </w:r>
      <w:r w:rsidRPr="00785FDC" w:rsidR="00A70339">
        <w:rPr>
          <w:rFonts w:ascii="Times New Roman" w:hAnsi="Times New Roman"/>
          <w:spacing w:val="-3"/>
          <w:szCs w:val="24"/>
        </w:rPr>
        <w:t xml:space="preserve">Taken together, these changes have resulted in corresponding </w:t>
      </w:r>
      <w:r w:rsidR="00A70339">
        <w:rPr>
          <w:rFonts w:ascii="Times New Roman" w:hAnsi="Times New Roman"/>
          <w:spacing w:val="-3"/>
          <w:szCs w:val="24"/>
        </w:rPr>
        <w:t xml:space="preserve">increases </w:t>
      </w:r>
      <w:r w:rsidRPr="00785FDC" w:rsidR="00A70339">
        <w:rPr>
          <w:rFonts w:ascii="Times New Roman" w:hAnsi="Times New Roman"/>
          <w:spacing w:val="-3"/>
          <w:szCs w:val="24"/>
        </w:rPr>
        <w:t xml:space="preserve">to the total figures </w:t>
      </w:r>
      <w:r w:rsidR="00A70339">
        <w:rPr>
          <w:rFonts w:ascii="Times New Roman" w:hAnsi="Times New Roman"/>
          <w:spacing w:val="-3"/>
          <w:szCs w:val="24"/>
        </w:rPr>
        <w:t>in the total number of responses</w:t>
      </w:r>
      <w:r w:rsidR="0005746F">
        <w:rPr>
          <w:rFonts w:ascii="Times New Roman" w:hAnsi="Times New Roman"/>
          <w:spacing w:val="-3"/>
          <w:szCs w:val="24"/>
        </w:rPr>
        <w:t xml:space="preserve"> 10,002,000 to 13,</w:t>
      </w:r>
      <w:r w:rsidR="00A205C8">
        <w:rPr>
          <w:rFonts w:ascii="Times New Roman" w:hAnsi="Times New Roman"/>
          <w:spacing w:val="-3"/>
          <w:szCs w:val="24"/>
        </w:rPr>
        <w:t>672,0</w:t>
      </w:r>
      <w:r w:rsidR="007F76D9">
        <w:rPr>
          <w:rFonts w:ascii="Times New Roman" w:hAnsi="Times New Roman"/>
          <w:spacing w:val="-3"/>
          <w:szCs w:val="24"/>
        </w:rPr>
        <w:t>50</w:t>
      </w:r>
      <w:r w:rsidR="00A70339">
        <w:rPr>
          <w:rFonts w:ascii="Times New Roman" w:hAnsi="Times New Roman"/>
          <w:spacing w:val="-3"/>
          <w:szCs w:val="24"/>
        </w:rPr>
        <w:t xml:space="preserve"> (+</w:t>
      </w:r>
      <w:r w:rsidRPr="00916399" w:rsidR="00A205C8">
        <w:rPr>
          <w:szCs w:val="24"/>
        </w:rPr>
        <w:t>3,670,0</w:t>
      </w:r>
      <w:r w:rsidR="007F76D9">
        <w:rPr>
          <w:szCs w:val="24"/>
        </w:rPr>
        <w:t>5</w:t>
      </w:r>
      <w:r w:rsidRPr="00916399" w:rsidR="00A205C8">
        <w:rPr>
          <w:szCs w:val="24"/>
        </w:rPr>
        <w:t>0</w:t>
      </w:r>
      <w:r w:rsidR="00A70339">
        <w:rPr>
          <w:rFonts w:ascii="Times New Roman" w:hAnsi="Times New Roman"/>
          <w:spacing w:val="-3"/>
          <w:szCs w:val="24"/>
        </w:rPr>
        <w:t xml:space="preserve">) and to </w:t>
      </w:r>
      <w:r w:rsidRPr="00785FDC" w:rsidR="00A70339">
        <w:rPr>
          <w:rFonts w:ascii="Times New Roman" w:hAnsi="Times New Roman"/>
          <w:spacing w:val="-3"/>
          <w:szCs w:val="24"/>
        </w:rPr>
        <w:t xml:space="preserve">the </w:t>
      </w:r>
      <w:r w:rsidR="00A70339">
        <w:rPr>
          <w:rFonts w:ascii="Times New Roman" w:hAnsi="Times New Roman"/>
          <w:spacing w:val="-3"/>
          <w:szCs w:val="24"/>
        </w:rPr>
        <w:t>total annual burden hours from 673,</w:t>
      </w:r>
      <w:r w:rsidR="007F76D9">
        <w:rPr>
          <w:rFonts w:ascii="Times New Roman" w:hAnsi="Times New Roman"/>
          <w:spacing w:val="-3"/>
          <w:szCs w:val="24"/>
        </w:rPr>
        <w:t>4</w:t>
      </w:r>
      <w:r w:rsidR="00A70339">
        <w:rPr>
          <w:rFonts w:ascii="Times New Roman" w:hAnsi="Times New Roman"/>
          <w:spacing w:val="-3"/>
          <w:szCs w:val="24"/>
        </w:rPr>
        <w:t xml:space="preserve">10 to </w:t>
      </w:r>
      <w:r w:rsidR="009C2396">
        <w:rPr>
          <w:rFonts w:ascii="Times New Roman" w:hAnsi="Times New Roman"/>
          <w:spacing w:val="-3"/>
          <w:szCs w:val="24"/>
        </w:rPr>
        <w:t>792,235</w:t>
      </w:r>
      <w:r w:rsidR="00A70339">
        <w:rPr>
          <w:rFonts w:ascii="Times New Roman" w:hAnsi="Times New Roman"/>
          <w:spacing w:val="-3"/>
          <w:szCs w:val="24"/>
        </w:rPr>
        <w:t xml:space="preserve"> (+</w:t>
      </w:r>
      <w:r w:rsidR="009C2396">
        <w:rPr>
          <w:rFonts w:ascii="Times New Roman" w:hAnsi="Times New Roman"/>
          <w:spacing w:val="-3"/>
          <w:szCs w:val="24"/>
        </w:rPr>
        <w:t>11</w:t>
      </w:r>
      <w:r w:rsidR="007F76D9">
        <w:rPr>
          <w:rFonts w:ascii="Times New Roman" w:hAnsi="Times New Roman"/>
          <w:spacing w:val="-3"/>
          <w:szCs w:val="24"/>
        </w:rPr>
        <w:t>8</w:t>
      </w:r>
      <w:r w:rsidR="009C2396">
        <w:rPr>
          <w:rFonts w:ascii="Times New Roman" w:hAnsi="Times New Roman"/>
          <w:spacing w:val="-3"/>
          <w:szCs w:val="24"/>
        </w:rPr>
        <w:t>,</w:t>
      </w:r>
      <w:r w:rsidR="007F76D9">
        <w:rPr>
          <w:rFonts w:ascii="Times New Roman" w:hAnsi="Times New Roman"/>
          <w:spacing w:val="-3"/>
          <w:szCs w:val="24"/>
        </w:rPr>
        <w:t>8</w:t>
      </w:r>
      <w:r w:rsidR="009C2396">
        <w:rPr>
          <w:rFonts w:ascii="Times New Roman" w:hAnsi="Times New Roman"/>
          <w:spacing w:val="-3"/>
          <w:szCs w:val="24"/>
        </w:rPr>
        <w:t>25</w:t>
      </w:r>
      <w:r w:rsidR="00A70339">
        <w:rPr>
          <w:rFonts w:ascii="Times New Roman" w:hAnsi="Times New Roman"/>
          <w:spacing w:val="-3"/>
          <w:szCs w:val="24"/>
        </w:rPr>
        <w:t>) burden hours</w:t>
      </w:r>
      <w:r w:rsidRPr="00785FDC" w:rsidR="00A70339">
        <w:rPr>
          <w:rFonts w:ascii="Times New Roman" w:hAnsi="Times New Roman"/>
          <w:spacing w:val="-3"/>
          <w:szCs w:val="24"/>
          <w:shd w:val="clear" w:color="auto" w:fill="FFFFFF"/>
        </w:rPr>
        <w:t>.</w:t>
      </w:r>
      <w:r w:rsidR="00A70339">
        <w:rPr>
          <w:rFonts w:ascii="Times New Roman" w:hAnsi="Times New Roman"/>
          <w:spacing w:val="-3"/>
          <w:szCs w:val="24"/>
          <w:shd w:val="clear" w:color="auto" w:fill="FFFFFF"/>
        </w:rPr>
        <w:t xml:space="preserve">  </w:t>
      </w:r>
      <w:r w:rsidR="00257B12">
        <w:rPr>
          <w:rFonts w:ascii="Times New Roman" w:hAnsi="Times New Roman"/>
          <w:szCs w:val="24"/>
        </w:rPr>
        <w:t xml:space="preserve">The number of respondents has also decreased from </w:t>
      </w:r>
      <w:r w:rsidR="000420D0">
        <w:rPr>
          <w:rFonts w:ascii="Times New Roman" w:hAnsi="Times New Roman"/>
          <w:szCs w:val="24"/>
        </w:rPr>
        <w:t>3,626 to</w:t>
      </w:r>
      <w:r w:rsidR="00AD496B">
        <w:rPr>
          <w:rFonts w:ascii="Times New Roman" w:hAnsi="Times New Roman"/>
          <w:szCs w:val="24"/>
        </w:rPr>
        <w:t xml:space="preserve"> 1,626 </w:t>
      </w:r>
      <w:r w:rsidR="00D32A6C">
        <w:rPr>
          <w:rFonts w:ascii="Times New Roman" w:hAnsi="Times New Roman"/>
          <w:szCs w:val="24"/>
        </w:rPr>
        <w:t>(-2</w:t>
      </w:r>
      <w:r w:rsidR="007F76D9">
        <w:rPr>
          <w:rFonts w:ascii="Times New Roman" w:hAnsi="Times New Roman"/>
          <w:szCs w:val="24"/>
        </w:rPr>
        <w:t>,</w:t>
      </w:r>
      <w:r w:rsidR="00D32A6C">
        <w:rPr>
          <w:rFonts w:ascii="Times New Roman" w:hAnsi="Times New Roman"/>
          <w:szCs w:val="24"/>
        </w:rPr>
        <w:t xml:space="preserve">000) </w:t>
      </w:r>
      <w:r w:rsidR="00AD496B">
        <w:rPr>
          <w:rFonts w:ascii="Times New Roman" w:hAnsi="Times New Roman"/>
          <w:szCs w:val="24"/>
        </w:rPr>
        <w:t>in a</w:t>
      </w:r>
      <w:r w:rsidR="009825B0">
        <w:rPr>
          <w:rFonts w:ascii="Times New Roman" w:hAnsi="Times New Roman"/>
          <w:szCs w:val="24"/>
        </w:rPr>
        <w:t>n</w:t>
      </w:r>
      <w:r w:rsidR="00AD496B">
        <w:rPr>
          <w:rFonts w:ascii="Times New Roman" w:hAnsi="Times New Roman"/>
          <w:szCs w:val="24"/>
        </w:rPr>
        <w:t xml:space="preserve"> adjustment.  The prior collection inadvertently</w:t>
      </w:r>
      <w:r w:rsidR="00E85612">
        <w:rPr>
          <w:rFonts w:ascii="Times New Roman" w:hAnsi="Times New Roman"/>
          <w:szCs w:val="24"/>
        </w:rPr>
        <w:t xml:space="preserve"> </w:t>
      </w:r>
      <w:r w:rsidRPr="00916399" w:rsidR="00E85612">
        <w:rPr>
          <w:szCs w:val="24"/>
        </w:rPr>
        <w:t xml:space="preserve">counted the same respondents multiple times for the collection by adding the respondents for each requirement.  However, the respondents are all pulled from the same pool – all </w:t>
      </w:r>
      <w:r w:rsidR="00A70339">
        <w:rPr>
          <w:szCs w:val="24"/>
        </w:rPr>
        <w:t>carriers required to implement local number portability</w:t>
      </w:r>
      <w:r w:rsidRPr="00916399" w:rsidR="00E85612">
        <w:rPr>
          <w:szCs w:val="24"/>
        </w:rPr>
        <w:t xml:space="preserve"> – and the Commission has adjusted this number accordingly</w:t>
      </w:r>
      <w:r w:rsidR="00A70339">
        <w:rPr>
          <w:szCs w:val="24"/>
        </w:rPr>
        <w:t xml:space="preserve">. </w:t>
      </w:r>
      <w:r w:rsidR="00AD496B">
        <w:rPr>
          <w:rFonts w:ascii="Times New Roman" w:hAnsi="Times New Roman"/>
          <w:szCs w:val="24"/>
        </w:rPr>
        <w:t xml:space="preserve"> </w:t>
      </w:r>
    </w:p>
    <w:p w:rsidR="00B70571" w:rsidP="00B70571" w14:paraId="3F6B6F7A" w14:textId="77777777">
      <w:pPr>
        <w:tabs>
          <w:tab w:val="left" w:pos="-720"/>
        </w:tabs>
        <w:suppressAutoHyphens/>
        <w:rPr>
          <w:rFonts w:ascii="Times New Roman" w:hAnsi="Times New Roman"/>
          <w:spacing w:val="-3"/>
          <w:szCs w:val="24"/>
          <w:shd w:val="clear" w:color="auto" w:fill="FFFFFF"/>
        </w:rPr>
      </w:pPr>
    </w:p>
    <w:p w:rsidR="0071585A" w:rsidRPr="009276B7" w14:paraId="63A31BAE" w14:textId="45718F81">
      <w:pPr>
        <w:tabs>
          <w:tab w:val="left" w:pos="-720"/>
        </w:tabs>
        <w:suppressAutoHyphens/>
        <w:rPr>
          <w:rFonts w:ascii="Times New Roman" w:hAnsi="Times New Roman"/>
          <w:szCs w:val="24"/>
        </w:rPr>
      </w:pPr>
      <w:r w:rsidRPr="009276B7">
        <w:rPr>
          <w:rFonts w:ascii="Times New Roman" w:hAnsi="Times New Roman"/>
          <w:szCs w:val="24"/>
        </w:rPr>
        <w:tab/>
        <w:t>16.</w:t>
      </w:r>
      <w:r w:rsidRPr="009276B7">
        <w:rPr>
          <w:rFonts w:ascii="Times New Roman" w:hAnsi="Times New Roman"/>
          <w:szCs w:val="24"/>
        </w:rPr>
        <w:tab/>
      </w:r>
      <w:r w:rsidRPr="009276B7" w:rsidR="009276B7">
        <w:rPr>
          <w:rFonts w:ascii="Times New Roman" w:hAnsi="Times New Roman"/>
          <w:i/>
          <w:iCs/>
          <w:spacing w:val="-3"/>
          <w:szCs w:val="24"/>
          <w:shd w:val="clear" w:color="auto" w:fill="FFFFFF"/>
        </w:rPr>
        <w:t>Collections of information whose results will be published.</w:t>
      </w:r>
      <w:r w:rsidRPr="009276B7" w:rsidR="009276B7">
        <w:rPr>
          <w:rFonts w:ascii="Times New Roman" w:hAnsi="Times New Roman"/>
          <w:szCs w:val="24"/>
        </w:rPr>
        <w:t xml:space="preserve"> </w:t>
      </w:r>
      <w:r w:rsidRPr="009276B7">
        <w:rPr>
          <w:rFonts w:ascii="Times New Roman" w:hAnsi="Times New Roman"/>
          <w:szCs w:val="24"/>
        </w:rPr>
        <w:t>The Commission does not anticipate that it will publish any of the information.</w:t>
      </w:r>
    </w:p>
    <w:p w:rsidR="00F50954" w:rsidRPr="009276B7" w14:paraId="0369D514" w14:textId="77777777">
      <w:pPr>
        <w:tabs>
          <w:tab w:val="left" w:pos="-720"/>
        </w:tabs>
        <w:suppressAutoHyphens/>
        <w:rPr>
          <w:rFonts w:ascii="Times New Roman" w:hAnsi="Times New Roman"/>
          <w:szCs w:val="24"/>
        </w:rPr>
      </w:pPr>
      <w:r w:rsidRPr="009276B7">
        <w:rPr>
          <w:rFonts w:ascii="Times New Roman" w:hAnsi="Times New Roman"/>
          <w:szCs w:val="24"/>
        </w:rPr>
        <w:t xml:space="preserve"> </w:t>
      </w:r>
    </w:p>
    <w:p w:rsidR="0071585A" w:rsidRPr="009276B7" w14:paraId="0E202534" w14:textId="443808F3">
      <w:pPr>
        <w:tabs>
          <w:tab w:val="left" w:pos="-720"/>
        </w:tabs>
        <w:suppressAutoHyphens/>
        <w:rPr>
          <w:rFonts w:ascii="Times New Roman" w:hAnsi="Times New Roman"/>
          <w:szCs w:val="24"/>
        </w:rPr>
      </w:pPr>
      <w:r w:rsidRPr="009276B7">
        <w:rPr>
          <w:rFonts w:ascii="Times New Roman" w:hAnsi="Times New Roman"/>
          <w:szCs w:val="24"/>
        </w:rPr>
        <w:tab/>
        <w:t>17.</w:t>
      </w:r>
      <w:r w:rsidRPr="009276B7">
        <w:rPr>
          <w:rFonts w:ascii="Times New Roman" w:hAnsi="Times New Roman"/>
          <w:szCs w:val="24"/>
        </w:rPr>
        <w:tab/>
      </w:r>
      <w:r w:rsidRPr="009276B7" w:rsidR="009276B7">
        <w:rPr>
          <w:rFonts w:ascii="Times New Roman" w:hAnsi="Times New Roman"/>
          <w:i/>
          <w:iCs/>
          <w:spacing w:val="-3"/>
          <w:szCs w:val="24"/>
          <w:shd w:val="clear" w:color="auto" w:fill="FFFFFF"/>
        </w:rPr>
        <w:t>Display of expiration date for OMB approval of information collection</w:t>
      </w:r>
      <w:r w:rsidRPr="009276B7" w:rsidR="009276B7">
        <w:rPr>
          <w:rFonts w:ascii="Times New Roman" w:hAnsi="Times New Roman"/>
          <w:spacing w:val="-3"/>
          <w:szCs w:val="24"/>
          <w:shd w:val="clear" w:color="auto" w:fill="FFFFFF"/>
        </w:rPr>
        <w:t xml:space="preserve">.  </w:t>
      </w:r>
      <w:r w:rsidRPr="009276B7">
        <w:rPr>
          <w:rFonts w:ascii="Times New Roman" w:hAnsi="Times New Roman"/>
          <w:szCs w:val="24"/>
        </w:rPr>
        <w:t>The Commission does not seek approval not to display the expiration date for OMB approval of the information collections.</w:t>
      </w:r>
    </w:p>
    <w:p w:rsidR="0071585A" w14:paraId="023FF391" w14:textId="77777777">
      <w:pPr>
        <w:tabs>
          <w:tab w:val="left" w:pos="-720"/>
        </w:tabs>
        <w:suppressAutoHyphens/>
        <w:rPr>
          <w:rFonts w:ascii="Times New Roman" w:hAnsi="Times New Roman"/>
          <w:szCs w:val="24"/>
        </w:rPr>
      </w:pPr>
    </w:p>
    <w:p w:rsidR="00AE34C1" w:rsidRPr="009276B7" w14:paraId="3C9032F9" w14:textId="77777777">
      <w:pPr>
        <w:tabs>
          <w:tab w:val="left" w:pos="-720"/>
        </w:tabs>
        <w:suppressAutoHyphens/>
        <w:rPr>
          <w:rFonts w:ascii="Times New Roman" w:hAnsi="Times New Roman"/>
          <w:szCs w:val="24"/>
        </w:rPr>
      </w:pPr>
    </w:p>
    <w:p w:rsidR="00AE34C1" w:rsidP="006A2333" w14:paraId="3EE276F4" w14:textId="77777777">
      <w:pPr>
        <w:rPr>
          <w:szCs w:val="24"/>
        </w:rPr>
      </w:pPr>
      <w:r w:rsidRPr="009276B7">
        <w:rPr>
          <w:rFonts w:ascii="Times New Roman" w:hAnsi="Times New Roman"/>
          <w:szCs w:val="24"/>
        </w:rPr>
        <w:tab/>
        <w:t>18.</w:t>
      </w:r>
      <w:r w:rsidRPr="009276B7">
        <w:rPr>
          <w:rFonts w:ascii="Times New Roman" w:hAnsi="Times New Roman"/>
          <w:szCs w:val="24"/>
        </w:rPr>
        <w:tab/>
      </w:r>
      <w:r w:rsidRPr="009276B7" w:rsidR="009276B7">
        <w:rPr>
          <w:rFonts w:ascii="Times New Roman" w:hAnsi="Times New Roman"/>
          <w:i/>
          <w:iCs/>
          <w:szCs w:val="24"/>
        </w:rPr>
        <w:t>Exceptions to certification for Paperwork Reduction Act submissions</w:t>
      </w:r>
      <w:r w:rsidRPr="009276B7" w:rsidR="009276B7">
        <w:rPr>
          <w:rFonts w:ascii="Times New Roman" w:hAnsi="Times New Roman"/>
          <w:szCs w:val="24"/>
        </w:rPr>
        <w:t xml:space="preserve">.  </w:t>
      </w:r>
      <w:r w:rsidRPr="00916399" w:rsidR="006A2333">
        <w:rPr>
          <w:szCs w:val="24"/>
        </w:rPr>
        <w:t xml:space="preserve">The Commission is reporting an exception to the Certification Statement. In the 60-day notice published in the Federal Register on June 25, 2024 (89 FR 53079), the Commission stated the total </w:t>
      </w:r>
      <w:r w:rsidRPr="00916399" w:rsidR="00427562">
        <w:rPr>
          <w:szCs w:val="24"/>
        </w:rPr>
        <w:t xml:space="preserve">respondents as 6,026, total </w:t>
      </w:r>
      <w:r w:rsidRPr="00916399" w:rsidR="006A2333">
        <w:rPr>
          <w:szCs w:val="24"/>
        </w:rPr>
        <w:t xml:space="preserve">annual responses as </w:t>
      </w:r>
      <w:r w:rsidRPr="00916399" w:rsidR="00CC26E3">
        <w:rPr>
          <w:szCs w:val="24"/>
        </w:rPr>
        <w:t>10,002,000</w:t>
      </w:r>
      <w:r w:rsidRPr="00916399" w:rsidR="006A2333">
        <w:rPr>
          <w:szCs w:val="24"/>
        </w:rPr>
        <w:t xml:space="preserve"> and the total annual burden hours as </w:t>
      </w:r>
      <w:r w:rsidRPr="00916399" w:rsidR="00427562">
        <w:rPr>
          <w:szCs w:val="24"/>
        </w:rPr>
        <w:t>748,410</w:t>
      </w:r>
      <w:r w:rsidRPr="00916399" w:rsidR="006A2333">
        <w:rPr>
          <w:szCs w:val="24"/>
        </w:rPr>
        <w:t>. In this Supporting Statement, the total</w:t>
      </w:r>
      <w:r w:rsidRPr="00916399" w:rsidR="00427562">
        <w:rPr>
          <w:szCs w:val="24"/>
        </w:rPr>
        <w:t xml:space="preserve"> respondents decreased to 1,626</w:t>
      </w:r>
    </w:p>
    <w:p w:rsidR="002F1E6B" w:rsidRPr="00916399" w:rsidP="006A2333" w14:paraId="6A6FB393" w14:textId="10FA4A95">
      <w:pPr>
        <w:rPr>
          <w:szCs w:val="24"/>
        </w:rPr>
      </w:pPr>
      <w:r w:rsidRPr="00916399">
        <w:rPr>
          <w:szCs w:val="24"/>
        </w:rPr>
        <w:t>(-4,400);</w:t>
      </w:r>
      <w:r w:rsidRPr="00916399" w:rsidR="006A2333">
        <w:rPr>
          <w:szCs w:val="24"/>
        </w:rPr>
        <w:t xml:space="preserve"> annual responses increased from </w:t>
      </w:r>
      <w:r w:rsidRPr="00916399">
        <w:rPr>
          <w:szCs w:val="24"/>
        </w:rPr>
        <w:t xml:space="preserve">10,002,000 </w:t>
      </w:r>
      <w:r w:rsidRPr="00916399" w:rsidR="006A2333">
        <w:rPr>
          <w:szCs w:val="24"/>
        </w:rPr>
        <w:t xml:space="preserve">to </w:t>
      </w:r>
      <w:r w:rsidRPr="00916399">
        <w:rPr>
          <w:b/>
          <w:bCs/>
          <w:szCs w:val="24"/>
        </w:rPr>
        <w:t>13,672,0</w:t>
      </w:r>
      <w:r w:rsidR="007F76D9">
        <w:rPr>
          <w:b/>
          <w:bCs/>
          <w:szCs w:val="24"/>
        </w:rPr>
        <w:t>5</w:t>
      </w:r>
      <w:r w:rsidRPr="00916399">
        <w:rPr>
          <w:b/>
          <w:bCs/>
          <w:szCs w:val="24"/>
        </w:rPr>
        <w:t>0</w:t>
      </w:r>
      <w:r w:rsidRPr="00916399" w:rsidR="006A2333">
        <w:rPr>
          <w:szCs w:val="24"/>
        </w:rPr>
        <w:t xml:space="preserve"> </w:t>
      </w:r>
      <w:r w:rsidRPr="00916399" w:rsidR="006A2333">
        <w:rPr>
          <w:szCs w:val="24"/>
        </w:rPr>
        <w:t>(+</w:t>
      </w:r>
      <w:r w:rsidRPr="00916399" w:rsidR="004A4F53">
        <w:rPr>
          <w:szCs w:val="24"/>
        </w:rPr>
        <w:t>3,670,0</w:t>
      </w:r>
      <w:r w:rsidR="007F76D9">
        <w:rPr>
          <w:szCs w:val="24"/>
        </w:rPr>
        <w:t>5</w:t>
      </w:r>
      <w:r w:rsidRPr="00916399" w:rsidR="004A4F53">
        <w:rPr>
          <w:szCs w:val="24"/>
        </w:rPr>
        <w:t>0</w:t>
      </w:r>
      <w:r w:rsidRPr="00916399" w:rsidR="006A2333">
        <w:rPr>
          <w:szCs w:val="24"/>
        </w:rPr>
        <w:t xml:space="preserve">) and the total annual burden hours increased from </w:t>
      </w:r>
      <w:r w:rsidRPr="00916399">
        <w:rPr>
          <w:szCs w:val="24"/>
        </w:rPr>
        <w:t xml:space="preserve">748,410 </w:t>
      </w:r>
      <w:r w:rsidRPr="00916399" w:rsidR="006A2333">
        <w:rPr>
          <w:szCs w:val="24"/>
        </w:rPr>
        <w:t xml:space="preserve">to </w:t>
      </w:r>
      <w:r w:rsidRPr="00916399" w:rsidR="004A4F53">
        <w:rPr>
          <w:b/>
          <w:bCs/>
          <w:spacing w:val="-3"/>
          <w:szCs w:val="24"/>
          <w:shd w:val="clear" w:color="auto" w:fill="FFFFFF"/>
        </w:rPr>
        <w:t>792,235</w:t>
      </w:r>
      <w:r w:rsidRPr="00916399" w:rsidR="006A2333">
        <w:rPr>
          <w:szCs w:val="24"/>
        </w:rPr>
        <w:t xml:space="preserve"> </w:t>
      </w:r>
      <w:r w:rsidRPr="00916399" w:rsidR="006A2333">
        <w:rPr>
          <w:szCs w:val="24"/>
        </w:rPr>
        <w:t>(+</w:t>
      </w:r>
      <w:r w:rsidRPr="00916399" w:rsidR="00B87057">
        <w:rPr>
          <w:szCs w:val="24"/>
        </w:rPr>
        <w:t>43,825</w:t>
      </w:r>
      <w:r w:rsidRPr="00916399" w:rsidR="006A2333">
        <w:rPr>
          <w:szCs w:val="24"/>
        </w:rPr>
        <w:t xml:space="preserve">).  </w:t>
      </w:r>
      <w:r w:rsidRPr="00916399" w:rsidR="00AA4A12">
        <w:rPr>
          <w:szCs w:val="24"/>
        </w:rPr>
        <w:t xml:space="preserve">The 60-day notice inadvertently </w:t>
      </w:r>
      <w:r w:rsidRPr="00916399" w:rsidR="00037F52">
        <w:rPr>
          <w:szCs w:val="24"/>
        </w:rPr>
        <w:t>counted the same respondents multiple times for the collection</w:t>
      </w:r>
      <w:r w:rsidRPr="00916399" w:rsidR="00F10C78">
        <w:rPr>
          <w:szCs w:val="24"/>
        </w:rPr>
        <w:t xml:space="preserve"> by adding the respondents for each requirement.  However, the respondents are all pulled from the same pool – all voice providers – and the Commission has adjusted this number accordingly.  Further, a</w:t>
      </w:r>
      <w:r w:rsidRPr="00916399" w:rsidR="006A2333">
        <w:rPr>
          <w:szCs w:val="24"/>
        </w:rPr>
        <w:t xml:space="preserve">s explained above, the Commission has since determined that certain requirements are not information collections under the PRA, and has also revised the burden estimates upward in response to information provided in comments to the Federal Register notice.  These adjustments are reported in the 30-day notice and reflected in this submission to OMB.  There are no other exceptions to the Certification Statement. </w:t>
      </w:r>
    </w:p>
    <w:p w:rsidR="0071585A" w:rsidRPr="00916399" w14:paraId="5A490D8F" w14:textId="160CE91D">
      <w:pPr>
        <w:tabs>
          <w:tab w:val="left" w:pos="-720"/>
        </w:tabs>
        <w:suppressAutoHyphens/>
        <w:rPr>
          <w:rFonts w:ascii="Times New Roman" w:hAnsi="Times New Roman"/>
          <w:szCs w:val="24"/>
        </w:rPr>
      </w:pPr>
    </w:p>
    <w:p w:rsidR="0071585A" w:rsidRPr="009276B7" w14:paraId="3F99FACB" w14:textId="77777777">
      <w:pPr>
        <w:tabs>
          <w:tab w:val="left" w:pos="-720"/>
        </w:tabs>
        <w:suppressAutoHyphens/>
        <w:rPr>
          <w:rFonts w:ascii="Times New Roman" w:hAnsi="Times New Roman"/>
          <w:b/>
          <w:szCs w:val="24"/>
          <w:u w:val="single"/>
        </w:rPr>
      </w:pPr>
      <w:r w:rsidRPr="009276B7">
        <w:rPr>
          <w:rFonts w:ascii="Times New Roman" w:hAnsi="Times New Roman"/>
          <w:b/>
          <w:szCs w:val="24"/>
        </w:rPr>
        <w:t>B.</w:t>
      </w:r>
      <w:r w:rsidRPr="009276B7">
        <w:rPr>
          <w:rFonts w:ascii="Times New Roman" w:hAnsi="Times New Roman"/>
          <w:b/>
          <w:szCs w:val="24"/>
        </w:rPr>
        <w:tab/>
      </w:r>
      <w:r w:rsidRPr="009276B7">
        <w:rPr>
          <w:rFonts w:ascii="Times New Roman" w:hAnsi="Times New Roman"/>
          <w:b/>
          <w:szCs w:val="24"/>
          <w:u w:val="single"/>
        </w:rPr>
        <w:t>Collections of Information Employing Statistical Methods</w:t>
      </w:r>
      <w:r w:rsidRPr="009276B7" w:rsidR="004F1378">
        <w:rPr>
          <w:rFonts w:ascii="Times New Roman" w:hAnsi="Times New Roman"/>
          <w:b/>
          <w:szCs w:val="24"/>
          <w:u w:val="single"/>
        </w:rPr>
        <w:t>:</w:t>
      </w:r>
    </w:p>
    <w:p w:rsidR="0071585A" w:rsidRPr="009276B7" w14:paraId="11372167" w14:textId="77777777">
      <w:pPr>
        <w:tabs>
          <w:tab w:val="left" w:pos="-720"/>
        </w:tabs>
        <w:suppressAutoHyphens/>
        <w:rPr>
          <w:rFonts w:ascii="Times New Roman" w:hAnsi="Times New Roman"/>
          <w:szCs w:val="24"/>
        </w:rPr>
      </w:pPr>
    </w:p>
    <w:p w:rsidR="0071585A" w:rsidRPr="009276B7" w14:paraId="0B09363A" w14:textId="77777777">
      <w:pPr>
        <w:tabs>
          <w:tab w:val="left" w:pos="-720"/>
        </w:tabs>
        <w:suppressAutoHyphens/>
        <w:rPr>
          <w:rFonts w:ascii="Times New Roman" w:hAnsi="Times New Roman"/>
          <w:szCs w:val="24"/>
        </w:rPr>
      </w:pPr>
      <w:r w:rsidRPr="009276B7">
        <w:rPr>
          <w:rFonts w:ascii="Times New Roman" w:hAnsi="Times New Roman"/>
          <w:szCs w:val="24"/>
        </w:rPr>
        <w:tab/>
        <w:t xml:space="preserve">The Commission </w:t>
      </w:r>
      <w:r w:rsidRPr="009276B7" w:rsidR="00A7566B">
        <w:rPr>
          <w:rFonts w:ascii="Times New Roman" w:hAnsi="Times New Roman"/>
          <w:szCs w:val="24"/>
        </w:rPr>
        <w:t xml:space="preserve">does not </w:t>
      </w:r>
      <w:r w:rsidRPr="009276B7">
        <w:rPr>
          <w:rFonts w:ascii="Times New Roman" w:hAnsi="Times New Roman"/>
          <w:szCs w:val="24"/>
        </w:rPr>
        <w:t>anticipate that the collection of information will employ statistical methods.</w:t>
      </w:r>
    </w:p>
    <w:sectPr>
      <w:footerReference w:type="even" r:id="rId7"/>
      <w:footerReference w:type="default" r:id="rId8"/>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57CB7" w14:paraId="2C8E7650" w14:textId="77777777">
      <w:pPr>
        <w:spacing w:line="20" w:lineRule="exact"/>
      </w:pPr>
    </w:p>
  </w:endnote>
  <w:endnote w:type="continuationSeparator" w:id="1">
    <w:p w:rsidR="00F57CB7" w14:paraId="540649B4" w14:textId="77777777">
      <w:r>
        <w:t xml:space="preserve"> </w:t>
      </w:r>
    </w:p>
  </w:endnote>
  <w:endnote w:type="continuationNotice" w:id="2">
    <w:p w:rsidR="00F57CB7" w14:paraId="77C4894E"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1BC1" w:rsidP="00F45F1C" w14:paraId="338AFFA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E1BC1" w14:paraId="767DAD4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1BC1" w:rsidP="00F45F1C" w14:paraId="61DE329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46C4">
      <w:rPr>
        <w:rStyle w:val="PageNumber"/>
        <w:noProof/>
      </w:rPr>
      <w:t>1</w:t>
    </w:r>
    <w:r>
      <w:rPr>
        <w:rStyle w:val="PageNumber"/>
      </w:rPr>
      <w:fldChar w:fldCharType="end"/>
    </w:r>
  </w:p>
  <w:p w:rsidR="00FE1BC1" w14:paraId="2448894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57CB7" w14:paraId="429A3863" w14:textId="77777777">
      <w:r>
        <w:separator/>
      </w:r>
    </w:p>
  </w:footnote>
  <w:footnote w:type="continuationSeparator" w:id="1">
    <w:p w:rsidR="00F57CB7" w14:paraId="7D0FCD9C" w14:textId="77777777">
      <w:r>
        <w:continuationSeparator/>
      </w:r>
    </w:p>
  </w:footnote>
  <w:footnote w:id="2">
    <w:p w:rsidR="00130540" w:rsidRPr="00A63918" w:rsidP="00130540" w14:paraId="7D85F3BC" w14:textId="77777777">
      <w:pPr>
        <w:pStyle w:val="FootnoteText"/>
        <w:rPr>
          <w:rFonts w:ascii="Times New Roman" w:hAnsi="Times New Roman"/>
          <w:sz w:val="20"/>
        </w:rPr>
      </w:pPr>
      <w:r w:rsidRPr="00A63918">
        <w:rPr>
          <w:rStyle w:val="FootnoteReference"/>
          <w:rFonts w:ascii="Times New Roman" w:hAnsi="Times New Roman"/>
          <w:sz w:val="20"/>
        </w:rPr>
        <w:footnoteRef/>
      </w:r>
      <w:r w:rsidRPr="00A63918">
        <w:rPr>
          <w:rFonts w:ascii="Times New Roman" w:hAnsi="Times New Roman"/>
          <w:sz w:val="20"/>
        </w:rPr>
        <w:t xml:space="preserve"> Use of the term “wireless provider” is intended to encompasses providers of commercial mobile radio service (CMRS) as defined in section 20.3 of the Commission’s rules. 47 CFR § 20.3 (defining commercial mobile radio service as a mobile service that is “(1) provided for profit, i.e. with the intent of receiving compensation or monetary gain; (2) an interconnected service; and (3) available to the public, or to such classes of eligible users as to be effectively available to a substantial portion of the public,” or the “functional equivalent of such a mobile service.”</w:t>
      </w:r>
    </w:p>
  </w:footnote>
  <w:footnote w:id="3">
    <w:p w:rsidR="00D8444E" w:rsidRPr="00B90675" w:rsidP="00D8444E" w14:paraId="0A28EF04" w14:textId="77777777">
      <w:pPr>
        <w:pStyle w:val="FootnoteText"/>
        <w:rPr>
          <w:rFonts w:ascii="Times New Roman" w:hAnsi="Times New Roman"/>
          <w:sz w:val="20"/>
        </w:rPr>
      </w:pPr>
      <w:r w:rsidRPr="00B90675">
        <w:rPr>
          <w:rStyle w:val="FootnoteReference"/>
          <w:rFonts w:ascii="Times New Roman" w:hAnsi="Times New Roman"/>
          <w:sz w:val="20"/>
        </w:rPr>
        <w:footnoteRef/>
      </w:r>
      <w:r w:rsidRPr="00B90675">
        <w:rPr>
          <w:rFonts w:ascii="Times New Roman" w:hAnsi="Times New Roman"/>
          <w:sz w:val="20"/>
        </w:rPr>
        <w:t xml:space="preserve"> CCA SIM Swap and Port-Out Fraud PRA Comments at 2.</w:t>
      </w:r>
    </w:p>
  </w:footnote>
  <w:footnote w:id="4">
    <w:p w:rsidR="00D8444E" w:rsidRPr="00B90675" w:rsidP="00D8444E" w14:paraId="5F662DA4" w14:textId="77777777">
      <w:pPr>
        <w:pStyle w:val="FootnoteText"/>
        <w:rPr>
          <w:rFonts w:ascii="Times New Roman" w:hAnsi="Times New Roman"/>
          <w:sz w:val="20"/>
        </w:rPr>
      </w:pPr>
      <w:r w:rsidRPr="00B90675">
        <w:rPr>
          <w:rStyle w:val="FootnoteReference"/>
          <w:rFonts w:ascii="Times New Roman" w:hAnsi="Times New Roman"/>
          <w:sz w:val="20"/>
        </w:rPr>
        <w:footnoteRef/>
      </w:r>
      <w:r w:rsidRPr="00B90675">
        <w:rPr>
          <w:rFonts w:ascii="Times New Roman" w:hAnsi="Times New Roman"/>
          <w:sz w:val="20"/>
        </w:rPr>
        <w:t xml:space="preserve"> NCTA SIM Swap and Port-Out Fraud PRA Comments at 1.</w:t>
      </w:r>
    </w:p>
  </w:footnote>
  <w:footnote w:id="5">
    <w:p w:rsidR="00D8444E" w:rsidRPr="00B90675" w:rsidP="00D8444E" w14:paraId="6DF1C777" w14:textId="77777777">
      <w:pPr>
        <w:pStyle w:val="FootnoteText"/>
        <w:rPr>
          <w:rFonts w:ascii="Times New Roman" w:hAnsi="Times New Roman"/>
          <w:sz w:val="20"/>
        </w:rPr>
      </w:pPr>
      <w:r w:rsidRPr="00B90675">
        <w:rPr>
          <w:rStyle w:val="FootnoteReference"/>
          <w:rFonts w:ascii="Times New Roman" w:hAnsi="Times New Roman"/>
          <w:sz w:val="20"/>
        </w:rPr>
        <w:footnoteRef/>
      </w:r>
      <w:r w:rsidRPr="00B90675">
        <w:rPr>
          <w:rFonts w:ascii="Times New Roman" w:hAnsi="Times New Roman"/>
          <w:sz w:val="20"/>
        </w:rPr>
        <w:t xml:space="preserve"> </w:t>
      </w:r>
      <w:r w:rsidRPr="00B90675">
        <w:rPr>
          <w:rFonts w:ascii="Times New Roman" w:hAnsi="Times New Roman"/>
          <w:i/>
          <w:iCs/>
          <w:sz w:val="20"/>
        </w:rPr>
        <w:t xml:space="preserve">Id. </w:t>
      </w:r>
      <w:r w:rsidRPr="00B90675">
        <w:rPr>
          <w:rFonts w:ascii="Times New Roman" w:hAnsi="Times New Roman"/>
          <w:sz w:val="20"/>
        </w:rPr>
        <w:t>at 3.</w:t>
      </w:r>
    </w:p>
  </w:footnote>
  <w:footnote w:id="6">
    <w:p w:rsidR="00D8444E" w:rsidRPr="00B90675" w:rsidP="00D8444E" w14:paraId="6F7E06BB" w14:textId="77777777">
      <w:pPr>
        <w:pStyle w:val="FootnoteText"/>
        <w:rPr>
          <w:rFonts w:ascii="Times New Roman" w:hAnsi="Times New Roman"/>
          <w:sz w:val="20"/>
        </w:rPr>
      </w:pPr>
      <w:r w:rsidRPr="00B90675">
        <w:rPr>
          <w:rStyle w:val="FootnoteReference"/>
          <w:rFonts w:ascii="Times New Roman" w:hAnsi="Times New Roman"/>
          <w:sz w:val="20"/>
        </w:rPr>
        <w:footnoteRef/>
      </w:r>
      <w:r w:rsidRPr="00B90675">
        <w:rPr>
          <w:rFonts w:ascii="Times New Roman" w:hAnsi="Times New Roman"/>
          <w:sz w:val="20"/>
        </w:rPr>
        <w:t xml:space="preserve"> </w:t>
      </w:r>
      <w:r w:rsidRPr="00B90675">
        <w:rPr>
          <w:rFonts w:ascii="Times New Roman" w:hAnsi="Times New Roman"/>
          <w:i/>
          <w:iCs/>
          <w:sz w:val="20"/>
        </w:rPr>
        <w:t xml:space="preserve">Id. </w:t>
      </w:r>
      <w:r w:rsidRPr="00B90675">
        <w:rPr>
          <w:rFonts w:ascii="Times New Roman" w:hAnsi="Times New Roman"/>
          <w:sz w:val="20"/>
        </w:rPr>
        <w:t>at 4.</w:t>
      </w:r>
    </w:p>
  </w:footnote>
  <w:footnote w:id="7">
    <w:p w:rsidR="00D8444E" w:rsidRPr="00B90675" w:rsidP="00D8444E" w14:paraId="50D5205B" w14:textId="77777777">
      <w:pPr>
        <w:pStyle w:val="FootnoteText"/>
        <w:rPr>
          <w:rFonts w:ascii="Times New Roman" w:hAnsi="Times New Roman"/>
          <w:sz w:val="20"/>
        </w:rPr>
      </w:pPr>
      <w:r w:rsidRPr="00B90675">
        <w:rPr>
          <w:rStyle w:val="FootnoteReference"/>
          <w:rFonts w:ascii="Times New Roman" w:hAnsi="Times New Roman"/>
          <w:sz w:val="20"/>
        </w:rPr>
        <w:footnoteRef/>
      </w:r>
      <w:r w:rsidRPr="00B90675">
        <w:rPr>
          <w:rFonts w:ascii="Times New Roman" w:hAnsi="Times New Roman"/>
          <w:sz w:val="20"/>
        </w:rPr>
        <w:t xml:space="preserve"> CTIA SIM Swap and Port-Out Fraud PRA Comments at 2.</w:t>
      </w:r>
    </w:p>
  </w:footnote>
  <w:footnote w:id="8">
    <w:p w:rsidR="00D8444E" w:rsidRPr="00B90675" w:rsidP="00D8444E" w14:paraId="1B47169B" w14:textId="77777777">
      <w:pPr>
        <w:pStyle w:val="FootnoteText"/>
        <w:rPr>
          <w:rFonts w:ascii="Times New Roman" w:hAnsi="Times New Roman"/>
          <w:sz w:val="20"/>
        </w:rPr>
      </w:pPr>
      <w:r w:rsidRPr="00B90675">
        <w:rPr>
          <w:rStyle w:val="FootnoteReference"/>
          <w:rFonts w:ascii="Times New Roman" w:hAnsi="Times New Roman"/>
          <w:sz w:val="20"/>
        </w:rPr>
        <w:footnoteRef/>
      </w:r>
      <w:r w:rsidRPr="00B90675">
        <w:rPr>
          <w:rFonts w:ascii="Times New Roman" w:hAnsi="Times New Roman"/>
          <w:sz w:val="20"/>
        </w:rPr>
        <w:t xml:space="preserve"> </w:t>
      </w:r>
      <w:r w:rsidRPr="00B90675">
        <w:rPr>
          <w:rFonts w:ascii="Times New Roman" w:hAnsi="Times New Roman"/>
          <w:i/>
          <w:iCs/>
          <w:sz w:val="20"/>
        </w:rPr>
        <w:t xml:space="preserve">Id. </w:t>
      </w:r>
      <w:r w:rsidRPr="00B90675">
        <w:rPr>
          <w:rFonts w:ascii="Times New Roman" w:hAnsi="Times New Roman"/>
          <w:sz w:val="20"/>
        </w:rPr>
        <w:t>at 5.</w:t>
      </w:r>
    </w:p>
  </w:footnote>
  <w:footnote w:id="9">
    <w:p w:rsidR="00D8444E" w:rsidRPr="00B90675" w:rsidP="00D8444E" w14:paraId="113B0018" w14:textId="77777777">
      <w:pPr>
        <w:pStyle w:val="FootnoteText"/>
        <w:rPr>
          <w:rFonts w:ascii="Times New Roman" w:hAnsi="Times New Roman"/>
          <w:sz w:val="20"/>
        </w:rPr>
      </w:pPr>
      <w:r w:rsidRPr="00B90675">
        <w:rPr>
          <w:rStyle w:val="FootnoteReference"/>
          <w:rFonts w:ascii="Times New Roman" w:hAnsi="Times New Roman"/>
          <w:sz w:val="20"/>
        </w:rPr>
        <w:footnoteRef/>
      </w:r>
      <w:r w:rsidRPr="00B90675">
        <w:rPr>
          <w:rFonts w:ascii="Times New Roman" w:hAnsi="Times New Roman"/>
          <w:sz w:val="20"/>
        </w:rPr>
        <w:t xml:space="preserve"> </w:t>
      </w:r>
      <w:r w:rsidRPr="00B90675">
        <w:rPr>
          <w:rFonts w:ascii="Times New Roman" w:hAnsi="Times New Roman"/>
          <w:i/>
          <w:iCs/>
          <w:sz w:val="20"/>
        </w:rPr>
        <w:t xml:space="preserve">Id. </w:t>
      </w:r>
      <w:r w:rsidRPr="00B90675">
        <w:rPr>
          <w:rFonts w:ascii="Times New Roman" w:hAnsi="Times New Roman"/>
          <w:sz w:val="20"/>
        </w:rPr>
        <w:t>at 8-9 (detailing the various internal steps required for providers to implement the new requirements).</w:t>
      </w:r>
    </w:p>
  </w:footnote>
  <w:footnote w:id="10">
    <w:p w:rsidR="00D8444E" w:rsidRPr="00B90675" w:rsidP="00D8444E" w14:paraId="1F7F4CA5" w14:textId="77777777">
      <w:pPr>
        <w:pStyle w:val="FootnoteText"/>
        <w:rPr>
          <w:rFonts w:ascii="Times New Roman" w:hAnsi="Times New Roman"/>
          <w:sz w:val="20"/>
        </w:rPr>
      </w:pPr>
      <w:r w:rsidRPr="00B90675">
        <w:rPr>
          <w:rStyle w:val="FootnoteReference"/>
          <w:rFonts w:ascii="Times New Roman" w:hAnsi="Times New Roman"/>
          <w:sz w:val="20"/>
        </w:rPr>
        <w:footnoteRef/>
      </w:r>
      <w:r w:rsidRPr="00B90675">
        <w:rPr>
          <w:rFonts w:ascii="Times New Roman" w:hAnsi="Times New Roman"/>
          <w:sz w:val="20"/>
        </w:rPr>
        <w:t xml:space="preserve"> </w:t>
      </w:r>
      <w:r w:rsidRPr="00B90675">
        <w:rPr>
          <w:rFonts w:ascii="Times New Roman" w:hAnsi="Times New Roman"/>
          <w:i/>
          <w:iCs/>
          <w:sz w:val="20"/>
        </w:rPr>
        <w:t xml:space="preserve">See </w:t>
      </w:r>
      <w:r w:rsidRPr="00B90675">
        <w:rPr>
          <w:rFonts w:ascii="Times New Roman" w:hAnsi="Times New Roman"/>
          <w:sz w:val="20"/>
        </w:rPr>
        <w:t>NCTA PRA Comments at 3; CTIA PRA Comments at 5.</w:t>
      </w:r>
    </w:p>
  </w:footnote>
  <w:footnote w:id="11">
    <w:p w:rsidR="00D8444E" w:rsidRPr="00B90675" w:rsidP="00D8444E" w14:paraId="71AC2B0F" w14:textId="77777777">
      <w:pPr>
        <w:pStyle w:val="FootnoteText"/>
        <w:rPr>
          <w:rFonts w:ascii="Times New Roman" w:hAnsi="Times New Roman"/>
          <w:i/>
          <w:iCs/>
          <w:sz w:val="20"/>
        </w:rPr>
      </w:pPr>
      <w:r w:rsidRPr="00B90675">
        <w:rPr>
          <w:rStyle w:val="FootnoteReference"/>
          <w:rFonts w:ascii="Times New Roman" w:hAnsi="Times New Roman"/>
          <w:sz w:val="20"/>
        </w:rPr>
        <w:footnoteRef/>
      </w:r>
      <w:r w:rsidRPr="00B90675">
        <w:rPr>
          <w:rFonts w:ascii="Times New Roman" w:hAnsi="Times New Roman"/>
          <w:sz w:val="20"/>
        </w:rPr>
        <w:t xml:space="preserve"> </w:t>
      </w:r>
      <w:r w:rsidRPr="00B90675">
        <w:rPr>
          <w:rFonts w:ascii="Times New Roman" w:hAnsi="Times New Roman"/>
          <w:i/>
          <w:iCs/>
          <w:sz w:val="20"/>
        </w:rPr>
        <w:t xml:space="preserve">Id. </w:t>
      </w:r>
      <w:r w:rsidRPr="00B90675">
        <w:rPr>
          <w:rFonts w:ascii="Times New Roman" w:hAnsi="Times New Roman"/>
          <w:sz w:val="20"/>
        </w:rPr>
        <w:t xml:space="preserve">at 3. CCA estimates that initial compliance with the account locking requirements is estimated to take at least between 750-800 hours of work at a cost of no less than between $80,000-$90,000 per carrier for vendor services and carrier resources required for implementation.  </w:t>
      </w:r>
      <w:r w:rsidRPr="00B90675">
        <w:rPr>
          <w:rFonts w:ascii="Times New Roman" w:hAnsi="Times New Roman"/>
          <w:i/>
          <w:iCs/>
          <w:sz w:val="20"/>
        </w:rPr>
        <w:t xml:space="preserve">Id. </w:t>
      </w:r>
    </w:p>
  </w:footnote>
  <w:footnote w:id="12">
    <w:p w:rsidR="00D8444E" w:rsidRPr="00B90675" w:rsidP="00D8444E" w14:paraId="74FCC579" w14:textId="77777777">
      <w:pPr>
        <w:pStyle w:val="FootnoteText"/>
        <w:rPr>
          <w:rFonts w:ascii="Times New Roman" w:hAnsi="Times New Roman"/>
          <w:sz w:val="20"/>
        </w:rPr>
      </w:pPr>
      <w:r w:rsidRPr="00B90675">
        <w:rPr>
          <w:rStyle w:val="FootnoteReference"/>
          <w:rFonts w:ascii="Times New Roman" w:hAnsi="Times New Roman"/>
          <w:sz w:val="20"/>
        </w:rPr>
        <w:footnoteRef/>
      </w:r>
      <w:r w:rsidRPr="00B90675">
        <w:rPr>
          <w:rFonts w:ascii="Times New Roman" w:hAnsi="Times New Roman"/>
          <w:sz w:val="20"/>
        </w:rPr>
        <w:t xml:space="preserve"> </w:t>
      </w:r>
      <w:r w:rsidRPr="00B90675">
        <w:rPr>
          <w:rFonts w:ascii="Times New Roman" w:hAnsi="Times New Roman"/>
          <w:i/>
          <w:iCs/>
          <w:sz w:val="20"/>
        </w:rPr>
        <w:t xml:space="preserve">Id. </w:t>
      </w:r>
      <w:r w:rsidRPr="00B90675">
        <w:rPr>
          <w:rFonts w:ascii="Times New Roman" w:hAnsi="Times New Roman"/>
          <w:sz w:val="20"/>
        </w:rPr>
        <w:t>at 4.</w:t>
      </w:r>
    </w:p>
  </w:footnote>
  <w:footnote w:id="13">
    <w:p w:rsidR="00D8444E" w:rsidRPr="00B90675" w:rsidP="00D8444E" w14:paraId="2030A9DF" w14:textId="77777777">
      <w:pPr>
        <w:pStyle w:val="FootnoteText"/>
        <w:rPr>
          <w:rFonts w:ascii="Times New Roman" w:hAnsi="Times New Roman"/>
          <w:i/>
          <w:iCs/>
          <w:sz w:val="20"/>
        </w:rPr>
      </w:pPr>
      <w:r w:rsidRPr="00B90675">
        <w:rPr>
          <w:rStyle w:val="FootnoteReference"/>
          <w:rFonts w:ascii="Times New Roman" w:hAnsi="Times New Roman"/>
          <w:sz w:val="20"/>
        </w:rPr>
        <w:footnoteRef/>
      </w:r>
      <w:r w:rsidRPr="00B90675">
        <w:rPr>
          <w:rFonts w:ascii="Times New Roman" w:hAnsi="Times New Roman"/>
          <w:sz w:val="20"/>
        </w:rPr>
        <w:t xml:space="preserve"> </w:t>
      </w:r>
      <w:r w:rsidRPr="00B90675">
        <w:rPr>
          <w:rFonts w:ascii="Times New Roman" w:hAnsi="Times New Roman"/>
          <w:i/>
          <w:iCs/>
          <w:sz w:val="20"/>
        </w:rPr>
        <w:t>Id.</w:t>
      </w:r>
    </w:p>
  </w:footnote>
  <w:footnote w:id="14">
    <w:p w:rsidR="00D8444E" w:rsidRPr="00B90675" w:rsidP="00D8444E" w14:paraId="1ED5127F" w14:textId="77777777">
      <w:pPr>
        <w:pStyle w:val="FootnoteText"/>
        <w:rPr>
          <w:rFonts w:ascii="Times New Roman" w:hAnsi="Times New Roman"/>
          <w:sz w:val="20"/>
        </w:rPr>
      </w:pPr>
      <w:r w:rsidRPr="00B90675">
        <w:rPr>
          <w:rStyle w:val="FootnoteReference"/>
          <w:rFonts w:ascii="Times New Roman" w:hAnsi="Times New Roman"/>
          <w:sz w:val="20"/>
        </w:rPr>
        <w:footnoteRef/>
      </w:r>
      <w:r w:rsidRPr="00B90675">
        <w:rPr>
          <w:rFonts w:ascii="Times New Roman" w:hAnsi="Times New Roman"/>
          <w:sz w:val="20"/>
        </w:rPr>
        <w:t xml:space="preserve"> CTIA SIM Swap and Port-Out Fraud PRA Comments at 11-16.</w:t>
      </w:r>
    </w:p>
  </w:footnote>
  <w:footnote w:id="15">
    <w:p w:rsidR="00D8444E" w:rsidRPr="00B90675" w:rsidP="00D8444E" w14:paraId="6F335425" w14:textId="77777777">
      <w:pPr>
        <w:pStyle w:val="FootnoteText"/>
        <w:rPr>
          <w:rFonts w:ascii="Times New Roman" w:hAnsi="Times New Roman"/>
          <w:sz w:val="20"/>
        </w:rPr>
      </w:pPr>
      <w:r w:rsidRPr="00B90675">
        <w:rPr>
          <w:rStyle w:val="FootnoteReference"/>
          <w:rFonts w:ascii="Times New Roman" w:hAnsi="Times New Roman"/>
          <w:sz w:val="20"/>
        </w:rPr>
        <w:footnoteRef/>
      </w:r>
      <w:r w:rsidRPr="00B90675">
        <w:rPr>
          <w:rFonts w:ascii="Times New Roman" w:hAnsi="Times New Roman"/>
          <w:sz w:val="20"/>
        </w:rPr>
        <w:t xml:space="preserve"> </w:t>
      </w:r>
      <w:r w:rsidRPr="00B90675">
        <w:rPr>
          <w:rFonts w:ascii="Times New Roman" w:hAnsi="Times New Roman"/>
          <w:i/>
          <w:iCs/>
          <w:sz w:val="20"/>
        </w:rPr>
        <w:t>SIM Swap and Port Out Fraud Order</w:t>
      </w:r>
      <w:r w:rsidRPr="00B90675">
        <w:rPr>
          <w:rFonts w:ascii="Times New Roman" w:hAnsi="Times New Roman"/>
          <w:sz w:val="20"/>
        </w:rPr>
        <w:t xml:space="preserve"> at paras. 67, 72.</w:t>
      </w:r>
    </w:p>
  </w:footnote>
  <w:footnote w:id="16">
    <w:p w:rsidR="00D8444E" w:rsidRPr="00B90675" w:rsidP="00D8444E" w14:paraId="1F30109F" w14:textId="77777777">
      <w:pPr>
        <w:pStyle w:val="FootnoteText"/>
        <w:rPr>
          <w:rFonts w:ascii="Times New Roman" w:hAnsi="Times New Roman"/>
          <w:sz w:val="20"/>
        </w:rPr>
      </w:pPr>
      <w:r w:rsidRPr="00B90675">
        <w:rPr>
          <w:rStyle w:val="FootnoteReference"/>
          <w:rFonts w:ascii="Times New Roman" w:hAnsi="Times New Roman"/>
          <w:sz w:val="20"/>
        </w:rPr>
        <w:footnoteRef/>
      </w:r>
      <w:r w:rsidRPr="00B90675">
        <w:rPr>
          <w:rFonts w:ascii="Times New Roman" w:hAnsi="Times New Roman"/>
          <w:sz w:val="20"/>
        </w:rPr>
        <w:t xml:space="preserve"> CCA SIM Swap and Port-Out Fraud PRA Comments at 4. </w:t>
      </w:r>
    </w:p>
  </w:footnote>
  <w:footnote w:id="17">
    <w:p w:rsidR="00D8444E" w:rsidRPr="00B90675" w:rsidP="00D8444E" w14:paraId="11FA5CEF" w14:textId="77777777">
      <w:pPr>
        <w:pStyle w:val="FootnoteText"/>
        <w:rPr>
          <w:rFonts w:ascii="Times New Roman" w:hAnsi="Times New Roman"/>
          <w:sz w:val="20"/>
        </w:rPr>
      </w:pPr>
      <w:r w:rsidRPr="00B90675">
        <w:rPr>
          <w:rStyle w:val="FootnoteReference"/>
          <w:rFonts w:ascii="Times New Roman" w:hAnsi="Times New Roman"/>
          <w:sz w:val="20"/>
        </w:rPr>
        <w:footnoteRef/>
      </w:r>
      <w:r w:rsidRPr="00B90675">
        <w:rPr>
          <w:rFonts w:ascii="Times New Roman" w:hAnsi="Times New Roman"/>
          <w:sz w:val="20"/>
        </w:rPr>
        <w:t xml:space="preserve"> CTIA SIM Swap and Port-Out Fraud PRA Comments at 14.  Although CTIA implicitly acknowledges a difference between rules that require providers to provide customers documentation of SIM fraud and rules that require providers to investigate and remediate fraud, </w:t>
      </w:r>
      <w:r w:rsidRPr="00B90675">
        <w:rPr>
          <w:rFonts w:ascii="Times New Roman" w:hAnsi="Times New Roman"/>
          <w:i/>
          <w:iCs/>
          <w:sz w:val="20"/>
        </w:rPr>
        <w:t>id.</w:t>
      </w:r>
      <w:r w:rsidRPr="00B90675">
        <w:rPr>
          <w:rFonts w:ascii="Times New Roman" w:hAnsi="Times New Roman"/>
          <w:sz w:val="20"/>
        </w:rPr>
        <w:t xml:space="preserve">, it nonetheless focuses on burden associated with the latter, despite any such burdens not being “information collection” burdens for PRA purposes because “investigation and mitigation” are not collections of information. </w:t>
      </w:r>
    </w:p>
  </w:footnote>
  <w:footnote w:id="18">
    <w:p w:rsidR="00D8444E" w:rsidRPr="00B90675" w:rsidP="00D8444E" w14:paraId="4CCC0701" w14:textId="77777777">
      <w:pPr>
        <w:pStyle w:val="FootnoteText"/>
        <w:rPr>
          <w:rFonts w:ascii="Times New Roman" w:hAnsi="Times New Roman"/>
          <w:sz w:val="20"/>
        </w:rPr>
      </w:pPr>
      <w:r w:rsidRPr="00B90675">
        <w:rPr>
          <w:rStyle w:val="FootnoteReference"/>
          <w:rFonts w:ascii="Times New Roman" w:hAnsi="Times New Roman"/>
          <w:sz w:val="20"/>
        </w:rPr>
        <w:footnoteRef/>
      </w:r>
      <w:r w:rsidRPr="00B90675">
        <w:rPr>
          <w:rFonts w:ascii="Times New Roman" w:hAnsi="Times New Roman"/>
          <w:sz w:val="20"/>
        </w:rPr>
        <w:t xml:space="preserve"> CCA SIM SWAP and Port-Out Fraud PRA Comments at 3. </w:t>
      </w:r>
    </w:p>
  </w:footnote>
  <w:footnote w:id="19">
    <w:p w:rsidR="00D8444E" w:rsidRPr="00B90675" w:rsidP="00D8444E" w14:paraId="4A358475" w14:textId="77777777">
      <w:pPr>
        <w:pStyle w:val="FootnoteText"/>
        <w:rPr>
          <w:rFonts w:ascii="Times New Roman" w:hAnsi="Times New Roman"/>
          <w:sz w:val="20"/>
        </w:rPr>
      </w:pPr>
      <w:r w:rsidRPr="00B90675">
        <w:rPr>
          <w:rStyle w:val="FootnoteReference"/>
          <w:rFonts w:ascii="Times New Roman" w:hAnsi="Times New Roman"/>
          <w:sz w:val="20"/>
        </w:rPr>
        <w:footnoteRef/>
      </w:r>
      <w:r w:rsidRPr="00B90675">
        <w:rPr>
          <w:rFonts w:ascii="Times New Roman" w:hAnsi="Times New Roman"/>
          <w:sz w:val="20"/>
        </w:rPr>
        <w:t xml:space="preserve"> </w:t>
      </w:r>
      <w:r w:rsidRPr="00B90675">
        <w:rPr>
          <w:rFonts w:ascii="Times New Roman" w:hAnsi="Times New Roman"/>
          <w:i/>
          <w:iCs/>
          <w:sz w:val="20"/>
        </w:rPr>
        <w:t>SIM Swap and Port Out Fraud Order</w:t>
      </w:r>
      <w:r w:rsidRPr="00B90675">
        <w:rPr>
          <w:rFonts w:ascii="Times New Roman" w:hAnsi="Times New Roman"/>
          <w:sz w:val="20"/>
        </w:rPr>
        <w:t xml:space="preserve"> at para. 20.</w:t>
      </w:r>
    </w:p>
  </w:footnote>
  <w:footnote w:id="20">
    <w:p w:rsidR="00D8444E" w:rsidRPr="00B90675" w:rsidP="00D8444E" w14:paraId="02276735" w14:textId="77777777">
      <w:pPr>
        <w:pStyle w:val="FootnoteText"/>
        <w:rPr>
          <w:rFonts w:ascii="Times New Roman" w:hAnsi="Times New Roman"/>
          <w:sz w:val="20"/>
        </w:rPr>
      </w:pPr>
      <w:r w:rsidRPr="00B90675">
        <w:rPr>
          <w:rStyle w:val="FootnoteReference"/>
          <w:rFonts w:ascii="Times New Roman" w:hAnsi="Times New Roman"/>
          <w:sz w:val="20"/>
        </w:rPr>
        <w:footnoteRef/>
      </w:r>
      <w:r w:rsidRPr="00B90675">
        <w:rPr>
          <w:rFonts w:ascii="Times New Roman" w:hAnsi="Times New Roman"/>
          <w:sz w:val="20"/>
        </w:rPr>
        <w:t xml:space="preserve"> NCTA SIM Swap and Port-Out Fraud PRA Comments at 4-5.</w:t>
      </w:r>
    </w:p>
  </w:footnote>
  <w:footnote w:id="21">
    <w:p w:rsidR="00D8444E" w:rsidRPr="00B90675" w:rsidP="00D8444E" w14:paraId="3CAF028B" w14:textId="77777777">
      <w:pPr>
        <w:pStyle w:val="FootnoteText"/>
        <w:rPr>
          <w:rFonts w:ascii="Times New Roman" w:hAnsi="Times New Roman"/>
          <w:sz w:val="20"/>
        </w:rPr>
      </w:pPr>
      <w:r w:rsidRPr="00B90675">
        <w:rPr>
          <w:rStyle w:val="FootnoteReference"/>
          <w:rFonts w:ascii="Times New Roman" w:hAnsi="Times New Roman"/>
          <w:sz w:val="20"/>
        </w:rPr>
        <w:footnoteRef/>
      </w:r>
      <w:r w:rsidRPr="00B90675">
        <w:rPr>
          <w:rFonts w:ascii="Times New Roman" w:hAnsi="Times New Roman"/>
          <w:sz w:val="20"/>
        </w:rPr>
        <w:t xml:space="preserve"> CCA SIM Swap and Port-Out Fraud PRA Comments at 5.</w:t>
      </w:r>
    </w:p>
  </w:footnote>
  <w:footnote w:id="22">
    <w:p w:rsidR="00D8444E" w:rsidRPr="00B90675" w:rsidP="00D8444E" w14:paraId="2101615F" w14:textId="77777777">
      <w:pPr>
        <w:pStyle w:val="FootnoteText"/>
        <w:rPr>
          <w:rFonts w:ascii="Times New Roman" w:hAnsi="Times New Roman"/>
          <w:sz w:val="20"/>
        </w:rPr>
      </w:pPr>
      <w:r w:rsidRPr="00B90675">
        <w:rPr>
          <w:rStyle w:val="FootnoteReference"/>
          <w:rFonts w:ascii="Times New Roman" w:hAnsi="Times New Roman"/>
          <w:sz w:val="20"/>
        </w:rPr>
        <w:footnoteRef/>
      </w:r>
      <w:r w:rsidRPr="00B90675">
        <w:rPr>
          <w:rFonts w:ascii="Times New Roman" w:hAnsi="Times New Roman"/>
          <w:sz w:val="20"/>
        </w:rPr>
        <w:t xml:space="preserve"> </w:t>
      </w:r>
      <w:r w:rsidRPr="00B90675">
        <w:rPr>
          <w:rFonts w:ascii="Times New Roman" w:hAnsi="Times New Roman"/>
          <w:i/>
          <w:iCs/>
          <w:sz w:val="20"/>
        </w:rPr>
        <w:t>See Protecting Consumers from SIM Swap and Port-Out Fraud</w:t>
      </w:r>
      <w:r w:rsidRPr="00B90675">
        <w:rPr>
          <w:rFonts w:ascii="Times New Roman" w:hAnsi="Times New Roman"/>
          <w:sz w:val="20"/>
        </w:rPr>
        <w:t xml:space="preserve">, WC Docket No. 21-341, Order, DA 24-649 (WCB July 5, 2024).  The Bureau also found that waiver of the rules until March 10, 2025 would not serve the public interest.  </w:t>
      </w:r>
    </w:p>
  </w:footnote>
  <w:footnote w:id="23">
    <w:p w:rsidR="00D8444E" w:rsidRPr="00B90675" w:rsidP="00D8444E" w14:paraId="4D013FF2" w14:textId="77777777">
      <w:pPr>
        <w:pStyle w:val="FootnoteText"/>
        <w:rPr>
          <w:rFonts w:ascii="Times New Roman" w:hAnsi="Times New Roman"/>
          <w:sz w:val="20"/>
        </w:rPr>
      </w:pPr>
      <w:r w:rsidRPr="00B90675">
        <w:rPr>
          <w:rStyle w:val="FootnoteReference"/>
          <w:rFonts w:ascii="Times New Roman" w:hAnsi="Times New Roman"/>
          <w:sz w:val="20"/>
        </w:rPr>
        <w:footnoteRef/>
      </w:r>
      <w:r w:rsidRPr="00B90675">
        <w:rPr>
          <w:rFonts w:ascii="Times New Roman" w:hAnsi="Times New Roman"/>
          <w:sz w:val="20"/>
        </w:rPr>
        <w:t xml:space="preserve"> </w:t>
      </w:r>
      <w:r w:rsidRPr="00B90675">
        <w:rPr>
          <w:rFonts w:ascii="Times New Roman" w:hAnsi="Times New Roman"/>
          <w:i/>
          <w:iCs/>
          <w:sz w:val="20"/>
        </w:rPr>
        <w:t xml:space="preserve">Id. </w:t>
      </w:r>
      <w:r w:rsidRPr="00B90675">
        <w:rPr>
          <w:rFonts w:ascii="Times New Roman" w:hAnsi="Times New Roman"/>
          <w:sz w:val="20"/>
        </w:rPr>
        <w:t>at 17.</w:t>
      </w:r>
    </w:p>
  </w:footnote>
  <w:footnote w:id="24">
    <w:p w:rsidR="00D8444E" w:rsidRPr="00501AE9" w:rsidP="00D8444E" w14:paraId="43FEF6DD" w14:textId="77777777">
      <w:pPr>
        <w:pStyle w:val="FootnoteText"/>
        <w:rPr>
          <w:i/>
          <w:iCs/>
        </w:rPr>
      </w:pPr>
      <w:r w:rsidRPr="00B90675">
        <w:rPr>
          <w:rStyle w:val="FootnoteReference"/>
          <w:rFonts w:ascii="Times New Roman" w:hAnsi="Times New Roman"/>
          <w:sz w:val="20"/>
        </w:rPr>
        <w:footnoteRef/>
      </w:r>
      <w:r w:rsidRPr="00B90675">
        <w:rPr>
          <w:rFonts w:ascii="Times New Roman" w:hAnsi="Times New Roman"/>
          <w:sz w:val="20"/>
        </w:rPr>
        <w:t xml:space="preserve"> </w:t>
      </w:r>
      <w:r w:rsidRPr="00B90675">
        <w:rPr>
          <w:rFonts w:ascii="Times New Roman" w:hAnsi="Times New Roman"/>
          <w:i/>
          <w:iCs/>
          <w:sz w:val="20"/>
        </w:rPr>
        <w:t xml:space="preserve">See </w:t>
      </w:r>
      <w:r w:rsidRPr="00B90675">
        <w:rPr>
          <w:rFonts w:ascii="Times New Roman" w:hAnsi="Times New Roman"/>
          <w:sz w:val="20"/>
        </w:rPr>
        <w:t>CTIA PRA Comments at 18; CCA PRA Comments at 3.</w:t>
      </w:r>
    </w:p>
  </w:footnote>
  <w:footnote w:id="25">
    <w:p w:rsidR="00416AFE" w:rsidRPr="00D62965" w14:paraId="303C24D3" w14:textId="4954CF93">
      <w:pPr>
        <w:pStyle w:val="FootnoteText"/>
        <w:rPr>
          <w:rFonts w:ascii="Times New Roman" w:hAnsi="Times New Roman"/>
          <w:sz w:val="20"/>
        </w:rPr>
      </w:pPr>
      <w:r w:rsidRPr="00D62965">
        <w:rPr>
          <w:rStyle w:val="FootnoteReference"/>
          <w:rFonts w:ascii="Times New Roman" w:hAnsi="Times New Roman"/>
          <w:sz w:val="20"/>
        </w:rPr>
        <w:footnoteRef/>
      </w:r>
      <w:r w:rsidRPr="00D62965">
        <w:rPr>
          <w:rFonts w:ascii="Times New Roman" w:hAnsi="Times New Roman"/>
          <w:sz w:val="20"/>
        </w:rPr>
        <w:t xml:space="preserve"> In this section</w:t>
      </w:r>
      <w:r>
        <w:rPr>
          <w:rFonts w:ascii="Times New Roman" w:hAnsi="Times New Roman"/>
          <w:sz w:val="20"/>
        </w:rPr>
        <w:t>, hourly rates were calculated using</w:t>
      </w:r>
      <w:r w:rsidRPr="00D62965">
        <w:rPr>
          <w:rFonts w:ascii="Times New Roman" w:hAnsi="Times New Roman"/>
          <w:sz w:val="20"/>
        </w:rPr>
        <w:t xml:space="preserve"> the </w:t>
      </w:r>
      <w:r w:rsidR="006E4E15">
        <w:rPr>
          <w:rFonts w:ascii="Times New Roman" w:hAnsi="Times New Roman"/>
          <w:sz w:val="20"/>
        </w:rPr>
        <w:t>202</w:t>
      </w:r>
      <w:r w:rsidR="00921EBF">
        <w:rPr>
          <w:rFonts w:ascii="Times New Roman" w:hAnsi="Times New Roman"/>
          <w:sz w:val="20"/>
        </w:rPr>
        <w:t>4</w:t>
      </w:r>
      <w:r w:rsidRPr="00D62965" w:rsidR="006E4E15">
        <w:rPr>
          <w:rFonts w:ascii="Times New Roman" w:hAnsi="Times New Roman"/>
          <w:sz w:val="20"/>
        </w:rPr>
        <w:t xml:space="preserve"> </w:t>
      </w:r>
      <w:r w:rsidRPr="00D62965">
        <w:rPr>
          <w:rFonts w:ascii="Times New Roman" w:hAnsi="Times New Roman"/>
          <w:sz w:val="20"/>
        </w:rPr>
        <w:t xml:space="preserve">General Schedule </w:t>
      </w:r>
      <w:r w:rsidR="002618AC">
        <w:rPr>
          <w:rFonts w:ascii="Times New Roman" w:hAnsi="Times New Roman"/>
          <w:sz w:val="20"/>
        </w:rPr>
        <w:t>Locality Area of DC-MD-VA-WVA-</w:t>
      </w:r>
      <w:r w:rsidR="002618AC">
        <w:rPr>
          <w:rFonts w:ascii="Times New Roman" w:hAnsi="Times New Roman"/>
          <w:sz w:val="20"/>
        </w:rPr>
        <w:t>PA</w:t>
      </w:r>
      <w:r>
        <w:rPr>
          <w:rFonts w:ascii="Times New Roman" w:hAnsi="Times New Roman"/>
          <w:sz w:val="20"/>
        </w:rPr>
        <w:t>Salary</w:t>
      </w:r>
      <w:r>
        <w:rPr>
          <w:rFonts w:ascii="Times New Roman" w:hAnsi="Times New Roman"/>
          <w:sz w:val="20"/>
        </w:rPr>
        <w:t xml:space="preserve"> </w:t>
      </w:r>
      <w:r w:rsidRPr="00D62965">
        <w:rPr>
          <w:rFonts w:ascii="Times New Roman" w:hAnsi="Times New Roman"/>
          <w:sz w:val="20"/>
        </w:rPr>
        <w:t>Pay</w:t>
      </w:r>
      <w:r>
        <w:rPr>
          <w:rFonts w:ascii="Times New Roman" w:hAnsi="Times New Roman"/>
          <w:sz w:val="20"/>
        </w:rPr>
        <w:t xml:space="preserve"> Scale.</w:t>
      </w:r>
    </w:p>
  </w:footnote>
  <w:footnote w:id="26">
    <w:p w:rsidR="0063762D" w:rsidRPr="001B72A1" w:rsidP="0063762D" w14:paraId="314CB8A4" w14:textId="2A23DA82">
      <w:pPr>
        <w:pStyle w:val="FootnoteText"/>
        <w:rPr>
          <w:rFonts w:ascii="Times New Roman" w:hAnsi="Times New Roman"/>
          <w:sz w:val="20"/>
        </w:rPr>
      </w:pPr>
      <w:r w:rsidRPr="001B72A1">
        <w:rPr>
          <w:rStyle w:val="FootnoteReference"/>
          <w:rFonts w:ascii="Times New Roman" w:hAnsi="Times New Roman"/>
          <w:sz w:val="20"/>
        </w:rPr>
        <w:footnoteRef/>
      </w:r>
      <w:r w:rsidRPr="001B72A1">
        <w:rPr>
          <w:rFonts w:ascii="Times New Roman" w:hAnsi="Times New Roman"/>
          <w:sz w:val="20"/>
        </w:rPr>
        <w:t xml:space="preserve"> The record in the </w:t>
      </w:r>
      <w:r w:rsidRPr="001B72A1">
        <w:rPr>
          <w:rFonts w:ascii="Times New Roman" w:hAnsi="Times New Roman"/>
          <w:i/>
          <w:iCs/>
          <w:sz w:val="20"/>
        </w:rPr>
        <w:t xml:space="preserve">SIM Swap and Port-Out Fraud </w:t>
      </w:r>
      <w:r w:rsidRPr="001B72A1">
        <w:rPr>
          <w:rFonts w:ascii="Times New Roman" w:hAnsi="Times New Roman"/>
          <w:sz w:val="20"/>
        </w:rPr>
        <w:t xml:space="preserve">proceeding indicates that over 99% of </w:t>
      </w:r>
      <w:r w:rsidR="00074B0C">
        <w:rPr>
          <w:rFonts w:ascii="Times New Roman" w:hAnsi="Times New Roman"/>
          <w:sz w:val="20"/>
        </w:rPr>
        <w:t>port-out</w:t>
      </w:r>
      <w:r w:rsidRPr="001B72A1">
        <w:rPr>
          <w:rFonts w:ascii="Times New Roman" w:hAnsi="Times New Roman"/>
          <w:sz w:val="20"/>
        </w:rPr>
        <w:t xml:space="preserve"> requests are legitimate.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848FD8"/>
    <w:multiLevelType w:val="hybridMultilevel"/>
    <w:tmpl w:val="FF062B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A1F190E"/>
    <w:multiLevelType w:val="hybridMultilevel"/>
    <w:tmpl w:val="09BEFEC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30322456"/>
    <w:multiLevelType w:val="hybridMultilevel"/>
    <w:tmpl w:val="FB16344A"/>
    <w:lvl w:ilvl="0">
      <w:start w:val="5"/>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
    <w:nsid w:val="43322540"/>
    <w:multiLevelType w:val="hybridMultilevel"/>
    <w:tmpl w:val="651096E0"/>
    <w:lvl w:ilvl="0">
      <w:start w:val="1"/>
      <w:numFmt w:val="decimal"/>
      <w:lvlText w:val="(%1)"/>
      <w:lvlJc w:val="left"/>
      <w:pPr>
        <w:ind w:left="720" w:hanging="360"/>
      </w:pPr>
      <w:rPr>
        <w:rFonts w:hint="default"/>
        <w:b w:val="0"/>
        <w:bCs/>
        <w:i w:val="0"/>
        <w:i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D40C7A6"/>
    <w:multiLevelType w:val="hybridMultilevel"/>
    <w:tmpl w:val="3CC260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29A16CC"/>
    <w:multiLevelType w:val="hybridMultilevel"/>
    <w:tmpl w:val="99ACF97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70046266"/>
    <w:multiLevelType w:val="hybridMultilevel"/>
    <w:tmpl w:val="0CEC16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98B1DF1"/>
    <w:multiLevelType w:val="hybridMultilevel"/>
    <w:tmpl w:val="63CAD0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B334FA7"/>
    <w:multiLevelType w:val="hybridMultilevel"/>
    <w:tmpl w:val="72024B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57811095">
    <w:abstractNumId w:val="2"/>
  </w:num>
  <w:num w:numId="2" w16cid:durableId="16889461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5234227">
    <w:abstractNumId w:val="1"/>
  </w:num>
  <w:num w:numId="4" w16cid:durableId="54206485">
    <w:abstractNumId w:val="8"/>
  </w:num>
  <w:num w:numId="5" w16cid:durableId="1790052998">
    <w:abstractNumId w:val="4"/>
  </w:num>
  <w:num w:numId="6" w16cid:durableId="1107850455">
    <w:abstractNumId w:val="0"/>
  </w:num>
  <w:num w:numId="7" w16cid:durableId="59909248">
    <w:abstractNumId w:val="7"/>
  </w:num>
  <w:num w:numId="8" w16cid:durableId="952631731">
    <w:abstractNumId w:val="6"/>
  </w:num>
  <w:num w:numId="9" w16cid:durableId="16832422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25B"/>
    <w:rsid w:val="00000537"/>
    <w:rsid w:val="00002843"/>
    <w:rsid w:val="000173B7"/>
    <w:rsid w:val="00027916"/>
    <w:rsid w:val="00030526"/>
    <w:rsid w:val="00031C03"/>
    <w:rsid w:val="00037F52"/>
    <w:rsid w:val="000420D0"/>
    <w:rsid w:val="00043BC5"/>
    <w:rsid w:val="000455AC"/>
    <w:rsid w:val="0005746F"/>
    <w:rsid w:val="00060845"/>
    <w:rsid w:val="0007252E"/>
    <w:rsid w:val="00074B0C"/>
    <w:rsid w:val="00077D9C"/>
    <w:rsid w:val="00084081"/>
    <w:rsid w:val="00084B56"/>
    <w:rsid w:val="000866B6"/>
    <w:rsid w:val="000A3F9E"/>
    <w:rsid w:val="000A4082"/>
    <w:rsid w:val="000A6D04"/>
    <w:rsid w:val="000C0FA4"/>
    <w:rsid w:val="000E065B"/>
    <w:rsid w:val="000E1C44"/>
    <w:rsid w:val="000E5E70"/>
    <w:rsid w:val="000F5A93"/>
    <w:rsid w:val="000F6855"/>
    <w:rsid w:val="00104CB6"/>
    <w:rsid w:val="00107E63"/>
    <w:rsid w:val="001112B9"/>
    <w:rsid w:val="00113D7B"/>
    <w:rsid w:val="00124400"/>
    <w:rsid w:val="001254EA"/>
    <w:rsid w:val="00130540"/>
    <w:rsid w:val="00137B5B"/>
    <w:rsid w:val="0014594D"/>
    <w:rsid w:val="00147844"/>
    <w:rsid w:val="00157D45"/>
    <w:rsid w:val="001622FD"/>
    <w:rsid w:val="00167511"/>
    <w:rsid w:val="0018147F"/>
    <w:rsid w:val="0018287B"/>
    <w:rsid w:val="00186F47"/>
    <w:rsid w:val="001873CE"/>
    <w:rsid w:val="001910D0"/>
    <w:rsid w:val="001A019D"/>
    <w:rsid w:val="001A0514"/>
    <w:rsid w:val="001A12F8"/>
    <w:rsid w:val="001A72B8"/>
    <w:rsid w:val="001B72A1"/>
    <w:rsid w:val="001C2D09"/>
    <w:rsid w:val="001D3A93"/>
    <w:rsid w:val="001D43CF"/>
    <w:rsid w:val="001E09BC"/>
    <w:rsid w:val="001E16A7"/>
    <w:rsid w:val="001E616A"/>
    <w:rsid w:val="001F1100"/>
    <w:rsid w:val="001F53DE"/>
    <w:rsid w:val="0022555B"/>
    <w:rsid w:val="00230820"/>
    <w:rsid w:val="002355A2"/>
    <w:rsid w:val="00236E38"/>
    <w:rsid w:val="00237C75"/>
    <w:rsid w:val="00240F0E"/>
    <w:rsid w:val="00243EED"/>
    <w:rsid w:val="0025063D"/>
    <w:rsid w:val="00254ACE"/>
    <w:rsid w:val="00254B52"/>
    <w:rsid w:val="00257B12"/>
    <w:rsid w:val="00261500"/>
    <w:rsid w:val="002618AC"/>
    <w:rsid w:val="002644F0"/>
    <w:rsid w:val="00286037"/>
    <w:rsid w:val="002A4532"/>
    <w:rsid w:val="002A7820"/>
    <w:rsid w:val="002B7539"/>
    <w:rsid w:val="002B76A3"/>
    <w:rsid w:val="002C3581"/>
    <w:rsid w:val="002D4B9B"/>
    <w:rsid w:val="002F1CE8"/>
    <w:rsid w:val="002F1E6B"/>
    <w:rsid w:val="002F7B1D"/>
    <w:rsid w:val="00311236"/>
    <w:rsid w:val="00314BA6"/>
    <w:rsid w:val="003233A4"/>
    <w:rsid w:val="0033618E"/>
    <w:rsid w:val="00342D3C"/>
    <w:rsid w:val="00357DE2"/>
    <w:rsid w:val="00362347"/>
    <w:rsid w:val="00370478"/>
    <w:rsid w:val="003726EB"/>
    <w:rsid w:val="00372945"/>
    <w:rsid w:val="003739EC"/>
    <w:rsid w:val="0037645F"/>
    <w:rsid w:val="00386C9F"/>
    <w:rsid w:val="00391129"/>
    <w:rsid w:val="00393B7B"/>
    <w:rsid w:val="00394361"/>
    <w:rsid w:val="003A00B1"/>
    <w:rsid w:val="003A2A4D"/>
    <w:rsid w:val="003D29F4"/>
    <w:rsid w:val="003D3744"/>
    <w:rsid w:val="003D65CD"/>
    <w:rsid w:val="003E08AE"/>
    <w:rsid w:val="003E75B7"/>
    <w:rsid w:val="003F671D"/>
    <w:rsid w:val="003F7176"/>
    <w:rsid w:val="00400A79"/>
    <w:rsid w:val="00402B11"/>
    <w:rsid w:val="00403341"/>
    <w:rsid w:val="00416AFE"/>
    <w:rsid w:val="00417629"/>
    <w:rsid w:val="00420086"/>
    <w:rsid w:val="00422DEB"/>
    <w:rsid w:val="0042369B"/>
    <w:rsid w:val="00427562"/>
    <w:rsid w:val="004372AF"/>
    <w:rsid w:val="00452755"/>
    <w:rsid w:val="004651AB"/>
    <w:rsid w:val="00470D4D"/>
    <w:rsid w:val="004712B1"/>
    <w:rsid w:val="00482FB9"/>
    <w:rsid w:val="00497815"/>
    <w:rsid w:val="004A4F53"/>
    <w:rsid w:val="004B041D"/>
    <w:rsid w:val="004B6A9C"/>
    <w:rsid w:val="004D3B33"/>
    <w:rsid w:val="004E03CD"/>
    <w:rsid w:val="004E735A"/>
    <w:rsid w:val="004F1378"/>
    <w:rsid w:val="004F309F"/>
    <w:rsid w:val="004F36FF"/>
    <w:rsid w:val="004F4D22"/>
    <w:rsid w:val="004F6D6A"/>
    <w:rsid w:val="00501AE9"/>
    <w:rsid w:val="005051F5"/>
    <w:rsid w:val="0050597A"/>
    <w:rsid w:val="005065BE"/>
    <w:rsid w:val="00513662"/>
    <w:rsid w:val="00526793"/>
    <w:rsid w:val="0054758A"/>
    <w:rsid w:val="005512D7"/>
    <w:rsid w:val="005546E1"/>
    <w:rsid w:val="00561F25"/>
    <w:rsid w:val="00567166"/>
    <w:rsid w:val="00573995"/>
    <w:rsid w:val="00580F9A"/>
    <w:rsid w:val="00582AA4"/>
    <w:rsid w:val="00592437"/>
    <w:rsid w:val="005936BE"/>
    <w:rsid w:val="00595ED8"/>
    <w:rsid w:val="00596148"/>
    <w:rsid w:val="005A6C73"/>
    <w:rsid w:val="005B36D1"/>
    <w:rsid w:val="005B6C67"/>
    <w:rsid w:val="005B6D76"/>
    <w:rsid w:val="005C1919"/>
    <w:rsid w:val="005C4BDD"/>
    <w:rsid w:val="005C5EC0"/>
    <w:rsid w:val="005D3661"/>
    <w:rsid w:val="005E3A97"/>
    <w:rsid w:val="005F3323"/>
    <w:rsid w:val="00606C06"/>
    <w:rsid w:val="00612022"/>
    <w:rsid w:val="00613203"/>
    <w:rsid w:val="006143ED"/>
    <w:rsid w:val="00614BFF"/>
    <w:rsid w:val="006225EE"/>
    <w:rsid w:val="006268FB"/>
    <w:rsid w:val="00631AAC"/>
    <w:rsid w:val="0063762D"/>
    <w:rsid w:val="00640328"/>
    <w:rsid w:val="00644FFD"/>
    <w:rsid w:val="00654BAC"/>
    <w:rsid w:val="006572F3"/>
    <w:rsid w:val="00666C84"/>
    <w:rsid w:val="00680D87"/>
    <w:rsid w:val="00690AD5"/>
    <w:rsid w:val="0069161D"/>
    <w:rsid w:val="0069788D"/>
    <w:rsid w:val="006A2333"/>
    <w:rsid w:val="006A2A27"/>
    <w:rsid w:val="006B633E"/>
    <w:rsid w:val="006C55EB"/>
    <w:rsid w:val="006D0941"/>
    <w:rsid w:val="006E4E15"/>
    <w:rsid w:val="006F4A80"/>
    <w:rsid w:val="006F6B43"/>
    <w:rsid w:val="007009D7"/>
    <w:rsid w:val="00702C4F"/>
    <w:rsid w:val="00707DE2"/>
    <w:rsid w:val="00712791"/>
    <w:rsid w:val="0071585A"/>
    <w:rsid w:val="007403F1"/>
    <w:rsid w:val="00740D9B"/>
    <w:rsid w:val="00741156"/>
    <w:rsid w:val="00742668"/>
    <w:rsid w:val="0075278D"/>
    <w:rsid w:val="00752D14"/>
    <w:rsid w:val="007535B0"/>
    <w:rsid w:val="00754492"/>
    <w:rsid w:val="00776C41"/>
    <w:rsid w:val="00776D74"/>
    <w:rsid w:val="00777348"/>
    <w:rsid w:val="00777CA9"/>
    <w:rsid w:val="00785FDC"/>
    <w:rsid w:val="00792D9D"/>
    <w:rsid w:val="00794FFE"/>
    <w:rsid w:val="00797722"/>
    <w:rsid w:val="007A07AB"/>
    <w:rsid w:val="007A47DF"/>
    <w:rsid w:val="007C0621"/>
    <w:rsid w:val="007C0DB4"/>
    <w:rsid w:val="007C2A29"/>
    <w:rsid w:val="007C38E0"/>
    <w:rsid w:val="007C6B8A"/>
    <w:rsid w:val="007D0C91"/>
    <w:rsid w:val="007D399A"/>
    <w:rsid w:val="007E32C2"/>
    <w:rsid w:val="007F07E7"/>
    <w:rsid w:val="007F1723"/>
    <w:rsid w:val="007F3FA3"/>
    <w:rsid w:val="007F6455"/>
    <w:rsid w:val="007F76D9"/>
    <w:rsid w:val="00805895"/>
    <w:rsid w:val="00810282"/>
    <w:rsid w:val="0081490F"/>
    <w:rsid w:val="00817CA9"/>
    <w:rsid w:val="00817EF2"/>
    <w:rsid w:val="008220AF"/>
    <w:rsid w:val="00825DA8"/>
    <w:rsid w:val="00826A69"/>
    <w:rsid w:val="008346C4"/>
    <w:rsid w:val="008373C8"/>
    <w:rsid w:val="008503DA"/>
    <w:rsid w:val="00856857"/>
    <w:rsid w:val="008B271F"/>
    <w:rsid w:val="008B5484"/>
    <w:rsid w:val="008D45D6"/>
    <w:rsid w:val="008D725B"/>
    <w:rsid w:val="008E2014"/>
    <w:rsid w:val="008E63BF"/>
    <w:rsid w:val="008F0009"/>
    <w:rsid w:val="008F1A27"/>
    <w:rsid w:val="008F6FA7"/>
    <w:rsid w:val="00900A74"/>
    <w:rsid w:val="00903E05"/>
    <w:rsid w:val="00916399"/>
    <w:rsid w:val="00916686"/>
    <w:rsid w:val="00920EB7"/>
    <w:rsid w:val="00921EBF"/>
    <w:rsid w:val="00922E1B"/>
    <w:rsid w:val="009234DA"/>
    <w:rsid w:val="0092653D"/>
    <w:rsid w:val="009276B7"/>
    <w:rsid w:val="0093280E"/>
    <w:rsid w:val="009334A6"/>
    <w:rsid w:val="00942868"/>
    <w:rsid w:val="00976B60"/>
    <w:rsid w:val="009825B0"/>
    <w:rsid w:val="00986183"/>
    <w:rsid w:val="0099307E"/>
    <w:rsid w:val="00997640"/>
    <w:rsid w:val="009A1CEB"/>
    <w:rsid w:val="009A2EAD"/>
    <w:rsid w:val="009B3CBF"/>
    <w:rsid w:val="009B4BDE"/>
    <w:rsid w:val="009C2396"/>
    <w:rsid w:val="009C441E"/>
    <w:rsid w:val="009C4F96"/>
    <w:rsid w:val="009D0EF2"/>
    <w:rsid w:val="009E7A08"/>
    <w:rsid w:val="009F2014"/>
    <w:rsid w:val="009F2B25"/>
    <w:rsid w:val="009F7183"/>
    <w:rsid w:val="00A00C4D"/>
    <w:rsid w:val="00A06255"/>
    <w:rsid w:val="00A063DE"/>
    <w:rsid w:val="00A12813"/>
    <w:rsid w:val="00A140CB"/>
    <w:rsid w:val="00A205C8"/>
    <w:rsid w:val="00A20FFB"/>
    <w:rsid w:val="00A24847"/>
    <w:rsid w:val="00A2520F"/>
    <w:rsid w:val="00A30BAC"/>
    <w:rsid w:val="00A32CC5"/>
    <w:rsid w:val="00A40A96"/>
    <w:rsid w:val="00A61928"/>
    <w:rsid w:val="00A63918"/>
    <w:rsid w:val="00A64256"/>
    <w:rsid w:val="00A654AD"/>
    <w:rsid w:val="00A70339"/>
    <w:rsid w:val="00A712A6"/>
    <w:rsid w:val="00A7566B"/>
    <w:rsid w:val="00A8169D"/>
    <w:rsid w:val="00A81E40"/>
    <w:rsid w:val="00A8215C"/>
    <w:rsid w:val="00A91DDD"/>
    <w:rsid w:val="00AA24D5"/>
    <w:rsid w:val="00AA4A12"/>
    <w:rsid w:val="00AB56E2"/>
    <w:rsid w:val="00AB7C59"/>
    <w:rsid w:val="00AC0D77"/>
    <w:rsid w:val="00AC53C9"/>
    <w:rsid w:val="00AD496B"/>
    <w:rsid w:val="00AE34C1"/>
    <w:rsid w:val="00B05184"/>
    <w:rsid w:val="00B06A63"/>
    <w:rsid w:val="00B072A3"/>
    <w:rsid w:val="00B0773F"/>
    <w:rsid w:val="00B12B5D"/>
    <w:rsid w:val="00B16DF7"/>
    <w:rsid w:val="00B2224A"/>
    <w:rsid w:val="00B236EF"/>
    <w:rsid w:val="00B27437"/>
    <w:rsid w:val="00B2752D"/>
    <w:rsid w:val="00B44A6D"/>
    <w:rsid w:val="00B47C2D"/>
    <w:rsid w:val="00B47EC5"/>
    <w:rsid w:val="00B504D2"/>
    <w:rsid w:val="00B5224F"/>
    <w:rsid w:val="00B70571"/>
    <w:rsid w:val="00B706DA"/>
    <w:rsid w:val="00B71162"/>
    <w:rsid w:val="00B87057"/>
    <w:rsid w:val="00B90675"/>
    <w:rsid w:val="00B922AD"/>
    <w:rsid w:val="00BA1221"/>
    <w:rsid w:val="00BA1FC0"/>
    <w:rsid w:val="00BA4E53"/>
    <w:rsid w:val="00BB00C3"/>
    <w:rsid w:val="00BB154A"/>
    <w:rsid w:val="00BC2CC7"/>
    <w:rsid w:val="00BC4B48"/>
    <w:rsid w:val="00BD2F76"/>
    <w:rsid w:val="00BD6E63"/>
    <w:rsid w:val="00BE79E5"/>
    <w:rsid w:val="00BF2BC0"/>
    <w:rsid w:val="00C00410"/>
    <w:rsid w:val="00C0697A"/>
    <w:rsid w:val="00C137F2"/>
    <w:rsid w:val="00C16F5C"/>
    <w:rsid w:val="00C27665"/>
    <w:rsid w:val="00C35B65"/>
    <w:rsid w:val="00C426F7"/>
    <w:rsid w:val="00C5588C"/>
    <w:rsid w:val="00C62DC2"/>
    <w:rsid w:val="00C63661"/>
    <w:rsid w:val="00C7496B"/>
    <w:rsid w:val="00C74F38"/>
    <w:rsid w:val="00C76B46"/>
    <w:rsid w:val="00C82E26"/>
    <w:rsid w:val="00C90FBD"/>
    <w:rsid w:val="00C939DA"/>
    <w:rsid w:val="00CA6D98"/>
    <w:rsid w:val="00CB133E"/>
    <w:rsid w:val="00CB7D01"/>
    <w:rsid w:val="00CC26E3"/>
    <w:rsid w:val="00CC72CC"/>
    <w:rsid w:val="00CE1571"/>
    <w:rsid w:val="00CE26A5"/>
    <w:rsid w:val="00CE415E"/>
    <w:rsid w:val="00CF7D35"/>
    <w:rsid w:val="00D00CBC"/>
    <w:rsid w:val="00D068CC"/>
    <w:rsid w:val="00D114ED"/>
    <w:rsid w:val="00D13DDA"/>
    <w:rsid w:val="00D22DCA"/>
    <w:rsid w:val="00D30196"/>
    <w:rsid w:val="00D32A6C"/>
    <w:rsid w:val="00D34FCB"/>
    <w:rsid w:val="00D403CF"/>
    <w:rsid w:val="00D43A9C"/>
    <w:rsid w:val="00D4503F"/>
    <w:rsid w:val="00D55DDC"/>
    <w:rsid w:val="00D56C54"/>
    <w:rsid w:val="00D60EDF"/>
    <w:rsid w:val="00D62965"/>
    <w:rsid w:val="00D63840"/>
    <w:rsid w:val="00D671D3"/>
    <w:rsid w:val="00D7198F"/>
    <w:rsid w:val="00D8444E"/>
    <w:rsid w:val="00D93A22"/>
    <w:rsid w:val="00DB008F"/>
    <w:rsid w:val="00DC3EC7"/>
    <w:rsid w:val="00DD1F31"/>
    <w:rsid w:val="00DD2C5C"/>
    <w:rsid w:val="00DD4324"/>
    <w:rsid w:val="00DD43D0"/>
    <w:rsid w:val="00DD6271"/>
    <w:rsid w:val="00DE131D"/>
    <w:rsid w:val="00DE191C"/>
    <w:rsid w:val="00DF11E2"/>
    <w:rsid w:val="00E03DCF"/>
    <w:rsid w:val="00E042B5"/>
    <w:rsid w:val="00E12F8E"/>
    <w:rsid w:val="00E31BC3"/>
    <w:rsid w:val="00E35EF6"/>
    <w:rsid w:val="00E373DA"/>
    <w:rsid w:val="00E52C65"/>
    <w:rsid w:val="00E53F59"/>
    <w:rsid w:val="00E80A39"/>
    <w:rsid w:val="00E85612"/>
    <w:rsid w:val="00EA2DC4"/>
    <w:rsid w:val="00EC0CA4"/>
    <w:rsid w:val="00EC4AA8"/>
    <w:rsid w:val="00EC7CD7"/>
    <w:rsid w:val="00ED4610"/>
    <w:rsid w:val="00ED713B"/>
    <w:rsid w:val="00EE1372"/>
    <w:rsid w:val="00EE2001"/>
    <w:rsid w:val="00EE618F"/>
    <w:rsid w:val="00EF6710"/>
    <w:rsid w:val="00F01913"/>
    <w:rsid w:val="00F0253D"/>
    <w:rsid w:val="00F1028E"/>
    <w:rsid w:val="00F10C78"/>
    <w:rsid w:val="00F15C06"/>
    <w:rsid w:val="00F40CB9"/>
    <w:rsid w:val="00F41675"/>
    <w:rsid w:val="00F43EE0"/>
    <w:rsid w:val="00F45F1C"/>
    <w:rsid w:val="00F50954"/>
    <w:rsid w:val="00F5697A"/>
    <w:rsid w:val="00F57CB7"/>
    <w:rsid w:val="00F72A9E"/>
    <w:rsid w:val="00F8377E"/>
    <w:rsid w:val="00F84CD9"/>
    <w:rsid w:val="00F8621A"/>
    <w:rsid w:val="00F91BEE"/>
    <w:rsid w:val="00F92533"/>
    <w:rsid w:val="00F94CD9"/>
    <w:rsid w:val="00FA5A7E"/>
    <w:rsid w:val="00FB4E2F"/>
    <w:rsid w:val="00FB7861"/>
    <w:rsid w:val="00FB78CD"/>
    <w:rsid w:val="00FC13C4"/>
    <w:rsid w:val="00FC5B65"/>
    <w:rsid w:val="00FE1BC1"/>
    <w:rsid w:val="00FF2459"/>
    <w:rsid w:val="00FF48AF"/>
    <w:rsid w:val="00FF7264"/>
    <w:rsid w:val="7F2667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229CAED"/>
  <w15:chartTrackingRefBased/>
  <w15:docId w15:val="{25393AD6-5776-479E-AF4A-58BDD2343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654AD"/>
    <w:pPr>
      <w:widowControl w:val="0"/>
    </w:pPr>
    <w:rPr>
      <w:rFonts w:ascii="CG Times" w:hAnsi="CG Times"/>
      <w:sz w:val="24"/>
    </w:rPr>
  </w:style>
  <w:style w:type="paragraph" w:styleId="Heading3">
    <w:name w:val="heading 3"/>
    <w:basedOn w:val="Normal"/>
    <w:next w:val="Normal"/>
    <w:qFormat/>
    <w:pPr>
      <w:tabs>
        <w:tab w:val="left" w:pos="-720"/>
      </w:tabs>
      <w:suppressAutoHyphens/>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rPr>
      <w:rFonts w:ascii="Courier New" w:hAnsi="Courier New"/>
    </w:rPr>
  </w:style>
  <w:style w:type="character" w:styleId="EndnoteReference">
    <w:name w:val="endnote reference"/>
    <w:semiHidden/>
    <w:rPr>
      <w:rFonts w:ascii="Courier New" w:hAnsi="Courier New"/>
      <w:noProof w:val="0"/>
      <w:sz w:val="24"/>
      <w:vertAlign w:val="superscript"/>
      <w:lang w:val="en-US"/>
    </w:rPr>
  </w:style>
  <w:style w:type="paragraph" w:styleId="FootnoteText">
    <w:name w:val="footnote text"/>
    <w:basedOn w:val="Normal"/>
    <w:link w:val="FootnoteTextChar"/>
    <w:semiHidden/>
    <w:pPr>
      <w:tabs>
        <w:tab w:val="left" w:pos="-720"/>
      </w:tabs>
      <w:suppressAutoHyphens/>
    </w:pPr>
    <w:rPr>
      <w:rFonts w:ascii="Courier New" w:hAnsi="Courier New"/>
    </w:rPr>
  </w:style>
  <w:style w:type="character" w:styleId="FootnoteReference">
    <w:name w:val="footnote reference"/>
    <w:semiHidden/>
    <w:rPr>
      <w:rFonts w:ascii="Courier New" w:hAnsi="Courier New"/>
      <w:noProof w:val="0"/>
      <w:sz w:val="24"/>
      <w:vertAlign w:val="superscript"/>
      <w:lang w:val="en-US"/>
    </w:rPr>
  </w:style>
  <w:style w:type="paragraph" w:customStyle="1" w:styleId="Document1">
    <w:name w:val="Document[1]"/>
    <w:pPr>
      <w:keepNext/>
      <w:keepLines/>
      <w:widowControl w:val="0"/>
      <w:tabs>
        <w:tab w:val="left" w:pos="-720"/>
      </w:tabs>
      <w:suppressAutoHyphens/>
    </w:pPr>
    <w:rPr>
      <w:rFonts w:ascii="CG Times" w:hAnsi="CG Times"/>
      <w:sz w:val="24"/>
    </w:rPr>
  </w:style>
  <w:style w:type="character" w:customStyle="1" w:styleId="Document2">
    <w:name w:val="Document[2]"/>
    <w:rPr>
      <w:rFonts w:ascii="CG Times" w:hAnsi="CG Times"/>
      <w:noProof w:val="0"/>
      <w:sz w:val="24"/>
      <w:lang w:val="en-US"/>
    </w:rPr>
  </w:style>
  <w:style w:type="character" w:customStyle="1" w:styleId="Document3">
    <w:name w:val="Document[3]"/>
    <w:rPr>
      <w:rFonts w:ascii="CG Times" w:hAnsi="CG Times"/>
      <w:noProof w:val="0"/>
      <w:sz w:val="24"/>
      <w:lang w:val="en-US"/>
    </w:rPr>
  </w:style>
  <w:style w:type="character" w:customStyle="1" w:styleId="Document4">
    <w:name w:val="Document[4]"/>
    <w:rPr>
      <w:b/>
      <w:i/>
      <w:sz w:val="24"/>
    </w:rPr>
  </w:style>
  <w:style w:type="character" w:customStyle="1" w:styleId="Document5">
    <w:name w:val="Document[5]"/>
    <w:basedOn w:val="DefaultParagraphFont"/>
  </w:style>
  <w:style w:type="character" w:customStyle="1" w:styleId="Document6">
    <w:name w:val="Document[6]"/>
    <w:basedOn w:val="DefaultParagraphFont"/>
  </w:style>
  <w:style w:type="character" w:customStyle="1" w:styleId="Document7">
    <w:name w:val="Document[7]"/>
    <w:basedOn w:val="DefaultParagraphFont"/>
  </w:style>
  <w:style w:type="character" w:customStyle="1" w:styleId="Document8">
    <w:name w:val="Document[8]"/>
    <w:basedOn w:val="DefaultParagraphFont"/>
  </w:style>
  <w:style w:type="character" w:customStyle="1" w:styleId="Technical1">
    <w:name w:val="Technical[1]"/>
    <w:rPr>
      <w:rFonts w:ascii="CG Times" w:hAnsi="CG Times"/>
      <w:noProof w:val="0"/>
      <w:sz w:val="24"/>
      <w:lang w:val="en-US"/>
    </w:rPr>
  </w:style>
  <w:style w:type="character" w:customStyle="1" w:styleId="Technical2">
    <w:name w:val="Technical[2]"/>
    <w:rPr>
      <w:rFonts w:ascii="CG Times" w:hAnsi="CG Times"/>
      <w:noProof w:val="0"/>
      <w:sz w:val="24"/>
      <w:lang w:val="en-US"/>
    </w:rPr>
  </w:style>
  <w:style w:type="character" w:customStyle="1" w:styleId="Technical3">
    <w:name w:val="Technical[3]"/>
    <w:rPr>
      <w:rFonts w:ascii="CG Times" w:hAnsi="CG Times"/>
      <w:noProof w:val="0"/>
      <w:sz w:val="24"/>
      <w:lang w:val="en-US"/>
    </w:rPr>
  </w:style>
  <w:style w:type="character" w:customStyle="1" w:styleId="Technical4">
    <w:name w:val="Technical[4]"/>
    <w:basedOn w:val="DefaultParagraphFont"/>
  </w:style>
  <w:style w:type="character" w:customStyle="1" w:styleId="Technical5">
    <w:name w:val="Technical[5]"/>
    <w:basedOn w:val="DefaultParagraphFont"/>
  </w:style>
  <w:style w:type="character" w:customStyle="1" w:styleId="Technical6">
    <w:name w:val="Technical[6]"/>
    <w:basedOn w:val="DefaultParagraphFont"/>
  </w:style>
  <w:style w:type="character" w:customStyle="1" w:styleId="Technical7">
    <w:name w:val="Technical[7]"/>
    <w:basedOn w:val="DefaultParagraphFont"/>
  </w:style>
  <w:style w:type="character" w:customStyle="1" w:styleId="Technical8">
    <w:name w:val="Technical[8]"/>
    <w:basedOn w:val="DefaultParagraphFont"/>
  </w:style>
  <w:style w:type="character" w:customStyle="1" w:styleId="RightPar1">
    <w:name w:val="Right Par[1]"/>
    <w:basedOn w:val="DefaultParagraphFont"/>
  </w:style>
  <w:style w:type="character" w:customStyle="1" w:styleId="RightPar2">
    <w:name w:val="Right Par[2]"/>
    <w:basedOn w:val="DefaultParagraphFont"/>
  </w:style>
  <w:style w:type="character" w:customStyle="1" w:styleId="RightPar3">
    <w:name w:val="Right Par[3]"/>
    <w:basedOn w:val="DefaultParagraphFont"/>
  </w:style>
  <w:style w:type="character" w:customStyle="1" w:styleId="RightPar4">
    <w:name w:val="Right Par[4]"/>
    <w:basedOn w:val="DefaultParagraphFont"/>
  </w:style>
  <w:style w:type="character" w:customStyle="1" w:styleId="RightPar5">
    <w:name w:val="Right Par[5]"/>
    <w:basedOn w:val="DefaultParagraphFont"/>
  </w:style>
  <w:style w:type="character" w:customStyle="1" w:styleId="RightPar6">
    <w:name w:val="Right Par[6]"/>
    <w:basedOn w:val="DefaultParagraphFont"/>
  </w:style>
  <w:style w:type="character" w:customStyle="1" w:styleId="RightPar7">
    <w:name w:val="Right Par[7]"/>
    <w:basedOn w:val="DefaultParagraphFont"/>
  </w:style>
  <w:style w:type="character" w:customStyle="1" w:styleId="RightPar8">
    <w:name w:val="Right Par[8]"/>
    <w:basedOn w:val="DefaultParagraphFont"/>
  </w:style>
  <w:style w:type="character" w:customStyle="1" w:styleId="DocInit">
    <w:name w:val="Doc Init"/>
    <w:basedOn w:val="DefaultParagraphFont"/>
  </w:style>
  <w:style w:type="paragraph" w:customStyle="1" w:styleId="Document10">
    <w:name w:val="Document 1"/>
    <w:pPr>
      <w:keepNext/>
      <w:keepLines/>
      <w:widowControl w:val="0"/>
      <w:tabs>
        <w:tab w:val="left" w:pos="-720"/>
      </w:tabs>
      <w:suppressAutoHyphens/>
    </w:pPr>
    <w:rPr>
      <w:rFonts w:ascii="CG Times" w:hAnsi="CG Times"/>
      <w:sz w:val="24"/>
    </w:rPr>
  </w:style>
  <w:style w:type="character" w:customStyle="1" w:styleId="Document20">
    <w:name w:val="Document 2"/>
    <w:rPr>
      <w:rFonts w:ascii="CG Times" w:hAnsi="CG Times"/>
      <w:noProof w:val="0"/>
      <w:sz w:val="24"/>
      <w:lang w:val="en-US"/>
    </w:rPr>
  </w:style>
  <w:style w:type="character" w:customStyle="1" w:styleId="Document30">
    <w:name w:val="Document 3"/>
    <w:rPr>
      <w:rFonts w:ascii="CG Times" w:hAnsi="CG Times"/>
      <w:noProof w:val="0"/>
      <w:sz w:val="24"/>
      <w:lang w:val="en-US"/>
    </w:rPr>
  </w:style>
  <w:style w:type="character" w:customStyle="1" w:styleId="Document40">
    <w:name w:val="Document 4"/>
    <w:rPr>
      <w:b/>
      <w:i/>
      <w:sz w:val="24"/>
    </w:rPr>
  </w:style>
  <w:style w:type="character" w:customStyle="1" w:styleId="Document50">
    <w:name w:val="Document 5"/>
    <w:basedOn w:val="DefaultParagraphFont"/>
  </w:style>
  <w:style w:type="character" w:customStyle="1" w:styleId="Document60">
    <w:name w:val="Document 6"/>
    <w:basedOn w:val="DefaultParagraphFont"/>
  </w:style>
  <w:style w:type="character" w:customStyle="1" w:styleId="Document70">
    <w:name w:val="Document 7"/>
    <w:basedOn w:val="DefaultParagraphFont"/>
  </w:style>
  <w:style w:type="character" w:customStyle="1" w:styleId="Document80">
    <w:name w:val="Document 8"/>
    <w:basedOn w:val="DefaultParagraphFont"/>
  </w:style>
  <w:style w:type="character" w:customStyle="1" w:styleId="TechInit">
    <w:name w:val="Tech Init"/>
    <w:rPr>
      <w:rFonts w:ascii="CG Times" w:hAnsi="CG Times"/>
      <w:noProof w:val="0"/>
      <w:sz w:val="24"/>
      <w:lang w:val="en-US"/>
    </w:rPr>
  </w:style>
  <w:style w:type="character" w:customStyle="1" w:styleId="Technical10">
    <w:name w:val="Technical 1"/>
    <w:rPr>
      <w:rFonts w:ascii="CG Times" w:hAnsi="CG Times"/>
      <w:noProof w:val="0"/>
      <w:sz w:val="24"/>
      <w:lang w:val="en-US"/>
    </w:rPr>
  </w:style>
  <w:style w:type="character" w:customStyle="1" w:styleId="Technical20">
    <w:name w:val="Technical 2"/>
    <w:rPr>
      <w:rFonts w:ascii="CG Times" w:hAnsi="CG Times"/>
      <w:noProof w:val="0"/>
      <w:sz w:val="24"/>
      <w:lang w:val="en-US"/>
    </w:rPr>
  </w:style>
  <w:style w:type="character" w:customStyle="1" w:styleId="Technical30">
    <w:name w:val="Technical 3"/>
    <w:rPr>
      <w:rFonts w:ascii="CG Times" w:hAnsi="CG Times"/>
      <w:noProof w:val="0"/>
      <w:sz w:val="24"/>
      <w:lang w:val="en-US"/>
    </w:rPr>
  </w:style>
  <w:style w:type="character" w:customStyle="1" w:styleId="Technical40">
    <w:name w:val="Technical 4"/>
    <w:basedOn w:val="DefaultParagraphFont"/>
  </w:style>
  <w:style w:type="character" w:customStyle="1" w:styleId="Technical50">
    <w:name w:val="Technical 5"/>
    <w:basedOn w:val="DefaultParagraphFont"/>
  </w:style>
  <w:style w:type="character" w:customStyle="1" w:styleId="Technical60">
    <w:name w:val="Technical 6"/>
    <w:basedOn w:val="DefaultParagraphFont"/>
  </w:style>
  <w:style w:type="character" w:customStyle="1" w:styleId="Technical70">
    <w:name w:val="Technical 7"/>
    <w:basedOn w:val="DefaultParagraphFont"/>
  </w:style>
  <w:style w:type="character" w:customStyle="1" w:styleId="Technical80">
    <w:name w:val="Technical 8"/>
    <w:basedOn w:val="DefaultParagraphFont"/>
  </w:style>
  <w:style w:type="character" w:customStyle="1" w:styleId="footnoteref">
    <w:name w:val="footnote ref"/>
    <w:rPr>
      <w:rFonts w:ascii="CG Times" w:hAnsi="CG Times"/>
      <w:noProof w:val="0"/>
      <w:sz w:val="24"/>
      <w:vertAlign w:val="superscript"/>
      <w:lang w:val="en-US"/>
    </w:rPr>
  </w:style>
  <w:style w:type="character" w:styleId="PageNumber">
    <w:name w:val="page number"/>
    <w:basedOn w:val="DefaultParagraphFont"/>
  </w:style>
  <w:style w:type="character" w:customStyle="1" w:styleId="DefaultPara">
    <w:name w:val="Default Para"/>
    <w:basedOn w:val="DefaultParagraphFont"/>
  </w:style>
  <w:style w:type="paragraph" w:styleId="Footer">
    <w:name w:val="footer"/>
    <w:basedOn w:val="Normal"/>
    <w:pPr>
      <w:tabs>
        <w:tab w:val="left" w:pos="0"/>
        <w:tab w:val="center" w:pos="4320"/>
        <w:tab w:val="right" w:pos="8640"/>
      </w:tabs>
      <w:suppressAutoHyphens/>
    </w:pPr>
  </w:style>
  <w:style w:type="character" w:customStyle="1" w:styleId="endnoterefe">
    <w:name w:val="endnote refe"/>
    <w:rPr>
      <w:rFonts w:ascii="CG Times" w:hAnsi="CG Times"/>
      <w:noProof w:val="0"/>
      <w:sz w:val="24"/>
      <w:vertAlign w:val="superscript"/>
      <w:lang w:val="en-US"/>
    </w:rPr>
  </w:style>
  <w:style w:type="character" w:customStyle="1" w:styleId="annotationr">
    <w:name w:val="annotation r"/>
    <w:basedOn w:val="DefaultParagraphFont"/>
  </w:style>
  <w:style w:type="paragraph" w:customStyle="1" w:styleId="annotationt">
    <w:name w:val="annotation t"/>
    <w:pPr>
      <w:widowControl w:val="0"/>
      <w:tabs>
        <w:tab w:val="left" w:pos="-720"/>
      </w:tabs>
      <w:suppressAutoHyphens/>
    </w:pPr>
    <w:rPr>
      <w:rFonts w:ascii="CG Times" w:hAnsi="CG Times"/>
      <w:sz w:val="24"/>
    </w:rPr>
  </w:style>
  <w:style w:type="paragraph" w:customStyle="1" w:styleId="footnotetex">
    <w:name w:val="footnote tex"/>
    <w:pPr>
      <w:widowControl w:val="0"/>
      <w:tabs>
        <w:tab w:val="left" w:pos="-720"/>
      </w:tabs>
      <w:suppressAutoHyphens/>
    </w:pPr>
    <w:rPr>
      <w:rFonts w:ascii="CG Times" w:hAnsi="CG Times"/>
      <w:sz w:val="24"/>
    </w:rPr>
  </w:style>
  <w:style w:type="paragraph" w:styleId="Header">
    <w:name w:val="header"/>
    <w:basedOn w:val="Normal"/>
    <w:pPr>
      <w:tabs>
        <w:tab w:val="left" w:pos="0"/>
        <w:tab w:val="center" w:pos="4320"/>
        <w:tab w:val="right" w:pos="8640"/>
      </w:tabs>
      <w:suppressAutoHyphens/>
    </w:pPr>
  </w:style>
  <w:style w:type="character" w:customStyle="1" w:styleId="2">
    <w:name w:val="2"/>
    <w:basedOn w:val="DefaultParagraphFont"/>
  </w:style>
  <w:style w:type="character" w:customStyle="1" w:styleId="3">
    <w:name w:val="3"/>
    <w:basedOn w:val="DefaultParagraphFont"/>
  </w:style>
  <w:style w:type="character" w:customStyle="1" w:styleId="4">
    <w:name w:val="4"/>
    <w:basedOn w:val="DefaultParagraphFont"/>
  </w:style>
  <w:style w:type="character" w:customStyle="1" w:styleId="5">
    <w:name w:val="5"/>
    <w:basedOn w:val="DefaultParagraphFont"/>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basedOn w:val="DefaultParagraphFont"/>
  </w:style>
  <w:style w:type="character" w:customStyle="1" w:styleId="Bibliogrphy">
    <w:name w:val="Bibliogrphy"/>
    <w:basedOn w:val="DefaultParagraphFont"/>
  </w:style>
  <w:style w:type="character" w:customStyle="1" w:styleId="RightPar10">
    <w:name w:val="Right Par 1"/>
    <w:basedOn w:val="DefaultParagraphFont"/>
  </w:style>
  <w:style w:type="character" w:customStyle="1" w:styleId="RightPar20">
    <w:name w:val="Right Par 2"/>
    <w:basedOn w:val="DefaultParagraphFont"/>
  </w:style>
  <w:style w:type="character" w:customStyle="1" w:styleId="RightPar30">
    <w:name w:val="Right Par 3"/>
    <w:basedOn w:val="DefaultParagraphFont"/>
  </w:style>
  <w:style w:type="character" w:customStyle="1" w:styleId="RightPar40">
    <w:name w:val="Right Par 4"/>
    <w:basedOn w:val="DefaultParagraphFont"/>
  </w:style>
  <w:style w:type="character" w:customStyle="1" w:styleId="RightPar50">
    <w:name w:val="Right Par 5"/>
    <w:basedOn w:val="DefaultParagraphFont"/>
  </w:style>
  <w:style w:type="character" w:customStyle="1" w:styleId="RightPar60">
    <w:name w:val="Right Par 6"/>
    <w:basedOn w:val="DefaultParagraphFont"/>
  </w:style>
  <w:style w:type="character" w:customStyle="1" w:styleId="RightPar70">
    <w:name w:val="Right Par 7"/>
    <w:basedOn w:val="DefaultParagraphFont"/>
  </w:style>
  <w:style w:type="character" w:customStyle="1" w:styleId="RightPar80">
    <w:name w:val="Right Par 8"/>
    <w:basedOn w:val="DefaultParagraphFont"/>
  </w:style>
  <w:style w:type="character" w:customStyle="1" w:styleId="10">
    <w:name w:val="10"/>
    <w:basedOn w:val="DefaultParagraphFont"/>
  </w:style>
  <w:style w:type="character" w:customStyle="1" w:styleId="11">
    <w:name w:val="11"/>
    <w:rPr>
      <w:rFonts w:ascii="CG Times" w:hAnsi="CG Times"/>
      <w:noProof w:val="0"/>
      <w:sz w:val="24"/>
      <w:lang w:val="en-US"/>
    </w:rPr>
  </w:style>
  <w:style w:type="character" w:customStyle="1" w:styleId="12">
    <w:name w:val="12"/>
    <w:rPr>
      <w:rFonts w:ascii="CG Times" w:hAnsi="CG Times"/>
      <w:noProof w:val="0"/>
      <w:sz w:val="24"/>
      <w:lang w:val="en-US"/>
    </w:rPr>
  </w:style>
  <w:style w:type="character" w:customStyle="1" w:styleId="13">
    <w:name w:val="13"/>
    <w:rPr>
      <w:rFonts w:ascii="CG Times" w:hAnsi="CG Times"/>
      <w:noProof w:val="0"/>
      <w:sz w:val="24"/>
      <w:lang w:val="en-US"/>
    </w:rPr>
  </w:style>
  <w:style w:type="character" w:customStyle="1" w:styleId="14">
    <w:name w:val="14"/>
    <w:basedOn w:val="DefaultParagraphFont"/>
  </w:style>
  <w:style w:type="character" w:customStyle="1" w:styleId="15">
    <w:name w:val="15"/>
    <w:basedOn w:val="DefaultParagraphFont"/>
  </w:style>
  <w:style w:type="character" w:customStyle="1" w:styleId="16">
    <w:name w:val="16"/>
    <w:basedOn w:val="DefaultParagraphFont"/>
  </w:style>
  <w:style w:type="character" w:customStyle="1" w:styleId="17">
    <w:name w:val="17"/>
    <w:basedOn w:val="DefaultParagraphFont"/>
  </w:style>
  <w:style w:type="character" w:customStyle="1" w:styleId="18">
    <w:name w:val="18"/>
    <w:basedOn w:val="DefaultParagraphFont"/>
  </w:style>
  <w:style w:type="character" w:customStyle="1" w:styleId="19">
    <w:name w:val="19"/>
    <w:basedOn w:val="DefaultParagraphFont"/>
  </w:style>
  <w:style w:type="character" w:customStyle="1" w:styleId="20a">
    <w:name w:val="20a"/>
    <w:basedOn w:val="DefaultParagraphFont"/>
  </w:style>
  <w:style w:type="character" w:customStyle="1" w:styleId="21a">
    <w:name w:val="21a"/>
    <w:basedOn w:val="DefaultParagraphFont"/>
  </w:style>
  <w:style w:type="character" w:customStyle="1" w:styleId="22a">
    <w:name w:val="22a"/>
    <w:basedOn w:val="DefaultParagraphFont"/>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paragraph" w:customStyle="1" w:styleId="1">
    <w:name w:val="1"/>
    <w:pPr>
      <w:keepNext/>
      <w:keepLines/>
      <w:widowControl w:val="0"/>
      <w:tabs>
        <w:tab w:val="left" w:pos="-720"/>
      </w:tabs>
      <w:suppressAutoHyphens/>
    </w:pPr>
    <w:rPr>
      <w:rFonts w:ascii="CG Times" w:hAnsi="CG Times"/>
      <w:sz w:val="24"/>
    </w:rPr>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33b">
    <w:name w:val="33b"/>
    <w:basedOn w:val="DefaultParagraphFont"/>
  </w:style>
  <w:style w:type="character" w:customStyle="1" w:styleId="34b">
    <w:name w:val="34b"/>
    <w:rPr>
      <w:rFonts w:ascii="CG Times" w:hAnsi="CG Times"/>
      <w:noProof w:val="0"/>
      <w:sz w:val="24"/>
      <w:lang w:val="en-US"/>
    </w:rPr>
  </w:style>
  <w:style w:type="character" w:customStyle="1" w:styleId="35b">
    <w:name w:val="35b"/>
    <w:rPr>
      <w:rFonts w:ascii="CG Times" w:hAnsi="CG Times"/>
      <w:noProof w:val="0"/>
      <w:sz w:val="24"/>
      <w:lang w:val="en-US"/>
    </w:rPr>
  </w:style>
  <w:style w:type="character" w:customStyle="1" w:styleId="36b">
    <w:name w:val="36b"/>
    <w:rPr>
      <w:rFonts w:ascii="CG Times" w:hAnsi="CG Times"/>
      <w:noProof w:val="0"/>
      <w:sz w:val="24"/>
      <w:lang w:val="en-US"/>
    </w:rPr>
  </w:style>
  <w:style w:type="character" w:customStyle="1" w:styleId="37b">
    <w:name w:val="37b"/>
    <w:basedOn w:val="DefaultParagraphFont"/>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basedOn w:val="DefaultParagraphFont"/>
  </w:style>
  <w:style w:type="character" w:customStyle="1" w:styleId="42a">
    <w:name w:val="42a"/>
    <w:basedOn w:val="DefaultParagraphFont"/>
  </w:style>
  <w:style w:type="character" w:customStyle="1" w:styleId="43a">
    <w:name w:val="43a"/>
    <w:basedOn w:val="DefaultParagraphFont"/>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character" w:customStyle="1" w:styleId="48p">
    <w:name w:val="48p"/>
    <w:basedOn w:val="DefaultParagraphFont"/>
  </w:style>
  <w:style w:type="character" w:customStyle="1" w:styleId="49p">
    <w:name w:val="49p"/>
    <w:basedOn w:val="DefaultParagraphFont"/>
  </w:style>
  <w:style w:type="paragraph" w:customStyle="1" w:styleId="50b">
    <w:name w:val="50b"/>
    <w:pPr>
      <w:keepNext/>
      <w:keepLines/>
      <w:widowControl w:val="0"/>
      <w:tabs>
        <w:tab w:val="left" w:pos="-720"/>
      </w:tabs>
      <w:suppressAutoHyphens/>
    </w:pPr>
    <w:rPr>
      <w:rFonts w:ascii="CG Times" w:hAnsi="CG Times"/>
      <w:sz w:val="24"/>
    </w:rPr>
  </w:style>
  <w:style w:type="character" w:customStyle="1" w:styleId="51b">
    <w:name w:val="51b"/>
    <w:basedOn w:val="DefaultParagraphFont"/>
  </w:style>
  <w:style w:type="character" w:customStyle="1" w:styleId="52a">
    <w:name w:val="52a"/>
    <w:basedOn w:val="DefaultParagraphFont"/>
  </w:style>
  <w:style w:type="character" w:customStyle="1" w:styleId="53a">
    <w:name w:val="53a"/>
    <w:basedOn w:val="DefaultParagraphFont"/>
  </w:style>
  <w:style w:type="character" w:customStyle="1" w:styleId="54b">
    <w:name w:val="54b"/>
    <w:basedOn w:val="DefaultParagraphFont"/>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rPr>
      <w:rFonts w:ascii="CG Times" w:hAnsi="CG Times"/>
      <w:noProof w:val="0"/>
      <w:sz w:val="24"/>
      <w:lang w:val="en-US"/>
    </w:rPr>
  </w:style>
  <w:style w:type="character" w:customStyle="1" w:styleId="59aa">
    <w:name w:val="59aa"/>
    <w:rPr>
      <w:rFonts w:ascii="CG Times" w:hAnsi="CG Times"/>
      <w:noProof w:val="0"/>
      <w:sz w:val="24"/>
      <w:lang w:val="en-US"/>
    </w:rPr>
  </w:style>
  <w:style w:type="character" w:customStyle="1" w:styleId="60aa">
    <w:name w:val="60aa"/>
    <w:rPr>
      <w:rFonts w:ascii="CG Times" w:hAnsi="CG Times"/>
      <w:noProof w:val="0"/>
      <w:sz w:val="24"/>
      <w:lang w:val="en-US"/>
    </w:rPr>
  </w:style>
  <w:style w:type="character" w:customStyle="1" w:styleId="61aa">
    <w:name w:val="61aa"/>
    <w:basedOn w:val="DefaultParagraphFont"/>
  </w:style>
  <w:style w:type="character" w:customStyle="1" w:styleId="62aa">
    <w:name w:val="62aa"/>
    <w:basedOn w:val="DefaultParagraphFont"/>
  </w:style>
  <w:style w:type="character" w:customStyle="1" w:styleId="63aa">
    <w:name w:val="63aa"/>
    <w:basedOn w:val="DefaultParagraphFont"/>
  </w:style>
  <w:style w:type="character" w:customStyle="1" w:styleId="64aa">
    <w:name w:val="64aa"/>
    <w:basedOn w:val="DefaultParagraphFont"/>
  </w:style>
  <w:style w:type="character" w:customStyle="1" w:styleId="65aa">
    <w:name w:val="65aa"/>
    <w:basedOn w:val="DefaultParagraphFont"/>
  </w:style>
  <w:style w:type="character" w:customStyle="1" w:styleId="66aa">
    <w:name w:val="66aa"/>
    <w:basedOn w:val="DefaultParagraphFont"/>
  </w:style>
  <w:style w:type="character" w:customStyle="1" w:styleId="67aa">
    <w:name w:val="67aa"/>
    <w:basedOn w:val="DefaultParagraphFont"/>
  </w:style>
  <w:style w:type="character" w:customStyle="1" w:styleId="68aa">
    <w:name w:val="68aa"/>
    <w:basedOn w:val="DefaultParagraphFont"/>
  </w:style>
  <w:style w:type="character" w:customStyle="1" w:styleId="69aa">
    <w:name w:val="69aa"/>
    <w:basedOn w:val="DefaultParagraphFont"/>
  </w:style>
  <w:style w:type="character" w:customStyle="1" w:styleId="70bb">
    <w:name w:val="70bb"/>
    <w:basedOn w:val="DefaultParagraphFont"/>
  </w:style>
  <w:style w:type="character" w:customStyle="1" w:styleId="71bb">
    <w:name w:val="71bb"/>
    <w:basedOn w:val="DefaultParagraphFont"/>
  </w:style>
  <w:style w:type="character" w:customStyle="1" w:styleId="72bb">
    <w:name w:val="72bb"/>
    <w:basedOn w:val="DefaultParagraphFont"/>
  </w:style>
  <w:style w:type="character" w:customStyle="1" w:styleId="73bb">
    <w:name w:val="73bb"/>
    <w:basedOn w:val="DefaultParagraphFont"/>
  </w:style>
  <w:style w:type="paragraph" w:customStyle="1" w:styleId="74bb">
    <w:name w:val="74bb"/>
    <w:pPr>
      <w:keepNext/>
      <w:keepLines/>
      <w:widowControl w:val="0"/>
      <w:tabs>
        <w:tab w:val="left" w:pos="-720"/>
      </w:tabs>
      <w:suppressAutoHyphens/>
    </w:pPr>
    <w:rPr>
      <w:rFonts w:ascii="CG Times" w:hAnsi="CG Times"/>
      <w:sz w:val="24"/>
    </w:rPr>
  </w:style>
  <w:style w:type="character" w:customStyle="1" w:styleId="75bb">
    <w:name w:val="75bb"/>
    <w:rPr>
      <w:rFonts w:ascii="CG Times" w:hAnsi="CG Times"/>
      <w:noProof w:val="0"/>
      <w:sz w:val="24"/>
      <w:lang w:val="en-US"/>
    </w:rPr>
  </w:style>
  <w:style w:type="character" w:customStyle="1" w:styleId="76bb">
    <w:name w:val="76bb"/>
    <w:rPr>
      <w:rFonts w:ascii="CG Times" w:hAnsi="CG Times"/>
      <w:noProof w:val="0"/>
      <w:sz w:val="24"/>
      <w:lang w:val="en-US"/>
    </w:rPr>
  </w:style>
  <w:style w:type="character" w:customStyle="1" w:styleId="77bb">
    <w:name w:val="77bb"/>
    <w:rPr>
      <w:b/>
      <w:i/>
      <w:sz w:val="24"/>
    </w:rPr>
  </w:style>
  <w:style w:type="character" w:customStyle="1" w:styleId="78aa">
    <w:name w:val="78aa"/>
    <w:basedOn w:val="DefaultParagraphFont"/>
  </w:style>
  <w:style w:type="character" w:customStyle="1" w:styleId="79aa">
    <w:name w:val="79aa"/>
    <w:basedOn w:val="DefaultParagraphFont"/>
  </w:style>
  <w:style w:type="character" w:customStyle="1" w:styleId="80">
    <w:name w:val="80"/>
    <w:basedOn w:val="DefaultParagraphFont"/>
  </w:style>
  <w:style w:type="character" w:customStyle="1" w:styleId="81">
    <w:name w:val="81"/>
    <w:basedOn w:val="DefaultParagraphFont"/>
  </w:style>
  <w:style w:type="character" w:customStyle="1" w:styleId="82">
    <w:name w:val="82"/>
    <w:rPr>
      <w:rFonts w:ascii="CG Times" w:hAnsi="CG Times"/>
      <w:noProof w:val="0"/>
      <w:sz w:val="24"/>
      <w:lang w:val="en-US"/>
    </w:rPr>
  </w:style>
  <w:style w:type="character" w:customStyle="1" w:styleId="83">
    <w:name w:val="83"/>
    <w:rPr>
      <w:rFonts w:ascii="CG Times" w:hAnsi="CG Times"/>
      <w:noProof w:val="0"/>
      <w:sz w:val="24"/>
      <w:lang w:val="en-US"/>
    </w:rPr>
  </w:style>
  <w:style w:type="character" w:customStyle="1" w:styleId="84">
    <w:name w:val="84"/>
    <w:rPr>
      <w:rFonts w:ascii="CG Times" w:hAnsi="CG Times"/>
      <w:noProof w:val="0"/>
      <w:sz w:val="24"/>
      <w:lang w:val="en-US"/>
    </w:rPr>
  </w:style>
  <w:style w:type="character" w:customStyle="1" w:styleId="85">
    <w:name w:val="85"/>
    <w:basedOn w:val="DefaultParagraphFont"/>
  </w:style>
  <w:style w:type="character" w:customStyle="1" w:styleId="86">
    <w:name w:val="86"/>
    <w:basedOn w:val="DefaultParagraphFont"/>
  </w:style>
  <w:style w:type="character" w:customStyle="1" w:styleId="87">
    <w:name w:val="87"/>
    <w:basedOn w:val="DefaultParagraphFont"/>
  </w:style>
  <w:style w:type="character" w:customStyle="1" w:styleId="88">
    <w:name w:val="88"/>
    <w:basedOn w:val="DefaultParagraphFont"/>
  </w:style>
  <w:style w:type="character" w:customStyle="1" w:styleId="89">
    <w:name w:val="89"/>
    <w:basedOn w:val="DefaultParagraphFont"/>
  </w:style>
  <w:style w:type="character" w:customStyle="1" w:styleId="90a">
    <w:name w:val="90a"/>
    <w:basedOn w:val="DefaultParagraphFont"/>
  </w:style>
  <w:style w:type="character" w:customStyle="1" w:styleId="91a">
    <w:name w:val="91a"/>
    <w:basedOn w:val="DefaultParagraphFont"/>
  </w:style>
  <w:style w:type="character" w:customStyle="1" w:styleId="92a">
    <w:name w:val="92a"/>
    <w:basedOn w:val="DefaultParagraphFont"/>
  </w:style>
  <w:style w:type="character" w:customStyle="1" w:styleId="93a">
    <w:name w:val="93a"/>
    <w:basedOn w:val="DefaultParagraphFont"/>
  </w:style>
  <w:style w:type="character" w:customStyle="1" w:styleId="94a">
    <w:name w:val="94a"/>
    <w:basedOn w:val="DefaultParagraphFont"/>
  </w:style>
  <w:style w:type="character" w:customStyle="1" w:styleId="95a">
    <w:name w:val="95a"/>
    <w:basedOn w:val="DefaultParagraphFont"/>
  </w:style>
  <w:style w:type="character" w:customStyle="1" w:styleId="96a">
    <w:name w:val="96a"/>
    <w:basedOn w:val="DefaultParagraphFont"/>
  </w:style>
  <w:style w:type="character" w:customStyle="1" w:styleId="97a">
    <w:name w:val="97a"/>
    <w:basedOn w:val="DefaultParagraphFont"/>
  </w:style>
  <w:style w:type="character" w:customStyle="1" w:styleId="98">
    <w:name w:val="98"/>
    <w:basedOn w:val="DefaultParagraphFont"/>
  </w:style>
  <w:style w:type="character" w:customStyle="1" w:styleId="99">
    <w:name w:val="99"/>
    <w:rPr>
      <w:rFonts w:ascii="Courier New" w:hAnsi="Courier New"/>
      <w:noProof w:val="0"/>
      <w:sz w:val="24"/>
      <w:vertAlign w:val="superscript"/>
      <w:lang w:val="en-US"/>
    </w:rPr>
  </w:style>
  <w:style w:type="paragraph" w:customStyle="1" w:styleId="100">
    <w:name w:val="100"/>
    <w:pPr>
      <w:widowControl w:val="0"/>
      <w:tabs>
        <w:tab w:val="left" w:pos="-720"/>
      </w:tabs>
      <w:suppressAutoHyphens/>
    </w:pPr>
    <w:rPr>
      <w:rFonts w:ascii="Courier New" w:hAnsi="Courier New"/>
      <w:sz w:val="24"/>
    </w:rPr>
  </w:style>
  <w:style w:type="character" w:customStyle="1" w:styleId="101">
    <w:name w:val="101"/>
    <w:rPr>
      <w:rFonts w:ascii="Courier New" w:hAnsi="Courier New"/>
      <w:noProof w:val="0"/>
      <w:sz w:val="24"/>
      <w:vertAlign w:val="superscript"/>
      <w:lang w:val="en-US"/>
    </w:rPr>
  </w:style>
  <w:style w:type="character" w:customStyle="1" w:styleId="EquationCa">
    <w:name w:val="_Equation Ca"/>
    <w:basedOn w:val="DefaultParagraphFont"/>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customStyle="1" w:styleId="102">
    <w:name w:val="102"/>
    <w:pPr>
      <w:keepNext/>
      <w:keepLines/>
      <w:widowControl w:val="0"/>
      <w:tabs>
        <w:tab w:val="left" w:pos="-720"/>
      </w:tabs>
      <w:suppressAutoHyphens/>
    </w:pPr>
    <w:rPr>
      <w:rFonts w:ascii="CG Times" w:hAnsi="CG Times"/>
      <w:sz w:val="24"/>
    </w:rPr>
  </w:style>
  <w:style w:type="character" w:customStyle="1" w:styleId="103">
    <w:name w:val="103"/>
    <w:rPr>
      <w:rFonts w:ascii="CG Times" w:hAnsi="CG Times"/>
      <w:noProof w:val="0"/>
      <w:sz w:val="24"/>
      <w:lang w:val="en-US"/>
    </w:rPr>
  </w:style>
  <w:style w:type="character" w:customStyle="1" w:styleId="104">
    <w:name w:val="104"/>
    <w:rPr>
      <w:rFonts w:ascii="CG Times" w:hAnsi="CG Times"/>
      <w:noProof w:val="0"/>
      <w:sz w:val="24"/>
      <w:lang w:val="en-US"/>
    </w:rPr>
  </w:style>
  <w:style w:type="character" w:customStyle="1" w:styleId="105">
    <w:name w:val="105"/>
    <w:rPr>
      <w:b/>
      <w:i/>
      <w:sz w:val="24"/>
    </w:rPr>
  </w:style>
  <w:style w:type="character" w:customStyle="1" w:styleId="106">
    <w:name w:val="106"/>
    <w:basedOn w:val="DefaultParagraphFont"/>
  </w:style>
  <w:style w:type="character" w:customStyle="1" w:styleId="107">
    <w:name w:val="107"/>
    <w:basedOn w:val="DefaultParagraphFont"/>
  </w:style>
  <w:style w:type="character" w:customStyle="1" w:styleId="108">
    <w:name w:val="108"/>
    <w:basedOn w:val="DefaultParagraphFont"/>
  </w:style>
  <w:style w:type="character" w:customStyle="1" w:styleId="109">
    <w:name w:val="109"/>
    <w:basedOn w:val="DefaultParagraphFont"/>
  </w:style>
  <w:style w:type="character" w:customStyle="1" w:styleId="110a">
    <w:name w:val="110a"/>
    <w:rPr>
      <w:rFonts w:ascii="CG Times" w:hAnsi="CG Times"/>
      <w:noProof w:val="0"/>
      <w:sz w:val="24"/>
      <w:lang w:val="en-US"/>
    </w:rPr>
  </w:style>
  <w:style w:type="character" w:customStyle="1" w:styleId="111a">
    <w:name w:val="111a"/>
    <w:rPr>
      <w:rFonts w:ascii="CG Times" w:hAnsi="CG Times"/>
      <w:noProof w:val="0"/>
      <w:sz w:val="24"/>
      <w:lang w:val="en-US"/>
    </w:rPr>
  </w:style>
  <w:style w:type="character" w:customStyle="1" w:styleId="112a">
    <w:name w:val="112a"/>
    <w:rPr>
      <w:rFonts w:ascii="CG Times" w:hAnsi="CG Times"/>
      <w:noProof w:val="0"/>
      <w:sz w:val="24"/>
      <w:lang w:val="en-US"/>
    </w:rPr>
  </w:style>
  <w:style w:type="character" w:customStyle="1" w:styleId="113a">
    <w:name w:val="113a"/>
    <w:basedOn w:val="DefaultParagraphFont"/>
  </w:style>
  <w:style w:type="character" w:customStyle="1" w:styleId="114a">
    <w:name w:val="114a"/>
    <w:basedOn w:val="DefaultParagraphFont"/>
  </w:style>
  <w:style w:type="character" w:customStyle="1" w:styleId="115a">
    <w:name w:val="115a"/>
    <w:basedOn w:val="DefaultParagraphFont"/>
  </w:style>
  <w:style w:type="character" w:customStyle="1" w:styleId="116a">
    <w:name w:val="116a"/>
    <w:basedOn w:val="DefaultParagraphFont"/>
  </w:style>
  <w:style w:type="character" w:customStyle="1" w:styleId="117a">
    <w:name w:val="117a"/>
    <w:basedOn w:val="DefaultParagraphFont"/>
  </w:style>
  <w:style w:type="character" w:customStyle="1" w:styleId="118">
    <w:name w:val="118"/>
    <w:basedOn w:val="DefaultParagraphFont"/>
  </w:style>
  <w:style w:type="character" w:customStyle="1" w:styleId="119">
    <w:name w:val="119"/>
    <w:basedOn w:val="DefaultParagraphFont"/>
  </w:style>
  <w:style w:type="character" w:customStyle="1" w:styleId="120b">
    <w:name w:val="120b"/>
    <w:basedOn w:val="DefaultParagraphFont"/>
  </w:style>
  <w:style w:type="character" w:customStyle="1" w:styleId="121b">
    <w:name w:val="121b"/>
    <w:basedOn w:val="DefaultParagraphFont"/>
  </w:style>
  <w:style w:type="character" w:customStyle="1" w:styleId="122b">
    <w:name w:val="122b"/>
    <w:basedOn w:val="DefaultParagraphFont"/>
  </w:style>
  <w:style w:type="character" w:customStyle="1" w:styleId="123b">
    <w:name w:val="123b"/>
    <w:basedOn w:val="DefaultParagraphFont"/>
  </w:style>
  <w:style w:type="character" w:customStyle="1" w:styleId="124b">
    <w:name w:val="124b"/>
    <w:basedOn w:val="DefaultParagraphFont"/>
  </w:style>
  <w:style w:type="character" w:customStyle="1" w:styleId="125b">
    <w:name w:val="125b"/>
    <w:basedOn w:val="DefaultParagraphFont"/>
  </w:style>
  <w:style w:type="character" w:customStyle="1" w:styleId="126b">
    <w:name w:val="126b"/>
    <w:basedOn w:val="DefaultParagraphFont"/>
  </w:style>
  <w:style w:type="character" w:customStyle="1" w:styleId="127b">
    <w:name w:val="127b"/>
    <w:rPr>
      <w:rFonts w:ascii="Courier New" w:hAnsi="Courier New"/>
      <w:noProof w:val="0"/>
      <w:sz w:val="24"/>
      <w:vertAlign w:val="superscript"/>
      <w:lang w:val="en-US"/>
    </w:rPr>
  </w:style>
  <w:style w:type="paragraph" w:customStyle="1" w:styleId="128">
    <w:name w:val="128"/>
    <w:pPr>
      <w:widowControl w:val="0"/>
      <w:tabs>
        <w:tab w:val="left" w:pos="-720"/>
      </w:tabs>
      <w:suppressAutoHyphens/>
    </w:pPr>
    <w:rPr>
      <w:rFonts w:ascii="Courier New" w:hAnsi="Courier New"/>
      <w:sz w:val="24"/>
    </w:rPr>
  </w:style>
  <w:style w:type="character" w:customStyle="1" w:styleId="129">
    <w:name w:val="129"/>
    <w:rPr>
      <w:rFonts w:ascii="Courier New" w:hAnsi="Courier New"/>
      <w:noProof w:val="0"/>
      <w:sz w:val="24"/>
      <w:vertAlign w:val="superscript"/>
      <w:lang w:val="en-US"/>
    </w:rPr>
  </w:style>
  <w:style w:type="character" w:customStyle="1" w:styleId="130p">
    <w:name w:val="130p"/>
    <w:basedOn w:val="DefaultParagraphFont"/>
  </w:style>
  <w:style w:type="character" w:customStyle="1" w:styleId="BulletList">
    <w:name w:val="Bullet List"/>
    <w:basedOn w:val="DefaultParagraphFont"/>
  </w:style>
  <w:style w:type="paragraph" w:customStyle="1" w:styleId="131p">
    <w:name w:val="131p"/>
    <w:pPr>
      <w:keepNext/>
      <w:keepLines/>
      <w:widowControl w:val="0"/>
      <w:tabs>
        <w:tab w:val="left" w:pos="-720"/>
      </w:tabs>
      <w:suppressAutoHyphens/>
    </w:pPr>
    <w:rPr>
      <w:rFonts w:ascii="CG Times" w:hAnsi="CG Times"/>
      <w:sz w:val="24"/>
    </w:rPr>
  </w:style>
  <w:style w:type="character" w:customStyle="1" w:styleId="132p">
    <w:name w:val="132p"/>
    <w:rPr>
      <w:rFonts w:ascii="CG Times" w:hAnsi="CG Times"/>
      <w:noProof w:val="0"/>
      <w:sz w:val="24"/>
      <w:lang w:val="en-US"/>
    </w:rPr>
  </w:style>
  <w:style w:type="character" w:customStyle="1" w:styleId="133p">
    <w:name w:val="133p"/>
    <w:rPr>
      <w:rFonts w:ascii="CG Times" w:hAnsi="CG Times"/>
      <w:noProof w:val="0"/>
      <w:sz w:val="24"/>
      <w:lang w:val="en-US"/>
    </w:rPr>
  </w:style>
  <w:style w:type="character" w:customStyle="1" w:styleId="134p">
    <w:name w:val="134p"/>
    <w:rPr>
      <w:b/>
      <w:i/>
      <w:sz w:val="24"/>
    </w:rPr>
  </w:style>
  <w:style w:type="character" w:customStyle="1" w:styleId="135p">
    <w:name w:val="135p"/>
    <w:basedOn w:val="DefaultParagraphFont"/>
  </w:style>
  <w:style w:type="character" w:customStyle="1" w:styleId="136p">
    <w:name w:val="136p"/>
    <w:basedOn w:val="DefaultParagraphFont"/>
  </w:style>
  <w:style w:type="character" w:customStyle="1" w:styleId="137p">
    <w:name w:val="137p"/>
    <w:basedOn w:val="DefaultParagraphFont"/>
  </w:style>
  <w:style w:type="character" w:customStyle="1" w:styleId="138">
    <w:name w:val="138"/>
    <w:basedOn w:val="DefaultParagraphFont"/>
  </w:style>
  <w:style w:type="character" w:customStyle="1" w:styleId="139">
    <w:name w:val="139"/>
    <w:rPr>
      <w:rFonts w:ascii="CG Times" w:hAnsi="CG Times"/>
      <w:noProof w:val="0"/>
      <w:sz w:val="24"/>
      <w:lang w:val="en-US"/>
    </w:rPr>
  </w:style>
  <w:style w:type="character" w:customStyle="1" w:styleId="140a">
    <w:name w:val="140a"/>
    <w:rPr>
      <w:rFonts w:ascii="CG Times" w:hAnsi="CG Times"/>
      <w:noProof w:val="0"/>
      <w:sz w:val="24"/>
      <w:lang w:val="en-US"/>
    </w:rPr>
  </w:style>
  <w:style w:type="character" w:customStyle="1" w:styleId="141a">
    <w:name w:val="141a"/>
    <w:rPr>
      <w:rFonts w:ascii="CG Times" w:hAnsi="CG Times"/>
      <w:noProof w:val="0"/>
      <w:sz w:val="24"/>
      <w:lang w:val="en-US"/>
    </w:rPr>
  </w:style>
  <w:style w:type="character" w:customStyle="1" w:styleId="142a">
    <w:name w:val="142a"/>
    <w:basedOn w:val="DefaultParagraphFont"/>
  </w:style>
  <w:style w:type="character" w:customStyle="1" w:styleId="143a">
    <w:name w:val="143a"/>
    <w:basedOn w:val="DefaultParagraphFont"/>
  </w:style>
  <w:style w:type="character" w:customStyle="1" w:styleId="144a">
    <w:name w:val="144a"/>
    <w:basedOn w:val="DefaultParagraphFont"/>
  </w:style>
  <w:style w:type="character" w:customStyle="1" w:styleId="145a">
    <w:name w:val="145a"/>
    <w:basedOn w:val="DefaultParagraphFont"/>
  </w:style>
  <w:style w:type="character" w:customStyle="1" w:styleId="146a">
    <w:name w:val="146a"/>
    <w:basedOn w:val="DefaultParagraphFont"/>
  </w:style>
  <w:style w:type="character" w:customStyle="1" w:styleId="147a">
    <w:name w:val="147a"/>
    <w:basedOn w:val="DefaultParagraphFont"/>
  </w:style>
  <w:style w:type="character" w:customStyle="1" w:styleId="148aa">
    <w:name w:val="148aa"/>
    <w:basedOn w:val="DefaultParagraphFont"/>
  </w:style>
  <w:style w:type="character" w:customStyle="1" w:styleId="149aa">
    <w:name w:val="149aa"/>
    <w:basedOn w:val="DefaultParagraphFont"/>
  </w:style>
  <w:style w:type="character" w:customStyle="1" w:styleId="150aa">
    <w:name w:val="150aa"/>
    <w:basedOn w:val="DefaultParagraphFont"/>
  </w:style>
  <w:style w:type="character" w:customStyle="1" w:styleId="151aa">
    <w:name w:val="151aa"/>
    <w:basedOn w:val="DefaultParagraphFont"/>
  </w:style>
  <w:style w:type="character" w:customStyle="1" w:styleId="152aa">
    <w:name w:val="152aa"/>
    <w:basedOn w:val="DefaultParagraphFont"/>
  </w:style>
  <w:style w:type="character" w:customStyle="1" w:styleId="153aa">
    <w:name w:val="153aa"/>
    <w:basedOn w:val="DefaultParagraphFont"/>
  </w:style>
  <w:style w:type="character" w:customStyle="1" w:styleId="154aa">
    <w:name w:val="154aa"/>
    <w:basedOn w:val="DefaultParagraphFont"/>
  </w:style>
  <w:style w:type="character" w:customStyle="1" w:styleId="155aa">
    <w:name w:val="155aa"/>
    <w:basedOn w:val="DefaultParagraphFont"/>
  </w:style>
  <w:style w:type="character" w:customStyle="1" w:styleId="156aa">
    <w:name w:val="156aa"/>
    <w:rPr>
      <w:rFonts w:ascii="Courier New" w:hAnsi="Courier New"/>
      <w:noProof w:val="0"/>
      <w:sz w:val="24"/>
      <w:vertAlign w:val="superscript"/>
      <w:lang w:val="en-US"/>
    </w:rPr>
  </w:style>
  <w:style w:type="paragraph" w:customStyle="1" w:styleId="157aa">
    <w:name w:val="157aa"/>
    <w:pPr>
      <w:widowControl w:val="0"/>
      <w:tabs>
        <w:tab w:val="left" w:pos="-720"/>
      </w:tabs>
      <w:suppressAutoHyphens/>
    </w:pPr>
    <w:rPr>
      <w:rFonts w:ascii="Courier New" w:hAnsi="Courier New"/>
      <w:sz w:val="24"/>
    </w:rPr>
  </w:style>
  <w:style w:type="character" w:customStyle="1" w:styleId="158aa">
    <w:name w:val="158aa"/>
    <w:rPr>
      <w:rFonts w:ascii="Courier New" w:hAnsi="Courier New"/>
      <w:noProof w:val="0"/>
      <w:sz w:val="24"/>
      <w:vertAlign w:val="superscript"/>
      <w:lang w:val="en-US"/>
    </w:rPr>
  </w:style>
  <w:style w:type="character" w:customStyle="1" w:styleId="159aa">
    <w:name w:val="159aa"/>
    <w:basedOn w:val="DefaultParagraphFont"/>
  </w:style>
  <w:style w:type="character" w:customStyle="1" w:styleId="paranum">
    <w:name w:val="para num"/>
    <w:rPr>
      <w:rFonts w:ascii="CG Times" w:hAnsi="CG Times"/>
      <w:noProof w:val="0"/>
      <w:sz w:val="24"/>
      <w:lang w:val="en-US"/>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FOOTNOTE">
    <w:name w:val="FOOTNOTE"/>
    <w:rPr>
      <w:rFonts w:ascii="CG Times" w:hAnsi="CG Times"/>
      <w:noProof w:val="0"/>
      <w:sz w:val="19"/>
      <w:lang w:val="en-US"/>
    </w:rPr>
  </w:style>
  <w:style w:type="character" w:customStyle="1" w:styleId="HIGHLIGHT1">
    <w:name w:val="HIGHLIGHT 1"/>
    <w:rPr>
      <w:rFonts w:ascii="CG Times" w:hAnsi="CG Times"/>
      <w:b/>
      <w:i/>
      <w:noProof w:val="0"/>
      <w:sz w:val="24"/>
      <w:lang w:val="en-US"/>
    </w:rPr>
  </w:style>
  <w:style w:type="character" w:customStyle="1" w:styleId="LETTERLAND">
    <w:name w:val="LETTER LAND"/>
    <w:rPr>
      <w:rFonts w:ascii="CG Times" w:hAnsi="CG Times"/>
      <w:noProof w:val="0"/>
      <w:sz w:val="24"/>
      <w:lang w:val="en-US"/>
    </w:rPr>
  </w:style>
  <w:style w:type="character" w:customStyle="1" w:styleId="LEGALLAND">
    <w:name w:val="LEGAL LAND"/>
    <w:rPr>
      <w:rFonts w:ascii="CG Times" w:hAnsi="CG Times"/>
      <w:noProof w:val="0"/>
      <w:sz w:val="24"/>
      <w:lang w:val="en-US"/>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paragraph" w:styleId="BalloonText">
    <w:name w:val="Balloon Text"/>
    <w:basedOn w:val="Normal"/>
    <w:semiHidden/>
    <w:rsid w:val="004651AB"/>
    <w:rPr>
      <w:rFonts w:ascii="Tahoma" w:hAnsi="Tahoma" w:cs="Tahoma"/>
      <w:sz w:val="16"/>
      <w:szCs w:val="16"/>
    </w:rPr>
  </w:style>
  <w:style w:type="character" w:styleId="CommentReference">
    <w:name w:val="annotation reference"/>
    <w:rsid w:val="00A8215C"/>
    <w:rPr>
      <w:sz w:val="16"/>
      <w:szCs w:val="16"/>
    </w:rPr>
  </w:style>
  <w:style w:type="paragraph" w:styleId="CommentText">
    <w:name w:val="annotation text"/>
    <w:basedOn w:val="Normal"/>
    <w:link w:val="CommentTextChar"/>
    <w:rsid w:val="00A8215C"/>
    <w:rPr>
      <w:sz w:val="20"/>
    </w:rPr>
  </w:style>
  <w:style w:type="character" w:customStyle="1" w:styleId="CommentTextChar">
    <w:name w:val="Comment Text Char"/>
    <w:link w:val="CommentText"/>
    <w:rsid w:val="00A8215C"/>
    <w:rPr>
      <w:rFonts w:ascii="CG Times" w:hAnsi="CG Times"/>
    </w:rPr>
  </w:style>
  <w:style w:type="paragraph" w:styleId="CommentSubject">
    <w:name w:val="annotation subject"/>
    <w:basedOn w:val="CommentText"/>
    <w:next w:val="CommentText"/>
    <w:link w:val="CommentSubjectChar"/>
    <w:rsid w:val="00A8215C"/>
    <w:rPr>
      <w:b/>
      <w:bCs/>
    </w:rPr>
  </w:style>
  <w:style w:type="character" w:customStyle="1" w:styleId="CommentSubjectChar">
    <w:name w:val="Comment Subject Char"/>
    <w:link w:val="CommentSubject"/>
    <w:rsid w:val="00A8215C"/>
    <w:rPr>
      <w:rFonts w:ascii="CG Times" w:hAnsi="CG Times"/>
      <w:b/>
      <w:bCs/>
    </w:rPr>
  </w:style>
  <w:style w:type="paragraph" w:styleId="Revision">
    <w:name w:val="Revision"/>
    <w:hidden/>
    <w:uiPriority w:val="99"/>
    <w:semiHidden/>
    <w:rsid w:val="00A8215C"/>
    <w:rPr>
      <w:rFonts w:ascii="CG Times" w:hAnsi="CG Times"/>
      <w:sz w:val="24"/>
    </w:rPr>
  </w:style>
  <w:style w:type="character" w:customStyle="1" w:styleId="FootnoteTextChar">
    <w:name w:val="Footnote Text Char"/>
    <w:basedOn w:val="DefaultParagraphFont"/>
    <w:link w:val="FootnoteText"/>
    <w:semiHidden/>
    <w:rsid w:val="00130540"/>
    <w:rPr>
      <w:rFonts w:ascii="Courier New" w:hAnsi="Courier New"/>
      <w:sz w:val="24"/>
    </w:rPr>
  </w:style>
  <w:style w:type="paragraph" w:styleId="ListParagraph">
    <w:name w:val="List Paragraph"/>
    <w:basedOn w:val="Normal"/>
    <w:uiPriority w:val="34"/>
    <w:qFormat/>
    <w:rsid w:val="00A712A6"/>
    <w:pPr>
      <w:widowControl/>
      <w:ind w:left="720"/>
      <w:contextualSpacing/>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DD630-E3BB-493F-B4E3-4243ED70D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5861</Words>
  <Characters>34095</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3060-0742</vt:lpstr>
    </vt:vector>
  </TitlesOfParts>
  <Company>FCC</Company>
  <LinksUpToDate>false</LinksUpToDate>
  <CharactersWithSpaces>39877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3060-0742</dc:title>
  <dc:creator>SHAIR</dc:creator>
  <cp:lastModifiedBy>Nicole Ongele</cp:lastModifiedBy>
  <cp:revision>2</cp:revision>
  <cp:lastPrinted>2019-04-24T19:33:00Z</cp:lastPrinted>
  <dcterms:created xsi:type="dcterms:W3CDTF">2024-10-29T13:33:00Z</dcterms:created>
  <dcterms:modified xsi:type="dcterms:W3CDTF">2024-10-29T13:33:00Z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4AAAv2pPQheLA5WeeTNTiC97+bON9btjPaBGfxyBioeB3JOb1yg9+Z1Bwg==</vt:lpwstr>
  </property>
  <property fmtid="{D5CDD505-2E9C-101B-9397-08002B2CF9AE}" pid="3" name="MAIL_MSG_ID1">
    <vt:lpwstr>oFAAspTNh41gn7CH+3vVVztPTLP3IiPXLPvM+pCEE+qJj7/u9gsdORA4WRQrV19uHco6442vyk7kOJU3
IscGeaogYfxRko/TmShF6g+F8asCFCxsK0ZeWBTFzhh3Bt05BhHyX8W6xN8OS+P3Gioz92qI7uyX
pjIP7boxEP+BsDxVwb9Tk+Mif+wWlIj761ii9OKR3q5l2KVytcI8cscyW3Lac8Fy604HSuEKdi1R
ItLFYsF3jebtUX533</vt:lpwstr>
  </property>
  <property fmtid="{D5CDD505-2E9C-101B-9397-08002B2CF9AE}" pid="4" name="MAIL_MSG_ID2">
    <vt:lpwstr>TJ1klkkk6+ElV/m0SaJp90e2dhZGrnfCXBU5eNCM+psqmE0ST38zbH0/qhm
qiFfBgfZgR/aqObcwHNI0+yMQ7qlcoqsNgFbY906pHx/1TR3</vt:lpwstr>
  </property>
  <property fmtid="{D5CDD505-2E9C-101B-9397-08002B2CF9AE}" pid="5" name="RESPONSE_SENDER_NAME">
    <vt:lpwstr>sAAA2RgG6J6jCJ0SO3WZCnhbQ7Oo/pX6D0PNhcdY7y2Ckqo=</vt:lpwstr>
  </property>
</Properties>
</file>