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51AD" w:rsidRPr="001C2D09" w:rsidP="00136F6E" w14:paraId="63CB055A" w14:textId="4871617E">
      <w:pPr>
        <w:ind w:left="720"/>
        <w:jc w:val="center"/>
        <w:rPr>
          <w:b/>
          <w:sz w:val="22"/>
          <w:szCs w:val="22"/>
        </w:rPr>
      </w:pPr>
      <w:r w:rsidRPr="001C2D09">
        <w:rPr>
          <w:b/>
          <w:sz w:val="22"/>
          <w:szCs w:val="22"/>
        </w:rPr>
        <w:t>SUPPORTING STATEMENT</w:t>
      </w:r>
    </w:p>
    <w:p w:rsidR="002A4CFC" w:rsidRPr="001C2D09" w:rsidP="000873CE" w14:paraId="57B67684" w14:textId="77777777">
      <w:pPr>
        <w:ind w:left="720"/>
        <w:jc w:val="center"/>
        <w:rPr>
          <w:b/>
          <w:sz w:val="22"/>
          <w:szCs w:val="22"/>
        </w:rPr>
      </w:pPr>
    </w:p>
    <w:p w:rsidR="00D610E2" w:rsidRPr="001C2D09" w:rsidP="7F2667BC" w14:paraId="5DD7E427" w14:textId="1060377E">
      <w:pPr>
        <w:rPr>
          <w:sz w:val="22"/>
          <w:szCs w:val="22"/>
        </w:rPr>
      </w:pPr>
      <w:r w:rsidRPr="7F2667BC">
        <w:rPr>
          <w:sz w:val="22"/>
          <w:szCs w:val="22"/>
        </w:rPr>
        <w:t xml:space="preserve">This revised information collection is being submitted to obtain approval from the Office of Management and Budget (OMB) for new </w:t>
      </w:r>
      <w:r w:rsidRPr="7F2667BC" w:rsidR="00C46638">
        <w:rPr>
          <w:sz w:val="22"/>
          <w:szCs w:val="22"/>
        </w:rPr>
        <w:t>or</w:t>
      </w:r>
      <w:r w:rsidRPr="7F2667BC">
        <w:rPr>
          <w:sz w:val="22"/>
          <w:szCs w:val="22"/>
        </w:rPr>
        <w:t xml:space="preserve"> revised information collection requirement</w:t>
      </w:r>
      <w:r w:rsidRPr="7F2667BC" w:rsidR="00744390">
        <w:rPr>
          <w:sz w:val="22"/>
          <w:szCs w:val="22"/>
        </w:rPr>
        <w:t>s</w:t>
      </w:r>
      <w:r w:rsidRPr="7F2667BC">
        <w:rPr>
          <w:sz w:val="22"/>
          <w:szCs w:val="22"/>
        </w:rPr>
        <w:t xml:space="preserve"> </w:t>
      </w:r>
      <w:r w:rsidRPr="7F2667BC" w:rsidR="00670BE9">
        <w:rPr>
          <w:sz w:val="22"/>
          <w:szCs w:val="22"/>
        </w:rPr>
        <w:t xml:space="preserve">that </w:t>
      </w:r>
      <w:r w:rsidRPr="7F2667BC" w:rsidR="002244E8">
        <w:rPr>
          <w:sz w:val="22"/>
          <w:szCs w:val="22"/>
        </w:rPr>
        <w:t xml:space="preserve">result </w:t>
      </w:r>
      <w:r w:rsidRPr="7F2667BC" w:rsidR="005D2CB8">
        <w:rPr>
          <w:sz w:val="22"/>
          <w:szCs w:val="22"/>
        </w:rPr>
        <w:t xml:space="preserve">in part </w:t>
      </w:r>
      <w:r w:rsidRPr="7F2667BC" w:rsidR="00670BE9">
        <w:rPr>
          <w:sz w:val="22"/>
          <w:szCs w:val="22"/>
        </w:rPr>
        <w:t>from</w:t>
      </w:r>
      <w:r w:rsidRPr="7F2667BC" w:rsidR="002244E8">
        <w:rPr>
          <w:sz w:val="22"/>
          <w:szCs w:val="22"/>
        </w:rPr>
        <w:t xml:space="preserve"> </w:t>
      </w:r>
      <w:r w:rsidRPr="7F2667BC" w:rsidR="005901B6">
        <w:rPr>
          <w:sz w:val="22"/>
          <w:szCs w:val="22"/>
        </w:rPr>
        <w:t xml:space="preserve">actions taken in </w:t>
      </w:r>
      <w:r w:rsidRPr="7F2667BC" w:rsidR="00A353C2">
        <w:rPr>
          <w:sz w:val="22"/>
          <w:szCs w:val="22"/>
        </w:rPr>
        <w:t xml:space="preserve">two </w:t>
      </w:r>
      <w:r w:rsidRPr="7F2667BC" w:rsidR="00AC4417">
        <w:rPr>
          <w:sz w:val="22"/>
          <w:szCs w:val="22"/>
        </w:rPr>
        <w:t xml:space="preserve">recent </w:t>
      </w:r>
      <w:r w:rsidRPr="7F2667BC" w:rsidR="001C63E0">
        <w:rPr>
          <w:sz w:val="22"/>
          <w:szCs w:val="22"/>
        </w:rPr>
        <w:t xml:space="preserve">Federal Communications </w:t>
      </w:r>
      <w:r w:rsidRPr="7F2667BC" w:rsidR="00AC4417">
        <w:rPr>
          <w:sz w:val="22"/>
          <w:szCs w:val="22"/>
        </w:rPr>
        <w:t xml:space="preserve">Commission </w:t>
      </w:r>
      <w:r w:rsidRPr="7F2667BC" w:rsidR="00AC0379">
        <w:rPr>
          <w:sz w:val="22"/>
          <w:szCs w:val="22"/>
        </w:rPr>
        <w:t xml:space="preserve">(Commission or FCC) </w:t>
      </w:r>
      <w:r w:rsidRPr="7F2667BC" w:rsidR="00AC4417">
        <w:rPr>
          <w:sz w:val="22"/>
          <w:szCs w:val="22"/>
        </w:rPr>
        <w:t>orders</w:t>
      </w:r>
      <w:r w:rsidRPr="7F2667BC" w:rsidR="00A47A2A">
        <w:rPr>
          <w:sz w:val="22"/>
          <w:szCs w:val="22"/>
        </w:rPr>
        <w:t>, as explained below.</w:t>
      </w:r>
      <w:r w:rsidRPr="7F2667BC" w:rsidR="00460913">
        <w:rPr>
          <w:sz w:val="22"/>
          <w:szCs w:val="22"/>
        </w:rPr>
        <w:t xml:space="preserve">  The revised information collection also adopts certain modifications to existing requirements to more accurately reflect current associated burdens</w:t>
      </w:r>
      <w:r w:rsidRPr="7F2667BC" w:rsidR="155D227C">
        <w:rPr>
          <w:sz w:val="22"/>
          <w:szCs w:val="22"/>
        </w:rPr>
        <w:t>, and removes certain requirements that the Commission has determined are not information collections subject to the Paperwork Reduction Act</w:t>
      </w:r>
      <w:r w:rsidRPr="7F2667BC" w:rsidR="00460913">
        <w:rPr>
          <w:sz w:val="22"/>
          <w:szCs w:val="22"/>
        </w:rPr>
        <w:t>.</w:t>
      </w:r>
    </w:p>
    <w:p w:rsidR="003971A8" w:rsidRPr="001C2D09" w:rsidP="00E00D3E" w14:paraId="60A472EB" w14:textId="77777777">
      <w:pPr>
        <w:rPr>
          <w:b/>
          <w:sz w:val="22"/>
          <w:szCs w:val="22"/>
        </w:rPr>
      </w:pPr>
    </w:p>
    <w:p w:rsidR="00005848" w:rsidRPr="001C2D09" w:rsidP="0077092A" w14:paraId="1FD98E65" w14:textId="77777777">
      <w:pPr>
        <w:suppressAutoHyphens/>
        <w:outlineLvl w:val="0"/>
        <w:rPr>
          <w:b/>
          <w:spacing w:val="-3"/>
          <w:sz w:val="22"/>
          <w:szCs w:val="22"/>
          <w:shd w:val="clear" w:color="auto" w:fill="FFFFFF"/>
        </w:rPr>
      </w:pPr>
      <w:r w:rsidRPr="001C2D09">
        <w:rPr>
          <w:b/>
          <w:spacing w:val="-3"/>
          <w:sz w:val="22"/>
          <w:szCs w:val="22"/>
          <w:shd w:val="clear" w:color="auto" w:fill="FFFFFF"/>
        </w:rPr>
        <w:t>A.</w:t>
      </w:r>
      <w:r w:rsidRPr="001C2D09">
        <w:rPr>
          <w:b/>
          <w:spacing w:val="-3"/>
          <w:sz w:val="22"/>
          <w:szCs w:val="22"/>
          <w:shd w:val="clear" w:color="auto" w:fill="FFFFFF"/>
        </w:rPr>
        <w:tab/>
        <w:t>Justification:</w:t>
      </w:r>
    </w:p>
    <w:p w:rsidR="00F85C28" w:rsidRPr="001C2D09" w:rsidP="0077092A" w14:paraId="29D952C1" w14:textId="77777777">
      <w:pPr>
        <w:rPr>
          <w:bCs/>
          <w:spacing w:val="-3"/>
          <w:sz w:val="22"/>
          <w:szCs w:val="22"/>
          <w:shd w:val="clear" w:color="auto" w:fill="FFFFFF"/>
        </w:rPr>
      </w:pPr>
    </w:p>
    <w:p w:rsidR="00062B56" w:rsidRPr="001C2D09" w:rsidP="0077092A" w14:paraId="540EDE1E" w14:textId="2A27E0F6">
      <w:pPr>
        <w:rPr>
          <w:spacing w:val="-3"/>
          <w:sz w:val="22"/>
          <w:szCs w:val="22"/>
          <w:shd w:val="clear" w:color="auto" w:fill="FFFFFF"/>
        </w:rPr>
      </w:pPr>
      <w:r w:rsidRPr="001C2D09">
        <w:rPr>
          <w:spacing w:val="-3"/>
          <w:sz w:val="22"/>
          <w:szCs w:val="22"/>
          <w:shd w:val="clear" w:color="auto" w:fill="FFFFFF"/>
        </w:rPr>
        <w:t>1.</w:t>
      </w:r>
      <w:r w:rsidRPr="001C2D09">
        <w:rPr>
          <w:spacing w:val="-3"/>
          <w:sz w:val="22"/>
          <w:szCs w:val="22"/>
          <w:shd w:val="clear" w:color="auto" w:fill="FFFFFF"/>
        </w:rPr>
        <w:tab/>
      </w:r>
      <w:r w:rsidRPr="001C2D09" w:rsidR="004552B4">
        <w:rPr>
          <w:i/>
          <w:iCs/>
          <w:spacing w:val="-3"/>
          <w:sz w:val="22"/>
          <w:szCs w:val="22"/>
          <w:shd w:val="clear" w:color="auto" w:fill="FFFFFF"/>
        </w:rPr>
        <w:t>Circumstances that make the collection necessary</w:t>
      </w:r>
      <w:r w:rsidRPr="001C2D09" w:rsidR="004552B4">
        <w:rPr>
          <w:spacing w:val="-3"/>
          <w:sz w:val="22"/>
          <w:szCs w:val="22"/>
          <w:shd w:val="clear" w:color="auto" w:fill="FFFFFF"/>
        </w:rPr>
        <w:t xml:space="preserve">.  </w:t>
      </w:r>
      <w:r w:rsidRPr="001C2D09">
        <w:rPr>
          <w:spacing w:val="-3"/>
          <w:sz w:val="22"/>
          <w:szCs w:val="22"/>
          <w:shd w:val="clear" w:color="auto" w:fill="FFFFFF"/>
        </w:rPr>
        <w:t>Th</w:t>
      </w:r>
      <w:r w:rsidRPr="001C2D09" w:rsidR="009B7278">
        <w:rPr>
          <w:spacing w:val="-3"/>
          <w:sz w:val="22"/>
          <w:szCs w:val="22"/>
          <w:shd w:val="clear" w:color="auto" w:fill="FFFFFF"/>
        </w:rPr>
        <w:t xml:space="preserve">is </w:t>
      </w:r>
      <w:r w:rsidRPr="001C2D09">
        <w:rPr>
          <w:spacing w:val="-3"/>
          <w:sz w:val="22"/>
          <w:szCs w:val="22"/>
          <w:shd w:val="clear" w:color="auto" w:fill="FFFFFF"/>
        </w:rPr>
        <w:t>information collection implement</w:t>
      </w:r>
      <w:r w:rsidRPr="001C2D09" w:rsidR="009B7278">
        <w:rPr>
          <w:spacing w:val="-3"/>
          <w:sz w:val="22"/>
          <w:szCs w:val="22"/>
          <w:shd w:val="clear" w:color="auto" w:fill="FFFFFF"/>
        </w:rPr>
        <w:t>s</w:t>
      </w:r>
      <w:r w:rsidRPr="001C2D09">
        <w:rPr>
          <w:spacing w:val="-3"/>
          <w:sz w:val="22"/>
          <w:szCs w:val="22"/>
          <w:shd w:val="clear" w:color="auto" w:fill="FFFFFF"/>
        </w:rPr>
        <w:t xml:space="preserve"> the statutory obligations of section 222 of the </w:t>
      </w:r>
      <w:r w:rsidRPr="001C2D09" w:rsidR="00773715">
        <w:rPr>
          <w:spacing w:val="-3"/>
          <w:sz w:val="22"/>
          <w:szCs w:val="22"/>
          <w:shd w:val="clear" w:color="auto" w:fill="FFFFFF"/>
        </w:rPr>
        <w:t>C</w:t>
      </w:r>
      <w:r w:rsidRPr="001C2D09">
        <w:rPr>
          <w:spacing w:val="-3"/>
          <w:sz w:val="22"/>
          <w:szCs w:val="22"/>
          <w:shd w:val="clear" w:color="auto" w:fill="FFFFFF"/>
        </w:rPr>
        <w:t>ommunications Act of 19</w:t>
      </w:r>
      <w:r w:rsidRPr="001C2D09" w:rsidR="00773715">
        <w:rPr>
          <w:spacing w:val="-3"/>
          <w:sz w:val="22"/>
          <w:szCs w:val="22"/>
          <w:shd w:val="clear" w:color="auto" w:fill="FFFFFF"/>
        </w:rPr>
        <w:t>34, as amended</w:t>
      </w:r>
      <w:r w:rsidRPr="001C2D09" w:rsidR="00165B8A">
        <w:rPr>
          <w:spacing w:val="-3"/>
          <w:sz w:val="22"/>
          <w:szCs w:val="22"/>
          <w:shd w:val="clear" w:color="auto" w:fill="FFFFFF"/>
        </w:rPr>
        <w:t xml:space="preserve"> (the Act)</w:t>
      </w:r>
      <w:r w:rsidRPr="001C2D09">
        <w:rPr>
          <w:spacing w:val="-3"/>
          <w:sz w:val="22"/>
          <w:szCs w:val="22"/>
          <w:shd w:val="clear" w:color="auto" w:fill="FFFFFF"/>
        </w:rPr>
        <w:t xml:space="preserve">. </w:t>
      </w:r>
      <w:r w:rsidRPr="001C2D09" w:rsidR="0077092A">
        <w:rPr>
          <w:spacing w:val="-3"/>
          <w:sz w:val="22"/>
          <w:szCs w:val="22"/>
          <w:shd w:val="clear" w:color="auto" w:fill="FFFFFF"/>
        </w:rPr>
        <w:t xml:space="preserve"> </w:t>
      </w:r>
      <w:r w:rsidRPr="001C2D09">
        <w:rPr>
          <w:spacing w:val="-3"/>
          <w:sz w:val="22"/>
          <w:szCs w:val="22"/>
          <w:shd w:val="clear" w:color="auto" w:fill="FFFFFF"/>
        </w:rPr>
        <w:t xml:space="preserve">Section 222 </w:t>
      </w:r>
      <w:r w:rsidRPr="001C2D09" w:rsidR="00144D93">
        <w:rPr>
          <w:spacing w:val="-3"/>
          <w:sz w:val="22"/>
          <w:szCs w:val="22"/>
          <w:shd w:val="clear" w:color="auto" w:fill="FFFFFF"/>
        </w:rPr>
        <w:t>provid</w:t>
      </w:r>
      <w:r w:rsidRPr="001C2D09" w:rsidR="006F179C">
        <w:rPr>
          <w:spacing w:val="-3"/>
          <w:sz w:val="22"/>
          <w:szCs w:val="22"/>
          <w:shd w:val="clear" w:color="auto" w:fill="FFFFFF"/>
        </w:rPr>
        <w:t>e</w:t>
      </w:r>
      <w:r w:rsidRPr="001C2D09" w:rsidR="00B5707C">
        <w:rPr>
          <w:spacing w:val="-3"/>
          <w:sz w:val="22"/>
          <w:szCs w:val="22"/>
          <w:shd w:val="clear" w:color="auto" w:fill="FFFFFF"/>
        </w:rPr>
        <w:t>s</w:t>
      </w:r>
      <w:r w:rsidRPr="001C2D09">
        <w:rPr>
          <w:spacing w:val="-3"/>
          <w:sz w:val="22"/>
          <w:szCs w:val="22"/>
          <w:shd w:val="clear" w:color="auto" w:fill="FFFFFF"/>
        </w:rPr>
        <w:t xml:space="preserve">: </w:t>
      </w:r>
      <w:r w:rsidRPr="001C2D09" w:rsidR="0077092A">
        <w:rPr>
          <w:spacing w:val="-3"/>
          <w:sz w:val="22"/>
          <w:szCs w:val="22"/>
          <w:shd w:val="clear" w:color="auto" w:fill="FFFFFF"/>
        </w:rPr>
        <w:t xml:space="preserve"> </w:t>
      </w:r>
      <w:r w:rsidRPr="001C2D09" w:rsidR="00144D93">
        <w:rPr>
          <w:spacing w:val="-3"/>
          <w:sz w:val="22"/>
          <w:szCs w:val="22"/>
          <w:shd w:val="clear" w:color="auto" w:fill="FFFFFF"/>
        </w:rPr>
        <w:t>“</w:t>
      </w:r>
      <w:r w:rsidRPr="001C2D09" w:rsidR="00165B8A">
        <w:rPr>
          <w:spacing w:val="-3"/>
          <w:sz w:val="22"/>
          <w:szCs w:val="22"/>
          <w:shd w:val="clear" w:color="auto" w:fill="FFFFFF"/>
        </w:rPr>
        <w:t>[e]</w:t>
      </w:r>
      <w:r w:rsidRPr="001C2D09">
        <w:rPr>
          <w:spacing w:val="-3"/>
          <w:sz w:val="22"/>
          <w:szCs w:val="22"/>
          <w:shd w:val="clear" w:color="auto" w:fill="FFFFFF"/>
        </w:rPr>
        <w:t>very telecommunications carrier has a duty to protect the confidentiality of proprietary information of, and relating to, other telecommunications carriers, equipment manufacturers, and customer</w:t>
      </w:r>
      <w:r w:rsidRPr="001C2D09" w:rsidR="00DF29DC">
        <w:rPr>
          <w:spacing w:val="-3"/>
          <w:sz w:val="22"/>
          <w:szCs w:val="22"/>
          <w:shd w:val="clear" w:color="auto" w:fill="FFFFFF"/>
        </w:rPr>
        <w:t>s</w:t>
      </w:r>
      <w:r w:rsidRPr="001C2D09">
        <w:rPr>
          <w:spacing w:val="-3"/>
          <w:sz w:val="22"/>
          <w:szCs w:val="22"/>
          <w:shd w:val="clear" w:color="auto" w:fill="FFFFFF"/>
        </w:rPr>
        <w:t xml:space="preserve">, including telecommunications carriers reselling telecommunications </w:t>
      </w:r>
      <w:r w:rsidRPr="001C2D09" w:rsidR="009B7278">
        <w:rPr>
          <w:spacing w:val="-3"/>
          <w:sz w:val="22"/>
          <w:szCs w:val="22"/>
          <w:shd w:val="clear" w:color="auto" w:fill="FFFFFF"/>
        </w:rPr>
        <w:t>services provided by a telecommunications carrier.</w:t>
      </w:r>
      <w:r w:rsidRPr="001C2D09" w:rsidR="00144D93">
        <w:rPr>
          <w:spacing w:val="-3"/>
          <w:sz w:val="22"/>
          <w:szCs w:val="22"/>
          <w:shd w:val="clear" w:color="auto" w:fill="FFFFFF"/>
        </w:rPr>
        <w:t>”</w:t>
      </w:r>
      <w:r w:rsidRPr="001C2D09" w:rsidR="004718FA">
        <w:rPr>
          <w:spacing w:val="-3"/>
          <w:sz w:val="22"/>
          <w:szCs w:val="22"/>
          <w:shd w:val="clear" w:color="auto" w:fill="FFFFFF"/>
        </w:rPr>
        <w:t xml:space="preserve">  47 U.S.C. §</w:t>
      </w:r>
      <w:r w:rsidRPr="001C2D09" w:rsidR="0077092A">
        <w:rPr>
          <w:spacing w:val="-3"/>
          <w:sz w:val="22"/>
          <w:szCs w:val="22"/>
          <w:shd w:val="clear" w:color="auto" w:fill="FFFFFF"/>
        </w:rPr>
        <w:t> </w:t>
      </w:r>
      <w:r w:rsidRPr="001C2D09" w:rsidR="004718FA">
        <w:rPr>
          <w:spacing w:val="-3"/>
          <w:sz w:val="22"/>
          <w:szCs w:val="22"/>
          <w:shd w:val="clear" w:color="auto" w:fill="FFFFFF"/>
        </w:rPr>
        <w:t>222(a).</w:t>
      </w:r>
    </w:p>
    <w:p w:rsidR="009B7278" w:rsidRPr="001C2D09" w:rsidP="0077092A" w14:paraId="596BFFEF" w14:textId="77777777">
      <w:pPr>
        <w:tabs>
          <w:tab w:val="left" w:pos="360"/>
        </w:tabs>
        <w:rPr>
          <w:spacing w:val="-3"/>
          <w:sz w:val="22"/>
          <w:szCs w:val="22"/>
          <w:shd w:val="clear" w:color="auto" w:fill="FFFFFF"/>
        </w:rPr>
      </w:pPr>
    </w:p>
    <w:p w:rsidR="009B7278" w:rsidRPr="001C2D09" w:rsidP="0077092A" w14:paraId="1F466844" w14:textId="76E39161">
      <w:pPr>
        <w:tabs>
          <w:tab w:val="left" w:pos="360"/>
        </w:tabs>
        <w:spacing w:after="120"/>
        <w:rPr>
          <w:spacing w:val="-3"/>
          <w:sz w:val="22"/>
          <w:szCs w:val="22"/>
          <w:shd w:val="clear" w:color="auto" w:fill="FFFFFF"/>
        </w:rPr>
      </w:pPr>
      <w:r w:rsidRPr="001C2D09">
        <w:rPr>
          <w:spacing w:val="-3"/>
          <w:sz w:val="22"/>
          <w:szCs w:val="22"/>
          <w:shd w:val="clear" w:color="auto" w:fill="FFFFFF"/>
        </w:rPr>
        <w:t>By definition, Customer Propriety Ne</w:t>
      </w:r>
      <w:r w:rsidRPr="001C2D09" w:rsidR="00F20ED1">
        <w:rPr>
          <w:spacing w:val="-3"/>
          <w:sz w:val="22"/>
          <w:szCs w:val="22"/>
          <w:shd w:val="clear" w:color="auto" w:fill="FFFFFF"/>
        </w:rPr>
        <w:t>twork Information (CPNI) means:</w:t>
      </w:r>
    </w:p>
    <w:p w:rsidR="002F30E1" w:rsidRPr="001C2D09" w:rsidP="00F179D1" w14:paraId="43C96E4A" w14:textId="624B8789">
      <w:pPr>
        <w:spacing w:after="120"/>
        <w:ind w:left="720" w:right="547"/>
        <w:rPr>
          <w:spacing w:val="-3"/>
          <w:sz w:val="22"/>
          <w:szCs w:val="22"/>
          <w:shd w:val="clear" w:color="auto" w:fill="FFFFFF"/>
        </w:rPr>
      </w:pPr>
      <w:r w:rsidRPr="001C2D09">
        <w:rPr>
          <w:spacing w:val="-3"/>
          <w:sz w:val="22"/>
          <w:szCs w:val="22"/>
          <w:shd w:val="clear" w:color="auto" w:fill="FFFFFF"/>
        </w:rPr>
        <w:t xml:space="preserve">“(A) </w:t>
      </w:r>
      <w:r w:rsidRPr="001C2D09" w:rsidR="00165B8A">
        <w:rPr>
          <w:spacing w:val="-3"/>
          <w:sz w:val="22"/>
          <w:szCs w:val="22"/>
          <w:shd w:val="clear" w:color="auto" w:fill="FFFFFF"/>
        </w:rPr>
        <w:t>i</w:t>
      </w:r>
      <w:r w:rsidRPr="001C2D09">
        <w:rPr>
          <w:spacing w:val="-3"/>
          <w:sz w:val="22"/>
          <w:szCs w:val="22"/>
          <w:shd w:val="clear" w:color="auto" w:fill="FFFFFF"/>
        </w:rPr>
        <w:t>n</w:t>
      </w:r>
      <w:r w:rsidRPr="001C2D09" w:rsidR="00F20ED1">
        <w:rPr>
          <w:spacing w:val="-3"/>
          <w:sz w:val="22"/>
          <w:szCs w:val="22"/>
          <w:shd w:val="clear" w:color="auto" w:fill="FFFFFF"/>
        </w:rPr>
        <w:t xml:space="preserve">formation that relates to the quantity, technical configuration, type, destination, </w:t>
      </w:r>
      <w:r w:rsidRPr="001C2D09" w:rsidR="00D03836">
        <w:rPr>
          <w:spacing w:val="-3"/>
          <w:sz w:val="22"/>
          <w:szCs w:val="22"/>
          <w:shd w:val="clear" w:color="auto" w:fill="FFFFFF"/>
        </w:rPr>
        <w:t xml:space="preserve">location, </w:t>
      </w:r>
      <w:r w:rsidRPr="001C2D09" w:rsidR="00F20ED1">
        <w:rPr>
          <w:spacing w:val="-3"/>
          <w:sz w:val="22"/>
          <w:szCs w:val="22"/>
          <w:shd w:val="clear" w:color="auto" w:fill="FFFFFF"/>
        </w:rPr>
        <w:t xml:space="preserve">and amount of use of a telecommunications </w:t>
      </w:r>
      <w:r w:rsidRPr="001C2D09" w:rsidR="000711F6">
        <w:rPr>
          <w:spacing w:val="-3"/>
          <w:sz w:val="22"/>
          <w:szCs w:val="22"/>
          <w:shd w:val="clear" w:color="auto" w:fill="FFFFFF"/>
        </w:rPr>
        <w:t>service subscribed to by any customer of a telecommunications carr</w:t>
      </w:r>
      <w:r w:rsidRPr="001C2D09" w:rsidR="00F20ED1">
        <w:rPr>
          <w:spacing w:val="-3"/>
          <w:sz w:val="22"/>
          <w:szCs w:val="22"/>
          <w:shd w:val="clear" w:color="auto" w:fill="FFFFFF"/>
        </w:rPr>
        <w:t>ier</w:t>
      </w:r>
      <w:r w:rsidRPr="001C2D09" w:rsidR="00FA62DF">
        <w:rPr>
          <w:spacing w:val="-3"/>
          <w:sz w:val="22"/>
          <w:szCs w:val="22"/>
          <w:shd w:val="clear" w:color="auto" w:fill="FFFFFF"/>
        </w:rPr>
        <w:t>, and that is made available to the carrier by the customer solely by virtue of the carrier-customer relationship; and</w:t>
      </w:r>
    </w:p>
    <w:p w:rsidR="00FA62DF" w:rsidRPr="001C2D09" w:rsidP="000B19DF" w14:paraId="1D43C48F" w14:textId="0945A366">
      <w:pPr>
        <w:spacing w:after="120"/>
        <w:ind w:left="720" w:right="547"/>
        <w:rPr>
          <w:spacing w:val="-3"/>
          <w:sz w:val="22"/>
          <w:szCs w:val="22"/>
          <w:shd w:val="clear" w:color="auto" w:fill="FFFFFF"/>
        </w:rPr>
      </w:pPr>
      <w:r w:rsidRPr="001C2D09">
        <w:rPr>
          <w:spacing w:val="-3"/>
          <w:sz w:val="22"/>
          <w:szCs w:val="22"/>
          <w:shd w:val="clear" w:color="auto" w:fill="FFFFFF"/>
        </w:rPr>
        <w:t xml:space="preserve">(B) </w:t>
      </w:r>
      <w:r w:rsidRPr="001C2D09" w:rsidR="00165B8A">
        <w:rPr>
          <w:spacing w:val="-3"/>
          <w:sz w:val="22"/>
          <w:szCs w:val="22"/>
          <w:shd w:val="clear" w:color="auto" w:fill="FFFFFF"/>
        </w:rPr>
        <w:t>i</w:t>
      </w:r>
      <w:r w:rsidRPr="001C2D09" w:rsidR="00DC5431">
        <w:rPr>
          <w:spacing w:val="-3"/>
          <w:sz w:val="22"/>
          <w:szCs w:val="22"/>
          <w:shd w:val="clear" w:color="auto" w:fill="FFFFFF"/>
        </w:rPr>
        <w:t>nformation</w:t>
      </w:r>
      <w:r w:rsidRPr="001C2D09">
        <w:rPr>
          <w:spacing w:val="-3"/>
          <w:sz w:val="22"/>
          <w:szCs w:val="22"/>
          <w:shd w:val="clear" w:color="auto" w:fill="FFFFFF"/>
        </w:rPr>
        <w:t xml:space="preserve"> </w:t>
      </w:r>
      <w:r w:rsidRPr="001C2D09" w:rsidR="00A461AF">
        <w:rPr>
          <w:spacing w:val="-3"/>
          <w:sz w:val="22"/>
          <w:szCs w:val="22"/>
          <w:shd w:val="clear" w:color="auto" w:fill="FFFFFF"/>
        </w:rPr>
        <w:t>contained in the bills relating to telephone exchange service or telephone toll service received by a customer of a carrier; except that such term does not include subscriber list information.</w:t>
      </w:r>
      <w:r w:rsidRPr="001C2D09" w:rsidR="00CF5E23">
        <w:rPr>
          <w:spacing w:val="-3"/>
          <w:sz w:val="22"/>
          <w:szCs w:val="22"/>
          <w:shd w:val="clear" w:color="auto" w:fill="FFFFFF"/>
        </w:rPr>
        <w:t>”</w:t>
      </w:r>
      <w:r w:rsidRPr="001C2D09" w:rsidR="0086736C">
        <w:rPr>
          <w:spacing w:val="-3"/>
          <w:sz w:val="22"/>
          <w:szCs w:val="22"/>
          <w:shd w:val="clear" w:color="auto" w:fill="FFFFFF"/>
        </w:rPr>
        <w:t xml:space="preserve"> </w:t>
      </w:r>
      <w:r w:rsidRPr="001C2D09" w:rsidR="00165B8A">
        <w:rPr>
          <w:spacing w:val="-3"/>
          <w:sz w:val="22"/>
          <w:szCs w:val="22"/>
          <w:shd w:val="clear" w:color="auto" w:fill="FFFFFF"/>
        </w:rPr>
        <w:t xml:space="preserve"> </w:t>
      </w:r>
      <w:r w:rsidRPr="001C2D09" w:rsidR="0086736C">
        <w:rPr>
          <w:spacing w:val="-3"/>
          <w:sz w:val="22"/>
          <w:szCs w:val="22"/>
          <w:shd w:val="clear" w:color="auto" w:fill="FFFFFF"/>
        </w:rPr>
        <w:t>47 U.S.C. §</w:t>
      </w:r>
      <w:r w:rsidRPr="001C2D09" w:rsidR="0077092A">
        <w:rPr>
          <w:spacing w:val="-3"/>
          <w:sz w:val="22"/>
          <w:szCs w:val="22"/>
          <w:shd w:val="clear" w:color="auto" w:fill="FFFFFF"/>
        </w:rPr>
        <w:t> </w:t>
      </w:r>
      <w:r w:rsidRPr="001C2D09" w:rsidR="0086736C">
        <w:rPr>
          <w:spacing w:val="-3"/>
          <w:sz w:val="22"/>
          <w:szCs w:val="22"/>
          <w:shd w:val="clear" w:color="auto" w:fill="FFFFFF"/>
        </w:rPr>
        <w:t>222(h)(</w:t>
      </w:r>
      <w:r w:rsidRPr="001C2D09" w:rsidR="00306B62">
        <w:rPr>
          <w:spacing w:val="-3"/>
          <w:sz w:val="22"/>
          <w:szCs w:val="22"/>
          <w:shd w:val="clear" w:color="auto" w:fill="FFFFFF"/>
        </w:rPr>
        <w:t>1</w:t>
      </w:r>
      <w:r w:rsidRPr="001C2D09" w:rsidR="0086736C">
        <w:rPr>
          <w:spacing w:val="-3"/>
          <w:sz w:val="22"/>
          <w:szCs w:val="22"/>
          <w:shd w:val="clear" w:color="auto" w:fill="FFFFFF"/>
        </w:rPr>
        <w:t>).</w:t>
      </w:r>
    </w:p>
    <w:p w:rsidR="00A461AF" w:rsidRPr="001C2D09" w:rsidP="0077092A" w14:paraId="4BD85B1E" w14:textId="77777777">
      <w:pPr>
        <w:rPr>
          <w:spacing w:val="-3"/>
          <w:sz w:val="22"/>
          <w:szCs w:val="22"/>
          <w:shd w:val="clear" w:color="auto" w:fill="FFFFFF"/>
        </w:rPr>
      </w:pPr>
    </w:p>
    <w:p w:rsidR="00A461AF" w:rsidRPr="001C2D09" w:rsidP="0077092A" w14:paraId="462C7E71" w14:textId="77777777">
      <w:pPr>
        <w:spacing w:after="120"/>
        <w:rPr>
          <w:spacing w:val="-3"/>
          <w:sz w:val="22"/>
          <w:szCs w:val="22"/>
          <w:shd w:val="clear" w:color="auto" w:fill="FFFFFF"/>
        </w:rPr>
      </w:pPr>
      <w:r w:rsidRPr="001C2D09">
        <w:rPr>
          <w:spacing w:val="-3"/>
          <w:sz w:val="22"/>
          <w:szCs w:val="22"/>
          <w:shd w:val="clear" w:color="auto" w:fill="FFFFFF"/>
        </w:rPr>
        <w:t>By definition, Subscriber List Information means</w:t>
      </w:r>
      <w:r w:rsidRPr="001C2D09" w:rsidR="00924013">
        <w:rPr>
          <w:spacing w:val="-3"/>
          <w:sz w:val="22"/>
          <w:szCs w:val="22"/>
          <w:shd w:val="clear" w:color="auto" w:fill="FFFFFF"/>
        </w:rPr>
        <w:t xml:space="preserve"> any information</w:t>
      </w:r>
      <w:r w:rsidRPr="001C2D09">
        <w:rPr>
          <w:spacing w:val="-3"/>
          <w:sz w:val="22"/>
          <w:szCs w:val="22"/>
          <w:shd w:val="clear" w:color="auto" w:fill="FFFFFF"/>
        </w:rPr>
        <w:t>:</w:t>
      </w:r>
    </w:p>
    <w:p w:rsidR="0077092A" w:rsidRPr="001C2D09" w:rsidP="0077092A" w14:paraId="67123E8B" w14:textId="77777777">
      <w:pPr>
        <w:spacing w:after="120"/>
        <w:ind w:left="720" w:right="547"/>
        <w:rPr>
          <w:spacing w:val="-3"/>
          <w:sz w:val="22"/>
          <w:szCs w:val="22"/>
          <w:shd w:val="clear" w:color="auto" w:fill="FFFFFF"/>
        </w:rPr>
      </w:pPr>
      <w:r w:rsidRPr="001C2D09">
        <w:rPr>
          <w:spacing w:val="-3"/>
          <w:sz w:val="22"/>
          <w:szCs w:val="22"/>
          <w:shd w:val="clear" w:color="auto" w:fill="FFFFFF"/>
        </w:rPr>
        <w:t xml:space="preserve">“(A) </w:t>
      </w:r>
      <w:r w:rsidRPr="001C2D09" w:rsidR="00165B8A">
        <w:rPr>
          <w:spacing w:val="-3"/>
          <w:sz w:val="22"/>
          <w:szCs w:val="22"/>
          <w:shd w:val="clear" w:color="auto" w:fill="FFFFFF"/>
        </w:rPr>
        <w:t>i</w:t>
      </w:r>
      <w:r w:rsidRPr="001C2D09" w:rsidR="00325D82">
        <w:rPr>
          <w:spacing w:val="-3"/>
          <w:sz w:val="22"/>
          <w:szCs w:val="22"/>
          <w:shd w:val="clear" w:color="auto" w:fill="FFFFFF"/>
        </w:rPr>
        <w:t xml:space="preserve">dentifying the listed names of subscribers of a carrier and such subscribers’ telephone numbers, addresses, or primary advertising classifications (as such classifications are assigned at the time of the establishment of such service), or any combination of such listed names, numbers, addresses, or classifications, and </w:t>
      </w:r>
    </w:p>
    <w:p w:rsidR="00306B62" w:rsidRPr="001C2D09" w:rsidP="0077092A" w14:paraId="2ED0F3CE" w14:textId="6ABE1603">
      <w:pPr>
        <w:ind w:left="720" w:right="540"/>
        <w:rPr>
          <w:spacing w:val="-3"/>
          <w:sz w:val="22"/>
          <w:szCs w:val="22"/>
          <w:shd w:val="clear" w:color="auto" w:fill="FFFFFF"/>
        </w:rPr>
      </w:pPr>
      <w:r w:rsidRPr="001C2D09">
        <w:rPr>
          <w:spacing w:val="-3"/>
          <w:sz w:val="22"/>
          <w:szCs w:val="22"/>
          <w:shd w:val="clear" w:color="auto" w:fill="FFFFFF"/>
        </w:rPr>
        <w:t xml:space="preserve">(B) </w:t>
      </w:r>
      <w:r w:rsidRPr="001C2D09" w:rsidR="00165B8A">
        <w:rPr>
          <w:spacing w:val="-3"/>
          <w:sz w:val="22"/>
          <w:szCs w:val="22"/>
          <w:shd w:val="clear" w:color="auto" w:fill="FFFFFF"/>
        </w:rPr>
        <w:t>t</w:t>
      </w:r>
      <w:r w:rsidRPr="001C2D09" w:rsidR="00325D82">
        <w:rPr>
          <w:spacing w:val="-3"/>
          <w:sz w:val="22"/>
          <w:szCs w:val="22"/>
          <w:shd w:val="clear" w:color="auto" w:fill="FFFFFF"/>
        </w:rPr>
        <w:t xml:space="preserve">hat the </w:t>
      </w:r>
      <w:r w:rsidRPr="001C2D09" w:rsidR="004C68A7">
        <w:rPr>
          <w:spacing w:val="-3"/>
          <w:sz w:val="22"/>
          <w:szCs w:val="22"/>
          <w:shd w:val="clear" w:color="auto" w:fill="FFFFFF"/>
        </w:rPr>
        <w:t>carrier or an affiliate has published, cause</w:t>
      </w:r>
      <w:r w:rsidRPr="001C2D09" w:rsidR="00E922D6">
        <w:rPr>
          <w:spacing w:val="-3"/>
          <w:sz w:val="22"/>
          <w:szCs w:val="22"/>
          <w:shd w:val="clear" w:color="auto" w:fill="FFFFFF"/>
        </w:rPr>
        <w:t>d</w:t>
      </w:r>
      <w:r w:rsidRPr="001C2D09" w:rsidR="004C68A7">
        <w:rPr>
          <w:spacing w:val="-3"/>
          <w:sz w:val="22"/>
          <w:szCs w:val="22"/>
          <w:shd w:val="clear" w:color="auto" w:fill="FFFFFF"/>
        </w:rPr>
        <w:t xml:space="preserve"> to be published, or accepted for publication in any directory format.</w:t>
      </w:r>
      <w:r w:rsidRPr="001C2D09" w:rsidR="0039456F">
        <w:rPr>
          <w:spacing w:val="-3"/>
          <w:sz w:val="22"/>
          <w:szCs w:val="22"/>
          <w:shd w:val="clear" w:color="auto" w:fill="FFFFFF"/>
        </w:rPr>
        <w:t>”</w:t>
      </w:r>
      <w:r w:rsidRPr="001C2D09">
        <w:rPr>
          <w:spacing w:val="-3"/>
          <w:sz w:val="22"/>
          <w:szCs w:val="22"/>
          <w:shd w:val="clear" w:color="auto" w:fill="FFFFFF"/>
        </w:rPr>
        <w:t xml:space="preserve"> </w:t>
      </w:r>
      <w:r w:rsidRPr="001C2D09" w:rsidR="00165B8A">
        <w:rPr>
          <w:spacing w:val="-3"/>
          <w:sz w:val="22"/>
          <w:szCs w:val="22"/>
          <w:shd w:val="clear" w:color="auto" w:fill="FFFFFF"/>
        </w:rPr>
        <w:t xml:space="preserve"> </w:t>
      </w:r>
      <w:r w:rsidRPr="001C2D09">
        <w:rPr>
          <w:spacing w:val="-3"/>
          <w:sz w:val="22"/>
          <w:szCs w:val="22"/>
          <w:shd w:val="clear" w:color="auto" w:fill="FFFFFF"/>
        </w:rPr>
        <w:t>47 U.S.C. § 222(h)(3).</w:t>
      </w:r>
      <w:r>
        <w:rPr>
          <w:rStyle w:val="FootnoteReference"/>
          <w:spacing w:val="-3"/>
          <w:sz w:val="22"/>
          <w:szCs w:val="22"/>
          <w:shd w:val="clear" w:color="auto" w:fill="FFFFFF"/>
        </w:rPr>
        <w:footnoteReference w:id="3"/>
      </w:r>
    </w:p>
    <w:p w:rsidR="00F503FF" w:rsidRPr="001C2D09" w:rsidP="0077092A" w14:paraId="2125FBA2" w14:textId="3DEE1E72">
      <w:pPr>
        <w:rPr>
          <w:iCs/>
          <w:spacing w:val="-3"/>
          <w:sz w:val="22"/>
          <w:szCs w:val="22"/>
          <w:shd w:val="clear" w:color="auto" w:fill="FFFFFF"/>
        </w:rPr>
      </w:pPr>
    </w:p>
    <w:p w:rsidR="002444E2" w:rsidRPr="001C2D09" w:rsidP="522AA3A9" w14:paraId="10A0E7B2" w14:textId="19EF7454">
      <w:pPr>
        <w:spacing w:after="240"/>
        <w:rPr>
          <w:spacing w:val="-3"/>
          <w:sz w:val="22"/>
          <w:szCs w:val="22"/>
          <w:shd w:val="clear" w:color="auto" w:fill="FFFFFF"/>
        </w:rPr>
      </w:pPr>
      <w:r w:rsidRPr="001C2D09">
        <w:rPr>
          <w:sz w:val="22"/>
          <w:szCs w:val="22"/>
        </w:rPr>
        <w:t xml:space="preserve">The new requirements for which the Commission is seeking approval in this collection (3060-0715), which are identified and discussed below where applicable, arise out of actions taken in </w:t>
      </w:r>
      <w:r w:rsidRPr="522AA3A9" w:rsidR="00971A19">
        <w:rPr>
          <w:i/>
          <w:iCs/>
          <w:sz w:val="22"/>
          <w:szCs w:val="22"/>
        </w:rPr>
        <w:t>Protecting Consumers from SIM Swap and Port-Out Fraud</w:t>
      </w:r>
      <w:r w:rsidRPr="522AA3A9" w:rsidR="00971A19">
        <w:rPr>
          <w:sz w:val="22"/>
          <w:szCs w:val="22"/>
        </w:rPr>
        <w:t>, WC Docket No. 21-341, Report and Order, FCC 23-95 (2023)</w:t>
      </w:r>
      <w:r w:rsidRPr="522AA3A9" w:rsidR="00781C78">
        <w:rPr>
          <w:sz w:val="22"/>
          <w:szCs w:val="22"/>
        </w:rPr>
        <w:t>, summarized at 88 FR 857</w:t>
      </w:r>
      <w:r w:rsidRPr="522AA3A9" w:rsidR="00677A9C">
        <w:rPr>
          <w:sz w:val="22"/>
          <w:szCs w:val="22"/>
        </w:rPr>
        <w:t>94 (Dec. 8, 2023</w:t>
      </w:r>
      <w:r w:rsidRPr="522AA3A9" w:rsidR="00484665">
        <w:rPr>
          <w:sz w:val="22"/>
          <w:szCs w:val="22"/>
        </w:rPr>
        <w:t>)</w:t>
      </w:r>
      <w:r w:rsidRPr="522AA3A9" w:rsidR="00971A19">
        <w:rPr>
          <w:sz w:val="22"/>
          <w:szCs w:val="22"/>
        </w:rPr>
        <w:t xml:space="preserve"> (</w:t>
      </w:r>
      <w:r w:rsidRPr="522AA3A9" w:rsidR="00971A19">
        <w:rPr>
          <w:i/>
          <w:iCs/>
          <w:sz w:val="22"/>
          <w:szCs w:val="22"/>
        </w:rPr>
        <w:t>SIM Swap and Port-Out Fraud Order</w:t>
      </w:r>
      <w:r w:rsidRPr="522AA3A9" w:rsidR="00971A19">
        <w:rPr>
          <w:sz w:val="22"/>
          <w:szCs w:val="22"/>
        </w:rPr>
        <w:t>)</w:t>
      </w:r>
      <w:r w:rsidRPr="001C2D09">
        <w:rPr>
          <w:sz w:val="22"/>
          <w:szCs w:val="22"/>
        </w:rPr>
        <w:t xml:space="preserve"> and </w:t>
      </w:r>
      <w:r w:rsidRPr="522AA3A9" w:rsidR="00EF37B9">
        <w:rPr>
          <w:i/>
          <w:iCs/>
          <w:sz w:val="22"/>
          <w:szCs w:val="22"/>
        </w:rPr>
        <w:t xml:space="preserve">Data Breach </w:t>
      </w:r>
      <w:r w:rsidRPr="522AA3A9" w:rsidR="00EF37B9">
        <w:rPr>
          <w:i/>
          <w:iCs/>
          <w:sz w:val="22"/>
          <w:szCs w:val="22"/>
        </w:rPr>
        <w:t>Reporting Requirements</w:t>
      </w:r>
      <w:r w:rsidRPr="522AA3A9" w:rsidR="00EF37B9">
        <w:rPr>
          <w:sz w:val="22"/>
          <w:szCs w:val="22"/>
        </w:rPr>
        <w:t>, WC Docket No. 22-21, Report and Order, FCC 23-111 (2023), summarized at 89 FR 9968 (Feb. 12, 2024) (</w:t>
      </w:r>
      <w:r w:rsidRPr="522AA3A9" w:rsidR="00EF37B9">
        <w:rPr>
          <w:i/>
          <w:iCs/>
          <w:sz w:val="22"/>
          <w:szCs w:val="22"/>
        </w:rPr>
        <w:t>Data Breach Reporting Requirements Order</w:t>
      </w:r>
      <w:r w:rsidRPr="522AA3A9" w:rsidR="00EF37B9">
        <w:rPr>
          <w:sz w:val="22"/>
          <w:szCs w:val="22"/>
        </w:rPr>
        <w:t>)</w:t>
      </w:r>
      <w:r w:rsidRPr="001C2D09">
        <w:rPr>
          <w:sz w:val="22"/>
          <w:szCs w:val="22"/>
        </w:rPr>
        <w:t>.</w:t>
      </w:r>
      <w:r>
        <w:rPr>
          <w:rStyle w:val="FootnoteReference"/>
          <w:spacing w:val="-3"/>
          <w:sz w:val="22"/>
          <w:szCs w:val="22"/>
          <w:shd w:val="clear" w:color="auto" w:fill="FFFFFF"/>
        </w:rPr>
        <w:footnoteReference w:id="4"/>
      </w:r>
      <w:r w:rsidRPr="001C2D09">
        <w:rPr>
          <w:sz w:val="22"/>
          <w:szCs w:val="22"/>
        </w:rPr>
        <w:t xml:space="preserve"> </w:t>
      </w:r>
    </w:p>
    <w:p w:rsidR="00A61741" w:rsidRPr="001C2D09" w:rsidP="7B397C6C" w14:paraId="67A37296" w14:textId="4F0A7AD3">
      <w:pPr>
        <w:spacing w:after="240"/>
        <w:rPr>
          <w:spacing w:val="-3"/>
          <w:sz w:val="22"/>
          <w:szCs w:val="22"/>
          <w:shd w:val="clear" w:color="auto" w:fill="FFFFFF"/>
        </w:rPr>
      </w:pPr>
      <w:r w:rsidRPr="23213A90">
        <w:rPr>
          <w:i/>
          <w:iCs/>
          <w:spacing w:val="-3"/>
          <w:sz w:val="22"/>
          <w:szCs w:val="22"/>
          <w:shd w:val="clear" w:color="auto" w:fill="FFFFFF"/>
        </w:rPr>
        <w:t>SIM Swap and Port-Out Fraud</w:t>
      </w:r>
      <w:r w:rsidRPr="23213A90" w:rsidR="00133E87">
        <w:rPr>
          <w:i/>
          <w:iCs/>
          <w:spacing w:val="-3"/>
          <w:sz w:val="22"/>
          <w:szCs w:val="22"/>
          <w:shd w:val="clear" w:color="auto" w:fill="FFFFFF"/>
        </w:rPr>
        <w:t xml:space="preserve"> Order.  </w:t>
      </w:r>
      <w:r w:rsidRPr="522AA3A9" w:rsidR="002C4585">
        <w:rPr>
          <w:spacing w:val="-3"/>
          <w:sz w:val="22"/>
          <w:szCs w:val="22"/>
          <w:shd w:val="clear" w:color="auto" w:fill="FFFFFF"/>
        </w:rPr>
        <w:t xml:space="preserve">On </w:t>
      </w:r>
      <w:r w:rsidRPr="522AA3A9" w:rsidR="003E7CB6">
        <w:rPr>
          <w:spacing w:val="-3"/>
          <w:sz w:val="22"/>
          <w:szCs w:val="22"/>
          <w:shd w:val="clear" w:color="auto" w:fill="FFFFFF"/>
        </w:rPr>
        <w:t>N</w:t>
      </w:r>
      <w:r w:rsidRPr="522AA3A9" w:rsidR="004E7E4A">
        <w:rPr>
          <w:spacing w:val="-3"/>
          <w:sz w:val="22"/>
          <w:szCs w:val="22"/>
          <w:shd w:val="clear" w:color="auto" w:fill="FFFFFF"/>
        </w:rPr>
        <w:t xml:space="preserve">ovember </w:t>
      </w:r>
      <w:r w:rsidRPr="522AA3A9" w:rsidR="000C27E9">
        <w:rPr>
          <w:spacing w:val="-3"/>
          <w:sz w:val="22"/>
          <w:szCs w:val="22"/>
          <w:shd w:val="clear" w:color="auto" w:fill="FFFFFF"/>
        </w:rPr>
        <w:t xml:space="preserve">16, 2023, the FCC released </w:t>
      </w:r>
      <w:r w:rsidRPr="23213A90" w:rsidR="009D6F41">
        <w:rPr>
          <w:sz w:val="22"/>
          <w:szCs w:val="22"/>
        </w:rPr>
        <w:t>the</w:t>
      </w:r>
      <w:r w:rsidRPr="23213A90" w:rsidR="009D6F41">
        <w:rPr>
          <w:i/>
          <w:iCs/>
          <w:sz w:val="22"/>
          <w:szCs w:val="22"/>
        </w:rPr>
        <w:t xml:space="preserve"> SIM Swap and Port-Out Fraud Order</w:t>
      </w:r>
      <w:r w:rsidRPr="522AA3A9" w:rsidR="00646CE4">
        <w:rPr>
          <w:spacing w:val="-3"/>
          <w:sz w:val="22"/>
          <w:szCs w:val="22"/>
          <w:shd w:val="clear" w:color="auto" w:fill="FFFFFF"/>
        </w:rPr>
        <w:t>, which</w:t>
      </w:r>
      <w:r w:rsidRPr="522AA3A9" w:rsidR="00227E6E">
        <w:rPr>
          <w:spacing w:val="-3"/>
          <w:sz w:val="22"/>
          <w:szCs w:val="22"/>
          <w:shd w:val="clear" w:color="auto" w:fill="FFFFFF"/>
        </w:rPr>
        <w:t xml:space="preserve"> </w:t>
      </w:r>
      <w:r w:rsidRPr="001C2D09" w:rsidR="002725D1">
        <w:rPr>
          <w:sz w:val="22"/>
          <w:szCs w:val="22"/>
        </w:rPr>
        <w:t>add</w:t>
      </w:r>
      <w:r w:rsidRPr="001C2D09" w:rsidR="00006BD7">
        <w:rPr>
          <w:sz w:val="22"/>
          <w:szCs w:val="22"/>
        </w:rPr>
        <w:t>s</w:t>
      </w:r>
      <w:r w:rsidRPr="001C2D09" w:rsidR="002725D1">
        <w:rPr>
          <w:sz w:val="22"/>
          <w:szCs w:val="22"/>
        </w:rPr>
        <w:t xml:space="preserve"> new information collection requirements in paragraph</w:t>
      </w:r>
      <w:r w:rsidR="007F4BCB">
        <w:rPr>
          <w:sz w:val="22"/>
          <w:szCs w:val="22"/>
        </w:rPr>
        <w:t>s</w:t>
      </w:r>
      <w:r w:rsidRPr="001C2D09" w:rsidR="002725D1">
        <w:rPr>
          <w:sz w:val="22"/>
          <w:szCs w:val="22"/>
        </w:rPr>
        <w:t xml:space="preserve"> (</w:t>
      </w:r>
      <w:r w:rsidRPr="001C2D09" w:rsidR="00A354D3">
        <w:rPr>
          <w:sz w:val="22"/>
          <w:szCs w:val="22"/>
        </w:rPr>
        <w:t>o</w:t>
      </w:r>
      <w:r w:rsidRPr="001C2D09" w:rsidR="002725D1">
        <w:rPr>
          <w:sz w:val="22"/>
          <w:szCs w:val="22"/>
        </w:rPr>
        <w:t>)</w:t>
      </w:r>
      <w:r w:rsidR="007F4BCB">
        <w:rPr>
          <w:sz w:val="22"/>
          <w:szCs w:val="22"/>
        </w:rPr>
        <w:t xml:space="preserve"> through (r)</w:t>
      </w:r>
      <w:r w:rsidRPr="23213A90" w:rsidR="007D52D5">
        <w:rPr>
          <w:rStyle w:val="FootnoteReference"/>
          <w:sz w:val="22"/>
          <w:szCs w:val="22"/>
        </w:rPr>
        <w:t xml:space="preserve"> </w:t>
      </w:r>
      <w:r>
        <w:rPr>
          <w:rStyle w:val="FootnoteReference"/>
          <w:sz w:val="22"/>
          <w:szCs w:val="22"/>
        </w:rPr>
        <w:footnoteReference w:id="5"/>
      </w:r>
      <w:r w:rsidRPr="001C2D09" w:rsidR="002725D1">
        <w:rPr>
          <w:sz w:val="22"/>
          <w:szCs w:val="22"/>
        </w:rPr>
        <w:t xml:space="preserve"> of this supporting statement.  </w:t>
      </w:r>
      <w:r w:rsidRPr="001C2D09" w:rsidR="00901465">
        <w:rPr>
          <w:sz w:val="22"/>
          <w:szCs w:val="22"/>
        </w:rPr>
        <w:t xml:space="preserve">The </w:t>
      </w:r>
      <w:r w:rsidRPr="23213A90" w:rsidR="00C27029">
        <w:rPr>
          <w:i/>
          <w:iCs/>
          <w:sz w:val="22"/>
          <w:szCs w:val="22"/>
        </w:rPr>
        <w:t xml:space="preserve">SIM Swap and Port-Out Fraud </w:t>
      </w:r>
      <w:r w:rsidRPr="23213A90" w:rsidR="00901465">
        <w:rPr>
          <w:i/>
          <w:iCs/>
          <w:sz w:val="22"/>
          <w:szCs w:val="22"/>
        </w:rPr>
        <w:t>Order</w:t>
      </w:r>
      <w:r w:rsidRPr="001C2D09" w:rsidR="00901465">
        <w:rPr>
          <w:sz w:val="22"/>
          <w:szCs w:val="22"/>
        </w:rPr>
        <w:t xml:space="preserve"> </w:t>
      </w:r>
      <w:r w:rsidRPr="001C2D09" w:rsidR="00036B57">
        <w:rPr>
          <w:sz w:val="22"/>
          <w:szCs w:val="22"/>
        </w:rPr>
        <w:t>adopt</w:t>
      </w:r>
      <w:r w:rsidRPr="001C2D09" w:rsidR="00901465">
        <w:rPr>
          <w:sz w:val="22"/>
          <w:szCs w:val="22"/>
        </w:rPr>
        <w:t>ed</w:t>
      </w:r>
      <w:r w:rsidRPr="001C2D09" w:rsidR="00036B57">
        <w:rPr>
          <w:sz w:val="22"/>
          <w:szCs w:val="22"/>
        </w:rPr>
        <w:t xml:space="preserve"> </w:t>
      </w:r>
      <w:r w:rsidRPr="001C2D09" w:rsidR="00786CD9">
        <w:rPr>
          <w:sz w:val="22"/>
          <w:szCs w:val="22"/>
        </w:rPr>
        <w:t xml:space="preserve">a </w:t>
      </w:r>
      <w:r w:rsidRPr="001C2D09" w:rsidR="00D72F0A">
        <w:rPr>
          <w:sz w:val="22"/>
          <w:szCs w:val="22"/>
        </w:rPr>
        <w:t xml:space="preserve">baseline </w:t>
      </w:r>
      <w:r w:rsidRPr="001C2D09" w:rsidR="00786CD9">
        <w:rPr>
          <w:sz w:val="22"/>
          <w:szCs w:val="22"/>
        </w:rPr>
        <w:t>framework to combat SIM swap frau</w:t>
      </w:r>
      <w:r w:rsidRPr="001C2D09" w:rsidR="00831B0E">
        <w:rPr>
          <w:sz w:val="22"/>
          <w:szCs w:val="22"/>
        </w:rPr>
        <w:t>d</w:t>
      </w:r>
      <w:r w:rsidRPr="001C2D09" w:rsidR="0094233E">
        <w:rPr>
          <w:sz w:val="22"/>
          <w:szCs w:val="22"/>
        </w:rPr>
        <w:t xml:space="preserve"> by </w:t>
      </w:r>
      <w:r w:rsidRPr="001C2D09" w:rsidR="000F3951">
        <w:rPr>
          <w:sz w:val="22"/>
          <w:szCs w:val="22"/>
        </w:rPr>
        <w:t xml:space="preserve">amending </w:t>
      </w:r>
      <w:r w:rsidRPr="001C2D09" w:rsidR="00AA3D29">
        <w:rPr>
          <w:sz w:val="22"/>
          <w:szCs w:val="22"/>
        </w:rPr>
        <w:t xml:space="preserve">section 64.2010 of the </w:t>
      </w:r>
      <w:r w:rsidRPr="001C2D09" w:rsidR="00915B87">
        <w:rPr>
          <w:sz w:val="22"/>
          <w:szCs w:val="22"/>
        </w:rPr>
        <w:t xml:space="preserve">CPNI </w:t>
      </w:r>
      <w:r w:rsidRPr="001C2D09" w:rsidR="00AA3D29">
        <w:rPr>
          <w:sz w:val="22"/>
          <w:szCs w:val="22"/>
        </w:rPr>
        <w:t>rules</w:t>
      </w:r>
      <w:r w:rsidRPr="001C2D09" w:rsidR="00915B87">
        <w:rPr>
          <w:sz w:val="22"/>
          <w:szCs w:val="22"/>
        </w:rPr>
        <w:t xml:space="preserve"> </w:t>
      </w:r>
      <w:r w:rsidRPr="001C2D09" w:rsidR="00861F40">
        <w:rPr>
          <w:sz w:val="22"/>
          <w:szCs w:val="22"/>
        </w:rPr>
        <w:t xml:space="preserve">to add </w:t>
      </w:r>
      <w:r w:rsidRPr="001C2D09" w:rsidR="00915B87">
        <w:rPr>
          <w:sz w:val="22"/>
          <w:szCs w:val="22"/>
        </w:rPr>
        <w:t>paragraph (h)</w:t>
      </w:r>
      <w:r w:rsidRPr="001C2D09" w:rsidR="001B6CC8">
        <w:rPr>
          <w:sz w:val="22"/>
          <w:szCs w:val="22"/>
        </w:rPr>
        <w:t xml:space="preserve"> </w:t>
      </w:r>
      <w:r w:rsidRPr="001C2D09" w:rsidR="005E3DFD">
        <w:rPr>
          <w:sz w:val="22"/>
          <w:szCs w:val="22"/>
        </w:rPr>
        <w:t>on Subscriber Identity Module (SIM) changes</w:t>
      </w:r>
      <w:r w:rsidRPr="001C2D09" w:rsidR="00411CB8">
        <w:rPr>
          <w:sz w:val="22"/>
          <w:szCs w:val="22"/>
        </w:rPr>
        <w:t xml:space="preserve">.  </w:t>
      </w:r>
      <w:r w:rsidRPr="001C2D09" w:rsidR="002C7A00">
        <w:rPr>
          <w:sz w:val="22"/>
          <w:szCs w:val="22"/>
        </w:rPr>
        <w:t>A</w:t>
      </w:r>
      <w:r w:rsidRPr="001C2D09" w:rsidR="00CA1345">
        <w:rPr>
          <w:sz w:val="22"/>
          <w:szCs w:val="22"/>
        </w:rPr>
        <w:t xml:space="preserve"> </w:t>
      </w:r>
      <w:r w:rsidRPr="001C2D09" w:rsidR="00411CB8">
        <w:rPr>
          <w:sz w:val="22"/>
          <w:szCs w:val="22"/>
        </w:rPr>
        <w:t xml:space="preserve">SIM swap </w:t>
      </w:r>
      <w:r w:rsidRPr="001C2D09" w:rsidR="00A02602">
        <w:rPr>
          <w:sz w:val="22"/>
          <w:szCs w:val="22"/>
        </w:rPr>
        <w:t xml:space="preserve">involves </w:t>
      </w:r>
      <w:r w:rsidRPr="001C2D09" w:rsidR="00BB2DC4">
        <w:rPr>
          <w:sz w:val="22"/>
          <w:szCs w:val="22"/>
        </w:rPr>
        <w:t xml:space="preserve">the fraudulent transfer (or “swap”) of </w:t>
      </w:r>
      <w:r w:rsidRPr="001C2D09" w:rsidR="00A02602">
        <w:rPr>
          <w:sz w:val="22"/>
          <w:szCs w:val="22"/>
        </w:rPr>
        <w:t>an account from a device associated with one SIM to a device associated with a different SIM</w:t>
      </w:r>
      <w:r w:rsidRPr="001C2D09" w:rsidR="00913731">
        <w:rPr>
          <w:sz w:val="22"/>
          <w:szCs w:val="22"/>
        </w:rPr>
        <w:t xml:space="preserve">, allowing </w:t>
      </w:r>
      <w:r w:rsidRPr="001C2D09" w:rsidR="00564AFF">
        <w:rPr>
          <w:sz w:val="22"/>
          <w:szCs w:val="22"/>
        </w:rPr>
        <w:t>a bad actor to control the victim’s mobile account and access</w:t>
      </w:r>
      <w:r w:rsidRPr="001C2D09" w:rsidR="007D5CCF">
        <w:rPr>
          <w:sz w:val="22"/>
          <w:szCs w:val="22"/>
        </w:rPr>
        <w:t xml:space="preserve"> </w:t>
      </w:r>
      <w:r w:rsidRPr="001C2D09" w:rsidR="00001B57">
        <w:rPr>
          <w:sz w:val="22"/>
          <w:szCs w:val="22"/>
        </w:rPr>
        <w:t xml:space="preserve">the victim’s </w:t>
      </w:r>
      <w:r w:rsidRPr="001C2D09" w:rsidR="00564AFF">
        <w:rPr>
          <w:sz w:val="22"/>
          <w:szCs w:val="22"/>
        </w:rPr>
        <w:t>CPNI.</w:t>
      </w:r>
      <w:r w:rsidRPr="001C2D09" w:rsidR="00831B0E">
        <w:rPr>
          <w:sz w:val="22"/>
          <w:szCs w:val="22"/>
        </w:rPr>
        <w:t xml:space="preserve"> </w:t>
      </w:r>
      <w:r w:rsidRPr="001C2D09" w:rsidR="00BB5B05">
        <w:rPr>
          <w:sz w:val="22"/>
          <w:szCs w:val="22"/>
        </w:rPr>
        <w:t xml:space="preserve"> </w:t>
      </w:r>
      <w:r w:rsidRPr="001C2D09" w:rsidR="00831B0E">
        <w:rPr>
          <w:sz w:val="22"/>
          <w:szCs w:val="22"/>
        </w:rPr>
        <w:t xml:space="preserve">The </w:t>
      </w:r>
      <w:r w:rsidRPr="001C2D09" w:rsidR="000F3AC9">
        <w:rPr>
          <w:sz w:val="22"/>
          <w:szCs w:val="22"/>
        </w:rPr>
        <w:t xml:space="preserve">new </w:t>
      </w:r>
      <w:r w:rsidRPr="001C2D09" w:rsidR="00D72F0A">
        <w:rPr>
          <w:sz w:val="22"/>
          <w:szCs w:val="22"/>
        </w:rPr>
        <w:t>rules establish</w:t>
      </w:r>
      <w:r w:rsidRPr="001C2D09" w:rsidR="00057E43">
        <w:rPr>
          <w:sz w:val="22"/>
          <w:szCs w:val="22"/>
        </w:rPr>
        <w:t xml:space="preserve"> a uniform framework </w:t>
      </w:r>
      <w:r w:rsidRPr="001C2D09" w:rsidR="007169F9">
        <w:rPr>
          <w:sz w:val="22"/>
          <w:szCs w:val="22"/>
        </w:rPr>
        <w:t>that gives wireless providers</w:t>
      </w:r>
      <w:r>
        <w:rPr>
          <w:rStyle w:val="FootnoteReference"/>
          <w:spacing w:val="-3"/>
          <w:sz w:val="22"/>
          <w:szCs w:val="22"/>
          <w:shd w:val="clear" w:color="auto" w:fill="FFFFFF"/>
        </w:rPr>
        <w:footnoteReference w:id="6"/>
      </w:r>
      <w:r w:rsidRPr="001C2D09" w:rsidR="007169F9">
        <w:rPr>
          <w:sz w:val="22"/>
          <w:szCs w:val="22"/>
        </w:rPr>
        <w:t xml:space="preserve"> flexibility to </w:t>
      </w:r>
      <w:r w:rsidRPr="001C2D09" w:rsidR="0096361C">
        <w:rPr>
          <w:sz w:val="22"/>
          <w:szCs w:val="22"/>
        </w:rPr>
        <w:t>implement customer authentication</w:t>
      </w:r>
      <w:r w:rsidRPr="001C2D09" w:rsidR="00750C45">
        <w:rPr>
          <w:sz w:val="22"/>
          <w:szCs w:val="22"/>
        </w:rPr>
        <w:t xml:space="preserve"> and </w:t>
      </w:r>
      <w:r w:rsidRPr="001C2D09" w:rsidR="007169F9">
        <w:rPr>
          <w:sz w:val="22"/>
          <w:szCs w:val="22"/>
        </w:rPr>
        <w:t>security methods</w:t>
      </w:r>
      <w:r w:rsidRPr="001C2D09" w:rsidR="0096361C">
        <w:rPr>
          <w:sz w:val="22"/>
          <w:szCs w:val="22"/>
        </w:rPr>
        <w:t xml:space="preserve"> </w:t>
      </w:r>
      <w:r w:rsidRPr="001C2D09" w:rsidR="00057E43">
        <w:rPr>
          <w:sz w:val="22"/>
          <w:szCs w:val="22"/>
        </w:rPr>
        <w:t xml:space="preserve">to </w:t>
      </w:r>
      <w:r w:rsidRPr="001C2D09" w:rsidR="00640A52">
        <w:rPr>
          <w:sz w:val="22"/>
          <w:szCs w:val="22"/>
        </w:rPr>
        <w:t xml:space="preserve">address </w:t>
      </w:r>
      <w:r w:rsidRPr="001C2D09" w:rsidR="00057E43">
        <w:rPr>
          <w:sz w:val="22"/>
          <w:szCs w:val="22"/>
        </w:rPr>
        <w:t>SIM swap fraud</w:t>
      </w:r>
      <w:r w:rsidRPr="001C2D09" w:rsidR="00BB5B05">
        <w:rPr>
          <w:sz w:val="22"/>
          <w:szCs w:val="22"/>
        </w:rPr>
        <w:t xml:space="preserve">.  </w:t>
      </w:r>
      <w:r w:rsidRPr="23213A90" w:rsidR="00022710">
        <w:rPr>
          <w:i/>
          <w:iCs/>
          <w:sz w:val="22"/>
          <w:szCs w:val="22"/>
        </w:rPr>
        <w:t>See</w:t>
      </w:r>
      <w:r w:rsidRPr="001C2D09" w:rsidR="00022710">
        <w:rPr>
          <w:sz w:val="22"/>
          <w:szCs w:val="22"/>
        </w:rPr>
        <w:t xml:space="preserve"> </w:t>
      </w:r>
      <w:r w:rsidRPr="23213A90" w:rsidR="00022710">
        <w:rPr>
          <w:i/>
          <w:iCs/>
          <w:sz w:val="22"/>
          <w:szCs w:val="22"/>
        </w:rPr>
        <w:t>SIM Swap and Port-Out Fraud Order</w:t>
      </w:r>
      <w:r w:rsidRPr="001C2D09" w:rsidR="00022710">
        <w:rPr>
          <w:sz w:val="22"/>
          <w:szCs w:val="22"/>
        </w:rPr>
        <w:t xml:space="preserve">.  </w:t>
      </w:r>
      <w:r w:rsidRPr="001C2D09" w:rsidR="00534226">
        <w:rPr>
          <w:sz w:val="22"/>
          <w:szCs w:val="22"/>
        </w:rPr>
        <w:t>Wireless p</w:t>
      </w:r>
      <w:r w:rsidRPr="001C2D09" w:rsidR="00657489">
        <w:rPr>
          <w:sz w:val="22"/>
          <w:szCs w:val="22"/>
        </w:rPr>
        <w:t xml:space="preserve">roviders are required to comply with the </w:t>
      </w:r>
      <w:r w:rsidRPr="001C2D09" w:rsidR="007D4858">
        <w:rPr>
          <w:sz w:val="22"/>
          <w:szCs w:val="22"/>
        </w:rPr>
        <w:t xml:space="preserve">new or </w:t>
      </w:r>
      <w:r w:rsidRPr="001C2D09" w:rsidR="00657489">
        <w:rPr>
          <w:sz w:val="22"/>
          <w:szCs w:val="22"/>
        </w:rPr>
        <w:t>modified rule</w:t>
      </w:r>
      <w:r w:rsidRPr="001C2D09" w:rsidR="00DD5A8E">
        <w:rPr>
          <w:sz w:val="22"/>
          <w:szCs w:val="22"/>
        </w:rPr>
        <w:t>s except where the Safe Connections Act</w:t>
      </w:r>
      <w:r w:rsidRPr="001C2D09" w:rsidR="002628E0">
        <w:rPr>
          <w:sz w:val="22"/>
          <w:szCs w:val="22"/>
        </w:rPr>
        <w:t xml:space="preserve"> </w:t>
      </w:r>
      <w:r w:rsidRPr="001C2D09" w:rsidR="00DD5A8E">
        <w:rPr>
          <w:sz w:val="22"/>
          <w:szCs w:val="22"/>
        </w:rPr>
        <w:t>requires alternate procedures to be used, as discussed</w:t>
      </w:r>
      <w:r w:rsidRPr="001C2D09" w:rsidR="002628E0">
        <w:rPr>
          <w:sz w:val="22"/>
          <w:szCs w:val="22"/>
        </w:rPr>
        <w:t xml:space="preserve"> </w:t>
      </w:r>
      <w:r w:rsidRPr="001C2D09" w:rsidR="006A078E">
        <w:rPr>
          <w:sz w:val="22"/>
          <w:szCs w:val="22"/>
        </w:rPr>
        <w:t>below</w:t>
      </w:r>
      <w:r w:rsidRPr="001C2D09" w:rsidR="00DD5A8E">
        <w:rPr>
          <w:sz w:val="22"/>
          <w:szCs w:val="22"/>
        </w:rPr>
        <w:t xml:space="preserve">. </w:t>
      </w:r>
      <w:r w:rsidRPr="001C2D09" w:rsidR="0081113F">
        <w:rPr>
          <w:sz w:val="22"/>
          <w:szCs w:val="22"/>
        </w:rPr>
        <w:t xml:space="preserve"> </w:t>
      </w:r>
      <w:r w:rsidRPr="001C2D09" w:rsidR="00CD75B5">
        <w:rPr>
          <w:sz w:val="22"/>
          <w:szCs w:val="22"/>
        </w:rPr>
        <w:t>T</w:t>
      </w:r>
      <w:r w:rsidRPr="001C2D09" w:rsidR="00513EDC">
        <w:rPr>
          <w:sz w:val="22"/>
          <w:szCs w:val="22"/>
        </w:rPr>
        <w:t xml:space="preserve">he </w:t>
      </w:r>
      <w:r w:rsidRPr="23213A90" w:rsidR="007C2DC8">
        <w:rPr>
          <w:i/>
          <w:iCs/>
          <w:sz w:val="22"/>
          <w:szCs w:val="22"/>
        </w:rPr>
        <w:t xml:space="preserve">SIM Swap and Port-Out Fraud </w:t>
      </w:r>
      <w:r w:rsidRPr="23213A90" w:rsidR="00513EDC">
        <w:rPr>
          <w:i/>
          <w:iCs/>
          <w:sz w:val="22"/>
          <w:szCs w:val="22"/>
        </w:rPr>
        <w:t>Order</w:t>
      </w:r>
      <w:r w:rsidRPr="001C2D09" w:rsidR="00513EDC">
        <w:rPr>
          <w:sz w:val="22"/>
          <w:szCs w:val="22"/>
        </w:rPr>
        <w:t xml:space="preserve"> </w:t>
      </w:r>
      <w:r w:rsidRPr="001C2D09" w:rsidR="00610B6C">
        <w:rPr>
          <w:sz w:val="22"/>
          <w:szCs w:val="22"/>
        </w:rPr>
        <w:t>modifies the</w:t>
      </w:r>
      <w:r w:rsidRPr="001C2D09" w:rsidR="00CF2F91">
        <w:rPr>
          <w:sz w:val="22"/>
          <w:szCs w:val="22"/>
        </w:rPr>
        <w:t xml:space="preserve"> </w:t>
      </w:r>
      <w:r w:rsidRPr="001C2D09" w:rsidR="00C5446E">
        <w:rPr>
          <w:sz w:val="22"/>
          <w:szCs w:val="22"/>
        </w:rPr>
        <w:t xml:space="preserve">existing </w:t>
      </w:r>
      <w:r w:rsidRPr="001C2D09" w:rsidR="00A82B5D">
        <w:rPr>
          <w:sz w:val="22"/>
          <w:szCs w:val="22"/>
        </w:rPr>
        <w:t xml:space="preserve">CPNI </w:t>
      </w:r>
      <w:r w:rsidRPr="001C2D09" w:rsidR="00CF2F91">
        <w:rPr>
          <w:sz w:val="22"/>
          <w:szCs w:val="22"/>
        </w:rPr>
        <w:t>collection requirements</w:t>
      </w:r>
      <w:r w:rsidRPr="001C2D09" w:rsidR="00523482">
        <w:rPr>
          <w:sz w:val="22"/>
          <w:szCs w:val="22"/>
        </w:rPr>
        <w:t xml:space="preserve"> to require wireless providers to</w:t>
      </w:r>
      <w:r w:rsidRPr="001C2D09" w:rsidR="00600BD6">
        <w:rPr>
          <w:sz w:val="22"/>
          <w:szCs w:val="22"/>
        </w:rPr>
        <w:t xml:space="preserve">: </w:t>
      </w:r>
      <w:r w:rsidRPr="001C2D09" w:rsidR="00A63BD8">
        <w:rPr>
          <w:sz w:val="22"/>
          <w:szCs w:val="22"/>
        </w:rPr>
        <w:t>(</w:t>
      </w:r>
      <w:r w:rsidRPr="001C2D09" w:rsidR="00E37363">
        <w:rPr>
          <w:sz w:val="22"/>
          <w:szCs w:val="22"/>
        </w:rPr>
        <w:t>1</w:t>
      </w:r>
      <w:r w:rsidRPr="001C2D09" w:rsidR="00456BD2">
        <w:rPr>
          <w:sz w:val="22"/>
          <w:szCs w:val="22"/>
        </w:rPr>
        <w:t xml:space="preserve">) </w:t>
      </w:r>
      <w:r w:rsidRPr="001C2D09" w:rsidR="00474A83">
        <w:rPr>
          <w:sz w:val="22"/>
          <w:szCs w:val="22"/>
        </w:rPr>
        <w:t>immediately notify customers of any requests for a SIM chang</w:t>
      </w:r>
      <w:r w:rsidRPr="001C2D09" w:rsidR="00A8021F">
        <w:rPr>
          <w:sz w:val="22"/>
          <w:szCs w:val="22"/>
        </w:rPr>
        <w:t xml:space="preserve">e associated with the customer’s account before the SIM change is completed; </w:t>
      </w:r>
      <w:r w:rsidRPr="001C2D09">
        <w:rPr>
          <w:sz w:val="22"/>
          <w:szCs w:val="22"/>
        </w:rPr>
        <w:t>(</w:t>
      </w:r>
      <w:r w:rsidRPr="23213A90" w:rsidR="000822DA">
        <w:rPr>
          <w:sz w:val="22"/>
          <w:szCs w:val="22"/>
        </w:rPr>
        <w:t>2</w:t>
      </w:r>
      <w:r w:rsidRPr="001C2D09">
        <w:rPr>
          <w:sz w:val="22"/>
          <w:szCs w:val="22"/>
        </w:rPr>
        <w:t xml:space="preserve">) provide customers with </w:t>
      </w:r>
      <w:r w:rsidRPr="001C2D09" w:rsidR="005667A4">
        <w:rPr>
          <w:sz w:val="22"/>
          <w:szCs w:val="22"/>
        </w:rPr>
        <w:t xml:space="preserve">advance </w:t>
      </w:r>
      <w:r w:rsidRPr="001C2D09">
        <w:rPr>
          <w:sz w:val="22"/>
          <w:szCs w:val="22"/>
        </w:rPr>
        <w:t>notice of any account protection measures</w:t>
      </w:r>
      <w:r w:rsidRPr="001C2D09" w:rsidR="003D6CB4">
        <w:rPr>
          <w:sz w:val="22"/>
          <w:szCs w:val="22"/>
        </w:rPr>
        <w:t xml:space="preserve"> offered</w:t>
      </w:r>
      <w:r w:rsidRPr="001C2D09">
        <w:rPr>
          <w:sz w:val="22"/>
          <w:szCs w:val="22"/>
        </w:rPr>
        <w:t xml:space="preserve">; </w:t>
      </w:r>
      <w:r w:rsidRPr="001C2D09" w:rsidR="009A017F">
        <w:rPr>
          <w:sz w:val="22"/>
          <w:szCs w:val="22"/>
        </w:rPr>
        <w:t>(</w:t>
      </w:r>
      <w:r w:rsidRPr="23213A90" w:rsidR="00290451">
        <w:rPr>
          <w:sz w:val="22"/>
          <w:szCs w:val="22"/>
        </w:rPr>
        <w:t>3</w:t>
      </w:r>
      <w:r w:rsidRPr="001C2D09" w:rsidR="009A017F">
        <w:rPr>
          <w:sz w:val="22"/>
          <w:szCs w:val="22"/>
        </w:rPr>
        <w:t>)</w:t>
      </w:r>
      <w:r w:rsidRPr="001C2D09" w:rsidR="00472497">
        <w:rPr>
          <w:sz w:val="22"/>
          <w:szCs w:val="22"/>
        </w:rPr>
        <w:t xml:space="preserve"> </w:t>
      </w:r>
      <w:r w:rsidRPr="23213A90" w:rsidR="00290451">
        <w:rPr>
          <w:sz w:val="22"/>
          <w:szCs w:val="22"/>
        </w:rPr>
        <w:t xml:space="preserve">clearly disclose </w:t>
      </w:r>
      <w:r w:rsidRPr="001C2D09" w:rsidR="003D6CB4">
        <w:rPr>
          <w:sz w:val="22"/>
          <w:szCs w:val="22"/>
        </w:rPr>
        <w:t>a clear process for customer</w:t>
      </w:r>
      <w:r w:rsidRPr="001C2D09" w:rsidR="00681942">
        <w:rPr>
          <w:sz w:val="22"/>
          <w:szCs w:val="22"/>
        </w:rPr>
        <w:t>s</w:t>
      </w:r>
      <w:r w:rsidRPr="001C2D09" w:rsidR="003D6CB4">
        <w:rPr>
          <w:sz w:val="22"/>
          <w:szCs w:val="22"/>
        </w:rPr>
        <w:t xml:space="preserve"> to report </w:t>
      </w:r>
      <w:r w:rsidRPr="001C2D09" w:rsidR="00791E8E">
        <w:rPr>
          <w:sz w:val="22"/>
          <w:szCs w:val="22"/>
        </w:rPr>
        <w:t xml:space="preserve">SIM </w:t>
      </w:r>
      <w:r w:rsidRPr="001C2D09" w:rsidR="003D6CB4">
        <w:rPr>
          <w:sz w:val="22"/>
          <w:szCs w:val="22"/>
        </w:rPr>
        <w:t xml:space="preserve">fraud, </w:t>
      </w:r>
      <w:r w:rsidRPr="001C2D09" w:rsidR="003E2762">
        <w:rPr>
          <w:sz w:val="22"/>
          <w:szCs w:val="22"/>
        </w:rPr>
        <w:t>and promptly provide customers with documentation of fraud involving their accounts</w:t>
      </w:r>
      <w:r w:rsidRPr="001C2D09" w:rsidR="00062BF5">
        <w:rPr>
          <w:sz w:val="22"/>
          <w:szCs w:val="22"/>
        </w:rPr>
        <w:t>; and</w:t>
      </w:r>
      <w:r w:rsidRPr="001C2D09" w:rsidR="00B70956">
        <w:rPr>
          <w:sz w:val="22"/>
          <w:szCs w:val="22"/>
        </w:rPr>
        <w:t xml:space="preserve"> </w:t>
      </w:r>
      <w:r w:rsidRPr="001C2D09" w:rsidR="00F96B20">
        <w:rPr>
          <w:sz w:val="22"/>
          <w:szCs w:val="22"/>
        </w:rPr>
        <w:t>(</w:t>
      </w:r>
      <w:r w:rsidRPr="23213A90" w:rsidR="00290451">
        <w:rPr>
          <w:sz w:val="22"/>
          <w:szCs w:val="22"/>
        </w:rPr>
        <w:t>4</w:t>
      </w:r>
      <w:r w:rsidRPr="001C2D09" w:rsidR="00F96B20">
        <w:rPr>
          <w:sz w:val="22"/>
          <w:szCs w:val="22"/>
        </w:rPr>
        <w:t xml:space="preserve">) </w:t>
      </w:r>
      <w:r w:rsidRPr="001C2D09" w:rsidR="00472497">
        <w:rPr>
          <w:sz w:val="22"/>
          <w:szCs w:val="22"/>
        </w:rPr>
        <w:t xml:space="preserve">track and maintain for three years </w:t>
      </w:r>
      <w:r w:rsidRPr="001C2D09" w:rsidR="00EF0C88">
        <w:rPr>
          <w:sz w:val="22"/>
          <w:szCs w:val="22"/>
        </w:rPr>
        <w:t xml:space="preserve">a </w:t>
      </w:r>
      <w:r w:rsidRPr="001C2D09" w:rsidR="001F0F50">
        <w:rPr>
          <w:sz w:val="22"/>
          <w:szCs w:val="22"/>
        </w:rPr>
        <w:t xml:space="preserve">record of </w:t>
      </w:r>
      <w:r w:rsidRPr="001C2D09" w:rsidR="00472497">
        <w:rPr>
          <w:sz w:val="22"/>
          <w:szCs w:val="22"/>
        </w:rPr>
        <w:t xml:space="preserve">SIM change </w:t>
      </w:r>
      <w:r w:rsidRPr="001C2D09" w:rsidR="00A97770">
        <w:rPr>
          <w:sz w:val="22"/>
          <w:szCs w:val="22"/>
        </w:rPr>
        <w:t xml:space="preserve">requests </w:t>
      </w:r>
      <w:r w:rsidRPr="001C2D09" w:rsidR="00472497">
        <w:rPr>
          <w:sz w:val="22"/>
          <w:szCs w:val="22"/>
        </w:rPr>
        <w:t>and</w:t>
      </w:r>
      <w:r w:rsidRPr="001C2D09" w:rsidR="00F602F0">
        <w:rPr>
          <w:sz w:val="22"/>
          <w:szCs w:val="22"/>
        </w:rPr>
        <w:t xml:space="preserve"> authentication measures</w:t>
      </w:r>
      <w:r w:rsidRPr="001C2D09" w:rsidR="00B358D1">
        <w:rPr>
          <w:sz w:val="22"/>
          <w:szCs w:val="22"/>
        </w:rPr>
        <w:t xml:space="preserve"> used</w:t>
      </w:r>
      <w:r w:rsidRPr="001C2D09" w:rsidR="00F96B20">
        <w:rPr>
          <w:sz w:val="22"/>
          <w:szCs w:val="22"/>
        </w:rPr>
        <w:t>.</w:t>
      </w:r>
      <w:r w:rsidRPr="001C2D09" w:rsidR="00F602F0">
        <w:rPr>
          <w:sz w:val="22"/>
          <w:szCs w:val="22"/>
        </w:rPr>
        <w:t xml:space="preserve"> </w:t>
      </w:r>
    </w:p>
    <w:p w:rsidR="00BA3C18" w:rsidRPr="001C2D09" w:rsidP="5D3F303B" w14:paraId="77DA080D" w14:textId="1E9C9F84">
      <w:pPr>
        <w:spacing w:after="240"/>
        <w:rPr>
          <w:sz w:val="22"/>
          <w:szCs w:val="22"/>
        </w:rPr>
      </w:pPr>
      <w:r w:rsidRPr="522AA3A9">
        <w:rPr>
          <w:i/>
          <w:iCs/>
          <w:sz w:val="22"/>
          <w:szCs w:val="22"/>
        </w:rPr>
        <w:t xml:space="preserve">Data Breach </w:t>
      </w:r>
      <w:r w:rsidRPr="522AA3A9" w:rsidR="00544122">
        <w:rPr>
          <w:i/>
          <w:iCs/>
          <w:sz w:val="22"/>
          <w:szCs w:val="22"/>
        </w:rPr>
        <w:t xml:space="preserve">Reporting Requirements </w:t>
      </w:r>
      <w:r w:rsidRPr="522AA3A9">
        <w:rPr>
          <w:i/>
          <w:iCs/>
          <w:sz w:val="22"/>
          <w:szCs w:val="22"/>
        </w:rPr>
        <w:t xml:space="preserve">Order.  </w:t>
      </w:r>
      <w:r w:rsidRPr="522AA3A9" w:rsidR="008C7BE5">
        <w:rPr>
          <w:sz w:val="22"/>
          <w:szCs w:val="22"/>
        </w:rPr>
        <w:t>On December 21, 2023, the Commi</w:t>
      </w:r>
      <w:r w:rsidRPr="522AA3A9" w:rsidR="00661B63">
        <w:rPr>
          <w:sz w:val="22"/>
          <w:szCs w:val="22"/>
        </w:rPr>
        <w:t xml:space="preserve">ssion </w:t>
      </w:r>
      <w:r w:rsidRPr="522AA3A9" w:rsidR="00750280">
        <w:rPr>
          <w:sz w:val="22"/>
          <w:szCs w:val="22"/>
        </w:rPr>
        <w:t>released</w:t>
      </w:r>
      <w:r w:rsidRPr="522AA3A9" w:rsidR="00661B63">
        <w:rPr>
          <w:sz w:val="22"/>
          <w:szCs w:val="22"/>
        </w:rPr>
        <w:t xml:space="preserve"> </w:t>
      </w:r>
      <w:r w:rsidRPr="522AA3A9" w:rsidR="009102FD">
        <w:rPr>
          <w:sz w:val="22"/>
          <w:szCs w:val="22"/>
        </w:rPr>
        <w:t xml:space="preserve">the </w:t>
      </w:r>
      <w:r w:rsidRPr="522AA3A9" w:rsidR="009102FD">
        <w:rPr>
          <w:i/>
          <w:iCs/>
          <w:sz w:val="22"/>
          <w:szCs w:val="22"/>
        </w:rPr>
        <w:t>Data Breach Reporting Requirements Order</w:t>
      </w:r>
      <w:r w:rsidRPr="522AA3A9" w:rsidR="00D45AD6">
        <w:rPr>
          <w:sz w:val="22"/>
          <w:szCs w:val="22"/>
        </w:rPr>
        <w:t xml:space="preserve">, which </w:t>
      </w:r>
      <w:r w:rsidRPr="522AA3A9" w:rsidR="0C166ABB">
        <w:rPr>
          <w:sz w:val="22"/>
          <w:szCs w:val="22"/>
        </w:rPr>
        <w:t xml:space="preserve">modifies </w:t>
      </w:r>
      <w:r w:rsidRPr="522AA3A9" w:rsidR="0330D331">
        <w:rPr>
          <w:sz w:val="22"/>
          <w:szCs w:val="22"/>
        </w:rPr>
        <w:t xml:space="preserve">information collection requirements </w:t>
      </w:r>
      <w:r w:rsidRPr="522AA3A9" w:rsidR="311F592B">
        <w:rPr>
          <w:sz w:val="22"/>
          <w:szCs w:val="22"/>
        </w:rPr>
        <w:t>in</w:t>
      </w:r>
      <w:r w:rsidRPr="522AA3A9" w:rsidR="0330D331">
        <w:rPr>
          <w:sz w:val="22"/>
          <w:szCs w:val="22"/>
        </w:rPr>
        <w:t xml:space="preserve"> paragraph</w:t>
      </w:r>
      <w:r w:rsidRPr="522AA3A9" w:rsidR="0C166ABB">
        <w:rPr>
          <w:sz w:val="22"/>
          <w:szCs w:val="22"/>
        </w:rPr>
        <w:t>s</w:t>
      </w:r>
      <w:r w:rsidRPr="522AA3A9" w:rsidR="0330D331">
        <w:rPr>
          <w:sz w:val="22"/>
          <w:szCs w:val="22"/>
        </w:rPr>
        <w:t xml:space="preserve"> </w:t>
      </w:r>
      <w:r w:rsidRPr="522AA3A9" w:rsidR="43E4F6CA">
        <w:rPr>
          <w:sz w:val="22"/>
          <w:szCs w:val="22"/>
        </w:rPr>
        <w:t>(</w:t>
      </w:r>
      <w:r w:rsidR="00D14016">
        <w:rPr>
          <w:sz w:val="22"/>
          <w:szCs w:val="22"/>
        </w:rPr>
        <w:t>s</w:t>
      </w:r>
      <w:r w:rsidRPr="522AA3A9" w:rsidR="43E4F6CA">
        <w:rPr>
          <w:sz w:val="22"/>
          <w:szCs w:val="22"/>
        </w:rPr>
        <w:t>)</w:t>
      </w:r>
      <w:r w:rsidRPr="522AA3A9" w:rsidR="6AAD0752">
        <w:rPr>
          <w:sz w:val="22"/>
          <w:szCs w:val="22"/>
        </w:rPr>
        <w:t xml:space="preserve"> </w:t>
      </w:r>
      <w:r w:rsidRPr="522AA3A9" w:rsidR="0C166ABB">
        <w:rPr>
          <w:sz w:val="22"/>
          <w:szCs w:val="22"/>
        </w:rPr>
        <w:t xml:space="preserve">and </w:t>
      </w:r>
      <w:r w:rsidRPr="522AA3A9" w:rsidR="27BDB906">
        <w:rPr>
          <w:sz w:val="22"/>
          <w:szCs w:val="22"/>
        </w:rPr>
        <w:t>(</w:t>
      </w:r>
      <w:r w:rsidR="00D14016">
        <w:rPr>
          <w:sz w:val="22"/>
          <w:szCs w:val="22"/>
        </w:rPr>
        <w:t>t</w:t>
      </w:r>
      <w:r w:rsidRPr="522AA3A9" w:rsidR="27BDB906">
        <w:rPr>
          <w:sz w:val="22"/>
          <w:szCs w:val="22"/>
        </w:rPr>
        <w:t>)</w:t>
      </w:r>
      <w:r w:rsidRPr="522AA3A9" w:rsidR="0C166ABB">
        <w:rPr>
          <w:sz w:val="22"/>
          <w:szCs w:val="22"/>
        </w:rPr>
        <w:t xml:space="preserve"> </w:t>
      </w:r>
      <w:r w:rsidRPr="522AA3A9" w:rsidR="6AAD0752">
        <w:rPr>
          <w:sz w:val="22"/>
          <w:szCs w:val="22"/>
        </w:rPr>
        <w:t xml:space="preserve">of this supporting statement.  </w:t>
      </w:r>
      <w:r w:rsidRPr="522AA3A9" w:rsidR="003225B3">
        <w:rPr>
          <w:sz w:val="22"/>
          <w:szCs w:val="22"/>
        </w:rPr>
        <w:t xml:space="preserve">In addition to changes to the </w:t>
      </w:r>
      <w:r w:rsidRPr="522AA3A9" w:rsidR="00E90EBF">
        <w:rPr>
          <w:sz w:val="22"/>
          <w:szCs w:val="22"/>
        </w:rPr>
        <w:t xml:space="preserve">scope of </w:t>
      </w:r>
      <w:r w:rsidRPr="522AA3A9" w:rsidR="003A1DF0">
        <w:rPr>
          <w:sz w:val="22"/>
          <w:szCs w:val="22"/>
        </w:rPr>
        <w:t xml:space="preserve">customer </w:t>
      </w:r>
      <w:r w:rsidRPr="522AA3A9" w:rsidR="00E90EBF">
        <w:rPr>
          <w:sz w:val="22"/>
          <w:szCs w:val="22"/>
        </w:rPr>
        <w:t>data</w:t>
      </w:r>
      <w:r w:rsidRPr="522AA3A9" w:rsidR="00972AFF">
        <w:rPr>
          <w:sz w:val="22"/>
          <w:szCs w:val="22"/>
        </w:rPr>
        <w:t xml:space="preserve"> and reportable breaches</w:t>
      </w:r>
      <w:r w:rsidRPr="522AA3A9" w:rsidR="003A1DF0">
        <w:rPr>
          <w:sz w:val="22"/>
          <w:szCs w:val="22"/>
        </w:rPr>
        <w:t xml:space="preserve"> covered by the Commission’s rules</w:t>
      </w:r>
      <w:r w:rsidRPr="522AA3A9" w:rsidR="00972AFF">
        <w:rPr>
          <w:sz w:val="22"/>
          <w:szCs w:val="22"/>
        </w:rPr>
        <w:t>, t</w:t>
      </w:r>
      <w:r w:rsidRPr="522AA3A9" w:rsidR="2286151C">
        <w:rPr>
          <w:sz w:val="22"/>
          <w:szCs w:val="22"/>
        </w:rPr>
        <w:t xml:space="preserve">he </w:t>
      </w:r>
      <w:r w:rsidRPr="522AA3A9" w:rsidR="43E4F6CA">
        <w:rPr>
          <w:i/>
          <w:iCs/>
          <w:sz w:val="22"/>
          <w:szCs w:val="22"/>
        </w:rPr>
        <w:t xml:space="preserve">Data Breach </w:t>
      </w:r>
      <w:r w:rsidRPr="522AA3A9" w:rsidR="2286151C">
        <w:rPr>
          <w:i/>
          <w:iCs/>
          <w:sz w:val="22"/>
          <w:szCs w:val="22"/>
        </w:rPr>
        <w:t>Report and Order</w:t>
      </w:r>
      <w:r w:rsidRPr="522AA3A9" w:rsidR="2286151C">
        <w:rPr>
          <w:sz w:val="22"/>
          <w:szCs w:val="22"/>
        </w:rPr>
        <w:t xml:space="preserve"> </w:t>
      </w:r>
      <w:r w:rsidRPr="522AA3A9" w:rsidR="0B66B608">
        <w:rPr>
          <w:sz w:val="22"/>
          <w:szCs w:val="22"/>
        </w:rPr>
        <w:t>modif</w:t>
      </w:r>
      <w:r w:rsidRPr="522AA3A9" w:rsidR="2286151C">
        <w:rPr>
          <w:sz w:val="22"/>
          <w:szCs w:val="22"/>
        </w:rPr>
        <w:t>ies the Commission’s</w:t>
      </w:r>
      <w:r w:rsidRPr="522AA3A9" w:rsidR="0B66B608">
        <w:rPr>
          <w:sz w:val="22"/>
          <w:szCs w:val="22"/>
        </w:rPr>
        <w:t xml:space="preserve"> data breach notification rule</w:t>
      </w:r>
      <w:r w:rsidRPr="522AA3A9" w:rsidR="76148C62">
        <w:rPr>
          <w:sz w:val="22"/>
          <w:szCs w:val="22"/>
        </w:rPr>
        <w:t xml:space="preserve">s to </w:t>
      </w:r>
      <w:r w:rsidRPr="522AA3A9" w:rsidR="7F7B0BB4">
        <w:rPr>
          <w:sz w:val="22"/>
          <w:szCs w:val="22"/>
        </w:rPr>
        <w:t>require</w:t>
      </w:r>
      <w:r w:rsidRPr="522AA3A9" w:rsidR="058251CD">
        <w:rPr>
          <w:sz w:val="22"/>
          <w:szCs w:val="22"/>
        </w:rPr>
        <w:t xml:space="preserve"> covered service providers to </w:t>
      </w:r>
      <w:r w:rsidRPr="522AA3A9" w:rsidR="4C140586">
        <w:rPr>
          <w:sz w:val="22"/>
          <w:szCs w:val="22"/>
        </w:rPr>
        <w:t xml:space="preserve">electronically </w:t>
      </w:r>
      <w:r w:rsidRPr="522AA3A9" w:rsidR="058251CD">
        <w:rPr>
          <w:sz w:val="22"/>
          <w:szCs w:val="22"/>
        </w:rPr>
        <w:t>notify the FCC</w:t>
      </w:r>
      <w:r w:rsidRPr="522AA3A9" w:rsidR="0593B45B">
        <w:rPr>
          <w:sz w:val="22"/>
          <w:szCs w:val="22"/>
        </w:rPr>
        <w:t xml:space="preserve"> </w:t>
      </w:r>
      <w:r w:rsidRPr="522AA3A9" w:rsidR="43CC2E7B">
        <w:rPr>
          <w:sz w:val="22"/>
          <w:szCs w:val="22"/>
        </w:rPr>
        <w:t xml:space="preserve">of a reportable data breach </w:t>
      </w:r>
      <w:r w:rsidRPr="522AA3A9" w:rsidR="26CC6F28">
        <w:rPr>
          <w:sz w:val="22"/>
          <w:szCs w:val="22"/>
        </w:rPr>
        <w:t xml:space="preserve">through a </w:t>
      </w:r>
      <w:r w:rsidRPr="522AA3A9" w:rsidR="43B9BA14">
        <w:rPr>
          <w:sz w:val="22"/>
          <w:szCs w:val="22"/>
        </w:rPr>
        <w:t xml:space="preserve">link to a </w:t>
      </w:r>
      <w:r w:rsidRPr="522AA3A9" w:rsidR="26CC6F28">
        <w:rPr>
          <w:sz w:val="22"/>
          <w:szCs w:val="22"/>
        </w:rPr>
        <w:t>central reporting facility</w:t>
      </w:r>
      <w:r w:rsidRPr="522AA3A9" w:rsidR="3310C08D">
        <w:rPr>
          <w:sz w:val="22"/>
          <w:szCs w:val="22"/>
        </w:rPr>
        <w:t>,</w:t>
      </w:r>
      <w:r w:rsidRPr="522AA3A9" w:rsidR="058251CD">
        <w:rPr>
          <w:sz w:val="22"/>
          <w:szCs w:val="22"/>
        </w:rPr>
        <w:t xml:space="preserve"> </w:t>
      </w:r>
      <w:r w:rsidRPr="522AA3A9" w:rsidR="4137DE27">
        <w:rPr>
          <w:sz w:val="22"/>
          <w:szCs w:val="22"/>
        </w:rPr>
        <w:t xml:space="preserve">contemporaneously </w:t>
      </w:r>
      <w:r w:rsidRPr="522AA3A9" w:rsidR="2B10BB36">
        <w:rPr>
          <w:sz w:val="22"/>
          <w:szCs w:val="22"/>
        </w:rPr>
        <w:t xml:space="preserve">with </w:t>
      </w:r>
      <w:r w:rsidRPr="522AA3A9" w:rsidR="1887648C">
        <w:rPr>
          <w:sz w:val="22"/>
          <w:szCs w:val="22"/>
        </w:rPr>
        <w:t>the</w:t>
      </w:r>
      <w:r w:rsidRPr="522AA3A9" w:rsidR="4A2FEFFC">
        <w:rPr>
          <w:sz w:val="22"/>
          <w:szCs w:val="22"/>
        </w:rPr>
        <w:t xml:space="preserve"> </w:t>
      </w:r>
      <w:r w:rsidRPr="522AA3A9" w:rsidR="1B439B37">
        <w:rPr>
          <w:sz w:val="22"/>
          <w:szCs w:val="22"/>
        </w:rPr>
        <w:t xml:space="preserve">existing </w:t>
      </w:r>
      <w:r w:rsidRPr="522AA3A9" w:rsidR="15D7B1C0">
        <w:rPr>
          <w:sz w:val="22"/>
          <w:szCs w:val="22"/>
        </w:rPr>
        <w:t xml:space="preserve">obligation to notify the </w:t>
      </w:r>
      <w:r w:rsidRPr="522AA3A9" w:rsidR="33FAE2A5">
        <w:rPr>
          <w:sz w:val="22"/>
          <w:szCs w:val="22"/>
        </w:rPr>
        <w:t>United States Secret Service Bureau (</w:t>
      </w:r>
      <w:r w:rsidRPr="522AA3A9" w:rsidR="058251CD">
        <w:rPr>
          <w:sz w:val="22"/>
          <w:szCs w:val="22"/>
        </w:rPr>
        <w:t>Secret Service</w:t>
      </w:r>
      <w:r w:rsidRPr="522AA3A9" w:rsidR="33FAE2A5">
        <w:rPr>
          <w:sz w:val="22"/>
          <w:szCs w:val="22"/>
        </w:rPr>
        <w:t>)</w:t>
      </w:r>
      <w:r w:rsidRPr="522AA3A9" w:rsidR="058251CD">
        <w:rPr>
          <w:sz w:val="22"/>
          <w:szCs w:val="22"/>
        </w:rPr>
        <w:t xml:space="preserve"> and </w:t>
      </w:r>
      <w:r w:rsidRPr="522AA3A9" w:rsidR="0A4D3DCD">
        <w:rPr>
          <w:sz w:val="22"/>
          <w:szCs w:val="22"/>
        </w:rPr>
        <w:t xml:space="preserve">the </w:t>
      </w:r>
      <w:r w:rsidRPr="522AA3A9" w:rsidR="678A2C9F">
        <w:rPr>
          <w:sz w:val="22"/>
          <w:szCs w:val="22"/>
        </w:rPr>
        <w:t>Federal Bureau of Investigation (</w:t>
      </w:r>
      <w:r w:rsidRPr="522AA3A9" w:rsidR="058251CD">
        <w:rPr>
          <w:sz w:val="22"/>
          <w:szCs w:val="22"/>
        </w:rPr>
        <w:t>FBI</w:t>
      </w:r>
      <w:r w:rsidRPr="522AA3A9" w:rsidR="678A2C9F">
        <w:rPr>
          <w:sz w:val="22"/>
          <w:szCs w:val="22"/>
        </w:rPr>
        <w:t>)</w:t>
      </w:r>
      <w:r w:rsidRPr="522AA3A9" w:rsidR="7BFB6868">
        <w:rPr>
          <w:sz w:val="22"/>
          <w:szCs w:val="22"/>
        </w:rPr>
        <w:t>,</w:t>
      </w:r>
      <w:r w:rsidRPr="522AA3A9" w:rsidR="7360152F">
        <w:rPr>
          <w:sz w:val="22"/>
          <w:szCs w:val="22"/>
        </w:rPr>
        <w:t xml:space="preserve"> </w:t>
      </w:r>
      <w:r w:rsidRPr="522AA3A9" w:rsidR="657DA46E">
        <w:rPr>
          <w:sz w:val="22"/>
          <w:szCs w:val="22"/>
        </w:rPr>
        <w:t>and adopt</w:t>
      </w:r>
      <w:r w:rsidRPr="522AA3A9" w:rsidR="220F491A">
        <w:rPr>
          <w:sz w:val="22"/>
          <w:szCs w:val="22"/>
        </w:rPr>
        <w:t>s</w:t>
      </w:r>
      <w:r w:rsidRPr="522AA3A9" w:rsidR="657DA46E">
        <w:rPr>
          <w:sz w:val="22"/>
          <w:szCs w:val="22"/>
        </w:rPr>
        <w:t xml:space="preserve"> equivalent requirements for </w:t>
      </w:r>
      <w:r w:rsidRPr="522AA3A9" w:rsidR="6B2F7EC6">
        <w:rPr>
          <w:sz w:val="22"/>
          <w:szCs w:val="22"/>
        </w:rPr>
        <w:t>telecommunications relay services (</w:t>
      </w:r>
      <w:r w:rsidRPr="522AA3A9" w:rsidR="657DA46E">
        <w:rPr>
          <w:sz w:val="22"/>
          <w:szCs w:val="22"/>
        </w:rPr>
        <w:t>TRS</w:t>
      </w:r>
      <w:r w:rsidRPr="522AA3A9" w:rsidR="6B2F7EC6">
        <w:rPr>
          <w:sz w:val="22"/>
          <w:szCs w:val="22"/>
        </w:rPr>
        <w:t>)</w:t>
      </w:r>
      <w:r w:rsidRPr="522AA3A9" w:rsidR="657DA46E">
        <w:rPr>
          <w:sz w:val="22"/>
          <w:szCs w:val="22"/>
        </w:rPr>
        <w:t xml:space="preserve"> providers.  </w:t>
      </w:r>
      <w:r w:rsidRPr="522AA3A9" w:rsidR="70330FD6">
        <w:rPr>
          <w:sz w:val="22"/>
          <w:szCs w:val="22"/>
        </w:rPr>
        <w:t>Covered service providers in</w:t>
      </w:r>
      <w:r w:rsidRPr="522AA3A9" w:rsidR="0DD1676E">
        <w:rPr>
          <w:sz w:val="22"/>
          <w:szCs w:val="22"/>
        </w:rPr>
        <w:t xml:space="preserve">clude providers of telecommunications, interconnected Voice over Internet Protocol (VoIP), and TRS. </w:t>
      </w:r>
      <w:r w:rsidRPr="522AA3A9" w:rsidR="277F3650">
        <w:rPr>
          <w:sz w:val="22"/>
          <w:szCs w:val="22"/>
        </w:rPr>
        <w:t xml:space="preserve"> </w:t>
      </w:r>
      <w:r w:rsidRPr="522AA3A9" w:rsidR="1C035CD6">
        <w:rPr>
          <w:sz w:val="22"/>
          <w:szCs w:val="22"/>
        </w:rPr>
        <w:t xml:space="preserve">All </w:t>
      </w:r>
      <w:r w:rsidRPr="522AA3A9" w:rsidR="6B2F7EC6">
        <w:rPr>
          <w:sz w:val="22"/>
          <w:szCs w:val="22"/>
        </w:rPr>
        <w:t>covered providers</w:t>
      </w:r>
      <w:r w:rsidRPr="522AA3A9" w:rsidR="1C035CD6">
        <w:rPr>
          <w:sz w:val="22"/>
          <w:szCs w:val="22"/>
        </w:rPr>
        <w:t xml:space="preserve"> </w:t>
      </w:r>
      <w:r w:rsidRPr="522AA3A9" w:rsidR="688D5DEB">
        <w:rPr>
          <w:sz w:val="22"/>
          <w:szCs w:val="22"/>
        </w:rPr>
        <w:t xml:space="preserve">are required to </w:t>
      </w:r>
      <w:r w:rsidRPr="522AA3A9" w:rsidR="1C035CD6">
        <w:rPr>
          <w:sz w:val="22"/>
          <w:szCs w:val="22"/>
        </w:rPr>
        <w:t>ma</w:t>
      </w:r>
      <w:r w:rsidRPr="522AA3A9" w:rsidR="647E7676">
        <w:rPr>
          <w:sz w:val="22"/>
          <w:szCs w:val="22"/>
        </w:rPr>
        <w:t>intain a record, electronically or in some other manner, of any breaches discove</w:t>
      </w:r>
      <w:r w:rsidRPr="522AA3A9" w:rsidR="789C1750">
        <w:rPr>
          <w:sz w:val="22"/>
          <w:szCs w:val="22"/>
        </w:rPr>
        <w:t xml:space="preserve">red, and notifications made.  </w:t>
      </w:r>
      <w:r w:rsidRPr="522AA3A9" w:rsidR="73BBD18B">
        <w:rPr>
          <w:sz w:val="22"/>
          <w:szCs w:val="22"/>
        </w:rPr>
        <w:t>Covered providers are also required to subm</w:t>
      </w:r>
      <w:r w:rsidRPr="522AA3A9" w:rsidR="14B4916B">
        <w:rPr>
          <w:sz w:val="22"/>
          <w:szCs w:val="22"/>
        </w:rPr>
        <w:t>it</w:t>
      </w:r>
      <w:r w:rsidRPr="522AA3A9" w:rsidR="6B2F7EC6">
        <w:rPr>
          <w:sz w:val="22"/>
          <w:szCs w:val="22"/>
        </w:rPr>
        <w:t>,</w:t>
      </w:r>
      <w:r w:rsidRPr="522AA3A9" w:rsidR="1DD217F8">
        <w:rPr>
          <w:sz w:val="22"/>
          <w:szCs w:val="22"/>
        </w:rPr>
        <w:t xml:space="preserve"> via the central reporting facility</w:t>
      </w:r>
      <w:r w:rsidRPr="522AA3A9" w:rsidR="6B2F7EC6">
        <w:rPr>
          <w:sz w:val="22"/>
          <w:szCs w:val="22"/>
        </w:rPr>
        <w:t>,</w:t>
      </w:r>
      <w:r w:rsidRPr="522AA3A9" w:rsidR="14B4916B">
        <w:rPr>
          <w:sz w:val="22"/>
          <w:szCs w:val="22"/>
        </w:rPr>
        <w:t xml:space="preserve"> an annual reporting of certain small breaches.  </w:t>
      </w:r>
      <w:r w:rsidRPr="522AA3A9" w:rsidR="17865CBB">
        <w:rPr>
          <w:i/>
          <w:iCs/>
          <w:sz w:val="22"/>
          <w:szCs w:val="22"/>
        </w:rPr>
        <w:t>See</w:t>
      </w:r>
      <w:r w:rsidRPr="522AA3A9" w:rsidR="17865CBB">
        <w:rPr>
          <w:sz w:val="22"/>
          <w:szCs w:val="22"/>
        </w:rPr>
        <w:t xml:space="preserve"> </w:t>
      </w:r>
      <w:r w:rsidRPr="522AA3A9" w:rsidR="1B2249E3">
        <w:rPr>
          <w:i/>
          <w:iCs/>
          <w:sz w:val="22"/>
          <w:szCs w:val="22"/>
        </w:rPr>
        <w:t>Data Breach Reporting Requirements Order</w:t>
      </w:r>
      <w:r w:rsidRPr="522AA3A9" w:rsidR="17865CBB">
        <w:rPr>
          <w:sz w:val="22"/>
          <w:szCs w:val="22"/>
        </w:rPr>
        <w:t>.</w:t>
      </w:r>
      <w:r w:rsidRPr="522AA3A9" w:rsidR="0FECEE4C">
        <w:rPr>
          <w:sz w:val="22"/>
          <w:szCs w:val="22"/>
        </w:rPr>
        <w:t xml:space="preserve">  </w:t>
      </w:r>
    </w:p>
    <w:p w:rsidR="00B5707C" w:rsidRPr="001C2D09" w:rsidP="7F2667BC" w14:paraId="51287707" w14:textId="2BBE9430">
      <w:pPr>
        <w:keepNext/>
        <w:rPr>
          <w:b/>
          <w:bCs/>
          <w:spacing w:val="-3"/>
          <w:sz w:val="22"/>
          <w:szCs w:val="22"/>
          <w:shd w:val="clear" w:color="auto" w:fill="FFFFFF"/>
        </w:rPr>
      </w:pPr>
      <w:r>
        <w:rPr>
          <w:b/>
          <w:bCs/>
          <w:sz w:val="22"/>
          <w:szCs w:val="22"/>
        </w:rPr>
        <w:t xml:space="preserve">Current </w:t>
      </w:r>
      <w:r>
        <w:rPr>
          <w:rStyle w:val="FootnoteReference"/>
          <w:b/>
          <w:bCs/>
          <w:sz w:val="22"/>
          <w:szCs w:val="22"/>
        </w:rPr>
        <w:footnoteReference w:id="7"/>
      </w:r>
      <w:r w:rsidRPr="7F2667BC" w:rsidR="00847A14">
        <w:rPr>
          <w:b/>
          <w:bCs/>
          <w:sz w:val="22"/>
          <w:szCs w:val="22"/>
        </w:rPr>
        <w:t xml:space="preserve"> </w:t>
      </w:r>
      <w:r w:rsidRPr="7F2667BC" w:rsidR="001D25CE">
        <w:rPr>
          <w:b/>
          <w:bCs/>
          <w:spacing w:val="-3"/>
          <w:sz w:val="22"/>
          <w:szCs w:val="22"/>
          <w:shd w:val="clear" w:color="auto" w:fill="FFFFFF"/>
        </w:rPr>
        <w:t xml:space="preserve">Information Collection Requirements </w:t>
      </w:r>
      <w:r w:rsidR="0050102F">
        <w:rPr>
          <w:b/>
          <w:bCs/>
          <w:spacing w:val="-3"/>
          <w:sz w:val="22"/>
          <w:szCs w:val="22"/>
          <w:shd w:val="clear" w:color="auto" w:fill="FFFFFF"/>
        </w:rPr>
        <w:t>which have already received OMB approval:</w:t>
      </w:r>
    </w:p>
    <w:p w:rsidR="00F831E5" w:rsidRPr="001C2D09" w:rsidP="0077092A" w14:paraId="50FE1D9C" w14:textId="77777777">
      <w:pPr>
        <w:keepNext/>
        <w:rPr>
          <w:iCs/>
          <w:spacing w:val="-3"/>
          <w:sz w:val="22"/>
          <w:szCs w:val="22"/>
          <w:shd w:val="clear" w:color="auto" w:fill="FFFFFF"/>
        </w:rPr>
      </w:pPr>
    </w:p>
    <w:p w:rsidR="002D55EF" w:rsidRPr="001C2D09" w:rsidP="0077092A" w14:paraId="18A9CF9F" w14:textId="5C2B46FE">
      <w:pPr>
        <w:keepNext/>
        <w:rPr>
          <w:b/>
          <w:bCs/>
          <w:i/>
          <w:spacing w:val="-3"/>
          <w:sz w:val="22"/>
          <w:szCs w:val="22"/>
          <w:u w:val="single"/>
          <w:shd w:val="clear" w:color="auto" w:fill="FFFFFF"/>
        </w:rPr>
      </w:pPr>
      <w:r w:rsidRPr="001C2D09">
        <w:rPr>
          <w:b/>
          <w:bCs/>
          <w:i/>
          <w:spacing w:val="-3"/>
          <w:sz w:val="22"/>
          <w:szCs w:val="22"/>
          <w:u w:val="single"/>
          <w:shd w:val="clear" w:color="auto" w:fill="FFFFFF"/>
        </w:rPr>
        <w:t>CPNI Information Collection Requirements</w:t>
      </w:r>
    </w:p>
    <w:p w:rsidR="00F46875" w:rsidRPr="001C2D09" w:rsidP="0077092A" w14:paraId="186B3803" w14:textId="77777777">
      <w:pPr>
        <w:keepNext/>
        <w:rPr>
          <w:spacing w:val="-3"/>
          <w:sz w:val="22"/>
          <w:szCs w:val="22"/>
          <w:shd w:val="clear" w:color="auto" w:fill="FFFFFF"/>
        </w:rPr>
      </w:pPr>
    </w:p>
    <w:p w:rsidR="00AB3418" w:rsidRPr="001C2D09" w:rsidP="0077092A" w14:paraId="02260FC1" w14:textId="5AC5CEFE">
      <w:pPr>
        <w:rPr>
          <w:spacing w:val="-3"/>
          <w:sz w:val="22"/>
          <w:szCs w:val="22"/>
          <w:shd w:val="clear" w:color="auto" w:fill="FFFFFF"/>
        </w:rPr>
      </w:pPr>
      <w:r w:rsidRPr="001C2D09">
        <w:rPr>
          <w:b/>
          <w:bCs/>
          <w:spacing w:val="-3"/>
          <w:sz w:val="22"/>
          <w:szCs w:val="22"/>
          <w:shd w:val="clear" w:color="auto" w:fill="FFFFFF"/>
        </w:rPr>
        <w:t>(</w:t>
      </w:r>
      <w:r w:rsidRPr="001C2D09" w:rsidR="00B11416">
        <w:rPr>
          <w:b/>
          <w:bCs/>
          <w:spacing w:val="-3"/>
          <w:sz w:val="22"/>
          <w:szCs w:val="22"/>
          <w:shd w:val="clear" w:color="auto" w:fill="FFFFFF"/>
        </w:rPr>
        <w:t>a</w:t>
      </w:r>
      <w:r w:rsidRPr="001C2D09">
        <w:rPr>
          <w:b/>
          <w:bCs/>
          <w:spacing w:val="-3"/>
          <w:sz w:val="22"/>
          <w:szCs w:val="22"/>
          <w:shd w:val="clear" w:color="auto" w:fill="FFFFFF"/>
        </w:rPr>
        <w:t>)</w:t>
      </w:r>
      <w:r w:rsidRPr="001C2D09" w:rsidR="004C3979">
        <w:rPr>
          <w:b/>
          <w:bCs/>
          <w:spacing w:val="-3"/>
          <w:sz w:val="22"/>
          <w:szCs w:val="22"/>
          <w:shd w:val="clear" w:color="auto" w:fill="FFFFFF"/>
        </w:rPr>
        <w:t xml:space="preserve"> </w:t>
      </w:r>
      <w:r w:rsidRPr="001C2D09">
        <w:rPr>
          <w:b/>
          <w:bCs/>
          <w:spacing w:val="-3"/>
          <w:sz w:val="22"/>
          <w:szCs w:val="22"/>
          <w:shd w:val="clear" w:color="auto" w:fill="FFFFFF"/>
        </w:rPr>
        <w:t xml:space="preserve">Customer Approval (47 USC </w:t>
      </w:r>
      <w:r w:rsidRPr="001C2D09" w:rsidR="0024517D">
        <w:rPr>
          <w:spacing w:val="-3"/>
          <w:sz w:val="22"/>
          <w:szCs w:val="22"/>
          <w:shd w:val="clear" w:color="auto" w:fill="FFFFFF"/>
        </w:rPr>
        <w:t>§ </w:t>
      </w:r>
      <w:r w:rsidRPr="001C2D09">
        <w:rPr>
          <w:b/>
          <w:bCs/>
          <w:spacing w:val="-3"/>
          <w:sz w:val="22"/>
          <w:szCs w:val="22"/>
          <w:shd w:val="clear" w:color="auto" w:fill="FFFFFF"/>
        </w:rPr>
        <w:t>222(c)(1)</w:t>
      </w:r>
      <w:r w:rsidRPr="001C2D09" w:rsidR="00B00907">
        <w:rPr>
          <w:b/>
          <w:bCs/>
          <w:spacing w:val="-3"/>
          <w:sz w:val="22"/>
          <w:szCs w:val="22"/>
          <w:shd w:val="clear" w:color="auto" w:fill="FFFFFF"/>
        </w:rPr>
        <w:t>)</w:t>
      </w:r>
      <w:r w:rsidRPr="001C2D09">
        <w:rPr>
          <w:b/>
          <w:bCs/>
          <w:spacing w:val="-3"/>
          <w:sz w:val="22"/>
          <w:szCs w:val="22"/>
          <w:shd w:val="clear" w:color="auto" w:fill="FFFFFF"/>
        </w:rPr>
        <w:t>:</w:t>
      </w:r>
      <w:r w:rsidRPr="001C2D09">
        <w:rPr>
          <w:spacing w:val="-3"/>
          <w:sz w:val="22"/>
          <w:szCs w:val="22"/>
          <w:shd w:val="clear" w:color="auto" w:fill="FFFFFF"/>
        </w:rPr>
        <w:t xml:space="preserve"> </w:t>
      </w:r>
      <w:r w:rsidRPr="001C2D09" w:rsidR="00B60E3F">
        <w:rPr>
          <w:spacing w:val="-3"/>
          <w:sz w:val="22"/>
          <w:szCs w:val="22"/>
          <w:shd w:val="clear" w:color="auto" w:fill="FFFFFF"/>
        </w:rPr>
        <w:t xml:space="preserve"> </w:t>
      </w:r>
      <w:r w:rsidRPr="001C2D09">
        <w:rPr>
          <w:spacing w:val="-3"/>
          <w:sz w:val="22"/>
          <w:szCs w:val="22"/>
          <w:shd w:val="clear" w:color="auto" w:fill="FFFFFF"/>
        </w:rPr>
        <w:t xml:space="preserve">If carriers </w:t>
      </w:r>
      <w:r w:rsidRPr="001C2D09" w:rsidR="00F619DF">
        <w:rPr>
          <w:spacing w:val="-3"/>
          <w:sz w:val="22"/>
          <w:szCs w:val="22"/>
          <w:shd w:val="clear" w:color="auto" w:fill="FFFFFF"/>
        </w:rPr>
        <w:t xml:space="preserve">or providers of interconnected VoIP service </w:t>
      </w:r>
      <w:r w:rsidRPr="001C2D09">
        <w:rPr>
          <w:spacing w:val="-3"/>
          <w:sz w:val="22"/>
          <w:szCs w:val="22"/>
          <w:shd w:val="clear" w:color="auto" w:fill="FFFFFF"/>
        </w:rPr>
        <w:t>choose to use CPNI to market service</w:t>
      </w:r>
      <w:r w:rsidRPr="001C2D09" w:rsidR="00672169">
        <w:rPr>
          <w:spacing w:val="-3"/>
          <w:sz w:val="22"/>
          <w:szCs w:val="22"/>
          <w:shd w:val="clear" w:color="auto" w:fill="FFFFFF"/>
        </w:rPr>
        <w:t xml:space="preserve"> offerings outside the customer’</w:t>
      </w:r>
      <w:r w:rsidRPr="001C2D09">
        <w:rPr>
          <w:spacing w:val="-3"/>
          <w:sz w:val="22"/>
          <w:szCs w:val="22"/>
          <w:shd w:val="clear" w:color="auto" w:fill="FFFFFF"/>
        </w:rPr>
        <w:t xml:space="preserve">s existing service, they must obtain customer approval.  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are permitted to obtain such approval through written, oral, or electronic means. </w:t>
      </w:r>
      <w:r w:rsidRPr="001C2D09" w:rsidR="0098414F">
        <w:rPr>
          <w:spacing w:val="-3"/>
          <w:sz w:val="22"/>
          <w:szCs w:val="22"/>
          <w:shd w:val="clear" w:color="auto" w:fill="FFFFFF"/>
        </w:rPr>
        <w:t xml:space="preserve"> </w:t>
      </w:r>
      <w:r w:rsidRPr="001C2D09">
        <w:rPr>
          <w:spacing w:val="-3"/>
          <w:sz w:val="22"/>
          <w:szCs w:val="22"/>
          <w:shd w:val="clear" w:color="auto" w:fill="FFFFFF"/>
        </w:rPr>
        <w:t xml:space="preserve">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are permitted to use advanced technologies of their networks, including 800 numbers, 888 numbers, and e-mail, to obtain customer approval, in addition to using various types of written approval, such as billing inserts</w:t>
      </w:r>
      <w:r w:rsidRPr="001C2D09" w:rsidR="007349C6">
        <w:rPr>
          <w:spacing w:val="-3"/>
          <w:sz w:val="22"/>
          <w:szCs w:val="22"/>
          <w:shd w:val="clear" w:color="auto" w:fill="FFFFFF"/>
        </w:rPr>
        <w:t>.</w:t>
      </w:r>
      <w:r w:rsidRPr="001C2D09" w:rsidR="00AF2E45">
        <w:rPr>
          <w:spacing w:val="-3"/>
          <w:sz w:val="22"/>
          <w:szCs w:val="22"/>
          <w:shd w:val="clear" w:color="auto" w:fill="FFFFFF"/>
        </w:rPr>
        <w:t xml:space="preserve">  </w:t>
      </w:r>
      <w:r w:rsidRPr="001C2D09">
        <w:rPr>
          <w:spacing w:val="-3"/>
          <w:sz w:val="22"/>
          <w:szCs w:val="22"/>
          <w:shd w:val="clear" w:color="auto" w:fill="FFFFFF"/>
        </w:rPr>
        <w:t xml:space="preserve">All 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are permitted to use CPNI to engage in win back marketing campaigns to target valued former customers that have switched to other carriers.  </w:t>
      </w:r>
      <w:r w:rsidRPr="001C2D09" w:rsidR="00DF76A0">
        <w:rPr>
          <w:spacing w:val="-3"/>
          <w:sz w:val="22"/>
          <w:szCs w:val="22"/>
          <w:shd w:val="clear" w:color="auto" w:fill="FFFFFF"/>
        </w:rPr>
        <w:t xml:space="preserve"> </w:t>
      </w:r>
    </w:p>
    <w:p w:rsidR="00AB3418" w:rsidRPr="001C2D09" w:rsidP="0077092A" w14:paraId="09370F26" w14:textId="77777777">
      <w:pPr>
        <w:rPr>
          <w:spacing w:val="-3"/>
          <w:sz w:val="22"/>
          <w:szCs w:val="22"/>
          <w:shd w:val="clear" w:color="auto" w:fill="FFFFFF"/>
        </w:rPr>
      </w:pPr>
    </w:p>
    <w:p w:rsidR="00541FB1" w:rsidRPr="001C2D09" w:rsidP="0077092A" w14:paraId="1111EB04" w14:textId="1A0416EA">
      <w:pPr>
        <w:rPr>
          <w:spacing w:val="-3"/>
          <w:sz w:val="22"/>
          <w:szCs w:val="22"/>
          <w:shd w:val="clear" w:color="auto" w:fill="FFFFFF"/>
        </w:rPr>
      </w:pPr>
      <w:r w:rsidRPr="001C2D09">
        <w:rPr>
          <w:spacing w:val="-3"/>
          <w:sz w:val="22"/>
          <w:szCs w:val="22"/>
          <w:shd w:val="clear" w:color="auto" w:fill="FFFFFF"/>
        </w:rPr>
        <w:t xml:space="preserve">47 CFR </w:t>
      </w:r>
      <w:r w:rsidRPr="001C2D09" w:rsidR="0024517D">
        <w:rPr>
          <w:spacing w:val="-3"/>
          <w:sz w:val="22"/>
          <w:szCs w:val="22"/>
          <w:shd w:val="clear" w:color="auto" w:fill="FFFFFF"/>
        </w:rPr>
        <w:t>§ </w:t>
      </w:r>
      <w:r w:rsidRPr="001C2D09" w:rsidR="00005848">
        <w:rPr>
          <w:spacing w:val="-3"/>
          <w:sz w:val="22"/>
          <w:szCs w:val="22"/>
          <w:shd w:val="clear" w:color="auto" w:fill="FFFFFF"/>
        </w:rPr>
        <w:t xml:space="preserve">64.2005 permits </w:t>
      </w:r>
      <w:r w:rsidRPr="001C2D09" w:rsidR="00313F7D">
        <w:rPr>
          <w:spacing w:val="-3"/>
          <w:sz w:val="22"/>
          <w:szCs w:val="22"/>
          <w:shd w:val="clear" w:color="auto" w:fill="FFFFFF"/>
        </w:rPr>
        <w:t>t</w:t>
      </w:r>
      <w:r w:rsidRPr="001C2D09" w:rsidR="00005848">
        <w:rPr>
          <w:spacing w:val="-3"/>
          <w:sz w:val="22"/>
          <w:szCs w:val="22"/>
          <w:shd w:val="clear" w:color="auto" w:fill="FFFFFF"/>
        </w:rPr>
        <w:t xml:space="preserve">he use of CPNI for fraud prevention programs.  Where carriers </w:t>
      </w:r>
      <w:r w:rsidRPr="001C2D09" w:rsidR="00F619DF">
        <w:rPr>
          <w:spacing w:val="-3"/>
          <w:sz w:val="22"/>
          <w:szCs w:val="22"/>
          <w:shd w:val="clear" w:color="auto" w:fill="FFFFFF"/>
        </w:rPr>
        <w:t xml:space="preserve">or providers of interconnected VoIP service </w:t>
      </w:r>
      <w:r w:rsidRPr="001C2D09" w:rsidR="00005848">
        <w:rPr>
          <w:spacing w:val="-3"/>
          <w:sz w:val="22"/>
          <w:szCs w:val="22"/>
          <w:shd w:val="clear" w:color="auto" w:fill="FFFFFF"/>
        </w:rPr>
        <w:t xml:space="preserve">are required to obtain customer approval, they may still do so through written, oral, or electronic means.  </w:t>
      </w:r>
      <w:r w:rsidRPr="001C2D09">
        <w:rPr>
          <w:i/>
          <w:spacing w:val="-3"/>
          <w:sz w:val="22"/>
          <w:szCs w:val="22"/>
          <w:shd w:val="clear" w:color="auto" w:fill="FFFFFF"/>
        </w:rPr>
        <w:t>See</w:t>
      </w:r>
      <w:r w:rsidRPr="001C2D09">
        <w:rPr>
          <w:spacing w:val="-3"/>
          <w:sz w:val="22"/>
          <w:szCs w:val="22"/>
          <w:shd w:val="clear" w:color="auto" w:fill="FFFFFF"/>
        </w:rPr>
        <w:t xml:space="preserve"> 47 CFR </w:t>
      </w:r>
      <w:r w:rsidRPr="001C2D09" w:rsidR="0024517D">
        <w:rPr>
          <w:spacing w:val="-3"/>
          <w:sz w:val="22"/>
          <w:szCs w:val="22"/>
          <w:shd w:val="clear" w:color="auto" w:fill="FFFFFF"/>
        </w:rPr>
        <w:t>§§ </w:t>
      </w:r>
      <w:r w:rsidRPr="001C2D09">
        <w:rPr>
          <w:spacing w:val="-3"/>
          <w:sz w:val="22"/>
          <w:szCs w:val="22"/>
          <w:shd w:val="clear" w:color="auto" w:fill="FFFFFF"/>
        </w:rPr>
        <w:t>64.2003(k), 64.2005</w:t>
      </w:r>
      <w:r w:rsidRPr="001C2D09" w:rsidR="0024517D">
        <w:rPr>
          <w:spacing w:val="-3"/>
          <w:sz w:val="22"/>
          <w:szCs w:val="22"/>
          <w:shd w:val="clear" w:color="auto" w:fill="FFFFFF"/>
        </w:rPr>
        <w:t>,</w:t>
      </w:r>
      <w:r w:rsidRPr="001C2D09">
        <w:rPr>
          <w:spacing w:val="-3"/>
          <w:sz w:val="22"/>
          <w:szCs w:val="22"/>
          <w:shd w:val="clear" w:color="auto" w:fill="FFFFFF"/>
        </w:rPr>
        <w:t xml:space="preserve"> and 64.2007</w:t>
      </w:r>
      <w:r w:rsidRPr="001C2D09" w:rsidR="0024517D">
        <w:rPr>
          <w:spacing w:val="-3"/>
          <w:sz w:val="22"/>
          <w:szCs w:val="22"/>
          <w:shd w:val="clear" w:color="auto" w:fill="FFFFFF"/>
        </w:rPr>
        <w:t>,</w:t>
      </w:r>
      <w:r w:rsidRPr="001C2D09">
        <w:rPr>
          <w:spacing w:val="-3"/>
          <w:sz w:val="22"/>
          <w:szCs w:val="22"/>
          <w:shd w:val="clear" w:color="auto" w:fill="FFFFFF"/>
        </w:rPr>
        <w:t xml:space="preserve"> and paragraphs 54-59 of the </w:t>
      </w:r>
      <w:r w:rsidRPr="001C2D09" w:rsidR="00672169">
        <w:rPr>
          <w:i/>
          <w:spacing w:val="-3"/>
          <w:sz w:val="22"/>
          <w:szCs w:val="22"/>
          <w:shd w:val="clear" w:color="auto" w:fill="FFFFFF"/>
        </w:rPr>
        <w:t>2007 CPNI Order</w:t>
      </w:r>
      <w:r w:rsidRPr="001C2D09">
        <w:rPr>
          <w:i/>
          <w:spacing w:val="-3"/>
          <w:sz w:val="22"/>
          <w:szCs w:val="22"/>
          <w:shd w:val="clear" w:color="auto" w:fill="FFFFFF"/>
        </w:rPr>
        <w:t xml:space="preserve"> </w:t>
      </w:r>
      <w:r w:rsidRPr="001C2D09">
        <w:rPr>
          <w:iCs/>
          <w:spacing w:val="-3"/>
          <w:sz w:val="22"/>
          <w:szCs w:val="22"/>
          <w:shd w:val="clear" w:color="auto" w:fill="FFFFFF"/>
        </w:rPr>
        <w:t>(FCC 07-22)</w:t>
      </w:r>
      <w:r w:rsidRPr="001C2D09">
        <w:rPr>
          <w:spacing w:val="-3"/>
          <w:sz w:val="22"/>
          <w:szCs w:val="22"/>
          <w:shd w:val="clear" w:color="auto" w:fill="FFFFFF"/>
        </w:rPr>
        <w:t>.</w:t>
      </w:r>
    </w:p>
    <w:p w:rsidR="00313F7D" w:rsidRPr="001C2D09" w:rsidP="0077092A" w14:paraId="7771A1E3" w14:textId="77777777">
      <w:pPr>
        <w:rPr>
          <w:spacing w:val="-3"/>
          <w:sz w:val="22"/>
          <w:szCs w:val="22"/>
          <w:shd w:val="clear" w:color="auto" w:fill="FFFFFF"/>
        </w:rPr>
      </w:pPr>
    </w:p>
    <w:p w:rsidR="00A76459" w:rsidRPr="001C2D09" w:rsidP="0077092A" w14:paraId="1CEF8C15" w14:textId="4A5142F6">
      <w:pPr>
        <w:spacing w:after="120"/>
        <w:rPr>
          <w:spacing w:val="-3"/>
          <w:sz w:val="22"/>
          <w:szCs w:val="22"/>
          <w:shd w:val="clear" w:color="auto" w:fill="FFFFFF"/>
        </w:rPr>
      </w:pPr>
      <w:r w:rsidRPr="001C2D09">
        <w:rPr>
          <w:b/>
          <w:bCs/>
          <w:spacing w:val="-3"/>
          <w:sz w:val="22"/>
          <w:szCs w:val="22"/>
          <w:shd w:val="clear" w:color="auto" w:fill="FFFFFF"/>
        </w:rPr>
        <w:t>(</w:t>
      </w:r>
      <w:r w:rsidRPr="001C2D09" w:rsidR="00B11416">
        <w:rPr>
          <w:b/>
          <w:bCs/>
          <w:spacing w:val="-3"/>
          <w:sz w:val="22"/>
          <w:szCs w:val="22"/>
          <w:shd w:val="clear" w:color="auto" w:fill="FFFFFF"/>
        </w:rPr>
        <w:t>b</w:t>
      </w:r>
      <w:r w:rsidRPr="001C2D09">
        <w:rPr>
          <w:b/>
          <w:bCs/>
          <w:spacing w:val="-3"/>
          <w:sz w:val="22"/>
          <w:szCs w:val="22"/>
          <w:shd w:val="clear" w:color="auto" w:fill="FFFFFF"/>
        </w:rPr>
        <w:t>)</w:t>
      </w:r>
      <w:r w:rsidRPr="001C2D09" w:rsidR="004A4DF7">
        <w:rPr>
          <w:b/>
          <w:bCs/>
          <w:spacing w:val="-3"/>
          <w:sz w:val="22"/>
          <w:szCs w:val="22"/>
          <w:shd w:val="clear" w:color="auto" w:fill="FFFFFF"/>
        </w:rPr>
        <w:t xml:space="preserve"> </w:t>
      </w:r>
      <w:r w:rsidRPr="001C2D09">
        <w:rPr>
          <w:b/>
          <w:bCs/>
          <w:spacing w:val="-3"/>
          <w:sz w:val="22"/>
          <w:szCs w:val="22"/>
          <w:shd w:val="clear" w:color="auto" w:fill="FFFFFF"/>
        </w:rPr>
        <w:t>Customer Approval Documentation and Recordkeeping:</w:t>
      </w:r>
      <w:r w:rsidRPr="001C2D09">
        <w:rPr>
          <w:spacing w:val="-3"/>
          <w:sz w:val="22"/>
          <w:szCs w:val="22"/>
          <w:shd w:val="clear" w:color="auto" w:fill="FFFFFF"/>
        </w:rPr>
        <w:t xml:space="preserve">  Telecommunications 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must implement a system by which the status of a customer’s CPNI approval can be clearly established prior to the use of CPNI.  </w:t>
      </w:r>
      <w:r w:rsidRPr="001C2D09" w:rsidR="00E23177">
        <w:rPr>
          <w:spacing w:val="-3"/>
          <w:sz w:val="22"/>
          <w:szCs w:val="22"/>
          <w:shd w:val="clear" w:color="auto" w:fill="FFFFFF"/>
        </w:rPr>
        <w:t>By way of example</w:t>
      </w:r>
      <w:r w:rsidRPr="001C2D09">
        <w:rPr>
          <w:spacing w:val="-3"/>
          <w:sz w:val="22"/>
          <w:szCs w:val="22"/>
          <w:shd w:val="clear" w:color="auto" w:fill="FFFFFF"/>
        </w:rPr>
        <w:t>:</w:t>
      </w:r>
    </w:p>
    <w:p w:rsidR="00A76459" w:rsidRPr="001C2D09" w:rsidP="0077092A" w14:paraId="5017E2E0" w14:textId="77777777">
      <w:pPr>
        <w:pStyle w:val="ListParagraph"/>
        <w:numPr>
          <w:ilvl w:val="0"/>
          <w:numId w:val="107"/>
        </w:numPr>
        <w:rPr>
          <w:spacing w:val="-3"/>
          <w:sz w:val="22"/>
          <w:szCs w:val="22"/>
          <w:shd w:val="clear" w:color="auto" w:fill="FFFFFF"/>
        </w:rPr>
      </w:pPr>
      <w:r w:rsidRPr="001C2D09">
        <w:rPr>
          <w:spacing w:val="-3"/>
          <w:sz w:val="22"/>
          <w:szCs w:val="22"/>
          <w:shd w:val="clear" w:color="auto" w:fill="FFFFFF"/>
        </w:rPr>
        <w:t xml:space="preserve">carriers or providers of interconnected VoIP service that do not presently keep computerized records need not implement an electronic method of verifying approval status; </w:t>
      </w:r>
    </w:p>
    <w:p w:rsidR="00A76459" w:rsidRPr="001C2D09" w:rsidP="0077092A" w14:paraId="051D363D" w14:textId="77777777">
      <w:pPr>
        <w:pStyle w:val="ListParagraph"/>
        <w:numPr>
          <w:ilvl w:val="0"/>
          <w:numId w:val="107"/>
        </w:numPr>
        <w:rPr>
          <w:spacing w:val="-3"/>
          <w:sz w:val="22"/>
          <w:szCs w:val="22"/>
          <w:shd w:val="clear" w:color="auto" w:fill="FFFFFF"/>
        </w:rPr>
      </w:pPr>
      <w:r w:rsidRPr="001C2D09">
        <w:rPr>
          <w:spacing w:val="-3"/>
          <w:sz w:val="22"/>
          <w:szCs w:val="22"/>
          <w:shd w:val="clear" w:color="auto" w:fill="FFFFFF"/>
        </w:rPr>
        <w:t xml:space="preserve">carriers or providers of interconnected VoIP service that already have computerized records could implement flags or adopt procedures whereby they access a separate database to verify approval status; or </w:t>
      </w:r>
    </w:p>
    <w:p w:rsidR="00E47ABB" w:rsidRPr="001C2D09" w:rsidP="0077092A" w14:paraId="0D61902F" w14:textId="77777777">
      <w:pPr>
        <w:pStyle w:val="ListParagraph"/>
        <w:numPr>
          <w:ilvl w:val="0"/>
          <w:numId w:val="107"/>
        </w:numPr>
        <w:rPr>
          <w:spacing w:val="-3"/>
          <w:sz w:val="22"/>
          <w:szCs w:val="22"/>
          <w:shd w:val="clear" w:color="auto" w:fill="FFFFFF"/>
        </w:rPr>
      </w:pPr>
      <w:r w:rsidRPr="001C2D09">
        <w:rPr>
          <w:spacing w:val="-3"/>
          <w:sz w:val="22"/>
          <w:szCs w:val="22"/>
          <w:shd w:val="clear" w:color="auto" w:fill="FFFFFF"/>
        </w:rPr>
        <w:t xml:space="preserve">carriers or providers of interconnected VoIP service could develop a combination of computerized and non-computerized systems as they see fit.    </w:t>
      </w:r>
    </w:p>
    <w:p w:rsidR="00107047" w:rsidRPr="001C2D09" w:rsidP="0077092A" w14:paraId="72E522A1" w14:textId="77777777">
      <w:pPr>
        <w:rPr>
          <w:spacing w:val="-3"/>
          <w:sz w:val="22"/>
          <w:szCs w:val="22"/>
          <w:shd w:val="clear" w:color="auto" w:fill="FFFFFF"/>
        </w:rPr>
      </w:pPr>
    </w:p>
    <w:p w:rsidR="00E47ABB" w:rsidRPr="001C2D09" w:rsidP="0077092A" w14:paraId="5B6E663C" w14:textId="77777777">
      <w:pPr>
        <w:rPr>
          <w:spacing w:val="-3"/>
          <w:sz w:val="22"/>
          <w:szCs w:val="22"/>
          <w:shd w:val="clear" w:color="auto" w:fill="FFFFFF"/>
        </w:rPr>
      </w:pPr>
      <w:r w:rsidRPr="001C2D09">
        <w:rPr>
          <w:spacing w:val="-3"/>
          <w:sz w:val="22"/>
          <w:szCs w:val="22"/>
          <w:shd w:val="clear" w:color="auto" w:fill="FFFFFF"/>
        </w:rPr>
        <w:t xml:space="preserve">Telecommunications 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must train their personnel as to when they are and are not authorized to use CPNI, and 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must have an express disciplinary process in place.   </w:t>
      </w:r>
    </w:p>
    <w:p w:rsidR="00E47ABB" w:rsidRPr="001C2D09" w:rsidP="0077092A" w14:paraId="3554ED6E" w14:textId="77777777">
      <w:pPr>
        <w:rPr>
          <w:spacing w:val="-3"/>
          <w:sz w:val="22"/>
          <w:szCs w:val="22"/>
          <w:shd w:val="clear" w:color="auto" w:fill="FFFFFF"/>
        </w:rPr>
      </w:pPr>
    </w:p>
    <w:p w:rsidR="00E32E96" w:rsidRPr="001C2D09" w:rsidP="0077092A" w14:paraId="16256271" w14:textId="784D2A9E">
      <w:pPr>
        <w:rPr>
          <w:sz w:val="22"/>
          <w:szCs w:val="22"/>
          <w:shd w:val="clear" w:color="auto" w:fill="FFFFFF"/>
        </w:rPr>
      </w:pPr>
      <w:r w:rsidRPr="001C2D09">
        <w:rPr>
          <w:spacing w:val="-3"/>
          <w:sz w:val="22"/>
          <w:szCs w:val="22"/>
          <w:shd w:val="clear" w:color="auto" w:fill="FFFFFF"/>
        </w:rPr>
        <w:t xml:space="preserve">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must maintain records of approval</w:t>
      </w:r>
      <w:r w:rsidRPr="001C2D09" w:rsidR="0077092A">
        <w:rPr>
          <w:spacing w:val="-3"/>
          <w:sz w:val="22"/>
          <w:szCs w:val="22"/>
          <w:shd w:val="clear" w:color="auto" w:fill="FFFFFF"/>
        </w:rPr>
        <w:t xml:space="preserve"> – whether </w:t>
      </w:r>
      <w:r w:rsidRPr="001C2D09">
        <w:rPr>
          <w:spacing w:val="-3"/>
          <w:sz w:val="22"/>
          <w:szCs w:val="22"/>
          <w:shd w:val="clear" w:color="auto" w:fill="FFFFFF"/>
        </w:rPr>
        <w:t>written, oral, or electronic</w:t>
      </w:r>
      <w:r w:rsidRPr="001C2D09" w:rsidR="0077092A">
        <w:rPr>
          <w:spacing w:val="-3"/>
          <w:sz w:val="22"/>
          <w:szCs w:val="22"/>
          <w:shd w:val="clear" w:color="auto" w:fill="FFFFFF"/>
        </w:rPr>
        <w:t xml:space="preserve"> – for </w:t>
      </w:r>
      <w:r w:rsidRPr="001C2D09" w:rsidR="00E009B0">
        <w:rPr>
          <w:spacing w:val="-3"/>
          <w:sz w:val="22"/>
          <w:szCs w:val="22"/>
          <w:shd w:val="clear" w:color="auto" w:fill="FFFFFF"/>
        </w:rPr>
        <w:t>a</w:t>
      </w:r>
      <w:r w:rsidRPr="001C2D09">
        <w:rPr>
          <w:spacing w:val="-3"/>
          <w:sz w:val="22"/>
          <w:szCs w:val="22"/>
          <w:shd w:val="clear" w:color="auto" w:fill="FFFFFF"/>
        </w:rPr>
        <w:t xml:space="preserve"> period of at least one year, and be capable of producing them if the sufficiency of a customer's approval is challenged.</w:t>
      </w:r>
      <w:r w:rsidRPr="001C2D09">
        <w:rPr>
          <w:sz w:val="22"/>
          <w:szCs w:val="22"/>
          <w:shd w:val="clear" w:color="auto" w:fill="FFFFFF"/>
        </w:rPr>
        <w:t xml:space="preserve">  </w:t>
      </w:r>
      <w:r w:rsidRPr="001C2D09">
        <w:rPr>
          <w:i/>
          <w:sz w:val="22"/>
          <w:szCs w:val="22"/>
          <w:shd w:val="clear" w:color="auto" w:fill="FFFFFF"/>
        </w:rPr>
        <w:t xml:space="preserve">See </w:t>
      </w:r>
      <w:r w:rsidRPr="001C2D09">
        <w:rPr>
          <w:sz w:val="22"/>
          <w:szCs w:val="22"/>
          <w:shd w:val="clear" w:color="auto" w:fill="FFFFFF"/>
        </w:rPr>
        <w:t xml:space="preserve">47 CFR </w:t>
      </w:r>
      <w:r w:rsidRPr="001C2D09" w:rsidR="0024517D">
        <w:rPr>
          <w:spacing w:val="-3"/>
          <w:sz w:val="22"/>
          <w:szCs w:val="22"/>
          <w:shd w:val="clear" w:color="auto" w:fill="FFFFFF"/>
        </w:rPr>
        <w:t>§§ </w:t>
      </w:r>
      <w:r w:rsidRPr="001C2D09">
        <w:rPr>
          <w:sz w:val="22"/>
          <w:szCs w:val="22"/>
          <w:shd w:val="clear" w:color="auto" w:fill="FFFFFF"/>
        </w:rPr>
        <w:t>64.2003(k), 64.2007(e) and 64.2009</w:t>
      </w:r>
      <w:r w:rsidRPr="001C2D09" w:rsidR="0024517D">
        <w:rPr>
          <w:sz w:val="22"/>
          <w:szCs w:val="22"/>
          <w:shd w:val="clear" w:color="auto" w:fill="FFFFFF"/>
        </w:rPr>
        <w:t>,</w:t>
      </w:r>
      <w:r w:rsidRPr="001C2D09">
        <w:rPr>
          <w:sz w:val="22"/>
          <w:szCs w:val="22"/>
          <w:shd w:val="clear" w:color="auto" w:fill="FFFFFF"/>
        </w:rPr>
        <w:t xml:space="preserve"> and paragraphs 54-59 of the </w:t>
      </w:r>
      <w:r w:rsidRPr="001C2D09" w:rsidR="00672169">
        <w:rPr>
          <w:i/>
          <w:sz w:val="22"/>
          <w:szCs w:val="22"/>
          <w:shd w:val="clear" w:color="auto" w:fill="FFFFFF"/>
        </w:rPr>
        <w:t>2007 CPNI Order</w:t>
      </w:r>
      <w:r w:rsidRPr="001C2D09">
        <w:rPr>
          <w:i/>
          <w:sz w:val="22"/>
          <w:szCs w:val="22"/>
          <w:shd w:val="clear" w:color="auto" w:fill="FFFFFF"/>
        </w:rPr>
        <w:t xml:space="preserve"> </w:t>
      </w:r>
      <w:r w:rsidRPr="001C2D09">
        <w:rPr>
          <w:iCs/>
          <w:sz w:val="22"/>
          <w:szCs w:val="22"/>
          <w:shd w:val="clear" w:color="auto" w:fill="FFFFFF"/>
        </w:rPr>
        <w:t>(FCC 07-22)</w:t>
      </w:r>
      <w:r w:rsidRPr="001C2D09">
        <w:rPr>
          <w:sz w:val="22"/>
          <w:szCs w:val="22"/>
          <w:shd w:val="clear" w:color="auto" w:fill="FFFFFF"/>
        </w:rPr>
        <w:t xml:space="preserve">. </w:t>
      </w:r>
    </w:p>
    <w:p w:rsidR="00005848" w:rsidRPr="001C2D09" w:rsidP="0077092A" w14:paraId="333E357C" w14:textId="77777777">
      <w:pPr>
        <w:rPr>
          <w:spacing w:val="-3"/>
          <w:sz w:val="22"/>
          <w:szCs w:val="22"/>
          <w:shd w:val="clear" w:color="auto" w:fill="FFFFFF"/>
        </w:rPr>
      </w:pPr>
    </w:p>
    <w:p w:rsidR="00E00D3E" w:rsidRPr="001C2D09" w:rsidP="00E00D3E" w14:paraId="19DA2896" w14:textId="3A4EE437">
      <w:pPr>
        <w:rPr>
          <w:spacing w:val="-3"/>
          <w:sz w:val="22"/>
          <w:szCs w:val="22"/>
          <w:shd w:val="clear" w:color="auto" w:fill="FFFFFF"/>
        </w:rPr>
      </w:pPr>
      <w:r w:rsidRPr="001C2D09">
        <w:rPr>
          <w:b/>
          <w:bCs/>
          <w:spacing w:val="-3"/>
          <w:sz w:val="22"/>
          <w:szCs w:val="22"/>
          <w:shd w:val="clear" w:color="auto" w:fill="FFFFFF"/>
        </w:rPr>
        <w:t>(c) Notification of CPNI Rights</w:t>
      </w:r>
      <w:r w:rsidRPr="001C2D09" w:rsidR="00B60E3F">
        <w:rPr>
          <w:b/>
          <w:bCs/>
          <w:spacing w:val="-3"/>
          <w:sz w:val="22"/>
          <w:szCs w:val="22"/>
          <w:shd w:val="clear" w:color="auto" w:fill="FFFFFF"/>
        </w:rPr>
        <w:t>:</w:t>
      </w:r>
      <w:r w:rsidRPr="001C2D09" w:rsidR="00B60E3F">
        <w:rPr>
          <w:spacing w:val="-3"/>
          <w:sz w:val="22"/>
          <w:szCs w:val="22"/>
          <w:shd w:val="clear" w:color="auto" w:fill="FFFFFF"/>
        </w:rPr>
        <w:t xml:space="preserve">  </w:t>
      </w:r>
      <w:r w:rsidRPr="001C2D09">
        <w:rPr>
          <w:spacing w:val="-3"/>
          <w:sz w:val="22"/>
          <w:szCs w:val="22"/>
          <w:shd w:val="clear" w:color="auto" w:fill="FFFFFF"/>
        </w:rPr>
        <w:t xml:space="preserve">All telecommunications 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that choose to solicit customer approval must provide their customers a one-time notification of their CPNI rights prior to any such solicitation.  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are required to give customers explicit notice of their CPNI rights prior to any solicitation for approval.  A carrier </w:t>
      </w:r>
      <w:r w:rsidRPr="001C2D09" w:rsidR="00F619DF">
        <w:rPr>
          <w:spacing w:val="-3"/>
          <w:sz w:val="22"/>
          <w:szCs w:val="22"/>
          <w:shd w:val="clear" w:color="auto" w:fill="FFFFFF"/>
        </w:rPr>
        <w:t xml:space="preserve">or a provider of interconnected VoIP service </w:t>
      </w:r>
      <w:r w:rsidRPr="001C2D09">
        <w:rPr>
          <w:spacing w:val="-3"/>
          <w:sz w:val="22"/>
          <w:szCs w:val="22"/>
          <w:shd w:val="clear" w:color="auto" w:fill="FFFFFF"/>
        </w:rPr>
        <w:t xml:space="preserve">is permitted to provide either written or oral notification.  Such notification may take the form of a bill insert, an individual letter or an oral presentation that advises the customer of his/her right to restrict carrier access to CPNI. </w:t>
      </w:r>
      <w:r w:rsidRPr="001C2D09" w:rsidR="00EB45E6">
        <w:rPr>
          <w:spacing w:val="-3"/>
          <w:sz w:val="22"/>
          <w:szCs w:val="22"/>
          <w:shd w:val="clear" w:color="auto" w:fill="FFFFFF"/>
        </w:rPr>
        <w:t xml:space="preserve"> </w:t>
      </w:r>
    </w:p>
    <w:p w:rsidR="00E00D3E" w:rsidRPr="001C2D09" w:rsidP="00E00D3E" w14:paraId="67F3A92A" w14:textId="77777777">
      <w:pPr>
        <w:rPr>
          <w:spacing w:val="-3"/>
          <w:sz w:val="22"/>
          <w:szCs w:val="22"/>
          <w:shd w:val="clear" w:color="auto" w:fill="FFFFFF"/>
        </w:rPr>
      </w:pPr>
    </w:p>
    <w:p w:rsidR="00132D7F" w:rsidRPr="001C2D09" w:rsidP="00E00D3E" w14:paraId="6C123FA4" w14:textId="09AD8EF9">
      <w:pPr>
        <w:spacing w:after="120"/>
        <w:rPr>
          <w:spacing w:val="-3"/>
          <w:sz w:val="22"/>
          <w:szCs w:val="22"/>
          <w:shd w:val="clear" w:color="auto" w:fill="FFFFFF"/>
        </w:rPr>
      </w:pPr>
      <w:r w:rsidRPr="001C2D09">
        <w:rPr>
          <w:spacing w:val="-3"/>
          <w:sz w:val="22"/>
          <w:szCs w:val="22"/>
          <w:shd w:val="clear" w:color="auto" w:fill="FFFFFF"/>
        </w:rPr>
        <w:t xml:space="preserve">At a minimum, customer notification, whether oral or written, must provide sufficient information to enable the customer to make an informed decision as to whether to permit a carrier </w:t>
      </w:r>
      <w:r w:rsidRPr="001C2D09" w:rsidR="00F619DF">
        <w:rPr>
          <w:spacing w:val="-3"/>
          <w:sz w:val="22"/>
          <w:szCs w:val="22"/>
          <w:shd w:val="clear" w:color="auto" w:fill="FFFFFF"/>
        </w:rPr>
        <w:t xml:space="preserve">or provider of interconnected VoIP service </w:t>
      </w:r>
      <w:r w:rsidRPr="001C2D09">
        <w:rPr>
          <w:spacing w:val="-3"/>
          <w:sz w:val="22"/>
          <w:szCs w:val="22"/>
          <w:shd w:val="clear" w:color="auto" w:fill="FFFFFF"/>
        </w:rPr>
        <w:t>to use, disclose, or permit access to CPNI.  The notice must</w:t>
      </w:r>
      <w:r w:rsidRPr="001C2D09" w:rsidR="00E0360A">
        <w:rPr>
          <w:spacing w:val="-3"/>
          <w:sz w:val="22"/>
          <w:szCs w:val="22"/>
          <w:shd w:val="clear" w:color="auto" w:fill="FFFFFF"/>
        </w:rPr>
        <w:t>:</w:t>
      </w:r>
    </w:p>
    <w:p w:rsidR="00132D7F" w:rsidRPr="001C2D09" w:rsidP="0077092A" w14:paraId="132064CD" w14:textId="77777777">
      <w:pPr>
        <w:pStyle w:val="ListParagraph"/>
        <w:numPr>
          <w:ilvl w:val="3"/>
          <w:numId w:val="77"/>
        </w:numPr>
        <w:ind w:left="720"/>
        <w:rPr>
          <w:spacing w:val="-3"/>
          <w:sz w:val="22"/>
          <w:szCs w:val="22"/>
          <w:shd w:val="clear" w:color="auto" w:fill="FFFFFF"/>
        </w:rPr>
      </w:pPr>
      <w:r w:rsidRPr="001C2D09">
        <w:rPr>
          <w:spacing w:val="-3"/>
          <w:sz w:val="22"/>
          <w:szCs w:val="22"/>
          <w:shd w:val="clear" w:color="auto" w:fill="FFFFFF"/>
        </w:rPr>
        <w:t>specify t</w:t>
      </w:r>
      <w:r w:rsidRPr="001C2D09" w:rsidR="00005848">
        <w:rPr>
          <w:spacing w:val="-3"/>
          <w:sz w:val="22"/>
          <w:szCs w:val="22"/>
          <w:shd w:val="clear" w:color="auto" w:fill="FFFFFF"/>
        </w:rPr>
        <w:t>he types of i</w:t>
      </w:r>
      <w:r w:rsidRPr="001C2D09">
        <w:rPr>
          <w:spacing w:val="-3"/>
          <w:sz w:val="22"/>
          <w:szCs w:val="22"/>
          <w:shd w:val="clear" w:color="auto" w:fill="FFFFFF"/>
        </w:rPr>
        <w:t xml:space="preserve">nformation that constitute CPNI, </w:t>
      </w:r>
    </w:p>
    <w:p w:rsidR="00132D7F" w:rsidRPr="001C2D09" w:rsidP="00E00D3E" w14:paraId="773B1203" w14:textId="77777777">
      <w:pPr>
        <w:pStyle w:val="ListParagraph"/>
        <w:numPr>
          <w:ilvl w:val="3"/>
          <w:numId w:val="77"/>
        </w:numPr>
        <w:ind w:left="720"/>
        <w:rPr>
          <w:spacing w:val="-3"/>
          <w:sz w:val="22"/>
          <w:szCs w:val="22"/>
          <w:shd w:val="clear" w:color="auto" w:fill="FFFFFF"/>
        </w:rPr>
      </w:pPr>
      <w:r w:rsidRPr="001C2D09">
        <w:rPr>
          <w:spacing w:val="-3"/>
          <w:sz w:val="22"/>
          <w:szCs w:val="22"/>
          <w:shd w:val="clear" w:color="auto" w:fill="FFFFFF"/>
        </w:rPr>
        <w:t xml:space="preserve">specify </w:t>
      </w:r>
      <w:r w:rsidRPr="001C2D09" w:rsidR="00005848">
        <w:rPr>
          <w:spacing w:val="-3"/>
          <w:sz w:val="22"/>
          <w:szCs w:val="22"/>
          <w:shd w:val="clear" w:color="auto" w:fill="FFFFFF"/>
        </w:rPr>
        <w:t xml:space="preserve">the specific entities that will receive the CPNI, </w:t>
      </w:r>
    </w:p>
    <w:p w:rsidR="00132D7F" w:rsidRPr="001C2D09" w:rsidP="00E00D3E" w14:paraId="172227B3" w14:textId="77777777">
      <w:pPr>
        <w:pStyle w:val="ListParagraph"/>
        <w:numPr>
          <w:ilvl w:val="3"/>
          <w:numId w:val="77"/>
        </w:numPr>
        <w:ind w:left="720"/>
        <w:rPr>
          <w:spacing w:val="-3"/>
          <w:sz w:val="22"/>
          <w:szCs w:val="22"/>
          <w:shd w:val="clear" w:color="auto" w:fill="FFFFFF"/>
        </w:rPr>
      </w:pPr>
      <w:r w:rsidRPr="001C2D09">
        <w:rPr>
          <w:spacing w:val="-3"/>
          <w:sz w:val="22"/>
          <w:szCs w:val="22"/>
          <w:shd w:val="clear" w:color="auto" w:fill="FFFFFF"/>
        </w:rPr>
        <w:t>describe the purpose for which the CPNI will be used, and</w:t>
      </w:r>
    </w:p>
    <w:p w:rsidR="00132D7F" w:rsidRPr="001C2D09" w:rsidP="00E00D3E" w14:paraId="53A1A981" w14:textId="77777777">
      <w:pPr>
        <w:pStyle w:val="ListParagraph"/>
        <w:numPr>
          <w:ilvl w:val="3"/>
          <w:numId w:val="77"/>
        </w:numPr>
        <w:ind w:left="720"/>
        <w:rPr>
          <w:spacing w:val="-3"/>
          <w:sz w:val="22"/>
          <w:szCs w:val="22"/>
          <w:shd w:val="clear" w:color="auto" w:fill="FFFFFF"/>
        </w:rPr>
      </w:pPr>
      <w:r w:rsidRPr="001C2D09">
        <w:rPr>
          <w:spacing w:val="-3"/>
          <w:sz w:val="22"/>
          <w:szCs w:val="22"/>
          <w:shd w:val="clear" w:color="auto" w:fill="FFFFFF"/>
        </w:rPr>
        <w:t xml:space="preserve">inform the customer of his or her right to disapprove those uses, and to deny or withdraw access to CPNI at any time.  </w:t>
      </w:r>
    </w:p>
    <w:p w:rsidR="00132D7F" w:rsidRPr="001C2D09" w:rsidP="0077092A" w14:paraId="7BF0969F" w14:textId="77777777">
      <w:pPr>
        <w:rPr>
          <w:spacing w:val="-3"/>
          <w:sz w:val="22"/>
          <w:szCs w:val="22"/>
          <w:shd w:val="clear" w:color="auto" w:fill="FFFFFF"/>
        </w:rPr>
      </w:pPr>
    </w:p>
    <w:p w:rsidR="00132D7F" w:rsidRPr="001C2D09" w:rsidP="0024517D" w14:paraId="57CF4D05" w14:textId="77777777">
      <w:pPr>
        <w:keepNext/>
        <w:spacing w:after="120"/>
        <w:rPr>
          <w:spacing w:val="-3"/>
          <w:sz w:val="22"/>
          <w:szCs w:val="22"/>
          <w:shd w:val="clear" w:color="auto" w:fill="FFFFFF"/>
        </w:rPr>
      </w:pPr>
      <w:r w:rsidRPr="001C2D09">
        <w:rPr>
          <w:spacing w:val="-3"/>
          <w:sz w:val="22"/>
          <w:szCs w:val="22"/>
          <w:shd w:val="clear" w:color="auto" w:fill="FFFFFF"/>
        </w:rPr>
        <w:t>The notification also must:</w:t>
      </w:r>
    </w:p>
    <w:p w:rsidR="00132D7F" w:rsidRPr="001C2D09" w:rsidP="00E00D3E" w14:paraId="6343D5E4" w14:textId="77777777">
      <w:pPr>
        <w:pStyle w:val="ListParagraph"/>
        <w:numPr>
          <w:ilvl w:val="3"/>
          <w:numId w:val="77"/>
        </w:numPr>
        <w:ind w:left="720"/>
        <w:rPr>
          <w:spacing w:val="-3"/>
          <w:sz w:val="22"/>
          <w:szCs w:val="22"/>
          <w:shd w:val="clear" w:color="auto" w:fill="FFFFFF"/>
        </w:rPr>
      </w:pPr>
      <w:r w:rsidRPr="001C2D09">
        <w:rPr>
          <w:spacing w:val="-3"/>
          <w:sz w:val="22"/>
          <w:szCs w:val="22"/>
          <w:shd w:val="clear" w:color="auto" w:fill="FFFFFF"/>
        </w:rPr>
        <w:t xml:space="preserve">advise customers of the precise steps they must take in order to grant or deny access to CPNI, </w:t>
      </w:r>
    </w:p>
    <w:p w:rsidR="00132D7F" w:rsidRPr="001C2D09" w:rsidP="00E00D3E" w14:paraId="6AC56432" w14:textId="2DF37A89">
      <w:pPr>
        <w:pStyle w:val="ListParagraph"/>
        <w:numPr>
          <w:ilvl w:val="3"/>
          <w:numId w:val="77"/>
        </w:numPr>
        <w:ind w:left="720"/>
        <w:rPr>
          <w:spacing w:val="-3"/>
          <w:sz w:val="22"/>
          <w:szCs w:val="22"/>
          <w:shd w:val="clear" w:color="auto" w:fill="FFFFFF"/>
        </w:rPr>
      </w:pPr>
      <w:r w:rsidRPr="001C2D09">
        <w:rPr>
          <w:spacing w:val="-3"/>
          <w:sz w:val="22"/>
          <w:szCs w:val="22"/>
          <w:shd w:val="clear" w:color="auto" w:fill="FFFFFF"/>
        </w:rPr>
        <w:t xml:space="preserve">clearly state that a denial of approval will not affect the provision of any services to which the customer subscribes, and </w:t>
      </w:r>
    </w:p>
    <w:p w:rsidR="00D908C4" w:rsidRPr="001C2D09" w:rsidP="00E00D3E" w14:paraId="280A7228" w14:textId="77777777">
      <w:pPr>
        <w:pStyle w:val="ListParagraph"/>
        <w:numPr>
          <w:ilvl w:val="3"/>
          <w:numId w:val="77"/>
        </w:numPr>
        <w:ind w:left="720"/>
        <w:rPr>
          <w:spacing w:val="-3"/>
          <w:sz w:val="22"/>
          <w:szCs w:val="22"/>
          <w:shd w:val="clear" w:color="auto" w:fill="FFFFFF"/>
        </w:rPr>
      </w:pPr>
      <w:r w:rsidRPr="001C2D09">
        <w:rPr>
          <w:spacing w:val="-3"/>
          <w:sz w:val="22"/>
          <w:szCs w:val="22"/>
          <w:shd w:val="clear" w:color="auto" w:fill="FFFFFF"/>
        </w:rPr>
        <w:t xml:space="preserve">be reasonably comprehensible and non-misleading.  </w:t>
      </w:r>
    </w:p>
    <w:p w:rsidR="00D908C4" w:rsidRPr="001C2D09" w:rsidP="0077092A" w14:paraId="33CA2AC5" w14:textId="77777777">
      <w:pPr>
        <w:rPr>
          <w:spacing w:val="-3"/>
          <w:sz w:val="22"/>
          <w:szCs w:val="22"/>
          <w:shd w:val="clear" w:color="auto" w:fill="FFFFFF"/>
        </w:rPr>
      </w:pPr>
    </w:p>
    <w:p w:rsidR="00005848" w:rsidRPr="001C2D09" w:rsidP="0077092A" w14:paraId="6DD790EB" w14:textId="0499324B">
      <w:pPr>
        <w:rPr>
          <w:b/>
          <w:spacing w:val="-3"/>
          <w:sz w:val="22"/>
          <w:szCs w:val="22"/>
          <w:shd w:val="clear" w:color="auto" w:fill="FFFFFF"/>
        </w:rPr>
      </w:pPr>
      <w:r w:rsidRPr="001C2D09">
        <w:rPr>
          <w:spacing w:val="-3"/>
          <w:sz w:val="22"/>
          <w:szCs w:val="22"/>
          <w:shd w:val="clear" w:color="auto" w:fill="FFFFFF"/>
        </w:rPr>
        <w:t>If any portion of a notification is translated into another language, then all portions of the notification must be transla</w:t>
      </w:r>
      <w:r w:rsidRPr="001C2D09" w:rsidR="00AA0A03">
        <w:rPr>
          <w:spacing w:val="-3"/>
          <w:sz w:val="22"/>
          <w:szCs w:val="22"/>
          <w:shd w:val="clear" w:color="auto" w:fill="FFFFFF"/>
        </w:rPr>
        <w:t>ted into the language</w:t>
      </w:r>
      <w:r w:rsidRPr="001C2D09" w:rsidR="00C11AB4">
        <w:rPr>
          <w:spacing w:val="-3"/>
          <w:sz w:val="22"/>
          <w:szCs w:val="22"/>
          <w:shd w:val="clear" w:color="auto" w:fill="FFFFFF"/>
        </w:rPr>
        <w:t xml:space="preserve">.  </w:t>
      </w:r>
      <w:r w:rsidRPr="001C2D09" w:rsidR="00C11AB4">
        <w:rPr>
          <w:i/>
          <w:spacing w:val="-3"/>
          <w:sz w:val="22"/>
          <w:szCs w:val="22"/>
          <w:shd w:val="clear" w:color="auto" w:fill="FFFFFF"/>
        </w:rPr>
        <w:t>See</w:t>
      </w:r>
      <w:r w:rsidRPr="001C2D09" w:rsidR="00C11AB4">
        <w:rPr>
          <w:spacing w:val="-3"/>
          <w:sz w:val="22"/>
          <w:szCs w:val="22"/>
          <w:shd w:val="clear" w:color="auto" w:fill="FFFFFF"/>
        </w:rPr>
        <w:t xml:space="preserve"> </w:t>
      </w:r>
      <w:r w:rsidRPr="001C2D09" w:rsidR="00C11AB4">
        <w:rPr>
          <w:sz w:val="22"/>
          <w:szCs w:val="22"/>
          <w:shd w:val="clear" w:color="auto" w:fill="FFFFFF"/>
        </w:rPr>
        <w:t xml:space="preserve">47 CFR </w:t>
      </w:r>
      <w:r w:rsidRPr="001C2D09" w:rsidR="0024517D">
        <w:rPr>
          <w:spacing w:val="-3"/>
          <w:sz w:val="22"/>
          <w:szCs w:val="22"/>
          <w:shd w:val="clear" w:color="auto" w:fill="FFFFFF"/>
        </w:rPr>
        <w:t>§§ </w:t>
      </w:r>
      <w:r w:rsidRPr="001C2D09" w:rsidR="00C11AB4">
        <w:rPr>
          <w:sz w:val="22"/>
          <w:szCs w:val="22"/>
          <w:shd w:val="clear" w:color="auto" w:fill="FFFFFF"/>
        </w:rPr>
        <w:t>64.2003(k) and 64.2007(f)</w:t>
      </w:r>
      <w:r w:rsidRPr="001C2D09" w:rsidR="0024517D">
        <w:rPr>
          <w:sz w:val="22"/>
          <w:szCs w:val="22"/>
          <w:shd w:val="clear" w:color="auto" w:fill="FFFFFF"/>
        </w:rPr>
        <w:t>,</w:t>
      </w:r>
      <w:r w:rsidRPr="001C2D09" w:rsidR="00C11AB4">
        <w:rPr>
          <w:sz w:val="22"/>
          <w:szCs w:val="22"/>
          <w:shd w:val="clear" w:color="auto" w:fill="FFFFFF"/>
        </w:rPr>
        <w:t xml:space="preserve"> and paragraphs 54-59 of the </w:t>
      </w:r>
      <w:r w:rsidRPr="001C2D09" w:rsidR="00672169">
        <w:rPr>
          <w:i/>
          <w:sz w:val="22"/>
          <w:szCs w:val="22"/>
          <w:shd w:val="clear" w:color="auto" w:fill="FFFFFF"/>
        </w:rPr>
        <w:t>2007 CPNI Order</w:t>
      </w:r>
      <w:r w:rsidRPr="001C2D09" w:rsidR="00C11AB4">
        <w:rPr>
          <w:i/>
          <w:sz w:val="22"/>
          <w:szCs w:val="22"/>
          <w:shd w:val="clear" w:color="auto" w:fill="FFFFFF"/>
        </w:rPr>
        <w:t xml:space="preserve"> </w:t>
      </w:r>
      <w:r w:rsidRPr="001C2D09" w:rsidR="00C11AB4">
        <w:rPr>
          <w:iCs/>
          <w:sz w:val="22"/>
          <w:szCs w:val="22"/>
          <w:shd w:val="clear" w:color="auto" w:fill="FFFFFF"/>
        </w:rPr>
        <w:t>(FCC 07-22)</w:t>
      </w:r>
      <w:r w:rsidRPr="001C2D09" w:rsidR="00C11AB4">
        <w:rPr>
          <w:sz w:val="22"/>
          <w:szCs w:val="22"/>
          <w:shd w:val="clear" w:color="auto" w:fill="FFFFFF"/>
        </w:rPr>
        <w:t>.</w:t>
      </w:r>
    </w:p>
    <w:p w:rsidR="00AA0A03" w:rsidRPr="001C2D09" w:rsidP="0077092A" w14:paraId="01DF80E9" w14:textId="77777777">
      <w:pPr>
        <w:rPr>
          <w:spacing w:val="-3"/>
          <w:sz w:val="22"/>
          <w:szCs w:val="22"/>
          <w:shd w:val="clear" w:color="auto" w:fill="FFFFFF"/>
        </w:rPr>
      </w:pPr>
    </w:p>
    <w:p w:rsidR="007B6223" w:rsidRPr="001C2D09" w:rsidP="0077092A" w14:paraId="5AA3C248" w14:textId="5362E936">
      <w:pPr>
        <w:rPr>
          <w:sz w:val="22"/>
          <w:szCs w:val="22"/>
          <w:shd w:val="clear" w:color="auto" w:fill="FFFFFF"/>
        </w:rPr>
      </w:pPr>
      <w:r w:rsidRPr="001C2D09">
        <w:rPr>
          <w:b/>
          <w:bCs/>
          <w:spacing w:val="-3"/>
          <w:sz w:val="22"/>
          <w:szCs w:val="22"/>
          <w:shd w:val="clear" w:color="auto" w:fill="FFFFFF"/>
        </w:rPr>
        <w:t xml:space="preserve">(d) </w:t>
      </w:r>
      <w:r w:rsidRPr="001C2D09" w:rsidR="33D6BDA2">
        <w:rPr>
          <w:b/>
          <w:bCs/>
          <w:spacing w:val="-3"/>
          <w:sz w:val="22"/>
          <w:szCs w:val="22"/>
          <w:shd w:val="clear" w:color="auto" w:fill="FFFFFF"/>
        </w:rPr>
        <w:t xml:space="preserve">CPNI Rights </w:t>
      </w:r>
      <w:r w:rsidRPr="001C2D09">
        <w:rPr>
          <w:b/>
          <w:bCs/>
          <w:spacing w:val="-3"/>
          <w:sz w:val="22"/>
          <w:szCs w:val="22"/>
          <w:shd w:val="clear" w:color="auto" w:fill="FFFFFF"/>
        </w:rPr>
        <w:t>Notification Recordkeeping:</w:t>
      </w:r>
      <w:r w:rsidRPr="001C2D09">
        <w:rPr>
          <w:spacing w:val="-3"/>
          <w:sz w:val="22"/>
          <w:szCs w:val="22"/>
          <w:shd w:val="clear" w:color="auto" w:fill="FFFFFF"/>
        </w:rPr>
        <w:t xml:space="preserve">  Pursuant to this one-time notification requirement, these 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must maintain a record of such notifications. </w:t>
      </w:r>
      <w:r w:rsidRPr="001C2D09" w:rsidR="00F619DF">
        <w:rPr>
          <w:spacing w:val="-3"/>
          <w:sz w:val="22"/>
          <w:szCs w:val="22"/>
          <w:shd w:val="clear" w:color="auto" w:fill="FFFFFF"/>
        </w:rPr>
        <w:t xml:space="preserve"> </w:t>
      </w:r>
      <w:r w:rsidRPr="001C2D09">
        <w:rPr>
          <w:spacing w:val="-3"/>
          <w:sz w:val="22"/>
          <w:szCs w:val="22"/>
          <w:shd w:val="clear" w:color="auto" w:fill="FFFFFF"/>
        </w:rPr>
        <w:t xml:space="preserve">Carriers </w:t>
      </w:r>
      <w:r w:rsidRPr="001C2D09" w:rsidR="00F619DF">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must maintain such records for a period of at </w:t>
      </w:r>
      <w:r w:rsidRPr="001C2D09" w:rsidR="005925AA">
        <w:rPr>
          <w:spacing w:val="-3"/>
          <w:sz w:val="22"/>
          <w:szCs w:val="22"/>
          <w:shd w:val="clear" w:color="auto" w:fill="FFFFFF"/>
        </w:rPr>
        <w:t>l</w:t>
      </w:r>
      <w:r w:rsidRPr="001C2D09">
        <w:rPr>
          <w:spacing w:val="-3"/>
          <w:sz w:val="22"/>
          <w:szCs w:val="22"/>
          <w:shd w:val="clear" w:color="auto" w:fill="FFFFFF"/>
        </w:rPr>
        <w:t xml:space="preserve">east one year. </w:t>
      </w:r>
      <w:r w:rsidRPr="001C2D09" w:rsidR="00F619DF">
        <w:rPr>
          <w:spacing w:val="-3"/>
          <w:sz w:val="22"/>
          <w:szCs w:val="22"/>
          <w:shd w:val="clear" w:color="auto" w:fill="FFFFFF"/>
        </w:rPr>
        <w:t xml:space="preserve"> </w:t>
      </w:r>
      <w:r w:rsidRPr="522AA3A9">
        <w:rPr>
          <w:i/>
          <w:iCs/>
          <w:spacing w:val="-3"/>
          <w:sz w:val="22"/>
          <w:szCs w:val="22"/>
          <w:shd w:val="clear" w:color="auto" w:fill="FFFFFF"/>
        </w:rPr>
        <w:t xml:space="preserve">See </w:t>
      </w:r>
      <w:r w:rsidRPr="001C2D09">
        <w:rPr>
          <w:sz w:val="22"/>
          <w:szCs w:val="22"/>
          <w:shd w:val="clear" w:color="auto" w:fill="FFFFFF"/>
        </w:rPr>
        <w:t xml:space="preserve">47 CFR </w:t>
      </w:r>
      <w:r w:rsidRPr="001C2D09" w:rsidR="0024517D">
        <w:rPr>
          <w:spacing w:val="-3"/>
          <w:sz w:val="22"/>
          <w:szCs w:val="22"/>
          <w:shd w:val="clear" w:color="auto" w:fill="FFFFFF"/>
        </w:rPr>
        <w:t>§§</w:t>
      </w:r>
      <w:r w:rsidRPr="001C2D09">
        <w:rPr>
          <w:sz w:val="22"/>
          <w:szCs w:val="22"/>
          <w:shd w:val="clear" w:color="auto" w:fill="FFFFFF"/>
        </w:rPr>
        <w:t xml:space="preserve"> 64.2003(k) and 64.2007(e)</w:t>
      </w:r>
      <w:r w:rsidRPr="001C2D09" w:rsidR="00B5707C">
        <w:rPr>
          <w:sz w:val="22"/>
          <w:szCs w:val="22"/>
          <w:shd w:val="clear" w:color="auto" w:fill="FFFFFF"/>
        </w:rPr>
        <w:t>, and</w:t>
      </w:r>
      <w:r w:rsidRPr="001C2D09">
        <w:rPr>
          <w:sz w:val="22"/>
          <w:szCs w:val="22"/>
          <w:shd w:val="clear" w:color="auto" w:fill="FFFFFF"/>
        </w:rPr>
        <w:t xml:space="preserve"> paragraphs 54-59 of the </w:t>
      </w:r>
      <w:r w:rsidRPr="522AA3A9" w:rsidR="00672169">
        <w:rPr>
          <w:i/>
          <w:iCs/>
          <w:sz w:val="22"/>
          <w:szCs w:val="22"/>
          <w:shd w:val="clear" w:color="auto" w:fill="FFFFFF"/>
        </w:rPr>
        <w:t>2007 CPNI Order</w:t>
      </w:r>
      <w:r w:rsidRPr="522AA3A9">
        <w:rPr>
          <w:i/>
          <w:iCs/>
          <w:sz w:val="22"/>
          <w:szCs w:val="22"/>
          <w:shd w:val="clear" w:color="auto" w:fill="FFFFFF"/>
        </w:rPr>
        <w:t xml:space="preserve"> </w:t>
      </w:r>
      <w:r w:rsidRPr="522AA3A9">
        <w:rPr>
          <w:sz w:val="22"/>
          <w:szCs w:val="22"/>
          <w:shd w:val="clear" w:color="auto" w:fill="FFFFFF"/>
        </w:rPr>
        <w:t>(FCC 07-22)</w:t>
      </w:r>
      <w:r w:rsidRPr="001C2D09">
        <w:rPr>
          <w:sz w:val="22"/>
          <w:szCs w:val="22"/>
          <w:shd w:val="clear" w:color="auto" w:fill="FFFFFF"/>
        </w:rPr>
        <w:t>.</w:t>
      </w:r>
    </w:p>
    <w:p w:rsidR="0037401B" w:rsidRPr="001C2D09" w:rsidP="0077092A" w14:paraId="57613B71" w14:textId="77777777">
      <w:pPr>
        <w:rPr>
          <w:spacing w:val="-3"/>
          <w:sz w:val="22"/>
          <w:szCs w:val="22"/>
          <w:shd w:val="clear" w:color="auto" w:fill="FFFFFF"/>
        </w:rPr>
      </w:pPr>
    </w:p>
    <w:p w:rsidR="003E16AC" w:rsidRPr="001C2D09" w:rsidP="0077092A" w14:paraId="27D62945" w14:textId="1D2E6788">
      <w:pPr>
        <w:rPr>
          <w:spacing w:val="-3"/>
          <w:sz w:val="22"/>
          <w:szCs w:val="22"/>
          <w:shd w:val="clear" w:color="auto" w:fill="FFFFFF"/>
        </w:rPr>
      </w:pPr>
      <w:r w:rsidRPr="001C2D09">
        <w:rPr>
          <w:b/>
          <w:bCs/>
          <w:spacing w:val="-3"/>
          <w:sz w:val="22"/>
          <w:szCs w:val="22"/>
          <w:shd w:val="clear" w:color="auto" w:fill="FFFFFF"/>
        </w:rPr>
        <w:t xml:space="preserve">(e) </w:t>
      </w:r>
      <w:r w:rsidRPr="001C2D09" w:rsidR="00005848">
        <w:rPr>
          <w:b/>
          <w:bCs/>
          <w:spacing w:val="-3"/>
          <w:sz w:val="22"/>
          <w:szCs w:val="22"/>
          <w:shd w:val="clear" w:color="auto" w:fill="FFFFFF"/>
        </w:rPr>
        <w:t>Event Histories Recordkeeping:</w:t>
      </w:r>
      <w:r w:rsidRPr="001C2D09" w:rsidR="00005848">
        <w:rPr>
          <w:spacing w:val="-3"/>
          <w:sz w:val="22"/>
          <w:szCs w:val="22"/>
          <w:shd w:val="clear" w:color="auto" w:fill="FFFFFF"/>
        </w:rPr>
        <w:t xml:space="preserve">  Telecommunications carriers </w:t>
      </w:r>
      <w:r w:rsidRPr="001C2D09" w:rsidR="00950BE7">
        <w:rPr>
          <w:spacing w:val="-3"/>
          <w:sz w:val="22"/>
          <w:szCs w:val="22"/>
          <w:shd w:val="clear" w:color="auto" w:fill="FFFFFF"/>
        </w:rPr>
        <w:t xml:space="preserve">and providers of interconnected VoIP service </w:t>
      </w:r>
      <w:r w:rsidRPr="001C2D09" w:rsidR="00005848">
        <w:rPr>
          <w:spacing w:val="-3"/>
          <w:sz w:val="22"/>
          <w:szCs w:val="22"/>
          <w:shd w:val="clear" w:color="auto" w:fill="FFFFFF"/>
        </w:rPr>
        <w:t xml:space="preserve">must establish a supervisory review process regarding carrier </w:t>
      </w:r>
      <w:r w:rsidRPr="001C2D09" w:rsidR="00950BE7">
        <w:rPr>
          <w:spacing w:val="-3"/>
          <w:sz w:val="22"/>
          <w:szCs w:val="22"/>
          <w:shd w:val="clear" w:color="auto" w:fill="FFFFFF"/>
        </w:rPr>
        <w:t xml:space="preserve">or provider </w:t>
      </w:r>
      <w:r w:rsidRPr="001C2D09" w:rsidR="00005848">
        <w:rPr>
          <w:spacing w:val="-3"/>
          <w:sz w:val="22"/>
          <w:szCs w:val="22"/>
          <w:shd w:val="clear" w:color="auto" w:fill="FFFFFF"/>
        </w:rPr>
        <w:t xml:space="preserve">compliance with the rules in Part 64 for outbound marketing situations.  To assure compliance with CPNI protections, sales personnel must obtain supervisory review of any proposed request to use CPNI for outbound marketing purposes.  Carriers </w:t>
      </w:r>
      <w:r w:rsidRPr="001C2D09" w:rsidR="00950BE7">
        <w:rPr>
          <w:spacing w:val="-3"/>
          <w:sz w:val="22"/>
          <w:szCs w:val="22"/>
          <w:shd w:val="clear" w:color="auto" w:fill="FFFFFF"/>
        </w:rPr>
        <w:t xml:space="preserve">or providers of interconnected VoIP service </w:t>
      </w:r>
      <w:r w:rsidRPr="001C2D09" w:rsidR="00005848">
        <w:rPr>
          <w:spacing w:val="-3"/>
          <w:sz w:val="22"/>
          <w:szCs w:val="22"/>
          <w:shd w:val="clear" w:color="auto" w:fill="FFFFFF"/>
        </w:rPr>
        <w:t xml:space="preserve">are required to maintain a record of these event histories for at least one year from the date of the marketing campaign. </w:t>
      </w:r>
      <w:r w:rsidRPr="001C2D09" w:rsidR="0098414F">
        <w:rPr>
          <w:spacing w:val="-3"/>
          <w:sz w:val="22"/>
          <w:szCs w:val="22"/>
          <w:shd w:val="clear" w:color="auto" w:fill="FFFFFF"/>
        </w:rPr>
        <w:t xml:space="preserve"> </w:t>
      </w:r>
      <w:r w:rsidRPr="001C2D09" w:rsidR="00A02044">
        <w:rPr>
          <w:i/>
          <w:spacing w:val="-3"/>
          <w:sz w:val="22"/>
          <w:szCs w:val="22"/>
          <w:shd w:val="clear" w:color="auto" w:fill="FFFFFF"/>
        </w:rPr>
        <w:t>See</w:t>
      </w:r>
      <w:r w:rsidRPr="001C2D09" w:rsidR="00A02044">
        <w:rPr>
          <w:spacing w:val="-3"/>
          <w:sz w:val="22"/>
          <w:szCs w:val="22"/>
          <w:shd w:val="clear" w:color="auto" w:fill="FFFFFF"/>
        </w:rPr>
        <w:t xml:space="preserve"> 47 CFR </w:t>
      </w:r>
      <w:r w:rsidRPr="001C2D09" w:rsidR="0024517D">
        <w:rPr>
          <w:spacing w:val="-3"/>
          <w:sz w:val="22"/>
          <w:szCs w:val="22"/>
          <w:shd w:val="clear" w:color="auto" w:fill="FFFFFF"/>
        </w:rPr>
        <w:t>§ </w:t>
      </w:r>
      <w:r w:rsidRPr="001C2D09" w:rsidR="00A02044">
        <w:rPr>
          <w:spacing w:val="-3"/>
          <w:sz w:val="22"/>
          <w:szCs w:val="22"/>
          <w:shd w:val="clear" w:color="auto" w:fill="FFFFFF"/>
        </w:rPr>
        <w:t xml:space="preserve">64.2009(d).  </w:t>
      </w:r>
    </w:p>
    <w:p w:rsidR="003E16AC" w:rsidRPr="001C2D09" w:rsidP="0077092A" w14:paraId="5DFA04E5" w14:textId="77777777">
      <w:pPr>
        <w:rPr>
          <w:spacing w:val="-3"/>
          <w:sz w:val="22"/>
          <w:szCs w:val="22"/>
          <w:shd w:val="clear" w:color="auto" w:fill="FFFFFF"/>
        </w:rPr>
      </w:pPr>
    </w:p>
    <w:p w:rsidR="00005848" w:rsidRPr="001C2D09" w:rsidP="0077092A" w14:paraId="5B9AB44F" w14:textId="7637DC6D">
      <w:pPr>
        <w:rPr>
          <w:spacing w:val="-3"/>
          <w:sz w:val="22"/>
          <w:szCs w:val="22"/>
          <w:shd w:val="clear" w:color="auto" w:fill="FFFFFF"/>
        </w:rPr>
      </w:pPr>
      <w:r w:rsidRPr="001C2D09">
        <w:rPr>
          <w:spacing w:val="-3"/>
          <w:sz w:val="22"/>
          <w:szCs w:val="22"/>
          <w:shd w:val="clear" w:color="auto" w:fill="FFFFFF"/>
        </w:rPr>
        <w:t xml:space="preserve">Carriers </w:t>
      </w:r>
      <w:r w:rsidRPr="001C2D09" w:rsidR="00950BE7">
        <w:rPr>
          <w:spacing w:val="-3"/>
          <w:sz w:val="22"/>
          <w:szCs w:val="22"/>
          <w:shd w:val="clear" w:color="auto" w:fill="FFFFFF"/>
        </w:rPr>
        <w:t xml:space="preserve">or providers of interconnected VoIP service </w:t>
      </w:r>
      <w:r w:rsidRPr="001C2D09">
        <w:rPr>
          <w:spacing w:val="-3"/>
          <w:sz w:val="22"/>
          <w:szCs w:val="22"/>
          <w:shd w:val="clear" w:color="auto" w:fill="FFFFFF"/>
        </w:rPr>
        <w:t xml:space="preserve">using CPNI for sales and marketing campaigns must record the </w:t>
      </w:r>
      <w:r w:rsidRPr="001C2D09" w:rsidR="00DE7430">
        <w:rPr>
          <w:spacing w:val="-3"/>
          <w:sz w:val="22"/>
          <w:szCs w:val="22"/>
          <w:shd w:val="clear" w:color="auto" w:fill="FFFFFF"/>
        </w:rPr>
        <w:t>date</w:t>
      </w:r>
      <w:r w:rsidRPr="001C2D09">
        <w:rPr>
          <w:spacing w:val="-3"/>
          <w:sz w:val="22"/>
          <w:szCs w:val="22"/>
          <w:shd w:val="clear" w:color="auto" w:fill="FFFFFF"/>
        </w:rPr>
        <w:t xml:space="preserve"> and purpose of the campaign, and what products and services were offered to customers.  Carriers </w:t>
      </w:r>
      <w:r w:rsidRPr="001C2D09" w:rsidR="00950BE7">
        <w:rPr>
          <w:spacing w:val="-3"/>
          <w:sz w:val="22"/>
          <w:szCs w:val="22"/>
          <w:shd w:val="clear" w:color="auto" w:fill="FFFFFF"/>
        </w:rPr>
        <w:t xml:space="preserve">and providers of interconnected VoIP service </w:t>
      </w:r>
      <w:r w:rsidRPr="001C2D09">
        <w:rPr>
          <w:spacing w:val="-3"/>
          <w:sz w:val="22"/>
          <w:szCs w:val="22"/>
          <w:shd w:val="clear" w:color="auto" w:fill="FFFFFF"/>
        </w:rPr>
        <w:t xml:space="preserve">are required to maintain these records for a period of at least one year.  </w:t>
      </w:r>
      <w:r w:rsidRPr="001C2D09">
        <w:rPr>
          <w:i/>
          <w:spacing w:val="-3"/>
          <w:sz w:val="22"/>
          <w:szCs w:val="22"/>
          <w:shd w:val="clear" w:color="auto" w:fill="FFFFFF"/>
        </w:rPr>
        <w:t>See</w:t>
      </w:r>
      <w:r w:rsidRPr="001C2D09">
        <w:rPr>
          <w:spacing w:val="-3"/>
          <w:sz w:val="22"/>
          <w:szCs w:val="22"/>
          <w:shd w:val="clear" w:color="auto" w:fill="FFFFFF"/>
        </w:rPr>
        <w:t xml:space="preserve"> 47 CFR </w:t>
      </w:r>
      <w:r w:rsidRPr="001C2D09" w:rsidR="0024517D">
        <w:rPr>
          <w:spacing w:val="-3"/>
          <w:sz w:val="22"/>
          <w:szCs w:val="22"/>
          <w:shd w:val="clear" w:color="auto" w:fill="FFFFFF"/>
        </w:rPr>
        <w:t>§§ </w:t>
      </w:r>
      <w:r w:rsidRPr="001C2D09" w:rsidR="00950BE7">
        <w:rPr>
          <w:spacing w:val="-3"/>
          <w:sz w:val="22"/>
          <w:szCs w:val="22"/>
          <w:shd w:val="clear" w:color="auto" w:fill="FFFFFF"/>
        </w:rPr>
        <w:t xml:space="preserve">64.2003(k), and </w:t>
      </w:r>
      <w:r w:rsidRPr="001C2D09">
        <w:rPr>
          <w:spacing w:val="-3"/>
          <w:sz w:val="22"/>
          <w:szCs w:val="22"/>
          <w:shd w:val="clear" w:color="auto" w:fill="FFFFFF"/>
        </w:rPr>
        <w:t>64.2009(c) and (d)</w:t>
      </w:r>
      <w:r w:rsidRPr="001C2D09" w:rsidR="00950BE7">
        <w:rPr>
          <w:spacing w:val="-3"/>
          <w:sz w:val="22"/>
          <w:szCs w:val="22"/>
          <w:shd w:val="clear" w:color="auto" w:fill="FFFFFF"/>
        </w:rPr>
        <w:t xml:space="preserve">, and paragraphs 54-59 of the </w:t>
      </w:r>
      <w:r w:rsidRPr="001C2D09" w:rsidR="00672169">
        <w:rPr>
          <w:i/>
          <w:spacing w:val="-3"/>
          <w:sz w:val="22"/>
          <w:szCs w:val="22"/>
          <w:shd w:val="clear" w:color="auto" w:fill="FFFFFF"/>
        </w:rPr>
        <w:t>2007 CPNI Order</w:t>
      </w:r>
      <w:r w:rsidRPr="001C2D09" w:rsidR="00950BE7">
        <w:rPr>
          <w:i/>
          <w:spacing w:val="-3"/>
          <w:sz w:val="22"/>
          <w:szCs w:val="22"/>
          <w:shd w:val="clear" w:color="auto" w:fill="FFFFFF"/>
        </w:rPr>
        <w:t xml:space="preserve"> </w:t>
      </w:r>
      <w:r w:rsidRPr="001C2D09" w:rsidR="00950BE7">
        <w:rPr>
          <w:iCs/>
          <w:spacing w:val="-3"/>
          <w:sz w:val="22"/>
          <w:szCs w:val="22"/>
          <w:shd w:val="clear" w:color="auto" w:fill="FFFFFF"/>
        </w:rPr>
        <w:t>(FCC 07-22)</w:t>
      </w:r>
      <w:r w:rsidRPr="001C2D09">
        <w:rPr>
          <w:spacing w:val="-3"/>
          <w:sz w:val="22"/>
          <w:szCs w:val="22"/>
          <w:shd w:val="clear" w:color="auto" w:fill="FFFFFF"/>
        </w:rPr>
        <w:t>.</w:t>
      </w:r>
    </w:p>
    <w:p w:rsidR="00D6777A" w:rsidRPr="001C2D09" w:rsidP="0077092A" w14:paraId="590422D9" w14:textId="77777777">
      <w:pPr>
        <w:rPr>
          <w:spacing w:val="-3"/>
          <w:sz w:val="22"/>
          <w:szCs w:val="22"/>
          <w:shd w:val="clear" w:color="auto" w:fill="FFFFFF"/>
        </w:rPr>
      </w:pPr>
    </w:p>
    <w:p w:rsidR="00950BE7" w:rsidRPr="001C2D09" w:rsidP="0077092A" w14:paraId="1EFB4907" w14:textId="0E794CE5">
      <w:pPr>
        <w:rPr>
          <w:spacing w:val="-3"/>
          <w:sz w:val="22"/>
          <w:szCs w:val="22"/>
          <w:shd w:val="clear" w:color="auto" w:fill="FFFFFF"/>
        </w:rPr>
      </w:pPr>
      <w:r w:rsidRPr="001C2D09">
        <w:rPr>
          <w:b/>
          <w:bCs/>
          <w:spacing w:val="-3"/>
          <w:sz w:val="22"/>
          <w:szCs w:val="22"/>
          <w:shd w:val="clear" w:color="auto" w:fill="FFFFFF"/>
        </w:rPr>
        <w:t>(</w:t>
      </w:r>
      <w:r w:rsidRPr="001C2D09" w:rsidR="00E00D3E">
        <w:rPr>
          <w:b/>
          <w:bCs/>
          <w:spacing w:val="-3"/>
          <w:sz w:val="22"/>
          <w:szCs w:val="22"/>
          <w:shd w:val="clear" w:color="auto" w:fill="FFFFFF"/>
        </w:rPr>
        <w:t>f</w:t>
      </w:r>
      <w:r w:rsidRPr="001C2D09">
        <w:rPr>
          <w:b/>
          <w:bCs/>
          <w:spacing w:val="-3"/>
          <w:sz w:val="22"/>
          <w:szCs w:val="22"/>
          <w:shd w:val="clear" w:color="auto" w:fill="FFFFFF"/>
        </w:rPr>
        <w:t>)</w:t>
      </w:r>
      <w:r w:rsidRPr="001C2D09" w:rsidR="00E00D3E">
        <w:rPr>
          <w:b/>
          <w:bCs/>
          <w:spacing w:val="-3"/>
          <w:sz w:val="22"/>
          <w:szCs w:val="22"/>
          <w:shd w:val="clear" w:color="auto" w:fill="FFFFFF"/>
        </w:rPr>
        <w:t xml:space="preserve"> </w:t>
      </w:r>
      <w:r w:rsidRPr="001C2D09" w:rsidR="00005848">
        <w:rPr>
          <w:b/>
          <w:bCs/>
          <w:spacing w:val="-3"/>
          <w:sz w:val="22"/>
          <w:szCs w:val="22"/>
          <w:shd w:val="clear" w:color="auto" w:fill="FFFFFF"/>
        </w:rPr>
        <w:t xml:space="preserve">Compliance Certification: </w:t>
      </w:r>
      <w:r w:rsidRPr="001C2D09" w:rsidR="00005848">
        <w:rPr>
          <w:b/>
          <w:spacing w:val="-3"/>
          <w:sz w:val="22"/>
          <w:szCs w:val="22"/>
          <w:shd w:val="clear" w:color="auto" w:fill="FFFFFF"/>
        </w:rPr>
        <w:t xml:space="preserve"> </w:t>
      </w:r>
      <w:r w:rsidRPr="001C2D09" w:rsidR="00005848">
        <w:rPr>
          <w:spacing w:val="-3"/>
          <w:sz w:val="22"/>
          <w:szCs w:val="22"/>
          <w:shd w:val="clear" w:color="auto" w:fill="FFFFFF"/>
        </w:rPr>
        <w:t xml:space="preserve">All telecommunications carriers </w:t>
      </w:r>
      <w:r w:rsidRPr="001C2D09" w:rsidR="00D6777A">
        <w:rPr>
          <w:spacing w:val="-3"/>
          <w:sz w:val="22"/>
          <w:szCs w:val="22"/>
          <w:shd w:val="clear" w:color="auto" w:fill="FFFFFF"/>
        </w:rPr>
        <w:t xml:space="preserve">and providers of interconnected VoIP service </w:t>
      </w:r>
      <w:r w:rsidRPr="001C2D09" w:rsidR="00005848">
        <w:rPr>
          <w:spacing w:val="-3"/>
          <w:sz w:val="22"/>
          <w:szCs w:val="22"/>
          <w:shd w:val="clear" w:color="auto" w:fill="FFFFFF"/>
        </w:rPr>
        <w:t xml:space="preserve">must </w:t>
      </w:r>
      <w:r w:rsidRPr="001C2D09" w:rsidR="00D6777A">
        <w:rPr>
          <w:spacing w:val="-3"/>
          <w:sz w:val="22"/>
          <w:szCs w:val="22"/>
          <w:shd w:val="clear" w:color="auto" w:fill="FFFFFF"/>
        </w:rPr>
        <w:t>file</w:t>
      </w:r>
      <w:r w:rsidRPr="001C2D09" w:rsidR="00005848">
        <w:rPr>
          <w:spacing w:val="-3"/>
          <w:sz w:val="22"/>
          <w:szCs w:val="22"/>
          <w:shd w:val="clear" w:color="auto" w:fill="FFFFFF"/>
        </w:rPr>
        <w:t xml:space="preserve"> on an annual basis a certification signed by a current corporate officer attesting that he or she has per</w:t>
      </w:r>
      <w:r w:rsidRPr="001C2D09" w:rsidR="00D6777A">
        <w:rPr>
          <w:spacing w:val="-3"/>
          <w:sz w:val="22"/>
          <w:szCs w:val="22"/>
          <w:shd w:val="clear" w:color="auto" w:fill="FFFFFF"/>
        </w:rPr>
        <w:t>sonal knowledge that the carrier/provider</w:t>
      </w:r>
      <w:r w:rsidRPr="001C2D09" w:rsidR="00005848">
        <w:rPr>
          <w:spacing w:val="-3"/>
          <w:sz w:val="22"/>
          <w:szCs w:val="22"/>
          <w:shd w:val="clear" w:color="auto" w:fill="FFFFFF"/>
        </w:rPr>
        <w:t xml:space="preserve"> is in compliance with the </w:t>
      </w:r>
      <w:r w:rsidRPr="001C2D09" w:rsidR="00D6777A">
        <w:rPr>
          <w:spacing w:val="-3"/>
          <w:sz w:val="22"/>
          <w:szCs w:val="22"/>
          <w:shd w:val="clear" w:color="auto" w:fill="FFFFFF"/>
        </w:rPr>
        <w:t xml:space="preserve">Commission’s Part 64 </w:t>
      </w:r>
      <w:r w:rsidRPr="001C2D09" w:rsidR="00005848">
        <w:rPr>
          <w:spacing w:val="-3"/>
          <w:sz w:val="22"/>
          <w:szCs w:val="22"/>
          <w:shd w:val="clear" w:color="auto" w:fill="FFFFFF"/>
        </w:rPr>
        <w:t>rules, and</w:t>
      </w:r>
      <w:r w:rsidRPr="001C2D09" w:rsidR="00F3729E">
        <w:rPr>
          <w:spacing w:val="-3"/>
          <w:sz w:val="22"/>
          <w:szCs w:val="22"/>
          <w:shd w:val="clear" w:color="auto" w:fill="FFFFFF"/>
        </w:rPr>
        <w:t xml:space="preserve"> </w:t>
      </w:r>
      <w:r w:rsidRPr="001C2D09" w:rsidR="00005848">
        <w:rPr>
          <w:spacing w:val="-3"/>
          <w:sz w:val="22"/>
          <w:szCs w:val="22"/>
          <w:shd w:val="clear" w:color="auto" w:fill="FFFFFF"/>
        </w:rPr>
        <w:t>create an accompanying state</w:t>
      </w:r>
      <w:r w:rsidRPr="001C2D09" w:rsidR="00D6777A">
        <w:rPr>
          <w:spacing w:val="-3"/>
          <w:sz w:val="22"/>
          <w:szCs w:val="22"/>
          <w:shd w:val="clear" w:color="auto" w:fill="FFFFFF"/>
        </w:rPr>
        <w:t>ment explaining how the carrier/provider</w:t>
      </w:r>
      <w:r w:rsidRPr="001C2D09" w:rsidR="00005848">
        <w:rPr>
          <w:spacing w:val="-3"/>
          <w:sz w:val="22"/>
          <w:szCs w:val="22"/>
          <w:shd w:val="clear" w:color="auto" w:fill="FFFFFF"/>
        </w:rPr>
        <w:t xml:space="preserve"> </w:t>
      </w:r>
      <w:r w:rsidRPr="001C2D09" w:rsidR="00D6777A">
        <w:rPr>
          <w:spacing w:val="-3"/>
          <w:sz w:val="22"/>
          <w:szCs w:val="22"/>
          <w:shd w:val="clear" w:color="auto" w:fill="FFFFFF"/>
        </w:rPr>
        <w:t>is</w:t>
      </w:r>
      <w:r w:rsidRPr="001C2D09" w:rsidR="00005848">
        <w:rPr>
          <w:spacing w:val="-3"/>
          <w:sz w:val="22"/>
          <w:szCs w:val="22"/>
          <w:shd w:val="clear" w:color="auto" w:fill="FFFFFF"/>
        </w:rPr>
        <w:t xml:space="preserve"> implementing our rules and safeguards.  </w:t>
      </w:r>
      <w:r w:rsidRPr="001C2D09" w:rsidR="00D6777A">
        <w:rPr>
          <w:spacing w:val="-3"/>
          <w:sz w:val="22"/>
          <w:szCs w:val="22"/>
          <w:shd w:val="clear" w:color="auto" w:fill="FFFFFF"/>
        </w:rPr>
        <w:t xml:space="preserve">In addition, the carrier/provider must include an explanation of any actions taken against data brokers and a summary of all consumer complaints received in the past year concerning the unauthorized release of CPNI.  This filing must be made annually with the </w:t>
      </w:r>
      <w:r w:rsidRPr="001C2D09" w:rsidR="0098414F">
        <w:rPr>
          <w:spacing w:val="-3"/>
          <w:sz w:val="22"/>
          <w:szCs w:val="22"/>
          <w:shd w:val="clear" w:color="auto" w:fill="FFFFFF"/>
        </w:rPr>
        <w:t>Enforcement</w:t>
      </w:r>
      <w:r w:rsidRPr="001C2D09" w:rsidR="00D6777A">
        <w:rPr>
          <w:spacing w:val="-3"/>
          <w:sz w:val="22"/>
          <w:szCs w:val="22"/>
          <w:shd w:val="clear" w:color="auto" w:fill="FFFFFF"/>
        </w:rPr>
        <w:t xml:space="preserve"> Bureau on or before March 1 in </w:t>
      </w:r>
      <w:r w:rsidRPr="001C2D09" w:rsidR="00497F7E">
        <w:rPr>
          <w:spacing w:val="-3"/>
          <w:sz w:val="22"/>
          <w:szCs w:val="22"/>
          <w:shd w:val="clear" w:color="auto" w:fill="FFFFFF"/>
        </w:rPr>
        <w:t xml:space="preserve">EB </w:t>
      </w:r>
      <w:r w:rsidRPr="001C2D09" w:rsidR="00D6777A">
        <w:rPr>
          <w:spacing w:val="-3"/>
          <w:sz w:val="22"/>
          <w:szCs w:val="22"/>
          <w:shd w:val="clear" w:color="auto" w:fill="FFFFFF"/>
        </w:rPr>
        <w:t xml:space="preserve">Docket No. </w:t>
      </w:r>
      <w:r w:rsidRPr="001C2D09" w:rsidR="00497F7E">
        <w:rPr>
          <w:spacing w:val="-3"/>
          <w:sz w:val="22"/>
          <w:szCs w:val="22"/>
          <w:shd w:val="clear" w:color="auto" w:fill="FFFFFF"/>
        </w:rPr>
        <w:t>06-36</w:t>
      </w:r>
      <w:r w:rsidRPr="001C2D09" w:rsidR="00D6777A">
        <w:rPr>
          <w:spacing w:val="-3"/>
          <w:sz w:val="22"/>
          <w:szCs w:val="22"/>
          <w:shd w:val="clear" w:color="auto" w:fill="FFFFFF"/>
        </w:rPr>
        <w:t xml:space="preserve">, for data pertaining to the previous calendar year.  </w:t>
      </w:r>
      <w:r w:rsidRPr="001C2D09" w:rsidR="00005848">
        <w:rPr>
          <w:i/>
          <w:spacing w:val="-3"/>
          <w:sz w:val="22"/>
          <w:szCs w:val="22"/>
          <w:shd w:val="clear" w:color="auto" w:fill="FFFFFF"/>
        </w:rPr>
        <w:t>See</w:t>
      </w:r>
      <w:r w:rsidRPr="001C2D09" w:rsidR="00005848">
        <w:rPr>
          <w:spacing w:val="-3"/>
          <w:sz w:val="22"/>
          <w:szCs w:val="22"/>
          <w:shd w:val="clear" w:color="auto" w:fill="FFFFFF"/>
        </w:rPr>
        <w:t xml:space="preserve"> 47 CFR </w:t>
      </w:r>
      <w:r w:rsidRPr="001C2D09">
        <w:rPr>
          <w:spacing w:val="-3"/>
          <w:sz w:val="22"/>
          <w:szCs w:val="22"/>
          <w:shd w:val="clear" w:color="auto" w:fill="FFFFFF"/>
        </w:rPr>
        <w:t>§ </w:t>
      </w:r>
      <w:r w:rsidRPr="001C2D09" w:rsidR="00005848">
        <w:rPr>
          <w:spacing w:val="-3"/>
          <w:sz w:val="22"/>
          <w:szCs w:val="22"/>
          <w:shd w:val="clear" w:color="auto" w:fill="FFFFFF"/>
        </w:rPr>
        <w:t>64.2009(e) and paragraph</w:t>
      </w:r>
      <w:r w:rsidRPr="001C2D09" w:rsidR="00497F7E">
        <w:rPr>
          <w:spacing w:val="-3"/>
          <w:sz w:val="22"/>
          <w:szCs w:val="22"/>
          <w:shd w:val="clear" w:color="auto" w:fill="FFFFFF"/>
        </w:rPr>
        <w:t>s</w:t>
      </w:r>
      <w:r w:rsidRPr="001C2D09" w:rsidR="00005848">
        <w:rPr>
          <w:spacing w:val="-3"/>
          <w:sz w:val="22"/>
          <w:szCs w:val="22"/>
          <w:shd w:val="clear" w:color="auto" w:fill="FFFFFF"/>
        </w:rPr>
        <w:t xml:space="preserve"> </w:t>
      </w:r>
      <w:r w:rsidRPr="001C2D09" w:rsidR="00646AEA">
        <w:rPr>
          <w:spacing w:val="-3"/>
          <w:sz w:val="22"/>
          <w:szCs w:val="22"/>
          <w:shd w:val="clear" w:color="auto" w:fill="FFFFFF"/>
        </w:rPr>
        <w:t>51-53</w:t>
      </w:r>
      <w:r w:rsidRPr="001C2D09" w:rsidR="00005848">
        <w:rPr>
          <w:spacing w:val="-3"/>
          <w:sz w:val="22"/>
          <w:szCs w:val="22"/>
          <w:shd w:val="clear" w:color="auto" w:fill="FFFFFF"/>
        </w:rPr>
        <w:t xml:space="preserve"> of </w:t>
      </w:r>
      <w:r w:rsidRPr="001C2D09">
        <w:rPr>
          <w:spacing w:val="-3"/>
          <w:sz w:val="22"/>
          <w:szCs w:val="22"/>
          <w:shd w:val="clear" w:color="auto" w:fill="FFFFFF"/>
        </w:rPr>
        <w:t xml:space="preserve">the </w:t>
      </w:r>
      <w:r w:rsidRPr="001C2D09" w:rsidR="00672169">
        <w:rPr>
          <w:i/>
          <w:spacing w:val="-3"/>
          <w:sz w:val="22"/>
          <w:szCs w:val="22"/>
          <w:shd w:val="clear" w:color="auto" w:fill="FFFFFF"/>
        </w:rPr>
        <w:t>2007 CPNI Order</w:t>
      </w:r>
      <w:r w:rsidRPr="001C2D09">
        <w:rPr>
          <w:i/>
          <w:spacing w:val="-3"/>
          <w:sz w:val="22"/>
          <w:szCs w:val="22"/>
          <w:shd w:val="clear" w:color="auto" w:fill="FFFFFF"/>
        </w:rPr>
        <w:t xml:space="preserve"> </w:t>
      </w:r>
      <w:r w:rsidRPr="001C2D09">
        <w:rPr>
          <w:iCs/>
          <w:spacing w:val="-3"/>
          <w:sz w:val="22"/>
          <w:szCs w:val="22"/>
          <w:shd w:val="clear" w:color="auto" w:fill="FFFFFF"/>
        </w:rPr>
        <w:t>(FCC 07-22)</w:t>
      </w:r>
      <w:r w:rsidRPr="001C2D09">
        <w:rPr>
          <w:spacing w:val="-3"/>
          <w:sz w:val="22"/>
          <w:szCs w:val="22"/>
          <w:shd w:val="clear" w:color="auto" w:fill="FFFFFF"/>
        </w:rPr>
        <w:t>.</w:t>
      </w:r>
    </w:p>
    <w:p w:rsidR="004A4DF7" w:rsidRPr="001C2D09" w:rsidP="0077092A" w14:paraId="49503BE4" w14:textId="70B0A84B">
      <w:pPr>
        <w:rPr>
          <w:spacing w:val="-3"/>
          <w:sz w:val="22"/>
          <w:szCs w:val="22"/>
          <w:shd w:val="clear" w:color="auto" w:fill="FFFFFF"/>
        </w:rPr>
      </w:pPr>
      <w:r w:rsidRPr="001C2D09">
        <w:rPr>
          <w:spacing w:val="-3"/>
          <w:sz w:val="22"/>
          <w:szCs w:val="22"/>
          <w:shd w:val="clear" w:color="auto" w:fill="FFFFFF"/>
        </w:rPr>
        <w:t xml:space="preserve"> </w:t>
      </w:r>
    </w:p>
    <w:p w:rsidR="00426B11" w:rsidRPr="001C2D09" w:rsidP="0077092A" w14:paraId="2616873A" w14:textId="1289536E">
      <w:pPr>
        <w:rPr>
          <w:spacing w:val="-3"/>
          <w:sz w:val="22"/>
          <w:szCs w:val="22"/>
          <w:shd w:val="clear" w:color="auto" w:fill="FFFFFF"/>
        </w:rPr>
      </w:pPr>
      <w:r w:rsidRPr="001C2D09">
        <w:rPr>
          <w:b/>
          <w:bCs/>
          <w:spacing w:val="-3"/>
          <w:sz w:val="22"/>
          <w:szCs w:val="22"/>
          <w:shd w:val="clear" w:color="auto" w:fill="FFFFFF"/>
        </w:rPr>
        <w:t>(</w:t>
      </w:r>
      <w:r w:rsidRPr="001C2D09" w:rsidR="00DD23C0">
        <w:rPr>
          <w:b/>
          <w:bCs/>
          <w:spacing w:val="-3"/>
          <w:sz w:val="22"/>
          <w:szCs w:val="22"/>
          <w:shd w:val="clear" w:color="auto" w:fill="FFFFFF"/>
        </w:rPr>
        <w:t>g</w:t>
      </w:r>
      <w:r w:rsidRPr="001C2D09">
        <w:rPr>
          <w:b/>
          <w:bCs/>
          <w:spacing w:val="-3"/>
          <w:sz w:val="22"/>
          <w:szCs w:val="22"/>
          <w:shd w:val="clear" w:color="auto" w:fill="FFFFFF"/>
        </w:rPr>
        <w:t xml:space="preserve">) Aggregate Customer Information Disclosure Requirements (47 USC </w:t>
      </w:r>
      <w:r w:rsidRPr="001C2D09" w:rsidR="0024517D">
        <w:rPr>
          <w:b/>
          <w:bCs/>
          <w:spacing w:val="-3"/>
          <w:sz w:val="22"/>
          <w:szCs w:val="22"/>
          <w:shd w:val="clear" w:color="auto" w:fill="FFFFFF"/>
        </w:rPr>
        <w:t>§ </w:t>
      </w:r>
      <w:r w:rsidRPr="001C2D09">
        <w:rPr>
          <w:b/>
          <w:bCs/>
          <w:spacing w:val="-3"/>
          <w:sz w:val="22"/>
          <w:szCs w:val="22"/>
          <w:shd w:val="clear" w:color="auto" w:fill="FFFFFF"/>
        </w:rPr>
        <w:t>222(c)(3</w:t>
      </w:r>
      <w:r w:rsidRPr="001C2D09">
        <w:rPr>
          <w:spacing w:val="-3"/>
          <w:sz w:val="22"/>
          <w:szCs w:val="22"/>
          <w:shd w:val="clear" w:color="auto" w:fill="FFFFFF"/>
        </w:rPr>
        <w:t xml:space="preserve">)):  </w:t>
      </w:r>
      <w:r w:rsidRPr="001C2D09" w:rsidR="00576824">
        <w:rPr>
          <w:spacing w:val="-3"/>
          <w:sz w:val="22"/>
          <w:szCs w:val="22"/>
          <w:shd w:val="clear" w:color="auto" w:fill="FFFFFF"/>
        </w:rPr>
        <w:t>Local exchange carriers (</w:t>
      </w:r>
      <w:r w:rsidRPr="001C2D09">
        <w:rPr>
          <w:spacing w:val="-3"/>
          <w:sz w:val="22"/>
          <w:szCs w:val="22"/>
          <w:shd w:val="clear" w:color="auto" w:fill="FFFFFF"/>
        </w:rPr>
        <w:t>LECs</w:t>
      </w:r>
      <w:r w:rsidRPr="001C2D09" w:rsidR="00576824">
        <w:rPr>
          <w:spacing w:val="-3"/>
          <w:sz w:val="22"/>
          <w:szCs w:val="22"/>
          <w:shd w:val="clear" w:color="auto" w:fill="FFFFFF"/>
        </w:rPr>
        <w:t>)</w:t>
      </w:r>
      <w:r w:rsidRPr="001C2D09">
        <w:rPr>
          <w:spacing w:val="-3"/>
          <w:sz w:val="22"/>
          <w:szCs w:val="22"/>
          <w:shd w:val="clear" w:color="auto" w:fill="FFFFFF"/>
        </w:rPr>
        <w:t xml:space="preserve"> and providers of interconnected VoIP service must disclose aggregate customer information to others upon request, when they use or disclose the aggregate customer information for the purposes of marketing service to which the customer does not subscribe.  </w:t>
      </w:r>
      <w:r w:rsidRPr="001C2D09">
        <w:rPr>
          <w:i/>
          <w:spacing w:val="-3"/>
          <w:sz w:val="22"/>
          <w:szCs w:val="22"/>
          <w:shd w:val="clear" w:color="auto" w:fill="FFFFFF"/>
        </w:rPr>
        <w:t>See</w:t>
      </w:r>
      <w:r w:rsidRPr="001C2D09">
        <w:rPr>
          <w:spacing w:val="-3"/>
          <w:sz w:val="22"/>
          <w:szCs w:val="22"/>
          <w:shd w:val="clear" w:color="auto" w:fill="FFFFFF"/>
        </w:rPr>
        <w:t xml:space="preserve"> 47 CFR </w:t>
      </w:r>
      <w:r w:rsidRPr="001C2D09" w:rsidR="0024517D">
        <w:rPr>
          <w:spacing w:val="-3"/>
          <w:sz w:val="22"/>
          <w:szCs w:val="22"/>
          <w:shd w:val="clear" w:color="auto" w:fill="FFFFFF"/>
        </w:rPr>
        <w:t>§ </w:t>
      </w:r>
      <w:r w:rsidRPr="001C2D09">
        <w:rPr>
          <w:spacing w:val="-3"/>
          <w:sz w:val="22"/>
          <w:szCs w:val="22"/>
          <w:shd w:val="clear" w:color="auto" w:fill="FFFFFF"/>
        </w:rPr>
        <w:t xml:space="preserve">64.2003(k) and paragraphs 54-59 of the </w:t>
      </w:r>
      <w:r w:rsidRPr="001C2D09">
        <w:rPr>
          <w:i/>
          <w:spacing w:val="-3"/>
          <w:sz w:val="22"/>
          <w:szCs w:val="22"/>
          <w:shd w:val="clear" w:color="auto" w:fill="FFFFFF"/>
        </w:rPr>
        <w:t xml:space="preserve">Report and Order and Further Notice of Proposed Rulemaking </w:t>
      </w:r>
      <w:r w:rsidRPr="001C2D09">
        <w:rPr>
          <w:iCs/>
          <w:spacing w:val="-3"/>
          <w:sz w:val="22"/>
          <w:szCs w:val="22"/>
          <w:shd w:val="clear" w:color="auto" w:fill="FFFFFF"/>
        </w:rPr>
        <w:t>(FCC 07-22)</w:t>
      </w:r>
      <w:r w:rsidRPr="001C2D09">
        <w:rPr>
          <w:spacing w:val="-3"/>
          <w:sz w:val="22"/>
          <w:szCs w:val="22"/>
          <w:shd w:val="clear" w:color="auto" w:fill="FFFFFF"/>
        </w:rPr>
        <w:t>.</w:t>
      </w:r>
    </w:p>
    <w:p w:rsidR="00426B11" w:rsidRPr="001C2D09" w:rsidP="0077092A" w14:paraId="494E770A" w14:textId="7F576A8C">
      <w:pPr>
        <w:rPr>
          <w:b/>
          <w:spacing w:val="-3"/>
          <w:sz w:val="22"/>
          <w:szCs w:val="22"/>
          <w:shd w:val="clear" w:color="auto" w:fill="FFFFFF"/>
        </w:rPr>
      </w:pPr>
    </w:p>
    <w:p w:rsidR="00426B11" w:rsidRPr="001C2D09" w:rsidP="0077092A" w14:paraId="79FE2C41" w14:textId="0A27AE75">
      <w:pPr>
        <w:rPr>
          <w:spacing w:val="-3"/>
          <w:sz w:val="22"/>
          <w:szCs w:val="22"/>
          <w:shd w:val="clear" w:color="auto" w:fill="FFFFFF"/>
        </w:rPr>
      </w:pPr>
      <w:r w:rsidRPr="001C2D09">
        <w:rPr>
          <w:b/>
          <w:bCs/>
          <w:spacing w:val="-3"/>
          <w:sz w:val="22"/>
          <w:szCs w:val="22"/>
          <w:shd w:val="clear" w:color="auto" w:fill="FFFFFF"/>
        </w:rPr>
        <w:t>(h) CPNI Disclosure to Third Parties:</w:t>
      </w:r>
      <w:r w:rsidRPr="001C2D09">
        <w:rPr>
          <w:spacing w:val="-3"/>
          <w:sz w:val="22"/>
          <w:szCs w:val="22"/>
          <w:shd w:val="clear" w:color="auto" w:fill="FFFFFF"/>
        </w:rPr>
        <w:t xml:space="preserve">  Section 222(c)(2) requires carriers, when presented with a customer’s affirmative written request, to provide that customer's CPNI to any person designated in the written authorization.  Section 222(c)(2) also imposes a disclosure requirement on carriers to ensure that any party with customer authorization, including unaffiliated third</w:t>
      </w:r>
      <w:r w:rsidRPr="001C2D09" w:rsidR="55696BD6">
        <w:rPr>
          <w:spacing w:val="-3"/>
          <w:sz w:val="22"/>
          <w:szCs w:val="22"/>
          <w:shd w:val="clear" w:color="auto" w:fill="FFFFFF"/>
        </w:rPr>
        <w:t>-</w:t>
      </w:r>
      <w:r w:rsidRPr="001C2D09">
        <w:rPr>
          <w:spacing w:val="-3"/>
          <w:sz w:val="22"/>
          <w:szCs w:val="22"/>
          <w:shd w:val="clear" w:color="auto" w:fill="FFFFFF"/>
        </w:rPr>
        <w:t xml:space="preserve">party competitors, can obtain access to individually identifiable CPNI.  As such, carriers and providers of interconnected VoIP service must provide a customer's CPNI to any party that has obtained an affirmative written authorization from the customer.  </w:t>
      </w:r>
      <w:r w:rsidRPr="001C2D09">
        <w:rPr>
          <w:i/>
          <w:iCs/>
          <w:spacing w:val="-3"/>
          <w:sz w:val="22"/>
          <w:szCs w:val="22"/>
          <w:shd w:val="clear" w:color="auto" w:fill="FFFFFF"/>
        </w:rPr>
        <w:t>See</w:t>
      </w:r>
      <w:r w:rsidRPr="001C2D09">
        <w:rPr>
          <w:spacing w:val="-3"/>
          <w:sz w:val="22"/>
          <w:szCs w:val="22"/>
          <w:shd w:val="clear" w:color="auto" w:fill="FFFFFF"/>
        </w:rPr>
        <w:t xml:space="preserve"> 47 CFR </w:t>
      </w:r>
      <w:r w:rsidRPr="001C2D09" w:rsidR="0024517D">
        <w:rPr>
          <w:spacing w:val="-3"/>
          <w:sz w:val="22"/>
          <w:szCs w:val="22"/>
          <w:shd w:val="clear" w:color="auto" w:fill="FFFFFF"/>
        </w:rPr>
        <w:t>§ </w:t>
      </w:r>
      <w:r w:rsidRPr="001C2D09">
        <w:rPr>
          <w:spacing w:val="-3"/>
          <w:sz w:val="22"/>
          <w:szCs w:val="22"/>
          <w:shd w:val="clear" w:color="auto" w:fill="FFFFFF"/>
        </w:rPr>
        <w:t xml:space="preserve">64.2003(k) and paragraphs 54-59 of the </w:t>
      </w:r>
      <w:r w:rsidRPr="001C2D09">
        <w:rPr>
          <w:i/>
          <w:iCs/>
          <w:spacing w:val="-3"/>
          <w:sz w:val="22"/>
          <w:szCs w:val="22"/>
          <w:shd w:val="clear" w:color="auto" w:fill="FFFFFF"/>
        </w:rPr>
        <w:t xml:space="preserve">Report and Order and Further Notice of Proposed Rulemaking </w:t>
      </w:r>
      <w:r w:rsidRPr="001C2D09">
        <w:rPr>
          <w:spacing w:val="-3"/>
          <w:sz w:val="22"/>
          <w:szCs w:val="22"/>
          <w:shd w:val="clear" w:color="auto" w:fill="FFFFFF"/>
        </w:rPr>
        <w:t>(FCC 07-22).</w:t>
      </w:r>
    </w:p>
    <w:p w:rsidR="00E00D3E" w:rsidRPr="001C2D09" w:rsidP="00E00D3E" w14:paraId="1CBA2AEB" w14:textId="77777777">
      <w:pPr>
        <w:pStyle w:val="ListParagraph"/>
        <w:ind w:left="0"/>
        <w:rPr>
          <w:spacing w:val="-3"/>
          <w:sz w:val="22"/>
          <w:szCs w:val="22"/>
          <w:shd w:val="clear" w:color="auto" w:fill="FFFFFF"/>
        </w:rPr>
      </w:pPr>
    </w:p>
    <w:p w:rsidR="00960C6C" w:rsidRPr="001C2D09" w:rsidP="0024517D" w14:paraId="530282E8" w14:textId="12030237">
      <w:pPr>
        <w:pStyle w:val="ListParagraph"/>
        <w:spacing w:after="120"/>
        <w:ind w:left="0"/>
        <w:rPr>
          <w:sz w:val="22"/>
          <w:szCs w:val="22"/>
          <w:shd w:val="clear" w:color="auto" w:fill="FFFFFF"/>
        </w:rPr>
      </w:pPr>
      <w:r w:rsidRPr="001C2D09">
        <w:rPr>
          <w:b/>
          <w:bCs/>
          <w:spacing w:val="-3"/>
          <w:sz w:val="22"/>
          <w:szCs w:val="22"/>
          <w:shd w:val="clear" w:color="auto" w:fill="FFFFFF"/>
        </w:rPr>
        <w:t xml:space="preserve">(i) </w:t>
      </w:r>
      <w:r w:rsidRPr="001C2D09" w:rsidR="0015064F">
        <w:rPr>
          <w:b/>
          <w:bCs/>
          <w:spacing w:val="-3"/>
          <w:sz w:val="22"/>
          <w:szCs w:val="22"/>
          <w:shd w:val="clear" w:color="auto" w:fill="FFFFFF"/>
        </w:rPr>
        <w:t xml:space="preserve">Safeguards Required for Use of </w:t>
      </w:r>
      <w:r w:rsidRPr="001C2D09" w:rsidR="00DF7984">
        <w:rPr>
          <w:b/>
          <w:bCs/>
          <w:spacing w:val="-3"/>
          <w:sz w:val="22"/>
          <w:szCs w:val="22"/>
          <w:shd w:val="clear" w:color="auto" w:fill="FFFFFF"/>
        </w:rPr>
        <w:t>CPNI</w:t>
      </w:r>
      <w:r w:rsidRPr="001C2D09" w:rsidR="00B60E3F">
        <w:rPr>
          <w:b/>
          <w:bCs/>
          <w:spacing w:val="-3"/>
          <w:sz w:val="22"/>
          <w:szCs w:val="22"/>
          <w:shd w:val="clear" w:color="auto" w:fill="FFFFFF"/>
        </w:rPr>
        <w:t>:</w:t>
      </w:r>
      <w:r w:rsidRPr="001C2D09" w:rsidR="00DF7984">
        <w:rPr>
          <w:spacing w:val="-3"/>
          <w:sz w:val="22"/>
          <w:szCs w:val="22"/>
          <w:shd w:val="clear" w:color="auto" w:fill="FFFFFF"/>
        </w:rPr>
        <w:t xml:space="preserve">  </w:t>
      </w:r>
      <w:r w:rsidRPr="001C2D09" w:rsidR="003971A8">
        <w:rPr>
          <w:spacing w:val="-3"/>
          <w:sz w:val="22"/>
          <w:szCs w:val="22"/>
          <w:shd w:val="clear" w:color="auto" w:fill="FFFFFF"/>
        </w:rPr>
        <w:t xml:space="preserve">In instances where carriers </w:t>
      </w:r>
      <w:r w:rsidRPr="001C2D09" w:rsidR="00950BE7">
        <w:rPr>
          <w:spacing w:val="-3"/>
          <w:sz w:val="22"/>
          <w:szCs w:val="22"/>
          <w:shd w:val="clear" w:color="auto" w:fill="FFFFFF"/>
        </w:rPr>
        <w:t xml:space="preserve">or providers of interconnected VoIP service </w:t>
      </w:r>
      <w:r w:rsidRPr="001C2D09" w:rsidR="003971A8">
        <w:rPr>
          <w:spacing w:val="-3"/>
          <w:sz w:val="22"/>
          <w:szCs w:val="22"/>
          <w:shd w:val="clear" w:color="auto" w:fill="FFFFFF"/>
        </w:rPr>
        <w:t>use</w:t>
      </w:r>
      <w:r w:rsidRPr="001C2D09" w:rsidR="00DF7984">
        <w:rPr>
          <w:spacing w:val="-3"/>
          <w:sz w:val="22"/>
          <w:szCs w:val="22"/>
          <w:shd w:val="clear" w:color="auto" w:fill="FFFFFF"/>
        </w:rPr>
        <w:t xml:space="preserve"> the </w:t>
      </w:r>
      <w:r w:rsidRPr="001C2D09" w:rsidR="001327A7">
        <w:rPr>
          <w:spacing w:val="-3"/>
          <w:sz w:val="22"/>
          <w:szCs w:val="22"/>
          <w:shd w:val="clear" w:color="auto" w:fill="FFFFFF"/>
        </w:rPr>
        <w:t>carrier</w:t>
      </w:r>
      <w:r w:rsidRPr="001C2D09" w:rsidR="55EC41AC">
        <w:rPr>
          <w:spacing w:val="-3"/>
          <w:sz w:val="22"/>
          <w:szCs w:val="22"/>
          <w:shd w:val="clear" w:color="auto" w:fill="FFFFFF"/>
        </w:rPr>
        <w:t>’</w:t>
      </w:r>
      <w:r w:rsidRPr="001C2D09" w:rsidR="001327A7">
        <w:rPr>
          <w:spacing w:val="-3"/>
          <w:sz w:val="22"/>
          <w:szCs w:val="22"/>
          <w:shd w:val="clear" w:color="auto" w:fill="FFFFFF"/>
        </w:rPr>
        <w:t xml:space="preserve">s </w:t>
      </w:r>
      <w:r w:rsidRPr="001C2D09" w:rsidR="00DF7984">
        <w:rPr>
          <w:spacing w:val="-3"/>
          <w:sz w:val="22"/>
          <w:szCs w:val="22"/>
          <w:shd w:val="clear" w:color="auto" w:fill="FFFFFF"/>
        </w:rPr>
        <w:t>opt-out mechanism, they</w:t>
      </w:r>
      <w:r w:rsidRPr="001C2D09" w:rsidR="00DF7984">
        <w:rPr>
          <w:sz w:val="22"/>
          <w:szCs w:val="22"/>
          <w:shd w:val="clear" w:color="auto" w:fill="FFFFFF"/>
        </w:rPr>
        <w:t xml:space="preserve"> must provide written notice within five business days to the Commission of any instance where the opt-out mechanisms do not work properly, to such a degree that consumers’ inability to opt-out is more than an anomaly.  </w:t>
      </w:r>
    </w:p>
    <w:p w:rsidR="00657148" w:rsidRPr="001C2D09" w:rsidP="0024517D" w14:paraId="2264D5E0" w14:textId="48006A5C">
      <w:pPr>
        <w:spacing w:after="120"/>
        <w:rPr>
          <w:sz w:val="22"/>
          <w:szCs w:val="22"/>
          <w:shd w:val="clear" w:color="auto" w:fill="FFFFFF"/>
        </w:rPr>
      </w:pPr>
      <w:r w:rsidRPr="001C2D09">
        <w:rPr>
          <w:sz w:val="22"/>
          <w:szCs w:val="22"/>
          <w:shd w:val="clear" w:color="auto" w:fill="FFFFFF"/>
        </w:rPr>
        <w:t>The notice shall be in the form of a letter, and include the following:</w:t>
      </w:r>
      <w:r w:rsidRPr="001C2D09" w:rsidR="0024517D">
        <w:rPr>
          <w:sz w:val="22"/>
          <w:szCs w:val="22"/>
          <w:shd w:val="clear" w:color="auto" w:fill="FFFFFF"/>
        </w:rPr>
        <w:t xml:space="preserve">  </w:t>
      </w:r>
    </w:p>
    <w:p w:rsidR="00657148" w:rsidRPr="001C2D09" w:rsidP="00E00D3E" w14:paraId="3871B77F" w14:textId="77777777">
      <w:pPr>
        <w:pStyle w:val="ListParagraph"/>
        <w:numPr>
          <w:ilvl w:val="3"/>
          <w:numId w:val="77"/>
        </w:numPr>
        <w:ind w:left="720"/>
        <w:rPr>
          <w:sz w:val="22"/>
          <w:szCs w:val="22"/>
          <w:shd w:val="clear" w:color="auto" w:fill="FFFFFF"/>
        </w:rPr>
      </w:pPr>
      <w:r w:rsidRPr="001C2D09">
        <w:rPr>
          <w:sz w:val="22"/>
          <w:szCs w:val="22"/>
          <w:shd w:val="clear" w:color="auto" w:fill="FFFFFF"/>
        </w:rPr>
        <w:t xml:space="preserve">carrier’s </w:t>
      </w:r>
      <w:r w:rsidRPr="001C2D09" w:rsidR="00950BE7">
        <w:rPr>
          <w:sz w:val="22"/>
          <w:szCs w:val="22"/>
          <w:shd w:val="clear" w:color="auto" w:fill="FFFFFF"/>
        </w:rPr>
        <w:t xml:space="preserve">or provider’s </w:t>
      </w:r>
      <w:r w:rsidRPr="001C2D09">
        <w:rPr>
          <w:sz w:val="22"/>
          <w:szCs w:val="22"/>
          <w:shd w:val="clear" w:color="auto" w:fill="FFFFFF"/>
        </w:rPr>
        <w:t xml:space="preserve">name, </w:t>
      </w:r>
    </w:p>
    <w:p w:rsidR="00657148" w:rsidRPr="001C2D09" w:rsidP="00E00D3E" w14:paraId="7C23FBEF" w14:textId="77777777">
      <w:pPr>
        <w:pStyle w:val="ListParagraph"/>
        <w:numPr>
          <w:ilvl w:val="3"/>
          <w:numId w:val="77"/>
        </w:numPr>
        <w:ind w:left="720"/>
        <w:rPr>
          <w:sz w:val="22"/>
          <w:szCs w:val="22"/>
          <w:shd w:val="clear" w:color="auto" w:fill="FFFFFF"/>
        </w:rPr>
      </w:pPr>
      <w:r w:rsidRPr="001C2D09">
        <w:rPr>
          <w:sz w:val="22"/>
          <w:szCs w:val="22"/>
          <w:shd w:val="clear" w:color="auto" w:fill="FFFFFF"/>
        </w:rPr>
        <w:t xml:space="preserve">a description of the opt-out mechanism(s) used, </w:t>
      </w:r>
    </w:p>
    <w:p w:rsidR="00657148" w:rsidRPr="001C2D09" w:rsidP="00E00D3E" w14:paraId="06F4AE97" w14:textId="77777777">
      <w:pPr>
        <w:pStyle w:val="ListParagraph"/>
        <w:numPr>
          <w:ilvl w:val="3"/>
          <w:numId w:val="77"/>
        </w:numPr>
        <w:ind w:left="720"/>
        <w:rPr>
          <w:sz w:val="22"/>
          <w:szCs w:val="22"/>
          <w:shd w:val="clear" w:color="auto" w:fill="FFFFFF"/>
        </w:rPr>
      </w:pPr>
      <w:r w:rsidRPr="001C2D09">
        <w:rPr>
          <w:sz w:val="22"/>
          <w:szCs w:val="22"/>
          <w:shd w:val="clear" w:color="auto" w:fill="FFFFFF"/>
        </w:rPr>
        <w:t xml:space="preserve">the problem(s) experienced, </w:t>
      </w:r>
    </w:p>
    <w:p w:rsidR="00657148" w:rsidRPr="001C2D09" w:rsidP="00E00D3E" w14:paraId="2047A415" w14:textId="77777777">
      <w:pPr>
        <w:pStyle w:val="ListParagraph"/>
        <w:numPr>
          <w:ilvl w:val="3"/>
          <w:numId w:val="77"/>
        </w:numPr>
        <w:ind w:left="720"/>
        <w:rPr>
          <w:sz w:val="22"/>
          <w:szCs w:val="22"/>
          <w:shd w:val="clear" w:color="auto" w:fill="FFFFFF"/>
        </w:rPr>
      </w:pPr>
      <w:r w:rsidRPr="001C2D09">
        <w:rPr>
          <w:sz w:val="22"/>
          <w:szCs w:val="22"/>
          <w:shd w:val="clear" w:color="auto" w:fill="FFFFFF"/>
        </w:rPr>
        <w:t xml:space="preserve">the remedy proposed and when it will be/was implemented, </w:t>
      </w:r>
    </w:p>
    <w:p w:rsidR="00657148" w:rsidRPr="001C2D09" w:rsidP="00E00D3E" w14:paraId="6392E883" w14:textId="77777777">
      <w:pPr>
        <w:pStyle w:val="ListParagraph"/>
        <w:numPr>
          <w:ilvl w:val="3"/>
          <w:numId w:val="77"/>
        </w:numPr>
        <w:ind w:left="720"/>
        <w:rPr>
          <w:sz w:val="22"/>
          <w:szCs w:val="22"/>
          <w:shd w:val="clear" w:color="auto" w:fill="FFFFFF"/>
        </w:rPr>
      </w:pPr>
      <w:r w:rsidRPr="001C2D09">
        <w:rPr>
          <w:sz w:val="22"/>
          <w:szCs w:val="22"/>
          <w:shd w:val="clear" w:color="auto" w:fill="FFFFFF"/>
        </w:rPr>
        <w:t>whether the relevant state commission(s) has been notified</w:t>
      </w:r>
      <w:r w:rsidRPr="001C2D09" w:rsidR="00C139ED">
        <w:rPr>
          <w:sz w:val="22"/>
          <w:szCs w:val="22"/>
          <w:shd w:val="clear" w:color="auto" w:fill="FFFFFF"/>
        </w:rPr>
        <w:t>,</w:t>
      </w:r>
      <w:r w:rsidRPr="001C2D09">
        <w:rPr>
          <w:sz w:val="22"/>
          <w:szCs w:val="22"/>
          <w:shd w:val="clear" w:color="auto" w:fill="FFFFFF"/>
        </w:rPr>
        <w:t xml:space="preserve"> and whether it has taken any action, </w:t>
      </w:r>
    </w:p>
    <w:p w:rsidR="00657148" w:rsidRPr="001C2D09" w:rsidP="00E00D3E" w14:paraId="060B0AC5" w14:textId="77777777">
      <w:pPr>
        <w:pStyle w:val="ListParagraph"/>
        <w:numPr>
          <w:ilvl w:val="3"/>
          <w:numId w:val="77"/>
        </w:numPr>
        <w:ind w:left="720"/>
        <w:rPr>
          <w:sz w:val="22"/>
          <w:szCs w:val="22"/>
          <w:shd w:val="clear" w:color="auto" w:fill="FFFFFF"/>
        </w:rPr>
      </w:pPr>
      <w:r w:rsidRPr="001C2D09">
        <w:rPr>
          <w:sz w:val="22"/>
          <w:szCs w:val="22"/>
          <w:shd w:val="clear" w:color="auto" w:fill="FFFFFF"/>
        </w:rPr>
        <w:t xml:space="preserve">a copy of the notice provided to customers, and </w:t>
      </w:r>
    </w:p>
    <w:p w:rsidR="00657148" w:rsidRPr="001C2D09" w:rsidP="00E00D3E" w14:paraId="1BCDA54E" w14:textId="77777777">
      <w:pPr>
        <w:pStyle w:val="ListParagraph"/>
        <w:numPr>
          <w:ilvl w:val="3"/>
          <w:numId w:val="77"/>
        </w:numPr>
        <w:ind w:left="720"/>
        <w:rPr>
          <w:sz w:val="22"/>
          <w:szCs w:val="22"/>
          <w:shd w:val="clear" w:color="auto" w:fill="FFFFFF"/>
        </w:rPr>
      </w:pPr>
      <w:r w:rsidRPr="001C2D09">
        <w:rPr>
          <w:spacing w:val="-3"/>
          <w:sz w:val="22"/>
          <w:szCs w:val="22"/>
          <w:shd w:val="clear" w:color="auto" w:fill="FFFFFF"/>
        </w:rPr>
        <w:t>contact</w:t>
      </w:r>
      <w:r w:rsidRPr="001C2D09">
        <w:rPr>
          <w:sz w:val="22"/>
          <w:szCs w:val="22"/>
          <w:shd w:val="clear" w:color="auto" w:fill="FFFFFF"/>
        </w:rPr>
        <w:t xml:space="preserve"> information.  </w:t>
      </w:r>
    </w:p>
    <w:p w:rsidR="00702028" w:rsidRPr="001C2D09" w:rsidP="0077092A" w14:paraId="3B4B5F4D" w14:textId="77777777">
      <w:pPr>
        <w:rPr>
          <w:sz w:val="22"/>
          <w:szCs w:val="22"/>
          <w:shd w:val="clear" w:color="auto" w:fill="FFFFFF"/>
        </w:rPr>
      </w:pPr>
    </w:p>
    <w:p w:rsidR="00950BE7" w:rsidRPr="001C2D09" w:rsidP="0077092A" w14:paraId="5593EF21" w14:textId="6C0792D2">
      <w:pPr>
        <w:rPr>
          <w:spacing w:val="-3"/>
          <w:sz w:val="22"/>
          <w:szCs w:val="22"/>
          <w:shd w:val="clear" w:color="auto" w:fill="FFFFFF"/>
        </w:rPr>
      </w:pPr>
      <w:r w:rsidRPr="001C2D09">
        <w:rPr>
          <w:sz w:val="22"/>
          <w:szCs w:val="22"/>
          <w:shd w:val="clear" w:color="auto" w:fill="FFFFFF"/>
        </w:rPr>
        <w:t>S</w:t>
      </w:r>
      <w:r w:rsidRPr="001C2D09" w:rsidR="00DF7984">
        <w:rPr>
          <w:sz w:val="22"/>
          <w:szCs w:val="22"/>
          <w:shd w:val="clear" w:color="auto" w:fill="FFFFFF"/>
        </w:rPr>
        <w:t xml:space="preserve">uch notice must be submitted even if the carrier </w:t>
      </w:r>
      <w:r w:rsidRPr="001C2D09" w:rsidR="0098414F">
        <w:rPr>
          <w:sz w:val="22"/>
          <w:szCs w:val="22"/>
          <w:shd w:val="clear" w:color="auto" w:fill="FFFFFF"/>
        </w:rPr>
        <w:t xml:space="preserve">or provider </w:t>
      </w:r>
      <w:r w:rsidRPr="001C2D09" w:rsidR="00DF7984">
        <w:rPr>
          <w:sz w:val="22"/>
          <w:szCs w:val="22"/>
          <w:shd w:val="clear" w:color="auto" w:fill="FFFFFF"/>
        </w:rPr>
        <w:t xml:space="preserve">offers other methods by which consumers may opt-out.  </w:t>
      </w:r>
      <w:r w:rsidRPr="001C2D09" w:rsidR="00DF7984">
        <w:rPr>
          <w:i/>
          <w:sz w:val="22"/>
          <w:szCs w:val="22"/>
          <w:shd w:val="clear" w:color="auto" w:fill="FFFFFF"/>
        </w:rPr>
        <w:t>See</w:t>
      </w:r>
      <w:r w:rsidRPr="001C2D09" w:rsidR="00DF7984">
        <w:rPr>
          <w:sz w:val="22"/>
          <w:szCs w:val="22"/>
          <w:shd w:val="clear" w:color="auto" w:fill="FFFFFF"/>
        </w:rPr>
        <w:t xml:space="preserve"> 47 CFR Section</w:t>
      </w:r>
      <w:r w:rsidRPr="001C2D09">
        <w:rPr>
          <w:sz w:val="22"/>
          <w:szCs w:val="22"/>
          <w:shd w:val="clear" w:color="auto" w:fill="FFFFFF"/>
        </w:rPr>
        <w:t>s 64.2003(k) and</w:t>
      </w:r>
      <w:r w:rsidRPr="001C2D09" w:rsidR="00DF7984">
        <w:rPr>
          <w:sz w:val="22"/>
          <w:szCs w:val="22"/>
          <w:shd w:val="clear" w:color="auto" w:fill="FFFFFF"/>
        </w:rPr>
        <w:t xml:space="preserve"> 64.2009(f)</w:t>
      </w:r>
      <w:r w:rsidRPr="001C2D09">
        <w:rPr>
          <w:sz w:val="22"/>
          <w:szCs w:val="22"/>
          <w:shd w:val="clear" w:color="auto" w:fill="FFFFFF"/>
        </w:rPr>
        <w:t xml:space="preserve">, </w:t>
      </w:r>
      <w:r w:rsidRPr="001C2D09" w:rsidR="007D122F">
        <w:rPr>
          <w:spacing w:val="-3"/>
          <w:sz w:val="22"/>
          <w:szCs w:val="22"/>
          <w:shd w:val="clear" w:color="auto" w:fill="FFFFFF"/>
        </w:rPr>
        <w:t xml:space="preserve">paragraphs 114-117 in the </w:t>
      </w:r>
      <w:r w:rsidRPr="001C2D09" w:rsidR="007D122F">
        <w:rPr>
          <w:i/>
          <w:spacing w:val="-3"/>
          <w:sz w:val="22"/>
          <w:szCs w:val="22"/>
          <w:shd w:val="clear" w:color="auto" w:fill="FFFFFF"/>
        </w:rPr>
        <w:t>Third Report and Order and Third Further Notice of Proposed Rulemaking</w:t>
      </w:r>
      <w:r w:rsidRPr="001C2D09">
        <w:rPr>
          <w:iCs/>
          <w:spacing w:val="-3"/>
          <w:sz w:val="22"/>
          <w:szCs w:val="22"/>
          <w:shd w:val="clear" w:color="auto" w:fill="FFFFFF"/>
        </w:rPr>
        <w:t xml:space="preserve"> </w:t>
      </w:r>
      <w:r w:rsidRPr="001C2D09" w:rsidR="006A3481">
        <w:rPr>
          <w:iCs/>
          <w:spacing w:val="-3"/>
          <w:sz w:val="22"/>
          <w:szCs w:val="22"/>
          <w:shd w:val="clear" w:color="auto" w:fill="FFFFFF"/>
        </w:rPr>
        <w:t>(</w:t>
      </w:r>
      <w:r w:rsidRPr="001C2D09" w:rsidR="00F40CDF">
        <w:rPr>
          <w:iCs/>
          <w:spacing w:val="-3"/>
          <w:sz w:val="22"/>
          <w:szCs w:val="22"/>
          <w:shd w:val="clear" w:color="auto" w:fill="FFFFFF"/>
        </w:rPr>
        <w:t>FCC 02-214</w:t>
      </w:r>
      <w:r w:rsidRPr="001C2D09" w:rsidR="006A3481">
        <w:rPr>
          <w:iCs/>
          <w:spacing w:val="-3"/>
          <w:sz w:val="22"/>
          <w:szCs w:val="22"/>
          <w:shd w:val="clear" w:color="auto" w:fill="FFFFFF"/>
        </w:rPr>
        <w:t>)</w:t>
      </w:r>
      <w:r w:rsidRPr="001C2D09" w:rsidR="00F40CDF">
        <w:rPr>
          <w:iCs/>
          <w:spacing w:val="-3"/>
          <w:sz w:val="22"/>
          <w:szCs w:val="22"/>
          <w:shd w:val="clear" w:color="auto" w:fill="FFFFFF"/>
        </w:rPr>
        <w:t>,</w:t>
      </w:r>
      <w:r>
        <w:rPr>
          <w:rStyle w:val="FootnoteReference"/>
          <w:iCs/>
          <w:spacing w:val="-3"/>
          <w:sz w:val="22"/>
          <w:szCs w:val="22"/>
          <w:shd w:val="clear" w:color="auto" w:fill="FFFFFF"/>
        </w:rPr>
        <w:footnoteReference w:id="8"/>
      </w:r>
      <w:r w:rsidRPr="001C2D09" w:rsidR="00F40CDF">
        <w:rPr>
          <w:iCs/>
          <w:spacing w:val="-3"/>
          <w:sz w:val="22"/>
          <w:szCs w:val="22"/>
          <w:shd w:val="clear" w:color="auto" w:fill="FFFFFF"/>
        </w:rPr>
        <w:t xml:space="preserve"> </w:t>
      </w:r>
      <w:r w:rsidRPr="001C2D09">
        <w:rPr>
          <w:iCs/>
          <w:spacing w:val="-3"/>
          <w:sz w:val="22"/>
          <w:szCs w:val="22"/>
          <w:shd w:val="clear" w:color="auto" w:fill="FFFFFF"/>
        </w:rPr>
        <w:t xml:space="preserve">and </w:t>
      </w:r>
      <w:r w:rsidRPr="001C2D09">
        <w:rPr>
          <w:spacing w:val="-3"/>
          <w:sz w:val="22"/>
          <w:szCs w:val="22"/>
          <w:shd w:val="clear" w:color="auto" w:fill="FFFFFF"/>
        </w:rPr>
        <w:t xml:space="preserve">paragraphs </w:t>
      </w:r>
      <w:r w:rsidRPr="001C2D09" w:rsidR="0098414F">
        <w:rPr>
          <w:spacing w:val="-3"/>
          <w:sz w:val="22"/>
          <w:szCs w:val="22"/>
          <w:shd w:val="clear" w:color="auto" w:fill="FFFFFF"/>
        </w:rPr>
        <w:t>54-59</w:t>
      </w:r>
      <w:r w:rsidRPr="001C2D09">
        <w:rPr>
          <w:spacing w:val="-3"/>
          <w:sz w:val="22"/>
          <w:szCs w:val="22"/>
          <w:shd w:val="clear" w:color="auto" w:fill="FFFFFF"/>
        </w:rPr>
        <w:t xml:space="preserve"> of the </w:t>
      </w:r>
      <w:r w:rsidRPr="001C2D09" w:rsidR="00672169">
        <w:rPr>
          <w:i/>
          <w:spacing w:val="-3"/>
          <w:sz w:val="22"/>
          <w:szCs w:val="22"/>
          <w:shd w:val="clear" w:color="auto" w:fill="FFFFFF"/>
        </w:rPr>
        <w:t>2007 CPNI Order</w:t>
      </w:r>
      <w:r w:rsidRPr="001C2D09">
        <w:rPr>
          <w:i/>
          <w:spacing w:val="-3"/>
          <w:sz w:val="22"/>
          <w:szCs w:val="22"/>
          <w:shd w:val="clear" w:color="auto" w:fill="FFFFFF"/>
        </w:rPr>
        <w:t xml:space="preserve"> </w:t>
      </w:r>
      <w:r w:rsidRPr="001C2D09">
        <w:rPr>
          <w:iCs/>
          <w:spacing w:val="-3"/>
          <w:sz w:val="22"/>
          <w:szCs w:val="22"/>
          <w:shd w:val="clear" w:color="auto" w:fill="FFFFFF"/>
        </w:rPr>
        <w:t>(FCC 07-22)</w:t>
      </w:r>
      <w:r w:rsidRPr="001C2D09">
        <w:rPr>
          <w:spacing w:val="-3"/>
          <w:sz w:val="22"/>
          <w:szCs w:val="22"/>
          <w:shd w:val="clear" w:color="auto" w:fill="FFFFFF"/>
        </w:rPr>
        <w:t>.</w:t>
      </w:r>
    </w:p>
    <w:p w:rsidR="00623DAE" w:rsidRPr="001C2D09" w:rsidP="0077092A" w14:paraId="27499CE2" w14:textId="77777777">
      <w:pPr>
        <w:rPr>
          <w:spacing w:val="-3"/>
          <w:sz w:val="22"/>
          <w:szCs w:val="22"/>
          <w:shd w:val="clear" w:color="auto" w:fill="FFFFFF"/>
        </w:rPr>
      </w:pPr>
      <w:r w:rsidRPr="001C2D09">
        <w:rPr>
          <w:spacing w:val="-3"/>
          <w:sz w:val="22"/>
          <w:szCs w:val="22"/>
          <w:shd w:val="clear" w:color="auto" w:fill="FFFFFF"/>
        </w:rPr>
        <w:tab/>
      </w:r>
    </w:p>
    <w:p w:rsidR="00005848" w:rsidRPr="001C2D09" w:rsidP="0077092A" w14:paraId="4E14400D" w14:textId="7F11862B">
      <w:pPr>
        <w:rPr>
          <w:b/>
          <w:i/>
          <w:iCs/>
          <w:spacing w:val="-3"/>
          <w:sz w:val="22"/>
          <w:szCs w:val="22"/>
          <w:u w:val="single"/>
          <w:shd w:val="clear" w:color="auto" w:fill="FFFFFF"/>
        </w:rPr>
      </w:pPr>
      <w:r w:rsidRPr="001C2D09">
        <w:rPr>
          <w:b/>
          <w:i/>
          <w:iCs/>
          <w:spacing w:val="-3"/>
          <w:sz w:val="22"/>
          <w:szCs w:val="22"/>
          <w:u w:val="single"/>
          <w:shd w:val="clear" w:color="auto" w:fill="FFFFFF"/>
        </w:rPr>
        <w:t xml:space="preserve">Subscriber List </w:t>
      </w:r>
      <w:r w:rsidRPr="001C2D09" w:rsidR="00773715">
        <w:rPr>
          <w:b/>
          <w:i/>
          <w:iCs/>
          <w:spacing w:val="-3"/>
          <w:sz w:val="22"/>
          <w:szCs w:val="22"/>
          <w:u w:val="single"/>
          <w:shd w:val="clear" w:color="auto" w:fill="FFFFFF"/>
        </w:rPr>
        <w:t xml:space="preserve">Information </w:t>
      </w:r>
      <w:r w:rsidR="002738B0">
        <w:rPr>
          <w:b/>
          <w:i/>
          <w:iCs/>
          <w:spacing w:val="-3"/>
          <w:sz w:val="22"/>
          <w:szCs w:val="22"/>
          <w:u w:val="single"/>
          <w:shd w:val="clear" w:color="auto" w:fill="FFFFFF"/>
        </w:rPr>
        <w:t xml:space="preserve">Collection </w:t>
      </w:r>
      <w:r w:rsidRPr="001C2D09">
        <w:rPr>
          <w:b/>
          <w:i/>
          <w:iCs/>
          <w:spacing w:val="-3"/>
          <w:sz w:val="22"/>
          <w:szCs w:val="22"/>
          <w:u w:val="single"/>
          <w:shd w:val="clear" w:color="auto" w:fill="FFFFFF"/>
        </w:rPr>
        <w:t>Requirements</w:t>
      </w:r>
      <w:r w:rsidRPr="001C2D09" w:rsidR="003971A8">
        <w:rPr>
          <w:b/>
          <w:i/>
          <w:iCs/>
          <w:spacing w:val="-3"/>
          <w:sz w:val="22"/>
          <w:szCs w:val="22"/>
          <w:u w:val="single"/>
          <w:shd w:val="clear" w:color="auto" w:fill="FFFFFF"/>
        </w:rPr>
        <w:t xml:space="preserve"> </w:t>
      </w:r>
    </w:p>
    <w:p w:rsidR="003971A8" w:rsidRPr="001C2D09" w:rsidP="0077092A" w14:paraId="79EA042B" w14:textId="77777777">
      <w:pPr>
        <w:rPr>
          <w:spacing w:val="-3"/>
          <w:sz w:val="22"/>
          <w:szCs w:val="22"/>
          <w:shd w:val="clear" w:color="auto" w:fill="FFFFFF"/>
        </w:rPr>
      </w:pPr>
    </w:p>
    <w:p w:rsidR="008862B9" w:rsidRPr="001C2D09" w:rsidP="0077092A" w14:paraId="1D406414" w14:textId="77777777">
      <w:pPr>
        <w:tabs>
          <w:tab w:val="left" w:pos="-720"/>
          <w:tab w:val="left" w:pos="720"/>
        </w:tabs>
        <w:suppressAutoHyphens/>
        <w:rPr>
          <w:sz w:val="22"/>
          <w:szCs w:val="22"/>
          <w:shd w:val="clear" w:color="auto" w:fill="FFFFFF"/>
        </w:rPr>
      </w:pPr>
      <w:r w:rsidRPr="001C2D09">
        <w:rPr>
          <w:b/>
          <w:bCs/>
          <w:sz w:val="22"/>
          <w:szCs w:val="22"/>
          <w:shd w:val="clear" w:color="auto" w:fill="FFFFFF"/>
        </w:rPr>
        <w:t>(</w:t>
      </w:r>
      <w:r w:rsidRPr="001C2D09" w:rsidR="00426B11">
        <w:rPr>
          <w:b/>
          <w:bCs/>
          <w:sz w:val="22"/>
          <w:szCs w:val="22"/>
          <w:shd w:val="clear" w:color="auto" w:fill="FFFFFF"/>
        </w:rPr>
        <w:t>j</w:t>
      </w:r>
      <w:r w:rsidRPr="001C2D09" w:rsidR="00005848">
        <w:rPr>
          <w:b/>
          <w:bCs/>
          <w:sz w:val="22"/>
          <w:szCs w:val="22"/>
          <w:shd w:val="clear" w:color="auto" w:fill="FFFFFF"/>
        </w:rPr>
        <w:t>) Provision of Subscriber List Information</w:t>
      </w:r>
      <w:r w:rsidRPr="001C2D09" w:rsidR="00B60E3F">
        <w:rPr>
          <w:b/>
          <w:bCs/>
          <w:sz w:val="22"/>
          <w:szCs w:val="22"/>
          <w:shd w:val="clear" w:color="auto" w:fill="FFFFFF"/>
        </w:rPr>
        <w:t>:</w:t>
      </w:r>
      <w:r w:rsidRPr="001C2D09" w:rsidR="004A2692">
        <w:rPr>
          <w:sz w:val="22"/>
          <w:szCs w:val="22"/>
          <w:shd w:val="clear" w:color="auto" w:fill="FFFFFF"/>
        </w:rPr>
        <w:t xml:space="preserve">  A t</w:t>
      </w:r>
      <w:r w:rsidRPr="001C2D09" w:rsidR="00005848">
        <w:rPr>
          <w:sz w:val="22"/>
          <w:szCs w:val="22"/>
          <w:shd w:val="clear" w:color="auto" w:fill="FFFFFF"/>
        </w:rPr>
        <w:t>elecommunications carrier that provide</w:t>
      </w:r>
      <w:r w:rsidRPr="001C2D09" w:rsidR="004A2692">
        <w:rPr>
          <w:sz w:val="22"/>
          <w:szCs w:val="22"/>
          <w:shd w:val="clear" w:color="auto" w:fill="FFFFFF"/>
        </w:rPr>
        <w:t>s</w:t>
      </w:r>
      <w:r w:rsidRPr="001C2D09" w:rsidR="00005848">
        <w:rPr>
          <w:sz w:val="22"/>
          <w:szCs w:val="22"/>
          <w:shd w:val="clear" w:color="auto" w:fill="FFFFFF"/>
        </w:rPr>
        <w:t xml:space="preserve"> telephone exchange service must provide subscriber list information gathered in </w:t>
      </w:r>
      <w:r w:rsidRPr="001C2D09" w:rsidR="004A2692">
        <w:rPr>
          <w:sz w:val="22"/>
          <w:szCs w:val="22"/>
          <w:shd w:val="clear" w:color="auto" w:fill="FFFFFF"/>
        </w:rPr>
        <w:t xml:space="preserve">its </w:t>
      </w:r>
      <w:r w:rsidRPr="001C2D09" w:rsidR="00005848">
        <w:rPr>
          <w:sz w:val="22"/>
          <w:szCs w:val="22"/>
          <w:shd w:val="clear" w:color="auto" w:fill="FFFFFF"/>
        </w:rPr>
        <w:t>capacity</w:t>
      </w:r>
      <w:r w:rsidRPr="001C2D09" w:rsidR="005E1DDD">
        <w:rPr>
          <w:sz w:val="22"/>
          <w:szCs w:val="22"/>
          <w:shd w:val="clear" w:color="auto" w:fill="FFFFFF"/>
        </w:rPr>
        <w:t xml:space="preserve"> </w:t>
      </w:r>
      <w:r w:rsidRPr="001C2D09" w:rsidR="00005848">
        <w:rPr>
          <w:sz w:val="22"/>
          <w:szCs w:val="22"/>
          <w:shd w:val="clear" w:color="auto" w:fill="FFFFFF"/>
        </w:rPr>
        <w:t xml:space="preserve">as a provider of such service on a timely and unbundled basis, under nondiscriminatory and reasonable rates, terms, and conditions, to any person upon request for the purpose of publishing directories in any format. </w:t>
      </w:r>
      <w:r w:rsidRPr="001C2D09" w:rsidR="009B07C7">
        <w:rPr>
          <w:sz w:val="22"/>
          <w:szCs w:val="22"/>
          <w:shd w:val="clear" w:color="auto" w:fill="FFFFFF"/>
        </w:rPr>
        <w:t xml:space="preserve"> </w:t>
      </w:r>
      <w:r w:rsidRPr="001C2D09" w:rsidR="00005848">
        <w:rPr>
          <w:i/>
          <w:sz w:val="22"/>
          <w:szCs w:val="22"/>
          <w:shd w:val="clear" w:color="auto" w:fill="FFFFFF"/>
        </w:rPr>
        <w:t>See</w:t>
      </w:r>
      <w:r w:rsidRPr="001C2D09" w:rsidR="00005848">
        <w:rPr>
          <w:sz w:val="22"/>
          <w:szCs w:val="22"/>
          <w:shd w:val="clear" w:color="auto" w:fill="FFFFFF"/>
        </w:rPr>
        <w:t xml:space="preserve"> 47 CFR </w:t>
      </w:r>
      <w:r w:rsidRPr="001C2D09" w:rsidR="0024517D">
        <w:rPr>
          <w:spacing w:val="-3"/>
          <w:sz w:val="22"/>
          <w:szCs w:val="22"/>
          <w:shd w:val="clear" w:color="auto" w:fill="FFFFFF"/>
        </w:rPr>
        <w:t>§ </w:t>
      </w:r>
      <w:r w:rsidRPr="001C2D09" w:rsidR="00005848">
        <w:rPr>
          <w:sz w:val="22"/>
          <w:szCs w:val="22"/>
          <w:shd w:val="clear" w:color="auto" w:fill="FFFFFF"/>
        </w:rPr>
        <w:t xml:space="preserve">64.2309.  Carriers are obligated to provide updated subscriber list information to requesting directory publishers.  </w:t>
      </w:r>
    </w:p>
    <w:p w:rsidR="008862B9" w:rsidRPr="001C2D09" w:rsidP="0077092A" w14:paraId="63468633" w14:textId="77777777">
      <w:pPr>
        <w:tabs>
          <w:tab w:val="left" w:pos="-720"/>
          <w:tab w:val="left" w:pos="720"/>
        </w:tabs>
        <w:suppressAutoHyphens/>
        <w:rPr>
          <w:sz w:val="22"/>
          <w:szCs w:val="22"/>
          <w:shd w:val="clear" w:color="auto" w:fill="FFFFFF"/>
        </w:rPr>
      </w:pPr>
    </w:p>
    <w:p w:rsidR="00005848" w:rsidRPr="001C2D09" w:rsidP="0077092A" w14:paraId="0FFEB134" w14:textId="4A164F69">
      <w:pPr>
        <w:tabs>
          <w:tab w:val="left" w:pos="-720"/>
          <w:tab w:val="left" w:pos="720"/>
        </w:tabs>
        <w:suppressAutoHyphens/>
        <w:rPr>
          <w:sz w:val="22"/>
          <w:szCs w:val="22"/>
          <w:shd w:val="clear" w:color="auto" w:fill="FFFFFF"/>
        </w:rPr>
      </w:pPr>
      <w:r w:rsidRPr="001C2D09">
        <w:rPr>
          <w:sz w:val="22"/>
          <w:szCs w:val="22"/>
          <w:shd w:val="clear" w:color="auto" w:fill="FFFFFF"/>
        </w:rPr>
        <w:t>For subscribers that have multiple telephone numbers, a carrier must provide requesting directory publishers with each telephone number that it has published, caused to be published, or accepted for publication in a directory.</w:t>
      </w:r>
      <w:r w:rsidRPr="001C2D09" w:rsidR="00B60E3F">
        <w:rPr>
          <w:sz w:val="22"/>
          <w:szCs w:val="22"/>
          <w:shd w:val="clear" w:color="auto" w:fill="FFFFFF"/>
        </w:rPr>
        <w:t xml:space="preserve"> </w:t>
      </w:r>
      <w:r w:rsidRPr="001C2D09" w:rsidR="00086EBB">
        <w:rPr>
          <w:sz w:val="22"/>
          <w:szCs w:val="22"/>
          <w:shd w:val="clear" w:color="auto" w:fill="FFFFFF"/>
        </w:rPr>
        <w:t xml:space="preserve"> </w:t>
      </w:r>
      <w:r w:rsidRPr="001C2D09">
        <w:rPr>
          <w:i/>
          <w:sz w:val="22"/>
          <w:szCs w:val="22"/>
          <w:shd w:val="clear" w:color="auto" w:fill="FFFFFF"/>
        </w:rPr>
        <w:t>See</w:t>
      </w:r>
      <w:r w:rsidRPr="001C2D09">
        <w:rPr>
          <w:sz w:val="22"/>
          <w:szCs w:val="22"/>
          <w:shd w:val="clear" w:color="auto" w:fill="FFFFFF"/>
        </w:rPr>
        <w:t xml:space="preserve"> </w:t>
      </w:r>
      <w:r w:rsidRPr="001C2D09">
        <w:rPr>
          <w:i/>
          <w:sz w:val="22"/>
          <w:szCs w:val="22"/>
          <w:shd w:val="clear" w:color="auto" w:fill="FFFFFF"/>
        </w:rPr>
        <w:t>Third R&amp;O</w:t>
      </w:r>
      <w:r w:rsidRPr="001C2D09" w:rsidR="00803A28">
        <w:rPr>
          <w:sz w:val="22"/>
          <w:szCs w:val="22"/>
          <w:shd w:val="clear" w:color="auto" w:fill="FFFFFF"/>
        </w:rPr>
        <w:t xml:space="preserve"> (</w:t>
      </w:r>
      <w:r w:rsidRPr="001C2D09" w:rsidR="00E011EE">
        <w:rPr>
          <w:sz w:val="22"/>
          <w:szCs w:val="22"/>
          <w:shd w:val="clear" w:color="auto" w:fill="FFFFFF"/>
        </w:rPr>
        <w:t>FCC 99-227</w:t>
      </w:r>
      <w:r w:rsidRPr="001C2D09" w:rsidR="00F7710F">
        <w:rPr>
          <w:sz w:val="22"/>
          <w:szCs w:val="22"/>
          <w:shd w:val="clear" w:color="auto" w:fill="FFFFFF"/>
        </w:rPr>
        <w:t>)</w:t>
      </w:r>
      <w:r w:rsidRPr="001C2D09" w:rsidR="00E011EE">
        <w:rPr>
          <w:sz w:val="22"/>
          <w:szCs w:val="22"/>
          <w:shd w:val="clear" w:color="auto" w:fill="FFFFFF"/>
        </w:rPr>
        <w:t xml:space="preserve">, </w:t>
      </w:r>
      <w:r w:rsidRPr="001C2D09">
        <w:rPr>
          <w:sz w:val="22"/>
          <w:szCs w:val="22"/>
          <w:shd w:val="clear" w:color="auto" w:fill="FFFFFF"/>
        </w:rPr>
        <w:t>paragraph 49.</w:t>
      </w:r>
      <w:r>
        <w:rPr>
          <w:rStyle w:val="FootnoteReference"/>
          <w:sz w:val="22"/>
          <w:szCs w:val="22"/>
          <w:shd w:val="clear" w:color="auto" w:fill="FFFFFF"/>
        </w:rPr>
        <w:footnoteReference w:id="9"/>
      </w:r>
      <w:r w:rsidRPr="001C2D09" w:rsidR="00086EBB">
        <w:rPr>
          <w:sz w:val="22"/>
          <w:szCs w:val="22"/>
          <w:shd w:val="clear" w:color="auto" w:fill="FFFFFF"/>
        </w:rPr>
        <w:t xml:space="preserve"> </w:t>
      </w:r>
      <w:r w:rsidRPr="001C2D09">
        <w:rPr>
          <w:sz w:val="22"/>
          <w:szCs w:val="22"/>
          <w:shd w:val="clear" w:color="auto" w:fill="FFFFFF"/>
        </w:rPr>
        <w:t xml:space="preserve"> Upon request, a carrier that has received at least thirty days advance notice also must provide subscriber list information on any periodic basis that the carrier</w:t>
      </w:r>
      <w:r w:rsidRPr="001C2D09" w:rsidR="008862B9">
        <w:rPr>
          <w:sz w:val="22"/>
          <w:szCs w:val="22"/>
          <w:shd w:val="clear" w:color="auto" w:fill="FFFFFF"/>
        </w:rPr>
        <w:t>’</w:t>
      </w:r>
      <w:r w:rsidRPr="001C2D09">
        <w:rPr>
          <w:sz w:val="22"/>
          <w:szCs w:val="22"/>
          <w:shd w:val="clear" w:color="auto" w:fill="FFFFFF"/>
        </w:rPr>
        <w:t>s internal systems can accommoda</w:t>
      </w:r>
      <w:r w:rsidRPr="001C2D09" w:rsidR="00FF7BE1">
        <w:rPr>
          <w:sz w:val="22"/>
          <w:szCs w:val="22"/>
          <w:shd w:val="clear" w:color="auto" w:fill="FFFFFF"/>
        </w:rPr>
        <w:t>te.</w:t>
      </w:r>
      <w:r w:rsidRPr="001C2D09">
        <w:rPr>
          <w:sz w:val="22"/>
          <w:szCs w:val="22"/>
          <w:shd w:val="clear" w:color="auto" w:fill="FFFFFF"/>
        </w:rPr>
        <w:t xml:space="preserve"> </w:t>
      </w:r>
    </w:p>
    <w:p w:rsidR="00005848" w:rsidRPr="001C2D09" w:rsidP="0077092A" w14:paraId="38E0DFBF" w14:textId="77777777">
      <w:pPr>
        <w:tabs>
          <w:tab w:val="left" w:pos="-720"/>
        </w:tabs>
        <w:suppressAutoHyphens/>
        <w:rPr>
          <w:sz w:val="22"/>
          <w:szCs w:val="22"/>
          <w:shd w:val="clear" w:color="auto" w:fill="FFFFFF"/>
        </w:rPr>
      </w:pPr>
    </w:p>
    <w:p w:rsidR="00005848" w:rsidRPr="001C2D09" w:rsidP="0077092A" w14:paraId="25F483A5" w14:textId="5A95B37D">
      <w:pPr>
        <w:tabs>
          <w:tab w:val="left" w:pos="-720"/>
        </w:tabs>
        <w:suppressAutoHyphens/>
        <w:rPr>
          <w:sz w:val="22"/>
          <w:szCs w:val="22"/>
          <w:shd w:val="clear" w:color="auto" w:fill="FFFFFF"/>
        </w:rPr>
      </w:pPr>
      <w:r w:rsidRPr="001C2D09">
        <w:rPr>
          <w:b/>
          <w:bCs/>
          <w:sz w:val="22"/>
          <w:szCs w:val="22"/>
          <w:shd w:val="clear" w:color="auto" w:fill="FFFFFF"/>
        </w:rPr>
        <w:t>(</w:t>
      </w:r>
      <w:r w:rsidRPr="001C2D09" w:rsidR="00426B11">
        <w:rPr>
          <w:b/>
          <w:bCs/>
          <w:sz w:val="22"/>
          <w:szCs w:val="22"/>
          <w:shd w:val="clear" w:color="auto" w:fill="FFFFFF"/>
        </w:rPr>
        <w:t>k</w:t>
      </w:r>
      <w:r w:rsidRPr="001C2D09">
        <w:rPr>
          <w:b/>
          <w:bCs/>
          <w:sz w:val="22"/>
          <w:szCs w:val="22"/>
          <w:shd w:val="clear" w:color="auto" w:fill="FFFFFF"/>
        </w:rPr>
        <w:t>) Notifications</w:t>
      </w:r>
      <w:r w:rsidRPr="001C2D09" w:rsidR="00B60E3F">
        <w:rPr>
          <w:b/>
          <w:bCs/>
          <w:sz w:val="22"/>
          <w:szCs w:val="22"/>
          <w:shd w:val="clear" w:color="auto" w:fill="FFFFFF"/>
        </w:rPr>
        <w:t>:</w:t>
      </w:r>
      <w:r w:rsidRPr="001C2D09">
        <w:rPr>
          <w:sz w:val="22"/>
          <w:szCs w:val="22"/>
          <w:shd w:val="clear" w:color="auto" w:fill="FFFFFF"/>
        </w:rPr>
        <w:t xml:space="preserve">  A carrier must provide subscriber list information at the time requested by the directory publisher, provided that the directory publisher has given at least thirty days advance notice and the carrier's internal systems permit the request to be filled with</w:t>
      </w:r>
      <w:r w:rsidRPr="001C2D09" w:rsidR="00DF3420">
        <w:rPr>
          <w:sz w:val="22"/>
          <w:szCs w:val="22"/>
          <w:shd w:val="clear" w:color="auto" w:fill="FFFFFF"/>
        </w:rPr>
        <w:t>in</w:t>
      </w:r>
      <w:r w:rsidRPr="001C2D09">
        <w:rPr>
          <w:sz w:val="22"/>
          <w:szCs w:val="22"/>
          <w:shd w:val="clear" w:color="auto" w:fill="FFFFFF"/>
        </w:rPr>
        <w:t xml:space="preserve"> that timeframe. </w:t>
      </w:r>
      <w:r w:rsidRPr="001C2D09" w:rsidR="008862B9">
        <w:rPr>
          <w:sz w:val="22"/>
          <w:szCs w:val="22"/>
          <w:shd w:val="clear" w:color="auto" w:fill="FFFFFF"/>
        </w:rPr>
        <w:t xml:space="preserve"> </w:t>
      </w:r>
      <w:r w:rsidRPr="001C2D09">
        <w:rPr>
          <w:sz w:val="22"/>
          <w:szCs w:val="22"/>
          <w:shd w:val="clear" w:color="auto" w:fill="FFFFFF"/>
        </w:rPr>
        <w:t xml:space="preserve">If a carrier's internal systems do not permit the carrier to provide subscriber list information within the requested timeframe, the carrier must inform the directory publisher that the requested schedule cannot be accommodated and tell the directory publisher which schedules can be accommodated.  </w:t>
      </w:r>
      <w:r w:rsidRPr="001C2D09">
        <w:rPr>
          <w:i/>
          <w:sz w:val="22"/>
          <w:szCs w:val="22"/>
          <w:shd w:val="clear" w:color="auto" w:fill="FFFFFF"/>
        </w:rPr>
        <w:t>See</w:t>
      </w:r>
      <w:r w:rsidRPr="001C2D09">
        <w:rPr>
          <w:sz w:val="22"/>
          <w:szCs w:val="22"/>
          <w:shd w:val="clear" w:color="auto" w:fill="FFFFFF"/>
        </w:rPr>
        <w:t xml:space="preserve"> 47 CFR </w:t>
      </w:r>
      <w:r w:rsidRPr="001C2D09" w:rsidR="008862B9">
        <w:rPr>
          <w:spacing w:val="-3"/>
          <w:sz w:val="22"/>
          <w:szCs w:val="22"/>
          <w:shd w:val="clear" w:color="auto" w:fill="FFFFFF"/>
        </w:rPr>
        <w:t>§ </w:t>
      </w:r>
      <w:r w:rsidRPr="001C2D09">
        <w:rPr>
          <w:sz w:val="22"/>
          <w:szCs w:val="22"/>
          <w:shd w:val="clear" w:color="auto" w:fill="FFFFFF"/>
        </w:rPr>
        <w:t>64.2313.</w:t>
      </w:r>
    </w:p>
    <w:p w:rsidR="004C3979" w:rsidRPr="001C2D09" w:rsidP="0077092A" w14:paraId="306B21F1" w14:textId="77777777">
      <w:pPr>
        <w:tabs>
          <w:tab w:val="left" w:pos="-720"/>
        </w:tabs>
        <w:suppressAutoHyphens/>
        <w:rPr>
          <w:sz w:val="22"/>
          <w:szCs w:val="22"/>
          <w:shd w:val="clear" w:color="auto" w:fill="FFFFFF"/>
        </w:rPr>
      </w:pPr>
    </w:p>
    <w:p w:rsidR="00005848" w:rsidRPr="001C2D09" w:rsidP="0077092A" w14:paraId="1901DB97" w14:textId="59C25960">
      <w:pPr>
        <w:tabs>
          <w:tab w:val="left" w:pos="-720"/>
        </w:tabs>
        <w:suppressAutoHyphens/>
        <w:rPr>
          <w:sz w:val="22"/>
          <w:szCs w:val="22"/>
          <w:shd w:val="clear" w:color="auto" w:fill="FFFFFF"/>
        </w:rPr>
      </w:pPr>
      <w:r w:rsidRPr="001C2D09">
        <w:rPr>
          <w:sz w:val="22"/>
          <w:szCs w:val="22"/>
          <w:shd w:val="clear" w:color="auto" w:fill="FFFFFF"/>
        </w:rPr>
        <w:t xml:space="preserve">A directory publisher may request that a carrier unbundle subscriber list information on any basis for the purpose of publishing one or more directories.  If the carrier's internal systems do not permit it </w:t>
      </w:r>
      <w:r w:rsidRPr="001C2D09" w:rsidR="00696962">
        <w:rPr>
          <w:sz w:val="22"/>
          <w:szCs w:val="22"/>
          <w:shd w:val="clear" w:color="auto" w:fill="FFFFFF"/>
        </w:rPr>
        <w:t xml:space="preserve">to </w:t>
      </w:r>
      <w:r w:rsidRPr="001C2D09">
        <w:rPr>
          <w:sz w:val="22"/>
          <w:szCs w:val="22"/>
          <w:shd w:val="clear" w:color="auto" w:fill="FFFFFF"/>
        </w:rPr>
        <w:t xml:space="preserve">unbundle subscriber list information on the basis a directory publisher requests, the carrier must inform the </w:t>
      </w:r>
      <w:r w:rsidRPr="001C2D09" w:rsidR="00FF7BE1">
        <w:rPr>
          <w:sz w:val="22"/>
          <w:szCs w:val="22"/>
          <w:shd w:val="clear" w:color="auto" w:fill="FFFFFF"/>
        </w:rPr>
        <w:t>directory</w:t>
      </w:r>
      <w:r w:rsidRPr="001C2D09">
        <w:rPr>
          <w:sz w:val="22"/>
          <w:szCs w:val="22"/>
          <w:shd w:val="clear" w:color="auto" w:fill="FFFFFF"/>
        </w:rPr>
        <w:t xml:space="preserve"> publisher that it cannot unbundle subscriber list information on the requested basis and tell the directory publisher the basis on which the carrier can unbundle subscriber list information; and provide subscriber list information to the directory publisher on the basis the directory publisher chooses from among the available bases.  </w:t>
      </w:r>
      <w:r w:rsidRPr="001C2D09">
        <w:rPr>
          <w:i/>
          <w:sz w:val="22"/>
          <w:szCs w:val="22"/>
          <w:shd w:val="clear" w:color="auto" w:fill="FFFFFF"/>
        </w:rPr>
        <w:t>See</w:t>
      </w:r>
      <w:r w:rsidRPr="001C2D09">
        <w:rPr>
          <w:sz w:val="22"/>
          <w:szCs w:val="22"/>
          <w:shd w:val="clear" w:color="auto" w:fill="FFFFFF"/>
        </w:rPr>
        <w:t xml:space="preserve"> 47 CFR </w:t>
      </w:r>
      <w:r w:rsidRPr="001C2D09" w:rsidR="008862B9">
        <w:rPr>
          <w:spacing w:val="-3"/>
          <w:sz w:val="22"/>
          <w:szCs w:val="22"/>
          <w:shd w:val="clear" w:color="auto" w:fill="FFFFFF"/>
        </w:rPr>
        <w:t>§ </w:t>
      </w:r>
      <w:r w:rsidRPr="001C2D09">
        <w:rPr>
          <w:sz w:val="22"/>
          <w:szCs w:val="22"/>
          <w:shd w:val="clear" w:color="auto" w:fill="FFFFFF"/>
        </w:rPr>
        <w:t>64.2317.</w:t>
      </w:r>
    </w:p>
    <w:p w:rsidR="004C3979" w:rsidRPr="001C2D09" w:rsidP="0077092A" w14:paraId="7751FCCE" w14:textId="77777777">
      <w:pPr>
        <w:tabs>
          <w:tab w:val="left" w:pos="-720"/>
        </w:tabs>
        <w:suppressAutoHyphens/>
        <w:rPr>
          <w:sz w:val="22"/>
          <w:szCs w:val="22"/>
          <w:shd w:val="clear" w:color="auto" w:fill="FFFFFF"/>
        </w:rPr>
      </w:pPr>
    </w:p>
    <w:p w:rsidR="004332E9" w:rsidRPr="001C2D09" w:rsidP="008862B9" w14:paraId="33F0F755" w14:textId="62A21418">
      <w:pPr>
        <w:tabs>
          <w:tab w:val="left" w:pos="-720"/>
          <w:tab w:val="left" w:pos="720"/>
        </w:tabs>
        <w:suppressAutoHyphens/>
        <w:spacing w:after="120"/>
        <w:rPr>
          <w:sz w:val="22"/>
          <w:szCs w:val="22"/>
          <w:shd w:val="clear" w:color="auto" w:fill="FFFFFF"/>
        </w:rPr>
      </w:pPr>
      <w:r w:rsidRPr="001C2D09">
        <w:rPr>
          <w:sz w:val="22"/>
          <w:szCs w:val="22"/>
          <w:shd w:val="clear" w:color="auto" w:fill="FFFFFF"/>
        </w:rPr>
        <w:t xml:space="preserve">A carrier shall provide subscriber list information obtained in its capacity as a provider of telephone exchange service to a requesting directory publisher in the format the publisher specifies, if the carrier's internal systems can accommodate that format.  </w:t>
      </w:r>
      <w:r w:rsidRPr="001C2D09" w:rsidR="00B5707C">
        <w:rPr>
          <w:sz w:val="22"/>
          <w:szCs w:val="22"/>
          <w:shd w:val="clear" w:color="auto" w:fill="FFFFFF"/>
        </w:rPr>
        <w:t>If a carrier’</w:t>
      </w:r>
      <w:r w:rsidRPr="001C2D09">
        <w:rPr>
          <w:sz w:val="22"/>
          <w:szCs w:val="22"/>
          <w:shd w:val="clear" w:color="auto" w:fill="FFFFFF"/>
        </w:rPr>
        <w:t>s internal systems do not permit the carrier to provide subscriber list information in the format the directory publisher specifies, the carrier shall within thirty days of receiving the publisher</w:t>
      </w:r>
      <w:r w:rsidRPr="001C2D09" w:rsidR="008862B9">
        <w:rPr>
          <w:sz w:val="22"/>
          <w:szCs w:val="22"/>
          <w:shd w:val="clear" w:color="auto" w:fill="FFFFFF"/>
        </w:rPr>
        <w:t>’</w:t>
      </w:r>
      <w:r w:rsidRPr="001C2D09">
        <w:rPr>
          <w:sz w:val="22"/>
          <w:szCs w:val="22"/>
          <w:shd w:val="clear" w:color="auto" w:fill="FFFFFF"/>
        </w:rPr>
        <w:t>s request:</w:t>
      </w:r>
    </w:p>
    <w:p w:rsidR="004332E9" w:rsidRPr="001C2D09" w:rsidP="00E00D3E" w14:paraId="3E4D534B" w14:textId="77777777">
      <w:pPr>
        <w:pStyle w:val="ListParagraph"/>
        <w:numPr>
          <w:ilvl w:val="3"/>
          <w:numId w:val="77"/>
        </w:numPr>
        <w:ind w:left="720"/>
        <w:rPr>
          <w:sz w:val="22"/>
          <w:szCs w:val="22"/>
          <w:shd w:val="clear" w:color="auto" w:fill="FFFFFF"/>
        </w:rPr>
      </w:pPr>
      <w:r w:rsidRPr="001C2D09">
        <w:rPr>
          <w:sz w:val="22"/>
          <w:szCs w:val="22"/>
          <w:shd w:val="clear" w:color="auto" w:fill="FFFFFF"/>
        </w:rPr>
        <w:t xml:space="preserve">inform the directory publisher that the requested format cannot be accommodated, </w:t>
      </w:r>
    </w:p>
    <w:p w:rsidR="004332E9" w:rsidRPr="001C2D09" w:rsidP="00E00D3E" w14:paraId="71ED3E0B" w14:textId="77777777">
      <w:pPr>
        <w:pStyle w:val="ListParagraph"/>
        <w:numPr>
          <w:ilvl w:val="3"/>
          <w:numId w:val="77"/>
        </w:numPr>
        <w:ind w:left="720"/>
        <w:rPr>
          <w:sz w:val="22"/>
          <w:szCs w:val="22"/>
          <w:shd w:val="clear" w:color="auto" w:fill="FFFFFF"/>
        </w:rPr>
      </w:pPr>
      <w:r w:rsidRPr="001C2D09">
        <w:rPr>
          <w:spacing w:val="-3"/>
          <w:sz w:val="22"/>
          <w:szCs w:val="22"/>
          <w:shd w:val="clear" w:color="auto" w:fill="FFFFFF"/>
        </w:rPr>
        <w:t>tell</w:t>
      </w:r>
      <w:r w:rsidRPr="001C2D09">
        <w:rPr>
          <w:sz w:val="22"/>
          <w:szCs w:val="22"/>
          <w:shd w:val="clear" w:color="auto" w:fill="FFFFFF"/>
        </w:rPr>
        <w:t xml:space="preserve"> the directory publisher which formats can be accommodated, and </w:t>
      </w:r>
    </w:p>
    <w:p w:rsidR="004C3979" w:rsidRPr="001C2D09" w:rsidP="00E00D3E" w14:paraId="7786B8BD" w14:textId="6A8B5566">
      <w:pPr>
        <w:pStyle w:val="ListParagraph"/>
        <w:numPr>
          <w:ilvl w:val="3"/>
          <w:numId w:val="77"/>
        </w:numPr>
        <w:ind w:left="720"/>
        <w:rPr>
          <w:sz w:val="22"/>
          <w:szCs w:val="22"/>
          <w:shd w:val="clear" w:color="auto" w:fill="FFFFFF"/>
        </w:rPr>
      </w:pPr>
      <w:r w:rsidRPr="001C2D09">
        <w:rPr>
          <w:spacing w:val="-3"/>
          <w:sz w:val="22"/>
          <w:szCs w:val="22"/>
          <w:shd w:val="clear" w:color="auto" w:fill="FFFFFF"/>
        </w:rPr>
        <w:t>provide</w:t>
      </w:r>
      <w:r w:rsidRPr="001C2D09">
        <w:rPr>
          <w:sz w:val="22"/>
          <w:szCs w:val="22"/>
          <w:shd w:val="clear" w:color="auto" w:fill="FFFFFF"/>
        </w:rPr>
        <w:t xml:space="preserve"> the requested subscriber list information in the format the directory publisher chooses from among the available formats.  </w:t>
      </w:r>
      <w:r w:rsidRPr="001C2D09">
        <w:rPr>
          <w:i/>
          <w:sz w:val="22"/>
          <w:szCs w:val="22"/>
          <w:shd w:val="clear" w:color="auto" w:fill="FFFFFF"/>
        </w:rPr>
        <w:t>See</w:t>
      </w:r>
      <w:r w:rsidRPr="001C2D09">
        <w:rPr>
          <w:sz w:val="22"/>
          <w:szCs w:val="22"/>
          <w:shd w:val="clear" w:color="auto" w:fill="FFFFFF"/>
        </w:rPr>
        <w:t xml:space="preserve"> 47 CFR </w:t>
      </w:r>
      <w:r w:rsidRPr="001C2D09" w:rsidR="008862B9">
        <w:rPr>
          <w:spacing w:val="-3"/>
          <w:sz w:val="22"/>
          <w:szCs w:val="22"/>
          <w:shd w:val="clear" w:color="auto" w:fill="FFFFFF"/>
        </w:rPr>
        <w:t>§ </w:t>
      </w:r>
      <w:r w:rsidRPr="001C2D09">
        <w:rPr>
          <w:sz w:val="22"/>
          <w:szCs w:val="22"/>
          <w:shd w:val="clear" w:color="auto" w:fill="FFFFFF"/>
        </w:rPr>
        <w:t>64.2329</w:t>
      </w:r>
      <w:r w:rsidRPr="001C2D09" w:rsidR="004332E9">
        <w:rPr>
          <w:sz w:val="22"/>
          <w:szCs w:val="22"/>
          <w:shd w:val="clear" w:color="auto" w:fill="FFFFFF"/>
        </w:rPr>
        <w:t xml:space="preserve">. </w:t>
      </w:r>
    </w:p>
    <w:p w:rsidR="00E00D3E" w:rsidRPr="001C2D09" w:rsidP="00E00D3E" w14:paraId="7367E64B" w14:textId="77777777">
      <w:pPr>
        <w:rPr>
          <w:sz w:val="22"/>
          <w:szCs w:val="22"/>
          <w:shd w:val="clear" w:color="auto" w:fill="FFFFFF"/>
        </w:rPr>
      </w:pPr>
    </w:p>
    <w:p w:rsidR="00005848" w:rsidRPr="001C2D09" w:rsidP="522AA3A9" w14:paraId="10D61A45" w14:textId="60445AF4">
      <w:pPr>
        <w:suppressAutoHyphens/>
        <w:rPr>
          <w:sz w:val="22"/>
          <w:szCs w:val="22"/>
          <w:shd w:val="clear" w:color="auto" w:fill="FFFFFF"/>
        </w:rPr>
      </w:pPr>
      <w:r w:rsidRPr="001C2D09">
        <w:rPr>
          <w:sz w:val="22"/>
          <w:szCs w:val="22"/>
          <w:shd w:val="clear" w:color="auto" w:fill="FFFFFF"/>
        </w:rPr>
        <w:t>If a carrier finds that it cannot accommodate all of a group of multiple or conflicting requests for subscriber list information within the specified timeframes, the carrier shall respond to those requests on a nondiscriminatory basis.  The carrier shall inform each affected directory publisher of such requests within thirty days of when it rece</w:t>
      </w:r>
      <w:r w:rsidRPr="001C2D09" w:rsidR="00672169">
        <w:rPr>
          <w:sz w:val="22"/>
          <w:szCs w:val="22"/>
          <w:shd w:val="clear" w:color="auto" w:fill="FFFFFF"/>
        </w:rPr>
        <w:t>ives the publisher’</w:t>
      </w:r>
      <w:r w:rsidRPr="001C2D09" w:rsidR="00B60E3F">
        <w:rPr>
          <w:sz w:val="22"/>
          <w:szCs w:val="22"/>
          <w:shd w:val="clear" w:color="auto" w:fill="FFFFFF"/>
        </w:rPr>
        <w:t xml:space="preserve">s request.  </w:t>
      </w:r>
      <w:r w:rsidRPr="7F2667BC" w:rsidR="00B60E3F">
        <w:rPr>
          <w:i/>
          <w:iCs/>
          <w:sz w:val="22"/>
          <w:szCs w:val="22"/>
          <w:shd w:val="clear" w:color="auto" w:fill="FFFFFF"/>
        </w:rPr>
        <w:t>See</w:t>
      </w:r>
      <w:r w:rsidRPr="001C2D09" w:rsidR="00B60E3F">
        <w:rPr>
          <w:sz w:val="22"/>
          <w:szCs w:val="22"/>
          <w:shd w:val="clear" w:color="auto" w:fill="FFFFFF"/>
        </w:rPr>
        <w:t xml:space="preserve"> </w:t>
      </w:r>
      <w:r w:rsidRPr="7F2667BC" w:rsidR="00B60E3F">
        <w:rPr>
          <w:i/>
          <w:iCs/>
          <w:sz w:val="22"/>
          <w:szCs w:val="22"/>
          <w:shd w:val="clear" w:color="auto" w:fill="FFFFFF"/>
        </w:rPr>
        <w:t>Third R&amp;O</w:t>
      </w:r>
      <w:r w:rsidRPr="001C2D09" w:rsidR="001E46CE">
        <w:rPr>
          <w:sz w:val="22"/>
          <w:szCs w:val="22"/>
          <w:shd w:val="clear" w:color="auto" w:fill="FFFFFF"/>
        </w:rPr>
        <w:t xml:space="preserve"> (</w:t>
      </w:r>
      <w:r w:rsidRPr="001C2D09" w:rsidR="004C0D3E">
        <w:rPr>
          <w:sz w:val="22"/>
          <w:szCs w:val="22"/>
          <w:shd w:val="clear" w:color="auto" w:fill="FFFFFF"/>
        </w:rPr>
        <w:t>FCC 99-227</w:t>
      </w:r>
      <w:r w:rsidRPr="001C2D09" w:rsidR="001E46CE">
        <w:rPr>
          <w:sz w:val="22"/>
          <w:szCs w:val="22"/>
          <w:shd w:val="clear" w:color="auto" w:fill="FFFFFF"/>
        </w:rPr>
        <w:t>)</w:t>
      </w:r>
      <w:r w:rsidRPr="001C2D09" w:rsidR="004C0D3E">
        <w:rPr>
          <w:sz w:val="22"/>
          <w:szCs w:val="22"/>
          <w:shd w:val="clear" w:color="auto" w:fill="FFFFFF"/>
        </w:rPr>
        <w:t xml:space="preserve">, </w:t>
      </w:r>
      <w:r w:rsidRPr="001C2D09" w:rsidR="00B60E3F">
        <w:rPr>
          <w:sz w:val="22"/>
          <w:szCs w:val="22"/>
          <w:shd w:val="clear" w:color="auto" w:fill="FFFFFF"/>
        </w:rPr>
        <w:t>paragraph 68</w:t>
      </w:r>
      <w:r w:rsidRPr="001C2D09">
        <w:rPr>
          <w:sz w:val="22"/>
          <w:szCs w:val="22"/>
          <w:shd w:val="clear" w:color="auto" w:fill="FFFFFF"/>
        </w:rPr>
        <w:t>.</w:t>
      </w:r>
    </w:p>
    <w:p w:rsidR="00B73776" w:rsidRPr="001C2D09" w:rsidP="0077092A" w14:paraId="7413E01C" w14:textId="77777777">
      <w:pPr>
        <w:tabs>
          <w:tab w:val="left" w:pos="-720"/>
        </w:tabs>
        <w:suppressAutoHyphens/>
        <w:rPr>
          <w:sz w:val="22"/>
          <w:szCs w:val="22"/>
          <w:shd w:val="clear" w:color="auto" w:fill="FFFFFF"/>
        </w:rPr>
      </w:pPr>
    </w:p>
    <w:p w:rsidR="00BE5C24" w:rsidRPr="001C2D09" w:rsidP="0077092A" w14:paraId="398998E5" w14:textId="221F06FD">
      <w:pPr>
        <w:tabs>
          <w:tab w:val="left" w:pos="-720"/>
        </w:tabs>
        <w:suppressAutoHyphens/>
        <w:rPr>
          <w:sz w:val="22"/>
          <w:szCs w:val="22"/>
          <w:shd w:val="clear" w:color="auto" w:fill="FFFFFF"/>
        </w:rPr>
      </w:pPr>
      <w:r w:rsidRPr="001C2D09">
        <w:rPr>
          <w:b/>
          <w:bCs/>
          <w:sz w:val="22"/>
          <w:szCs w:val="22"/>
          <w:shd w:val="clear" w:color="auto" w:fill="FFFFFF"/>
        </w:rPr>
        <w:t>(</w:t>
      </w:r>
      <w:r w:rsidRPr="001C2D09" w:rsidR="008767B1">
        <w:rPr>
          <w:b/>
          <w:bCs/>
          <w:sz w:val="22"/>
          <w:szCs w:val="22"/>
          <w:shd w:val="clear" w:color="auto" w:fill="FFFFFF"/>
        </w:rPr>
        <w:t>l</w:t>
      </w:r>
      <w:r w:rsidRPr="001C2D09" w:rsidR="00DD23C0">
        <w:rPr>
          <w:b/>
          <w:bCs/>
          <w:sz w:val="22"/>
          <w:szCs w:val="22"/>
          <w:shd w:val="clear" w:color="auto" w:fill="FFFFFF"/>
        </w:rPr>
        <w:t xml:space="preserve">) </w:t>
      </w:r>
      <w:r w:rsidRPr="001C2D09" w:rsidR="00005848">
        <w:rPr>
          <w:b/>
          <w:bCs/>
          <w:sz w:val="22"/>
          <w:szCs w:val="22"/>
          <w:shd w:val="clear" w:color="auto" w:fill="FFFFFF"/>
        </w:rPr>
        <w:t>Disclosure of Contracts, Rates, Terms and Conditions and Recordkeeping</w:t>
      </w:r>
      <w:r w:rsidRPr="001C2D09" w:rsidR="00B60E3F">
        <w:rPr>
          <w:sz w:val="22"/>
          <w:szCs w:val="22"/>
          <w:shd w:val="clear" w:color="auto" w:fill="FFFFFF"/>
        </w:rPr>
        <w:t>:</w:t>
      </w:r>
      <w:r>
        <w:rPr>
          <w:rStyle w:val="FootnoteReference"/>
          <w:bCs/>
          <w:spacing w:val="-3"/>
          <w:sz w:val="22"/>
          <w:szCs w:val="22"/>
          <w:shd w:val="clear" w:color="auto" w:fill="FFFFFF"/>
        </w:rPr>
        <w:footnoteReference w:id="10"/>
      </w:r>
      <w:r w:rsidRPr="001C2D09" w:rsidR="00005848">
        <w:rPr>
          <w:sz w:val="22"/>
          <w:szCs w:val="22"/>
          <w:shd w:val="clear" w:color="auto" w:fill="FFFFFF"/>
        </w:rPr>
        <w:t xml:space="preserve"> </w:t>
      </w:r>
      <w:r w:rsidRPr="001C2D09" w:rsidR="00B60E3F">
        <w:rPr>
          <w:sz w:val="22"/>
          <w:szCs w:val="22"/>
          <w:shd w:val="clear" w:color="auto" w:fill="FFFFFF"/>
        </w:rPr>
        <w:t xml:space="preserve"> </w:t>
      </w:r>
      <w:r w:rsidRPr="001C2D09" w:rsidR="00005848">
        <w:rPr>
          <w:sz w:val="22"/>
          <w:szCs w:val="22"/>
          <w:shd w:val="clear" w:color="auto" w:fill="FFFFFF"/>
        </w:rPr>
        <w:t xml:space="preserve">A telecommunications carrier must retain, for at least one year after its expiration, each written contract that it has executed for the provision of subscriber list information for directory publishing purposes to itself, an affiliate, or an entity that publishes directories on the carrier's behalf.  </w:t>
      </w:r>
    </w:p>
    <w:p w:rsidR="00BE5C24" w:rsidRPr="001C2D09" w:rsidP="0077092A" w14:paraId="6EBB5371" w14:textId="77777777">
      <w:pPr>
        <w:tabs>
          <w:tab w:val="left" w:pos="-720"/>
        </w:tabs>
        <w:suppressAutoHyphens/>
        <w:rPr>
          <w:sz w:val="22"/>
          <w:szCs w:val="22"/>
          <w:shd w:val="clear" w:color="auto" w:fill="FFFFFF"/>
        </w:rPr>
      </w:pPr>
    </w:p>
    <w:p w:rsidR="001D2703" w:rsidRPr="001C2D09" w:rsidP="0077092A" w14:paraId="237D167B" w14:textId="77777777">
      <w:pPr>
        <w:tabs>
          <w:tab w:val="left" w:pos="-720"/>
        </w:tabs>
        <w:suppressAutoHyphens/>
        <w:rPr>
          <w:sz w:val="22"/>
          <w:szCs w:val="22"/>
          <w:shd w:val="clear" w:color="auto" w:fill="FFFFFF"/>
        </w:rPr>
      </w:pPr>
      <w:r w:rsidRPr="001C2D09">
        <w:rPr>
          <w:sz w:val="22"/>
          <w:szCs w:val="22"/>
          <w:shd w:val="clear" w:color="auto" w:fill="FFFFFF"/>
        </w:rPr>
        <w:t>A telecommunications carrier must maintain, for at least one year after the carrier provides subscriber list information for directory publishing purposes to itself, an affiliate, or an entity that publi</w:t>
      </w:r>
      <w:r w:rsidRPr="001C2D09" w:rsidR="00672169">
        <w:rPr>
          <w:sz w:val="22"/>
          <w:szCs w:val="22"/>
          <w:shd w:val="clear" w:color="auto" w:fill="FFFFFF"/>
        </w:rPr>
        <w:t>shes directories on the carrier’</w:t>
      </w:r>
      <w:r w:rsidRPr="001C2D09">
        <w:rPr>
          <w:sz w:val="22"/>
          <w:szCs w:val="22"/>
          <w:shd w:val="clear" w:color="auto" w:fill="FFFFFF"/>
        </w:rPr>
        <w:t>s behalf, records of any of its rates, terms, and conditions for providing that subscriber list information which are not set forth in a written contract.</w:t>
      </w:r>
      <w:r w:rsidRPr="001C2D09" w:rsidR="00773715">
        <w:rPr>
          <w:sz w:val="22"/>
          <w:szCs w:val="22"/>
          <w:shd w:val="clear" w:color="auto" w:fill="FFFFFF"/>
        </w:rPr>
        <w:t xml:space="preserve"> </w:t>
      </w:r>
      <w:r w:rsidRPr="001C2D09">
        <w:rPr>
          <w:sz w:val="22"/>
          <w:szCs w:val="22"/>
          <w:shd w:val="clear" w:color="auto" w:fill="FFFFFF"/>
        </w:rPr>
        <w:t xml:space="preserve"> </w:t>
      </w:r>
    </w:p>
    <w:p w:rsidR="001D2703" w:rsidRPr="001C2D09" w:rsidP="0077092A" w14:paraId="10D42D0D" w14:textId="77777777">
      <w:pPr>
        <w:tabs>
          <w:tab w:val="left" w:pos="-720"/>
        </w:tabs>
        <w:suppressAutoHyphens/>
        <w:rPr>
          <w:sz w:val="22"/>
          <w:szCs w:val="22"/>
          <w:shd w:val="clear" w:color="auto" w:fill="FFFFFF"/>
        </w:rPr>
      </w:pPr>
    </w:p>
    <w:p w:rsidR="002804B9" w:rsidRPr="001C2D09" w:rsidP="522AA3A9" w14:paraId="36D10053" w14:textId="4AEBEAEC">
      <w:pPr>
        <w:suppressAutoHyphens/>
        <w:rPr>
          <w:b/>
          <w:bCs/>
          <w:spacing w:val="-3"/>
          <w:sz w:val="22"/>
          <w:szCs w:val="22"/>
          <w:shd w:val="clear" w:color="auto" w:fill="FFFFFF"/>
        </w:rPr>
      </w:pPr>
      <w:r w:rsidRPr="001C2D09">
        <w:rPr>
          <w:sz w:val="22"/>
          <w:szCs w:val="22"/>
          <w:shd w:val="clear" w:color="auto" w:fill="FFFFFF"/>
        </w:rPr>
        <w:t>These records and contracts shall be made available to</w:t>
      </w:r>
      <w:r w:rsidRPr="001C2D09" w:rsidR="08F74C96">
        <w:rPr>
          <w:sz w:val="22"/>
          <w:szCs w:val="22"/>
          <w:shd w:val="clear" w:color="auto" w:fill="FFFFFF"/>
        </w:rPr>
        <w:t xml:space="preserve"> the</w:t>
      </w:r>
      <w:r w:rsidRPr="001C2D09">
        <w:rPr>
          <w:sz w:val="22"/>
          <w:szCs w:val="22"/>
          <w:shd w:val="clear" w:color="auto" w:fill="FFFFFF"/>
        </w:rPr>
        <w:t xml:space="preserve"> Commission and to any directory publisher upon request.  </w:t>
      </w:r>
      <w:r w:rsidRPr="001C2D09" w:rsidR="00B73776">
        <w:rPr>
          <w:sz w:val="22"/>
          <w:szCs w:val="22"/>
          <w:shd w:val="clear" w:color="auto" w:fill="FFFFFF"/>
        </w:rPr>
        <w:t xml:space="preserve">Carriers, however, may withhold from disclosure those portions of their </w:t>
      </w:r>
      <w:r w:rsidRPr="001C2D09" w:rsidR="001D2703">
        <w:rPr>
          <w:sz w:val="22"/>
          <w:szCs w:val="22"/>
          <w:shd w:val="clear" w:color="auto" w:fill="FFFFFF"/>
        </w:rPr>
        <w:tab/>
      </w:r>
      <w:r w:rsidRPr="001C2D09" w:rsidR="00B73776">
        <w:rPr>
          <w:sz w:val="22"/>
          <w:szCs w:val="22"/>
          <w:shd w:val="clear" w:color="auto" w:fill="FFFFFF"/>
        </w:rPr>
        <w:t xml:space="preserve">subscriber list contracts that are wholly unrelated to the provision of subscriber list information.  </w:t>
      </w:r>
      <w:r w:rsidRPr="001C2D09" w:rsidR="00A97BE8">
        <w:rPr>
          <w:sz w:val="22"/>
          <w:szCs w:val="22"/>
        </w:rPr>
        <w:t xml:space="preserve"> </w:t>
      </w:r>
      <w:r w:rsidRPr="001C2D09" w:rsidR="00CB1C03">
        <w:rPr>
          <w:sz w:val="22"/>
          <w:szCs w:val="22"/>
        </w:rPr>
        <w:t>Carriers may also require that any disclosure of subscriber list information contracts or records be subject to a confidentiality agreement that limits access to and use of the information to the purpose of determining the rates, terms, and conditions under which the carrier provides subscriber list information to itself, an affiliate, or an entity that publishes directories on the carrier's behalf</w:t>
      </w:r>
      <w:r w:rsidRPr="001C2D09" w:rsidR="00B73776">
        <w:rPr>
          <w:sz w:val="22"/>
          <w:szCs w:val="22"/>
          <w:shd w:val="clear" w:color="auto" w:fill="FFFFFF"/>
        </w:rPr>
        <w:t xml:space="preserve">.  </w:t>
      </w:r>
      <w:r w:rsidRPr="522AA3A9">
        <w:rPr>
          <w:i/>
          <w:iCs/>
          <w:sz w:val="22"/>
          <w:szCs w:val="22"/>
          <w:shd w:val="clear" w:color="auto" w:fill="FFFFFF"/>
        </w:rPr>
        <w:t>See</w:t>
      </w:r>
      <w:r w:rsidRPr="001C2D09" w:rsidR="00B73776">
        <w:rPr>
          <w:sz w:val="22"/>
          <w:szCs w:val="22"/>
          <w:shd w:val="clear" w:color="auto" w:fill="FFFFFF"/>
        </w:rPr>
        <w:t xml:space="preserve"> </w:t>
      </w:r>
      <w:r w:rsidRPr="001C2D09">
        <w:rPr>
          <w:sz w:val="22"/>
          <w:szCs w:val="22"/>
          <w:shd w:val="clear" w:color="auto" w:fill="FFFFFF"/>
        </w:rPr>
        <w:t xml:space="preserve">47 CFR </w:t>
      </w:r>
      <w:r w:rsidRPr="001C2D09" w:rsidR="008862B9">
        <w:rPr>
          <w:spacing w:val="-3"/>
          <w:sz w:val="22"/>
          <w:szCs w:val="22"/>
          <w:shd w:val="clear" w:color="auto" w:fill="FFFFFF"/>
        </w:rPr>
        <w:t>§ </w:t>
      </w:r>
      <w:r w:rsidRPr="001C2D09">
        <w:rPr>
          <w:sz w:val="22"/>
          <w:szCs w:val="22"/>
          <w:shd w:val="clear" w:color="auto" w:fill="FFFFFF"/>
        </w:rPr>
        <w:t>64.2341.</w:t>
      </w:r>
    </w:p>
    <w:p w:rsidR="00767F3A" w:rsidRPr="001C2D09" w:rsidP="0077092A" w14:paraId="0B063743" w14:textId="77777777">
      <w:pPr>
        <w:rPr>
          <w:b/>
          <w:bCs/>
          <w:spacing w:val="-3"/>
          <w:sz w:val="22"/>
          <w:szCs w:val="22"/>
          <w:shd w:val="clear" w:color="auto" w:fill="FFFFFF"/>
        </w:rPr>
      </w:pPr>
    </w:p>
    <w:p w:rsidR="002804B9" w:rsidRPr="001C2D09" w:rsidP="0077092A" w14:paraId="0882C748" w14:textId="2AFA946D">
      <w:pPr>
        <w:keepNext/>
        <w:rPr>
          <w:b/>
          <w:bCs/>
          <w:i/>
          <w:iCs/>
          <w:spacing w:val="-3"/>
          <w:sz w:val="22"/>
          <w:szCs w:val="22"/>
          <w:u w:val="single"/>
          <w:shd w:val="clear" w:color="auto" w:fill="FFFFFF"/>
        </w:rPr>
      </w:pPr>
      <w:r w:rsidRPr="001C2D09">
        <w:rPr>
          <w:b/>
          <w:bCs/>
          <w:i/>
          <w:iCs/>
          <w:spacing w:val="-3"/>
          <w:sz w:val="22"/>
          <w:szCs w:val="22"/>
          <w:u w:val="single"/>
          <w:shd w:val="clear" w:color="auto" w:fill="FFFFFF"/>
        </w:rPr>
        <w:t>Safeguards on the Disclosure of CPNI</w:t>
      </w:r>
      <w:r w:rsidR="002738B0">
        <w:rPr>
          <w:b/>
          <w:bCs/>
          <w:i/>
          <w:iCs/>
          <w:spacing w:val="-3"/>
          <w:sz w:val="22"/>
          <w:szCs w:val="22"/>
          <w:u w:val="single"/>
          <w:shd w:val="clear" w:color="auto" w:fill="FFFFFF"/>
        </w:rPr>
        <w:t xml:space="preserve"> Information Collection Requirements</w:t>
      </w:r>
    </w:p>
    <w:p w:rsidR="002804B9" w:rsidRPr="001C2D09" w:rsidP="0077092A" w14:paraId="1C23C2A4" w14:textId="77777777">
      <w:pPr>
        <w:rPr>
          <w:bCs/>
          <w:spacing w:val="-3"/>
          <w:sz w:val="22"/>
          <w:szCs w:val="22"/>
          <w:shd w:val="clear" w:color="auto" w:fill="FFFFFF"/>
        </w:rPr>
      </w:pPr>
    </w:p>
    <w:p w:rsidR="00FB29D6" w:rsidRPr="001C2D09" w:rsidP="0077092A" w14:paraId="22EECADF" w14:textId="17EE7C41">
      <w:pPr>
        <w:rPr>
          <w:rFonts w:eastAsia="MS Mincho"/>
          <w:sz w:val="22"/>
          <w:szCs w:val="22"/>
          <w:shd w:val="clear" w:color="auto" w:fill="FFFFFF"/>
          <w:lang w:eastAsia="ja-JP"/>
        </w:rPr>
      </w:pPr>
      <w:r w:rsidRPr="522AA3A9">
        <w:rPr>
          <w:b/>
          <w:bCs/>
          <w:spacing w:val="-3"/>
          <w:sz w:val="22"/>
          <w:szCs w:val="22"/>
          <w:shd w:val="clear" w:color="auto" w:fill="FFFFFF"/>
        </w:rPr>
        <w:t>(</w:t>
      </w:r>
      <w:r w:rsidRPr="522AA3A9" w:rsidR="008767B1">
        <w:rPr>
          <w:b/>
          <w:bCs/>
          <w:spacing w:val="-3"/>
          <w:sz w:val="22"/>
          <w:szCs w:val="22"/>
          <w:shd w:val="clear" w:color="auto" w:fill="FFFFFF"/>
        </w:rPr>
        <w:t>m</w:t>
      </w:r>
      <w:r w:rsidRPr="522AA3A9" w:rsidR="00DD23C0">
        <w:rPr>
          <w:b/>
          <w:bCs/>
          <w:spacing w:val="-3"/>
          <w:sz w:val="22"/>
          <w:szCs w:val="22"/>
          <w:shd w:val="clear" w:color="auto" w:fill="FFFFFF"/>
        </w:rPr>
        <w:t xml:space="preserve">) </w:t>
      </w:r>
      <w:r w:rsidRPr="522AA3A9" w:rsidR="006861C0">
        <w:rPr>
          <w:b/>
          <w:bCs/>
          <w:spacing w:val="-3"/>
          <w:sz w:val="22"/>
          <w:szCs w:val="22"/>
          <w:shd w:val="clear" w:color="auto" w:fill="FFFFFF"/>
        </w:rPr>
        <w:t>Password and Back-up Authentication Methods for Lost or Forgotten Passwords for Call Detail Telephone Access and Online Access:</w:t>
      </w:r>
      <w:r w:rsidRPr="522AA3A9" w:rsidR="006861C0">
        <w:rPr>
          <w:spacing w:val="-3"/>
          <w:sz w:val="22"/>
          <w:szCs w:val="22"/>
          <w:shd w:val="clear" w:color="auto" w:fill="FFFFFF"/>
        </w:rPr>
        <w:t xml:space="preserve">  </w:t>
      </w:r>
      <w:r w:rsidRPr="001C2D09">
        <w:rPr>
          <w:rFonts w:eastAsia="MS Mincho"/>
          <w:sz w:val="22"/>
          <w:szCs w:val="22"/>
          <w:shd w:val="clear" w:color="auto" w:fill="FFFFFF"/>
          <w:lang w:eastAsia="ja-JP"/>
        </w:rPr>
        <w:t xml:space="preserve">If a telecommunications carrier or provider of interconnected VoIP service decides to provide call detail CPNI to the customer over the telephone during a customer-initiated telephone call, then it would be required to collect and maintain a database of any </w:t>
      </w:r>
      <w:r w:rsidRPr="522AA3A9">
        <w:rPr>
          <w:spacing w:val="-3"/>
          <w:sz w:val="22"/>
          <w:szCs w:val="22"/>
          <w:shd w:val="clear" w:color="auto" w:fill="FFFFFF"/>
        </w:rPr>
        <w:t>customer</w:t>
      </w:r>
      <w:r w:rsidRPr="001C2D09">
        <w:rPr>
          <w:rFonts w:eastAsia="MS Mincho"/>
          <w:sz w:val="22"/>
          <w:szCs w:val="22"/>
          <w:shd w:val="clear" w:color="auto" w:fill="FFFFFF"/>
          <w:lang w:eastAsia="ja-JP"/>
        </w:rPr>
        <w:t xml:space="preserve"> chosen passwords or response</w:t>
      </w:r>
      <w:r w:rsidRPr="001C2D09" w:rsidR="001234B9">
        <w:rPr>
          <w:rFonts w:eastAsia="MS Mincho"/>
          <w:sz w:val="22"/>
          <w:szCs w:val="22"/>
          <w:shd w:val="clear" w:color="auto" w:fill="FFFFFF"/>
          <w:lang w:eastAsia="ja-JP"/>
        </w:rPr>
        <w:t>(s)</w:t>
      </w:r>
      <w:r w:rsidRPr="001C2D09">
        <w:rPr>
          <w:rFonts w:eastAsia="MS Mincho"/>
          <w:sz w:val="22"/>
          <w:szCs w:val="22"/>
          <w:shd w:val="clear" w:color="auto" w:fill="FFFFFF"/>
          <w:lang w:eastAsia="ja-JP"/>
        </w:rPr>
        <w:t xml:space="preserve"> to back-up authentication methods.  </w:t>
      </w:r>
      <w:r w:rsidRPr="522AA3A9">
        <w:rPr>
          <w:rFonts w:eastAsia="MS Mincho"/>
          <w:i/>
          <w:iCs/>
          <w:sz w:val="22"/>
          <w:szCs w:val="22"/>
          <w:shd w:val="clear" w:color="auto" w:fill="FFFFFF"/>
          <w:lang w:eastAsia="ja-JP"/>
        </w:rPr>
        <w:t>See</w:t>
      </w:r>
      <w:r w:rsidRPr="001C2D09">
        <w:rPr>
          <w:rFonts w:eastAsia="MS Mincho"/>
          <w:sz w:val="22"/>
          <w:szCs w:val="22"/>
          <w:shd w:val="clear" w:color="auto" w:fill="FFFFFF"/>
          <w:lang w:eastAsia="ja-JP"/>
        </w:rPr>
        <w:t xml:space="preserve"> </w:t>
      </w:r>
      <w:r w:rsidRPr="001C2D09" w:rsidR="00A64B9B">
        <w:rPr>
          <w:rFonts w:eastAsia="MS Mincho"/>
          <w:sz w:val="22"/>
          <w:szCs w:val="22"/>
          <w:shd w:val="clear" w:color="auto" w:fill="FFFFFF"/>
          <w:lang w:eastAsia="ja-JP"/>
        </w:rPr>
        <w:t>47</w:t>
      </w:r>
      <w:r w:rsidRPr="001C2D09">
        <w:rPr>
          <w:rFonts w:eastAsia="MS Mincho"/>
          <w:sz w:val="22"/>
          <w:szCs w:val="22"/>
          <w:shd w:val="clear" w:color="auto" w:fill="FFFFFF"/>
          <w:lang w:eastAsia="ja-JP"/>
        </w:rPr>
        <w:t xml:space="preserve"> CFR </w:t>
      </w:r>
      <w:r w:rsidRPr="001C2D09" w:rsidR="00883F84">
        <w:rPr>
          <w:rFonts w:eastAsia="MS Mincho"/>
          <w:sz w:val="22"/>
          <w:szCs w:val="22"/>
          <w:shd w:val="clear" w:color="auto" w:fill="FFFFFF"/>
          <w:lang w:eastAsia="ja-JP"/>
        </w:rPr>
        <w:t xml:space="preserve">Section </w:t>
      </w:r>
      <w:r w:rsidRPr="001C2D09">
        <w:rPr>
          <w:rFonts w:eastAsia="MS Mincho"/>
          <w:sz w:val="22"/>
          <w:szCs w:val="22"/>
          <w:shd w:val="clear" w:color="auto" w:fill="FFFFFF"/>
          <w:lang w:eastAsia="ja-JP"/>
        </w:rPr>
        <w:t xml:space="preserve">64.2010(a) – (e) and paragraphs 13-22 in the </w:t>
      </w:r>
      <w:r w:rsidRPr="522AA3A9" w:rsidR="00672169">
        <w:rPr>
          <w:rFonts w:eastAsia="MS Mincho"/>
          <w:i/>
          <w:iCs/>
          <w:sz w:val="22"/>
          <w:szCs w:val="22"/>
          <w:shd w:val="clear" w:color="auto" w:fill="FFFFFF"/>
          <w:lang w:eastAsia="ja-JP"/>
        </w:rPr>
        <w:t>2007 CPNI Order</w:t>
      </w:r>
      <w:r w:rsidRPr="001C2D09">
        <w:rPr>
          <w:rFonts w:eastAsia="MS Mincho"/>
          <w:sz w:val="22"/>
          <w:szCs w:val="22"/>
          <w:shd w:val="clear" w:color="auto" w:fill="FFFFFF"/>
          <w:lang w:eastAsia="ja-JP"/>
        </w:rPr>
        <w:t xml:space="preserve"> (FCC 07-22).</w:t>
      </w:r>
    </w:p>
    <w:p w:rsidR="006861C0" w:rsidRPr="001C2D09" w:rsidP="0077092A" w14:paraId="3DE996D1" w14:textId="77777777">
      <w:pPr>
        <w:rPr>
          <w:bCs/>
          <w:spacing w:val="-3"/>
          <w:sz w:val="22"/>
          <w:szCs w:val="22"/>
          <w:shd w:val="clear" w:color="auto" w:fill="FFFFFF"/>
        </w:rPr>
      </w:pPr>
    </w:p>
    <w:p w:rsidR="00F16CDB" w:rsidRPr="001C2D09" w:rsidP="00774719" w14:paraId="62130BA1" w14:textId="7BCE6C30">
      <w:pPr>
        <w:spacing w:after="240"/>
        <w:rPr>
          <w:sz w:val="22"/>
          <w:szCs w:val="22"/>
        </w:rPr>
      </w:pPr>
      <w:r w:rsidRPr="001C2D09">
        <w:rPr>
          <w:b/>
          <w:spacing w:val="-3"/>
          <w:sz w:val="22"/>
          <w:szCs w:val="22"/>
          <w:shd w:val="clear" w:color="auto" w:fill="FFFFFF"/>
        </w:rPr>
        <w:t>(</w:t>
      </w:r>
      <w:r w:rsidRPr="001C2D09" w:rsidR="008767B1">
        <w:rPr>
          <w:b/>
          <w:spacing w:val="-3"/>
          <w:sz w:val="22"/>
          <w:szCs w:val="22"/>
          <w:shd w:val="clear" w:color="auto" w:fill="FFFFFF"/>
        </w:rPr>
        <w:t>n</w:t>
      </w:r>
      <w:r w:rsidRPr="001C2D09" w:rsidR="00DD23C0">
        <w:rPr>
          <w:b/>
          <w:spacing w:val="-3"/>
          <w:sz w:val="22"/>
          <w:szCs w:val="22"/>
          <w:shd w:val="clear" w:color="auto" w:fill="FFFFFF"/>
        </w:rPr>
        <w:t xml:space="preserve">) </w:t>
      </w:r>
      <w:r w:rsidRPr="001C2D09" w:rsidR="007F78DE">
        <w:rPr>
          <w:b/>
          <w:spacing w:val="-3"/>
          <w:sz w:val="22"/>
          <w:szCs w:val="22"/>
          <w:shd w:val="clear" w:color="auto" w:fill="FFFFFF"/>
        </w:rPr>
        <w:t>Notification of Account Changes</w:t>
      </w:r>
      <w:r w:rsidRPr="001C2D09">
        <w:rPr>
          <w:bCs/>
          <w:spacing w:val="-3"/>
          <w:sz w:val="22"/>
          <w:szCs w:val="22"/>
          <w:shd w:val="clear" w:color="auto" w:fill="FFFFFF"/>
        </w:rPr>
        <w:t xml:space="preserve">:  </w:t>
      </w:r>
      <w:r w:rsidRPr="001C2D09" w:rsidR="007F78DE">
        <w:rPr>
          <w:bCs/>
          <w:spacing w:val="-3"/>
          <w:sz w:val="22"/>
          <w:szCs w:val="22"/>
          <w:shd w:val="clear" w:color="auto" w:fill="FFFFFF"/>
        </w:rPr>
        <w:t>A</w:t>
      </w:r>
      <w:r w:rsidRPr="001C2D09">
        <w:rPr>
          <w:bCs/>
          <w:spacing w:val="-3"/>
          <w:sz w:val="22"/>
          <w:szCs w:val="22"/>
          <w:shd w:val="clear" w:color="auto" w:fill="FFFFFF"/>
        </w:rPr>
        <w:t xml:space="preserve"> telecommunications carrier or provider of interconnected VoIP service </w:t>
      </w:r>
      <w:r w:rsidRPr="001C2D09" w:rsidR="007F78DE">
        <w:rPr>
          <w:bCs/>
          <w:spacing w:val="-3"/>
          <w:sz w:val="22"/>
          <w:szCs w:val="22"/>
          <w:shd w:val="clear" w:color="auto" w:fill="FFFFFF"/>
        </w:rPr>
        <w:t xml:space="preserve">must notify its customers immediately whenever a password, customer response to a back-up means of authentication for lost or forgotten passwords, online account, or address of record is created or changed.  This notification is not required when the customer initiates service, including the selection of a password at service initiation.  This notification may be through a carrier-originated voicemail or text message to the telephone number of record, or by mail to the address of record, and must not reveal the changed information or be sent to the new account information.  </w:t>
      </w:r>
      <w:r w:rsidRPr="001C2D09" w:rsidR="007F78DE">
        <w:rPr>
          <w:bCs/>
          <w:i/>
          <w:spacing w:val="-3"/>
          <w:sz w:val="22"/>
          <w:szCs w:val="22"/>
          <w:shd w:val="clear" w:color="auto" w:fill="FFFFFF"/>
        </w:rPr>
        <w:t>Se</w:t>
      </w:r>
      <w:r w:rsidRPr="001C2D09" w:rsidR="00F61710">
        <w:rPr>
          <w:bCs/>
          <w:i/>
          <w:spacing w:val="-3"/>
          <w:sz w:val="22"/>
          <w:szCs w:val="22"/>
          <w:shd w:val="clear" w:color="auto" w:fill="FFFFFF"/>
        </w:rPr>
        <w:t>e</w:t>
      </w:r>
      <w:r w:rsidRPr="001C2D09" w:rsidR="00F61710">
        <w:rPr>
          <w:bCs/>
          <w:spacing w:val="-3"/>
          <w:sz w:val="22"/>
          <w:szCs w:val="22"/>
          <w:shd w:val="clear" w:color="auto" w:fill="FFFFFF"/>
        </w:rPr>
        <w:t xml:space="preserve"> </w:t>
      </w:r>
      <w:r w:rsidRPr="001C2D09" w:rsidR="00275296">
        <w:rPr>
          <w:bCs/>
          <w:spacing w:val="-3"/>
          <w:sz w:val="22"/>
          <w:szCs w:val="22"/>
          <w:shd w:val="clear" w:color="auto" w:fill="FFFFFF"/>
        </w:rPr>
        <w:t>47</w:t>
      </w:r>
      <w:r w:rsidRPr="001C2D09" w:rsidR="00F61710">
        <w:rPr>
          <w:bCs/>
          <w:spacing w:val="-3"/>
          <w:sz w:val="22"/>
          <w:szCs w:val="22"/>
          <w:shd w:val="clear" w:color="auto" w:fill="FFFFFF"/>
        </w:rPr>
        <w:t xml:space="preserve"> CFR </w:t>
      </w:r>
      <w:r w:rsidRPr="001C2D09" w:rsidR="008862B9">
        <w:rPr>
          <w:spacing w:val="-3"/>
          <w:sz w:val="22"/>
          <w:szCs w:val="22"/>
          <w:shd w:val="clear" w:color="auto" w:fill="FFFFFF"/>
        </w:rPr>
        <w:t>§ </w:t>
      </w:r>
      <w:r w:rsidRPr="001C2D09" w:rsidR="00F61710">
        <w:rPr>
          <w:bCs/>
          <w:spacing w:val="-3"/>
          <w:sz w:val="22"/>
          <w:szCs w:val="22"/>
          <w:shd w:val="clear" w:color="auto" w:fill="FFFFFF"/>
        </w:rPr>
        <w:t>64.2010</w:t>
      </w:r>
      <w:r w:rsidRPr="001C2D09" w:rsidR="00950BE7">
        <w:rPr>
          <w:bCs/>
          <w:spacing w:val="-3"/>
          <w:sz w:val="22"/>
          <w:szCs w:val="22"/>
          <w:shd w:val="clear" w:color="auto" w:fill="FFFFFF"/>
        </w:rPr>
        <w:t>(f)</w:t>
      </w:r>
      <w:r w:rsidRPr="001C2D09" w:rsidR="00F61710">
        <w:rPr>
          <w:bCs/>
          <w:spacing w:val="-3"/>
          <w:sz w:val="22"/>
          <w:szCs w:val="22"/>
          <w:shd w:val="clear" w:color="auto" w:fill="FFFFFF"/>
        </w:rPr>
        <w:t xml:space="preserve"> and paragraph 24 </w:t>
      </w:r>
      <w:r w:rsidRPr="001C2D09" w:rsidR="007F78DE">
        <w:rPr>
          <w:bCs/>
          <w:spacing w:val="-3"/>
          <w:sz w:val="22"/>
          <w:szCs w:val="22"/>
          <w:shd w:val="clear" w:color="auto" w:fill="FFFFFF"/>
        </w:rPr>
        <w:t xml:space="preserve">in the </w:t>
      </w:r>
      <w:r w:rsidRPr="001C2D09" w:rsidR="00672169">
        <w:rPr>
          <w:bCs/>
          <w:i/>
          <w:iCs/>
          <w:spacing w:val="-3"/>
          <w:sz w:val="22"/>
          <w:szCs w:val="22"/>
          <w:shd w:val="clear" w:color="auto" w:fill="FFFFFF"/>
        </w:rPr>
        <w:t>2007 CPNI Order</w:t>
      </w:r>
      <w:r w:rsidRPr="001C2D09" w:rsidR="00950BE7">
        <w:rPr>
          <w:bCs/>
          <w:spacing w:val="-3"/>
          <w:sz w:val="22"/>
          <w:szCs w:val="22"/>
          <w:shd w:val="clear" w:color="auto" w:fill="FFFFFF"/>
        </w:rPr>
        <w:t xml:space="preserve"> (FCC 07-22).</w:t>
      </w:r>
      <w:r w:rsidRPr="001C2D09">
        <w:rPr>
          <w:bCs/>
          <w:spacing w:val="-3"/>
          <w:sz w:val="22"/>
          <w:szCs w:val="22"/>
          <w:shd w:val="clear" w:color="auto" w:fill="FFFFFF"/>
        </w:rPr>
        <w:t xml:space="preserve"> </w:t>
      </w:r>
      <w:r w:rsidRPr="001C2D09" w:rsidR="00623D5A">
        <w:rPr>
          <w:bCs/>
          <w:spacing w:val="-3"/>
          <w:sz w:val="22"/>
          <w:szCs w:val="22"/>
          <w:shd w:val="clear" w:color="auto" w:fill="FFFFFF"/>
        </w:rPr>
        <w:t xml:space="preserve"> The </w:t>
      </w:r>
      <w:r w:rsidRPr="001C2D09" w:rsidR="00623D5A">
        <w:rPr>
          <w:bCs/>
          <w:i/>
          <w:iCs/>
          <w:spacing w:val="-3"/>
          <w:sz w:val="22"/>
          <w:szCs w:val="22"/>
          <w:shd w:val="clear" w:color="auto" w:fill="FFFFFF"/>
        </w:rPr>
        <w:t>Safe Connections Order</w:t>
      </w:r>
      <w:r>
        <w:rPr>
          <w:rStyle w:val="FootnoteReference"/>
          <w:bCs/>
          <w:spacing w:val="-3"/>
          <w:sz w:val="22"/>
          <w:szCs w:val="22"/>
          <w:shd w:val="clear" w:color="auto" w:fill="FFFFFF"/>
        </w:rPr>
        <w:footnoteReference w:id="11"/>
      </w:r>
      <w:r w:rsidRPr="001C2D09" w:rsidR="00623D5A">
        <w:rPr>
          <w:bCs/>
          <w:spacing w:val="-3"/>
          <w:sz w:val="22"/>
          <w:szCs w:val="22"/>
          <w:shd w:val="clear" w:color="auto" w:fill="FFFFFF"/>
        </w:rPr>
        <w:t xml:space="preserve"> </w:t>
      </w:r>
      <w:r w:rsidRPr="001C2D09" w:rsidR="00F9668C">
        <w:rPr>
          <w:sz w:val="22"/>
          <w:szCs w:val="22"/>
        </w:rPr>
        <w:t>clarif</w:t>
      </w:r>
      <w:r w:rsidRPr="001C2D09" w:rsidR="005E1DA0">
        <w:rPr>
          <w:sz w:val="22"/>
          <w:szCs w:val="22"/>
        </w:rPr>
        <w:t>ied</w:t>
      </w:r>
      <w:r w:rsidRPr="001C2D09" w:rsidR="00F9668C">
        <w:rPr>
          <w:sz w:val="22"/>
          <w:szCs w:val="22"/>
        </w:rPr>
        <w:t xml:space="preserve"> that the rule requiring telecommunications carriers to notify customers “immediately” whenever a password, customer response to a back-up means of authentication for lost or forgotten passwords, online account, or address of record is created or changed does not apply when such changes are made in connection with a line separation request made pursuant to the S</w:t>
      </w:r>
      <w:r w:rsidRPr="001C2D09" w:rsidR="00A308B1">
        <w:rPr>
          <w:sz w:val="22"/>
          <w:szCs w:val="22"/>
        </w:rPr>
        <w:t xml:space="preserve">afe </w:t>
      </w:r>
      <w:r w:rsidRPr="001C2D09" w:rsidR="00F9668C">
        <w:rPr>
          <w:sz w:val="22"/>
          <w:szCs w:val="22"/>
        </w:rPr>
        <w:t>C</w:t>
      </w:r>
      <w:r w:rsidRPr="001C2D09" w:rsidR="00A308B1">
        <w:rPr>
          <w:sz w:val="22"/>
          <w:szCs w:val="22"/>
        </w:rPr>
        <w:t xml:space="preserve">onnections </w:t>
      </w:r>
      <w:r w:rsidRPr="001C2D09" w:rsidR="00F9668C">
        <w:rPr>
          <w:sz w:val="22"/>
          <w:szCs w:val="22"/>
        </w:rPr>
        <w:t>A</w:t>
      </w:r>
      <w:r w:rsidRPr="001C2D09" w:rsidR="00A308B1">
        <w:rPr>
          <w:sz w:val="22"/>
          <w:szCs w:val="22"/>
        </w:rPr>
        <w:t>ct</w:t>
      </w:r>
      <w:r w:rsidRPr="001C2D09" w:rsidR="00F9668C">
        <w:rPr>
          <w:sz w:val="22"/>
          <w:szCs w:val="22"/>
        </w:rPr>
        <w:t xml:space="preserve">. </w:t>
      </w:r>
      <w:r w:rsidRPr="001C2D09" w:rsidR="00F9668C">
        <w:rPr>
          <w:i/>
          <w:iCs/>
          <w:sz w:val="22"/>
          <w:szCs w:val="22"/>
        </w:rPr>
        <w:t>See</w:t>
      </w:r>
      <w:r w:rsidRPr="001C2D09" w:rsidR="00F9668C">
        <w:rPr>
          <w:sz w:val="22"/>
          <w:szCs w:val="22"/>
        </w:rPr>
        <w:t xml:space="preserve"> 64.2010(f) and paragraph 100 of </w:t>
      </w:r>
      <w:r w:rsidRPr="001C2D09" w:rsidR="00F9668C">
        <w:rPr>
          <w:i/>
          <w:iCs/>
          <w:sz w:val="22"/>
          <w:szCs w:val="22"/>
        </w:rPr>
        <w:t>S</w:t>
      </w:r>
      <w:r w:rsidRPr="001C2D09" w:rsidR="007C1A6C">
        <w:rPr>
          <w:i/>
          <w:iCs/>
          <w:sz w:val="22"/>
          <w:szCs w:val="22"/>
        </w:rPr>
        <w:t>afe Connections</w:t>
      </w:r>
      <w:r w:rsidRPr="001C2D09" w:rsidR="00F9668C">
        <w:rPr>
          <w:i/>
          <w:iCs/>
          <w:sz w:val="22"/>
          <w:szCs w:val="22"/>
        </w:rPr>
        <w:t xml:space="preserve"> Order</w:t>
      </w:r>
      <w:r w:rsidRPr="001C2D09" w:rsidR="00F9668C">
        <w:rPr>
          <w:sz w:val="22"/>
          <w:szCs w:val="22"/>
        </w:rPr>
        <w:t xml:space="preserve">. </w:t>
      </w:r>
      <w:r w:rsidRPr="001C2D09" w:rsidR="007C1A6C">
        <w:rPr>
          <w:sz w:val="22"/>
          <w:szCs w:val="22"/>
        </w:rPr>
        <w:t xml:space="preserve"> The rules implementing the Safe Connections Act were approved by OMB on May </w:t>
      </w:r>
      <w:r w:rsidRPr="001C2D09" w:rsidR="00394295">
        <w:rPr>
          <w:sz w:val="22"/>
          <w:szCs w:val="22"/>
        </w:rPr>
        <w:t>3</w:t>
      </w:r>
      <w:r w:rsidRPr="001C2D09" w:rsidR="007C1A6C">
        <w:rPr>
          <w:sz w:val="22"/>
          <w:szCs w:val="22"/>
        </w:rPr>
        <w:t>, 2024</w:t>
      </w:r>
      <w:r w:rsidRPr="001C2D09" w:rsidR="00AF411F">
        <w:rPr>
          <w:sz w:val="22"/>
          <w:szCs w:val="22"/>
        </w:rPr>
        <w:t xml:space="preserve"> as part of collection 3060-1325.  </w:t>
      </w:r>
    </w:p>
    <w:p w:rsidR="00213599" w:rsidRPr="00582018" w:rsidP="522AA3A9" w14:paraId="0695E227" w14:textId="28DCF567">
      <w:pPr>
        <w:rPr>
          <w:b/>
          <w:bCs/>
          <w:i/>
          <w:iCs/>
          <w:spacing w:val="-3"/>
          <w:sz w:val="22"/>
          <w:szCs w:val="22"/>
          <w:u w:val="single"/>
          <w:shd w:val="clear" w:color="auto" w:fill="FFFFFF"/>
        </w:rPr>
      </w:pPr>
      <w:bookmarkStart w:id="2" w:name="_Hlk177657447"/>
      <w:r w:rsidRPr="00582018">
        <w:rPr>
          <w:b/>
          <w:bCs/>
          <w:spacing w:val="-3"/>
          <w:sz w:val="22"/>
          <w:szCs w:val="22"/>
          <w:u w:val="single"/>
          <w:shd w:val="clear" w:color="auto" w:fill="FFFFFF"/>
        </w:rPr>
        <w:t>New</w:t>
      </w:r>
      <w:r w:rsidRPr="00582018" w:rsidR="00AC49E9">
        <w:rPr>
          <w:b/>
          <w:bCs/>
          <w:spacing w:val="-3"/>
          <w:sz w:val="22"/>
          <w:szCs w:val="22"/>
          <w:u w:val="single"/>
          <w:shd w:val="clear" w:color="auto" w:fill="FFFFFF"/>
        </w:rPr>
        <w:t xml:space="preserve"> </w:t>
      </w:r>
      <w:r w:rsidRPr="00582018" w:rsidR="005F1ED8">
        <w:rPr>
          <w:b/>
          <w:bCs/>
          <w:spacing w:val="-3"/>
          <w:sz w:val="22"/>
          <w:szCs w:val="22"/>
          <w:u w:val="single"/>
          <w:shd w:val="clear" w:color="auto" w:fill="FFFFFF"/>
        </w:rPr>
        <w:t>or Revised Information Collection Requirements</w:t>
      </w:r>
      <w:r w:rsidR="006C1A10">
        <w:rPr>
          <w:b/>
          <w:bCs/>
          <w:spacing w:val="-3"/>
          <w:sz w:val="22"/>
          <w:szCs w:val="22"/>
          <w:u w:val="single"/>
          <w:shd w:val="clear" w:color="auto" w:fill="FFFFFF"/>
        </w:rPr>
        <w:t xml:space="preserve"> which require OMB Approval r</w:t>
      </w:r>
      <w:r w:rsidRPr="00582018" w:rsidR="000A32E4">
        <w:rPr>
          <w:b/>
          <w:bCs/>
          <w:spacing w:val="-3"/>
          <w:sz w:val="22"/>
          <w:szCs w:val="22"/>
          <w:u w:val="single"/>
          <w:shd w:val="clear" w:color="auto" w:fill="FFFFFF"/>
        </w:rPr>
        <w:t xml:space="preserve">esulting from </w:t>
      </w:r>
      <w:r w:rsidRPr="00582018" w:rsidR="244D07FB">
        <w:rPr>
          <w:b/>
          <w:bCs/>
          <w:spacing w:val="-3"/>
          <w:sz w:val="22"/>
          <w:szCs w:val="22"/>
          <w:u w:val="single"/>
          <w:shd w:val="clear" w:color="auto" w:fill="FFFFFF"/>
        </w:rPr>
        <w:t>the</w:t>
      </w:r>
      <w:r w:rsidRPr="00582018" w:rsidR="000A32E4">
        <w:rPr>
          <w:b/>
          <w:bCs/>
          <w:spacing w:val="-3"/>
          <w:sz w:val="22"/>
          <w:szCs w:val="22"/>
          <w:u w:val="single"/>
          <w:shd w:val="clear" w:color="auto" w:fill="FFFFFF"/>
        </w:rPr>
        <w:t xml:space="preserve"> </w:t>
      </w:r>
      <w:r w:rsidRPr="00582018" w:rsidR="000A32E4">
        <w:rPr>
          <w:b/>
          <w:bCs/>
          <w:i/>
          <w:iCs/>
          <w:spacing w:val="-3"/>
          <w:sz w:val="22"/>
          <w:szCs w:val="22"/>
          <w:u w:val="single"/>
          <w:shd w:val="clear" w:color="auto" w:fill="FFFFFF"/>
        </w:rPr>
        <w:t>SIM Swap and P</w:t>
      </w:r>
      <w:r w:rsidRPr="00582018" w:rsidR="009E735C">
        <w:rPr>
          <w:b/>
          <w:bCs/>
          <w:i/>
          <w:iCs/>
          <w:spacing w:val="-3"/>
          <w:sz w:val="22"/>
          <w:szCs w:val="22"/>
          <w:u w:val="single"/>
          <w:shd w:val="clear" w:color="auto" w:fill="FFFFFF"/>
        </w:rPr>
        <w:t>o</w:t>
      </w:r>
      <w:r w:rsidRPr="00582018" w:rsidR="000A32E4">
        <w:rPr>
          <w:b/>
          <w:bCs/>
          <w:i/>
          <w:iCs/>
          <w:spacing w:val="-3"/>
          <w:sz w:val="22"/>
          <w:szCs w:val="22"/>
          <w:u w:val="single"/>
          <w:shd w:val="clear" w:color="auto" w:fill="FFFFFF"/>
        </w:rPr>
        <w:t>rt-Out Fraud Order</w:t>
      </w:r>
    </w:p>
    <w:bookmarkEnd w:id="2"/>
    <w:p w:rsidR="00124B07" w:rsidRPr="001C2D09" w:rsidP="00B539DC" w14:paraId="1D561BD0" w14:textId="77777777">
      <w:pPr>
        <w:rPr>
          <w:b/>
          <w:i/>
          <w:spacing w:val="-3"/>
          <w:sz w:val="22"/>
          <w:szCs w:val="22"/>
          <w:shd w:val="clear" w:color="auto" w:fill="FFFFFF"/>
        </w:rPr>
      </w:pPr>
    </w:p>
    <w:p w:rsidR="000B5276" w:rsidRPr="00D245EC" w:rsidP="00CC0DA8" w14:paraId="13421BDB" w14:textId="17B54BBD">
      <w:pPr>
        <w:rPr>
          <w:bCs/>
          <w:spacing w:val="-3"/>
          <w:sz w:val="22"/>
          <w:szCs w:val="22"/>
          <w:shd w:val="clear" w:color="auto" w:fill="FFFFFF"/>
        </w:rPr>
      </w:pPr>
      <w:r w:rsidRPr="001C2D09">
        <w:rPr>
          <w:b/>
          <w:spacing w:val="-3"/>
          <w:sz w:val="22"/>
          <w:szCs w:val="22"/>
          <w:shd w:val="clear" w:color="auto" w:fill="FFFFFF"/>
        </w:rPr>
        <w:t>(o)</w:t>
      </w:r>
      <w:r w:rsidR="00CC0DA8">
        <w:rPr>
          <w:bCs/>
          <w:spacing w:val="-3"/>
          <w:sz w:val="22"/>
          <w:szCs w:val="22"/>
          <w:shd w:val="clear" w:color="auto" w:fill="FFFFFF"/>
        </w:rPr>
        <w:t xml:space="preserve">  </w:t>
      </w:r>
      <w:r w:rsidRPr="00CC0DA8" w:rsidR="000A6395">
        <w:rPr>
          <w:b/>
          <w:bCs/>
          <w:spacing w:val="-3"/>
          <w:sz w:val="22"/>
          <w:szCs w:val="22"/>
          <w:shd w:val="clear" w:color="auto" w:fill="FFFFFF"/>
        </w:rPr>
        <w:t>Customer notification of SIM change requests</w:t>
      </w:r>
      <w:r w:rsidRPr="00CC0DA8" w:rsidR="000A6395">
        <w:rPr>
          <w:spacing w:val="-3"/>
          <w:sz w:val="22"/>
          <w:szCs w:val="22"/>
          <w:shd w:val="clear" w:color="auto" w:fill="FFFFFF"/>
        </w:rPr>
        <w:t>.</w:t>
      </w:r>
      <w:r w:rsidRPr="00CC0DA8" w:rsidR="009504C6">
        <w:rPr>
          <w:spacing w:val="-3"/>
          <w:sz w:val="22"/>
          <w:szCs w:val="22"/>
          <w:shd w:val="clear" w:color="auto" w:fill="FFFFFF"/>
        </w:rPr>
        <w:t xml:space="preserve">  </w:t>
      </w:r>
      <w:r w:rsidRPr="00CC0DA8" w:rsidR="005276D9">
        <w:rPr>
          <w:spacing w:val="-3"/>
          <w:sz w:val="22"/>
          <w:szCs w:val="22"/>
          <w:shd w:val="clear" w:color="auto" w:fill="FFFFFF"/>
        </w:rPr>
        <w:t xml:space="preserve">To </w:t>
      </w:r>
      <w:r w:rsidRPr="00CC0DA8" w:rsidR="00F175FE">
        <w:rPr>
          <w:spacing w:val="-3"/>
          <w:sz w:val="22"/>
          <w:szCs w:val="22"/>
          <w:shd w:val="clear" w:color="auto" w:fill="FFFFFF"/>
        </w:rPr>
        <w:t>provide customers with an early warning that their account may be subject to fraudulent activity</w:t>
      </w:r>
      <w:r w:rsidRPr="00CC0DA8" w:rsidR="00C57501">
        <w:rPr>
          <w:spacing w:val="-3"/>
          <w:sz w:val="22"/>
          <w:szCs w:val="22"/>
          <w:shd w:val="clear" w:color="auto" w:fill="FFFFFF"/>
        </w:rPr>
        <w:t xml:space="preserve">, </w:t>
      </w:r>
      <w:r w:rsidRPr="00CC0DA8" w:rsidR="00E05053">
        <w:rPr>
          <w:spacing w:val="-3"/>
          <w:sz w:val="22"/>
          <w:szCs w:val="22"/>
          <w:shd w:val="clear" w:color="auto" w:fill="FFFFFF"/>
        </w:rPr>
        <w:t>CMRS</w:t>
      </w:r>
      <w:r w:rsidRPr="00CC0DA8" w:rsidR="003E688F">
        <w:rPr>
          <w:spacing w:val="-3"/>
          <w:sz w:val="22"/>
          <w:szCs w:val="22"/>
          <w:shd w:val="clear" w:color="auto" w:fill="FFFFFF"/>
        </w:rPr>
        <w:t xml:space="preserve"> provi</w:t>
      </w:r>
      <w:r w:rsidRPr="00CC0DA8" w:rsidR="005276D9">
        <w:rPr>
          <w:spacing w:val="-3"/>
          <w:sz w:val="22"/>
          <w:szCs w:val="22"/>
          <w:shd w:val="clear" w:color="auto" w:fill="FFFFFF"/>
        </w:rPr>
        <w:t>d</w:t>
      </w:r>
      <w:r w:rsidRPr="00CC0DA8" w:rsidR="003E688F">
        <w:rPr>
          <w:spacing w:val="-3"/>
          <w:sz w:val="22"/>
          <w:szCs w:val="22"/>
          <w:shd w:val="clear" w:color="auto" w:fill="FFFFFF"/>
        </w:rPr>
        <w:t xml:space="preserve">ers </w:t>
      </w:r>
      <w:r w:rsidRPr="00CC0DA8" w:rsidR="00B5086D">
        <w:rPr>
          <w:spacing w:val="-3"/>
          <w:sz w:val="22"/>
          <w:szCs w:val="22"/>
          <w:shd w:val="clear" w:color="auto" w:fill="FFFFFF"/>
        </w:rPr>
        <w:t xml:space="preserve">must </w:t>
      </w:r>
      <w:r w:rsidRPr="00CC0DA8" w:rsidR="00C57501">
        <w:rPr>
          <w:spacing w:val="-3"/>
          <w:sz w:val="22"/>
          <w:szCs w:val="22"/>
          <w:shd w:val="clear" w:color="auto" w:fill="FFFFFF"/>
        </w:rPr>
        <w:t xml:space="preserve">provide immediate notification to customers of any requests for a SIM change associated with the customer’s account.  </w:t>
      </w:r>
      <w:r w:rsidRPr="00CC0DA8" w:rsidR="001B18C9">
        <w:rPr>
          <w:spacing w:val="-3"/>
          <w:sz w:val="22"/>
          <w:szCs w:val="22"/>
          <w:shd w:val="clear" w:color="auto" w:fill="FFFFFF"/>
        </w:rPr>
        <w:t>While t</w:t>
      </w:r>
      <w:r w:rsidRPr="00CC0DA8" w:rsidR="00B772A3">
        <w:rPr>
          <w:spacing w:val="-3"/>
          <w:sz w:val="22"/>
          <w:szCs w:val="22"/>
          <w:shd w:val="clear" w:color="auto" w:fill="FFFFFF"/>
        </w:rPr>
        <w:t xml:space="preserve">he Commission declines to prescribe particular content or wording of SIM change notifications, </w:t>
      </w:r>
      <w:r w:rsidRPr="00CC0DA8" w:rsidR="004E7782">
        <w:rPr>
          <w:spacing w:val="-3"/>
          <w:sz w:val="22"/>
          <w:szCs w:val="22"/>
          <w:shd w:val="clear" w:color="auto" w:fill="FFFFFF"/>
        </w:rPr>
        <w:t xml:space="preserve">the </w:t>
      </w:r>
      <w:r w:rsidRPr="00CC0DA8" w:rsidR="002677D9">
        <w:rPr>
          <w:spacing w:val="-3"/>
          <w:sz w:val="22"/>
          <w:szCs w:val="22"/>
          <w:shd w:val="clear" w:color="auto" w:fill="FFFFFF"/>
        </w:rPr>
        <w:t xml:space="preserve">notifications </w:t>
      </w:r>
      <w:r w:rsidRPr="00CC0DA8" w:rsidR="004E7782">
        <w:rPr>
          <w:spacing w:val="-3"/>
          <w:sz w:val="22"/>
          <w:szCs w:val="22"/>
          <w:shd w:val="clear" w:color="auto" w:fill="FFFFFF"/>
        </w:rPr>
        <w:t xml:space="preserve">must </w:t>
      </w:r>
      <w:r w:rsidRPr="00CC0DA8" w:rsidR="002677D9">
        <w:rPr>
          <w:spacing w:val="-3"/>
          <w:sz w:val="22"/>
          <w:szCs w:val="22"/>
          <w:shd w:val="clear" w:color="auto" w:fill="FFFFFF"/>
        </w:rPr>
        <w:t xml:space="preserve">use clear </w:t>
      </w:r>
      <w:r w:rsidRPr="00CC0DA8" w:rsidR="002677D9">
        <w:rPr>
          <w:spacing w:val="-3"/>
          <w:sz w:val="22"/>
          <w:szCs w:val="22"/>
          <w:shd w:val="clear" w:color="auto" w:fill="FFFFFF"/>
        </w:rPr>
        <w:t>and con</w:t>
      </w:r>
      <w:r w:rsidRPr="00CC0DA8" w:rsidR="00A55F2F">
        <w:rPr>
          <w:spacing w:val="-3"/>
          <w:sz w:val="22"/>
          <w:szCs w:val="22"/>
          <w:shd w:val="clear" w:color="auto" w:fill="FFFFFF"/>
        </w:rPr>
        <w:t>c</w:t>
      </w:r>
      <w:r w:rsidRPr="00CC0DA8" w:rsidR="002677D9">
        <w:rPr>
          <w:spacing w:val="-3"/>
          <w:sz w:val="22"/>
          <w:szCs w:val="22"/>
          <w:shd w:val="clear" w:color="auto" w:fill="FFFFFF"/>
        </w:rPr>
        <w:t xml:space="preserve">ise language </w:t>
      </w:r>
      <w:r w:rsidRPr="00CC0DA8" w:rsidR="000B04EA">
        <w:rPr>
          <w:spacing w:val="-3"/>
          <w:sz w:val="22"/>
          <w:szCs w:val="22"/>
          <w:shd w:val="clear" w:color="auto" w:fill="FFFFFF"/>
        </w:rPr>
        <w:t xml:space="preserve">with </w:t>
      </w:r>
      <w:r w:rsidRPr="00CC0DA8" w:rsidR="002677D9">
        <w:rPr>
          <w:spacing w:val="-3"/>
          <w:sz w:val="22"/>
          <w:szCs w:val="22"/>
          <w:shd w:val="clear" w:color="auto" w:fill="FFFFFF"/>
        </w:rPr>
        <w:t>sufficient information to effectively inform a customer that a SIM change request involving the customer’s SIM was made.</w:t>
      </w:r>
      <w:r w:rsidRPr="00CC0DA8" w:rsidR="005276D9">
        <w:rPr>
          <w:spacing w:val="-3"/>
          <w:sz w:val="22"/>
          <w:szCs w:val="22"/>
          <w:shd w:val="clear" w:color="auto" w:fill="FFFFFF"/>
        </w:rPr>
        <w:t xml:space="preserve"> </w:t>
      </w:r>
      <w:r w:rsidRPr="00CC0DA8" w:rsidR="009504C6">
        <w:rPr>
          <w:i/>
          <w:iCs/>
          <w:spacing w:val="-3"/>
          <w:sz w:val="22"/>
          <w:szCs w:val="22"/>
          <w:shd w:val="clear" w:color="auto" w:fill="FFFFFF"/>
        </w:rPr>
        <w:t>See</w:t>
      </w:r>
      <w:r w:rsidRPr="00CC0DA8" w:rsidR="009504C6">
        <w:rPr>
          <w:spacing w:val="-3"/>
          <w:sz w:val="22"/>
          <w:szCs w:val="22"/>
          <w:shd w:val="clear" w:color="auto" w:fill="FFFFFF"/>
        </w:rPr>
        <w:t xml:space="preserve"> 47 CFR § 64.2010(h)(</w:t>
      </w:r>
      <w:r w:rsidRPr="00CC0DA8" w:rsidR="00437EF9">
        <w:rPr>
          <w:spacing w:val="-3"/>
          <w:sz w:val="22"/>
          <w:szCs w:val="22"/>
          <w:shd w:val="clear" w:color="auto" w:fill="FFFFFF"/>
        </w:rPr>
        <w:t>3</w:t>
      </w:r>
      <w:r w:rsidRPr="00CC0DA8" w:rsidR="009504C6">
        <w:rPr>
          <w:spacing w:val="-3"/>
          <w:sz w:val="22"/>
          <w:szCs w:val="22"/>
          <w:shd w:val="clear" w:color="auto" w:fill="FFFFFF"/>
        </w:rPr>
        <w:t>)</w:t>
      </w:r>
      <w:r w:rsidRPr="00CC0DA8" w:rsidR="00E2169E">
        <w:rPr>
          <w:spacing w:val="-3"/>
          <w:sz w:val="22"/>
          <w:szCs w:val="22"/>
          <w:shd w:val="clear" w:color="auto" w:fill="FFFFFF"/>
        </w:rPr>
        <w:t xml:space="preserve"> and paragraphs </w:t>
      </w:r>
      <w:r w:rsidRPr="00CC0DA8" w:rsidR="00281B09">
        <w:rPr>
          <w:spacing w:val="-3"/>
          <w:sz w:val="22"/>
          <w:szCs w:val="22"/>
          <w:shd w:val="clear" w:color="auto" w:fill="FFFFFF"/>
        </w:rPr>
        <w:t>35-</w:t>
      </w:r>
      <w:r w:rsidRPr="00CC0DA8" w:rsidR="00A55F2F">
        <w:rPr>
          <w:spacing w:val="-3"/>
          <w:sz w:val="22"/>
          <w:szCs w:val="22"/>
          <w:shd w:val="clear" w:color="auto" w:fill="FFFFFF"/>
        </w:rPr>
        <w:t xml:space="preserve">40 of </w:t>
      </w:r>
      <w:r w:rsidRPr="00CC0DA8" w:rsidR="00560B5F">
        <w:rPr>
          <w:spacing w:val="-3"/>
          <w:sz w:val="22"/>
          <w:szCs w:val="22"/>
          <w:shd w:val="clear" w:color="auto" w:fill="FFFFFF"/>
        </w:rPr>
        <w:t xml:space="preserve">the </w:t>
      </w:r>
      <w:r w:rsidRPr="00CC0DA8" w:rsidR="00A55F2F">
        <w:rPr>
          <w:i/>
          <w:iCs/>
          <w:spacing w:val="-3"/>
          <w:sz w:val="22"/>
          <w:szCs w:val="22"/>
          <w:shd w:val="clear" w:color="auto" w:fill="FFFFFF"/>
        </w:rPr>
        <w:t>SIM Swap and Port-Out Fraud Order</w:t>
      </w:r>
      <w:r w:rsidRPr="00CC0DA8" w:rsidR="00A55F2F">
        <w:rPr>
          <w:spacing w:val="-3"/>
          <w:sz w:val="22"/>
          <w:szCs w:val="22"/>
          <w:shd w:val="clear" w:color="auto" w:fill="FFFFFF"/>
        </w:rPr>
        <w:t xml:space="preserve"> (FCC 23-95)</w:t>
      </w:r>
      <w:r w:rsidRPr="00CC0DA8" w:rsidR="009504C6">
        <w:rPr>
          <w:spacing w:val="-3"/>
          <w:sz w:val="22"/>
          <w:szCs w:val="22"/>
          <w:shd w:val="clear" w:color="auto" w:fill="FFFFFF"/>
        </w:rPr>
        <w:t>.</w:t>
      </w:r>
      <w:r w:rsidRPr="00CC0DA8" w:rsidR="009B72FF">
        <w:rPr>
          <w:spacing w:val="-3"/>
          <w:sz w:val="22"/>
          <w:szCs w:val="22"/>
          <w:shd w:val="clear" w:color="auto" w:fill="FFFFFF"/>
        </w:rPr>
        <w:t xml:space="preserve"> </w:t>
      </w:r>
    </w:p>
    <w:p w:rsidR="000B5276" w:rsidRPr="001C2D09" w:rsidP="00B539DC" w14:paraId="6A3360C5" w14:textId="77777777">
      <w:pPr>
        <w:pStyle w:val="ListParagraph"/>
        <w:rPr>
          <w:bCs/>
          <w:spacing w:val="-3"/>
          <w:sz w:val="22"/>
          <w:szCs w:val="22"/>
          <w:shd w:val="clear" w:color="auto" w:fill="FFFFFF"/>
        </w:rPr>
      </w:pPr>
    </w:p>
    <w:p w:rsidR="00CF7293" w:rsidRPr="00D245EC" w:rsidP="00D245EC" w14:paraId="57DB4396" w14:textId="3519EF7C">
      <w:pPr>
        <w:rPr>
          <w:bCs/>
          <w:spacing w:val="-3"/>
          <w:sz w:val="22"/>
          <w:szCs w:val="22"/>
          <w:shd w:val="clear" w:color="auto" w:fill="FFFFFF"/>
        </w:rPr>
      </w:pPr>
      <w:r>
        <w:rPr>
          <w:b/>
          <w:bCs/>
          <w:sz w:val="22"/>
          <w:szCs w:val="22"/>
        </w:rPr>
        <w:t xml:space="preserve">(p) </w:t>
      </w:r>
      <w:r w:rsidRPr="00D245EC" w:rsidR="0096DCD1">
        <w:rPr>
          <w:b/>
          <w:bCs/>
          <w:sz w:val="22"/>
          <w:szCs w:val="22"/>
        </w:rPr>
        <w:t>Notice of account protection measures</w:t>
      </w:r>
      <w:r w:rsidRPr="00D245EC" w:rsidR="0096DCD1">
        <w:rPr>
          <w:sz w:val="22"/>
          <w:szCs w:val="22"/>
        </w:rPr>
        <w:t xml:space="preserve">.  </w:t>
      </w:r>
      <w:r w:rsidRPr="00D245EC" w:rsidR="4FB3E4FE">
        <w:rPr>
          <w:sz w:val="22"/>
          <w:szCs w:val="22"/>
        </w:rPr>
        <w:t xml:space="preserve">CMRS providers </w:t>
      </w:r>
      <w:r w:rsidRPr="00D245EC" w:rsidR="6C0B3985">
        <w:rPr>
          <w:sz w:val="22"/>
          <w:szCs w:val="22"/>
        </w:rPr>
        <w:t xml:space="preserve">must </w:t>
      </w:r>
      <w:r w:rsidRPr="00D245EC" w:rsidR="4FB3E4FE">
        <w:rPr>
          <w:sz w:val="22"/>
          <w:szCs w:val="22"/>
        </w:rPr>
        <w:t xml:space="preserve">provide customers with notice of any account protection measures </w:t>
      </w:r>
      <w:r w:rsidRPr="00D245EC" w:rsidR="54575A36">
        <w:rPr>
          <w:sz w:val="22"/>
          <w:szCs w:val="22"/>
        </w:rPr>
        <w:t>offered, including those to prevent SIM swap fraud</w:t>
      </w:r>
      <w:r w:rsidRPr="00D245EC" w:rsidR="1ECD9B19">
        <w:rPr>
          <w:sz w:val="22"/>
          <w:szCs w:val="22"/>
        </w:rPr>
        <w:t>, and to mak</w:t>
      </w:r>
      <w:r w:rsidRPr="00D245EC" w:rsidR="00075E51">
        <w:rPr>
          <w:sz w:val="22"/>
          <w:szCs w:val="22"/>
        </w:rPr>
        <w:t>e this notice easily accessible via provider websites and applications</w:t>
      </w:r>
      <w:r w:rsidRPr="00D245EC" w:rsidR="54575A36">
        <w:rPr>
          <w:sz w:val="22"/>
          <w:szCs w:val="22"/>
        </w:rPr>
        <w:t xml:space="preserve">.  </w:t>
      </w:r>
      <w:r w:rsidRPr="00D245EC" w:rsidR="0096DCD1">
        <w:rPr>
          <w:i/>
          <w:iCs/>
          <w:sz w:val="22"/>
          <w:szCs w:val="22"/>
        </w:rPr>
        <w:t>See</w:t>
      </w:r>
      <w:r w:rsidRPr="00D245EC" w:rsidR="0096DCD1">
        <w:rPr>
          <w:sz w:val="22"/>
          <w:szCs w:val="22"/>
        </w:rPr>
        <w:t xml:space="preserve"> 47 CFR § 64.2010(h)(5)</w:t>
      </w:r>
      <w:r w:rsidRPr="00D245EC" w:rsidR="54575A36">
        <w:rPr>
          <w:sz w:val="22"/>
          <w:szCs w:val="22"/>
        </w:rPr>
        <w:t xml:space="preserve"> and paragraph</w:t>
      </w:r>
      <w:r w:rsidRPr="00D245EC" w:rsidR="00075E51">
        <w:rPr>
          <w:sz w:val="22"/>
          <w:szCs w:val="22"/>
        </w:rPr>
        <w:t xml:space="preserve"> 67 of the </w:t>
      </w:r>
      <w:r w:rsidRPr="00D245EC" w:rsidR="00075E51">
        <w:rPr>
          <w:i/>
          <w:iCs/>
          <w:sz w:val="22"/>
          <w:szCs w:val="22"/>
        </w:rPr>
        <w:t>SIM Swap and Port-Out Fraud Order</w:t>
      </w:r>
      <w:r w:rsidRPr="00D245EC" w:rsidR="00075E51">
        <w:rPr>
          <w:sz w:val="22"/>
          <w:szCs w:val="22"/>
        </w:rPr>
        <w:t xml:space="preserve"> (FCC 23-95)</w:t>
      </w:r>
      <w:r w:rsidRPr="00D245EC" w:rsidR="0096DCD1">
        <w:rPr>
          <w:sz w:val="22"/>
          <w:szCs w:val="22"/>
        </w:rPr>
        <w:t>.</w:t>
      </w:r>
    </w:p>
    <w:p w:rsidR="008B1C9D" w:rsidRPr="001C2D09" w:rsidP="00B539DC" w14:paraId="53D66D6A" w14:textId="77777777">
      <w:pPr>
        <w:pStyle w:val="ListParagraph"/>
        <w:ind w:left="1080"/>
        <w:rPr>
          <w:bCs/>
          <w:spacing w:val="-3"/>
          <w:sz w:val="22"/>
          <w:szCs w:val="22"/>
          <w:shd w:val="clear" w:color="auto" w:fill="FFFFFF"/>
        </w:rPr>
      </w:pPr>
    </w:p>
    <w:p w:rsidR="008B1C9D" w:rsidRPr="00D245EC" w:rsidP="00D245EC" w14:paraId="0516B97C" w14:textId="1353C3D7">
      <w:pPr>
        <w:rPr>
          <w:bCs/>
          <w:spacing w:val="-3"/>
          <w:sz w:val="22"/>
          <w:szCs w:val="22"/>
          <w:shd w:val="clear" w:color="auto" w:fill="FFFFFF"/>
        </w:rPr>
      </w:pPr>
      <w:r>
        <w:rPr>
          <w:b/>
          <w:bCs/>
          <w:sz w:val="22"/>
          <w:szCs w:val="22"/>
        </w:rPr>
        <w:t xml:space="preserve">(q) </w:t>
      </w:r>
      <w:r w:rsidRPr="00D245EC" w:rsidR="731653EE">
        <w:rPr>
          <w:b/>
          <w:bCs/>
          <w:sz w:val="22"/>
          <w:szCs w:val="22"/>
        </w:rPr>
        <w:t>Procedures to resolve fraudulent SIM changes</w:t>
      </w:r>
      <w:r w:rsidRPr="00D245EC" w:rsidR="731653EE">
        <w:rPr>
          <w:sz w:val="22"/>
          <w:szCs w:val="22"/>
        </w:rPr>
        <w:t xml:space="preserve">.  </w:t>
      </w:r>
      <w:r w:rsidRPr="00D245EC" w:rsidR="66D6773A">
        <w:rPr>
          <w:sz w:val="22"/>
          <w:szCs w:val="22"/>
        </w:rPr>
        <w:t>CMRS</w:t>
      </w:r>
      <w:r w:rsidRPr="00D245EC" w:rsidR="402C5EB3">
        <w:rPr>
          <w:sz w:val="22"/>
          <w:szCs w:val="22"/>
        </w:rPr>
        <w:t xml:space="preserve"> providers </w:t>
      </w:r>
      <w:r w:rsidRPr="00D245EC" w:rsidR="6C0B3985">
        <w:rPr>
          <w:sz w:val="22"/>
          <w:szCs w:val="22"/>
        </w:rPr>
        <w:t xml:space="preserve">must </w:t>
      </w:r>
      <w:r w:rsidRPr="00D245EC" w:rsidR="2CEC12C6">
        <w:rPr>
          <w:sz w:val="22"/>
          <w:szCs w:val="22"/>
        </w:rPr>
        <w:t>maintain a clearly disclosed, transparent, and easy-to-use process</w:t>
      </w:r>
      <w:r w:rsidRPr="00D245EC" w:rsidR="3C1D81E0">
        <w:rPr>
          <w:sz w:val="22"/>
          <w:szCs w:val="22"/>
        </w:rPr>
        <w:t>, at no cost,</w:t>
      </w:r>
      <w:r w:rsidRPr="00D245EC" w:rsidR="2CEC12C6">
        <w:rPr>
          <w:sz w:val="22"/>
          <w:szCs w:val="22"/>
        </w:rPr>
        <w:t xml:space="preserve"> for customers to report SIM swap</w:t>
      </w:r>
      <w:r w:rsidRPr="00D245EC" w:rsidR="221F3D98">
        <w:rPr>
          <w:sz w:val="22"/>
          <w:szCs w:val="22"/>
        </w:rPr>
        <w:t xml:space="preserve"> and port-out fraud, and upon request, promptly provide customers with documentation of the fraud involving their accou</w:t>
      </w:r>
      <w:r w:rsidRPr="00D245EC" w:rsidR="72C67D62">
        <w:rPr>
          <w:sz w:val="22"/>
          <w:szCs w:val="22"/>
        </w:rPr>
        <w:t>nts.</w:t>
      </w:r>
      <w:r w:rsidRPr="00D245EC" w:rsidR="7F8189A0">
        <w:rPr>
          <w:sz w:val="22"/>
          <w:szCs w:val="22"/>
        </w:rPr>
        <w:t xml:space="preserve">  </w:t>
      </w:r>
      <w:r w:rsidRPr="00D245EC" w:rsidR="7F8189A0">
        <w:rPr>
          <w:i/>
          <w:iCs/>
          <w:sz w:val="22"/>
          <w:szCs w:val="22"/>
        </w:rPr>
        <w:t>See</w:t>
      </w:r>
      <w:r w:rsidRPr="00D245EC" w:rsidR="7F8189A0">
        <w:rPr>
          <w:sz w:val="22"/>
          <w:szCs w:val="22"/>
        </w:rPr>
        <w:t xml:space="preserve"> 47 CFR § 64.2010(h)(6) and </w:t>
      </w:r>
      <w:r w:rsidRPr="00D245EC" w:rsidR="3F9AD2B4">
        <w:rPr>
          <w:sz w:val="22"/>
          <w:szCs w:val="22"/>
        </w:rPr>
        <w:t>paragraphs</w:t>
      </w:r>
      <w:r w:rsidRPr="00D245EC" w:rsidR="5D02AE17">
        <w:rPr>
          <w:sz w:val="22"/>
          <w:szCs w:val="22"/>
        </w:rPr>
        <w:t xml:space="preserve"> 46-49 of the </w:t>
      </w:r>
      <w:r w:rsidRPr="00D245EC" w:rsidR="5D02AE17">
        <w:rPr>
          <w:i/>
          <w:iCs/>
          <w:sz w:val="22"/>
          <w:szCs w:val="22"/>
        </w:rPr>
        <w:t>SIM Swap and Port-Out Fraud Order</w:t>
      </w:r>
      <w:r w:rsidRPr="00D245EC" w:rsidR="5D02AE17">
        <w:rPr>
          <w:sz w:val="22"/>
          <w:szCs w:val="22"/>
        </w:rPr>
        <w:t xml:space="preserve"> (FCC 23-95)</w:t>
      </w:r>
      <w:r w:rsidRPr="00D245EC" w:rsidR="7F8189A0">
        <w:rPr>
          <w:sz w:val="22"/>
          <w:szCs w:val="22"/>
        </w:rPr>
        <w:t xml:space="preserve">.  </w:t>
      </w:r>
    </w:p>
    <w:p w:rsidR="00FF1915" w:rsidRPr="001C2D09" w14:paraId="76CE6869" w14:textId="77777777">
      <w:pPr>
        <w:pStyle w:val="ListParagraph"/>
        <w:ind w:left="1080"/>
        <w:rPr>
          <w:bCs/>
          <w:spacing w:val="-3"/>
          <w:sz w:val="22"/>
          <w:szCs w:val="22"/>
          <w:shd w:val="clear" w:color="auto" w:fill="FFFFFF"/>
        </w:rPr>
      </w:pPr>
    </w:p>
    <w:p w:rsidR="00FF1915" w:rsidRPr="00D245EC" w:rsidP="00D245EC" w14:paraId="09615A35" w14:textId="36C3877C">
      <w:pPr>
        <w:rPr>
          <w:bCs/>
          <w:spacing w:val="-3"/>
          <w:sz w:val="22"/>
          <w:szCs w:val="22"/>
          <w:shd w:val="clear" w:color="auto" w:fill="FFFFFF"/>
        </w:rPr>
      </w:pPr>
      <w:r>
        <w:rPr>
          <w:b/>
          <w:bCs/>
          <w:sz w:val="22"/>
          <w:szCs w:val="22"/>
        </w:rPr>
        <w:t xml:space="preserve">(r) </w:t>
      </w:r>
      <w:r w:rsidRPr="00D245EC" w:rsidR="60914BF1">
        <w:rPr>
          <w:b/>
          <w:bCs/>
          <w:sz w:val="22"/>
          <w:szCs w:val="22"/>
        </w:rPr>
        <w:t>SIM change recordkeeping</w:t>
      </w:r>
      <w:r w:rsidRPr="00D245EC" w:rsidR="60914BF1">
        <w:rPr>
          <w:sz w:val="22"/>
          <w:szCs w:val="22"/>
        </w:rPr>
        <w:t xml:space="preserve">.  </w:t>
      </w:r>
      <w:r w:rsidRPr="00D245EC" w:rsidR="63E00080">
        <w:rPr>
          <w:sz w:val="22"/>
          <w:szCs w:val="22"/>
        </w:rPr>
        <w:t>CMRS</w:t>
      </w:r>
      <w:r w:rsidRPr="00D245EC" w:rsidR="04EB07A8">
        <w:rPr>
          <w:sz w:val="22"/>
          <w:szCs w:val="22"/>
        </w:rPr>
        <w:t xml:space="preserve"> providers </w:t>
      </w:r>
      <w:r w:rsidRPr="00D245EC" w:rsidR="0460C151">
        <w:rPr>
          <w:sz w:val="22"/>
          <w:szCs w:val="22"/>
        </w:rPr>
        <w:t>must</w:t>
      </w:r>
      <w:r w:rsidRPr="00D245EC" w:rsidR="04EB07A8">
        <w:rPr>
          <w:sz w:val="22"/>
          <w:szCs w:val="22"/>
        </w:rPr>
        <w:t xml:space="preserve"> track and maintain information regarding SIM change requests and their authentication measures, and retain that information for three years.  </w:t>
      </w:r>
      <w:r w:rsidRPr="00D245EC" w:rsidR="60914BF1">
        <w:rPr>
          <w:i/>
          <w:iCs/>
          <w:sz w:val="22"/>
          <w:szCs w:val="22"/>
        </w:rPr>
        <w:t>See</w:t>
      </w:r>
      <w:r w:rsidRPr="00D245EC" w:rsidR="60914BF1">
        <w:rPr>
          <w:sz w:val="22"/>
          <w:szCs w:val="22"/>
        </w:rPr>
        <w:t xml:space="preserve"> 47 CFR § 64.2010(h)(8)</w:t>
      </w:r>
      <w:r w:rsidRPr="00D245EC" w:rsidR="10FA634F">
        <w:rPr>
          <w:sz w:val="22"/>
          <w:szCs w:val="22"/>
        </w:rPr>
        <w:t xml:space="preserve"> and paragraph 46</w:t>
      </w:r>
      <w:r w:rsidRPr="00D245EC" w:rsidR="27A757A3">
        <w:rPr>
          <w:sz w:val="22"/>
          <w:szCs w:val="22"/>
        </w:rPr>
        <w:t xml:space="preserve"> of the </w:t>
      </w:r>
      <w:r w:rsidRPr="00D245EC" w:rsidR="27A757A3">
        <w:rPr>
          <w:i/>
          <w:iCs/>
          <w:sz w:val="22"/>
          <w:szCs w:val="22"/>
        </w:rPr>
        <w:t>SIM Swap and Port-Out Fraud Order</w:t>
      </w:r>
      <w:r w:rsidRPr="00D245EC" w:rsidR="27A757A3">
        <w:rPr>
          <w:sz w:val="22"/>
          <w:szCs w:val="22"/>
        </w:rPr>
        <w:t xml:space="preserve"> (FCC 23-95)</w:t>
      </w:r>
      <w:r w:rsidRPr="00D245EC" w:rsidR="60914BF1">
        <w:rPr>
          <w:sz w:val="22"/>
          <w:szCs w:val="22"/>
        </w:rPr>
        <w:t>.</w:t>
      </w:r>
      <w:r w:rsidRPr="00D245EC" w:rsidR="20288045">
        <w:rPr>
          <w:sz w:val="22"/>
          <w:szCs w:val="22"/>
        </w:rPr>
        <w:t xml:space="preserve">  </w:t>
      </w:r>
    </w:p>
    <w:p w:rsidR="006724A1" w:rsidRPr="001C2D09" w:rsidP="00B539DC" w14:paraId="1C607765" w14:textId="77777777">
      <w:pPr>
        <w:ind w:left="360"/>
        <w:rPr>
          <w:bCs/>
          <w:spacing w:val="-3"/>
          <w:sz w:val="22"/>
          <w:szCs w:val="22"/>
          <w:shd w:val="clear" w:color="auto" w:fill="FFFFFF"/>
        </w:rPr>
      </w:pPr>
    </w:p>
    <w:p w:rsidR="00A95BEC" w:rsidRPr="00582018" w:rsidP="00A95BEC" w14:paraId="6C0AFB8D" w14:textId="2D05D911">
      <w:pPr>
        <w:rPr>
          <w:b/>
          <w:bCs/>
          <w:spacing w:val="-3"/>
          <w:sz w:val="22"/>
          <w:szCs w:val="22"/>
          <w:u w:val="single"/>
          <w:shd w:val="clear" w:color="auto" w:fill="FFFFFF"/>
        </w:rPr>
      </w:pPr>
      <w:r w:rsidRPr="00582018">
        <w:rPr>
          <w:b/>
          <w:bCs/>
          <w:spacing w:val="-3"/>
          <w:sz w:val="22"/>
          <w:szCs w:val="22"/>
          <w:u w:val="single"/>
          <w:shd w:val="clear" w:color="auto" w:fill="FFFFFF"/>
        </w:rPr>
        <w:t xml:space="preserve">New or Revised Information Collection Requirements </w:t>
      </w:r>
      <w:r w:rsidRPr="00582018" w:rsidR="0050102F">
        <w:rPr>
          <w:b/>
          <w:bCs/>
          <w:spacing w:val="-3"/>
          <w:sz w:val="22"/>
          <w:szCs w:val="22"/>
          <w:u w:val="single"/>
          <w:shd w:val="clear" w:color="auto" w:fill="FFFFFF"/>
        </w:rPr>
        <w:t>which requirement OMB approval r</w:t>
      </w:r>
      <w:r w:rsidRPr="00582018">
        <w:rPr>
          <w:b/>
          <w:bCs/>
          <w:spacing w:val="-3"/>
          <w:sz w:val="22"/>
          <w:szCs w:val="22"/>
          <w:u w:val="single"/>
          <w:shd w:val="clear" w:color="auto" w:fill="FFFFFF"/>
        </w:rPr>
        <w:t xml:space="preserve">esulting from the </w:t>
      </w:r>
      <w:r w:rsidRPr="00582018">
        <w:rPr>
          <w:b/>
          <w:bCs/>
          <w:i/>
          <w:iCs/>
          <w:spacing w:val="-3"/>
          <w:sz w:val="22"/>
          <w:szCs w:val="22"/>
          <w:u w:val="single"/>
          <w:shd w:val="clear" w:color="auto" w:fill="FFFFFF"/>
        </w:rPr>
        <w:t>Data Breach Reporting Requirements Order</w:t>
      </w:r>
      <w:r w:rsidRPr="00582018">
        <w:rPr>
          <w:b/>
          <w:bCs/>
          <w:spacing w:val="-3"/>
          <w:sz w:val="22"/>
          <w:szCs w:val="22"/>
          <w:u w:val="single"/>
          <w:shd w:val="clear" w:color="auto" w:fill="FFFFFF"/>
        </w:rPr>
        <w:t xml:space="preserve">. </w:t>
      </w:r>
    </w:p>
    <w:p w:rsidR="00A95BEC" w:rsidP="0077092A" w14:paraId="20D71591" w14:textId="77777777">
      <w:pPr>
        <w:rPr>
          <w:b/>
          <w:spacing w:val="-3"/>
          <w:sz w:val="22"/>
          <w:szCs w:val="22"/>
          <w:shd w:val="clear" w:color="auto" w:fill="FFFFFF"/>
        </w:rPr>
      </w:pPr>
    </w:p>
    <w:p w:rsidR="007F78DE" w:rsidRPr="001C2D09" w:rsidP="0077092A" w14:paraId="11FAC278" w14:textId="66B3538B">
      <w:pPr>
        <w:rPr>
          <w:bCs/>
          <w:spacing w:val="-3"/>
          <w:sz w:val="22"/>
          <w:szCs w:val="22"/>
          <w:shd w:val="clear" w:color="auto" w:fill="FFFFFF"/>
        </w:rPr>
      </w:pPr>
      <w:r w:rsidRPr="001C2D09">
        <w:rPr>
          <w:b/>
          <w:spacing w:val="-3"/>
          <w:sz w:val="22"/>
          <w:szCs w:val="22"/>
          <w:shd w:val="clear" w:color="auto" w:fill="FFFFFF"/>
        </w:rPr>
        <w:t>(</w:t>
      </w:r>
      <w:r w:rsidR="00D245EC">
        <w:rPr>
          <w:b/>
          <w:spacing w:val="-3"/>
          <w:sz w:val="22"/>
          <w:szCs w:val="22"/>
          <w:shd w:val="clear" w:color="auto" w:fill="FFFFFF"/>
        </w:rPr>
        <w:t>s</w:t>
      </w:r>
      <w:r w:rsidRPr="001C2D09" w:rsidR="00DD23C0">
        <w:rPr>
          <w:b/>
          <w:spacing w:val="-3"/>
          <w:sz w:val="22"/>
          <w:szCs w:val="22"/>
          <w:shd w:val="clear" w:color="auto" w:fill="FFFFFF"/>
        </w:rPr>
        <w:t xml:space="preserve">) </w:t>
      </w:r>
      <w:r w:rsidRPr="001C2D09" w:rsidR="00F61710">
        <w:rPr>
          <w:b/>
          <w:spacing w:val="-3"/>
          <w:sz w:val="22"/>
          <w:szCs w:val="22"/>
          <w:shd w:val="clear" w:color="auto" w:fill="FFFFFF"/>
        </w:rPr>
        <w:t>Notification of Security Breaches</w:t>
      </w:r>
      <w:r w:rsidRPr="001C2D09" w:rsidR="00A74C34">
        <w:rPr>
          <w:b/>
          <w:spacing w:val="-3"/>
          <w:sz w:val="22"/>
          <w:szCs w:val="22"/>
          <w:shd w:val="clear" w:color="auto" w:fill="FFFFFF"/>
        </w:rPr>
        <w:t>:</w:t>
      </w:r>
      <w:r w:rsidRPr="001C2D09" w:rsidR="00A74C34">
        <w:rPr>
          <w:bCs/>
          <w:spacing w:val="-3"/>
          <w:sz w:val="22"/>
          <w:szCs w:val="22"/>
          <w:shd w:val="clear" w:color="auto" w:fill="FFFFFF"/>
        </w:rPr>
        <w:t xml:space="preserve">  </w:t>
      </w:r>
      <w:r w:rsidRPr="001C2D09" w:rsidR="00D6777A">
        <w:rPr>
          <w:bCs/>
          <w:spacing w:val="-3"/>
          <w:sz w:val="22"/>
          <w:szCs w:val="22"/>
          <w:shd w:val="clear" w:color="auto" w:fill="FFFFFF"/>
        </w:rPr>
        <w:t>T</w:t>
      </w:r>
      <w:r w:rsidRPr="001C2D09" w:rsidR="00A74C34">
        <w:rPr>
          <w:bCs/>
          <w:spacing w:val="-3"/>
          <w:sz w:val="22"/>
          <w:szCs w:val="22"/>
          <w:shd w:val="clear" w:color="auto" w:fill="FFFFFF"/>
        </w:rPr>
        <w:t>elecommunications carrier</w:t>
      </w:r>
      <w:r w:rsidRPr="001C2D09" w:rsidR="00D6777A">
        <w:rPr>
          <w:bCs/>
          <w:spacing w:val="-3"/>
          <w:sz w:val="22"/>
          <w:szCs w:val="22"/>
          <w:shd w:val="clear" w:color="auto" w:fill="FFFFFF"/>
        </w:rPr>
        <w:t>s and providers of interconnected VoIP service</w:t>
      </w:r>
      <w:r w:rsidRPr="001C2D09" w:rsidR="00A74C34">
        <w:rPr>
          <w:bCs/>
          <w:spacing w:val="-3"/>
          <w:sz w:val="22"/>
          <w:szCs w:val="22"/>
          <w:shd w:val="clear" w:color="auto" w:fill="FFFFFF"/>
        </w:rPr>
        <w:t xml:space="preserve"> </w:t>
      </w:r>
      <w:r w:rsidRPr="001C2D09" w:rsidR="00F61710">
        <w:rPr>
          <w:bCs/>
          <w:spacing w:val="-3"/>
          <w:sz w:val="22"/>
          <w:szCs w:val="22"/>
          <w:shd w:val="clear" w:color="auto" w:fill="FFFFFF"/>
        </w:rPr>
        <w:t xml:space="preserve">shall notify law enforcement of a breach of </w:t>
      </w:r>
      <w:r w:rsidRPr="001C2D09" w:rsidR="0098414F">
        <w:rPr>
          <w:bCs/>
          <w:spacing w:val="-3"/>
          <w:sz w:val="22"/>
          <w:szCs w:val="22"/>
          <w:shd w:val="clear" w:color="auto" w:fill="FFFFFF"/>
        </w:rPr>
        <w:t xml:space="preserve">their </w:t>
      </w:r>
      <w:r w:rsidRPr="001C2D09" w:rsidR="00F61710">
        <w:rPr>
          <w:bCs/>
          <w:spacing w:val="-3"/>
          <w:sz w:val="22"/>
          <w:szCs w:val="22"/>
          <w:shd w:val="clear" w:color="auto" w:fill="FFFFFF"/>
        </w:rPr>
        <w:t xml:space="preserve">customers’ CPNI </w:t>
      </w:r>
      <w:r w:rsidRPr="001C2D09" w:rsidR="00A74C34">
        <w:rPr>
          <w:bCs/>
          <w:spacing w:val="-3"/>
          <w:sz w:val="22"/>
          <w:szCs w:val="22"/>
          <w:shd w:val="clear" w:color="auto" w:fill="FFFFFF"/>
        </w:rPr>
        <w:t xml:space="preserve">through a central reporting facility </w:t>
      </w:r>
      <w:r w:rsidRPr="001C2D09" w:rsidR="00994858">
        <w:rPr>
          <w:bCs/>
          <w:spacing w:val="-3"/>
          <w:sz w:val="22"/>
          <w:szCs w:val="22"/>
          <w:shd w:val="clear" w:color="auto" w:fill="FFFFFF"/>
        </w:rPr>
        <w:t xml:space="preserve">accessible via a link </w:t>
      </w:r>
      <w:r w:rsidRPr="001C2D09" w:rsidR="00A74C34">
        <w:rPr>
          <w:bCs/>
          <w:spacing w:val="-3"/>
          <w:sz w:val="22"/>
          <w:szCs w:val="22"/>
          <w:shd w:val="clear" w:color="auto" w:fill="FFFFFF"/>
        </w:rPr>
        <w:t xml:space="preserve">at </w:t>
      </w:r>
      <w:r w:rsidRPr="001C2D09" w:rsidR="009F7A8B">
        <w:rPr>
          <w:sz w:val="22"/>
          <w:szCs w:val="22"/>
        </w:rPr>
        <w:t>http://www.fcc.gov/eb/cpni</w:t>
      </w:r>
      <w:r w:rsidRPr="001C2D09" w:rsidR="00A74C34">
        <w:rPr>
          <w:bCs/>
          <w:spacing w:val="-3"/>
          <w:sz w:val="22"/>
          <w:szCs w:val="22"/>
          <w:shd w:val="clear" w:color="auto" w:fill="FFFFFF"/>
        </w:rPr>
        <w:t xml:space="preserve"> within seven business days after a reasonable determination of a breach.  The carrier </w:t>
      </w:r>
      <w:r w:rsidRPr="001C2D09" w:rsidR="0098414F">
        <w:rPr>
          <w:bCs/>
          <w:spacing w:val="-3"/>
          <w:sz w:val="22"/>
          <w:szCs w:val="22"/>
          <w:shd w:val="clear" w:color="auto" w:fill="FFFFFF"/>
        </w:rPr>
        <w:t xml:space="preserve">or provider </w:t>
      </w:r>
      <w:r w:rsidRPr="001C2D09" w:rsidR="000C59FD">
        <w:rPr>
          <w:bCs/>
          <w:spacing w:val="-3"/>
          <w:sz w:val="22"/>
          <w:szCs w:val="22"/>
          <w:shd w:val="clear" w:color="auto" w:fill="FFFFFF"/>
        </w:rPr>
        <w:t>shall</w:t>
      </w:r>
      <w:r w:rsidRPr="001C2D09" w:rsidR="00A74C34">
        <w:rPr>
          <w:bCs/>
          <w:spacing w:val="-3"/>
          <w:sz w:val="22"/>
          <w:szCs w:val="22"/>
          <w:shd w:val="clear" w:color="auto" w:fill="FFFFFF"/>
        </w:rPr>
        <w:t xml:space="preserve"> notify its customers of the security breach after</w:t>
      </w:r>
      <w:r w:rsidRPr="001C2D09" w:rsidR="000C59FD">
        <w:rPr>
          <w:bCs/>
          <w:spacing w:val="-3"/>
          <w:sz w:val="22"/>
          <w:szCs w:val="22"/>
          <w:shd w:val="clear" w:color="auto" w:fill="FFFFFF"/>
        </w:rPr>
        <w:t xml:space="preserve"> it </w:t>
      </w:r>
      <w:r w:rsidRPr="001C2D09" w:rsidR="000C59FD">
        <w:rPr>
          <w:rFonts w:eastAsia="MS Mincho"/>
          <w:sz w:val="22"/>
          <w:szCs w:val="22"/>
          <w:shd w:val="clear" w:color="auto" w:fill="FFFFFF"/>
          <w:lang w:eastAsia="ja-JP"/>
        </w:rPr>
        <w:t>has completed the</w:t>
      </w:r>
      <w:r w:rsidRPr="001C2D09" w:rsidR="00DD23C0">
        <w:rPr>
          <w:rFonts w:eastAsia="MS Mincho"/>
          <w:sz w:val="22"/>
          <w:szCs w:val="22"/>
          <w:shd w:val="clear" w:color="auto" w:fill="FFFFFF"/>
          <w:lang w:eastAsia="ja-JP"/>
        </w:rPr>
        <w:t xml:space="preserve"> </w:t>
      </w:r>
      <w:r w:rsidRPr="001C2D09" w:rsidR="000C59FD">
        <w:rPr>
          <w:rFonts w:eastAsia="MS Mincho"/>
          <w:sz w:val="22"/>
          <w:szCs w:val="22"/>
          <w:shd w:val="clear" w:color="auto" w:fill="FFFFFF"/>
          <w:lang w:eastAsia="ja-JP"/>
        </w:rPr>
        <w:t>process of notifying law enforcement</w:t>
      </w:r>
      <w:r w:rsidRPr="001C2D09" w:rsidR="00A74C34">
        <w:rPr>
          <w:bCs/>
          <w:spacing w:val="-3"/>
          <w:sz w:val="22"/>
          <w:szCs w:val="22"/>
          <w:shd w:val="clear" w:color="auto" w:fill="FFFFFF"/>
        </w:rPr>
        <w:t>.</w:t>
      </w:r>
      <w:r w:rsidRPr="001C2D09">
        <w:rPr>
          <w:bCs/>
          <w:spacing w:val="-3"/>
          <w:sz w:val="22"/>
          <w:szCs w:val="22"/>
          <w:shd w:val="clear" w:color="auto" w:fill="FFFFFF"/>
        </w:rPr>
        <w:t xml:space="preserve">  </w:t>
      </w:r>
      <w:r w:rsidRPr="001C2D09">
        <w:rPr>
          <w:bCs/>
          <w:i/>
          <w:spacing w:val="-3"/>
          <w:sz w:val="22"/>
          <w:szCs w:val="22"/>
          <w:shd w:val="clear" w:color="auto" w:fill="FFFFFF"/>
        </w:rPr>
        <w:t>See</w:t>
      </w:r>
      <w:r w:rsidRPr="001C2D09">
        <w:rPr>
          <w:bCs/>
          <w:spacing w:val="-3"/>
          <w:sz w:val="22"/>
          <w:szCs w:val="22"/>
          <w:shd w:val="clear" w:color="auto" w:fill="FFFFFF"/>
        </w:rPr>
        <w:t xml:space="preserve"> </w:t>
      </w:r>
      <w:r w:rsidRPr="001C2D09" w:rsidR="00546289">
        <w:rPr>
          <w:bCs/>
          <w:spacing w:val="-3"/>
          <w:sz w:val="22"/>
          <w:szCs w:val="22"/>
          <w:shd w:val="clear" w:color="auto" w:fill="FFFFFF"/>
        </w:rPr>
        <w:t>47</w:t>
      </w:r>
      <w:r w:rsidRPr="001C2D09">
        <w:rPr>
          <w:bCs/>
          <w:spacing w:val="-3"/>
          <w:sz w:val="22"/>
          <w:szCs w:val="22"/>
          <w:shd w:val="clear" w:color="auto" w:fill="FFFFFF"/>
        </w:rPr>
        <w:t xml:space="preserve"> CFR </w:t>
      </w:r>
      <w:r w:rsidRPr="001C2D09" w:rsidR="008862B9">
        <w:rPr>
          <w:spacing w:val="-3"/>
          <w:sz w:val="22"/>
          <w:szCs w:val="22"/>
          <w:shd w:val="clear" w:color="auto" w:fill="FFFFFF"/>
        </w:rPr>
        <w:t>§ </w:t>
      </w:r>
      <w:r w:rsidRPr="001C2D09">
        <w:rPr>
          <w:bCs/>
          <w:spacing w:val="-3"/>
          <w:sz w:val="22"/>
          <w:szCs w:val="22"/>
          <w:shd w:val="clear" w:color="auto" w:fill="FFFFFF"/>
        </w:rPr>
        <w:t xml:space="preserve">64.2011 and paragraphs </w:t>
      </w:r>
      <w:r w:rsidRPr="001C2D09" w:rsidR="00F61710">
        <w:rPr>
          <w:bCs/>
          <w:spacing w:val="-3"/>
          <w:sz w:val="22"/>
          <w:szCs w:val="22"/>
          <w:shd w:val="clear" w:color="auto" w:fill="FFFFFF"/>
        </w:rPr>
        <w:t>26-32</w:t>
      </w:r>
      <w:r w:rsidRPr="001C2D09">
        <w:rPr>
          <w:bCs/>
          <w:spacing w:val="-3"/>
          <w:sz w:val="22"/>
          <w:szCs w:val="22"/>
          <w:shd w:val="clear" w:color="auto" w:fill="FFFFFF"/>
        </w:rPr>
        <w:t xml:space="preserve"> in the </w:t>
      </w:r>
      <w:r w:rsidRPr="001C2D09" w:rsidR="00672169">
        <w:rPr>
          <w:bCs/>
          <w:i/>
          <w:iCs/>
          <w:spacing w:val="-3"/>
          <w:sz w:val="22"/>
          <w:szCs w:val="22"/>
          <w:shd w:val="clear" w:color="auto" w:fill="FFFFFF"/>
        </w:rPr>
        <w:t>2007 CPNI Order</w:t>
      </w:r>
      <w:r w:rsidRPr="001C2D09" w:rsidR="009F3131">
        <w:rPr>
          <w:bCs/>
          <w:spacing w:val="-3"/>
          <w:sz w:val="22"/>
          <w:szCs w:val="22"/>
          <w:shd w:val="clear" w:color="auto" w:fill="FFFFFF"/>
        </w:rPr>
        <w:t xml:space="preserve"> (FCC 07-22)</w:t>
      </w:r>
      <w:r w:rsidRPr="001C2D09">
        <w:rPr>
          <w:bCs/>
          <w:spacing w:val="-3"/>
          <w:sz w:val="22"/>
          <w:szCs w:val="22"/>
          <w:shd w:val="clear" w:color="auto" w:fill="FFFFFF"/>
        </w:rPr>
        <w:t xml:space="preserve">. </w:t>
      </w:r>
    </w:p>
    <w:p w:rsidR="00A74C34" w:rsidRPr="001C2D09" w:rsidP="0077092A" w14:paraId="5C0333B6" w14:textId="77777777">
      <w:pPr>
        <w:rPr>
          <w:bCs/>
          <w:spacing w:val="-3"/>
          <w:sz w:val="22"/>
          <w:szCs w:val="22"/>
          <w:shd w:val="clear" w:color="auto" w:fill="FFFFFF"/>
        </w:rPr>
      </w:pPr>
    </w:p>
    <w:p w:rsidR="009C037D" w:rsidRPr="00F22498" w:rsidP="002A0A3B" w14:paraId="6B7F9B9F" w14:textId="4E665019">
      <w:pPr>
        <w:rPr>
          <w:spacing w:val="-3"/>
          <w:sz w:val="22"/>
          <w:szCs w:val="22"/>
          <w:shd w:val="clear" w:color="auto" w:fill="FFFFFF"/>
        </w:rPr>
      </w:pPr>
      <w:r w:rsidRPr="00754D27">
        <w:rPr>
          <w:i/>
          <w:iCs/>
          <w:sz w:val="22"/>
          <w:szCs w:val="22"/>
        </w:rPr>
        <w:t>The Data Breach Reporting Requirements Order</w:t>
      </w:r>
      <w:r>
        <w:rPr>
          <w:sz w:val="22"/>
          <w:szCs w:val="22"/>
        </w:rPr>
        <w:t xml:space="preserve"> r</w:t>
      </w:r>
      <w:r w:rsidRPr="00F22498" w:rsidR="00AC152C">
        <w:rPr>
          <w:sz w:val="22"/>
          <w:szCs w:val="22"/>
        </w:rPr>
        <w:t>evise</w:t>
      </w:r>
      <w:r w:rsidRPr="00F22498" w:rsidR="00EF5152">
        <w:rPr>
          <w:sz w:val="22"/>
          <w:szCs w:val="22"/>
        </w:rPr>
        <w:t>s</w:t>
      </w:r>
      <w:r w:rsidRPr="00F22498" w:rsidR="00AC152C">
        <w:rPr>
          <w:sz w:val="22"/>
          <w:szCs w:val="22"/>
        </w:rPr>
        <w:t xml:space="preserve"> breach notification </w:t>
      </w:r>
      <w:r w:rsidRPr="00F22498" w:rsidR="00973320">
        <w:rPr>
          <w:sz w:val="22"/>
          <w:szCs w:val="22"/>
        </w:rPr>
        <w:t>obligations</w:t>
      </w:r>
      <w:r w:rsidRPr="00F22498" w:rsidR="00082036">
        <w:rPr>
          <w:sz w:val="22"/>
          <w:szCs w:val="22"/>
        </w:rPr>
        <w:t xml:space="preserve"> by</w:t>
      </w:r>
      <w:r w:rsidRPr="00F22498" w:rsidR="00E631CC">
        <w:rPr>
          <w:sz w:val="22"/>
          <w:szCs w:val="22"/>
        </w:rPr>
        <w:t>:</w:t>
      </w:r>
      <w:r w:rsidRPr="00F22498" w:rsidR="00332E47">
        <w:rPr>
          <w:sz w:val="22"/>
          <w:szCs w:val="22"/>
        </w:rPr>
        <w:t xml:space="preserve"> </w:t>
      </w:r>
      <w:r w:rsidRPr="00F22498" w:rsidR="007C29DE">
        <w:rPr>
          <w:sz w:val="22"/>
          <w:szCs w:val="22"/>
        </w:rPr>
        <w:t xml:space="preserve">(1) </w:t>
      </w:r>
      <w:r w:rsidRPr="00F22498" w:rsidR="00332E47">
        <w:rPr>
          <w:sz w:val="22"/>
          <w:szCs w:val="22"/>
        </w:rPr>
        <w:t xml:space="preserve">expanding the </w:t>
      </w:r>
      <w:r w:rsidRPr="00F22498" w:rsidR="000E27A5">
        <w:rPr>
          <w:sz w:val="22"/>
          <w:szCs w:val="22"/>
        </w:rPr>
        <w:t xml:space="preserve">obligations to cover </w:t>
      </w:r>
      <w:r w:rsidRPr="00F22498" w:rsidR="00E94399">
        <w:rPr>
          <w:sz w:val="22"/>
          <w:szCs w:val="22"/>
        </w:rPr>
        <w:t xml:space="preserve">breaches of </w:t>
      </w:r>
      <w:r w:rsidRPr="00F22498" w:rsidR="000E27A5">
        <w:rPr>
          <w:sz w:val="22"/>
          <w:szCs w:val="22"/>
        </w:rPr>
        <w:t>personally identifiable information (PII) in addition to CPNI</w:t>
      </w:r>
      <w:r w:rsidRPr="00F22498" w:rsidR="007C29DE">
        <w:rPr>
          <w:sz w:val="22"/>
          <w:szCs w:val="22"/>
        </w:rPr>
        <w:t xml:space="preserve"> (collectively “covered data”)</w:t>
      </w:r>
      <w:r w:rsidRPr="00F22498" w:rsidR="00DF625D">
        <w:rPr>
          <w:sz w:val="22"/>
          <w:szCs w:val="22"/>
        </w:rPr>
        <w:t>;</w:t>
      </w:r>
      <w:r w:rsidRPr="00F22498" w:rsidR="00102FA0">
        <w:rPr>
          <w:sz w:val="22"/>
          <w:szCs w:val="22"/>
        </w:rPr>
        <w:t xml:space="preserve"> </w:t>
      </w:r>
      <w:r w:rsidRPr="00F22498" w:rsidR="007C29DE">
        <w:rPr>
          <w:sz w:val="22"/>
          <w:szCs w:val="22"/>
        </w:rPr>
        <w:t>(2)</w:t>
      </w:r>
      <w:r w:rsidRPr="00F22498" w:rsidR="00102FA0">
        <w:rPr>
          <w:sz w:val="22"/>
          <w:szCs w:val="22"/>
        </w:rPr>
        <w:t xml:space="preserve"> expanding the </w:t>
      </w:r>
      <w:r w:rsidRPr="00F22498" w:rsidR="004B188F">
        <w:rPr>
          <w:sz w:val="22"/>
          <w:szCs w:val="22"/>
        </w:rPr>
        <w:t xml:space="preserve">definition of “breach” to </w:t>
      </w:r>
      <w:r w:rsidRPr="00F22498" w:rsidR="007C29DE">
        <w:rPr>
          <w:sz w:val="22"/>
          <w:szCs w:val="22"/>
        </w:rPr>
        <w:t>include inadvertent access, use, or disclosure of covered data</w:t>
      </w:r>
      <w:r w:rsidRPr="00F22498" w:rsidR="00DF625D">
        <w:rPr>
          <w:sz w:val="22"/>
          <w:szCs w:val="22"/>
        </w:rPr>
        <w:t xml:space="preserve">; </w:t>
      </w:r>
      <w:r w:rsidRPr="00F22498" w:rsidR="007D0D22">
        <w:rPr>
          <w:sz w:val="22"/>
          <w:szCs w:val="22"/>
        </w:rPr>
        <w:t>(3) adopting an exception from the breach notification obligations for a good-faith acquisition of covered data by an employee or agent of a carrier where such information is not used improperly or further disclosed</w:t>
      </w:r>
      <w:r w:rsidRPr="00F22498" w:rsidR="00E631CC">
        <w:rPr>
          <w:sz w:val="22"/>
          <w:szCs w:val="22"/>
        </w:rPr>
        <w:t>; (4</w:t>
      </w:r>
      <w:r w:rsidRPr="00F22498" w:rsidR="00DF625D">
        <w:rPr>
          <w:sz w:val="22"/>
          <w:szCs w:val="22"/>
        </w:rPr>
        <w:t xml:space="preserve">) </w:t>
      </w:r>
      <w:r w:rsidRPr="00F22498" w:rsidR="00082036">
        <w:rPr>
          <w:sz w:val="22"/>
          <w:szCs w:val="22"/>
        </w:rPr>
        <w:t xml:space="preserve">requiring </w:t>
      </w:r>
      <w:r w:rsidRPr="00F22498" w:rsidR="007B4B38">
        <w:rPr>
          <w:sz w:val="22"/>
          <w:szCs w:val="22"/>
        </w:rPr>
        <w:t>telecommunications carriers</w:t>
      </w:r>
      <w:r w:rsidRPr="00F22498" w:rsidR="00073D2A">
        <w:rPr>
          <w:sz w:val="22"/>
          <w:szCs w:val="22"/>
        </w:rPr>
        <w:t xml:space="preserve"> and</w:t>
      </w:r>
      <w:r w:rsidRPr="00F22498" w:rsidR="007B4B38">
        <w:rPr>
          <w:sz w:val="22"/>
          <w:szCs w:val="22"/>
        </w:rPr>
        <w:t xml:space="preserve"> providers of interconnected VoIP service</w:t>
      </w:r>
      <w:r w:rsidRPr="00F22498">
        <w:rPr>
          <w:sz w:val="22"/>
          <w:szCs w:val="22"/>
        </w:rPr>
        <w:t xml:space="preserve"> to electronically notify the </w:t>
      </w:r>
      <w:r w:rsidRPr="00F22498" w:rsidR="00DB0EAC">
        <w:rPr>
          <w:sz w:val="22"/>
          <w:szCs w:val="22"/>
        </w:rPr>
        <w:t xml:space="preserve">Commission </w:t>
      </w:r>
      <w:r w:rsidRPr="00F22498" w:rsidR="00360A4A">
        <w:rPr>
          <w:sz w:val="22"/>
          <w:szCs w:val="22"/>
        </w:rPr>
        <w:t>(</w:t>
      </w:r>
      <w:r w:rsidRPr="00F22498" w:rsidR="00DB0EAC">
        <w:rPr>
          <w:sz w:val="22"/>
          <w:szCs w:val="22"/>
        </w:rPr>
        <w:t>in addition to</w:t>
      </w:r>
      <w:r w:rsidRPr="00F22498" w:rsidR="005E7D53">
        <w:rPr>
          <w:sz w:val="22"/>
          <w:szCs w:val="22"/>
        </w:rPr>
        <w:t xml:space="preserve"> the </w:t>
      </w:r>
      <w:r w:rsidRPr="00F22498" w:rsidR="00ED3FE1">
        <w:rPr>
          <w:sz w:val="22"/>
          <w:szCs w:val="22"/>
        </w:rPr>
        <w:t xml:space="preserve">existing notifications to the </w:t>
      </w:r>
      <w:r w:rsidRPr="00F22498" w:rsidR="005E7D53">
        <w:rPr>
          <w:sz w:val="22"/>
          <w:szCs w:val="22"/>
        </w:rPr>
        <w:t>Secret Service and the FBI</w:t>
      </w:r>
      <w:r w:rsidRPr="00F22498" w:rsidR="00360A4A">
        <w:rPr>
          <w:sz w:val="22"/>
          <w:szCs w:val="22"/>
        </w:rPr>
        <w:t>)</w:t>
      </w:r>
      <w:r w:rsidRPr="00F22498">
        <w:rPr>
          <w:sz w:val="22"/>
          <w:szCs w:val="22"/>
        </w:rPr>
        <w:t xml:space="preserve"> through a link to a central reporting facility of a reportable data breach</w:t>
      </w:r>
      <w:r w:rsidRPr="00F22498" w:rsidR="00E631CC">
        <w:rPr>
          <w:sz w:val="22"/>
          <w:szCs w:val="22"/>
        </w:rPr>
        <w:t>; and (5) e</w:t>
      </w:r>
      <w:r w:rsidRPr="00F22498" w:rsidR="0032745E">
        <w:rPr>
          <w:sz w:val="22"/>
          <w:szCs w:val="22"/>
        </w:rPr>
        <w:t>liminat</w:t>
      </w:r>
      <w:r w:rsidRPr="00F22498" w:rsidR="00E631CC">
        <w:rPr>
          <w:sz w:val="22"/>
          <w:szCs w:val="22"/>
        </w:rPr>
        <w:t>ing</w:t>
      </w:r>
      <w:r w:rsidRPr="00F22498" w:rsidR="0032745E">
        <w:rPr>
          <w:sz w:val="22"/>
          <w:szCs w:val="22"/>
        </w:rPr>
        <w:t xml:space="preserve"> the requirement to notify </w:t>
      </w:r>
      <w:r w:rsidRPr="00F22498" w:rsidR="00E631CC">
        <w:rPr>
          <w:sz w:val="22"/>
          <w:szCs w:val="22"/>
        </w:rPr>
        <w:t>c</w:t>
      </w:r>
      <w:r w:rsidRPr="00F22498" w:rsidR="0032745E">
        <w:rPr>
          <w:sz w:val="22"/>
          <w:szCs w:val="22"/>
        </w:rPr>
        <w:t xml:space="preserve">ustomers of </w:t>
      </w:r>
      <w:r w:rsidRPr="00F22498" w:rsidR="007D3584">
        <w:rPr>
          <w:sz w:val="22"/>
          <w:szCs w:val="22"/>
        </w:rPr>
        <w:t>a</w:t>
      </w:r>
      <w:r w:rsidRPr="00F22498" w:rsidR="0032745E">
        <w:rPr>
          <w:sz w:val="22"/>
          <w:szCs w:val="22"/>
        </w:rPr>
        <w:t xml:space="preserve"> breach in instances where the carrier</w:t>
      </w:r>
      <w:r w:rsidRPr="00F22498" w:rsidR="009E10B8">
        <w:rPr>
          <w:sz w:val="22"/>
          <w:szCs w:val="22"/>
        </w:rPr>
        <w:t xml:space="preserve"> or interconnected VoIP service provider</w:t>
      </w:r>
      <w:r w:rsidRPr="00F22498" w:rsidR="0032745E">
        <w:rPr>
          <w:sz w:val="22"/>
          <w:szCs w:val="22"/>
        </w:rPr>
        <w:t xml:space="preserve"> has reasonably determined that no harm is likely to occur</w:t>
      </w:r>
      <w:r w:rsidRPr="00F22498" w:rsidR="00FC56BC">
        <w:rPr>
          <w:sz w:val="22"/>
          <w:szCs w:val="22"/>
        </w:rPr>
        <w:t>,</w:t>
      </w:r>
      <w:r w:rsidRPr="00F22498" w:rsidR="00C70A07">
        <w:rPr>
          <w:sz w:val="22"/>
          <w:szCs w:val="22"/>
        </w:rPr>
        <w:t xml:space="preserve"> or where a breach solely involves encrypted data and the carrier has definitive evidence that the encryption key was not also accessed, used, or disclosed.  </w:t>
      </w:r>
      <w:r w:rsidRPr="00F22498" w:rsidR="00073D2A">
        <w:rPr>
          <w:sz w:val="22"/>
          <w:szCs w:val="22"/>
        </w:rPr>
        <w:t>E</w:t>
      </w:r>
      <w:r w:rsidRPr="00F22498">
        <w:rPr>
          <w:sz w:val="22"/>
          <w:szCs w:val="22"/>
        </w:rPr>
        <w:t xml:space="preserve">quivalent </w:t>
      </w:r>
      <w:r w:rsidRPr="00F22498" w:rsidR="00073D2A">
        <w:rPr>
          <w:sz w:val="22"/>
          <w:szCs w:val="22"/>
        </w:rPr>
        <w:t xml:space="preserve">notification </w:t>
      </w:r>
      <w:r w:rsidRPr="00F22498">
        <w:rPr>
          <w:sz w:val="22"/>
          <w:szCs w:val="22"/>
        </w:rPr>
        <w:t xml:space="preserve">requirements are adopted for TRS providers.  All </w:t>
      </w:r>
      <w:r w:rsidRPr="00F22498" w:rsidR="00B249BD">
        <w:rPr>
          <w:sz w:val="22"/>
          <w:szCs w:val="22"/>
        </w:rPr>
        <w:t>covered providers</w:t>
      </w:r>
      <w:r w:rsidRPr="00F22498">
        <w:rPr>
          <w:sz w:val="22"/>
          <w:szCs w:val="22"/>
        </w:rPr>
        <w:t xml:space="preserve"> are required to maintain a record, electronically or in some other manner, of any breaches discovered and notifications made.  </w:t>
      </w:r>
      <w:r w:rsidRPr="00F22498" w:rsidR="00066F5F">
        <w:rPr>
          <w:sz w:val="22"/>
          <w:szCs w:val="22"/>
        </w:rPr>
        <w:t xml:space="preserve">The Commission will maintain a link to the reporting facility at http://www.fcc.gov/eb/cpni or a successor URL designated by the Wireline Competition Bureau.  </w:t>
      </w:r>
      <w:r w:rsidRPr="00F22498" w:rsidR="00F62603">
        <w:rPr>
          <w:i/>
          <w:iCs/>
          <w:sz w:val="22"/>
          <w:szCs w:val="22"/>
        </w:rPr>
        <w:t>See</w:t>
      </w:r>
      <w:r w:rsidRPr="00F22498" w:rsidR="00F62603">
        <w:rPr>
          <w:sz w:val="22"/>
          <w:szCs w:val="22"/>
        </w:rPr>
        <w:t xml:space="preserve"> </w:t>
      </w:r>
      <w:r w:rsidRPr="00F22498" w:rsidR="006534BE">
        <w:rPr>
          <w:sz w:val="22"/>
          <w:szCs w:val="22"/>
        </w:rPr>
        <w:t>47 CFR §</w:t>
      </w:r>
      <w:r w:rsidRPr="00F22498" w:rsidR="00676AC9">
        <w:rPr>
          <w:sz w:val="22"/>
          <w:szCs w:val="22"/>
        </w:rPr>
        <w:t>§</w:t>
      </w:r>
      <w:r w:rsidRPr="00F22498" w:rsidR="006534BE">
        <w:rPr>
          <w:sz w:val="22"/>
          <w:szCs w:val="22"/>
        </w:rPr>
        <w:t xml:space="preserve"> 64.2011(a)</w:t>
      </w:r>
      <w:r w:rsidRPr="00F22498" w:rsidR="00C86DE9">
        <w:rPr>
          <w:sz w:val="22"/>
          <w:szCs w:val="22"/>
        </w:rPr>
        <w:t>, (b)</w:t>
      </w:r>
      <w:r w:rsidRPr="00F22498" w:rsidR="009545A0">
        <w:rPr>
          <w:sz w:val="22"/>
          <w:szCs w:val="22"/>
        </w:rPr>
        <w:t xml:space="preserve">, </w:t>
      </w:r>
      <w:r w:rsidRPr="00F22498" w:rsidR="006534BE">
        <w:rPr>
          <w:sz w:val="22"/>
          <w:szCs w:val="22"/>
        </w:rPr>
        <w:t>(</w:t>
      </w:r>
      <w:r w:rsidRPr="00F22498" w:rsidR="009545A0">
        <w:rPr>
          <w:sz w:val="22"/>
          <w:szCs w:val="22"/>
        </w:rPr>
        <w:t>d</w:t>
      </w:r>
      <w:r w:rsidRPr="00F22498" w:rsidR="006534BE">
        <w:rPr>
          <w:sz w:val="22"/>
          <w:szCs w:val="22"/>
        </w:rPr>
        <w:t>)</w:t>
      </w:r>
      <w:r w:rsidRPr="00F22498" w:rsidR="009545A0">
        <w:rPr>
          <w:sz w:val="22"/>
          <w:szCs w:val="22"/>
        </w:rPr>
        <w:t>, and (e)</w:t>
      </w:r>
      <w:r w:rsidRPr="00F22498" w:rsidR="00676AC9">
        <w:rPr>
          <w:sz w:val="22"/>
          <w:szCs w:val="22"/>
        </w:rPr>
        <w:t xml:space="preserve"> and</w:t>
      </w:r>
      <w:r w:rsidRPr="00F22498" w:rsidR="004734A7">
        <w:rPr>
          <w:sz w:val="22"/>
          <w:szCs w:val="22"/>
        </w:rPr>
        <w:t xml:space="preserve"> </w:t>
      </w:r>
      <w:r w:rsidRPr="00F22498" w:rsidR="00676AC9">
        <w:rPr>
          <w:sz w:val="22"/>
          <w:szCs w:val="22"/>
        </w:rPr>
        <w:t>64.5111(a)</w:t>
      </w:r>
      <w:r w:rsidRPr="00F22498" w:rsidR="009545A0">
        <w:rPr>
          <w:sz w:val="22"/>
          <w:szCs w:val="22"/>
        </w:rPr>
        <w:t xml:space="preserve">, (b), (d), and </w:t>
      </w:r>
      <w:r w:rsidRPr="00F22498" w:rsidR="00676AC9">
        <w:rPr>
          <w:sz w:val="22"/>
          <w:szCs w:val="22"/>
        </w:rPr>
        <w:t>(e)</w:t>
      </w:r>
      <w:r w:rsidRPr="00F22498" w:rsidR="006534BE">
        <w:rPr>
          <w:sz w:val="22"/>
          <w:szCs w:val="22"/>
        </w:rPr>
        <w:t xml:space="preserve"> and paragraphs </w:t>
      </w:r>
      <w:r w:rsidRPr="00F22498" w:rsidR="00E0631F">
        <w:rPr>
          <w:sz w:val="22"/>
          <w:szCs w:val="22"/>
        </w:rPr>
        <w:t>15-1</w:t>
      </w:r>
      <w:r w:rsidRPr="00F22498" w:rsidR="004A66C6">
        <w:rPr>
          <w:sz w:val="22"/>
          <w:szCs w:val="22"/>
        </w:rPr>
        <w:t>9</w:t>
      </w:r>
      <w:r w:rsidRPr="00F22498" w:rsidR="00E0631F">
        <w:rPr>
          <w:sz w:val="22"/>
          <w:szCs w:val="22"/>
        </w:rPr>
        <w:t xml:space="preserve">, </w:t>
      </w:r>
      <w:r w:rsidRPr="00F22498" w:rsidR="009079A4">
        <w:rPr>
          <w:sz w:val="22"/>
          <w:szCs w:val="22"/>
        </w:rPr>
        <w:t xml:space="preserve">21, </w:t>
      </w:r>
      <w:r w:rsidRPr="00F22498" w:rsidR="008C018D">
        <w:rPr>
          <w:sz w:val="22"/>
          <w:szCs w:val="22"/>
        </w:rPr>
        <w:t xml:space="preserve">26, </w:t>
      </w:r>
      <w:r w:rsidRPr="00F22498" w:rsidR="001338F1">
        <w:rPr>
          <w:sz w:val="22"/>
          <w:szCs w:val="22"/>
        </w:rPr>
        <w:t>28</w:t>
      </w:r>
      <w:r w:rsidRPr="00F22498" w:rsidR="007B42EF">
        <w:rPr>
          <w:sz w:val="22"/>
          <w:szCs w:val="22"/>
        </w:rPr>
        <w:t>-</w:t>
      </w:r>
      <w:r w:rsidRPr="00F22498" w:rsidR="005048FE">
        <w:rPr>
          <w:sz w:val="22"/>
          <w:szCs w:val="22"/>
        </w:rPr>
        <w:t>31</w:t>
      </w:r>
      <w:r w:rsidRPr="00F22498" w:rsidR="008C018D">
        <w:rPr>
          <w:sz w:val="22"/>
          <w:szCs w:val="22"/>
        </w:rPr>
        <w:t>,</w:t>
      </w:r>
      <w:r w:rsidRPr="00F22498" w:rsidR="00034445">
        <w:rPr>
          <w:sz w:val="22"/>
          <w:szCs w:val="22"/>
        </w:rPr>
        <w:t xml:space="preserve"> </w:t>
      </w:r>
      <w:r w:rsidRPr="00F22498" w:rsidR="00045B20">
        <w:rPr>
          <w:sz w:val="22"/>
          <w:szCs w:val="22"/>
        </w:rPr>
        <w:t xml:space="preserve">52-58, </w:t>
      </w:r>
      <w:r w:rsidRPr="00F22498" w:rsidR="00973320">
        <w:rPr>
          <w:sz w:val="22"/>
          <w:szCs w:val="22"/>
        </w:rPr>
        <w:t>66</w:t>
      </w:r>
      <w:r w:rsidRPr="00F22498" w:rsidR="0037166F">
        <w:rPr>
          <w:sz w:val="22"/>
          <w:szCs w:val="22"/>
        </w:rPr>
        <w:t>-68</w:t>
      </w:r>
      <w:r w:rsidRPr="00F22498" w:rsidR="006F32BE">
        <w:rPr>
          <w:sz w:val="22"/>
          <w:szCs w:val="22"/>
        </w:rPr>
        <w:t xml:space="preserve">, </w:t>
      </w:r>
      <w:r w:rsidRPr="00F22498" w:rsidR="008C018D">
        <w:rPr>
          <w:sz w:val="22"/>
          <w:szCs w:val="22"/>
        </w:rPr>
        <w:t xml:space="preserve">and </w:t>
      </w:r>
      <w:r w:rsidRPr="00F22498" w:rsidR="006F32BE">
        <w:rPr>
          <w:sz w:val="22"/>
          <w:szCs w:val="22"/>
        </w:rPr>
        <w:t>80</w:t>
      </w:r>
      <w:r w:rsidRPr="00F22498" w:rsidR="001E5743">
        <w:rPr>
          <w:sz w:val="22"/>
          <w:szCs w:val="22"/>
        </w:rPr>
        <w:t xml:space="preserve"> of the </w:t>
      </w:r>
      <w:r w:rsidRPr="00F22498" w:rsidR="001E5743">
        <w:rPr>
          <w:i/>
          <w:iCs/>
          <w:sz w:val="22"/>
          <w:szCs w:val="22"/>
        </w:rPr>
        <w:t>Data Breach Reporting Requirements Order</w:t>
      </w:r>
      <w:r w:rsidRPr="00F22498" w:rsidR="001E5743">
        <w:rPr>
          <w:sz w:val="22"/>
          <w:szCs w:val="22"/>
        </w:rPr>
        <w:t xml:space="preserve"> (FCC 23-111)</w:t>
      </w:r>
      <w:r w:rsidRPr="00F22498" w:rsidR="006534BE">
        <w:rPr>
          <w:sz w:val="22"/>
          <w:szCs w:val="22"/>
        </w:rPr>
        <w:t xml:space="preserve">. </w:t>
      </w:r>
    </w:p>
    <w:p w:rsidR="00E65BFE" w:rsidRPr="001C2D09" w:rsidP="0077092A" w14:paraId="2864E6C1" w14:textId="77777777">
      <w:pPr>
        <w:rPr>
          <w:bCs/>
          <w:spacing w:val="-3"/>
          <w:sz w:val="22"/>
          <w:szCs w:val="22"/>
          <w:shd w:val="clear" w:color="auto" w:fill="FFFFFF"/>
        </w:rPr>
      </w:pPr>
    </w:p>
    <w:p w:rsidR="00A74C34" w:rsidRPr="001C2D09" w:rsidP="001E5743" w14:paraId="16914AC8" w14:textId="38590590">
      <w:pPr>
        <w:tabs>
          <w:tab w:val="left" w:pos="1710"/>
        </w:tabs>
        <w:rPr>
          <w:b/>
          <w:spacing w:val="-3"/>
          <w:sz w:val="22"/>
          <w:szCs w:val="22"/>
          <w:shd w:val="clear" w:color="auto" w:fill="FFFFFF"/>
        </w:rPr>
      </w:pPr>
      <w:r w:rsidRPr="001C2D09">
        <w:rPr>
          <w:b/>
          <w:spacing w:val="-3"/>
          <w:sz w:val="22"/>
          <w:szCs w:val="22"/>
          <w:shd w:val="clear" w:color="auto" w:fill="FFFFFF"/>
        </w:rPr>
        <w:t>(</w:t>
      </w:r>
      <w:r w:rsidR="00D245EC">
        <w:rPr>
          <w:b/>
          <w:spacing w:val="-3"/>
          <w:sz w:val="22"/>
          <w:szCs w:val="22"/>
          <w:shd w:val="clear" w:color="auto" w:fill="FFFFFF"/>
        </w:rPr>
        <w:t>t</w:t>
      </w:r>
      <w:r w:rsidRPr="001C2D09" w:rsidR="00DD23C0">
        <w:rPr>
          <w:b/>
          <w:spacing w:val="-3"/>
          <w:sz w:val="22"/>
          <w:szCs w:val="22"/>
          <w:shd w:val="clear" w:color="auto" w:fill="FFFFFF"/>
        </w:rPr>
        <w:t xml:space="preserve">) </w:t>
      </w:r>
      <w:r w:rsidRPr="001C2D09">
        <w:rPr>
          <w:b/>
          <w:spacing w:val="-3"/>
          <w:sz w:val="22"/>
          <w:szCs w:val="22"/>
          <w:shd w:val="clear" w:color="auto" w:fill="FFFFFF"/>
        </w:rPr>
        <w:t>Breach Notification Recordkeeping:</w:t>
      </w:r>
      <w:r w:rsidRPr="001C2D09">
        <w:rPr>
          <w:bCs/>
          <w:spacing w:val="-3"/>
          <w:sz w:val="22"/>
          <w:szCs w:val="22"/>
          <w:shd w:val="clear" w:color="auto" w:fill="FFFFFF"/>
        </w:rPr>
        <w:t xml:space="preserve">  Telecommunications carriers</w:t>
      </w:r>
      <w:r w:rsidRPr="001C2D09" w:rsidR="00D6777A">
        <w:rPr>
          <w:bCs/>
          <w:spacing w:val="-3"/>
          <w:sz w:val="22"/>
          <w:szCs w:val="22"/>
          <w:shd w:val="clear" w:color="auto" w:fill="FFFFFF"/>
        </w:rPr>
        <w:t xml:space="preserve"> and providers of interconnected VoIP service</w:t>
      </w:r>
      <w:r w:rsidRPr="001C2D09">
        <w:rPr>
          <w:bCs/>
          <w:spacing w:val="-3"/>
          <w:sz w:val="22"/>
          <w:szCs w:val="22"/>
          <w:shd w:val="clear" w:color="auto" w:fill="FFFFFF"/>
        </w:rPr>
        <w:t xml:space="preserve"> must maintain </w:t>
      </w:r>
      <w:r w:rsidRPr="001C2D09" w:rsidR="00CC65A8">
        <w:rPr>
          <w:bCs/>
          <w:spacing w:val="-3"/>
          <w:sz w:val="22"/>
          <w:szCs w:val="22"/>
          <w:shd w:val="clear" w:color="auto" w:fill="FFFFFF"/>
        </w:rPr>
        <w:t xml:space="preserve">for a minimum two-year period </w:t>
      </w:r>
      <w:r w:rsidRPr="001C2D09">
        <w:rPr>
          <w:bCs/>
          <w:spacing w:val="-3"/>
          <w:sz w:val="22"/>
          <w:szCs w:val="22"/>
          <w:shd w:val="clear" w:color="auto" w:fill="FFFFFF"/>
        </w:rPr>
        <w:t>a record</w:t>
      </w:r>
      <w:r w:rsidRPr="001C2D09" w:rsidR="00D6777A">
        <w:rPr>
          <w:bCs/>
          <w:spacing w:val="-3"/>
          <w:sz w:val="22"/>
          <w:szCs w:val="22"/>
          <w:shd w:val="clear" w:color="auto" w:fill="FFFFFF"/>
        </w:rPr>
        <w:t xml:space="preserve">, </w:t>
      </w:r>
      <w:r w:rsidRPr="001C2D09" w:rsidR="00F61710">
        <w:rPr>
          <w:bCs/>
          <w:spacing w:val="-3"/>
          <w:sz w:val="22"/>
          <w:szCs w:val="22"/>
          <w:shd w:val="clear" w:color="auto" w:fill="FFFFFF"/>
        </w:rPr>
        <w:t xml:space="preserve">electronically or in some other manner, </w:t>
      </w:r>
      <w:r w:rsidRPr="001C2D09">
        <w:rPr>
          <w:bCs/>
          <w:spacing w:val="-3"/>
          <w:sz w:val="22"/>
          <w:szCs w:val="22"/>
          <w:shd w:val="clear" w:color="auto" w:fill="FFFFFF"/>
        </w:rPr>
        <w:t xml:space="preserve">of any breaches discovered, notifications made to </w:t>
      </w:r>
      <w:r w:rsidRPr="001C2D09" w:rsidR="00F61710">
        <w:rPr>
          <w:bCs/>
          <w:spacing w:val="-3"/>
          <w:sz w:val="22"/>
          <w:szCs w:val="22"/>
          <w:shd w:val="clear" w:color="auto" w:fill="FFFFFF"/>
        </w:rPr>
        <w:t xml:space="preserve">the United States Secret Service and the FBI, </w:t>
      </w:r>
      <w:r w:rsidRPr="001C2D09" w:rsidR="00D6777A">
        <w:rPr>
          <w:bCs/>
          <w:spacing w:val="-3"/>
          <w:sz w:val="22"/>
          <w:szCs w:val="22"/>
          <w:shd w:val="clear" w:color="auto" w:fill="FFFFFF"/>
        </w:rPr>
        <w:t>and notifications made to customers.  This record must include</w:t>
      </w:r>
      <w:r w:rsidRPr="001C2D09" w:rsidR="00F61710">
        <w:rPr>
          <w:bCs/>
          <w:spacing w:val="-3"/>
          <w:sz w:val="22"/>
          <w:szCs w:val="22"/>
          <w:shd w:val="clear" w:color="auto" w:fill="FFFFFF"/>
        </w:rPr>
        <w:t>, if available,</w:t>
      </w:r>
      <w:r w:rsidRPr="001C2D09" w:rsidR="00D6777A">
        <w:rPr>
          <w:bCs/>
          <w:spacing w:val="-3"/>
          <w:sz w:val="22"/>
          <w:szCs w:val="22"/>
          <w:shd w:val="clear" w:color="auto" w:fill="FFFFFF"/>
        </w:rPr>
        <w:t xml:space="preserve"> dates of discovery and notification, a detailed description </w:t>
      </w:r>
      <w:r w:rsidRPr="001C2D09" w:rsidR="00D6777A">
        <w:rPr>
          <w:bCs/>
          <w:spacing w:val="-3"/>
          <w:sz w:val="22"/>
          <w:szCs w:val="22"/>
          <w:shd w:val="clear" w:color="auto" w:fill="FFFFFF"/>
        </w:rPr>
        <w:t xml:space="preserve">of the CPNI that was subject of the breach, and the circumstances of the breach. </w:t>
      </w:r>
      <w:r w:rsidRPr="001C2D09" w:rsidR="007F78DE">
        <w:rPr>
          <w:bCs/>
          <w:spacing w:val="-3"/>
          <w:sz w:val="22"/>
          <w:szCs w:val="22"/>
          <w:shd w:val="clear" w:color="auto" w:fill="FFFFFF"/>
        </w:rPr>
        <w:t xml:space="preserve"> </w:t>
      </w:r>
      <w:r w:rsidRPr="001C2D09" w:rsidR="007F78DE">
        <w:rPr>
          <w:bCs/>
          <w:i/>
          <w:spacing w:val="-3"/>
          <w:sz w:val="22"/>
          <w:szCs w:val="22"/>
          <w:shd w:val="clear" w:color="auto" w:fill="FFFFFF"/>
        </w:rPr>
        <w:t>S</w:t>
      </w:r>
      <w:r w:rsidRPr="001C2D09" w:rsidR="00F61710">
        <w:rPr>
          <w:bCs/>
          <w:i/>
          <w:spacing w:val="-3"/>
          <w:sz w:val="22"/>
          <w:szCs w:val="22"/>
          <w:shd w:val="clear" w:color="auto" w:fill="FFFFFF"/>
        </w:rPr>
        <w:t>ee</w:t>
      </w:r>
      <w:r w:rsidRPr="001C2D09" w:rsidR="00F61710">
        <w:rPr>
          <w:bCs/>
          <w:spacing w:val="-3"/>
          <w:sz w:val="22"/>
          <w:szCs w:val="22"/>
          <w:shd w:val="clear" w:color="auto" w:fill="FFFFFF"/>
        </w:rPr>
        <w:t xml:space="preserve"> </w:t>
      </w:r>
      <w:r w:rsidRPr="001C2D09" w:rsidR="007944C9">
        <w:rPr>
          <w:bCs/>
          <w:spacing w:val="-3"/>
          <w:sz w:val="22"/>
          <w:szCs w:val="22"/>
          <w:shd w:val="clear" w:color="auto" w:fill="FFFFFF"/>
        </w:rPr>
        <w:t>47</w:t>
      </w:r>
      <w:r w:rsidRPr="001C2D09" w:rsidR="00F61710">
        <w:rPr>
          <w:bCs/>
          <w:spacing w:val="-3"/>
          <w:sz w:val="22"/>
          <w:szCs w:val="22"/>
          <w:shd w:val="clear" w:color="auto" w:fill="FFFFFF"/>
        </w:rPr>
        <w:t xml:space="preserve"> CFR </w:t>
      </w:r>
      <w:r w:rsidRPr="001C2D09" w:rsidR="008862B9">
        <w:rPr>
          <w:spacing w:val="-3"/>
          <w:sz w:val="22"/>
          <w:szCs w:val="22"/>
          <w:shd w:val="clear" w:color="auto" w:fill="FFFFFF"/>
        </w:rPr>
        <w:t>§ </w:t>
      </w:r>
      <w:r w:rsidRPr="001C2D09" w:rsidR="00F61710">
        <w:rPr>
          <w:bCs/>
          <w:spacing w:val="-3"/>
          <w:sz w:val="22"/>
          <w:szCs w:val="22"/>
          <w:shd w:val="clear" w:color="auto" w:fill="FFFFFF"/>
        </w:rPr>
        <w:t>64.2011</w:t>
      </w:r>
      <w:r w:rsidRPr="001C2D09" w:rsidR="009F3131">
        <w:rPr>
          <w:bCs/>
          <w:spacing w:val="-3"/>
          <w:sz w:val="22"/>
          <w:szCs w:val="22"/>
          <w:shd w:val="clear" w:color="auto" w:fill="FFFFFF"/>
        </w:rPr>
        <w:t>(c)</w:t>
      </w:r>
      <w:r w:rsidRPr="001C2D09" w:rsidR="00F61710">
        <w:rPr>
          <w:bCs/>
          <w:spacing w:val="-3"/>
          <w:sz w:val="22"/>
          <w:szCs w:val="22"/>
          <w:shd w:val="clear" w:color="auto" w:fill="FFFFFF"/>
        </w:rPr>
        <w:t xml:space="preserve"> and paragraph</w:t>
      </w:r>
      <w:r w:rsidRPr="001C2D09" w:rsidR="007F78DE">
        <w:rPr>
          <w:bCs/>
          <w:spacing w:val="-3"/>
          <w:sz w:val="22"/>
          <w:szCs w:val="22"/>
          <w:shd w:val="clear" w:color="auto" w:fill="FFFFFF"/>
        </w:rPr>
        <w:t xml:space="preserve"> </w:t>
      </w:r>
      <w:r w:rsidRPr="001C2D09" w:rsidR="00F61710">
        <w:rPr>
          <w:bCs/>
          <w:spacing w:val="-3"/>
          <w:sz w:val="22"/>
          <w:szCs w:val="22"/>
          <w:shd w:val="clear" w:color="auto" w:fill="FFFFFF"/>
        </w:rPr>
        <w:t>29</w:t>
      </w:r>
      <w:r w:rsidRPr="001C2D09" w:rsidR="007F78DE">
        <w:rPr>
          <w:bCs/>
          <w:spacing w:val="-3"/>
          <w:sz w:val="22"/>
          <w:szCs w:val="22"/>
          <w:shd w:val="clear" w:color="auto" w:fill="FFFFFF"/>
        </w:rPr>
        <w:t xml:space="preserve"> in the </w:t>
      </w:r>
      <w:r w:rsidR="004F7F1D">
        <w:rPr>
          <w:bCs/>
          <w:i/>
          <w:iCs/>
          <w:spacing w:val="-3"/>
          <w:sz w:val="22"/>
          <w:szCs w:val="22"/>
          <w:shd w:val="clear" w:color="auto" w:fill="FFFFFF"/>
        </w:rPr>
        <w:t>2007 CPNI Order</w:t>
      </w:r>
      <w:r w:rsidRPr="001C2D09" w:rsidR="009F3131">
        <w:rPr>
          <w:bCs/>
          <w:spacing w:val="-3"/>
          <w:sz w:val="22"/>
          <w:szCs w:val="22"/>
          <w:shd w:val="clear" w:color="auto" w:fill="FFFFFF"/>
        </w:rPr>
        <w:t xml:space="preserve"> (FCC 07-22).</w:t>
      </w:r>
      <w:r w:rsidRPr="001C2D09" w:rsidR="003877C1">
        <w:rPr>
          <w:bCs/>
          <w:spacing w:val="-3"/>
          <w:sz w:val="22"/>
          <w:szCs w:val="22"/>
          <w:shd w:val="clear" w:color="auto" w:fill="FFFFFF"/>
        </w:rPr>
        <w:t xml:space="preserve"> </w:t>
      </w:r>
    </w:p>
    <w:p w:rsidR="00C80A8E" w:rsidRPr="001C2D09" w:rsidP="001E5743" w14:paraId="2DE1AD60" w14:textId="77777777">
      <w:pPr>
        <w:tabs>
          <w:tab w:val="left" w:pos="1710"/>
        </w:tabs>
        <w:rPr>
          <w:b/>
          <w:spacing w:val="-3"/>
          <w:sz w:val="22"/>
          <w:szCs w:val="22"/>
          <w:shd w:val="clear" w:color="auto" w:fill="FFFFFF"/>
        </w:rPr>
      </w:pPr>
    </w:p>
    <w:p w:rsidR="00C80A8E" w:rsidRPr="00AF3893" w:rsidP="002A0A3B" w14:paraId="2543F06B" w14:textId="76BDD21A">
      <w:pPr>
        <w:tabs>
          <w:tab w:val="left" w:pos="1710"/>
        </w:tabs>
        <w:rPr>
          <w:b/>
          <w:spacing w:val="-3"/>
          <w:sz w:val="22"/>
          <w:szCs w:val="22"/>
          <w:shd w:val="clear" w:color="auto" w:fill="FFFFFF"/>
        </w:rPr>
      </w:pPr>
      <w:r>
        <w:rPr>
          <w:bCs/>
          <w:sz w:val="22"/>
          <w:szCs w:val="22"/>
        </w:rPr>
        <w:t xml:space="preserve">The </w:t>
      </w:r>
      <w:r w:rsidRPr="009271BA">
        <w:rPr>
          <w:bCs/>
          <w:i/>
          <w:iCs/>
          <w:sz w:val="22"/>
          <w:szCs w:val="22"/>
        </w:rPr>
        <w:t>Data Breach Reporting Requirements Order</w:t>
      </w:r>
      <w:r>
        <w:rPr>
          <w:bCs/>
          <w:sz w:val="22"/>
          <w:szCs w:val="22"/>
        </w:rPr>
        <w:t xml:space="preserve"> r</w:t>
      </w:r>
      <w:r w:rsidRPr="00F22498" w:rsidR="001A561D">
        <w:rPr>
          <w:bCs/>
          <w:sz w:val="22"/>
          <w:szCs w:val="22"/>
        </w:rPr>
        <w:t>evise</w:t>
      </w:r>
      <w:r w:rsidRPr="00F22498" w:rsidR="00800498">
        <w:rPr>
          <w:bCs/>
          <w:sz w:val="22"/>
          <w:szCs w:val="22"/>
        </w:rPr>
        <w:t>s</w:t>
      </w:r>
      <w:r w:rsidRPr="00F22498" w:rsidR="001A561D">
        <w:rPr>
          <w:bCs/>
          <w:sz w:val="22"/>
          <w:szCs w:val="22"/>
        </w:rPr>
        <w:t xml:space="preserve"> breach recordkeeping obligations by requiring </w:t>
      </w:r>
      <w:r w:rsidRPr="00F22498" w:rsidR="0097789D">
        <w:rPr>
          <w:bCs/>
          <w:sz w:val="22"/>
          <w:szCs w:val="22"/>
        </w:rPr>
        <w:t xml:space="preserve">telecommunications carriers, providers of interconnected VoIP service, and TRS providers </w:t>
      </w:r>
      <w:r w:rsidRPr="00F22498" w:rsidR="001A561D">
        <w:rPr>
          <w:bCs/>
          <w:sz w:val="22"/>
          <w:szCs w:val="22"/>
        </w:rPr>
        <w:t xml:space="preserve">to maintain a record, electronically or in some other manner, of any breaches </w:t>
      </w:r>
      <w:r w:rsidRPr="00B22D08" w:rsidR="001A561D">
        <w:rPr>
          <w:bCs/>
          <w:sz w:val="22"/>
          <w:szCs w:val="22"/>
        </w:rPr>
        <w:t xml:space="preserve">discovered and notifications made.  </w:t>
      </w:r>
      <w:r w:rsidRPr="00B22D08" w:rsidR="00FF105B">
        <w:rPr>
          <w:bCs/>
          <w:sz w:val="22"/>
          <w:szCs w:val="22"/>
        </w:rPr>
        <w:t xml:space="preserve">The record shall include, if available, dates of discovery and notification, a detailed description of the covered data that was the subject of the breach, the circumstances of the breach, and the bases of any determinations regarding the number of affected customers or likelihood of harm as a result of the breach.  </w:t>
      </w:r>
      <w:r w:rsidRPr="00B22D08" w:rsidR="00391466">
        <w:rPr>
          <w:bCs/>
          <w:sz w:val="22"/>
          <w:szCs w:val="22"/>
        </w:rPr>
        <w:t>All c</w:t>
      </w:r>
      <w:r w:rsidRPr="00B22D08" w:rsidR="001A561D">
        <w:rPr>
          <w:bCs/>
          <w:sz w:val="22"/>
          <w:szCs w:val="22"/>
        </w:rPr>
        <w:t xml:space="preserve">overed providers are also required to submit via the central reporting facility an annual reporting of certain small breaches.  </w:t>
      </w:r>
      <w:r w:rsidRPr="00B22D08" w:rsidR="001A561D">
        <w:rPr>
          <w:bCs/>
          <w:i/>
          <w:iCs/>
          <w:sz w:val="22"/>
          <w:szCs w:val="22"/>
        </w:rPr>
        <w:t>See</w:t>
      </w:r>
      <w:r w:rsidRPr="00B22D08" w:rsidR="001A561D">
        <w:rPr>
          <w:bCs/>
          <w:sz w:val="22"/>
          <w:szCs w:val="22"/>
        </w:rPr>
        <w:t xml:space="preserve"> 47 CFR §§ 64.2011(</w:t>
      </w:r>
      <w:r w:rsidRPr="00B22D08" w:rsidR="007C4F58">
        <w:rPr>
          <w:bCs/>
          <w:sz w:val="22"/>
          <w:szCs w:val="22"/>
        </w:rPr>
        <w:t>c</w:t>
      </w:r>
      <w:r w:rsidRPr="00B22D08" w:rsidR="001A561D">
        <w:rPr>
          <w:bCs/>
          <w:sz w:val="22"/>
          <w:szCs w:val="22"/>
        </w:rPr>
        <w:t>) and 64.5111(</w:t>
      </w:r>
      <w:r w:rsidRPr="00B22D08" w:rsidR="007C4F58">
        <w:rPr>
          <w:bCs/>
          <w:sz w:val="22"/>
          <w:szCs w:val="22"/>
        </w:rPr>
        <w:t>c</w:t>
      </w:r>
      <w:r w:rsidRPr="00B22D08" w:rsidR="001A561D">
        <w:rPr>
          <w:bCs/>
          <w:sz w:val="22"/>
          <w:szCs w:val="22"/>
        </w:rPr>
        <w:t>)</w:t>
      </w:r>
      <w:r w:rsidRPr="00B22D08" w:rsidR="00005477">
        <w:rPr>
          <w:bCs/>
          <w:sz w:val="22"/>
          <w:szCs w:val="22"/>
        </w:rPr>
        <w:t xml:space="preserve"> and paragraphs </w:t>
      </w:r>
      <w:r w:rsidRPr="00B22D08" w:rsidR="001A320F">
        <w:rPr>
          <w:bCs/>
          <w:sz w:val="22"/>
          <w:szCs w:val="22"/>
        </w:rPr>
        <w:t xml:space="preserve">31-32, </w:t>
      </w:r>
      <w:r w:rsidRPr="00B22D08" w:rsidR="0046509E">
        <w:rPr>
          <w:bCs/>
          <w:sz w:val="22"/>
          <w:szCs w:val="22"/>
        </w:rPr>
        <w:t>39</w:t>
      </w:r>
      <w:r w:rsidRPr="00B22D08" w:rsidR="00816126">
        <w:rPr>
          <w:bCs/>
          <w:sz w:val="22"/>
          <w:szCs w:val="22"/>
        </w:rPr>
        <w:t xml:space="preserve"> and 85 of the </w:t>
      </w:r>
      <w:r w:rsidRPr="00B22D08" w:rsidR="00816126">
        <w:rPr>
          <w:bCs/>
          <w:i/>
          <w:iCs/>
          <w:sz w:val="22"/>
          <w:szCs w:val="22"/>
        </w:rPr>
        <w:t xml:space="preserve">Data Breach </w:t>
      </w:r>
      <w:r w:rsidRPr="00AF3893" w:rsidR="00816126">
        <w:rPr>
          <w:bCs/>
          <w:i/>
          <w:iCs/>
          <w:sz w:val="22"/>
          <w:szCs w:val="22"/>
        </w:rPr>
        <w:t>Reporting Requirements Order</w:t>
      </w:r>
      <w:r w:rsidRPr="00AF3893" w:rsidR="00816126">
        <w:rPr>
          <w:bCs/>
          <w:sz w:val="22"/>
          <w:szCs w:val="22"/>
        </w:rPr>
        <w:t xml:space="preserve"> (FCC 23-111)</w:t>
      </w:r>
      <w:r w:rsidRPr="00AF3893" w:rsidR="001A561D">
        <w:rPr>
          <w:bCs/>
          <w:sz w:val="22"/>
          <w:szCs w:val="22"/>
        </w:rPr>
        <w:t>.</w:t>
      </w:r>
    </w:p>
    <w:p w:rsidR="004D0429" w:rsidRPr="001C2D09" w:rsidP="0077092A" w14:paraId="08D36ED7" w14:textId="77777777">
      <w:pPr>
        <w:rPr>
          <w:b/>
          <w:spacing w:val="-3"/>
          <w:sz w:val="22"/>
          <w:szCs w:val="22"/>
          <w:shd w:val="clear" w:color="auto" w:fill="FFFFFF"/>
        </w:rPr>
      </w:pPr>
    </w:p>
    <w:p w:rsidR="008473E8" w:rsidP="0077092A" w14:paraId="3F89A4C7" w14:textId="56FDD510">
      <w:pPr>
        <w:tabs>
          <w:tab w:val="left" w:pos="-720"/>
        </w:tabs>
        <w:suppressAutoHyphens/>
        <w:rPr>
          <w:sz w:val="22"/>
          <w:szCs w:val="22"/>
          <w:shd w:val="clear" w:color="auto" w:fill="FFFFFF"/>
        </w:rPr>
      </w:pPr>
    </w:p>
    <w:p w:rsidR="008473E8" w:rsidRPr="00582018" w:rsidP="008473E8" w14:paraId="351D8D37" w14:textId="1FCAE0EF">
      <w:pPr>
        <w:rPr>
          <w:b/>
          <w:bCs/>
          <w:spacing w:val="-3"/>
          <w:sz w:val="22"/>
          <w:szCs w:val="22"/>
          <w:u w:val="single"/>
          <w:shd w:val="clear" w:color="auto" w:fill="FFFFFF"/>
        </w:rPr>
      </w:pPr>
      <w:r>
        <w:rPr>
          <w:b/>
          <w:bCs/>
          <w:spacing w:val="-3"/>
          <w:sz w:val="22"/>
          <w:szCs w:val="22"/>
          <w:u w:val="single"/>
          <w:shd w:val="clear" w:color="auto" w:fill="FFFFFF"/>
        </w:rPr>
        <w:t xml:space="preserve">Information Collection </w:t>
      </w:r>
      <w:r w:rsidRPr="00582018" w:rsidR="008F640C">
        <w:rPr>
          <w:b/>
          <w:bCs/>
          <w:spacing w:val="-3"/>
          <w:sz w:val="22"/>
          <w:szCs w:val="22"/>
          <w:u w:val="single"/>
          <w:shd w:val="clear" w:color="auto" w:fill="FFFFFF"/>
        </w:rPr>
        <w:t xml:space="preserve">Requirements Being </w:t>
      </w:r>
      <w:r w:rsidRPr="00582018" w:rsidR="008032D1">
        <w:rPr>
          <w:b/>
          <w:bCs/>
          <w:spacing w:val="-3"/>
          <w:sz w:val="22"/>
          <w:szCs w:val="22"/>
          <w:u w:val="single"/>
          <w:shd w:val="clear" w:color="auto" w:fill="FFFFFF"/>
        </w:rPr>
        <w:t xml:space="preserve">Removed from this Information Collection </w:t>
      </w:r>
    </w:p>
    <w:p w:rsidR="008473E8" w:rsidRPr="00582018" w:rsidP="008473E8" w14:paraId="3979A338" w14:textId="77777777">
      <w:pPr>
        <w:rPr>
          <w:b/>
          <w:bCs/>
          <w:spacing w:val="-3"/>
          <w:sz w:val="22"/>
          <w:szCs w:val="22"/>
          <w:u w:val="single"/>
          <w:shd w:val="clear" w:color="auto" w:fill="FFFFFF"/>
        </w:rPr>
      </w:pPr>
    </w:p>
    <w:p w:rsidR="008473E8" w:rsidP="0077092A" w14:paraId="51E36B79" w14:textId="5C6FD43C">
      <w:pPr>
        <w:tabs>
          <w:tab w:val="left" w:pos="-720"/>
        </w:tabs>
        <w:suppressAutoHyphens/>
        <w:rPr>
          <w:spacing w:val="-3"/>
          <w:sz w:val="22"/>
          <w:szCs w:val="22"/>
          <w:shd w:val="clear" w:color="auto" w:fill="FFFFFF"/>
        </w:rPr>
      </w:pPr>
      <w:r w:rsidRPr="002769CB">
        <w:rPr>
          <w:spacing w:val="-3"/>
          <w:sz w:val="22"/>
          <w:szCs w:val="22"/>
          <w:shd w:val="clear" w:color="auto" w:fill="FFFFFF"/>
        </w:rPr>
        <w:t xml:space="preserve">The following </w:t>
      </w:r>
      <w:r w:rsidR="00114CC8">
        <w:rPr>
          <w:spacing w:val="-3"/>
          <w:sz w:val="22"/>
          <w:szCs w:val="22"/>
          <w:shd w:val="clear" w:color="auto" w:fill="FFFFFF"/>
        </w:rPr>
        <w:t xml:space="preserve">requirements are removed from this information collection because </w:t>
      </w:r>
      <w:r w:rsidR="0005780D">
        <w:rPr>
          <w:spacing w:val="-3"/>
          <w:sz w:val="22"/>
          <w:szCs w:val="22"/>
          <w:shd w:val="clear" w:color="auto" w:fill="FFFFFF"/>
        </w:rPr>
        <w:t>they are not “information collection” requirements within the meaning of the Paperwork Reduction Act.</w:t>
      </w:r>
    </w:p>
    <w:p w:rsidR="0005780D" w:rsidP="0077092A" w14:paraId="3B106151" w14:textId="77777777">
      <w:pPr>
        <w:tabs>
          <w:tab w:val="left" w:pos="-720"/>
        </w:tabs>
        <w:suppressAutoHyphens/>
        <w:rPr>
          <w:spacing w:val="-3"/>
          <w:sz w:val="22"/>
          <w:szCs w:val="22"/>
          <w:shd w:val="clear" w:color="auto" w:fill="FFFFFF"/>
        </w:rPr>
      </w:pPr>
    </w:p>
    <w:p w:rsidR="0005780D" w:rsidRPr="000F1F13" w:rsidP="000F1F13" w14:paraId="444CB640" w14:textId="2F195C2D">
      <w:pPr>
        <w:tabs>
          <w:tab w:val="left" w:pos="-720"/>
        </w:tabs>
        <w:suppressAutoHyphens/>
        <w:spacing w:after="120"/>
        <w:rPr>
          <w:sz w:val="22"/>
          <w:szCs w:val="22"/>
          <w:shd w:val="clear" w:color="auto" w:fill="FFFFFF"/>
        </w:rPr>
      </w:pPr>
      <w:r w:rsidRPr="002769CB">
        <w:rPr>
          <w:b/>
          <w:bCs/>
          <w:spacing w:val="-3"/>
          <w:sz w:val="22"/>
          <w:szCs w:val="22"/>
          <w:shd w:val="clear" w:color="auto" w:fill="FFFFFF"/>
        </w:rPr>
        <w:t>Cost Study</w:t>
      </w:r>
      <w:r w:rsidR="009C218F">
        <w:rPr>
          <w:b/>
          <w:bCs/>
          <w:spacing w:val="-3"/>
          <w:sz w:val="22"/>
          <w:szCs w:val="22"/>
          <w:shd w:val="clear" w:color="auto" w:fill="FFFFFF"/>
        </w:rPr>
        <w:t xml:space="preserve"> (formerly section </w:t>
      </w:r>
      <w:r w:rsidR="00914CBA">
        <w:rPr>
          <w:b/>
          <w:bCs/>
          <w:spacing w:val="-3"/>
          <w:sz w:val="22"/>
          <w:szCs w:val="22"/>
          <w:shd w:val="clear" w:color="auto" w:fill="FFFFFF"/>
        </w:rPr>
        <w:t>(l)</w:t>
      </w:r>
      <w:r w:rsidR="006D4849">
        <w:rPr>
          <w:b/>
          <w:bCs/>
          <w:spacing w:val="-3"/>
          <w:sz w:val="22"/>
          <w:szCs w:val="22"/>
          <w:shd w:val="clear" w:color="auto" w:fill="FFFFFF"/>
        </w:rPr>
        <w:t>)</w:t>
      </w:r>
      <w:r>
        <w:rPr>
          <w:spacing w:val="-3"/>
          <w:sz w:val="22"/>
          <w:szCs w:val="22"/>
          <w:shd w:val="clear" w:color="auto" w:fill="FFFFFF"/>
        </w:rPr>
        <w:t xml:space="preserve">: </w:t>
      </w:r>
      <w:r w:rsidRPr="00907AC3" w:rsidR="00914CBA">
        <w:rPr>
          <w:sz w:val="22"/>
          <w:szCs w:val="22"/>
          <w:shd w:val="clear" w:color="auto" w:fill="FFFFFF"/>
        </w:rPr>
        <w:t>In the event a directory publisher files a complaint regarding a carrier</w:t>
      </w:r>
      <w:r w:rsidR="000F1F13">
        <w:rPr>
          <w:sz w:val="22"/>
          <w:szCs w:val="22"/>
          <w:shd w:val="clear" w:color="auto" w:fill="FFFFFF"/>
        </w:rPr>
        <w:t>’</w:t>
      </w:r>
      <w:r w:rsidRPr="00907AC3" w:rsidR="00914CBA">
        <w:rPr>
          <w:sz w:val="22"/>
          <w:szCs w:val="22"/>
          <w:shd w:val="clear" w:color="auto" w:fill="FFFFFF"/>
        </w:rPr>
        <w:t xml:space="preserve">s subscriber list information rates, the carrier must present a cost study providing credible and verifiable cost data to justify each challenged rate.  This cost study must clearly and specifically identify and justify: </w:t>
      </w:r>
      <w:r w:rsidRPr="000F1F13" w:rsidR="00914CBA">
        <w:rPr>
          <w:spacing w:val="-3"/>
          <w:sz w:val="22"/>
          <w:szCs w:val="22"/>
          <w:shd w:val="clear" w:color="auto" w:fill="FFFFFF"/>
        </w:rPr>
        <w:t>incremental</w:t>
      </w:r>
      <w:r w:rsidRPr="000F1F13" w:rsidR="00914CBA">
        <w:rPr>
          <w:sz w:val="22"/>
          <w:szCs w:val="22"/>
          <w:shd w:val="clear" w:color="auto" w:fill="FFFFFF"/>
        </w:rPr>
        <w:t xml:space="preserve"> costs, </w:t>
      </w:r>
      <w:r w:rsidRPr="000F1F13" w:rsidR="00914CBA">
        <w:rPr>
          <w:spacing w:val="-3"/>
          <w:sz w:val="22"/>
          <w:szCs w:val="22"/>
          <w:shd w:val="clear" w:color="auto" w:fill="FFFFFF"/>
        </w:rPr>
        <w:t>common</w:t>
      </w:r>
      <w:r w:rsidRPr="000F1F13" w:rsidR="00914CBA">
        <w:rPr>
          <w:sz w:val="22"/>
          <w:szCs w:val="22"/>
          <w:shd w:val="clear" w:color="auto" w:fill="FFFFFF"/>
        </w:rPr>
        <w:t xml:space="preserve"> costs, </w:t>
      </w:r>
      <w:r w:rsidRPr="000F1F13" w:rsidR="00914CBA">
        <w:rPr>
          <w:spacing w:val="-3"/>
          <w:sz w:val="22"/>
          <w:szCs w:val="22"/>
          <w:shd w:val="clear" w:color="auto" w:fill="FFFFFF"/>
        </w:rPr>
        <w:t>overheads</w:t>
      </w:r>
      <w:r w:rsidRPr="000F1F13" w:rsidR="00914CBA">
        <w:rPr>
          <w:sz w:val="22"/>
          <w:szCs w:val="22"/>
          <w:shd w:val="clear" w:color="auto" w:fill="FFFFFF"/>
        </w:rPr>
        <w:t xml:space="preserve">, and </w:t>
      </w:r>
      <w:r w:rsidRPr="000F1F13" w:rsidR="00914CBA">
        <w:rPr>
          <w:spacing w:val="-3"/>
          <w:sz w:val="22"/>
          <w:szCs w:val="22"/>
          <w:shd w:val="clear" w:color="auto" w:fill="FFFFFF"/>
        </w:rPr>
        <w:t>other</w:t>
      </w:r>
      <w:r w:rsidRPr="000F1F13" w:rsidR="00914CBA">
        <w:rPr>
          <w:sz w:val="22"/>
          <w:szCs w:val="22"/>
          <w:shd w:val="clear" w:color="auto" w:fill="FFFFFF"/>
        </w:rPr>
        <w:t xml:space="preserve"> information.</w:t>
      </w:r>
      <w:r w:rsidR="000F1F13">
        <w:rPr>
          <w:sz w:val="22"/>
          <w:szCs w:val="22"/>
          <w:shd w:val="clear" w:color="auto" w:fill="FFFFFF"/>
        </w:rPr>
        <w:t xml:space="preserve">  </w:t>
      </w:r>
      <w:r w:rsidRPr="00907AC3" w:rsidR="00914CBA">
        <w:rPr>
          <w:sz w:val="22"/>
          <w:szCs w:val="22"/>
          <w:shd w:val="clear" w:color="auto" w:fill="FFFFFF"/>
        </w:rPr>
        <w:t xml:space="preserve">The carrier should provide this information separately for both base file and updated subscriber list information if the complainant challenges both types of rates.  </w:t>
      </w:r>
      <w:r w:rsidRPr="00907AC3" w:rsidR="00914CBA">
        <w:rPr>
          <w:i/>
          <w:sz w:val="22"/>
          <w:szCs w:val="22"/>
          <w:shd w:val="clear" w:color="auto" w:fill="FFFFFF"/>
        </w:rPr>
        <w:t>See Third R&amp;O</w:t>
      </w:r>
      <w:r w:rsidRPr="00907AC3" w:rsidR="00914CBA">
        <w:rPr>
          <w:sz w:val="22"/>
          <w:szCs w:val="22"/>
          <w:shd w:val="clear" w:color="auto" w:fill="FFFFFF"/>
        </w:rPr>
        <w:t xml:space="preserve"> (FCC 99-227), paragraph 106.</w:t>
      </w:r>
      <w:r w:rsidR="00C31C72">
        <w:rPr>
          <w:sz w:val="22"/>
          <w:szCs w:val="22"/>
          <w:shd w:val="clear" w:color="auto" w:fill="FFFFFF"/>
        </w:rPr>
        <w:t xml:space="preserve">  </w:t>
      </w:r>
      <w:r w:rsidR="00744B42">
        <w:rPr>
          <w:spacing w:val="-3"/>
          <w:sz w:val="22"/>
          <w:szCs w:val="22"/>
          <w:shd w:val="clear" w:color="auto" w:fill="FFFFFF"/>
        </w:rPr>
        <w:t xml:space="preserve">This requirement is deleted because </w:t>
      </w:r>
      <w:r w:rsidR="00D76AA3">
        <w:rPr>
          <w:spacing w:val="-3"/>
          <w:sz w:val="22"/>
          <w:szCs w:val="22"/>
          <w:shd w:val="clear" w:color="auto" w:fill="FFFFFF"/>
        </w:rPr>
        <w:t>it is not an “information collection” but rather a procedure to he</w:t>
      </w:r>
      <w:r w:rsidR="00AF3893">
        <w:rPr>
          <w:spacing w:val="-3"/>
          <w:sz w:val="22"/>
          <w:szCs w:val="22"/>
          <w:shd w:val="clear" w:color="auto" w:fill="FFFFFF"/>
        </w:rPr>
        <w:t>l</w:t>
      </w:r>
      <w:r w:rsidR="00D76AA3">
        <w:rPr>
          <w:spacing w:val="-3"/>
          <w:sz w:val="22"/>
          <w:szCs w:val="22"/>
          <w:shd w:val="clear" w:color="auto" w:fill="FFFFFF"/>
        </w:rPr>
        <w:t xml:space="preserve">p ensure rates for subscriber list information are reasonable. </w:t>
      </w:r>
      <w:r w:rsidR="006C4AEF">
        <w:rPr>
          <w:spacing w:val="-3"/>
          <w:sz w:val="22"/>
          <w:szCs w:val="22"/>
          <w:shd w:val="clear" w:color="auto" w:fill="FFFFFF"/>
        </w:rPr>
        <w:t xml:space="preserve"> </w:t>
      </w:r>
      <w:r w:rsidRPr="7F2667BC" w:rsidR="006C4AEF">
        <w:rPr>
          <w:sz w:val="22"/>
          <w:szCs w:val="22"/>
        </w:rPr>
        <w:t>The procedure is not specified in the rules and is not triggered unless and until a directory publisher files a Section 208 complaint at the Commission, and the Commission has not received such a complaint in at least 10 years.</w:t>
      </w:r>
    </w:p>
    <w:p w:rsidR="00D76AA3" w:rsidP="0077092A" w14:paraId="44D6446F" w14:textId="77777777">
      <w:pPr>
        <w:tabs>
          <w:tab w:val="left" w:pos="-720"/>
        </w:tabs>
        <w:suppressAutoHyphens/>
        <w:rPr>
          <w:spacing w:val="-3"/>
          <w:sz w:val="22"/>
          <w:szCs w:val="22"/>
          <w:shd w:val="clear" w:color="auto" w:fill="FFFFFF"/>
        </w:rPr>
      </w:pPr>
    </w:p>
    <w:p w:rsidR="00D76AA3" w:rsidRPr="00114CC8" w:rsidP="711756CC" w14:paraId="537C35AF" w14:textId="0A031B89">
      <w:pPr>
        <w:suppressAutoHyphens/>
        <w:rPr>
          <w:spacing w:val="-3"/>
          <w:sz w:val="22"/>
          <w:szCs w:val="22"/>
          <w:shd w:val="clear" w:color="auto" w:fill="FFFFFF"/>
        </w:rPr>
      </w:pPr>
      <w:r w:rsidRPr="711756CC">
        <w:rPr>
          <w:b/>
          <w:bCs/>
          <w:sz w:val="22"/>
          <w:szCs w:val="22"/>
        </w:rPr>
        <w:t>Certification</w:t>
      </w:r>
      <w:r w:rsidR="006D4849">
        <w:rPr>
          <w:b/>
          <w:bCs/>
          <w:sz w:val="22"/>
          <w:szCs w:val="22"/>
        </w:rPr>
        <w:t xml:space="preserve"> </w:t>
      </w:r>
      <w:r w:rsidR="006D4849">
        <w:rPr>
          <w:b/>
          <w:bCs/>
          <w:spacing w:val="-3"/>
          <w:sz w:val="22"/>
          <w:szCs w:val="22"/>
          <w:shd w:val="clear" w:color="auto" w:fill="FFFFFF"/>
        </w:rPr>
        <w:t xml:space="preserve">(formerly section </w:t>
      </w:r>
      <w:r w:rsidR="00914CBA">
        <w:rPr>
          <w:b/>
          <w:bCs/>
          <w:spacing w:val="-3"/>
          <w:sz w:val="22"/>
          <w:szCs w:val="22"/>
          <w:shd w:val="clear" w:color="auto" w:fill="FFFFFF"/>
        </w:rPr>
        <w:t>(m)</w:t>
      </w:r>
      <w:r w:rsidR="006D4849">
        <w:rPr>
          <w:b/>
          <w:bCs/>
          <w:spacing w:val="-3"/>
          <w:sz w:val="22"/>
          <w:szCs w:val="22"/>
          <w:shd w:val="clear" w:color="auto" w:fill="FFFFFF"/>
        </w:rPr>
        <w:t>)</w:t>
      </w:r>
      <w:r w:rsidRPr="711756CC">
        <w:rPr>
          <w:sz w:val="22"/>
          <w:szCs w:val="22"/>
        </w:rPr>
        <w:t xml:space="preserve">: </w:t>
      </w:r>
      <w:r w:rsidRPr="00907AC3" w:rsidR="00B6653C">
        <w:rPr>
          <w:sz w:val="22"/>
          <w:szCs w:val="22"/>
          <w:shd w:val="clear" w:color="auto" w:fill="FFFFFF"/>
        </w:rPr>
        <w:t xml:space="preserve">A telecommunications carrier may require persons requesting subscriber list information pursuant to section 222(e) of the Act or section 64.2309 to certify that the publisher will use the information only for purposes of publishing a directory.  The certification may be either </w:t>
      </w:r>
      <w:r w:rsidR="00B6653C">
        <w:rPr>
          <w:sz w:val="22"/>
          <w:szCs w:val="22"/>
          <w:shd w:val="clear" w:color="auto" w:fill="FFFFFF"/>
        </w:rPr>
        <w:t>oral or written, at the carrier’</w:t>
      </w:r>
      <w:r w:rsidRPr="00907AC3" w:rsidR="00B6653C">
        <w:rPr>
          <w:sz w:val="22"/>
          <w:szCs w:val="22"/>
          <w:shd w:val="clear" w:color="auto" w:fill="FFFFFF"/>
        </w:rPr>
        <w:t xml:space="preserve">s option.  </w:t>
      </w:r>
      <w:r w:rsidRPr="00907AC3" w:rsidR="00B6653C">
        <w:rPr>
          <w:i/>
          <w:sz w:val="22"/>
          <w:szCs w:val="22"/>
          <w:shd w:val="clear" w:color="auto" w:fill="FFFFFF"/>
        </w:rPr>
        <w:t>See</w:t>
      </w:r>
      <w:r w:rsidRPr="00907AC3" w:rsidR="00B6653C">
        <w:rPr>
          <w:sz w:val="22"/>
          <w:szCs w:val="22"/>
          <w:shd w:val="clear" w:color="auto" w:fill="FFFFFF"/>
        </w:rPr>
        <w:t xml:space="preserve"> 47 CFR </w:t>
      </w:r>
      <w:r w:rsidR="00B6653C">
        <w:rPr>
          <w:spacing w:val="-3"/>
          <w:sz w:val="22"/>
          <w:szCs w:val="22"/>
          <w:shd w:val="clear" w:color="auto" w:fill="FFFFFF"/>
        </w:rPr>
        <w:t>§ </w:t>
      </w:r>
      <w:r w:rsidRPr="00907AC3" w:rsidR="00B6653C">
        <w:rPr>
          <w:sz w:val="22"/>
          <w:szCs w:val="22"/>
          <w:shd w:val="clear" w:color="auto" w:fill="FFFFFF"/>
        </w:rPr>
        <w:t>64.2337.</w:t>
      </w:r>
      <w:r w:rsidR="00B6653C">
        <w:rPr>
          <w:sz w:val="22"/>
          <w:szCs w:val="22"/>
          <w:shd w:val="clear" w:color="auto" w:fill="FFFFFF"/>
        </w:rPr>
        <w:t xml:space="preserve"> </w:t>
      </w:r>
      <w:r w:rsidR="00AE31EF">
        <w:rPr>
          <w:sz w:val="22"/>
          <w:szCs w:val="22"/>
          <w:shd w:val="clear" w:color="auto" w:fill="FFFFFF"/>
        </w:rPr>
        <w:t xml:space="preserve"> </w:t>
      </w:r>
      <w:r w:rsidRPr="711756CC" w:rsidR="006B72B7">
        <w:rPr>
          <w:sz w:val="22"/>
          <w:szCs w:val="22"/>
        </w:rPr>
        <w:t xml:space="preserve">This requirement is deleted because </w:t>
      </w:r>
      <w:r w:rsidRPr="711756CC" w:rsidR="00CD492B">
        <w:rPr>
          <w:sz w:val="22"/>
          <w:szCs w:val="22"/>
        </w:rPr>
        <w:t xml:space="preserve">the certification </w:t>
      </w:r>
      <w:r w:rsidRPr="711756CC" w:rsidR="00A25270">
        <w:rPr>
          <w:sz w:val="22"/>
          <w:szCs w:val="22"/>
        </w:rPr>
        <w:t xml:space="preserve">entails no burden other than that necessary to identify the respondent, </w:t>
      </w:r>
      <w:r w:rsidR="00766D60">
        <w:rPr>
          <w:sz w:val="22"/>
          <w:szCs w:val="22"/>
        </w:rPr>
        <w:t xml:space="preserve">the </w:t>
      </w:r>
      <w:r w:rsidRPr="711756CC" w:rsidR="00A25270">
        <w:rPr>
          <w:sz w:val="22"/>
          <w:szCs w:val="22"/>
        </w:rPr>
        <w:t>date, the respondent’s address, and the nature of the instrument</w:t>
      </w:r>
      <w:r w:rsidRPr="711756CC" w:rsidR="002769CB">
        <w:rPr>
          <w:sz w:val="22"/>
          <w:szCs w:val="22"/>
        </w:rPr>
        <w:t xml:space="preserve"> and therefore</w:t>
      </w:r>
      <w:r w:rsidRPr="711756CC" w:rsidR="00F62090">
        <w:rPr>
          <w:sz w:val="22"/>
          <w:szCs w:val="22"/>
        </w:rPr>
        <w:t xml:space="preserve"> </w:t>
      </w:r>
      <w:r w:rsidRPr="711756CC" w:rsidR="0006751C">
        <w:rPr>
          <w:sz w:val="22"/>
          <w:szCs w:val="22"/>
        </w:rPr>
        <w:t xml:space="preserve">the certification is not “information” within the meaning of the Paperwork Reduction Act. </w:t>
      </w:r>
      <w:r w:rsidRPr="711756CC" w:rsidR="00D4229C">
        <w:rPr>
          <w:sz w:val="22"/>
          <w:szCs w:val="22"/>
        </w:rPr>
        <w:t xml:space="preserve"> </w:t>
      </w:r>
      <w:r w:rsidRPr="711756CC" w:rsidR="0006751C">
        <w:rPr>
          <w:sz w:val="22"/>
          <w:szCs w:val="22"/>
        </w:rPr>
        <w:t xml:space="preserve">5 CFR § 1320.3(h)(1). </w:t>
      </w:r>
    </w:p>
    <w:p w:rsidR="00A6209F" w:rsidP="0077092A" w14:paraId="3E7079A6" w14:textId="77777777">
      <w:pPr>
        <w:tabs>
          <w:tab w:val="left" w:pos="-720"/>
        </w:tabs>
        <w:suppressAutoHyphens/>
        <w:rPr>
          <w:spacing w:val="-3"/>
          <w:sz w:val="22"/>
          <w:szCs w:val="22"/>
          <w:shd w:val="clear" w:color="auto" w:fill="FFFFFF"/>
        </w:rPr>
      </w:pPr>
    </w:p>
    <w:p w:rsidR="001965F5" w:rsidP="001965F5" w14:paraId="441748B1" w14:textId="77777777">
      <w:pPr>
        <w:tabs>
          <w:tab w:val="left" w:pos="-720"/>
        </w:tabs>
        <w:suppressAutoHyphens/>
        <w:rPr>
          <w:sz w:val="22"/>
          <w:szCs w:val="22"/>
          <w:shd w:val="clear" w:color="auto" w:fill="FFFFFF"/>
        </w:rPr>
      </w:pPr>
    </w:p>
    <w:p w:rsidR="001965F5" w:rsidRPr="001C2D09" w:rsidP="001965F5" w14:paraId="199FFB82" w14:textId="19B4B1D7">
      <w:pPr>
        <w:tabs>
          <w:tab w:val="left" w:pos="-720"/>
        </w:tabs>
        <w:suppressAutoHyphens/>
        <w:rPr>
          <w:sz w:val="22"/>
          <w:szCs w:val="22"/>
          <w:shd w:val="clear" w:color="auto" w:fill="FFFFFF"/>
        </w:rPr>
      </w:pPr>
      <w:r w:rsidRPr="001C2D09">
        <w:rPr>
          <w:sz w:val="22"/>
          <w:szCs w:val="22"/>
          <w:shd w:val="clear" w:color="auto" w:fill="FFFFFF"/>
        </w:rPr>
        <w:t>Statutory authority for this collection of information is contained in sections 1, 2, 4(i), 4(j), 201-205, 208, 222, 225, 251, 303, 332, 345, and 403 of the Act, 47 U.S.C. §</w:t>
      </w:r>
      <w:r w:rsidRPr="001C2D09">
        <w:rPr>
          <w:spacing w:val="-3"/>
          <w:sz w:val="22"/>
          <w:szCs w:val="22"/>
          <w:shd w:val="clear" w:color="auto" w:fill="FFFFFF"/>
        </w:rPr>
        <w:t>§ </w:t>
      </w:r>
      <w:r w:rsidRPr="001C2D09">
        <w:rPr>
          <w:sz w:val="22"/>
          <w:szCs w:val="22"/>
          <w:shd w:val="clear" w:color="auto" w:fill="FFFFFF"/>
        </w:rPr>
        <w:t>151, 154(i), 154(j), 201-205, 208, 222, 225, 303, 332, 345, and 403.</w:t>
      </w:r>
    </w:p>
    <w:p w:rsidR="001965F5" w:rsidRPr="001C2D09" w:rsidP="001965F5" w14:paraId="29805D41" w14:textId="77777777">
      <w:pPr>
        <w:tabs>
          <w:tab w:val="left" w:pos="-720"/>
        </w:tabs>
        <w:suppressAutoHyphens/>
        <w:rPr>
          <w:sz w:val="22"/>
          <w:szCs w:val="22"/>
          <w:shd w:val="clear" w:color="auto" w:fill="FFFFFF"/>
        </w:rPr>
      </w:pPr>
    </w:p>
    <w:p w:rsidR="001965F5" w:rsidRPr="00647BAC" w:rsidP="0077092A" w14:paraId="53F58D4E" w14:textId="0360D6CD">
      <w:pPr>
        <w:tabs>
          <w:tab w:val="left" w:pos="-720"/>
        </w:tabs>
        <w:suppressAutoHyphens/>
        <w:rPr>
          <w:sz w:val="22"/>
          <w:szCs w:val="22"/>
          <w:shd w:val="clear" w:color="auto" w:fill="FFFFFF"/>
        </w:rPr>
      </w:pPr>
      <w:r w:rsidRPr="001C2D09">
        <w:rPr>
          <w:sz w:val="22"/>
          <w:szCs w:val="22"/>
          <w:shd w:val="clear" w:color="auto" w:fill="FFFFFF"/>
        </w:rPr>
        <w:t xml:space="preserve">This information collection does affect individuals or households; thus, </w:t>
      </w:r>
      <w:r w:rsidRPr="001C2D09">
        <w:rPr>
          <w:spacing w:val="-3"/>
          <w:sz w:val="22"/>
          <w:szCs w:val="22"/>
          <w:shd w:val="clear" w:color="auto" w:fill="FFFFFF"/>
        </w:rPr>
        <w:t xml:space="preserve">there are impacts under the Privacy Act.  However, the information that is related to individuals or households is collected by third parties; and as a consequence, </w:t>
      </w:r>
      <w:r w:rsidRPr="001C2D09">
        <w:rPr>
          <w:sz w:val="22"/>
          <w:szCs w:val="22"/>
          <w:shd w:val="clear" w:color="auto" w:fill="FFFFFF"/>
        </w:rPr>
        <w:t>the Commission is not required to complete a privacy impact assessment.</w:t>
      </w:r>
      <w:r>
        <w:rPr>
          <w:rStyle w:val="FootnoteReference"/>
          <w:spacing w:val="-3"/>
          <w:sz w:val="22"/>
          <w:szCs w:val="22"/>
          <w:shd w:val="clear" w:color="auto" w:fill="FFFFFF"/>
        </w:rPr>
        <w:footnoteReference w:id="12"/>
      </w:r>
      <w:r w:rsidRPr="001C2D09">
        <w:rPr>
          <w:sz w:val="22"/>
          <w:szCs w:val="22"/>
          <w:shd w:val="clear" w:color="auto" w:fill="FFFFFF"/>
        </w:rPr>
        <w:t xml:space="preserve"> </w:t>
      </w:r>
    </w:p>
    <w:p w:rsidR="001965F5" w:rsidRPr="001C2D09" w:rsidP="0077092A" w14:paraId="10A5081C" w14:textId="77777777">
      <w:pPr>
        <w:tabs>
          <w:tab w:val="left" w:pos="-720"/>
        </w:tabs>
        <w:suppressAutoHyphens/>
        <w:rPr>
          <w:spacing w:val="-3"/>
          <w:sz w:val="22"/>
          <w:szCs w:val="22"/>
          <w:shd w:val="clear" w:color="auto" w:fill="FFFFFF"/>
        </w:rPr>
      </w:pPr>
    </w:p>
    <w:p w:rsidR="00005848" w:rsidRPr="001C2D09" w:rsidP="0077092A" w14:paraId="7BF7AE3E" w14:textId="495CC391">
      <w:pPr>
        <w:rPr>
          <w:spacing w:val="-3"/>
          <w:sz w:val="22"/>
          <w:szCs w:val="22"/>
          <w:shd w:val="clear" w:color="auto" w:fill="FFFFFF"/>
        </w:rPr>
      </w:pPr>
      <w:r w:rsidRPr="001C2D09">
        <w:rPr>
          <w:spacing w:val="-3"/>
          <w:sz w:val="22"/>
          <w:szCs w:val="22"/>
          <w:shd w:val="clear" w:color="auto" w:fill="FFFFFF"/>
        </w:rPr>
        <w:t>2.</w:t>
      </w:r>
      <w:r w:rsidRPr="001C2D09">
        <w:rPr>
          <w:spacing w:val="-3"/>
          <w:sz w:val="22"/>
          <w:szCs w:val="22"/>
          <w:shd w:val="clear" w:color="auto" w:fill="FFFFFF"/>
        </w:rPr>
        <w:tab/>
      </w:r>
      <w:r w:rsidRPr="001C2D09" w:rsidR="00C5526A">
        <w:rPr>
          <w:i/>
          <w:iCs/>
          <w:spacing w:val="-3"/>
          <w:sz w:val="22"/>
          <w:szCs w:val="22"/>
          <w:shd w:val="clear" w:color="auto" w:fill="FFFFFF"/>
        </w:rPr>
        <w:t>Use of information</w:t>
      </w:r>
      <w:r w:rsidRPr="001C2D09" w:rsidR="00C5526A">
        <w:rPr>
          <w:b/>
          <w:bCs/>
          <w:spacing w:val="-3"/>
          <w:sz w:val="22"/>
          <w:szCs w:val="22"/>
          <w:shd w:val="clear" w:color="auto" w:fill="FFFFFF"/>
        </w:rPr>
        <w:t>.</w:t>
      </w:r>
      <w:r w:rsidRPr="001C2D09" w:rsidR="00C5526A">
        <w:rPr>
          <w:spacing w:val="-3"/>
          <w:sz w:val="22"/>
          <w:szCs w:val="22"/>
          <w:shd w:val="clear" w:color="auto" w:fill="FFFFFF"/>
        </w:rPr>
        <w:t xml:space="preserve">  </w:t>
      </w:r>
      <w:r w:rsidRPr="001C2D09">
        <w:rPr>
          <w:spacing w:val="-3"/>
          <w:sz w:val="22"/>
          <w:szCs w:val="22"/>
          <w:shd w:val="clear" w:color="auto" w:fill="FFFFFF"/>
        </w:rPr>
        <w:t xml:space="preserve">All of the </w:t>
      </w:r>
      <w:r w:rsidRPr="001C2D09" w:rsidR="002A41C8">
        <w:rPr>
          <w:spacing w:val="-3"/>
          <w:sz w:val="22"/>
          <w:szCs w:val="22"/>
          <w:shd w:val="clear" w:color="auto" w:fill="FFFFFF"/>
        </w:rPr>
        <w:t xml:space="preserve">information </w:t>
      </w:r>
      <w:r w:rsidRPr="001C2D09">
        <w:rPr>
          <w:spacing w:val="-3"/>
          <w:sz w:val="22"/>
          <w:szCs w:val="22"/>
          <w:shd w:val="clear" w:color="auto" w:fill="FFFFFF"/>
        </w:rPr>
        <w:t>collection</w:t>
      </w:r>
      <w:r w:rsidRPr="001C2D09" w:rsidR="002A41C8">
        <w:rPr>
          <w:spacing w:val="-3"/>
          <w:sz w:val="22"/>
          <w:szCs w:val="22"/>
          <w:shd w:val="clear" w:color="auto" w:fill="FFFFFF"/>
        </w:rPr>
        <w:t xml:space="preserve"> requirement</w:t>
      </w:r>
      <w:r w:rsidRPr="001C2D09">
        <w:rPr>
          <w:spacing w:val="-3"/>
          <w:sz w:val="22"/>
          <w:szCs w:val="22"/>
          <w:shd w:val="clear" w:color="auto" w:fill="FFFFFF"/>
        </w:rPr>
        <w:t>s</w:t>
      </w:r>
      <w:r w:rsidRPr="001C2D09" w:rsidR="002A41C8">
        <w:rPr>
          <w:spacing w:val="-3"/>
          <w:sz w:val="22"/>
          <w:szCs w:val="22"/>
          <w:shd w:val="clear" w:color="auto" w:fill="FFFFFF"/>
        </w:rPr>
        <w:t xml:space="preserve"> </w:t>
      </w:r>
      <w:r w:rsidRPr="001C2D09">
        <w:rPr>
          <w:spacing w:val="-3"/>
          <w:sz w:val="22"/>
          <w:szCs w:val="22"/>
          <w:shd w:val="clear" w:color="auto" w:fill="FFFFFF"/>
        </w:rPr>
        <w:t xml:space="preserve">are used to ensure that </w:t>
      </w:r>
      <w:r w:rsidRPr="001C2D09" w:rsidR="00181844">
        <w:rPr>
          <w:spacing w:val="-3"/>
          <w:sz w:val="22"/>
          <w:szCs w:val="22"/>
          <w:shd w:val="clear" w:color="auto" w:fill="FFFFFF"/>
        </w:rPr>
        <w:t xml:space="preserve">providers of </w:t>
      </w:r>
      <w:r w:rsidRPr="001C2D09">
        <w:rPr>
          <w:spacing w:val="-3"/>
          <w:sz w:val="22"/>
          <w:szCs w:val="22"/>
          <w:shd w:val="clear" w:color="auto" w:fill="FFFFFF"/>
        </w:rPr>
        <w:t>telecommunica</w:t>
      </w:r>
      <w:r w:rsidRPr="001C2D09" w:rsidR="00FF7BE1">
        <w:rPr>
          <w:spacing w:val="-3"/>
          <w:sz w:val="22"/>
          <w:szCs w:val="22"/>
          <w:shd w:val="clear" w:color="auto" w:fill="FFFFFF"/>
        </w:rPr>
        <w:t>tions</w:t>
      </w:r>
      <w:r w:rsidRPr="001C2D09" w:rsidR="001C3528">
        <w:rPr>
          <w:spacing w:val="-3"/>
          <w:sz w:val="22"/>
          <w:szCs w:val="22"/>
          <w:shd w:val="clear" w:color="auto" w:fill="FFFFFF"/>
        </w:rPr>
        <w:t>,</w:t>
      </w:r>
      <w:r w:rsidRPr="001C2D09" w:rsidR="00FF7BE1">
        <w:rPr>
          <w:spacing w:val="-3"/>
          <w:sz w:val="22"/>
          <w:szCs w:val="22"/>
          <w:shd w:val="clear" w:color="auto" w:fill="FFFFFF"/>
        </w:rPr>
        <w:t xml:space="preserve"> </w:t>
      </w:r>
      <w:r w:rsidRPr="001C2D09" w:rsidR="00F307F8">
        <w:rPr>
          <w:spacing w:val="-3"/>
          <w:sz w:val="22"/>
          <w:szCs w:val="22"/>
          <w:shd w:val="clear" w:color="auto" w:fill="FFFFFF"/>
        </w:rPr>
        <w:t>interconnected VoIP</w:t>
      </w:r>
      <w:r w:rsidRPr="001C2D09" w:rsidR="008564E0">
        <w:rPr>
          <w:spacing w:val="-3"/>
          <w:sz w:val="22"/>
          <w:szCs w:val="22"/>
          <w:shd w:val="clear" w:color="auto" w:fill="FFFFFF"/>
        </w:rPr>
        <w:t xml:space="preserve">, </w:t>
      </w:r>
      <w:r w:rsidRPr="001C2D09" w:rsidR="003455C9">
        <w:rPr>
          <w:spacing w:val="-3"/>
          <w:sz w:val="22"/>
          <w:szCs w:val="22"/>
          <w:shd w:val="clear" w:color="auto" w:fill="FFFFFF"/>
        </w:rPr>
        <w:t>and telecommunications relay</w:t>
      </w:r>
      <w:r w:rsidRPr="001C2D09" w:rsidR="00F307F8">
        <w:rPr>
          <w:spacing w:val="-3"/>
          <w:sz w:val="22"/>
          <w:szCs w:val="22"/>
          <w:shd w:val="clear" w:color="auto" w:fill="FFFFFF"/>
        </w:rPr>
        <w:t xml:space="preserve"> service </w:t>
      </w:r>
      <w:r w:rsidRPr="001C2D09" w:rsidR="003455C9">
        <w:rPr>
          <w:spacing w:val="-3"/>
          <w:sz w:val="22"/>
          <w:szCs w:val="22"/>
          <w:shd w:val="clear" w:color="auto" w:fill="FFFFFF"/>
        </w:rPr>
        <w:t xml:space="preserve">(TRS) </w:t>
      </w:r>
      <w:r w:rsidRPr="001C2D09" w:rsidR="00FF7BE1">
        <w:rPr>
          <w:spacing w:val="-3"/>
          <w:sz w:val="22"/>
          <w:szCs w:val="22"/>
          <w:shd w:val="clear" w:color="auto" w:fill="FFFFFF"/>
        </w:rPr>
        <w:t xml:space="preserve">comply with the </w:t>
      </w:r>
      <w:r w:rsidRPr="001C2D09">
        <w:rPr>
          <w:spacing w:val="-3"/>
          <w:sz w:val="22"/>
          <w:szCs w:val="22"/>
          <w:shd w:val="clear" w:color="auto" w:fill="FFFFFF"/>
        </w:rPr>
        <w:t xml:space="preserve">requirements the Commission promulgates in its orders and to implement </w:t>
      </w:r>
      <w:r w:rsidRPr="001C2D09" w:rsidR="003028CA">
        <w:rPr>
          <w:spacing w:val="-3"/>
          <w:sz w:val="22"/>
          <w:szCs w:val="22"/>
          <w:shd w:val="clear" w:color="auto" w:fill="FFFFFF"/>
        </w:rPr>
        <w:t>s</w:t>
      </w:r>
      <w:r w:rsidRPr="001C2D09">
        <w:rPr>
          <w:spacing w:val="-3"/>
          <w:sz w:val="22"/>
          <w:szCs w:val="22"/>
          <w:shd w:val="clear" w:color="auto" w:fill="FFFFFF"/>
        </w:rPr>
        <w:t>ection</w:t>
      </w:r>
      <w:r w:rsidRPr="001C2D09" w:rsidR="0076189B">
        <w:rPr>
          <w:spacing w:val="-3"/>
          <w:sz w:val="22"/>
          <w:szCs w:val="22"/>
          <w:shd w:val="clear" w:color="auto" w:fill="FFFFFF"/>
        </w:rPr>
        <w:t>s</w:t>
      </w:r>
      <w:r w:rsidRPr="001C2D09">
        <w:rPr>
          <w:spacing w:val="-3"/>
          <w:sz w:val="22"/>
          <w:szCs w:val="22"/>
          <w:shd w:val="clear" w:color="auto" w:fill="FFFFFF"/>
        </w:rPr>
        <w:t xml:space="preserve"> 222 </w:t>
      </w:r>
      <w:r w:rsidRPr="001C2D09" w:rsidR="0076189B">
        <w:rPr>
          <w:spacing w:val="-3"/>
          <w:sz w:val="22"/>
          <w:szCs w:val="22"/>
          <w:shd w:val="clear" w:color="auto" w:fill="FFFFFF"/>
        </w:rPr>
        <w:t xml:space="preserve">and 345 </w:t>
      </w:r>
      <w:r w:rsidRPr="001C2D09">
        <w:rPr>
          <w:spacing w:val="-3"/>
          <w:sz w:val="22"/>
          <w:szCs w:val="22"/>
          <w:shd w:val="clear" w:color="auto" w:fill="FFFFFF"/>
        </w:rPr>
        <w:t xml:space="preserve">of the </w:t>
      </w:r>
      <w:r w:rsidRPr="001C2D09" w:rsidR="003028CA">
        <w:rPr>
          <w:spacing w:val="-3"/>
          <w:sz w:val="22"/>
          <w:szCs w:val="22"/>
          <w:shd w:val="clear" w:color="auto" w:fill="FFFFFF"/>
        </w:rPr>
        <w:t>Act</w:t>
      </w:r>
      <w:r w:rsidR="00C62D97">
        <w:rPr>
          <w:spacing w:val="-3"/>
          <w:sz w:val="22"/>
          <w:szCs w:val="22"/>
          <w:shd w:val="clear" w:color="auto" w:fill="FFFFFF"/>
        </w:rPr>
        <w:t xml:space="preserve">, which obligate </w:t>
      </w:r>
      <w:r w:rsidR="003C4928">
        <w:rPr>
          <w:spacing w:val="-3"/>
          <w:sz w:val="22"/>
          <w:szCs w:val="22"/>
          <w:shd w:val="clear" w:color="auto" w:fill="FFFFFF"/>
        </w:rPr>
        <w:t>telecommunications carriers to protect the privacy and security of information about their customers to which they have access as a result of their unique position as network operators, among other things.</w:t>
      </w:r>
      <w:r w:rsidRPr="001C2D09">
        <w:rPr>
          <w:spacing w:val="-3"/>
          <w:sz w:val="22"/>
          <w:szCs w:val="22"/>
          <w:shd w:val="clear" w:color="auto" w:fill="FFFFFF"/>
        </w:rPr>
        <w:t>.</w:t>
      </w:r>
    </w:p>
    <w:p w:rsidR="00005848" w:rsidRPr="001C2D09" w:rsidP="0077092A" w14:paraId="67E471AA" w14:textId="77777777">
      <w:pPr>
        <w:rPr>
          <w:spacing w:val="-3"/>
          <w:sz w:val="22"/>
          <w:szCs w:val="22"/>
          <w:shd w:val="clear" w:color="auto" w:fill="FFFFFF"/>
        </w:rPr>
      </w:pPr>
    </w:p>
    <w:p w:rsidR="00005848" w:rsidRPr="001C2D09" w:rsidP="0077092A" w14:paraId="41E96B63" w14:textId="557398C0">
      <w:pPr>
        <w:rPr>
          <w:spacing w:val="-3"/>
          <w:sz w:val="22"/>
          <w:szCs w:val="22"/>
          <w:shd w:val="clear" w:color="auto" w:fill="FFFFFF"/>
        </w:rPr>
      </w:pPr>
      <w:r w:rsidRPr="001C2D09">
        <w:rPr>
          <w:spacing w:val="-3"/>
          <w:sz w:val="22"/>
          <w:szCs w:val="22"/>
          <w:shd w:val="clear" w:color="auto" w:fill="FFFFFF"/>
        </w:rPr>
        <w:t>3.</w:t>
      </w:r>
      <w:r w:rsidRPr="001C2D09">
        <w:rPr>
          <w:spacing w:val="-3"/>
          <w:sz w:val="22"/>
          <w:szCs w:val="22"/>
          <w:shd w:val="clear" w:color="auto" w:fill="FFFFFF"/>
        </w:rPr>
        <w:tab/>
      </w:r>
      <w:r w:rsidRPr="522AA3A9" w:rsidR="0048249A">
        <w:rPr>
          <w:i/>
          <w:iCs/>
          <w:spacing w:val="-3"/>
          <w:sz w:val="22"/>
          <w:szCs w:val="22"/>
          <w:shd w:val="clear" w:color="auto" w:fill="FFFFFF"/>
        </w:rPr>
        <w:t>Technological collection techniques</w:t>
      </w:r>
      <w:r w:rsidRPr="001C2D09" w:rsidR="0048249A">
        <w:rPr>
          <w:spacing w:val="-3"/>
          <w:sz w:val="22"/>
          <w:szCs w:val="22"/>
          <w:shd w:val="clear" w:color="auto" w:fill="FFFFFF"/>
        </w:rPr>
        <w:t xml:space="preserve">.  </w:t>
      </w:r>
      <w:r w:rsidRPr="001C2D09">
        <w:rPr>
          <w:spacing w:val="-3"/>
          <w:sz w:val="22"/>
          <w:szCs w:val="22"/>
          <w:shd w:val="clear" w:color="auto" w:fill="FFFFFF"/>
        </w:rPr>
        <w:t xml:space="preserve">While the Commission anticipates that </w:t>
      </w:r>
      <w:r w:rsidRPr="001C2D09" w:rsidR="005B4200">
        <w:rPr>
          <w:spacing w:val="-3"/>
          <w:sz w:val="22"/>
          <w:szCs w:val="22"/>
          <w:shd w:val="clear" w:color="auto" w:fill="FFFFFF"/>
        </w:rPr>
        <w:t xml:space="preserve">covered </w:t>
      </w:r>
      <w:r w:rsidRPr="001C2D09" w:rsidR="00F307F8">
        <w:rPr>
          <w:spacing w:val="-3"/>
          <w:sz w:val="22"/>
          <w:szCs w:val="22"/>
          <w:shd w:val="clear" w:color="auto" w:fill="FFFFFF"/>
        </w:rPr>
        <w:t>providers</w:t>
      </w:r>
      <w:r w:rsidRPr="001C2D09">
        <w:rPr>
          <w:spacing w:val="-3"/>
          <w:sz w:val="22"/>
          <w:szCs w:val="22"/>
          <w:shd w:val="clear" w:color="auto" w:fill="FFFFFF"/>
        </w:rPr>
        <w:t xml:space="preserve"> may choose to record </w:t>
      </w:r>
      <w:r w:rsidRPr="001C2D09" w:rsidR="00646FF0">
        <w:rPr>
          <w:spacing w:val="-3"/>
          <w:sz w:val="22"/>
          <w:szCs w:val="22"/>
          <w:shd w:val="clear" w:color="auto" w:fill="FFFFFF"/>
        </w:rPr>
        <w:t xml:space="preserve">CPNI </w:t>
      </w:r>
      <w:r w:rsidRPr="001C2D09">
        <w:rPr>
          <w:spacing w:val="-3"/>
          <w:sz w:val="22"/>
          <w:szCs w:val="22"/>
          <w:shd w:val="clear" w:color="auto" w:fill="FFFFFF"/>
        </w:rPr>
        <w:t>using electronic or other technological collection techniques, the means of compliance</w:t>
      </w:r>
      <w:r w:rsidRPr="001C2D09" w:rsidR="007349C6">
        <w:rPr>
          <w:spacing w:val="-3"/>
          <w:sz w:val="22"/>
          <w:szCs w:val="22"/>
          <w:shd w:val="clear" w:color="auto" w:fill="FFFFFF"/>
        </w:rPr>
        <w:t xml:space="preserve"> </w:t>
      </w:r>
      <w:r w:rsidRPr="001C2D09">
        <w:rPr>
          <w:spacing w:val="-3"/>
          <w:sz w:val="22"/>
          <w:szCs w:val="22"/>
          <w:shd w:val="clear" w:color="auto" w:fill="FFFFFF"/>
        </w:rPr>
        <w:t xml:space="preserve">is at the discretion of the </w:t>
      </w:r>
      <w:r w:rsidRPr="001C2D09" w:rsidR="008F375B">
        <w:rPr>
          <w:spacing w:val="-3"/>
          <w:sz w:val="22"/>
          <w:szCs w:val="22"/>
          <w:shd w:val="clear" w:color="auto" w:fill="FFFFFF"/>
        </w:rPr>
        <w:t>provider</w:t>
      </w:r>
      <w:r w:rsidRPr="001C2D09">
        <w:rPr>
          <w:spacing w:val="-3"/>
          <w:sz w:val="22"/>
          <w:szCs w:val="22"/>
          <w:shd w:val="clear" w:color="auto" w:fill="FFFFFF"/>
        </w:rPr>
        <w:t>.</w:t>
      </w:r>
      <w:r w:rsidRPr="001C2D09" w:rsidR="00426BC0">
        <w:rPr>
          <w:spacing w:val="-3"/>
          <w:sz w:val="22"/>
          <w:szCs w:val="22"/>
          <w:shd w:val="clear" w:color="auto" w:fill="FFFFFF"/>
        </w:rPr>
        <w:t xml:space="preserve">  </w:t>
      </w:r>
      <w:r w:rsidRPr="001C2D09" w:rsidR="008E10BB">
        <w:rPr>
          <w:spacing w:val="-3"/>
          <w:sz w:val="22"/>
          <w:szCs w:val="22"/>
          <w:shd w:val="clear" w:color="auto" w:fill="FFFFFF"/>
        </w:rPr>
        <w:t xml:space="preserve">The Commission assumes </w:t>
      </w:r>
      <w:r w:rsidRPr="001C2D09" w:rsidR="00426BC0">
        <w:rPr>
          <w:spacing w:val="-3"/>
          <w:sz w:val="22"/>
          <w:szCs w:val="22"/>
          <w:shd w:val="clear" w:color="auto" w:fill="FFFFFF"/>
        </w:rPr>
        <w:t>that information technology, including the use of voice menu systems and automated response recognition systems</w:t>
      </w:r>
      <w:r w:rsidRPr="001C2D09" w:rsidR="70131A2C">
        <w:rPr>
          <w:spacing w:val="-3"/>
          <w:sz w:val="22"/>
          <w:szCs w:val="22"/>
          <w:shd w:val="clear" w:color="auto" w:fill="FFFFFF"/>
        </w:rPr>
        <w:t>,</w:t>
      </w:r>
      <w:r w:rsidRPr="001C2D09" w:rsidR="00426BC0">
        <w:rPr>
          <w:spacing w:val="-3"/>
          <w:sz w:val="22"/>
          <w:szCs w:val="22"/>
          <w:shd w:val="clear" w:color="auto" w:fill="FFFFFF"/>
        </w:rPr>
        <w:t xml:space="preserve"> will be used by </w:t>
      </w:r>
      <w:r w:rsidRPr="001C2D09" w:rsidR="008E10BB">
        <w:rPr>
          <w:spacing w:val="-3"/>
          <w:sz w:val="22"/>
          <w:szCs w:val="22"/>
          <w:shd w:val="clear" w:color="auto" w:fill="FFFFFF"/>
        </w:rPr>
        <w:t xml:space="preserve">covered </w:t>
      </w:r>
      <w:r w:rsidRPr="001C2D09" w:rsidR="008F375B">
        <w:rPr>
          <w:spacing w:val="-3"/>
          <w:sz w:val="22"/>
          <w:szCs w:val="22"/>
          <w:shd w:val="clear" w:color="auto" w:fill="FFFFFF"/>
        </w:rPr>
        <w:t>providers</w:t>
      </w:r>
      <w:r w:rsidRPr="001C2D09" w:rsidR="00426BC0">
        <w:rPr>
          <w:spacing w:val="-3"/>
          <w:sz w:val="22"/>
          <w:szCs w:val="22"/>
          <w:shd w:val="clear" w:color="auto" w:fill="FFFFFF"/>
        </w:rPr>
        <w:t xml:space="preserve"> to comply</w:t>
      </w:r>
      <w:r w:rsidRPr="001C2D09" w:rsidR="00197E99">
        <w:rPr>
          <w:spacing w:val="-3"/>
          <w:sz w:val="22"/>
          <w:szCs w:val="22"/>
          <w:shd w:val="clear" w:color="auto" w:fill="FFFFFF"/>
        </w:rPr>
        <w:t xml:space="preserve"> with the requirements</w:t>
      </w:r>
      <w:r w:rsidRPr="001C2D09" w:rsidR="00426BC0">
        <w:rPr>
          <w:spacing w:val="-3"/>
          <w:sz w:val="22"/>
          <w:szCs w:val="22"/>
          <w:shd w:val="clear" w:color="auto" w:fill="FFFFFF"/>
        </w:rPr>
        <w:t>.</w:t>
      </w:r>
    </w:p>
    <w:p w:rsidR="00005848" w:rsidRPr="001C2D09" w:rsidP="0077092A" w14:paraId="32C98CA2" w14:textId="77777777">
      <w:pPr>
        <w:rPr>
          <w:spacing w:val="-3"/>
          <w:sz w:val="22"/>
          <w:szCs w:val="22"/>
          <w:shd w:val="clear" w:color="auto" w:fill="FFFFFF"/>
        </w:rPr>
      </w:pPr>
      <w:r w:rsidRPr="001C2D09">
        <w:rPr>
          <w:spacing w:val="-3"/>
          <w:sz w:val="22"/>
          <w:szCs w:val="22"/>
          <w:shd w:val="clear" w:color="auto" w:fill="FFFFFF"/>
        </w:rPr>
        <w:t xml:space="preserve"> </w:t>
      </w:r>
    </w:p>
    <w:p w:rsidR="00005848" w:rsidRPr="001C2D09" w:rsidP="0077092A" w14:paraId="7924EA41" w14:textId="22911406">
      <w:pPr>
        <w:tabs>
          <w:tab w:val="left" w:pos="360"/>
        </w:tabs>
        <w:rPr>
          <w:spacing w:val="-3"/>
          <w:sz w:val="22"/>
          <w:szCs w:val="22"/>
          <w:shd w:val="clear" w:color="auto" w:fill="FFFFFF"/>
        </w:rPr>
      </w:pPr>
      <w:r w:rsidRPr="001C2D09">
        <w:rPr>
          <w:spacing w:val="-3"/>
          <w:sz w:val="22"/>
          <w:szCs w:val="22"/>
          <w:shd w:val="clear" w:color="auto" w:fill="FFFFFF"/>
        </w:rPr>
        <w:t>4.</w:t>
      </w:r>
      <w:r w:rsidRPr="001C2D09">
        <w:rPr>
          <w:spacing w:val="-3"/>
          <w:sz w:val="22"/>
          <w:szCs w:val="22"/>
          <w:shd w:val="clear" w:color="auto" w:fill="FFFFFF"/>
        </w:rPr>
        <w:tab/>
      </w:r>
      <w:r w:rsidRPr="001C2D09" w:rsidR="0048249A">
        <w:rPr>
          <w:spacing w:val="-3"/>
          <w:sz w:val="22"/>
          <w:szCs w:val="22"/>
          <w:shd w:val="clear" w:color="auto" w:fill="FFFFFF"/>
        </w:rPr>
        <w:tab/>
      </w:r>
      <w:r w:rsidRPr="001C2D09" w:rsidR="00DB45E8">
        <w:rPr>
          <w:i/>
          <w:iCs/>
          <w:spacing w:val="-3"/>
          <w:sz w:val="22"/>
          <w:szCs w:val="22"/>
          <w:shd w:val="clear" w:color="auto" w:fill="FFFFFF"/>
        </w:rPr>
        <w:t>Efforts to identify duplication</w:t>
      </w:r>
      <w:r w:rsidRPr="001C2D09" w:rsidR="00DB45E8">
        <w:rPr>
          <w:spacing w:val="-3"/>
          <w:sz w:val="22"/>
          <w:szCs w:val="22"/>
          <w:shd w:val="clear" w:color="auto" w:fill="FFFFFF"/>
        </w:rPr>
        <w:t xml:space="preserve">.  </w:t>
      </w:r>
      <w:r w:rsidRPr="001C2D09" w:rsidR="0049623E">
        <w:rPr>
          <w:spacing w:val="-3"/>
          <w:sz w:val="22"/>
          <w:szCs w:val="22"/>
          <w:shd w:val="clear" w:color="auto" w:fill="FFFFFF"/>
        </w:rPr>
        <w:t>For each of these requirements, the information to be collected is unique to each provider, and t</w:t>
      </w:r>
      <w:r w:rsidRPr="001C2D09" w:rsidR="00781224">
        <w:rPr>
          <w:spacing w:val="-3"/>
          <w:sz w:val="22"/>
          <w:szCs w:val="22"/>
          <w:shd w:val="clear" w:color="auto" w:fill="FFFFFF"/>
        </w:rPr>
        <w:t xml:space="preserve">here are no similar collection requirements.  </w:t>
      </w:r>
    </w:p>
    <w:p w:rsidR="00005848" w:rsidRPr="001C2D09" w:rsidP="0077092A" w14:paraId="183BC3CA" w14:textId="77777777">
      <w:pPr>
        <w:rPr>
          <w:spacing w:val="-3"/>
          <w:sz w:val="22"/>
          <w:szCs w:val="22"/>
          <w:shd w:val="clear" w:color="auto" w:fill="FFFFFF"/>
        </w:rPr>
      </w:pPr>
    </w:p>
    <w:p w:rsidR="00005848" w:rsidRPr="001C2D09" w:rsidP="0077092A" w14:paraId="47D2DFBE" w14:textId="5FCBB6C1">
      <w:pPr>
        <w:rPr>
          <w:spacing w:val="-3"/>
          <w:sz w:val="22"/>
          <w:szCs w:val="22"/>
          <w:shd w:val="clear" w:color="auto" w:fill="FFFFFF"/>
        </w:rPr>
      </w:pPr>
      <w:r w:rsidRPr="001C2D09">
        <w:rPr>
          <w:spacing w:val="-3"/>
          <w:sz w:val="22"/>
          <w:szCs w:val="22"/>
          <w:shd w:val="clear" w:color="auto" w:fill="FFFFFF"/>
        </w:rPr>
        <w:t>5.</w:t>
      </w:r>
      <w:r w:rsidRPr="001C2D09">
        <w:rPr>
          <w:spacing w:val="-3"/>
          <w:sz w:val="22"/>
          <w:szCs w:val="22"/>
          <w:shd w:val="clear" w:color="auto" w:fill="FFFFFF"/>
        </w:rPr>
        <w:tab/>
      </w:r>
      <w:r w:rsidRPr="522AA3A9" w:rsidR="00DB45E8">
        <w:rPr>
          <w:i/>
          <w:iCs/>
          <w:spacing w:val="-3"/>
          <w:sz w:val="22"/>
          <w:szCs w:val="22"/>
          <w:shd w:val="clear" w:color="auto" w:fill="FFFFFF"/>
        </w:rPr>
        <w:t>Impact on small entities</w:t>
      </w:r>
      <w:r w:rsidRPr="001C2D09" w:rsidR="00DB45E8">
        <w:rPr>
          <w:spacing w:val="-3"/>
          <w:sz w:val="22"/>
          <w:szCs w:val="22"/>
          <w:shd w:val="clear" w:color="auto" w:fill="FFFFFF"/>
        </w:rPr>
        <w:t xml:space="preserve">.  </w:t>
      </w:r>
      <w:r w:rsidRPr="001C2D09">
        <w:rPr>
          <w:spacing w:val="-3"/>
          <w:sz w:val="22"/>
          <w:szCs w:val="22"/>
          <w:shd w:val="clear" w:color="auto" w:fill="FFFFFF"/>
        </w:rPr>
        <w:t xml:space="preserve">The collection of information will affect all </w:t>
      </w:r>
      <w:r w:rsidRPr="001C2D09" w:rsidR="00781224">
        <w:rPr>
          <w:spacing w:val="-3"/>
          <w:sz w:val="22"/>
          <w:szCs w:val="22"/>
          <w:shd w:val="clear" w:color="auto" w:fill="FFFFFF"/>
        </w:rPr>
        <w:t xml:space="preserve">providers of </w:t>
      </w:r>
      <w:r w:rsidRPr="001C2D09">
        <w:rPr>
          <w:spacing w:val="-3"/>
          <w:sz w:val="22"/>
          <w:szCs w:val="22"/>
          <w:shd w:val="clear" w:color="auto" w:fill="FFFFFF"/>
        </w:rPr>
        <w:t>telecommunications</w:t>
      </w:r>
      <w:r w:rsidRPr="001C2D09" w:rsidR="00781224">
        <w:rPr>
          <w:spacing w:val="-3"/>
          <w:sz w:val="22"/>
          <w:szCs w:val="22"/>
          <w:shd w:val="clear" w:color="auto" w:fill="FFFFFF"/>
        </w:rPr>
        <w:t xml:space="preserve">, </w:t>
      </w:r>
      <w:r w:rsidRPr="001C2D09" w:rsidR="00F307F8">
        <w:rPr>
          <w:spacing w:val="-3"/>
          <w:sz w:val="22"/>
          <w:szCs w:val="22"/>
          <w:shd w:val="clear" w:color="auto" w:fill="FFFFFF"/>
        </w:rPr>
        <w:t>interconnected VoIP</w:t>
      </w:r>
      <w:r w:rsidRPr="001C2D09" w:rsidR="00781224">
        <w:rPr>
          <w:spacing w:val="-3"/>
          <w:sz w:val="22"/>
          <w:szCs w:val="22"/>
          <w:shd w:val="clear" w:color="auto" w:fill="FFFFFF"/>
        </w:rPr>
        <w:t>, and TRS</w:t>
      </w:r>
      <w:r w:rsidRPr="001C2D09" w:rsidR="00B5707C">
        <w:rPr>
          <w:spacing w:val="-3"/>
          <w:sz w:val="22"/>
          <w:szCs w:val="22"/>
          <w:shd w:val="clear" w:color="auto" w:fill="FFFFFF"/>
        </w:rPr>
        <w:t>, some of which may be “</w:t>
      </w:r>
      <w:r w:rsidRPr="001C2D09">
        <w:rPr>
          <w:spacing w:val="-3"/>
          <w:sz w:val="22"/>
          <w:szCs w:val="22"/>
          <w:shd w:val="clear" w:color="auto" w:fill="FFFFFF"/>
        </w:rPr>
        <w:t>small entities</w:t>
      </w:r>
      <w:r w:rsidRPr="001C2D09" w:rsidR="00B5707C">
        <w:rPr>
          <w:spacing w:val="-3"/>
          <w:sz w:val="22"/>
          <w:szCs w:val="22"/>
          <w:shd w:val="clear" w:color="auto" w:fill="FFFFFF"/>
        </w:rPr>
        <w:t>”</w:t>
      </w:r>
      <w:r w:rsidRPr="001C2D09">
        <w:rPr>
          <w:spacing w:val="-3"/>
          <w:sz w:val="22"/>
          <w:szCs w:val="22"/>
          <w:shd w:val="clear" w:color="auto" w:fill="FFFFFF"/>
        </w:rPr>
        <w:t xml:space="preserve"> within the meaning of the Small Business Act, 5 U.S.C. </w:t>
      </w:r>
      <w:r w:rsidRPr="001C2D09" w:rsidR="008862B9">
        <w:rPr>
          <w:spacing w:val="-3"/>
          <w:sz w:val="22"/>
          <w:szCs w:val="22"/>
          <w:shd w:val="clear" w:color="auto" w:fill="FFFFFF"/>
        </w:rPr>
        <w:t>§ </w:t>
      </w:r>
      <w:r w:rsidRPr="001C2D09">
        <w:rPr>
          <w:spacing w:val="-3"/>
          <w:sz w:val="22"/>
          <w:szCs w:val="22"/>
          <w:shd w:val="clear" w:color="auto" w:fill="FFFFFF"/>
        </w:rPr>
        <w:t xml:space="preserve">601(6). </w:t>
      </w:r>
      <w:r w:rsidRPr="001C2D09" w:rsidR="0098414F">
        <w:rPr>
          <w:spacing w:val="-3"/>
          <w:sz w:val="22"/>
          <w:szCs w:val="22"/>
          <w:shd w:val="clear" w:color="auto" w:fill="FFFFFF"/>
        </w:rPr>
        <w:t xml:space="preserve"> </w:t>
      </w:r>
      <w:r w:rsidRPr="001C2D09" w:rsidR="00F307F8">
        <w:rPr>
          <w:spacing w:val="-3"/>
          <w:sz w:val="22"/>
          <w:szCs w:val="22"/>
          <w:shd w:val="clear" w:color="auto" w:fill="FFFFFF"/>
        </w:rPr>
        <w:t xml:space="preserve">Because small entities may need additional time to implement the online carrier authentication requirements of the </w:t>
      </w:r>
      <w:r w:rsidRPr="522AA3A9" w:rsidR="00672169">
        <w:rPr>
          <w:i/>
          <w:iCs/>
          <w:spacing w:val="-3"/>
          <w:sz w:val="22"/>
          <w:szCs w:val="22"/>
          <w:shd w:val="clear" w:color="auto" w:fill="FFFFFF"/>
        </w:rPr>
        <w:t>2007 CPNI Order</w:t>
      </w:r>
      <w:r w:rsidRPr="522AA3A9" w:rsidR="002932A7">
        <w:rPr>
          <w:spacing w:val="-3"/>
          <w:sz w:val="22"/>
          <w:szCs w:val="22"/>
          <w:shd w:val="clear" w:color="auto" w:fill="FFFFFF"/>
        </w:rPr>
        <w:t xml:space="preserve"> (FCC 07-22)</w:t>
      </w:r>
      <w:r w:rsidRPr="001C2D09" w:rsidR="00F307F8">
        <w:rPr>
          <w:spacing w:val="-3"/>
          <w:sz w:val="22"/>
          <w:szCs w:val="22"/>
          <w:shd w:val="clear" w:color="auto" w:fill="FFFFFF"/>
        </w:rPr>
        <w:t>, the Commission provide</w:t>
      </w:r>
      <w:r w:rsidRPr="001C2D09" w:rsidR="00B5707C">
        <w:rPr>
          <w:spacing w:val="-3"/>
          <w:sz w:val="22"/>
          <w:szCs w:val="22"/>
          <w:shd w:val="clear" w:color="auto" w:fill="FFFFFF"/>
        </w:rPr>
        <w:t>d</w:t>
      </w:r>
      <w:r w:rsidRPr="001C2D09" w:rsidR="00F307F8">
        <w:rPr>
          <w:spacing w:val="-3"/>
          <w:sz w:val="22"/>
          <w:szCs w:val="22"/>
          <w:shd w:val="clear" w:color="auto" w:fill="FFFFFF"/>
        </w:rPr>
        <w:t xml:space="preserve"> an additional six</w:t>
      </w:r>
      <w:r w:rsidRPr="001C2D09" w:rsidR="00DA463B">
        <w:rPr>
          <w:spacing w:val="-3"/>
          <w:sz w:val="22"/>
          <w:szCs w:val="22"/>
          <w:shd w:val="clear" w:color="auto" w:fill="FFFFFF"/>
        </w:rPr>
        <w:t>-</w:t>
      </w:r>
      <w:r w:rsidRPr="001C2D09" w:rsidR="00F307F8">
        <w:rPr>
          <w:spacing w:val="-3"/>
          <w:sz w:val="22"/>
          <w:szCs w:val="22"/>
          <w:shd w:val="clear" w:color="auto" w:fill="FFFFFF"/>
        </w:rPr>
        <w:t>month implementation period for these entities.</w:t>
      </w:r>
      <w:r w:rsidRPr="001C2D09" w:rsidR="00A619C7">
        <w:rPr>
          <w:spacing w:val="-3"/>
          <w:sz w:val="22"/>
          <w:szCs w:val="22"/>
          <w:shd w:val="clear" w:color="auto" w:fill="FFFFFF"/>
        </w:rPr>
        <w:t xml:space="preserve"> </w:t>
      </w:r>
      <w:r w:rsidRPr="001C2D09" w:rsidR="00F307F8">
        <w:rPr>
          <w:spacing w:val="-3"/>
          <w:sz w:val="22"/>
          <w:szCs w:val="22"/>
          <w:shd w:val="clear" w:color="auto" w:fill="FFFFFF"/>
        </w:rPr>
        <w:t xml:space="preserve"> </w:t>
      </w:r>
      <w:r w:rsidRPr="001C2D09" w:rsidR="00643C58">
        <w:rPr>
          <w:spacing w:val="-3"/>
          <w:sz w:val="22"/>
          <w:szCs w:val="22"/>
          <w:shd w:val="clear" w:color="auto" w:fill="FFFFFF"/>
        </w:rPr>
        <w:t>T</w:t>
      </w:r>
      <w:r w:rsidRPr="001C2D09" w:rsidR="00921070">
        <w:rPr>
          <w:spacing w:val="-3"/>
          <w:sz w:val="22"/>
          <w:szCs w:val="22"/>
          <w:shd w:val="clear" w:color="auto" w:fill="FFFFFF"/>
        </w:rPr>
        <w:t xml:space="preserve">he </w:t>
      </w:r>
      <w:r w:rsidRPr="522AA3A9" w:rsidR="00921070">
        <w:rPr>
          <w:i/>
          <w:iCs/>
          <w:spacing w:val="-3"/>
          <w:sz w:val="22"/>
          <w:szCs w:val="22"/>
          <w:shd w:val="clear" w:color="auto" w:fill="FFFFFF"/>
        </w:rPr>
        <w:t>SIM Swap</w:t>
      </w:r>
      <w:r w:rsidRPr="522AA3A9" w:rsidR="00941CC3">
        <w:rPr>
          <w:i/>
          <w:iCs/>
          <w:spacing w:val="-3"/>
          <w:sz w:val="22"/>
          <w:szCs w:val="22"/>
          <w:shd w:val="clear" w:color="auto" w:fill="FFFFFF"/>
        </w:rPr>
        <w:t xml:space="preserve"> and Port-Out Fraud Order</w:t>
      </w:r>
      <w:r w:rsidRPr="001C2D09" w:rsidR="00941CC3">
        <w:rPr>
          <w:spacing w:val="-3"/>
          <w:sz w:val="22"/>
          <w:szCs w:val="22"/>
          <w:shd w:val="clear" w:color="auto" w:fill="FFFFFF"/>
        </w:rPr>
        <w:t xml:space="preserve"> (FCC 23-95) </w:t>
      </w:r>
      <w:r w:rsidRPr="001C2D09" w:rsidR="00F62CF0">
        <w:rPr>
          <w:spacing w:val="-3"/>
          <w:sz w:val="22"/>
          <w:szCs w:val="22"/>
          <w:shd w:val="clear" w:color="auto" w:fill="FFFFFF"/>
        </w:rPr>
        <w:t xml:space="preserve">requires </w:t>
      </w:r>
      <w:r w:rsidRPr="001C2D09" w:rsidR="00432EAF">
        <w:rPr>
          <w:spacing w:val="-3"/>
          <w:sz w:val="22"/>
          <w:szCs w:val="22"/>
          <w:shd w:val="clear" w:color="auto" w:fill="FFFFFF"/>
        </w:rPr>
        <w:t>CMRS</w:t>
      </w:r>
      <w:r w:rsidRPr="001C2D09" w:rsidR="00F62CF0">
        <w:rPr>
          <w:spacing w:val="-3"/>
          <w:sz w:val="22"/>
          <w:szCs w:val="22"/>
          <w:shd w:val="clear" w:color="auto" w:fill="FFFFFF"/>
        </w:rPr>
        <w:t xml:space="preserve"> providers to comply with the requirements six month</w:t>
      </w:r>
      <w:r w:rsidRPr="001C2D09" w:rsidR="00401E03">
        <w:rPr>
          <w:spacing w:val="-3"/>
          <w:sz w:val="22"/>
          <w:szCs w:val="22"/>
          <w:shd w:val="clear" w:color="auto" w:fill="FFFFFF"/>
        </w:rPr>
        <w:t>s</w:t>
      </w:r>
      <w:r w:rsidRPr="001C2D09" w:rsidR="00F62CF0">
        <w:rPr>
          <w:spacing w:val="-3"/>
          <w:sz w:val="22"/>
          <w:szCs w:val="22"/>
          <w:shd w:val="clear" w:color="auto" w:fill="FFFFFF"/>
        </w:rPr>
        <w:t xml:space="preserve"> after the </w:t>
      </w:r>
      <w:r w:rsidRPr="001C2D09" w:rsidR="007044D9">
        <w:rPr>
          <w:spacing w:val="-3"/>
          <w:sz w:val="22"/>
          <w:szCs w:val="22"/>
          <w:shd w:val="clear" w:color="auto" w:fill="FFFFFF"/>
        </w:rPr>
        <w:t xml:space="preserve">Order’s </w:t>
      </w:r>
      <w:r w:rsidRPr="001C2D09" w:rsidR="00F62CF0">
        <w:rPr>
          <w:spacing w:val="-3"/>
          <w:sz w:val="22"/>
          <w:szCs w:val="22"/>
          <w:shd w:val="clear" w:color="auto" w:fill="FFFFFF"/>
        </w:rPr>
        <w:t>effective dat</w:t>
      </w:r>
      <w:r w:rsidRPr="001C2D09" w:rsidR="007044D9">
        <w:rPr>
          <w:spacing w:val="-3"/>
          <w:sz w:val="22"/>
          <w:szCs w:val="22"/>
          <w:shd w:val="clear" w:color="auto" w:fill="FFFFFF"/>
        </w:rPr>
        <w:t xml:space="preserve">e, or </w:t>
      </w:r>
      <w:r w:rsidRPr="001C2D09" w:rsidR="004D041A">
        <w:rPr>
          <w:spacing w:val="-3"/>
          <w:sz w:val="22"/>
          <w:szCs w:val="22"/>
          <w:shd w:val="clear" w:color="auto" w:fill="FFFFFF"/>
        </w:rPr>
        <w:t xml:space="preserve">upon completion of </w:t>
      </w:r>
      <w:r w:rsidRPr="001C2D09" w:rsidR="007044D9">
        <w:rPr>
          <w:spacing w:val="-3"/>
          <w:sz w:val="22"/>
          <w:szCs w:val="22"/>
          <w:shd w:val="clear" w:color="auto" w:fill="FFFFFF"/>
        </w:rPr>
        <w:t>OMB</w:t>
      </w:r>
      <w:r w:rsidRPr="001C2D09" w:rsidR="00626760">
        <w:rPr>
          <w:spacing w:val="-3"/>
          <w:sz w:val="22"/>
          <w:szCs w:val="22"/>
          <w:shd w:val="clear" w:color="auto" w:fill="FFFFFF"/>
        </w:rPr>
        <w:t xml:space="preserve"> </w:t>
      </w:r>
      <w:r w:rsidRPr="001C2D09" w:rsidR="00401E03">
        <w:rPr>
          <w:spacing w:val="-3"/>
          <w:sz w:val="22"/>
          <w:szCs w:val="22"/>
          <w:shd w:val="clear" w:color="auto" w:fill="FFFFFF"/>
        </w:rPr>
        <w:t>review</w:t>
      </w:r>
      <w:r w:rsidRPr="001C2D09" w:rsidR="00626760">
        <w:rPr>
          <w:spacing w:val="-3"/>
          <w:sz w:val="22"/>
          <w:szCs w:val="22"/>
          <w:shd w:val="clear" w:color="auto" w:fill="FFFFFF"/>
        </w:rPr>
        <w:t>, which</w:t>
      </w:r>
      <w:r w:rsidRPr="001C2D09" w:rsidR="004D041A">
        <w:rPr>
          <w:spacing w:val="-3"/>
          <w:sz w:val="22"/>
          <w:szCs w:val="22"/>
          <w:shd w:val="clear" w:color="auto" w:fill="FFFFFF"/>
        </w:rPr>
        <w:t>ever is later</w:t>
      </w:r>
      <w:r w:rsidRPr="001C2D09" w:rsidR="00BF4D30">
        <w:rPr>
          <w:spacing w:val="-3"/>
          <w:sz w:val="22"/>
          <w:szCs w:val="22"/>
          <w:shd w:val="clear" w:color="auto" w:fill="FFFFFF"/>
        </w:rPr>
        <w:t>.  Providing such time to achieve</w:t>
      </w:r>
      <w:r w:rsidRPr="001C2D09" w:rsidR="001861EE">
        <w:rPr>
          <w:spacing w:val="-3"/>
          <w:sz w:val="22"/>
          <w:szCs w:val="22"/>
          <w:shd w:val="clear" w:color="auto" w:fill="FFFFFF"/>
        </w:rPr>
        <w:t xml:space="preserve"> compliance accounts for the urgency of safeguarding customers from the fraudulent schemes</w:t>
      </w:r>
      <w:r w:rsidR="00450100">
        <w:rPr>
          <w:spacing w:val="-3"/>
          <w:sz w:val="22"/>
          <w:szCs w:val="22"/>
          <w:shd w:val="clear" w:color="auto" w:fill="FFFFFF"/>
        </w:rPr>
        <w:t xml:space="preserve"> and</w:t>
      </w:r>
      <w:r w:rsidRPr="001C2D09" w:rsidR="008B4811">
        <w:rPr>
          <w:spacing w:val="-3"/>
          <w:sz w:val="22"/>
          <w:szCs w:val="22"/>
          <w:shd w:val="clear" w:color="auto" w:fill="FFFFFF"/>
        </w:rPr>
        <w:t xml:space="preserve"> </w:t>
      </w:r>
      <w:r w:rsidRPr="522AA3A9">
        <w:rPr>
          <w:sz w:val="22"/>
          <w:szCs w:val="22"/>
        </w:rPr>
        <w:t>will</w:t>
      </w:r>
      <w:r w:rsidRPr="001C2D09" w:rsidR="008B4811">
        <w:rPr>
          <w:spacing w:val="-3"/>
          <w:sz w:val="22"/>
          <w:szCs w:val="22"/>
          <w:shd w:val="clear" w:color="auto" w:fill="FFFFFF"/>
        </w:rPr>
        <w:t xml:space="preserve"> allow wireless providers to coordinate any updates needed to their systems and processes to comply with the S</w:t>
      </w:r>
      <w:r w:rsidRPr="001C2D09" w:rsidR="00470127">
        <w:rPr>
          <w:spacing w:val="-3"/>
          <w:sz w:val="22"/>
          <w:szCs w:val="22"/>
          <w:shd w:val="clear" w:color="auto" w:fill="FFFFFF"/>
        </w:rPr>
        <w:t xml:space="preserve">afe </w:t>
      </w:r>
      <w:r w:rsidRPr="001C2D09" w:rsidR="008B4811">
        <w:rPr>
          <w:spacing w:val="-3"/>
          <w:sz w:val="22"/>
          <w:szCs w:val="22"/>
          <w:shd w:val="clear" w:color="auto" w:fill="FFFFFF"/>
        </w:rPr>
        <w:t>C</w:t>
      </w:r>
      <w:r w:rsidRPr="001C2D09" w:rsidR="00470127">
        <w:rPr>
          <w:spacing w:val="-3"/>
          <w:sz w:val="22"/>
          <w:szCs w:val="22"/>
          <w:shd w:val="clear" w:color="auto" w:fill="FFFFFF"/>
        </w:rPr>
        <w:t xml:space="preserve">onnections </w:t>
      </w:r>
      <w:r w:rsidRPr="001C2D09" w:rsidR="008B4811">
        <w:rPr>
          <w:spacing w:val="-3"/>
          <w:sz w:val="22"/>
          <w:szCs w:val="22"/>
          <w:shd w:val="clear" w:color="auto" w:fill="FFFFFF"/>
        </w:rPr>
        <w:t>A</w:t>
      </w:r>
      <w:r w:rsidRPr="001C2D09" w:rsidR="00470127">
        <w:rPr>
          <w:spacing w:val="-3"/>
          <w:sz w:val="22"/>
          <w:szCs w:val="22"/>
          <w:shd w:val="clear" w:color="auto" w:fill="FFFFFF"/>
        </w:rPr>
        <w:t>ct</w:t>
      </w:r>
      <w:r w:rsidRPr="001C2D09" w:rsidR="008B4811">
        <w:rPr>
          <w:spacing w:val="-3"/>
          <w:sz w:val="22"/>
          <w:szCs w:val="22"/>
          <w:shd w:val="clear" w:color="auto" w:fill="FFFFFF"/>
        </w:rPr>
        <w:t xml:space="preserve"> an</w:t>
      </w:r>
      <w:r w:rsidRPr="001C2D09" w:rsidR="0098470E">
        <w:rPr>
          <w:spacing w:val="-3"/>
          <w:sz w:val="22"/>
          <w:szCs w:val="22"/>
          <w:shd w:val="clear" w:color="auto" w:fill="FFFFFF"/>
        </w:rPr>
        <w:t>d rules adopted to implement the statute.</w:t>
      </w:r>
      <w:r w:rsidRPr="001C2D09" w:rsidR="007044D9">
        <w:rPr>
          <w:spacing w:val="-3"/>
          <w:sz w:val="22"/>
          <w:szCs w:val="22"/>
          <w:shd w:val="clear" w:color="auto" w:fill="FFFFFF"/>
        </w:rPr>
        <w:t xml:space="preserve"> </w:t>
      </w:r>
      <w:r w:rsidRPr="001C2D09" w:rsidR="00941CC3">
        <w:rPr>
          <w:spacing w:val="-3"/>
          <w:sz w:val="22"/>
          <w:szCs w:val="22"/>
          <w:shd w:val="clear" w:color="auto" w:fill="FFFFFF"/>
        </w:rPr>
        <w:t xml:space="preserve"> </w:t>
      </w:r>
      <w:r w:rsidRPr="001C2D09">
        <w:rPr>
          <w:spacing w:val="-3"/>
          <w:sz w:val="22"/>
          <w:szCs w:val="22"/>
          <w:shd w:val="clear" w:color="auto" w:fill="FFFFFF"/>
        </w:rPr>
        <w:tab/>
      </w:r>
    </w:p>
    <w:p w:rsidR="00005848" w:rsidRPr="001C2D09" w:rsidP="0077092A" w14:paraId="7FDE612C" w14:textId="77777777">
      <w:pPr>
        <w:rPr>
          <w:spacing w:val="-3"/>
          <w:sz w:val="22"/>
          <w:szCs w:val="22"/>
          <w:shd w:val="clear" w:color="auto" w:fill="FFFFFF"/>
        </w:rPr>
      </w:pPr>
    </w:p>
    <w:p w:rsidR="00005848" w:rsidRPr="001C2D09" w:rsidP="0077092A" w14:paraId="1142DD6F" w14:textId="2C29BBEF">
      <w:pPr>
        <w:rPr>
          <w:spacing w:val="-3"/>
          <w:sz w:val="22"/>
          <w:szCs w:val="22"/>
          <w:shd w:val="clear" w:color="auto" w:fill="FFFFFF"/>
        </w:rPr>
      </w:pPr>
      <w:r w:rsidRPr="001C2D09">
        <w:rPr>
          <w:spacing w:val="-3"/>
          <w:sz w:val="22"/>
          <w:szCs w:val="22"/>
          <w:shd w:val="clear" w:color="auto" w:fill="FFFFFF"/>
        </w:rPr>
        <w:t>6.</w:t>
      </w:r>
      <w:r w:rsidRPr="001C2D09">
        <w:rPr>
          <w:spacing w:val="-3"/>
          <w:sz w:val="22"/>
          <w:szCs w:val="22"/>
          <w:shd w:val="clear" w:color="auto" w:fill="FFFFFF"/>
        </w:rPr>
        <w:tab/>
      </w:r>
      <w:r w:rsidRPr="001C2D09" w:rsidR="00562FB2">
        <w:rPr>
          <w:i/>
          <w:iCs/>
          <w:spacing w:val="-3"/>
          <w:sz w:val="22"/>
          <w:szCs w:val="22"/>
          <w:shd w:val="clear" w:color="auto" w:fill="FFFFFF"/>
        </w:rPr>
        <w:t xml:space="preserve">Consequences if </w:t>
      </w:r>
      <w:r w:rsidRPr="001C2D09" w:rsidR="00B34485">
        <w:rPr>
          <w:i/>
          <w:iCs/>
          <w:spacing w:val="-3"/>
          <w:sz w:val="22"/>
          <w:szCs w:val="22"/>
          <w:shd w:val="clear" w:color="auto" w:fill="FFFFFF"/>
        </w:rPr>
        <w:t xml:space="preserve">the </w:t>
      </w:r>
      <w:r w:rsidRPr="001C2D09" w:rsidR="00562FB2">
        <w:rPr>
          <w:i/>
          <w:iCs/>
          <w:spacing w:val="-3"/>
          <w:sz w:val="22"/>
          <w:szCs w:val="22"/>
          <w:shd w:val="clear" w:color="auto" w:fill="FFFFFF"/>
        </w:rPr>
        <w:t>information is not collected</w:t>
      </w:r>
      <w:r w:rsidRPr="001C2D09" w:rsidR="00562FB2">
        <w:rPr>
          <w:spacing w:val="-3"/>
          <w:sz w:val="22"/>
          <w:szCs w:val="22"/>
          <w:shd w:val="clear" w:color="auto" w:fill="FFFFFF"/>
        </w:rPr>
        <w:t xml:space="preserve">.  </w:t>
      </w:r>
      <w:r w:rsidRPr="001C2D09">
        <w:rPr>
          <w:spacing w:val="-3"/>
          <w:sz w:val="22"/>
          <w:szCs w:val="22"/>
          <w:shd w:val="clear" w:color="auto" w:fill="FFFFFF"/>
        </w:rPr>
        <w:t xml:space="preserve">Failing to collect the information, or collecting it less frequently, would violate the language and/or intent of the Act. </w:t>
      </w:r>
    </w:p>
    <w:p w:rsidR="00005848" w:rsidRPr="001C2D09" w:rsidP="0077092A" w14:paraId="4D3595F5" w14:textId="77777777">
      <w:pPr>
        <w:rPr>
          <w:spacing w:val="-3"/>
          <w:sz w:val="22"/>
          <w:szCs w:val="22"/>
          <w:shd w:val="clear" w:color="auto" w:fill="FFFFFF"/>
        </w:rPr>
      </w:pPr>
    </w:p>
    <w:p w:rsidR="00005848" w:rsidRPr="001C2D09" w:rsidP="0077092A" w14:paraId="1BC6BF68" w14:textId="36B375D7">
      <w:pPr>
        <w:rPr>
          <w:spacing w:val="-3"/>
          <w:sz w:val="22"/>
          <w:szCs w:val="22"/>
          <w:shd w:val="clear" w:color="auto" w:fill="FFFFFF"/>
        </w:rPr>
      </w:pPr>
      <w:r w:rsidRPr="001C2D09">
        <w:rPr>
          <w:spacing w:val="-3"/>
          <w:sz w:val="22"/>
          <w:szCs w:val="22"/>
          <w:shd w:val="clear" w:color="auto" w:fill="FFFFFF"/>
        </w:rPr>
        <w:t>7.</w:t>
      </w:r>
      <w:r w:rsidRPr="001C2D09">
        <w:rPr>
          <w:spacing w:val="-3"/>
          <w:sz w:val="22"/>
          <w:szCs w:val="22"/>
          <w:shd w:val="clear" w:color="auto" w:fill="FFFFFF"/>
        </w:rPr>
        <w:tab/>
      </w:r>
      <w:r w:rsidRPr="001C2D09" w:rsidR="00562FB2">
        <w:rPr>
          <w:i/>
          <w:iCs/>
          <w:spacing w:val="-3"/>
          <w:sz w:val="22"/>
          <w:szCs w:val="22"/>
          <w:shd w:val="clear" w:color="auto" w:fill="FFFFFF"/>
        </w:rPr>
        <w:t>Special circumstances</w:t>
      </w:r>
      <w:r w:rsidRPr="001C2D09" w:rsidR="00562FB2">
        <w:rPr>
          <w:spacing w:val="-3"/>
          <w:sz w:val="22"/>
          <w:szCs w:val="22"/>
          <w:shd w:val="clear" w:color="auto" w:fill="FFFFFF"/>
        </w:rPr>
        <w:t>.</w:t>
      </w:r>
      <w:r w:rsidRPr="001C2D09" w:rsidR="00562FB2">
        <w:rPr>
          <w:b/>
          <w:bCs/>
          <w:spacing w:val="-3"/>
          <w:sz w:val="22"/>
          <w:szCs w:val="22"/>
          <w:shd w:val="clear" w:color="auto" w:fill="FFFFFF"/>
        </w:rPr>
        <w:t xml:space="preserve"> </w:t>
      </w:r>
      <w:r w:rsidRPr="001C2D09" w:rsidR="00562FB2">
        <w:rPr>
          <w:spacing w:val="-3"/>
          <w:sz w:val="22"/>
          <w:szCs w:val="22"/>
          <w:shd w:val="clear" w:color="auto" w:fill="FFFFFF"/>
        </w:rPr>
        <w:t xml:space="preserve"> </w:t>
      </w:r>
      <w:r w:rsidRPr="001C2D09" w:rsidR="00F307F8">
        <w:rPr>
          <w:spacing w:val="-3"/>
          <w:sz w:val="22"/>
          <w:szCs w:val="22"/>
          <w:shd w:val="clear" w:color="auto" w:fill="FFFFFF"/>
        </w:rPr>
        <w:t>The only</w:t>
      </w:r>
      <w:r w:rsidRPr="001C2D09">
        <w:rPr>
          <w:spacing w:val="-3"/>
          <w:sz w:val="22"/>
          <w:szCs w:val="22"/>
          <w:shd w:val="clear" w:color="auto" w:fill="FFFFFF"/>
        </w:rPr>
        <w:t xml:space="preserve"> special circumstance</w:t>
      </w:r>
      <w:r w:rsidRPr="001C2D09" w:rsidR="002932A7">
        <w:rPr>
          <w:spacing w:val="-3"/>
          <w:sz w:val="22"/>
          <w:szCs w:val="22"/>
          <w:shd w:val="clear" w:color="auto" w:fill="FFFFFF"/>
        </w:rPr>
        <w:t xml:space="preserve"> that would require a </w:t>
      </w:r>
      <w:r w:rsidRPr="001C2D09" w:rsidR="00F307F8">
        <w:rPr>
          <w:spacing w:val="-3"/>
          <w:sz w:val="22"/>
          <w:szCs w:val="22"/>
          <w:shd w:val="clear" w:color="auto" w:fill="FFFFFF"/>
        </w:rPr>
        <w:t>provider to report information more than quarterly i</w:t>
      </w:r>
      <w:r w:rsidRPr="001C2D09" w:rsidR="002932A7">
        <w:rPr>
          <w:spacing w:val="-3"/>
          <w:sz w:val="22"/>
          <w:szCs w:val="22"/>
          <w:shd w:val="clear" w:color="auto" w:fill="FFFFFF"/>
        </w:rPr>
        <w:t xml:space="preserve">s the requirement that </w:t>
      </w:r>
      <w:r w:rsidRPr="001C2D09" w:rsidR="00F307F8">
        <w:rPr>
          <w:spacing w:val="-3"/>
          <w:sz w:val="22"/>
          <w:szCs w:val="22"/>
          <w:shd w:val="clear" w:color="auto" w:fill="FFFFFF"/>
        </w:rPr>
        <w:t>providers notify law enforcement and customers in the event of a breach</w:t>
      </w:r>
      <w:r w:rsidRPr="001C2D09" w:rsidR="00624761">
        <w:rPr>
          <w:spacing w:val="-3"/>
          <w:sz w:val="22"/>
          <w:szCs w:val="22"/>
          <w:shd w:val="clear" w:color="auto" w:fill="FFFFFF"/>
        </w:rPr>
        <w:t xml:space="preserve"> of customer information</w:t>
      </w:r>
      <w:r w:rsidRPr="001C2D09">
        <w:rPr>
          <w:spacing w:val="-3"/>
          <w:sz w:val="22"/>
          <w:szCs w:val="22"/>
          <w:shd w:val="clear" w:color="auto" w:fill="FFFFFF"/>
        </w:rPr>
        <w:t>.</w:t>
      </w:r>
    </w:p>
    <w:p w:rsidR="00005848" w:rsidRPr="001C2D09" w:rsidP="0077092A" w14:paraId="32A9C5BC" w14:textId="77777777">
      <w:pPr>
        <w:rPr>
          <w:spacing w:val="-3"/>
          <w:sz w:val="22"/>
          <w:szCs w:val="22"/>
          <w:shd w:val="clear" w:color="auto" w:fill="FFFFFF"/>
        </w:rPr>
      </w:pPr>
    </w:p>
    <w:p w:rsidR="00D13974" w:rsidRPr="00DB4BFE" w:rsidP="007B2482" w14:paraId="5B621960" w14:textId="1E6058DA">
      <w:pPr>
        <w:rPr>
          <w:sz w:val="22"/>
          <w:szCs w:val="22"/>
        </w:rPr>
      </w:pPr>
      <w:r w:rsidRPr="001C2D09">
        <w:rPr>
          <w:spacing w:val="-3"/>
          <w:sz w:val="22"/>
          <w:szCs w:val="22"/>
          <w:shd w:val="clear" w:color="auto" w:fill="FFFFFF"/>
        </w:rPr>
        <w:t>8.</w:t>
      </w:r>
      <w:r w:rsidRPr="001C2D09">
        <w:rPr>
          <w:spacing w:val="-3"/>
          <w:sz w:val="22"/>
          <w:szCs w:val="22"/>
          <w:shd w:val="clear" w:color="auto" w:fill="FFFFFF"/>
        </w:rPr>
        <w:tab/>
      </w:r>
      <w:r w:rsidRPr="711756CC" w:rsidR="00562FB2">
        <w:rPr>
          <w:i/>
          <w:iCs/>
          <w:spacing w:val="-3"/>
          <w:sz w:val="22"/>
          <w:szCs w:val="22"/>
          <w:shd w:val="clear" w:color="auto" w:fill="FFFFFF"/>
        </w:rPr>
        <w:t>Federal Register notice</w:t>
      </w:r>
      <w:r w:rsidRPr="001C2D09" w:rsidR="00562FB2">
        <w:rPr>
          <w:spacing w:val="-3"/>
          <w:sz w:val="22"/>
          <w:szCs w:val="22"/>
          <w:shd w:val="clear" w:color="auto" w:fill="FFFFFF"/>
        </w:rPr>
        <w:t xml:space="preserve">.  </w:t>
      </w:r>
      <w:r w:rsidRPr="001C2D09" w:rsidR="00632DD7">
        <w:rPr>
          <w:spacing w:val="-3"/>
          <w:sz w:val="22"/>
          <w:szCs w:val="22"/>
          <w:shd w:val="clear" w:color="auto" w:fill="FFFFFF"/>
        </w:rPr>
        <w:t xml:space="preserve">A 60-day notice was published in the Federal Register on </w:t>
      </w:r>
      <w:r w:rsidRPr="711756CC" w:rsidR="00653E64">
        <w:rPr>
          <w:sz w:val="22"/>
          <w:szCs w:val="22"/>
        </w:rPr>
        <w:t>June 25,</w:t>
      </w:r>
      <w:r w:rsidRPr="001C2D09" w:rsidR="00891C61">
        <w:rPr>
          <w:spacing w:val="-3"/>
          <w:sz w:val="22"/>
          <w:szCs w:val="22"/>
          <w:shd w:val="clear" w:color="auto" w:fill="FFFFFF"/>
        </w:rPr>
        <w:t xml:space="preserve"> 2024 (</w:t>
      </w:r>
      <w:r w:rsidRPr="711756CC" w:rsidR="00653E64">
        <w:rPr>
          <w:sz w:val="22"/>
          <w:szCs w:val="22"/>
        </w:rPr>
        <w:t>89</w:t>
      </w:r>
      <w:r w:rsidRPr="001C2D09" w:rsidR="00891C61">
        <w:rPr>
          <w:spacing w:val="-3"/>
          <w:sz w:val="22"/>
          <w:szCs w:val="22"/>
          <w:shd w:val="clear" w:color="auto" w:fill="FFFFFF"/>
        </w:rPr>
        <w:t xml:space="preserve"> FR </w:t>
      </w:r>
      <w:r w:rsidRPr="711756CC" w:rsidR="005A5E1F">
        <w:rPr>
          <w:sz w:val="22"/>
          <w:szCs w:val="22"/>
        </w:rPr>
        <w:t>53079</w:t>
      </w:r>
      <w:r w:rsidRPr="001C2D09" w:rsidR="00891C61">
        <w:rPr>
          <w:spacing w:val="-3"/>
          <w:sz w:val="22"/>
          <w:szCs w:val="22"/>
          <w:shd w:val="clear" w:color="auto" w:fill="FFFFFF"/>
        </w:rPr>
        <w:t xml:space="preserve">.  </w:t>
      </w:r>
      <w:r w:rsidRPr="711756CC" w:rsidR="005A5E1F">
        <w:rPr>
          <w:sz w:val="22"/>
          <w:szCs w:val="22"/>
        </w:rPr>
        <w:t>Three</w:t>
      </w:r>
      <w:r w:rsidRPr="001C2D09" w:rsidR="00DC5C92">
        <w:rPr>
          <w:spacing w:val="-3"/>
          <w:sz w:val="22"/>
          <w:szCs w:val="22"/>
          <w:shd w:val="clear" w:color="auto" w:fill="FFFFFF"/>
        </w:rPr>
        <w:t xml:space="preserve"> comments were received in response to th</w:t>
      </w:r>
      <w:r w:rsidRPr="001C2D09" w:rsidR="006C6B82">
        <w:rPr>
          <w:spacing w:val="-3"/>
          <w:sz w:val="22"/>
          <w:szCs w:val="22"/>
          <w:shd w:val="clear" w:color="auto" w:fill="FFFFFF"/>
        </w:rPr>
        <w:t>e</w:t>
      </w:r>
      <w:r w:rsidRPr="001C2D09" w:rsidR="00DC5C92">
        <w:rPr>
          <w:spacing w:val="-3"/>
          <w:sz w:val="22"/>
          <w:szCs w:val="22"/>
          <w:shd w:val="clear" w:color="auto" w:fill="FFFFFF"/>
        </w:rPr>
        <w:t xml:space="preserve"> </w:t>
      </w:r>
      <w:r w:rsidRPr="001C2D09" w:rsidR="006C6B82">
        <w:rPr>
          <w:spacing w:val="-3"/>
          <w:sz w:val="22"/>
          <w:szCs w:val="22"/>
          <w:shd w:val="clear" w:color="auto" w:fill="FFFFFF"/>
        </w:rPr>
        <w:t xml:space="preserve"> 60-day </w:t>
      </w:r>
      <w:r w:rsidRPr="001C2D09" w:rsidR="00DC5C92">
        <w:rPr>
          <w:spacing w:val="-3"/>
          <w:sz w:val="22"/>
          <w:szCs w:val="22"/>
          <w:shd w:val="clear" w:color="auto" w:fill="FFFFFF"/>
        </w:rPr>
        <w:t>notice</w:t>
      </w:r>
      <w:r w:rsidRPr="711756CC" w:rsidR="005A5E1F">
        <w:rPr>
          <w:sz w:val="22"/>
          <w:szCs w:val="22"/>
        </w:rPr>
        <w:t xml:space="preserve">, from </w:t>
      </w:r>
      <w:r w:rsidRPr="711756CC" w:rsidR="00A05075">
        <w:rPr>
          <w:sz w:val="22"/>
          <w:szCs w:val="22"/>
        </w:rPr>
        <w:t>Competitive Carriers Association (CCA), NCTA – The Internet &amp; Television Association (NCTA)</w:t>
      </w:r>
      <w:r w:rsidRPr="711756CC" w:rsidR="00F1149D">
        <w:rPr>
          <w:sz w:val="22"/>
          <w:szCs w:val="22"/>
        </w:rPr>
        <w:t>, and CTIA</w:t>
      </w:r>
      <w:r w:rsidRPr="001C2D09" w:rsidR="00DC5C92">
        <w:rPr>
          <w:spacing w:val="-3"/>
          <w:sz w:val="22"/>
          <w:szCs w:val="22"/>
          <w:shd w:val="clear" w:color="auto" w:fill="FFFFFF"/>
        </w:rPr>
        <w:t>.</w:t>
      </w:r>
      <w:r w:rsidRPr="711756CC" w:rsidR="004241E8">
        <w:rPr>
          <w:sz w:val="22"/>
          <w:szCs w:val="22"/>
        </w:rPr>
        <w:t xml:space="preserve">  </w:t>
      </w:r>
      <w:r w:rsidRPr="711756CC" w:rsidR="2595623A">
        <w:rPr>
          <w:sz w:val="22"/>
          <w:szCs w:val="22"/>
        </w:rPr>
        <w:t xml:space="preserve">Generally, </w:t>
      </w:r>
      <w:r w:rsidRPr="711756CC" w:rsidR="004241E8">
        <w:rPr>
          <w:sz w:val="22"/>
          <w:szCs w:val="22"/>
        </w:rPr>
        <w:t xml:space="preserve">CCA </w:t>
      </w:r>
      <w:r w:rsidRPr="711756CC" w:rsidR="00710370">
        <w:rPr>
          <w:sz w:val="22"/>
          <w:szCs w:val="22"/>
        </w:rPr>
        <w:t>asserts that the FCC “severely underestimates the burden and time require</w:t>
      </w:r>
      <w:r w:rsidR="00212C7B">
        <w:rPr>
          <w:sz w:val="22"/>
          <w:szCs w:val="22"/>
        </w:rPr>
        <w:t>d</w:t>
      </w:r>
      <w:r w:rsidRPr="711756CC" w:rsidR="00710370">
        <w:rPr>
          <w:sz w:val="22"/>
          <w:szCs w:val="22"/>
        </w:rPr>
        <w:t xml:space="preserve"> to come in to compliance</w:t>
      </w:r>
      <w:r w:rsidRPr="711756CC" w:rsidR="004721F0">
        <w:rPr>
          <w:sz w:val="22"/>
          <w:szCs w:val="22"/>
        </w:rPr>
        <w:t xml:space="preserve">,” and </w:t>
      </w:r>
      <w:r w:rsidRPr="711756CC" w:rsidR="004721F0">
        <w:rPr>
          <w:sz w:val="22"/>
          <w:szCs w:val="22"/>
        </w:rPr>
        <w:t>urges the FCC to revise its cost and burden estimates.</w:t>
      </w:r>
      <w:r>
        <w:rPr>
          <w:rStyle w:val="FootnoteReference"/>
          <w:spacing w:val="-3"/>
          <w:sz w:val="22"/>
          <w:szCs w:val="22"/>
          <w:shd w:val="clear" w:color="auto" w:fill="FFFFFF"/>
        </w:rPr>
        <w:footnoteReference w:id="13"/>
      </w:r>
      <w:r w:rsidRPr="711756CC" w:rsidR="002A24E1">
        <w:rPr>
          <w:sz w:val="22"/>
          <w:szCs w:val="22"/>
        </w:rPr>
        <w:t xml:space="preserve"> </w:t>
      </w:r>
      <w:r w:rsidRPr="711756CC">
        <w:rPr>
          <w:sz w:val="22"/>
          <w:szCs w:val="22"/>
        </w:rPr>
        <w:t xml:space="preserve"> Similarly, NCTA requests that the Commission reassess the burdens of compliance with the new rules, and urges the Commission to reissue the PRA notice with more detailed burden and cost analysis.</w:t>
      </w:r>
      <w:r>
        <w:rPr>
          <w:rStyle w:val="FootnoteReference"/>
          <w:spacing w:val="-3"/>
          <w:sz w:val="22"/>
          <w:szCs w:val="22"/>
          <w:shd w:val="clear" w:color="auto" w:fill="FFFFFF"/>
        </w:rPr>
        <w:footnoteReference w:id="14"/>
      </w:r>
      <w:r w:rsidRPr="711756CC">
        <w:rPr>
          <w:sz w:val="22"/>
          <w:szCs w:val="22"/>
        </w:rPr>
        <w:t xml:space="preserve">  NCTA asserts that the initial 60-day notice did not provide sufficiently detailed burden estimates for each of the requirements.</w:t>
      </w:r>
      <w:r>
        <w:rPr>
          <w:rStyle w:val="FootnoteReference"/>
          <w:spacing w:val="-3"/>
          <w:sz w:val="22"/>
          <w:szCs w:val="22"/>
          <w:shd w:val="clear" w:color="auto" w:fill="FFFFFF"/>
        </w:rPr>
        <w:footnoteReference w:id="15"/>
      </w:r>
      <w:r w:rsidRPr="711756CC">
        <w:rPr>
          <w:sz w:val="22"/>
          <w:szCs w:val="22"/>
        </w:rPr>
        <w:t xml:space="preserve">  NCTA further asserts that providers anticipate that the cost of implementing the rules subject to the PRA “will be between $500,000 and $1 million.”</w:t>
      </w:r>
      <w:r>
        <w:rPr>
          <w:rStyle w:val="FootnoteReference"/>
          <w:spacing w:val="-3"/>
          <w:sz w:val="22"/>
          <w:szCs w:val="22"/>
          <w:shd w:val="clear" w:color="auto" w:fill="FFFFFF"/>
        </w:rPr>
        <w:footnoteReference w:id="16"/>
      </w:r>
      <w:r w:rsidRPr="711756CC">
        <w:rPr>
          <w:sz w:val="22"/>
          <w:szCs w:val="22"/>
        </w:rPr>
        <w:t xml:space="preserve">  Likewise, CTIA raises concerns that the FCC has “underestimated the burdens and costs of the new information collections and urges” the FCC to reissue its PRA Notice with an updated analysis for its burden and cost estimates, which should “either increase the Commission’s estimate, consistent with the record, or explain its rational for the current estimates in the PRA Notice.”</w:t>
      </w:r>
      <w:r>
        <w:rPr>
          <w:rStyle w:val="FootnoteReference"/>
          <w:spacing w:val="-3"/>
          <w:sz w:val="22"/>
          <w:szCs w:val="22"/>
          <w:shd w:val="clear" w:color="auto" w:fill="FFFFFF"/>
        </w:rPr>
        <w:footnoteReference w:id="17"/>
      </w:r>
      <w:r w:rsidRPr="711756CC">
        <w:rPr>
          <w:sz w:val="22"/>
          <w:szCs w:val="22"/>
        </w:rPr>
        <w:t xml:space="preserve">  CTIA raises concerns that the PRA Notice provides aggregate estimates, but does not explain how those totals should be divided among the various information collections under the Order.</w:t>
      </w:r>
      <w:r>
        <w:rPr>
          <w:rStyle w:val="FootnoteReference"/>
          <w:spacing w:val="-3"/>
          <w:sz w:val="22"/>
          <w:szCs w:val="22"/>
          <w:shd w:val="clear" w:color="auto" w:fill="FFFFFF"/>
        </w:rPr>
        <w:footnoteReference w:id="18"/>
      </w:r>
      <w:r w:rsidRPr="711756CC">
        <w:rPr>
          <w:sz w:val="22"/>
          <w:szCs w:val="22"/>
        </w:rPr>
        <w:t xml:space="preserve">  CTIA</w:t>
      </w:r>
      <w:r w:rsidRPr="711756CC" w:rsidR="3A7A6FE4">
        <w:rPr>
          <w:sz w:val="22"/>
          <w:szCs w:val="22"/>
        </w:rPr>
        <w:t xml:space="preserve"> also</w:t>
      </w:r>
      <w:r w:rsidRPr="711756CC">
        <w:rPr>
          <w:sz w:val="22"/>
          <w:szCs w:val="22"/>
        </w:rPr>
        <w:t xml:space="preserve"> asserts that the burdens are too low, and the notice “appears to ignore the burden of </w:t>
      </w:r>
      <w:r w:rsidRPr="711756CC">
        <w:rPr>
          <w:i/>
          <w:iCs/>
          <w:sz w:val="22"/>
          <w:szCs w:val="22"/>
        </w:rPr>
        <w:t xml:space="preserve">initial implementation </w:t>
      </w:r>
      <w:r w:rsidRPr="711756CC">
        <w:rPr>
          <w:sz w:val="22"/>
          <w:szCs w:val="22"/>
        </w:rPr>
        <w:t>of the new information collection requirements.”</w:t>
      </w:r>
      <w:r>
        <w:rPr>
          <w:rStyle w:val="FootnoteReference"/>
          <w:spacing w:val="-3"/>
          <w:sz w:val="22"/>
          <w:szCs w:val="22"/>
          <w:shd w:val="clear" w:color="auto" w:fill="FFFFFF"/>
        </w:rPr>
        <w:footnoteReference w:id="19"/>
      </w:r>
      <w:r w:rsidRPr="711756CC">
        <w:rPr>
          <w:sz w:val="22"/>
          <w:szCs w:val="22"/>
        </w:rPr>
        <w:t xml:space="preserve">  </w:t>
      </w:r>
    </w:p>
    <w:p w:rsidR="00D13974" w:rsidRPr="001C2D09" w:rsidP="00D13974" w14:paraId="5D746D70" w14:textId="77777777">
      <w:pPr>
        <w:ind w:firstLine="720"/>
        <w:rPr>
          <w:spacing w:val="-3"/>
          <w:sz w:val="22"/>
          <w:szCs w:val="22"/>
          <w:shd w:val="clear" w:color="auto" w:fill="FFFFFF"/>
        </w:rPr>
      </w:pPr>
    </w:p>
    <w:p w:rsidR="00D13974" w:rsidRPr="001A6219" w:rsidP="00D13974" w14:paraId="56973B4D" w14:textId="2B8E1E67">
      <w:pPr>
        <w:ind w:firstLine="720"/>
        <w:rPr>
          <w:sz w:val="22"/>
          <w:szCs w:val="22"/>
        </w:rPr>
      </w:pPr>
      <w:r>
        <w:rPr>
          <w:sz w:val="22"/>
          <w:szCs w:val="22"/>
        </w:rPr>
        <w:t>As an initial matter, t</w:t>
      </w:r>
      <w:r w:rsidRPr="522AA3A9">
        <w:rPr>
          <w:sz w:val="22"/>
          <w:szCs w:val="22"/>
        </w:rPr>
        <w:t>he 60-day and 30-day PRA notices published by the Commission comply with the PRA and OMB regulations.  Additionally, this supporting statement provides significant detail broken down by requirement, as CTIA and NCTA request.</w:t>
      </w:r>
      <w:r>
        <w:rPr>
          <w:rStyle w:val="FootnoteReference"/>
          <w:spacing w:val="-3"/>
          <w:sz w:val="22"/>
          <w:szCs w:val="22"/>
          <w:shd w:val="clear" w:color="auto" w:fill="FFFFFF"/>
        </w:rPr>
        <w:footnoteReference w:id="20"/>
      </w:r>
      <w:r w:rsidRPr="001A6219">
        <w:rPr>
          <w:sz w:val="22"/>
          <w:szCs w:val="22"/>
        </w:rPr>
        <w:t xml:space="preserve">  Further, as explained below</w:t>
      </w:r>
      <w:r w:rsidR="00FC027C">
        <w:rPr>
          <w:sz w:val="22"/>
          <w:szCs w:val="22"/>
        </w:rPr>
        <w:t xml:space="preserve"> in paragraph 12</w:t>
      </w:r>
      <w:r w:rsidRPr="001A6219">
        <w:rPr>
          <w:sz w:val="22"/>
          <w:szCs w:val="22"/>
        </w:rPr>
        <w:t>, the burden estimates include front-end time necessary for providers to design, develop, test, and implement procedures to address the new requirements subject to the PRA.  However, to address commenter concerns, we upwardly adjust the burden estimate to account for additional time necessary for these activities, which are specifically associated with initial implementation.</w:t>
      </w:r>
    </w:p>
    <w:p w:rsidR="00D13974" w:rsidP="0077092A" w14:paraId="11BFBA54" w14:textId="77777777">
      <w:pPr>
        <w:rPr>
          <w:sz w:val="22"/>
          <w:szCs w:val="22"/>
        </w:rPr>
      </w:pPr>
    </w:p>
    <w:p w:rsidR="0005663A" w:rsidP="00BE1175" w14:paraId="39DA84CC" w14:textId="77093696">
      <w:pPr>
        <w:ind w:firstLine="720"/>
        <w:rPr>
          <w:sz w:val="22"/>
          <w:szCs w:val="22"/>
        </w:rPr>
      </w:pPr>
      <w:r w:rsidRPr="711756CC">
        <w:rPr>
          <w:sz w:val="22"/>
          <w:szCs w:val="22"/>
        </w:rPr>
        <w:t xml:space="preserve">Commenters </w:t>
      </w:r>
      <w:r w:rsidRPr="711756CC" w:rsidR="00622BE1">
        <w:rPr>
          <w:sz w:val="22"/>
          <w:szCs w:val="22"/>
        </w:rPr>
        <w:t xml:space="preserve">also raise concerns about the burdens associated with specific new requirements.  </w:t>
      </w:r>
      <w:r w:rsidR="00E22E87">
        <w:rPr>
          <w:sz w:val="22"/>
          <w:szCs w:val="22"/>
        </w:rPr>
        <w:t>W</w:t>
      </w:r>
      <w:r w:rsidRPr="711756CC" w:rsidR="00E67D13">
        <w:rPr>
          <w:sz w:val="22"/>
          <w:szCs w:val="22"/>
        </w:rPr>
        <w:t>ith respect to account locking, CCA asserts that some members’ vendors do not have readily accessible solutions and that “expensive unanticipated, and time-intensive software upgrades or customer solutions have been required.”</w:t>
      </w:r>
      <w:r>
        <w:rPr>
          <w:rStyle w:val="FootnoteReference"/>
          <w:spacing w:val="-3"/>
          <w:sz w:val="22"/>
          <w:szCs w:val="22"/>
          <w:shd w:val="clear" w:color="auto" w:fill="FFFFFF"/>
        </w:rPr>
        <w:footnoteReference w:id="21"/>
      </w:r>
      <w:r w:rsidRPr="711756CC" w:rsidR="00E67D13">
        <w:rPr>
          <w:sz w:val="22"/>
          <w:szCs w:val="22"/>
        </w:rPr>
        <w:t xml:space="preserve">  With regard to customer notifications, CCA asserts that implementing the various customer notification requirements will take upwards of 700-800 hours of work at a cost of at least $70,000-$80,000 for vendor services and carrier resources required for implementation.</w:t>
      </w:r>
      <w:r>
        <w:rPr>
          <w:rStyle w:val="FootnoteReference"/>
          <w:spacing w:val="-3"/>
          <w:sz w:val="22"/>
          <w:szCs w:val="22"/>
          <w:shd w:val="clear" w:color="auto" w:fill="FFFFFF"/>
        </w:rPr>
        <w:footnoteReference w:id="22"/>
      </w:r>
      <w:r w:rsidRPr="711756CC" w:rsidR="00E67D13">
        <w:rPr>
          <w:sz w:val="22"/>
          <w:szCs w:val="22"/>
        </w:rPr>
        <w:t xml:space="preserve">  CCA further estimates that achieving compliance with new requirements for account protection measures and procedures to resolve fraudulent SIM swaps or ports will take no less than 3,000-4,000 hours at a cost of between $300,000-$400,000 for vendor services and carrier resources required for implementation.</w:t>
      </w:r>
      <w:r>
        <w:rPr>
          <w:rStyle w:val="FootnoteReference"/>
          <w:spacing w:val="-3"/>
          <w:sz w:val="22"/>
          <w:szCs w:val="22"/>
          <w:shd w:val="clear" w:color="auto" w:fill="FFFFFF"/>
        </w:rPr>
        <w:footnoteReference w:id="23"/>
      </w:r>
      <w:r w:rsidRPr="711756CC" w:rsidR="00E67D13">
        <w:rPr>
          <w:sz w:val="22"/>
          <w:szCs w:val="22"/>
        </w:rPr>
        <w:t xml:space="preserve">  CCA also estimates that compliance with SIM swap recordkeeping requirements will take upwards of 400-650 hours at a cost of between $40,000-$75,000 for vendor services and carrier resources required for implementation.</w:t>
      </w:r>
      <w:r>
        <w:rPr>
          <w:rStyle w:val="FootnoteReference"/>
          <w:spacing w:val="-3"/>
          <w:sz w:val="22"/>
          <w:szCs w:val="22"/>
          <w:shd w:val="clear" w:color="auto" w:fill="FFFFFF"/>
        </w:rPr>
        <w:footnoteReference w:id="24"/>
      </w:r>
      <w:r w:rsidR="00173BAA">
        <w:t xml:space="preserve">  </w:t>
      </w:r>
      <w:r w:rsidRPr="711756CC" w:rsidR="00173BAA">
        <w:rPr>
          <w:sz w:val="22"/>
          <w:szCs w:val="22"/>
        </w:rPr>
        <w:t>CTIA</w:t>
      </w:r>
      <w:r w:rsidR="005B1FFA">
        <w:rPr>
          <w:sz w:val="22"/>
          <w:szCs w:val="22"/>
        </w:rPr>
        <w:t>,</w:t>
      </w:r>
      <w:r w:rsidRPr="711756CC" w:rsidR="00BE1175">
        <w:rPr>
          <w:sz w:val="22"/>
          <w:szCs w:val="22"/>
        </w:rPr>
        <w:t xml:space="preserve"> </w:t>
      </w:r>
      <w:r w:rsidRPr="711756CC" w:rsidR="47BFE63E">
        <w:rPr>
          <w:sz w:val="22"/>
          <w:szCs w:val="22"/>
        </w:rPr>
        <w:t>t</w:t>
      </w:r>
      <w:r w:rsidRPr="711756CC" w:rsidR="00BE1175">
        <w:rPr>
          <w:sz w:val="22"/>
          <w:szCs w:val="22"/>
        </w:rPr>
        <w:t xml:space="preserve">oo, </w:t>
      </w:r>
      <w:r w:rsidRPr="711756CC" w:rsidR="00553596">
        <w:rPr>
          <w:sz w:val="22"/>
          <w:szCs w:val="22"/>
        </w:rPr>
        <w:t>raises concerns regarding the ongoing burdens associated</w:t>
      </w:r>
      <w:r w:rsidR="00553596">
        <w:t xml:space="preserve"> </w:t>
      </w:r>
      <w:r w:rsidRPr="711756CC" w:rsidR="00173BAA">
        <w:rPr>
          <w:sz w:val="22"/>
          <w:szCs w:val="22"/>
        </w:rPr>
        <w:t xml:space="preserve">with the new </w:t>
      </w:r>
      <w:r w:rsidRPr="711756CC" w:rsidR="00173BAA">
        <w:rPr>
          <w:sz w:val="22"/>
          <w:szCs w:val="22"/>
        </w:rPr>
        <w:t>requirements for customer notifications, customer account locks, procedures to resolve fraudulent SIM changes, and SIM change recordkeeping.</w:t>
      </w:r>
      <w:r>
        <w:rPr>
          <w:rStyle w:val="FootnoteReference"/>
          <w:sz w:val="22"/>
          <w:szCs w:val="22"/>
        </w:rPr>
        <w:footnoteReference w:id="25"/>
      </w:r>
      <w:r w:rsidRPr="711756CC" w:rsidR="00173BAA">
        <w:rPr>
          <w:sz w:val="22"/>
          <w:szCs w:val="22"/>
        </w:rPr>
        <w:t xml:space="preserve">   </w:t>
      </w:r>
    </w:p>
    <w:p w:rsidR="0005663A" w:rsidP="00553596" w14:paraId="252897E4" w14:textId="77777777">
      <w:pPr>
        <w:ind w:firstLine="720"/>
        <w:rPr>
          <w:sz w:val="22"/>
          <w:szCs w:val="22"/>
        </w:rPr>
      </w:pPr>
    </w:p>
    <w:p w:rsidR="00FC1F60" w:rsidP="00417C6B" w14:paraId="0B568199" w14:textId="43BB49B5">
      <w:pPr>
        <w:rPr>
          <w:sz w:val="22"/>
          <w:szCs w:val="22"/>
        </w:rPr>
      </w:pPr>
      <w:r w:rsidRPr="001C2D09">
        <w:rPr>
          <w:spacing w:val="-3"/>
          <w:sz w:val="22"/>
          <w:szCs w:val="22"/>
          <w:shd w:val="clear" w:color="auto" w:fill="FFFFFF"/>
        </w:rPr>
        <w:tab/>
      </w:r>
      <w:r w:rsidRPr="711756CC" w:rsidR="00BE1175">
        <w:rPr>
          <w:sz w:val="22"/>
          <w:szCs w:val="22"/>
        </w:rPr>
        <w:t>The commenters</w:t>
      </w:r>
      <w:r w:rsidRPr="711756CC">
        <w:rPr>
          <w:sz w:val="22"/>
          <w:szCs w:val="22"/>
        </w:rPr>
        <w:t xml:space="preserve"> </w:t>
      </w:r>
      <w:r w:rsidRPr="711756CC" w:rsidR="00963CF7">
        <w:rPr>
          <w:sz w:val="22"/>
          <w:szCs w:val="22"/>
        </w:rPr>
        <w:t>do not</w:t>
      </w:r>
      <w:r w:rsidRPr="711756CC" w:rsidR="00BE1175">
        <w:rPr>
          <w:sz w:val="22"/>
          <w:szCs w:val="22"/>
        </w:rPr>
        <w:t>, however,</w:t>
      </w:r>
      <w:r w:rsidRPr="711756CC" w:rsidR="00963CF7">
        <w:rPr>
          <w:sz w:val="22"/>
          <w:szCs w:val="22"/>
        </w:rPr>
        <w:t xml:space="preserve"> fully distinguish between the burden associated with the information collection elements of the new rules and full compliance with the </w:t>
      </w:r>
      <w:r w:rsidRPr="711756CC" w:rsidR="00140C3D">
        <w:rPr>
          <w:sz w:val="22"/>
          <w:szCs w:val="22"/>
        </w:rPr>
        <w:t xml:space="preserve">new </w:t>
      </w:r>
      <w:r w:rsidRPr="711756CC" w:rsidR="00963CF7">
        <w:rPr>
          <w:sz w:val="22"/>
          <w:szCs w:val="22"/>
        </w:rPr>
        <w:t>rules</w:t>
      </w:r>
      <w:r w:rsidRPr="711756CC" w:rsidR="00CA01BC">
        <w:rPr>
          <w:sz w:val="22"/>
          <w:szCs w:val="22"/>
        </w:rPr>
        <w:t xml:space="preserve"> generally</w:t>
      </w:r>
      <w:r w:rsidRPr="711756CC" w:rsidR="00963CF7">
        <w:rPr>
          <w:sz w:val="22"/>
          <w:szCs w:val="22"/>
        </w:rPr>
        <w:t xml:space="preserve">.  </w:t>
      </w:r>
      <w:r w:rsidRPr="711756CC" w:rsidR="001C4375">
        <w:rPr>
          <w:sz w:val="22"/>
          <w:szCs w:val="22"/>
        </w:rPr>
        <w:t xml:space="preserve">For example, the </w:t>
      </w:r>
      <w:r w:rsidRPr="711756CC" w:rsidR="001C4375">
        <w:rPr>
          <w:i/>
          <w:iCs/>
          <w:sz w:val="22"/>
          <w:szCs w:val="22"/>
        </w:rPr>
        <w:t xml:space="preserve">SIM Swap and Port-Out Fraud Order </w:t>
      </w:r>
      <w:r w:rsidRPr="711756CC" w:rsidR="001C4375">
        <w:rPr>
          <w:sz w:val="22"/>
          <w:szCs w:val="22"/>
        </w:rPr>
        <w:t>requires prov</w:t>
      </w:r>
      <w:r w:rsidRPr="711756CC" w:rsidR="003F09A5">
        <w:rPr>
          <w:sz w:val="22"/>
          <w:szCs w:val="22"/>
        </w:rPr>
        <w:t>iders to provide notice of any account protection measures the provider offers</w:t>
      </w:r>
      <w:r w:rsidRPr="711756CC" w:rsidR="00B878C6">
        <w:rPr>
          <w:sz w:val="22"/>
          <w:szCs w:val="22"/>
        </w:rPr>
        <w:t xml:space="preserve">.  The rules also require </w:t>
      </w:r>
      <w:r w:rsidRPr="711756CC" w:rsidR="003C638B">
        <w:rPr>
          <w:sz w:val="22"/>
          <w:szCs w:val="22"/>
        </w:rPr>
        <w:t>providers to maintain “a clear</w:t>
      </w:r>
      <w:r w:rsidRPr="711756CC" w:rsidR="00B467AC">
        <w:rPr>
          <w:sz w:val="22"/>
          <w:szCs w:val="22"/>
        </w:rPr>
        <w:t>l</w:t>
      </w:r>
      <w:r w:rsidRPr="711756CC" w:rsidR="003C638B">
        <w:rPr>
          <w:sz w:val="22"/>
          <w:szCs w:val="22"/>
        </w:rPr>
        <w:t>y disclosed, transparent, and easy-to-use process for customers to report SIM swap and port-out fraud, promptly investigate and take reasonable steps within their control to remediate such fraud, and upon request, promptly provide customers with documentation of SIM swap and port-out fraud involving their accounts.”</w:t>
      </w:r>
      <w:r>
        <w:rPr>
          <w:rStyle w:val="FootnoteReference"/>
          <w:spacing w:val="-3"/>
          <w:sz w:val="22"/>
          <w:szCs w:val="22"/>
          <w:shd w:val="clear" w:color="auto" w:fill="FFFFFF"/>
        </w:rPr>
        <w:footnoteReference w:id="26"/>
      </w:r>
      <w:r w:rsidRPr="711756CC" w:rsidR="00B467AC">
        <w:rPr>
          <w:sz w:val="22"/>
          <w:szCs w:val="22"/>
        </w:rPr>
        <w:t xml:space="preserve">  CCA estimates 3,000-4,000 hours to comply with these rules alone</w:t>
      </w:r>
      <w:r w:rsidRPr="711756CC" w:rsidR="00F4405F">
        <w:rPr>
          <w:sz w:val="22"/>
          <w:szCs w:val="22"/>
        </w:rPr>
        <w:t xml:space="preserve">.  </w:t>
      </w:r>
      <w:r w:rsidRPr="711756CC" w:rsidR="007C6B21">
        <w:rPr>
          <w:sz w:val="22"/>
          <w:szCs w:val="22"/>
        </w:rPr>
        <w:t xml:space="preserve">However, </w:t>
      </w:r>
      <w:r w:rsidRPr="711756CC" w:rsidR="00A25A1E">
        <w:rPr>
          <w:sz w:val="22"/>
          <w:szCs w:val="22"/>
        </w:rPr>
        <w:t xml:space="preserve">CCA does not distinguish between </w:t>
      </w:r>
      <w:r w:rsidRPr="711756CC" w:rsidR="00BF6699">
        <w:rPr>
          <w:sz w:val="22"/>
          <w:szCs w:val="22"/>
        </w:rPr>
        <w:t xml:space="preserve">the </w:t>
      </w:r>
      <w:r w:rsidRPr="711756CC" w:rsidR="00547A02">
        <w:rPr>
          <w:sz w:val="22"/>
          <w:szCs w:val="22"/>
        </w:rPr>
        <w:t xml:space="preserve">burden of </w:t>
      </w:r>
      <w:r w:rsidRPr="711756CC" w:rsidR="00A25A1E">
        <w:rPr>
          <w:sz w:val="22"/>
          <w:szCs w:val="22"/>
        </w:rPr>
        <w:t>providing notice of account protection measures</w:t>
      </w:r>
      <w:r w:rsidRPr="711756CC" w:rsidR="00DC511A">
        <w:rPr>
          <w:sz w:val="22"/>
          <w:szCs w:val="22"/>
        </w:rPr>
        <w:t xml:space="preserve"> and </w:t>
      </w:r>
      <w:r w:rsidRPr="711756CC" w:rsidR="00B573BA">
        <w:rPr>
          <w:sz w:val="22"/>
          <w:szCs w:val="22"/>
        </w:rPr>
        <w:t>costs</w:t>
      </w:r>
      <w:r w:rsidRPr="711756CC" w:rsidR="00547A02">
        <w:rPr>
          <w:sz w:val="22"/>
          <w:szCs w:val="22"/>
        </w:rPr>
        <w:t xml:space="preserve"> associated with </w:t>
      </w:r>
      <w:r w:rsidRPr="711756CC" w:rsidR="00B573BA">
        <w:rPr>
          <w:sz w:val="22"/>
          <w:szCs w:val="22"/>
        </w:rPr>
        <w:t>implementing account</w:t>
      </w:r>
      <w:r w:rsidRPr="711756CC" w:rsidR="00DC511A">
        <w:rPr>
          <w:sz w:val="22"/>
          <w:szCs w:val="22"/>
        </w:rPr>
        <w:t xml:space="preserve"> </w:t>
      </w:r>
      <w:r w:rsidRPr="711756CC" w:rsidR="00B573BA">
        <w:rPr>
          <w:sz w:val="22"/>
          <w:szCs w:val="22"/>
        </w:rPr>
        <w:t xml:space="preserve">protection </w:t>
      </w:r>
      <w:r w:rsidRPr="711756CC" w:rsidR="00DC511A">
        <w:rPr>
          <w:sz w:val="22"/>
          <w:szCs w:val="22"/>
        </w:rPr>
        <w:t xml:space="preserve">measures themselves (which are not </w:t>
      </w:r>
      <w:r w:rsidRPr="711756CC" w:rsidR="00ED2BC0">
        <w:rPr>
          <w:sz w:val="22"/>
          <w:szCs w:val="22"/>
        </w:rPr>
        <w:t xml:space="preserve">collections of information </w:t>
      </w:r>
      <w:r w:rsidRPr="711756CC" w:rsidR="00DC511A">
        <w:rPr>
          <w:sz w:val="22"/>
          <w:szCs w:val="22"/>
        </w:rPr>
        <w:t>subject to the PRA),</w:t>
      </w:r>
      <w:r>
        <w:rPr>
          <w:rStyle w:val="FootnoteReference"/>
          <w:spacing w:val="-3"/>
          <w:sz w:val="22"/>
          <w:szCs w:val="22"/>
          <w:shd w:val="clear" w:color="auto" w:fill="FFFFFF"/>
        </w:rPr>
        <w:footnoteReference w:id="27"/>
      </w:r>
      <w:r w:rsidRPr="711756CC" w:rsidR="00DC511A">
        <w:rPr>
          <w:sz w:val="22"/>
          <w:szCs w:val="22"/>
        </w:rPr>
        <w:t xml:space="preserve"> </w:t>
      </w:r>
      <w:r w:rsidRPr="711756CC" w:rsidR="00EC2A2E">
        <w:rPr>
          <w:sz w:val="22"/>
          <w:szCs w:val="22"/>
        </w:rPr>
        <w:t xml:space="preserve">nor </w:t>
      </w:r>
      <w:r w:rsidRPr="711756CC" w:rsidR="00ED2BC0">
        <w:rPr>
          <w:sz w:val="22"/>
          <w:szCs w:val="22"/>
        </w:rPr>
        <w:t xml:space="preserve">do commenters distinguish </w:t>
      </w:r>
      <w:r w:rsidRPr="711756CC" w:rsidR="00EC2A2E">
        <w:rPr>
          <w:sz w:val="22"/>
          <w:szCs w:val="22"/>
        </w:rPr>
        <w:t>between</w:t>
      </w:r>
      <w:r w:rsidRPr="711756CC" w:rsidR="00ED2BC0">
        <w:rPr>
          <w:sz w:val="22"/>
          <w:szCs w:val="22"/>
        </w:rPr>
        <w:t xml:space="preserve"> the </w:t>
      </w:r>
      <w:r w:rsidRPr="005B1FFA" w:rsidR="00ED2BC0">
        <w:rPr>
          <w:sz w:val="22"/>
          <w:szCs w:val="22"/>
        </w:rPr>
        <w:t>burden of</w:t>
      </w:r>
      <w:r w:rsidRPr="005B1FFA" w:rsidR="00EC2A2E">
        <w:rPr>
          <w:sz w:val="22"/>
          <w:szCs w:val="22"/>
        </w:rPr>
        <w:t xml:space="preserve"> </w:t>
      </w:r>
      <w:r w:rsidRPr="005B1FFA" w:rsidR="0090710A">
        <w:rPr>
          <w:sz w:val="22"/>
          <w:szCs w:val="22"/>
        </w:rPr>
        <w:t>developing</w:t>
      </w:r>
      <w:r w:rsidRPr="711756CC" w:rsidR="0090710A">
        <w:rPr>
          <w:sz w:val="22"/>
          <w:szCs w:val="22"/>
        </w:rPr>
        <w:t xml:space="preserve"> and providing notice of a fraud reporting mechanism, and investigating and remediating fraud</w:t>
      </w:r>
      <w:r w:rsidRPr="711756CC" w:rsidR="00EC2A2E">
        <w:rPr>
          <w:sz w:val="22"/>
          <w:szCs w:val="22"/>
        </w:rPr>
        <w:t xml:space="preserve"> (which are also</w:t>
      </w:r>
      <w:r w:rsidRPr="711756CC" w:rsidR="0CB1206D">
        <w:rPr>
          <w:sz w:val="22"/>
          <w:szCs w:val="22"/>
        </w:rPr>
        <w:t xml:space="preserve"> not</w:t>
      </w:r>
      <w:r w:rsidRPr="711756CC" w:rsidR="00EC2A2E">
        <w:rPr>
          <w:sz w:val="22"/>
          <w:szCs w:val="22"/>
        </w:rPr>
        <w:t xml:space="preserve"> s</w:t>
      </w:r>
      <w:r w:rsidRPr="711756CC" w:rsidR="00941E92">
        <w:rPr>
          <w:sz w:val="22"/>
          <w:szCs w:val="22"/>
        </w:rPr>
        <w:t>ubject to the PRA)</w:t>
      </w:r>
      <w:r w:rsidRPr="711756CC" w:rsidR="0090710A">
        <w:rPr>
          <w:sz w:val="22"/>
          <w:szCs w:val="22"/>
        </w:rPr>
        <w:t>.</w:t>
      </w:r>
      <w:r>
        <w:rPr>
          <w:rStyle w:val="FootnoteReference"/>
          <w:spacing w:val="-3"/>
          <w:sz w:val="22"/>
          <w:szCs w:val="22"/>
          <w:shd w:val="clear" w:color="auto" w:fill="FFFFFF"/>
        </w:rPr>
        <w:footnoteReference w:id="28"/>
      </w:r>
      <w:r w:rsidRPr="711756CC" w:rsidR="0090710A">
        <w:rPr>
          <w:sz w:val="22"/>
          <w:szCs w:val="22"/>
        </w:rPr>
        <w:t xml:space="preserve">  </w:t>
      </w:r>
      <w:r w:rsidRPr="711756CC" w:rsidR="001D680A">
        <w:rPr>
          <w:sz w:val="22"/>
          <w:szCs w:val="22"/>
        </w:rPr>
        <w:t xml:space="preserve">We nonetheless upwardly adjust the burden estimates </w:t>
      </w:r>
      <w:r w:rsidRPr="711756CC" w:rsidR="0099664D">
        <w:rPr>
          <w:sz w:val="22"/>
          <w:szCs w:val="22"/>
        </w:rPr>
        <w:t xml:space="preserve">associated with the </w:t>
      </w:r>
      <w:r w:rsidRPr="711756CC" w:rsidR="00041002">
        <w:rPr>
          <w:sz w:val="22"/>
          <w:szCs w:val="22"/>
        </w:rPr>
        <w:t>notice</w:t>
      </w:r>
      <w:r w:rsidRPr="711756CC" w:rsidR="00CB1E85">
        <w:rPr>
          <w:sz w:val="22"/>
          <w:szCs w:val="22"/>
        </w:rPr>
        <w:t xml:space="preserve"> and disclosure</w:t>
      </w:r>
      <w:r w:rsidRPr="711756CC" w:rsidR="00041002">
        <w:rPr>
          <w:sz w:val="22"/>
          <w:szCs w:val="22"/>
        </w:rPr>
        <w:t xml:space="preserve"> </w:t>
      </w:r>
      <w:r w:rsidRPr="711756CC" w:rsidR="00CB1E85">
        <w:rPr>
          <w:sz w:val="22"/>
          <w:szCs w:val="22"/>
        </w:rPr>
        <w:t>aspects of the new rules</w:t>
      </w:r>
      <w:r w:rsidRPr="711756CC" w:rsidR="00041002">
        <w:rPr>
          <w:sz w:val="22"/>
          <w:szCs w:val="22"/>
        </w:rPr>
        <w:t xml:space="preserve"> </w:t>
      </w:r>
      <w:r w:rsidRPr="711756CC" w:rsidR="001D680A">
        <w:rPr>
          <w:sz w:val="22"/>
          <w:szCs w:val="22"/>
        </w:rPr>
        <w:t xml:space="preserve">to account for commenter concerns. </w:t>
      </w:r>
    </w:p>
    <w:p w:rsidR="00FC1F60" w:rsidP="00417C6B" w14:paraId="2BD61800" w14:textId="77777777">
      <w:pPr>
        <w:rPr>
          <w:sz w:val="22"/>
          <w:szCs w:val="22"/>
        </w:rPr>
      </w:pPr>
    </w:p>
    <w:p w:rsidR="0005663A" w:rsidP="00DB4BFE" w14:paraId="01A66DE9" w14:textId="7406FB37">
      <w:pPr>
        <w:ind w:firstLine="720"/>
        <w:rPr>
          <w:sz w:val="22"/>
          <w:szCs w:val="22"/>
        </w:rPr>
      </w:pPr>
      <w:r w:rsidRPr="711756CC">
        <w:rPr>
          <w:sz w:val="22"/>
          <w:szCs w:val="22"/>
        </w:rPr>
        <w:t xml:space="preserve"> </w:t>
      </w:r>
      <w:r w:rsidRPr="711756CC" w:rsidR="00F4405F">
        <w:rPr>
          <w:sz w:val="22"/>
          <w:szCs w:val="22"/>
        </w:rPr>
        <w:t xml:space="preserve">Further, </w:t>
      </w:r>
      <w:r w:rsidRPr="711756CC" w:rsidR="009A2CAB">
        <w:rPr>
          <w:sz w:val="22"/>
          <w:szCs w:val="22"/>
        </w:rPr>
        <w:t>w</w:t>
      </w:r>
      <w:r w:rsidRPr="711756CC">
        <w:rPr>
          <w:sz w:val="22"/>
          <w:szCs w:val="22"/>
        </w:rPr>
        <w:t>e do not believe</w:t>
      </w:r>
      <w:r w:rsidRPr="711756CC" w:rsidR="00AF56E4">
        <w:rPr>
          <w:sz w:val="22"/>
          <w:szCs w:val="22"/>
        </w:rPr>
        <w:t xml:space="preserve"> that CCA’s burden estimates for complying with the new</w:t>
      </w:r>
      <w:r w:rsidRPr="711756CC" w:rsidR="002227C8">
        <w:rPr>
          <w:sz w:val="22"/>
          <w:szCs w:val="22"/>
        </w:rPr>
        <w:t xml:space="preserve"> account locking requirements </w:t>
      </w:r>
      <w:r w:rsidRPr="711756CC" w:rsidR="006B32A1">
        <w:rPr>
          <w:sz w:val="22"/>
          <w:szCs w:val="22"/>
        </w:rPr>
        <w:t xml:space="preserve">are </w:t>
      </w:r>
      <w:r w:rsidRPr="711756CC" w:rsidR="00A95AD8">
        <w:rPr>
          <w:sz w:val="22"/>
          <w:szCs w:val="22"/>
        </w:rPr>
        <w:t xml:space="preserve">relevant to PRA calculations because </w:t>
      </w:r>
      <w:r w:rsidRPr="711756CC" w:rsidR="00CA52AE">
        <w:rPr>
          <w:sz w:val="22"/>
          <w:szCs w:val="22"/>
        </w:rPr>
        <w:t xml:space="preserve">such requirements </w:t>
      </w:r>
      <w:r w:rsidRPr="711756CC" w:rsidR="00FA55A0">
        <w:rPr>
          <w:sz w:val="22"/>
          <w:szCs w:val="22"/>
        </w:rPr>
        <w:t xml:space="preserve">and the costs of implementing “account locking solutions” </w:t>
      </w:r>
      <w:r w:rsidRPr="711756CC" w:rsidR="00CA52AE">
        <w:rPr>
          <w:sz w:val="22"/>
          <w:szCs w:val="22"/>
        </w:rPr>
        <w:t>do not implicate the PRA.</w:t>
      </w:r>
      <w:r>
        <w:rPr>
          <w:rStyle w:val="FootnoteReference"/>
          <w:spacing w:val="-3"/>
          <w:sz w:val="22"/>
          <w:szCs w:val="22"/>
          <w:shd w:val="clear" w:color="auto" w:fill="FFFFFF"/>
        </w:rPr>
        <w:footnoteReference w:id="29"/>
      </w:r>
      <w:r w:rsidRPr="711756CC" w:rsidR="00CA52AE">
        <w:rPr>
          <w:sz w:val="22"/>
          <w:szCs w:val="22"/>
        </w:rPr>
        <w:t xml:space="preserve"> </w:t>
      </w:r>
      <w:r w:rsidRPr="711756CC" w:rsidR="00CC0AA5">
        <w:rPr>
          <w:sz w:val="22"/>
          <w:szCs w:val="22"/>
        </w:rPr>
        <w:t xml:space="preserve"> </w:t>
      </w:r>
      <w:r w:rsidRPr="711756CC">
        <w:rPr>
          <w:sz w:val="22"/>
          <w:szCs w:val="22"/>
        </w:rPr>
        <w:t>And, with respect to customer notifications, we explain further below that the primary burden associated with notifications to customers is in developing the initial system to automate such notices, which we have accounted for in our burden estimate</w:t>
      </w:r>
      <w:r w:rsidR="005B1FFA">
        <w:rPr>
          <w:sz w:val="22"/>
          <w:szCs w:val="22"/>
        </w:rPr>
        <w:t>.</w:t>
      </w:r>
      <w:r w:rsidRPr="711756CC">
        <w:rPr>
          <w:sz w:val="22"/>
          <w:szCs w:val="22"/>
        </w:rPr>
        <w:t xml:space="preserve"> </w:t>
      </w:r>
      <w:r w:rsidRPr="711756CC" w:rsidR="4E3A741C">
        <w:rPr>
          <w:sz w:val="22"/>
          <w:szCs w:val="22"/>
        </w:rPr>
        <w:t xml:space="preserve"> </w:t>
      </w:r>
      <w:r w:rsidRPr="711756CC" w:rsidR="4F6FB941">
        <w:rPr>
          <w:sz w:val="22"/>
          <w:szCs w:val="22"/>
        </w:rPr>
        <w:t>N</w:t>
      </w:r>
      <w:r w:rsidRPr="711756CC">
        <w:rPr>
          <w:sz w:val="22"/>
          <w:szCs w:val="22"/>
        </w:rPr>
        <w:t>onetheless</w:t>
      </w:r>
      <w:r w:rsidRPr="711756CC" w:rsidR="3A767AF6">
        <w:rPr>
          <w:sz w:val="22"/>
          <w:szCs w:val="22"/>
        </w:rPr>
        <w:t>,</w:t>
      </w:r>
      <w:r w:rsidRPr="711756CC">
        <w:rPr>
          <w:sz w:val="22"/>
          <w:szCs w:val="22"/>
        </w:rPr>
        <w:t xml:space="preserve"> we upwardly adjust</w:t>
      </w:r>
      <w:r w:rsidRPr="711756CC" w:rsidR="23FE22BA">
        <w:rPr>
          <w:sz w:val="22"/>
          <w:szCs w:val="22"/>
        </w:rPr>
        <w:t xml:space="preserve"> this estimate</w:t>
      </w:r>
      <w:r w:rsidRPr="711756CC">
        <w:rPr>
          <w:sz w:val="22"/>
          <w:szCs w:val="22"/>
        </w:rPr>
        <w:t xml:space="preserve"> based on commenter concerns, as we have done for the SIM change recordkeeping burden estimate as well.</w:t>
      </w:r>
    </w:p>
    <w:p w:rsidR="00F72C79" w:rsidRPr="001C2D09" w:rsidP="0077092A" w14:paraId="01D35983" w14:textId="77777777">
      <w:pPr>
        <w:rPr>
          <w:sz w:val="22"/>
          <w:szCs w:val="22"/>
        </w:rPr>
      </w:pPr>
    </w:p>
    <w:p w:rsidR="00F72C79" w:rsidRPr="001C2D09" w:rsidP="0077092A" w14:paraId="4175B8E5" w14:textId="334B2ED8">
      <w:pPr>
        <w:rPr>
          <w:spacing w:val="-3"/>
          <w:sz w:val="22"/>
          <w:szCs w:val="22"/>
          <w:shd w:val="clear" w:color="auto" w:fill="FFFFFF"/>
        </w:rPr>
      </w:pPr>
      <w:r w:rsidRPr="001C2D09">
        <w:rPr>
          <w:sz w:val="22"/>
          <w:szCs w:val="22"/>
        </w:rPr>
        <w:tab/>
      </w:r>
      <w:r w:rsidR="005E7206">
        <w:rPr>
          <w:sz w:val="22"/>
          <w:szCs w:val="22"/>
        </w:rPr>
        <w:t xml:space="preserve">The </w:t>
      </w:r>
      <w:r w:rsidR="001742BB">
        <w:rPr>
          <w:sz w:val="22"/>
          <w:szCs w:val="22"/>
        </w:rPr>
        <w:t xml:space="preserve">record in the </w:t>
      </w:r>
      <w:r w:rsidR="001742BB">
        <w:rPr>
          <w:i/>
          <w:iCs/>
          <w:sz w:val="22"/>
          <w:szCs w:val="22"/>
        </w:rPr>
        <w:t xml:space="preserve">SIM Swap and Port-Out Fraud Order </w:t>
      </w:r>
      <w:r w:rsidR="001742BB">
        <w:rPr>
          <w:sz w:val="22"/>
          <w:szCs w:val="22"/>
        </w:rPr>
        <w:t xml:space="preserve">indicated </w:t>
      </w:r>
      <w:r w:rsidR="00D27049">
        <w:rPr>
          <w:sz w:val="22"/>
          <w:szCs w:val="22"/>
        </w:rPr>
        <w:t>tha</w:t>
      </w:r>
      <w:r w:rsidR="00AD1536">
        <w:rPr>
          <w:sz w:val="22"/>
          <w:szCs w:val="22"/>
        </w:rPr>
        <w:t>t a number of wireless providers already rely, at least partly,</w:t>
      </w:r>
      <w:r w:rsidR="00B944B6">
        <w:rPr>
          <w:sz w:val="22"/>
          <w:szCs w:val="22"/>
        </w:rPr>
        <w:t xml:space="preserve"> on some of the policies and procedures adopted in that Order</w:t>
      </w:r>
      <w:r w:rsidR="003C4E9A">
        <w:rPr>
          <w:sz w:val="22"/>
          <w:szCs w:val="22"/>
        </w:rPr>
        <w:t xml:space="preserve"> and that are the subject of this colle</w:t>
      </w:r>
      <w:r w:rsidR="00CB740C">
        <w:rPr>
          <w:sz w:val="22"/>
          <w:szCs w:val="22"/>
        </w:rPr>
        <w:t>c</w:t>
      </w:r>
      <w:r w:rsidR="003C4E9A">
        <w:rPr>
          <w:sz w:val="22"/>
          <w:szCs w:val="22"/>
        </w:rPr>
        <w:t>tion</w:t>
      </w:r>
      <w:r w:rsidR="00B944B6">
        <w:rPr>
          <w:sz w:val="22"/>
          <w:szCs w:val="22"/>
        </w:rPr>
        <w:t>.</w:t>
      </w:r>
      <w:r>
        <w:rPr>
          <w:rStyle w:val="FootnoteReference"/>
          <w:sz w:val="22"/>
          <w:szCs w:val="22"/>
        </w:rPr>
        <w:footnoteReference w:id="30"/>
      </w:r>
      <w:r w:rsidR="00B944B6">
        <w:rPr>
          <w:sz w:val="22"/>
          <w:szCs w:val="22"/>
        </w:rPr>
        <w:t xml:space="preserve">  </w:t>
      </w:r>
      <w:r w:rsidRPr="711756CC" w:rsidR="005B2C41">
        <w:rPr>
          <w:sz w:val="22"/>
          <w:szCs w:val="22"/>
        </w:rPr>
        <w:t xml:space="preserve">But </w:t>
      </w:r>
      <w:r w:rsidRPr="711756CC" w:rsidR="00FF47E4">
        <w:rPr>
          <w:sz w:val="22"/>
          <w:szCs w:val="22"/>
        </w:rPr>
        <w:t>n</w:t>
      </w:r>
      <w:r w:rsidRPr="711756CC">
        <w:rPr>
          <w:sz w:val="22"/>
          <w:szCs w:val="22"/>
        </w:rPr>
        <w:t>either CCA, CTIA</w:t>
      </w:r>
      <w:r w:rsidRPr="711756CC" w:rsidR="00542271">
        <w:rPr>
          <w:sz w:val="22"/>
          <w:szCs w:val="22"/>
        </w:rPr>
        <w:t xml:space="preserve">, </w:t>
      </w:r>
      <w:r w:rsidRPr="711756CC" w:rsidR="00FF47E4">
        <w:rPr>
          <w:sz w:val="22"/>
          <w:szCs w:val="22"/>
        </w:rPr>
        <w:t>n</w:t>
      </w:r>
      <w:r w:rsidRPr="711756CC" w:rsidR="00542271">
        <w:rPr>
          <w:sz w:val="22"/>
          <w:szCs w:val="22"/>
        </w:rPr>
        <w:t xml:space="preserve">or NCTA </w:t>
      </w:r>
      <w:r w:rsidRPr="711756CC" w:rsidR="00341899">
        <w:rPr>
          <w:sz w:val="22"/>
          <w:szCs w:val="22"/>
        </w:rPr>
        <w:t xml:space="preserve">quantify how many providers </w:t>
      </w:r>
      <w:r w:rsidRPr="711756CC" w:rsidR="005A6DEF">
        <w:rPr>
          <w:sz w:val="22"/>
          <w:szCs w:val="22"/>
        </w:rPr>
        <w:t xml:space="preserve">already have processes in place </w:t>
      </w:r>
      <w:r w:rsidRPr="711756CC" w:rsidR="00964998">
        <w:rPr>
          <w:sz w:val="22"/>
          <w:szCs w:val="22"/>
        </w:rPr>
        <w:t xml:space="preserve">to comply with </w:t>
      </w:r>
      <w:r w:rsidRPr="711756CC" w:rsidR="005A6DEF">
        <w:rPr>
          <w:sz w:val="22"/>
          <w:szCs w:val="22"/>
        </w:rPr>
        <w:t>the new</w:t>
      </w:r>
      <w:r w:rsidRPr="711756CC" w:rsidR="00964998">
        <w:rPr>
          <w:sz w:val="22"/>
          <w:szCs w:val="22"/>
        </w:rPr>
        <w:t xml:space="preserve">ly-adopted </w:t>
      </w:r>
      <w:r w:rsidRPr="711756CC" w:rsidR="005A6DEF">
        <w:rPr>
          <w:sz w:val="22"/>
          <w:szCs w:val="22"/>
        </w:rPr>
        <w:t>requirements</w:t>
      </w:r>
      <w:r w:rsidRPr="711756CC" w:rsidR="00964998">
        <w:rPr>
          <w:sz w:val="22"/>
          <w:szCs w:val="22"/>
        </w:rPr>
        <w:t>, or how many would require more significant time to come into compliance</w:t>
      </w:r>
      <w:r w:rsidR="00206427">
        <w:rPr>
          <w:sz w:val="22"/>
          <w:szCs w:val="22"/>
        </w:rPr>
        <w:t>, and how those numbers would affect the burden estimates they cite</w:t>
      </w:r>
      <w:r w:rsidRPr="711756CC" w:rsidR="00964998">
        <w:rPr>
          <w:sz w:val="22"/>
          <w:szCs w:val="22"/>
        </w:rPr>
        <w:t>.</w:t>
      </w:r>
      <w:r w:rsidRPr="711756CC" w:rsidR="009E6381">
        <w:rPr>
          <w:sz w:val="22"/>
          <w:szCs w:val="22"/>
        </w:rPr>
        <w:t xml:space="preserve">  </w:t>
      </w:r>
      <w:r w:rsidRPr="711756CC" w:rsidR="00B56B09">
        <w:rPr>
          <w:sz w:val="22"/>
          <w:szCs w:val="22"/>
        </w:rPr>
        <w:t xml:space="preserve">Based on the record in </w:t>
      </w:r>
      <w:r w:rsidR="00204420">
        <w:rPr>
          <w:sz w:val="22"/>
          <w:szCs w:val="22"/>
        </w:rPr>
        <w:t xml:space="preserve">the </w:t>
      </w:r>
      <w:r w:rsidR="00204420">
        <w:rPr>
          <w:i/>
          <w:iCs/>
          <w:sz w:val="22"/>
          <w:szCs w:val="22"/>
        </w:rPr>
        <w:t xml:space="preserve">SIM Swap and Port-Out Fraud </w:t>
      </w:r>
      <w:r w:rsidRPr="711756CC" w:rsidR="00B56B09">
        <w:rPr>
          <w:sz w:val="22"/>
          <w:szCs w:val="22"/>
        </w:rPr>
        <w:t xml:space="preserve"> proceeding and the comments received in response to the </w:t>
      </w:r>
      <w:r w:rsidRPr="711756CC" w:rsidR="00487C40">
        <w:rPr>
          <w:sz w:val="22"/>
          <w:szCs w:val="22"/>
        </w:rPr>
        <w:t xml:space="preserve">60-day </w:t>
      </w:r>
      <w:r w:rsidRPr="711756CC" w:rsidR="00D24D94">
        <w:rPr>
          <w:sz w:val="22"/>
          <w:szCs w:val="22"/>
        </w:rPr>
        <w:t xml:space="preserve">PRA </w:t>
      </w:r>
      <w:r w:rsidRPr="711756CC" w:rsidR="00487C40">
        <w:rPr>
          <w:sz w:val="22"/>
          <w:szCs w:val="22"/>
        </w:rPr>
        <w:t>n</w:t>
      </w:r>
      <w:r w:rsidRPr="711756CC" w:rsidR="00B56B09">
        <w:rPr>
          <w:sz w:val="22"/>
          <w:szCs w:val="22"/>
        </w:rPr>
        <w:t>otice, w</w:t>
      </w:r>
      <w:r w:rsidRPr="711756CC" w:rsidR="009E6381">
        <w:rPr>
          <w:sz w:val="22"/>
          <w:szCs w:val="22"/>
        </w:rPr>
        <w:t xml:space="preserve">e </w:t>
      </w:r>
      <w:r w:rsidRPr="711756CC" w:rsidR="007541DE">
        <w:rPr>
          <w:sz w:val="22"/>
          <w:szCs w:val="22"/>
        </w:rPr>
        <w:t>believe it is reasonable to</w:t>
      </w:r>
      <w:r w:rsidRPr="711756CC" w:rsidR="00B56B09">
        <w:rPr>
          <w:sz w:val="22"/>
          <w:szCs w:val="22"/>
        </w:rPr>
        <w:t xml:space="preserve"> assume that some providers would incur less burden, and </w:t>
      </w:r>
      <w:r w:rsidRPr="711756CC" w:rsidR="00F77A79">
        <w:rPr>
          <w:sz w:val="22"/>
          <w:szCs w:val="22"/>
        </w:rPr>
        <w:t>others a greater</w:t>
      </w:r>
      <w:r w:rsidRPr="711756CC" w:rsidR="00B56B09">
        <w:rPr>
          <w:sz w:val="22"/>
          <w:szCs w:val="22"/>
        </w:rPr>
        <w:t xml:space="preserve"> burden, </w:t>
      </w:r>
      <w:r w:rsidRPr="711756CC" w:rsidR="00F77A79">
        <w:rPr>
          <w:sz w:val="22"/>
          <w:szCs w:val="22"/>
        </w:rPr>
        <w:t xml:space="preserve">in implementing </w:t>
      </w:r>
      <w:r w:rsidRPr="711756CC" w:rsidR="00B56B09">
        <w:rPr>
          <w:sz w:val="22"/>
          <w:szCs w:val="22"/>
        </w:rPr>
        <w:t>the requirements subject to the PRA</w:t>
      </w:r>
      <w:r w:rsidRPr="711756CC" w:rsidR="0031130F">
        <w:rPr>
          <w:sz w:val="22"/>
          <w:szCs w:val="22"/>
        </w:rPr>
        <w:t>, and</w:t>
      </w:r>
      <w:r w:rsidRPr="711756CC" w:rsidR="00B56B09">
        <w:rPr>
          <w:sz w:val="22"/>
          <w:szCs w:val="22"/>
        </w:rPr>
        <w:t xml:space="preserve"> </w:t>
      </w:r>
      <w:r w:rsidRPr="711756CC" w:rsidR="0031130F">
        <w:rPr>
          <w:sz w:val="22"/>
          <w:szCs w:val="22"/>
        </w:rPr>
        <w:t>thus use a burden hour estimate in between</w:t>
      </w:r>
      <w:r w:rsidRPr="711756CC" w:rsidR="00487C40">
        <w:rPr>
          <w:sz w:val="22"/>
          <w:szCs w:val="22"/>
        </w:rPr>
        <w:t xml:space="preserve"> such ranges</w:t>
      </w:r>
      <w:r w:rsidRPr="711756CC" w:rsidR="0031130F">
        <w:rPr>
          <w:sz w:val="22"/>
          <w:szCs w:val="22"/>
        </w:rPr>
        <w:t xml:space="preserve">.  </w:t>
      </w:r>
      <w:r w:rsidRPr="711756CC" w:rsidR="00A4694E">
        <w:rPr>
          <w:sz w:val="22"/>
          <w:szCs w:val="22"/>
        </w:rPr>
        <w:t xml:space="preserve">Further, none of the commenters distinguished between the burdens associated with </w:t>
      </w:r>
      <w:r w:rsidRPr="711756CC" w:rsidR="00CB7131">
        <w:rPr>
          <w:sz w:val="22"/>
          <w:szCs w:val="22"/>
        </w:rPr>
        <w:t xml:space="preserve">complying with the new rules </w:t>
      </w:r>
      <w:r w:rsidRPr="711756CC" w:rsidR="00751E60">
        <w:rPr>
          <w:sz w:val="22"/>
          <w:szCs w:val="22"/>
        </w:rPr>
        <w:t xml:space="preserve">for SIM changes, covered by this collection, and for port-out fraud, covered in collection 3060-0742.  </w:t>
      </w:r>
      <w:r w:rsidRPr="711756CC" w:rsidR="0085181A">
        <w:rPr>
          <w:sz w:val="22"/>
          <w:szCs w:val="22"/>
        </w:rPr>
        <w:t>Nonetheless, to address commenter concerns, w</w:t>
      </w:r>
      <w:r w:rsidRPr="711756CC" w:rsidR="0031130F">
        <w:rPr>
          <w:sz w:val="22"/>
          <w:szCs w:val="22"/>
        </w:rPr>
        <w:t xml:space="preserve">e </w:t>
      </w:r>
      <w:r w:rsidRPr="711756CC" w:rsidR="00FC61C4">
        <w:rPr>
          <w:sz w:val="22"/>
          <w:szCs w:val="22"/>
        </w:rPr>
        <w:t>upwardly</w:t>
      </w:r>
      <w:r w:rsidRPr="711756CC" w:rsidR="009B2531">
        <w:rPr>
          <w:sz w:val="22"/>
          <w:szCs w:val="22"/>
        </w:rPr>
        <w:t xml:space="preserve"> adjust the burden estimates overall pertaining to the </w:t>
      </w:r>
      <w:r w:rsidRPr="711756CC" w:rsidR="0024497E">
        <w:rPr>
          <w:sz w:val="22"/>
          <w:szCs w:val="22"/>
        </w:rPr>
        <w:t xml:space="preserve">new requirements from the </w:t>
      </w:r>
      <w:r w:rsidRPr="711756CC" w:rsidR="0024497E">
        <w:rPr>
          <w:i/>
          <w:iCs/>
          <w:sz w:val="22"/>
          <w:szCs w:val="22"/>
        </w:rPr>
        <w:t xml:space="preserve">SIM Swap and Port-Out Fraud Order </w:t>
      </w:r>
      <w:r w:rsidRPr="711756CC" w:rsidR="0024497E">
        <w:rPr>
          <w:sz w:val="22"/>
          <w:szCs w:val="22"/>
        </w:rPr>
        <w:t>subject to the PRA</w:t>
      </w:r>
      <w:r w:rsidRPr="711756CC" w:rsidR="0085181A">
        <w:rPr>
          <w:sz w:val="22"/>
          <w:szCs w:val="22"/>
        </w:rPr>
        <w:t xml:space="preserve"> in both this collection and collection </w:t>
      </w:r>
      <w:r w:rsidRPr="711756CC" w:rsidR="0085181A">
        <w:rPr>
          <w:sz w:val="22"/>
          <w:szCs w:val="22"/>
        </w:rPr>
        <w:t>3060-0742, but split the burden for developing systems between the two collections, on the assumption that there will be substantial overlap between the two</w:t>
      </w:r>
      <w:r w:rsidRPr="711756CC" w:rsidR="0024497E">
        <w:rPr>
          <w:sz w:val="22"/>
          <w:szCs w:val="22"/>
        </w:rPr>
        <w:t xml:space="preserve">.  </w:t>
      </w:r>
      <w:r w:rsidRPr="711756CC" w:rsidR="00FC61C4">
        <w:rPr>
          <w:sz w:val="22"/>
          <w:szCs w:val="22"/>
        </w:rPr>
        <w:t xml:space="preserve"> </w:t>
      </w:r>
    </w:p>
    <w:p w:rsidR="00C5619F" w:rsidRPr="001C2D09" w:rsidP="0077092A" w14:paraId="2E708D3A" w14:textId="77777777">
      <w:pPr>
        <w:rPr>
          <w:spacing w:val="-3"/>
          <w:sz w:val="22"/>
          <w:szCs w:val="22"/>
          <w:shd w:val="clear" w:color="auto" w:fill="FFFFFF"/>
        </w:rPr>
      </w:pPr>
    </w:p>
    <w:p w:rsidR="001731F9" w:rsidRPr="001C2D09" w:rsidP="00DB4BFE" w14:paraId="0BDEB975" w14:textId="60EE2E88">
      <w:pPr>
        <w:ind w:firstLine="720"/>
        <w:rPr>
          <w:spacing w:val="-3"/>
          <w:sz w:val="22"/>
          <w:szCs w:val="22"/>
          <w:shd w:val="clear" w:color="auto" w:fill="FFFFFF"/>
        </w:rPr>
      </w:pPr>
      <w:r w:rsidRPr="711756CC">
        <w:rPr>
          <w:sz w:val="22"/>
          <w:szCs w:val="22"/>
        </w:rPr>
        <w:t>CCA</w:t>
      </w:r>
      <w:r w:rsidRPr="711756CC" w:rsidR="00C5619F">
        <w:rPr>
          <w:sz w:val="22"/>
          <w:szCs w:val="22"/>
        </w:rPr>
        <w:t xml:space="preserve"> also</w:t>
      </w:r>
      <w:r w:rsidRPr="711756CC">
        <w:rPr>
          <w:sz w:val="22"/>
          <w:szCs w:val="22"/>
        </w:rPr>
        <w:t xml:space="preserve"> asserts that the Commission’s estimate </w:t>
      </w:r>
      <w:r w:rsidRPr="711756CC" w:rsidR="00C5619F">
        <w:rPr>
          <w:sz w:val="22"/>
          <w:szCs w:val="22"/>
        </w:rPr>
        <w:t xml:space="preserve">regarding the notice requirements adopted in the </w:t>
      </w:r>
      <w:r w:rsidRPr="711756CC" w:rsidR="00C5619F">
        <w:rPr>
          <w:i/>
          <w:iCs/>
          <w:sz w:val="22"/>
          <w:szCs w:val="22"/>
        </w:rPr>
        <w:t>SIM Swap and Port-Out Fraud Order</w:t>
      </w:r>
      <w:r w:rsidRPr="711756CC" w:rsidR="00C5619F">
        <w:rPr>
          <w:sz w:val="22"/>
          <w:szCs w:val="22"/>
        </w:rPr>
        <w:t xml:space="preserve"> </w:t>
      </w:r>
      <w:r w:rsidRPr="711756CC">
        <w:rPr>
          <w:sz w:val="22"/>
          <w:szCs w:val="22"/>
        </w:rPr>
        <w:t xml:space="preserve">does not account for the going forward increases in customer representative time and other employee time due to the new procedures and processes.  We do not believe that such costs are implicated by the PRA with respect to the notice requirements adopted.  Nonetheless, we upwardly adjust the burden estimates pertaining to the development of automated systems to implement the notice requirements </w:t>
      </w:r>
      <w:r w:rsidRPr="711756CC" w:rsidR="2BACF9C7">
        <w:rPr>
          <w:sz w:val="22"/>
          <w:szCs w:val="22"/>
        </w:rPr>
        <w:t>in response to</w:t>
      </w:r>
      <w:r w:rsidRPr="711756CC">
        <w:rPr>
          <w:sz w:val="22"/>
          <w:szCs w:val="22"/>
        </w:rPr>
        <w:t xml:space="preserve"> commenter concerns.</w:t>
      </w:r>
    </w:p>
    <w:p w:rsidR="001731F9" w:rsidRPr="001C2D09" w:rsidP="001731F9" w14:paraId="7A7D6D01" w14:textId="77777777">
      <w:pPr>
        <w:rPr>
          <w:spacing w:val="-3"/>
          <w:sz w:val="22"/>
          <w:szCs w:val="22"/>
          <w:shd w:val="clear" w:color="auto" w:fill="FFFFFF"/>
        </w:rPr>
      </w:pPr>
    </w:p>
    <w:p w:rsidR="00F568B8" w:rsidRPr="00501AE9" w:rsidP="002301DC" w14:paraId="470B91D0" w14:textId="2423B83B">
      <w:pPr>
        <w:ind w:firstLine="720"/>
        <w:rPr>
          <w:sz w:val="22"/>
          <w:szCs w:val="22"/>
        </w:rPr>
      </w:pPr>
      <w:r w:rsidRPr="711756CC">
        <w:rPr>
          <w:sz w:val="22"/>
          <w:szCs w:val="22"/>
        </w:rPr>
        <w:t xml:space="preserve">Commenters also raise </w:t>
      </w:r>
      <w:r w:rsidRPr="711756CC" w:rsidR="001C4917">
        <w:rPr>
          <w:sz w:val="22"/>
          <w:szCs w:val="22"/>
        </w:rPr>
        <w:t xml:space="preserve">three comments about </w:t>
      </w:r>
      <w:r w:rsidRPr="711756CC" w:rsidR="00347CBF">
        <w:rPr>
          <w:sz w:val="22"/>
          <w:szCs w:val="22"/>
        </w:rPr>
        <w:t xml:space="preserve">timing. </w:t>
      </w:r>
      <w:r w:rsidRPr="711756CC" w:rsidR="00592F45">
        <w:rPr>
          <w:sz w:val="22"/>
          <w:szCs w:val="22"/>
        </w:rPr>
        <w:t xml:space="preserve"> </w:t>
      </w:r>
      <w:r w:rsidRPr="711756CC" w:rsidR="00347CBF">
        <w:rPr>
          <w:sz w:val="22"/>
          <w:szCs w:val="22"/>
        </w:rPr>
        <w:t>NCTA asserts that the 60-day PRA notice fails to meet the requirement that the information collection “reduces to the extent practicable and appropriate the burden,” because the Commission has “disregarded” providers’ requests for additional time.</w:t>
      </w:r>
      <w:r>
        <w:rPr>
          <w:rStyle w:val="FootnoteReference"/>
          <w:sz w:val="22"/>
          <w:szCs w:val="22"/>
        </w:rPr>
        <w:footnoteReference w:id="31"/>
      </w:r>
      <w:r w:rsidRPr="711756CC" w:rsidR="00347CBF">
        <w:rPr>
          <w:sz w:val="22"/>
          <w:szCs w:val="22"/>
        </w:rPr>
        <w:t xml:space="preserve"> </w:t>
      </w:r>
      <w:r w:rsidRPr="711756CC" w:rsidR="00592F45">
        <w:rPr>
          <w:sz w:val="22"/>
          <w:szCs w:val="22"/>
        </w:rPr>
        <w:t xml:space="preserve"> And CCA </w:t>
      </w:r>
      <w:r w:rsidRPr="711756CC" w:rsidR="00084EA7">
        <w:rPr>
          <w:sz w:val="22"/>
          <w:szCs w:val="22"/>
        </w:rPr>
        <w:t>contend</w:t>
      </w:r>
      <w:r w:rsidRPr="711756CC" w:rsidR="00592F45">
        <w:rPr>
          <w:sz w:val="22"/>
          <w:szCs w:val="22"/>
        </w:rPr>
        <w:t>s that that the FCC “provided no indication” of the timing of the Public Notice announcing the compliance date or how long after the Public Notice enforcement might begin.</w:t>
      </w:r>
      <w:r>
        <w:rPr>
          <w:rStyle w:val="FootnoteReference"/>
          <w:spacing w:val="-3"/>
          <w:sz w:val="22"/>
          <w:szCs w:val="22"/>
          <w:shd w:val="clear" w:color="auto" w:fill="FFFFFF"/>
        </w:rPr>
        <w:footnoteReference w:id="32"/>
      </w:r>
      <w:r w:rsidRPr="711756CC" w:rsidR="00592F45">
        <w:rPr>
          <w:sz w:val="22"/>
          <w:szCs w:val="22"/>
        </w:rPr>
        <w:t xml:space="preserve"> </w:t>
      </w:r>
      <w:r w:rsidRPr="711756CC" w:rsidR="00084EA7">
        <w:rPr>
          <w:sz w:val="22"/>
          <w:szCs w:val="22"/>
        </w:rPr>
        <w:t>The Commission did not, however, disregard requests for additional time.  O</w:t>
      </w:r>
      <w:r w:rsidRPr="711756CC" w:rsidR="0008743F">
        <w:rPr>
          <w:sz w:val="22"/>
          <w:szCs w:val="22"/>
        </w:rPr>
        <w:t>n July</w:t>
      </w:r>
      <w:r w:rsidRPr="711756CC" w:rsidR="008B1ECA">
        <w:rPr>
          <w:sz w:val="22"/>
          <w:szCs w:val="22"/>
        </w:rPr>
        <w:t xml:space="preserve"> 5, 2024, the Wireline Competition Bureau </w:t>
      </w:r>
      <w:r w:rsidRPr="711756CC" w:rsidR="00BB0EC1">
        <w:rPr>
          <w:sz w:val="22"/>
          <w:szCs w:val="22"/>
        </w:rPr>
        <w:t xml:space="preserve">(Bureau) </w:t>
      </w:r>
      <w:r w:rsidRPr="711756CC" w:rsidR="008B1ECA">
        <w:rPr>
          <w:sz w:val="22"/>
          <w:szCs w:val="22"/>
        </w:rPr>
        <w:t xml:space="preserve">adopted an Order finding that </w:t>
      </w:r>
      <w:r w:rsidRPr="00766B71" w:rsidR="008B1ECA">
        <w:rPr>
          <w:sz w:val="22"/>
          <w:szCs w:val="22"/>
        </w:rPr>
        <w:t xml:space="preserve">good cause exists to waive compliance with the rules adopted in the </w:t>
      </w:r>
      <w:r w:rsidRPr="00766B71" w:rsidR="008B1ECA">
        <w:rPr>
          <w:i/>
          <w:iCs/>
          <w:sz w:val="22"/>
          <w:szCs w:val="22"/>
        </w:rPr>
        <w:t xml:space="preserve">SIM Swap and Port-Out Fraud Order </w:t>
      </w:r>
      <w:r w:rsidRPr="00766B71" w:rsidR="008B1ECA">
        <w:rPr>
          <w:sz w:val="22"/>
          <w:szCs w:val="22"/>
        </w:rPr>
        <w:t>that are not subject to OMB review until the effective date of the rules that are subject to OMB approval</w:t>
      </w:r>
      <w:r w:rsidRPr="00766B71" w:rsidR="00BB0EC1">
        <w:rPr>
          <w:sz w:val="22"/>
          <w:szCs w:val="22"/>
        </w:rPr>
        <w:t xml:space="preserve">, which </w:t>
      </w:r>
      <w:r w:rsidRPr="00766B71" w:rsidR="008B1ECA">
        <w:rPr>
          <w:sz w:val="22"/>
          <w:szCs w:val="22"/>
        </w:rPr>
        <w:t>effectively result</w:t>
      </w:r>
      <w:r w:rsidRPr="711756CC" w:rsidR="6B616C93">
        <w:rPr>
          <w:sz w:val="22"/>
          <w:szCs w:val="22"/>
        </w:rPr>
        <w:t>s</w:t>
      </w:r>
      <w:r w:rsidRPr="00766B71" w:rsidR="008B1ECA">
        <w:rPr>
          <w:sz w:val="22"/>
          <w:szCs w:val="22"/>
        </w:rPr>
        <w:t xml:space="preserve"> in a single synchronized timeframe:  compliance with the rules in their entirety, including those not subject to the PRA, will not be required until </w:t>
      </w:r>
      <w:r w:rsidRPr="711756CC" w:rsidR="009165F1">
        <w:rPr>
          <w:sz w:val="22"/>
          <w:szCs w:val="22"/>
        </w:rPr>
        <w:t xml:space="preserve">after </w:t>
      </w:r>
      <w:r w:rsidRPr="00766B71" w:rsidR="008B1ECA">
        <w:rPr>
          <w:sz w:val="22"/>
          <w:szCs w:val="22"/>
        </w:rPr>
        <w:t>OMB completes review of the information collection requirements associated with the Order, and the Commission publishes a notice in the Federal Register announcing the compliance date</w:t>
      </w:r>
      <w:r w:rsidRPr="00766B71" w:rsidR="00BB0EC1">
        <w:rPr>
          <w:sz w:val="22"/>
          <w:szCs w:val="22"/>
        </w:rPr>
        <w:t>.</w:t>
      </w:r>
      <w:r>
        <w:rPr>
          <w:rStyle w:val="FootnoteReference"/>
          <w:sz w:val="22"/>
          <w:szCs w:val="22"/>
        </w:rPr>
        <w:footnoteReference w:id="33"/>
      </w:r>
      <w:r w:rsidRPr="711756CC" w:rsidR="00AF43E6">
        <w:rPr>
          <w:sz w:val="22"/>
          <w:szCs w:val="22"/>
        </w:rPr>
        <w:t xml:space="preserve">  </w:t>
      </w:r>
      <w:r w:rsidRPr="711756CC" w:rsidR="00781EBE">
        <w:rPr>
          <w:sz w:val="22"/>
          <w:szCs w:val="22"/>
        </w:rPr>
        <w:t>As for the timing of the Public Notice announcing a compliance date, t</w:t>
      </w:r>
      <w:r w:rsidRPr="711756CC" w:rsidR="00485B8A">
        <w:rPr>
          <w:sz w:val="22"/>
          <w:szCs w:val="22"/>
        </w:rPr>
        <w:t xml:space="preserve">o provide additional clarity to providers, the Commission commits to ensuring that compliance with the new rules will not be required for at least 30 days </w:t>
      </w:r>
      <w:r w:rsidRPr="00501AE9" w:rsidR="00485B8A">
        <w:rPr>
          <w:sz w:val="22"/>
          <w:szCs w:val="22"/>
        </w:rPr>
        <w:t xml:space="preserve">after </w:t>
      </w:r>
      <w:r w:rsidRPr="00501AE9" w:rsidR="00ED355F">
        <w:rPr>
          <w:sz w:val="22"/>
          <w:szCs w:val="22"/>
        </w:rPr>
        <w:t>the</w:t>
      </w:r>
      <w:r w:rsidRPr="00501AE9" w:rsidR="0042725E">
        <w:rPr>
          <w:sz w:val="22"/>
          <w:szCs w:val="22"/>
        </w:rPr>
        <w:t xml:space="preserve"> publication in the Federal Register</w:t>
      </w:r>
      <w:r w:rsidRPr="00501AE9" w:rsidR="00814B43">
        <w:rPr>
          <w:sz w:val="22"/>
          <w:szCs w:val="22"/>
        </w:rPr>
        <w:t xml:space="preserve"> of notice that OMB has completed its review. </w:t>
      </w:r>
    </w:p>
    <w:p w:rsidR="00A501C7" w:rsidRPr="00501AE9" w:rsidP="00974E19" w14:paraId="7F9BB0AE" w14:textId="77777777">
      <w:pPr>
        <w:ind w:firstLine="720"/>
        <w:rPr>
          <w:sz w:val="22"/>
          <w:szCs w:val="22"/>
        </w:rPr>
      </w:pPr>
    </w:p>
    <w:p w:rsidR="009021A6" w:rsidP="00501AE9" w14:paraId="753BF0EE" w14:textId="4F6D6E31">
      <w:pPr>
        <w:ind w:firstLine="720"/>
        <w:rPr>
          <w:sz w:val="22"/>
          <w:szCs w:val="22"/>
        </w:rPr>
      </w:pPr>
      <w:r>
        <w:rPr>
          <w:spacing w:val="-3"/>
          <w:sz w:val="22"/>
          <w:szCs w:val="22"/>
          <w:shd w:val="clear" w:color="auto" w:fill="FFFFFF"/>
        </w:rPr>
        <w:t xml:space="preserve">Finally, </w:t>
      </w:r>
      <w:r w:rsidRPr="711756CC" w:rsidR="00F43B14">
        <w:rPr>
          <w:sz w:val="22"/>
          <w:szCs w:val="22"/>
        </w:rPr>
        <w:t>CTIA raises concerns regarding the “No Cost</w:t>
      </w:r>
      <w:r w:rsidRPr="711756CC" w:rsidR="75D1CD59">
        <w:rPr>
          <w:sz w:val="22"/>
          <w:szCs w:val="22"/>
        </w:rPr>
        <w:t xml:space="preserve"> Burden</w:t>
      </w:r>
      <w:r w:rsidRPr="711756CC" w:rsidR="00F43B14">
        <w:rPr>
          <w:sz w:val="22"/>
          <w:szCs w:val="22"/>
        </w:rPr>
        <w:t>” estimates for the information collections.  CTIA asserts that “providers report that the costs of contracting vendors and other third-party resources to assist in implementing the systems to fulfill the Order’s information collection requirements could range from tens of thousands of dollars for regional providers, to millions of dollars for nationwide wireless providers.”</w:t>
      </w:r>
      <w:r>
        <w:rPr>
          <w:rStyle w:val="FootnoteReference"/>
          <w:spacing w:val="-3"/>
          <w:sz w:val="22"/>
          <w:szCs w:val="22"/>
          <w:shd w:val="clear" w:color="auto" w:fill="FFFFFF"/>
        </w:rPr>
        <w:footnoteReference w:id="34"/>
      </w:r>
      <w:r w:rsidRPr="711756CC" w:rsidR="00F43B14">
        <w:rPr>
          <w:sz w:val="22"/>
          <w:szCs w:val="22"/>
        </w:rPr>
        <w:t xml:space="preserve">  </w:t>
      </w:r>
      <w:r w:rsidRPr="711756CC" w:rsidR="00A501C7">
        <w:rPr>
          <w:sz w:val="22"/>
          <w:szCs w:val="22"/>
        </w:rPr>
        <w:t>With respect to CTIA’s concerns raised about the “no cost</w:t>
      </w:r>
      <w:r w:rsidRPr="711756CC" w:rsidR="0EA499C3">
        <w:rPr>
          <w:sz w:val="22"/>
          <w:szCs w:val="22"/>
        </w:rPr>
        <w:t xml:space="preserve"> burden</w:t>
      </w:r>
      <w:r w:rsidRPr="711756CC" w:rsidR="00A501C7">
        <w:rPr>
          <w:sz w:val="22"/>
          <w:szCs w:val="22"/>
        </w:rPr>
        <w:t xml:space="preserve">” estimates for the information collections, </w:t>
      </w:r>
      <w:r w:rsidRPr="711756CC" w:rsidR="007A49B5">
        <w:rPr>
          <w:sz w:val="22"/>
          <w:szCs w:val="22"/>
        </w:rPr>
        <w:t>c</w:t>
      </w:r>
      <w:r w:rsidRPr="711756CC" w:rsidR="00A501C7">
        <w:rPr>
          <w:sz w:val="22"/>
          <w:szCs w:val="22"/>
        </w:rPr>
        <w:t>onsistent with OMB’s instructions, the Commission’s estimate of “Total Annual Cost” includes capital, start-up, operation, and maintenance costs, and excludes hourly labor costs, which are estimated separately.  Thus $0 “Total Annual Cost” does not mean that</w:t>
      </w:r>
      <w:r w:rsidRPr="711756CC" w:rsidR="598B91AB">
        <w:rPr>
          <w:sz w:val="22"/>
          <w:szCs w:val="22"/>
        </w:rPr>
        <w:t xml:space="preserve"> the</w:t>
      </w:r>
      <w:r w:rsidRPr="711756CC" w:rsidR="00A501C7">
        <w:rPr>
          <w:sz w:val="22"/>
          <w:szCs w:val="22"/>
        </w:rPr>
        <w:t xml:space="preserve"> Commission does not expect that providers will have no costs to implement the </w:t>
      </w:r>
      <w:r w:rsidRPr="711756CC" w:rsidR="007A61B8">
        <w:rPr>
          <w:sz w:val="22"/>
          <w:szCs w:val="22"/>
        </w:rPr>
        <w:t>collection</w:t>
      </w:r>
      <w:r w:rsidRPr="711756CC" w:rsidR="00A501C7">
        <w:rPr>
          <w:sz w:val="22"/>
          <w:szCs w:val="22"/>
        </w:rPr>
        <w:t>.  Provider costs are simply captured elsewhere in the information collection</w:t>
      </w:r>
      <w:r w:rsidR="00151607">
        <w:rPr>
          <w:sz w:val="22"/>
          <w:szCs w:val="22"/>
        </w:rPr>
        <w:t xml:space="preserve">.  </w:t>
      </w:r>
      <w:r w:rsidRPr="711756CC" w:rsidR="00D1355F">
        <w:rPr>
          <w:sz w:val="22"/>
          <w:szCs w:val="22"/>
        </w:rPr>
        <w:t xml:space="preserve">Further, while CTIA and CCA assert that complying with the new rules will require </w:t>
      </w:r>
      <w:r w:rsidRPr="711756CC" w:rsidR="003928CD">
        <w:rPr>
          <w:sz w:val="22"/>
          <w:szCs w:val="22"/>
        </w:rPr>
        <w:t>engagement with outside vendors, contractors, and equipment manufacturers,</w:t>
      </w:r>
      <w:r>
        <w:rPr>
          <w:rStyle w:val="FootnoteReference"/>
          <w:sz w:val="22"/>
          <w:szCs w:val="22"/>
        </w:rPr>
        <w:footnoteReference w:id="35"/>
      </w:r>
      <w:r w:rsidRPr="711756CC" w:rsidR="003928CD">
        <w:rPr>
          <w:sz w:val="22"/>
          <w:szCs w:val="22"/>
        </w:rPr>
        <w:t xml:space="preserve"> we make clear that the Commission did not suggest that providers would incur no costs in responding to the collection.  Further, neither CTIA nor CCA provided estimates for: (a) how many providers would rely on outside expert consultants, (b) how much consultant time would be incurred by providers, (c) what type of consultants would be used (e.g., NTCA did not specify whether “outside expert consultants” would be attorneys, engineers, or web administrators, etc.), or (d) the costs of obtaining outside expert consultants </w:t>
      </w:r>
      <w:r w:rsidRPr="711756CC" w:rsidR="003928CD">
        <w:rPr>
          <w:sz w:val="22"/>
          <w:szCs w:val="22"/>
        </w:rPr>
        <w:t xml:space="preserve">(e.g., hourly rates).  </w:t>
      </w:r>
      <w:r w:rsidRPr="711756CC" w:rsidR="001416F8">
        <w:rPr>
          <w:sz w:val="22"/>
          <w:szCs w:val="22"/>
        </w:rPr>
        <w:t>W</w:t>
      </w:r>
      <w:r w:rsidRPr="711756CC" w:rsidR="003928CD">
        <w:rPr>
          <w:sz w:val="22"/>
          <w:szCs w:val="22"/>
        </w:rPr>
        <w:t xml:space="preserve">e do not estimate that any costs associated with obtaining necessary outside consultants would be substantially different from the estimates of in-house costs.  </w:t>
      </w:r>
    </w:p>
    <w:p w:rsidR="0086658A" w:rsidRPr="001C2D09" w:rsidP="000F774F" w14:paraId="25FC2986" w14:textId="77777777">
      <w:pPr>
        <w:rPr>
          <w:spacing w:val="-3"/>
          <w:sz w:val="22"/>
          <w:szCs w:val="22"/>
          <w:shd w:val="clear" w:color="auto" w:fill="FFFFFF"/>
        </w:rPr>
      </w:pPr>
    </w:p>
    <w:p w:rsidR="00005848" w:rsidRPr="001C2D09" w:rsidP="0077092A" w14:paraId="55D1ADD4" w14:textId="1294989E">
      <w:pPr>
        <w:rPr>
          <w:spacing w:val="-3"/>
          <w:sz w:val="22"/>
          <w:szCs w:val="22"/>
          <w:shd w:val="clear" w:color="auto" w:fill="FFFFFF"/>
        </w:rPr>
      </w:pPr>
      <w:r w:rsidRPr="001C2D09">
        <w:rPr>
          <w:spacing w:val="-3"/>
          <w:sz w:val="22"/>
          <w:szCs w:val="22"/>
          <w:shd w:val="clear" w:color="auto" w:fill="FFFFFF"/>
        </w:rPr>
        <w:t>9.</w:t>
      </w:r>
      <w:r w:rsidRPr="001C2D09">
        <w:rPr>
          <w:spacing w:val="-3"/>
          <w:sz w:val="22"/>
          <w:szCs w:val="22"/>
          <w:shd w:val="clear" w:color="auto" w:fill="FFFFFF"/>
        </w:rPr>
        <w:tab/>
      </w:r>
      <w:r w:rsidRPr="001C2D09" w:rsidR="001D0882">
        <w:rPr>
          <w:i/>
          <w:iCs/>
          <w:spacing w:val="-3"/>
          <w:sz w:val="22"/>
          <w:szCs w:val="22"/>
          <w:shd w:val="clear" w:color="auto" w:fill="FFFFFF"/>
        </w:rPr>
        <w:t>Payments or gifts to respondents</w:t>
      </w:r>
      <w:r w:rsidRPr="001C2D09" w:rsidR="001D0882">
        <w:rPr>
          <w:spacing w:val="-3"/>
          <w:sz w:val="22"/>
          <w:szCs w:val="22"/>
          <w:shd w:val="clear" w:color="auto" w:fill="FFFFFF"/>
        </w:rPr>
        <w:t xml:space="preserve">.  </w:t>
      </w:r>
      <w:r w:rsidRPr="001C2D09">
        <w:rPr>
          <w:spacing w:val="-3"/>
          <w:sz w:val="22"/>
          <w:szCs w:val="22"/>
          <w:shd w:val="clear" w:color="auto" w:fill="FFFFFF"/>
        </w:rPr>
        <w:t xml:space="preserve">The Commission does not anticipate providing any payment or gift to respondents.  </w:t>
      </w:r>
    </w:p>
    <w:p w:rsidR="00005848" w:rsidRPr="001C2D09" w:rsidP="0077092A" w14:paraId="68068809" w14:textId="77777777">
      <w:pPr>
        <w:rPr>
          <w:spacing w:val="-3"/>
          <w:sz w:val="22"/>
          <w:szCs w:val="22"/>
          <w:shd w:val="clear" w:color="auto" w:fill="FFFFFF"/>
        </w:rPr>
      </w:pPr>
    </w:p>
    <w:p w:rsidR="00182938" w:rsidRPr="001C2D09" w:rsidP="008862B9" w14:paraId="5D9DC24B" w14:textId="09333120">
      <w:pPr>
        <w:numPr>
          <w:ilvl w:val="0"/>
          <w:numId w:val="85"/>
        </w:numPr>
        <w:tabs>
          <w:tab w:val="clear" w:pos="720"/>
        </w:tabs>
        <w:ind w:left="0" w:firstLine="0"/>
        <w:rPr>
          <w:spacing w:val="-3"/>
          <w:sz w:val="22"/>
          <w:szCs w:val="22"/>
          <w:shd w:val="clear" w:color="auto" w:fill="FFFFFF"/>
        </w:rPr>
      </w:pPr>
      <w:r w:rsidRPr="001C2D09">
        <w:rPr>
          <w:i/>
          <w:iCs/>
          <w:spacing w:val="-3"/>
          <w:sz w:val="22"/>
          <w:szCs w:val="22"/>
          <w:shd w:val="clear" w:color="auto" w:fill="FFFFFF"/>
        </w:rPr>
        <w:t>Assurances of confidentiality</w:t>
      </w:r>
      <w:r w:rsidRPr="001C2D09">
        <w:rPr>
          <w:spacing w:val="-3"/>
          <w:sz w:val="22"/>
          <w:szCs w:val="22"/>
          <w:shd w:val="clear" w:color="auto" w:fill="FFFFFF"/>
        </w:rPr>
        <w:t xml:space="preserve">.  </w:t>
      </w:r>
      <w:r w:rsidRPr="001C2D09" w:rsidR="001D25CE">
        <w:rPr>
          <w:spacing w:val="-3"/>
          <w:sz w:val="22"/>
          <w:szCs w:val="22"/>
          <w:shd w:val="clear" w:color="auto" w:fill="FFFFFF"/>
        </w:rPr>
        <w:t xml:space="preserve">The Commission is not requesting </w:t>
      </w:r>
      <w:r w:rsidRPr="001C2D09" w:rsidR="00A21A3B">
        <w:rPr>
          <w:spacing w:val="-3"/>
          <w:sz w:val="22"/>
          <w:szCs w:val="22"/>
          <w:shd w:val="clear" w:color="auto" w:fill="FFFFFF"/>
        </w:rPr>
        <w:t xml:space="preserve">that </w:t>
      </w:r>
      <w:r w:rsidRPr="001C2D09" w:rsidR="001D25CE">
        <w:rPr>
          <w:spacing w:val="-3"/>
          <w:sz w:val="22"/>
          <w:szCs w:val="22"/>
          <w:shd w:val="clear" w:color="auto" w:fill="FFFFFF"/>
        </w:rPr>
        <w:t xml:space="preserve">respondents </w:t>
      </w:r>
      <w:r w:rsidRPr="001C2D09" w:rsidR="00A21A3B">
        <w:rPr>
          <w:spacing w:val="-3"/>
          <w:sz w:val="22"/>
          <w:szCs w:val="22"/>
          <w:shd w:val="clear" w:color="auto" w:fill="FFFFFF"/>
        </w:rPr>
        <w:t>s</w:t>
      </w:r>
      <w:r w:rsidRPr="001C2D09" w:rsidR="001D25CE">
        <w:rPr>
          <w:spacing w:val="-3"/>
          <w:sz w:val="22"/>
          <w:szCs w:val="22"/>
          <w:shd w:val="clear" w:color="auto" w:fill="FFFFFF"/>
        </w:rPr>
        <w:t>ubmit confidential information.  Any respondent who submits information to the Commission</w:t>
      </w:r>
      <w:r w:rsidRPr="001C2D09" w:rsidR="00A21A3B">
        <w:rPr>
          <w:spacing w:val="-3"/>
          <w:sz w:val="22"/>
          <w:szCs w:val="22"/>
          <w:shd w:val="clear" w:color="auto" w:fill="FFFFFF"/>
        </w:rPr>
        <w:t>, which</w:t>
      </w:r>
      <w:r w:rsidRPr="001C2D09" w:rsidR="001D25CE">
        <w:rPr>
          <w:spacing w:val="-3"/>
          <w:sz w:val="22"/>
          <w:szCs w:val="22"/>
          <w:shd w:val="clear" w:color="auto" w:fill="FFFFFF"/>
        </w:rPr>
        <w:t xml:space="preserve"> the respondent believes is confidential</w:t>
      </w:r>
      <w:r w:rsidRPr="001C2D09" w:rsidR="008477C8">
        <w:rPr>
          <w:spacing w:val="-3"/>
          <w:sz w:val="22"/>
          <w:szCs w:val="22"/>
          <w:shd w:val="clear" w:color="auto" w:fill="FFFFFF"/>
        </w:rPr>
        <w:t>,</w:t>
      </w:r>
      <w:r w:rsidRPr="001C2D09" w:rsidR="001D25CE">
        <w:rPr>
          <w:spacing w:val="-3"/>
          <w:sz w:val="22"/>
          <w:szCs w:val="22"/>
          <w:shd w:val="clear" w:color="auto" w:fill="FFFFFF"/>
        </w:rPr>
        <w:t xml:space="preserve"> may request confidential treatment of such information under section 0.459 o</w:t>
      </w:r>
      <w:r w:rsidRPr="001C2D09" w:rsidR="00DF48B7">
        <w:rPr>
          <w:spacing w:val="-3"/>
          <w:sz w:val="22"/>
          <w:szCs w:val="22"/>
          <w:shd w:val="clear" w:color="auto" w:fill="FFFFFF"/>
        </w:rPr>
        <w:t>f the Commission</w:t>
      </w:r>
      <w:r w:rsidRPr="001C2D09" w:rsidR="00DC5C92">
        <w:rPr>
          <w:spacing w:val="-3"/>
          <w:sz w:val="22"/>
          <w:szCs w:val="22"/>
          <w:shd w:val="clear" w:color="auto" w:fill="FFFFFF"/>
        </w:rPr>
        <w:t>’</w:t>
      </w:r>
      <w:r w:rsidRPr="001C2D09" w:rsidR="00DF48B7">
        <w:rPr>
          <w:spacing w:val="-3"/>
          <w:sz w:val="22"/>
          <w:szCs w:val="22"/>
          <w:shd w:val="clear" w:color="auto" w:fill="FFFFFF"/>
        </w:rPr>
        <w:t xml:space="preserve">s rules.  </w:t>
      </w:r>
      <w:r w:rsidRPr="001C2D09" w:rsidR="00DF48B7">
        <w:rPr>
          <w:i/>
          <w:spacing w:val="-3"/>
          <w:sz w:val="22"/>
          <w:szCs w:val="22"/>
          <w:shd w:val="clear" w:color="auto" w:fill="FFFFFF"/>
        </w:rPr>
        <w:t>See</w:t>
      </w:r>
      <w:r w:rsidRPr="001C2D09" w:rsidR="00DF48B7">
        <w:rPr>
          <w:spacing w:val="-3"/>
          <w:sz w:val="22"/>
          <w:szCs w:val="22"/>
          <w:shd w:val="clear" w:color="auto" w:fill="FFFFFF"/>
        </w:rPr>
        <w:t xml:space="preserve"> 47 C</w:t>
      </w:r>
      <w:r w:rsidRPr="001C2D09" w:rsidR="001D25CE">
        <w:rPr>
          <w:spacing w:val="-3"/>
          <w:sz w:val="22"/>
          <w:szCs w:val="22"/>
          <w:shd w:val="clear" w:color="auto" w:fill="FFFFFF"/>
        </w:rPr>
        <w:t>FR</w:t>
      </w:r>
      <w:r w:rsidRPr="001C2D09" w:rsidR="00DF48B7">
        <w:rPr>
          <w:spacing w:val="-3"/>
          <w:sz w:val="22"/>
          <w:szCs w:val="22"/>
          <w:shd w:val="clear" w:color="auto" w:fill="FFFFFF"/>
        </w:rPr>
        <w:t xml:space="preserve"> </w:t>
      </w:r>
      <w:r w:rsidRPr="001C2D09" w:rsidR="00DC5C92">
        <w:rPr>
          <w:spacing w:val="-3"/>
          <w:sz w:val="22"/>
          <w:szCs w:val="22"/>
          <w:shd w:val="clear" w:color="auto" w:fill="FFFFFF"/>
        </w:rPr>
        <w:t>§ </w:t>
      </w:r>
      <w:r w:rsidRPr="001C2D09" w:rsidR="001D25CE">
        <w:rPr>
          <w:spacing w:val="-3"/>
          <w:sz w:val="22"/>
          <w:szCs w:val="22"/>
          <w:shd w:val="clear" w:color="auto" w:fill="FFFFFF"/>
        </w:rPr>
        <w:t>0.459.</w:t>
      </w:r>
      <w:r w:rsidRPr="001C2D09" w:rsidR="00A21A3B">
        <w:rPr>
          <w:spacing w:val="-3"/>
          <w:sz w:val="22"/>
          <w:szCs w:val="22"/>
          <w:shd w:val="clear" w:color="auto" w:fill="FFFFFF"/>
        </w:rPr>
        <w:t xml:space="preserve"> </w:t>
      </w:r>
      <w:r w:rsidRPr="001C2D09" w:rsidR="00D7393F">
        <w:rPr>
          <w:spacing w:val="-3"/>
          <w:sz w:val="22"/>
          <w:szCs w:val="22"/>
          <w:shd w:val="clear" w:color="auto" w:fill="FFFFFF"/>
        </w:rPr>
        <w:t xml:space="preserve"> </w:t>
      </w:r>
    </w:p>
    <w:p w:rsidR="00182938" w:rsidRPr="001C2D09" w:rsidP="0077092A" w14:paraId="0833AF36" w14:textId="77777777">
      <w:pPr>
        <w:rPr>
          <w:b/>
          <w:spacing w:val="-3"/>
          <w:sz w:val="22"/>
          <w:szCs w:val="22"/>
          <w:shd w:val="clear" w:color="auto" w:fill="FFFFFF"/>
        </w:rPr>
      </w:pPr>
    </w:p>
    <w:p w:rsidR="001414BC" w:rsidRPr="001C2D09" w:rsidP="0077092A" w14:paraId="41D556AD" w14:textId="6E2DDAC3">
      <w:pPr>
        <w:tabs>
          <w:tab w:val="left" w:pos="-720"/>
        </w:tabs>
        <w:suppressAutoHyphens/>
        <w:rPr>
          <w:spacing w:val="-3"/>
          <w:sz w:val="22"/>
          <w:szCs w:val="22"/>
          <w:shd w:val="clear" w:color="auto" w:fill="FFFFFF"/>
        </w:rPr>
      </w:pPr>
      <w:r w:rsidRPr="001C2D09">
        <w:rPr>
          <w:spacing w:val="-3"/>
          <w:sz w:val="22"/>
          <w:szCs w:val="22"/>
          <w:shd w:val="clear" w:color="auto" w:fill="FFFFFF"/>
        </w:rPr>
        <w:t>11.</w:t>
      </w:r>
      <w:r w:rsidRPr="001C2D09">
        <w:rPr>
          <w:spacing w:val="-3"/>
          <w:sz w:val="22"/>
          <w:szCs w:val="22"/>
          <w:shd w:val="clear" w:color="auto" w:fill="FFFFFF"/>
        </w:rPr>
        <w:tab/>
      </w:r>
      <w:r w:rsidRPr="001C2D09" w:rsidR="008C6422">
        <w:rPr>
          <w:i/>
          <w:iCs/>
          <w:spacing w:val="-3"/>
          <w:sz w:val="22"/>
          <w:szCs w:val="22"/>
          <w:shd w:val="clear" w:color="auto" w:fill="FFFFFF"/>
        </w:rPr>
        <w:t>Questions of a sensitive nature</w:t>
      </w:r>
      <w:r w:rsidRPr="001C2D09" w:rsidR="008C6422">
        <w:rPr>
          <w:spacing w:val="-3"/>
          <w:sz w:val="22"/>
          <w:szCs w:val="22"/>
          <w:shd w:val="clear" w:color="auto" w:fill="FFFFFF"/>
        </w:rPr>
        <w:t xml:space="preserve">.  </w:t>
      </w:r>
      <w:r w:rsidRPr="001C2D09">
        <w:rPr>
          <w:spacing w:val="-3"/>
          <w:sz w:val="22"/>
          <w:szCs w:val="22"/>
          <w:shd w:val="clear" w:color="auto" w:fill="FFFFFF"/>
        </w:rPr>
        <w:t>There are no questions of a sensitive nature with respect to the information collected.</w:t>
      </w:r>
      <w:r w:rsidRPr="001C2D09" w:rsidR="00AD187E">
        <w:rPr>
          <w:spacing w:val="-3"/>
          <w:sz w:val="22"/>
          <w:szCs w:val="22"/>
          <w:shd w:val="clear" w:color="auto" w:fill="FFFFFF"/>
        </w:rPr>
        <w:t xml:space="preserve"> </w:t>
      </w:r>
      <w:r w:rsidRPr="001C2D09" w:rsidR="001E57C2">
        <w:rPr>
          <w:spacing w:val="-3"/>
          <w:sz w:val="22"/>
          <w:szCs w:val="22"/>
          <w:shd w:val="clear" w:color="auto" w:fill="FFFFFF"/>
        </w:rPr>
        <w:t xml:space="preserve">  </w:t>
      </w:r>
    </w:p>
    <w:p w:rsidR="00A6468A" w:rsidRPr="001C2D09" w:rsidP="0077092A" w14:paraId="306AFD32" w14:textId="77777777">
      <w:pPr>
        <w:tabs>
          <w:tab w:val="left" w:pos="-720"/>
        </w:tabs>
        <w:suppressAutoHyphens/>
        <w:rPr>
          <w:sz w:val="22"/>
          <w:szCs w:val="22"/>
          <w:shd w:val="clear" w:color="auto" w:fill="FFFFFF"/>
        </w:rPr>
      </w:pPr>
    </w:p>
    <w:p w:rsidR="00D07102" w:rsidRPr="001C2D09" w:rsidP="00110C0F" w14:paraId="372E7EC3" w14:textId="06AF0BF7">
      <w:pPr>
        <w:spacing w:after="120"/>
        <w:rPr>
          <w:spacing w:val="-3"/>
          <w:sz w:val="22"/>
          <w:szCs w:val="22"/>
          <w:shd w:val="clear" w:color="auto" w:fill="FFFFFF"/>
        </w:rPr>
      </w:pPr>
      <w:r w:rsidRPr="001C2D09">
        <w:rPr>
          <w:spacing w:val="-3"/>
          <w:sz w:val="22"/>
          <w:szCs w:val="22"/>
          <w:shd w:val="clear" w:color="auto" w:fill="FFFFFF"/>
        </w:rPr>
        <w:t>12.</w:t>
      </w:r>
      <w:r w:rsidRPr="001C2D09" w:rsidR="008862B9">
        <w:rPr>
          <w:spacing w:val="-3"/>
          <w:sz w:val="22"/>
          <w:szCs w:val="22"/>
          <w:shd w:val="clear" w:color="auto" w:fill="FFFFFF"/>
        </w:rPr>
        <w:tab/>
      </w:r>
      <w:r w:rsidRPr="001C2D09" w:rsidR="00551657">
        <w:rPr>
          <w:i/>
          <w:iCs/>
          <w:spacing w:val="-3"/>
          <w:sz w:val="22"/>
          <w:szCs w:val="22"/>
          <w:shd w:val="clear" w:color="auto" w:fill="FFFFFF"/>
        </w:rPr>
        <w:t>Estimates of the hour burden of the collection to respondents</w:t>
      </w:r>
      <w:r w:rsidRPr="001C2D09" w:rsidR="00551657">
        <w:rPr>
          <w:spacing w:val="-3"/>
          <w:sz w:val="22"/>
          <w:szCs w:val="22"/>
          <w:shd w:val="clear" w:color="auto" w:fill="FFFFFF"/>
        </w:rPr>
        <w:t xml:space="preserve">.  </w:t>
      </w:r>
      <w:r w:rsidRPr="001C2D09">
        <w:rPr>
          <w:spacing w:val="-3"/>
          <w:sz w:val="22"/>
          <w:szCs w:val="22"/>
          <w:shd w:val="clear" w:color="auto" w:fill="FFFFFF"/>
        </w:rPr>
        <w:t>The foll</w:t>
      </w:r>
      <w:r w:rsidRPr="001C2D09" w:rsidR="00B5707C">
        <w:rPr>
          <w:spacing w:val="-3"/>
          <w:sz w:val="22"/>
          <w:szCs w:val="22"/>
          <w:shd w:val="clear" w:color="auto" w:fill="FFFFFF"/>
        </w:rPr>
        <w:t>owing represents the Commission’</w:t>
      </w:r>
      <w:r w:rsidRPr="001C2D09">
        <w:rPr>
          <w:spacing w:val="-3"/>
          <w:sz w:val="22"/>
          <w:szCs w:val="22"/>
          <w:shd w:val="clear" w:color="auto" w:fill="FFFFFF"/>
        </w:rPr>
        <w:t>s estimate of the annual hour burden of the collections of information</w:t>
      </w:r>
      <w:r w:rsidRPr="001C2D09" w:rsidR="00110C0F">
        <w:rPr>
          <w:spacing w:val="-3"/>
          <w:sz w:val="22"/>
          <w:szCs w:val="22"/>
          <w:shd w:val="clear" w:color="auto" w:fill="FFFFFF"/>
        </w:rPr>
        <w:t xml:space="preserve">.  </w:t>
      </w:r>
      <w:r w:rsidRPr="001C2D09">
        <w:rPr>
          <w:spacing w:val="-3"/>
          <w:sz w:val="22"/>
          <w:szCs w:val="22"/>
          <w:shd w:val="clear" w:color="auto" w:fill="FFFFFF"/>
        </w:rPr>
        <w:t>The Commission makes several assumptions:</w:t>
      </w:r>
    </w:p>
    <w:p w:rsidR="00137F95" w:rsidRPr="001C2D09" w:rsidP="008862B9" w14:paraId="5F8E694C" w14:textId="679D987F">
      <w:pPr>
        <w:pStyle w:val="ListParagraph"/>
        <w:numPr>
          <w:ilvl w:val="0"/>
          <w:numId w:val="108"/>
        </w:numPr>
        <w:rPr>
          <w:spacing w:val="-3"/>
          <w:sz w:val="22"/>
          <w:szCs w:val="22"/>
          <w:shd w:val="clear" w:color="auto" w:fill="FFFFFF"/>
        </w:rPr>
      </w:pPr>
      <w:r w:rsidRPr="001C2D09">
        <w:rPr>
          <w:spacing w:val="-3"/>
          <w:sz w:val="22"/>
          <w:szCs w:val="22"/>
          <w:shd w:val="clear" w:color="auto" w:fill="FFFFFF"/>
        </w:rPr>
        <w:t xml:space="preserve">The number of </w:t>
      </w:r>
      <w:r w:rsidRPr="001C2D09" w:rsidR="44D902FD">
        <w:rPr>
          <w:spacing w:val="-3"/>
          <w:sz w:val="22"/>
          <w:szCs w:val="22"/>
          <w:shd w:val="clear" w:color="auto" w:fill="FFFFFF"/>
        </w:rPr>
        <w:t xml:space="preserve">covered provider </w:t>
      </w:r>
      <w:r w:rsidRPr="001C2D09">
        <w:rPr>
          <w:spacing w:val="-3"/>
          <w:sz w:val="22"/>
          <w:szCs w:val="22"/>
          <w:shd w:val="clear" w:color="auto" w:fill="FFFFFF"/>
        </w:rPr>
        <w:t>respondents is</w:t>
      </w:r>
      <w:r w:rsidRPr="001C2D09" w:rsidR="32C6B1C7">
        <w:rPr>
          <w:sz w:val="22"/>
          <w:szCs w:val="22"/>
        </w:rPr>
        <w:t xml:space="preserve"> 2,935</w:t>
      </w:r>
      <w:r w:rsidRPr="001C2D09">
        <w:rPr>
          <w:spacing w:val="-3"/>
          <w:sz w:val="22"/>
          <w:szCs w:val="22"/>
          <w:shd w:val="clear" w:color="auto" w:fill="FFFFFF"/>
        </w:rPr>
        <w:t>.</w:t>
      </w:r>
      <w:r>
        <w:rPr>
          <w:rStyle w:val="FootnoteReference"/>
          <w:spacing w:val="-3"/>
          <w:sz w:val="22"/>
          <w:szCs w:val="22"/>
          <w:shd w:val="clear" w:color="auto" w:fill="FFFFFF"/>
        </w:rPr>
        <w:footnoteReference w:id="36"/>
      </w:r>
      <w:r w:rsidRPr="001C2D09" w:rsidR="13A7187E">
        <w:rPr>
          <w:rStyle w:val="FootnoteReference"/>
          <w:spacing w:val="-3"/>
          <w:sz w:val="22"/>
          <w:szCs w:val="22"/>
          <w:shd w:val="clear" w:color="auto" w:fill="FFFFFF"/>
        </w:rPr>
        <w:t xml:space="preserve"> </w:t>
      </w:r>
      <w:r w:rsidRPr="001C2D09" w:rsidR="5C5331B8">
        <w:rPr>
          <w:sz w:val="22"/>
          <w:szCs w:val="22"/>
        </w:rPr>
        <w:t xml:space="preserve"> </w:t>
      </w:r>
      <w:r w:rsidRPr="001C2D09" w:rsidR="53F5EFAE">
        <w:rPr>
          <w:sz w:val="22"/>
          <w:szCs w:val="22"/>
        </w:rPr>
        <w:t>The number of CMRS respondents is 600</w:t>
      </w:r>
      <w:r w:rsidRPr="001C2D09" w:rsidR="18EB7E42">
        <w:rPr>
          <w:sz w:val="22"/>
          <w:szCs w:val="22"/>
        </w:rPr>
        <w:t xml:space="preserve"> (60 facilities-based</w:t>
      </w:r>
      <w:r>
        <w:rPr>
          <w:rStyle w:val="FootnoteReference"/>
          <w:sz w:val="22"/>
          <w:szCs w:val="22"/>
        </w:rPr>
        <w:footnoteReference w:id="37"/>
      </w:r>
      <w:r w:rsidRPr="001C2D09" w:rsidR="18EB7E42">
        <w:rPr>
          <w:sz w:val="22"/>
          <w:szCs w:val="22"/>
        </w:rPr>
        <w:t xml:space="preserve"> + 540 MVNOs</w:t>
      </w:r>
      <w:r w:rsidRPr="001C2D09" w:rsidR="2EEA8BE3">
        <w:rPr>
          <w:sz w:val="22"/>
          <w:szCs w:val="22"/>
        </w:rPr>
        <w:t>,</w:t>
      </w:r>
      <w:r>
        <w:rPr>
          <w:rStyle w:val="FootnoteReference"/>
          <w:sz w:val="22"/>
          <w:szCs w:val="22"/>
        </w:rPr>
        <w:footnoteReference w:id="38"/>
      </w:r>
      <w:r w:rsidRPr="001C2D09" w:rsidR="70FF6421">
        <w:rPr>
          <w:rStyle w:val="FootnoteReference"/>
          <w:sz w:val="22"/>
          <w:szCs w:val="22"/>
        </w:rPr>
        <w:t xml:space="preserve"> </w:t>
      </w:r>
      <w:r w:rsidRPr="001C2D09" w:rsidR="70FF6421">
        <w:rPr>
          <w:sz w:val="22"/>
          <w:szCs w:val="22"/>
        </w:rPr>
        <w:t>both of which together are considered to be CMRS provider respondents in this Supporting Statement</w:t>
      </w:r>
      <w:r w:rsidRPr="001C2D09" w:rsidR="0DBB7C7D">
        <w:rPr>
          <w:sz w:val="22"/>
          <w:szCs w:val="22"/>
        </w:rPr>
        <w:t>)</w:t>
      </w:r>
      <w:r w:rsidRPr="001C2D09" w:rsidR="70FF6421">
        <w:rPr>
          <w:sz w:val="22"/>
          <w:szCs w:val="22"/>
        </w:rPr>
        <w:t>.</w:t>
      </w:r>
    </w:p>
    <w:p w:rsidR="00641080" w:rsidRPr="001C2D09" w:rsidP="008862B9" w14:paraId="0F0A5389" w14:textId="7C3385C5">
      <w:pPr>
        <w:pStyle w:val="ListParagraph"/>
        <w:numPr>
          <w:ilvl w:val="0"/>
          <w:numId w:val="108"/>
        </w:numPr>
        <w:rPr>
          <w:spacing w:val="-3"/>
          <w:sz w:val="22"/>
          <w:szCs w:val="22"/>
          <w:shd w:val="clear" w:color="auto" w:fill="FFFFFF"/>
        </w:rPr>
      </w:pPr>
      <w:r w:rsidRPr="001C2D09">
        <w:rPr>
          <w:spacing w:val="-3"/>
          <w:sz w:val="22"/>
          <w:szCs w:val="22"/>
          <w:shd w:val="clear" w:color="auto" w:fill="FFFFFF"/>
        </w:rPr>
        <w:t>The Commission</w:t>
      </w:r>
      <w:r w:rsidRPr="001C2D09" w:rsidR="00523411">
        <w:rPr>
          <w:spacing w:val="-3"/>
          <w:sz w:val="22"/>
          <w:szCs w:val="22"/>
          <w:shd w:val="clear" w:color="auto" w:fill="FFFFFF"/>
        </w:rPr>
        <w:t xml:space="preserve"> believe</w:t>
      </w:r>
      <w:r w:rsidRPr="001C2D09">
        <w:rPr>
          <w:spacing w:val="-3"/>
          <w:sz w:val="22"/>
          <w:szCs w:val="22"/>
          <w:shd w:val="clear" w:color="auto" w:fill="FFFFFF"/>
        </w:rPr>
        <w:t>s</w:t>
      </w:r>
      <w:r w:rsidRPr="001C2D09" w:rsidR="00523411">
        <w:rPr>
          <w:spacing w:val="-3"/>
          <w:sz w:val="22"/>
          <w:szCs w:val="22"/>
          <w:shd w:val="clear" w:color="auto" w:fill="FFFFFF"/>
        </w:rPr>
        <w:t xml:space="preserve"> that </w:t>
      </w:r>
      <w:r w:rsidRPr="001C2D09" w:rsidR="00B46664">
        <w:rPr>
          <w:spacing w:val="-3"/>
          <w:sz w:val="22"/>
          <w:szCs w:val="22"/>
          <w:shd w:val="clear" w:color="auto" w:fill="FFFFFF"/>
        </w:rPr>
        <w:t>respondents</w:t>
      </w:r>
      <w:r w:rsidRPr="001C2D09" w:rsidR="00060561">
        <w:rPr>
          <w:spacing w:val="-3"/>
          <w:sz w:val="22"/>
          <w:szCs w:val="22"/>
          <w:shd w:val="clear" w:color="auto" w:fill="FFFFFF"/>
        </w:rPr>
        <w:t xml:space="preserve"> </w:t>
      </w:r>
      <w:r w:rsidRPr="001C2D09" w:rsidR="000B2144">
        <w:rPr>
          <w:spacing w:val="-3"/>
          <w:sz w:val="22"/>
          <w:szCs w:val="22"/>
          <w:shd w:val="clear" w:color="auto" w:fill="FFFFFF"/>
        </w:rPr>
        <w:t>have adopted information technology, office automation techniques, and standardized business practices and routines to increase efficiency in most areas of</w:t>
      </w:r>
      <w:r w:rsidRPr="001C2D09" w:rsidR="00B800C4">
        <w:rPr>
          <w:spacing w:val="-3"/>
          <w:sz w:val="22"/>
          <w:szCs w:val="22"/>
          <w:shd w:val="clear" w:color="auto" w:fill="FFFFFF"/>
        </w:rPr>
        <w:t xml:space="preserve"> their </w:t>
      </w:r>
      <w:r w:rsidRPr="001C2D09" w:rsidR="000B2144">
        <w:rPr>
          <w:spacing w:val="-3"/>
          <w:sz w:val="22"/>
          <w:szCs w:val="22"/>
          <w:shd w:val="clear" w:color="auto" w:fill="FFFFFF"/>
        </w:rPr>
        <w:t>business</w:t>
      </w:r>
      <w:r w:rsidRPr="001C2D09" w:rsidR="00B800C4">
        <w:rPr>
          <w:spacing w:val="-3"/>
          <w:sz w:val="22"/>
          <w:szCs w:val="22"/>
          <w:shd w:val="clear" w:color="auto" w:fill="FFFFFF"/>
        </w:rPr>
        <w:t>es</w:t>
      </w:r>
      <w:r w:rsidRPr="001C2D09" w:rsidR="00C4042A">
        <w:rPr>
          <w:spacing w:val="-3"/>
          <w:sz w:val="22"/>
          <w:szCs w:val="22"/>
          <w:shd w:val="clear" w:color="auto" w:fill="FFFFFF"/>
        </w:rPr>
        <w:t>’</w:t>
      </w:r>
      <w:r w:rsidRPr="001C2D09" w:rsidR="00B800C4">
        <w:rPr>
          <w:spacing w:val="-3"/>
          <w:sz w:val="22"/>
          <w:szCs w:val="22"/>
          <w:shd w:val="clear" w:color="auto" w:fill="FFFFFF"/>
        </w:rPr>
        <w:t xml:space="preserve"> functions</w:t>
      </w:r>
      <w:r w:rsidRPr="001C2D09" w:rsidR="000B2144">
        <w:rPr>
          <w:spacing w:val="-3"/>
          <w:sz w:val="22"/>
          <w:szCs w:val="22"/>
          <w:shd w:val="clear" w:color="auto" w:fill="FFFFFF"/>
        </w:rPr>
        <w:t xml:space="preserve">, </w:t>
      </w:r>
      <w:r w:rsidRPr="001C2D09" w:rsidR="00B46664">
        <w:rPr>
          <w:spacing w:val="-3"/>
          <w:sz w:val="22"/>
          <w:szCs w:val="22"/>
          <w:shd w:val="clear" w:color="auto" w:fill="FFFFFF"/>
        </w:rPr>
        <w:t>including collection and protection of CPNI,</w:t>
      </w:r>
      <w:r w:rsidRPr="001C2D09" w:rsidR="000B2144">
        <w:rPr>
          <w:spacing w:val="-3"/>
          <w:sz w:val="22"/>
          <w:szCs w:val="22"/>
          <w:shd w:val="clear" w:color="auto" w:fill="FFFFFF"/>
        </w:rPr>
        <w:t xml:space="preserve"> </w:t>
      </w:r>
      <w:r w:rsidRPr="001C2D09" w:rsidR="00B46664">
        <w:rPr>
          <w:spacing w:val="-3"/>
          <w:sz w:val="22"/>
          <w:szCs w:val="22"/>
          <w:shd w:val="clear" w:color="auto" w:fill="FFFFFF"/>
        </w:rPr>
        <w:t xml:space="preserve">and that </w:t>
      </w:r>
      <w:r w:rsidRPr="001C2D09" w:rsidR="000B2144">
        <w:rPr>
          <w:spacing w:val="-3"/>
          <w:sz w:val="22"/>
          <w:szCs w:val="22"/>
          <w:shd w:val="clear" w:color="auto" w:fill="FFFFFF"/>
        </w:rPr>
        <w:t>th</w:t>
      </w:r>
      <w:r w:rsidRPr="001C2D09" w:rsidR="00523411">
        <w:rPr>
          <w:spacing w:val="-3"/>
          <w:sz w:val="22"/>
          <w:szCs w:val="22"/>
          <w:shd w:val="clear" w:color="auto" w:fill="FFFFFF"/>
        </w:rPr>
        <w:t>e</w:t>
      </w:r>
      <w:r w:rsidRPr="001C2D09" w:rsidR="00B46664">
        <w:rPr>
          <w:spacing w:val="-3"/>
          <w:sz w:val="22"/>
          <w:szCs w:val="22"/>
          <w:shd w:val="clear" w:color="auto" w:fill="FFFFFF"/>
        </w:rPr>
        <w:t xml:space="preserve"> respondent</w:t>
      </w:r>
      <w:r w:rsidRPr="001C2D09" w:rsidR="000B2144">
        <w:rPr>
          <w:spacing w:val="-3"/>
          <w:sz w:val="22"/>
          <w:szCs w:val="22"/>
          <w:shd w:val="clear" w:color="auto" w:fill="FFFFFF"/>
        </w:rPr>
        <w:t xml:space="preserve">s will adopt </w:t>
      </w:r>
      <w:r w:rsidRPr="001C2D09" w:rsidR="00C4042A">
        <w:rPr>
          <w:spacing w:val="-3"/>
          <w:sz w:val="22"/>
          <w:szCs w:val="22"/>
          <w:shd w:val="clear" w:color="auto" w:fill="FFFFFF"/>
        </w:rPr>
        <w:t xml:space="preserve">and use </w:t>
      </w:r>
      <w:r w:rsidRPr="001C2D09" w:rsidR="000B2144">
        <w:rPr>
          <w:spacing w:val="-3"/>
          <w:sz w:val="22"/>
          <w:szCs w:val="22"/>
          <w:shd w:val="clear" w:color="auto" w:fill="FFFFFF"/>
        </w:rPr>
        <w:t xml:space="preserve">similar </w:t>
      </w:r>
      <w:r w:rsidRPr="001C2D09" w:rsidR="00523411">
        <w:rPr>
          <w:spacing w:val="-3"/>
          <w:sz w:val="22"/>
          <w:szCs w:val="22"/>
          <w:shd w:val="clear" w:color="auto" w:fill="FFFFFF"/>
        </w:rPr>
        <w:t>information technology</w:t>
      </w:r>
      <w:r w:rsidRPr="001C2D09">
        <w:rPr>
          <w:spacing w:val="-3"/>
          <w:sz w:val="22"/>
          <w:szCs w:val="22"/>
          <w:shd w:val="clear" w:color="auto" w:fill="FFFFFF"/>
        </w:rPr>
        <w:t xml:space="preserve">, </w:t>
      </w:r>
      <w:r w:rsidRPr="001C2D09" w:rsidR="00523411">
        <w:rPr>
          <w:spacing w:val="-3"/>
          <w:sz w:val="22"/>
          <w:szCs w:val="22"/>
          <w:shd w:val="clear" w:color="auto" w:fill="FFFFFF"/>
        </w:rPr>
        <w:t>office automation techniques</w:t>
      </w:r>
      <w:r w:rsidRPr="001C2D09">
        <w:rPr>
          <w:spacing w:val="-3"/>
          <w:sz w:val="22"/>
          <w:szCs w:val="22"/>
          <w:shd w:val="clear" w:color="auto" w:fill="FFFFFF"/>
        </w:rPr>
        <w:t>, and standardized business practices and routines</w:t>
      </w:r>
      <w:r w:rsidRPr="001C2D09" w:rsidR="00523411">
        <w:rPr>
          <w:spacing w:val="-3"/>
          <w:sz w:val="22"/>
          <w:szCs w:val="22"/>
          <w:shd w:val="clear" w:color="auto" w:fill="FFFFFF"/>
        </w:rPr>
        <w:t xml:space="preserve"> to reduce the </w:t>
      </w:r>
      <w:r w:rsidRPr="001C2D09">
        <w:rPr>
          <w:spacing w:val="-3"/>
          <w:sz w:val="22"/>
          <w:szCs w:val="22"/>
          <w:shd w:val="clear" w:color="auto" w:fill="FFFFFF"/>
        </w:rPr>
        <w:t xml:space="preserve">hourly </w:t>
      </w:r>
      <w:r w:rsidRPr="001C2D09" w:rsidR="00523411">
        <w:rPr>
          <w:spacing w:val="-3"/>
          <w:sz w:val="22"/>
          <w:szCs w:val="22"/>
          <w:shd w:val="clear" w:color="auto" w:fill="FFFFFF"/>
        </w:rPr>
        <w:t>burden</w:t>
      </w:r>
      <w:r w:rsidRPr="001C2D09">
        <w:rPr>
          <w:spacing w:val="-3"/>
          <w:sz w:val="22"/>
          <w:szCs w:val="22"/>
          <w:shd w:val="clear" w:color="auto" w:fill="FFFFFF"/>
        </w:rPr>
        <w:t xml:space="preserve"> requirements</w:t>
      </w:r>
      <w:r w:rsidRPr="001C2D09" w:rsidR="00B46664">
        <w:rPr>
          <w:spacing w:val="-3"/>
          <w:sz w:val="22"/>
          <w:szCs w:val="22"/>
          <w:shd w:val="clear" w:color="auto" w:fill="FFFFFF"/>
        </w:rPr>
        <w:t>,</w:t>
      </w:r>
      <w:r w:rsidRPr="001C2D09">
        <w:rPr>
          <w:spacing w:val="-3"/>
          <w:sz w:val="22"/>
          <w:szCs w:val="22"/>
          <w:shd w:val="clear" w:color="auto" w:fill="FFFFFF"/>
        </w:rPr>
        <w:t xml:space="preserve"> “in house” </w:t>
      </w:r>
      <w:r w:rsidRPr="001C2D09" w:rsidR="00B46664">
        <w:rPr>
          <w:spacing w:val="-3"/>
          <w:sz w:val="22"/>
          <w:szCs w:val="22"/>
          <w:shd w:val="clear" w:color="auto" w:fill="FFFFFF"/>
        </w:rPr>
        <w:t>costs, a</w:t>
      </w:r>
      <w:r w:rsidRPr="001C2D09">
        <w:rPr>
          <w:spacing w:val="-3"/>
          <w:sz w:val="22"/>
          <w:szCs w:val="22"/>
          <w:shd w:val="clear" w:color="auto" w:fill="FFFFFF"/>
        </w:rPr>
        <w:t>nd annual costs</w:t>
      </w:r>
      <w:r w:rsidRPr="001C2D09" w:rsidR="00523411">
        <w:rPr>
          <w:spacing w:val="-3"/>
          <w:sz w:val="22"/>
          <w:szCs w:val="22"/>
          <w:shd w:val="clear" w:color="auto" w:fill="FFFFFF"/>
        </w:rPr>
        <w:t xml:space="preserve"> that </w:t>
      </w:r>
      <w:r w:rsidRPr="001C2D09">
        <w:rPr>
          <w:spacing w:val="-3"/>
          <w:sz w:val="22"/>
          <w:szCs w:val="22"/>
          <w:shd w:val="clear" w:color="auto" w:fill="FFFFFF"/>
        </w:rPr>
        <w:t>are</w:t>
      </w:r>
      <w:r w:rsidRPr="001C2D09" w:rsidR="00523411">
        <w:rPr>
          <w:spacing w:val="-3"/>
          <w:sz w:val="22"/>
          <w:szCs w:val="22"/>
          <w:shd w:val="clear" w:color="auto" w:fill="FFFFFF"/>
        </w:rPr>
        <w:t xml:space="preserve"> required to collect the information</w:t>
      </w:r>
      <w:r w:rsidRPr="001C2D09">
        <w:rPr>
          <w:spacing w:val="-3"/>
          <w:sz w:val="22"/>
          <w:szCs w:val="22"/>
          <w:shd w:val="clear" w:color="auto" w:fill="FFFFFF"/>
        </w:rPr>
        <w:t xml:space="preserve">.  </w:t>
      </w:r>
    </w:p>
    <w:p w:rsidR="009B53CE" w:rsidRPr="001C2D09" w:rsidP="008862B9" w14:paraId="78018664" w14:textId="77777777">
      <w:pPr>
        <w:pStyle w:val="ListParagraph"/>
        <w:numPr>
          <w:ilvl w:val="0"/>
          <w:numId w:val="108"/>
        </w:numPr>
        <w:rPr>
          <w:spacing w:val="-3"/>
          <w:sz w:val="22"/>
          <w:szCs w:val="22"/>
          <w:shd w:val="clear" w:color="auto" w:fill="FFFFFF"/>
        </w:rPr>
      </w:pPr>
      <w:r w:rsidRPr="001C2D09">
        <w:rPr>
          <w:spacing w:val="-3"/>
          <w:sz w:val="22"/>
          <w:szCs w:val="22"/>
          <w:shd w:val="clear" w:color="auto" w:fill="FFFFFF"/>
        </w:rPr>
        <w:t>T</w:t>
      </w:r>
      <w:r w:rsidRPr="001C2D09" w:rsidR="00B9367E">
        <w:rPr>
          <w:spacing w:val="-3"/>
          <w:sz w:val="22"/>
          <w:szCs w:val="22"/>
          <w:shd w:val="clear" w:color="auto" w:fill="FFFFFF"/>
        </w:rPr>
        <w:t>he Commission believes that most of these respondent</w:t>
      </w:r>
      <w:r w:rsidRPr="001C2D09" w:rsidR="00E50B8B">
        <w:rPr>
          <w:spacing w:val="-3"/>
          <w:sz w:val="22"/>
          <w:szCs w:val="22"/>
          <w:shd w:val="clear" w:color="auto" w:fill="FFFFFF"/>
        </w:rPr>
        <w:t>s</w:t>
      </w:r>
      <w:r w:rsidRPr="001C2D09" w:rsidR="00B9367E">
        <w:rPr>
          <w:spacing w:val="-3"/>
          <w:sz w:val="22"/>
          <w:szCs w:val="22"/>
          <w:shd w:val="clear" w:color="auto" w:fill="FFFFFF"/>
        </w:rPr>
        <w:t xml:space="preserve"> will use their “in house” staff to comply with these requirements, since, as noted above, we believe that technology allows them to adjust their business and office practices and functions </w:t>
      </w:r>
      <w:r w:rsidRPr="001C2D09" w:rsidR="00781CCD">
        <w:rPr>
          <w:spacing w:val="-3"/>
          <w:sz w:val="22"/>
          <w:szCs w:val="22"/>
          <w:shd w:val="clear" w:color="auto" w:fill="FFFFFF"/>
        </w:rPr>
        <w:t xml:space="preserve">to </w:t>
      </w:r>
      <w:r w:rsidRPr="001C2D09" w:rsidR="00B9367E">
        <w:rPr>
          <w:spacing w:val="-3"/>
          <w:sz w:val="22"/>
          <w:szCs w:val="22"/>
          <w:shd w:val="clear" w:color="auto" w:fill="FFFFFF"/>
        </w:rPr>
        <w:t xml:space="preserve">meet these requirements with only minimal changes, </w:t>
      </w:r>
      <w:r w:rsidRPr="001C2D09" w:rsidR="005C4CC1">
        <w:rPr>
          <w:i/>
          <w:spacing w:val="-3"/>
          <w:sz w:val="22"/>
          <w:szCs w:val="22"/>
          <w:shd w:val="clear" w:color="auto" w:fill="FFFFFF"/>
        </w:rPr>
        <w:t>i.e</w:t>
      </w:r>
      <w:r w:rsidRPr="001C2D09" w:rsidR="00B9367E">
        <w:rPr>
          <w:spacing w:val="-3"/>
          <w:sz w:val="22"/>
          <w:szCs w:val="22"/>
          <w:shd w:val="clear" w:color="auto" w:fill="FFFFFF"/>
        </w:rPr>
        <w:t>., IT software has evolved to provide businesses with functional flexibility and adaptability.</w:t>
      </w:r>
      <w:r w:rsidRPr="001C2D09" w:rsidR="001A2D98">
        <w:rPr>
          <w:spacing w:val="-3"/>
          <w:sz w:val="22"/>
          <w:szCs w:val="22"/>
          <w:shd w:val="clear" w:color="auto" w:fill="FFFFFF"/>
        </w:rPr>
        <w:t xml:space="preserve">   </w:t>
      </w:r>
    </w:p>
    <w:p w:rsidR="00B9367E" w:rsidRPr="001C2D09" w:rsidP="008862B9" w14:paraId="42DC3F13" w14:textId="6F755872">
      <w:pPr>
        <w:pStyle w:val="ListParagraph"/>
        <w:numPr>
          <w:ilvl w:val="0"/>
          <w:numId w:val="108"/>
        </w:numPr>
        <w:rPr>
          <w:spacing w:val="-3"/>
          <w:sz w:val="22"/>
          <w:szCs w:val="22"/>
          <w:shd w:val="clear" w:color="auto" w:fill="FFFFFF"/>
        </w:rPr>
      </w:pPr>
      <w:r w:rsidRPr="001C2D09">
        <w:rPr>
          <w:spacing w:val="-3"/>
          <w:sz w:val="22"/>
          <w:szCs w:val="22"/>
          <w:shd w:val="clear" w:color="auto" w:fill="FFFFFF"/>
        </w:rPr>
        <w:t>Numbers shown below have been rounded to the nearest whole number</w:t>
      </w:r>
      <w:r w:rsidRPr="001C2D09" w:rsidR="00C4042A">
        <w:rPr>
          <w:spacing w:val="-3"/>
          <w:sz w:val="22"/>
          <w:szCs w:val="22"/>
          <w:shd w:val="clear" w:color="auto" w:fill="FFFFFF"/>
        </w:rPr>
        <w:t>,</w:t>
      </w:r>
      <w:r w:rsidRPr="001C2D09">
        <w:rPr>
          <w:spacing w:val="-3"/>
          <w:sz w:val="22"/>
          <w:szCs w:val="22"/>
          <w:shd w:val="clear" w:color="auto" w:fill="FFFFFF"/>
        </w:rPr>
        <w:t xml:space="preserve"> as applicable. </w:t>
      </w:r>
    </w:p>
    <w:p w:rsidR="00EC3948" w:rsidRPr="001C2D09" w:rsidP="0077092A" w14:paraId="166C826A" w14:textId="77777777">
      <w:pPr>
        <w:rPr>
          <w:spacing w:val="-3"/>
          <w:sz w:val="22"/>
          <w:szCs w:val="22"/>
          <w:shd w:val="clear" w:color="auto" w:fill="FFFFFF"/>
        </w:rPr>
      </w:pPr>
    </w:p>
    <w:p w:rsidR="00523411" w:rsidRPr="001C2D09" w:rsidP="00110C0F" w14:paraId="5BD3CD0F" w14:textId="7D592C54">
      <w:pPr>
        <w:spacing w:after="120"/>
        <w:rPr>
          <w:spacing w:val="-3"/>
          <w:sz w:val="22"/>
          <w:szCs w:val="22"/>
          <w:shd w:val="clear" w:color="auto" w:fill="FFFFFF"/>
        </w:rPr>
      </w:pPr>
      <w:r w:rsidRPr="001C2D09">
        <w:rPr>
          <w:b/>
          <w:spacing w:val="-3"/>
          <w:sz w:val="22"/>
          <w:szCs w:val="22"/>
          <w:shd w:val="clear" w:color="auto" w:fill="FFFFFF"/>
        </w:rPr>
        <w:t>Information</w:t>
      </w:r>
      <w:r w:rsidRPr="001C2D09" w:rsidR="00B5707C">
        <w:rPr>
          <w:b/>
          <w:spacing w:val="-3"/>
          <w:sz w:val="22"/>
          <w:szCs w:val="22"/>
          <w:shd w:val="clear" w:color="auto" w:fill="FFFFFF"/>
        </w:rPr>
        <w:t xml:space="preserve"> Collection Requirements</w:t>
      </w:r>
      <w:r w:rsidRPr="001C2D09">
        <w:rPr>
          <w:b/>
          <w:spacing w:val="-3"/>
          <w:sz w:val="22"/>
          <w:szCs w:val="22"/>
          <w:shd w:val="clear" w:color="auto" w:fill="FFFFFF"/>
        </w:rPr>
        <w:t xml:space="preserve">:  </w:t>
      </w:r>
    </w:p>
    <w:p w:rsidR="00A15614" w:rsidRPr="001C2D09" w:rsidP="00110C0F" w14:paraId="1F2E409B" w14:textId="4FE2C093">
      <w:pPr>
        <w:spacing w:after="120"/>
        <w:rPr>
          <w:spacing w:val="-3"/>
          <w:sz w:val="22"/>
          <w:szCs w:val="22"/>
          <w:shd w:val="clear" w:color="auto" w:fill="FFFFFF"/>
        </w:rPr>
      </w:pPr>
      <w:r>
        <w:rPr>
          <w:b/>
          <w:bCs/>
          <w:spacing w:val="-3"/>
          <w:sz w:val="22"/>
          <w:szCs w:val="22"/>
          <w:shd w:val="clear" w:color="auto" w:fill="FFFFFF"/>
        </w:rPr>
        <w:t>(</w:t>
      </w:r>
      <w:r w:rsidRPr="001C2D09" w:rsidR="001D25CE">
        <w:rPr>
          <w:b/>
          <w:bCs/>
          <w:spacing w:val="-3"/>
          <w:sz w:val="22"/>
          <w:szCs w:val="22"/>
          <w:shd w:val="clear" w:color="auto" w:fill="FFFFFF"/>
        </w:rPr>
        <w:t>a</w:t>
      </w:r>
      <w:r>
        <w:rPr>
          <w:b/>
          <w:bCs/>
          <w:spacing w:val="-3"/>
          <w:sz w:val="22"/>
          <w:szCs w:val="22"/>
          <w:shd w:val="clear" w:color="auto" w:fill="FFFFFF"/>
        </w:rPr>
        <w:t>)</w:t>
      </w:r>
      <w:r w:rsidRPr="001C2D09" w:rsidR="001D25CE">
        <w:rPr>
          <w:b/>
          <w:bCs/>
          <w:spacing w:val="-3"/>
          <w:sz w:val="22"/>
          <w:szCs w:val="22"/>
          <w:shd w:val="clear" w:color="auto" w:fill="FFFFFF"/>
        </w:rPr>
        <w:tab/>
        <w:t>Customer approval</w:t>
      </w:r>
      <w:r w:rsidRPr="001C2D09" w:rsidR="006A72AF">
        <w:rPr>
          <w:b/>
          <w:bCs/>
          <w:spacing w:val="-3"/>
          <w:sz w:val="22"/>
          <w:szCs w:val="22"/>
          <w:shd w:val="clear" w:color="auto" w:fill="FFFFFF"/>
        </w:rPr>
        <w:t>:</w:t>
      </w:r>
    </w:p>
    <w:p w:rsidR="00881FA5" w:rsidRPr="001C2D09" w:rsidP="00A15614" w14:paraId="6BEEB00A" w14:textId="54FAE5CC">
      <w:pPr>
        <w:spacing w:after="120"/>
        <w:rPr>
          <w:b/>
          <w:bCs/>
          <w:spacing w:val="-3"/>
          <w:sz w:val="22"/>
          <w:szCs w:val="22"/>
          <w:shd w:val="clear" w:color="auto" w:fill="FFFFFF"/>
        </w:rPr>
      </w:pPr>
      <w:r w:rsidRPr="001C2D09">
        <w:rPr>
          <w:spacing w:val="-3"/>
          <w:sz w:val="22"/>
          <w:szCs w:val="22"/>
          <w:shd w:val="clear" w:color="auto" w:fill="FFFFFF"/>
        </w:rPr>
        <w:tab/>
        <w:t>(1)</w:t>
      </w:r>
      <w:r w:rsidRPr="001C2D09">
        <w:rPr>
          <w:spacing w:val="-3"/>
          <w:sz w:val="22"/>
          <w:szCs w:val="22"/>
          <w:shd w:val="clear" w:color="auto" w:fill="FFFFFF"/>
        </w:rPr>
        <w:tab/>
      </w:r>
      <w:r w:rsidRPr="001C2D09" w:rsidR="009F7A8B">
        <w:rPr>
          <w:spacing w:val="-3"/>
          <w:sz w:val="22"/>
          <w:szCs w:val="22"/>
          <w:shd w:val="clear" w:color="auto" w:fill="FFFFFF"/>
        </w:rPr>
        <w:t xml:space="preserve">Number of Respondents: </w:t>
      </w:r>
      <w:r w:rsidRPr="001C2D09" w:rsidR="00480EE7">
        <w:rPr>
          <w:spacing w:val="-3"/>
          <w:sz w:val="22"/>
          <w:szCs w:val="22"/>
          <w:shd w:val="clear" w:color="auto" w:fill="FFFFFF"/>
        </w:rPr>
        <w:t xml:space="preserve"> </w:t>
      </w:r>
      <w:r w:rsidRPr="001C2D09" w:rsidR="00817D92">
        <w:rPr>
          <w:sz w:val="22"/>
          <w:szCs w:val="22"/>
        </w:rPr>
        <w:t xml:space="preserve"> </w:t>
      </w:r>
      <w:r w:rsidRPr="001C2D09" w:rsidR="00951624">
        <w:rPr>
          <w:sz w:val="22"/>
          <w:szCs w:val="22"/>
        </w:rPr>
        <w:t>2,935</w:t>
      </w:r>
      <w:r w:rsidRPr="001C2D09" w:rsidR="00E45BAD">
        <w:rPr>
          <w:sz w:val="22"/>
          <w:szCs w:val="22"/>
        </w:rPr>
        <w:t>.</w:t>
      </w:r>
    </w:p>
    <w:p w:rsidR="00881FA5" w:rsidRPr="001C2D09" w:rsidP="00946053" w14:paraId="2A1E88F3" w14:textId="5A780BE2">
      <w:pPr>
        <w:spacing w:after="120"/>
        <w:rPr>
          <w:sz w:val="22"/>
          <w:szCs w:val="22"/>
        </w:rPr>
      </w:pPr>
      <w:r w:rsidRPr="001C2D09">
        <w:rPr>
          <w:spacing w:val="-3"/>
          <w:sz w:val="22"/>
          <w:szCs w:val="22"/>
        </w:rPr>
        <w:t xml:space="preserve">Under the CPNI </w:t>
      </w:r>
      <w:r w:rsidRPr="001C2D09" w:rsidR="1639C36D">
        <w:rPr>
          <w:spacing w:val="-3"/>
          <w:sz w:val="22"/>
          <w:szCs w:val="22"/>
        </w:rPr>
        <w:t>rules</w:t>
      </w:r>
      <w:r w:rsidRPr="001C2D09">
        <w:rPr>
          <w:spacing w:val="-3"/>
          <w:sz w:val="22"/>
          <w:szCs w:val="22"/>
        </w:rPr>
        <w:t xml:space="preserve">, all </w:t>
      </w:r>
      <w:r w:rsidRPr="001C2D09" w:rsidR="5D2A1826">
        <w:rPr>
          <w:sz w:val="22"/>
          <w:szCs w:val="22"/>
        </w:rPr>
        <w:t xml:space="preserve">covered </w:t>
      </w:r>
      <w:r w:rsidRPr="001C2D09">
        <w:rPr>
          <w:spacing w:val="-3"/>
          <w:sz w:val="22"/>
          <w:szCs w:val="22"/>
        </w:rPr>
        <w:t>providers must file</w:t>
      </w:r>
      <w:r w:rsidRPr="001C2D09" w:rsidR="157BE612">
        <w:rPr>
          <w:spacing w:val="-3"/>
          <w:sz w:val="22"/>
          <w:szCs w:val="22"/>
        </w:rPr>
        <w:t xml:space="preserve"> from </w:t>
      </w:r>
      <w:r w:rsidRPr="001C2D09" w:rsidR="1D64C513">
        <w:rPr>
          <w:spacing w:val="-3"/>
          <w:sz w:val="22"/>
          <w:szCs w:val="22"/>
        </w:rPr>
        <w:t xml:space="preserve">January 1 to March 1 </w:t>
      </w:r>
      <w:r w:rsidRPr="001C2D09">
        <w:rPr>
          <w:spacing w:val="-3"/>
          <w:sz w:val="22"/>
          <w:szCs w:val="22"/>
        </w:rPr>
        <w:t>their annual reports certifying compliance with the Commission’s rules protecting CPNI.</w:t>
      </w:r>
      <w:r>
        <w:rPr>
          <w:rStyle w:val="FootnoteReference"/>
          <w:spacing w:val="-3"/>
          <w:sz w:val="22"/>
          <w:szCs w:val="22"/>
        </w:rPr>
        <w:footnoteReference w:id="39"/>
      </w:r>
      <w:r w:rsidRPr="001C2D09">
        <w:rPr>
          <w:spacing w:val="-3"/>
          <w:sz w:val="22"/>
          <w:szCs w:val="22"/>
        </w:rPr>
        <w:t xml:space="preserve">  </w:t>
      </w:r>
      <w:bookmarkStart w:id="3" w:name="_Hlk47004853"/>
      <w:r w:rsidRPr="001C2D09">
        <w:rPr>
          <w:spacing w:val="-3"/>
          <w:sz w:val="22"/>
          <w:szCs w:val="22"/>
        </w:rPr>
        <w:t>For our estimate, we base the number of respondents o</w:t>
      </w:r>
      <w:r w:rsidRPr="001C2D09" w:rsidR="1639C36D">
        <w:rPr>
          <w:spacing w:val="-3"/>
          <w:sz w:val="22"/>
          <w:szCs w:val="22"/>
        </w:rPr>
        <w:t xml:space="preserve">n the total number of </w:t>
      </w:r>
      <w:r w:rsidRPr="001C2D09">
        <w:rPr>
          <w:spacing w:val="-3"/>
          <w:sz w:val="22"/>
          <w:szCs w:val="22"/>
        </w:rPr>
        <w:t xml:space="preserve">annual </w:t>
      </w:r>
      <w:r w:rsidRPr="001C2D09" w:rsidR="157BE612">
        <w:rPr>
          <w:spacing w:val="-3"/>
          <w:sz w:val="22"/>
          <w:szCs w:val="22"/>
        </w:rPr>
        <w:t xml:space="preserve">CPNI </w:t>
      </w:r>
      <w:r w:rsidRPr="001C2D09">
        <w:rPr>
          <w:spacing w:val="-3"/>
          <w:sz w:val="22"/>
          <w:szCs w:val="22"/>
        </w:rPr>
        <w:t xml:space="preserve">reports </w:t>
      </w:r>
      <w:r w:rsidRPr="001C2D09" w:rsidR="1639C36D">
        <w:rPr>
          <w:spacing w:val="-3"/>
          <w:sz w:val="22"/>
          <w:szCs w:val="22"/>
        </w:rPr>
        <w:t xml:space="preserve">filed </w:t>
      </w:r>
      <w:r w:rsidRPr="001C2D09" w:rsidR="1D64C513">
        <w:rPr>
          <w:spacing w:val="-3"/>
          <w:sz w:val="22"/>
          <w:szCs w:val="22"/>
        </w:rPr>
        <w:t xml:space="preserve">from January 1, </w:t>
      </w:r>
      <w:r w:rsidRPr="001C2D09" w:rsidR="3C5664F9">
        <w:rPr>
          <w:spacing w:val="-3"/>
          <w:sz w:val="22"/>
          <w:szCs w:val="22"/>
        </w:rPr>
        <w:t>202</w:t>
      </w:r>
      <w:r w:rsidRPr="001C2D09" w:rsidR="10469D58">
        <w:rPr>
          <w:sz w:val="22"/>
          <w:szCs w:val="22"/>
        </w:rPr>
        <w:t>4</w:t>
      </w:r>
      <w:r w:rsidRPr="001C2D09" w:rsidR="3C5664F9">
        <w:rPr>
          <w:spacing w:val="-3"/>
          <w:sz w:val="22"/>
          <w:szCs w:val="22"/>
        </w:rPr>
        <w:t xml:space="preserve"> </w:t>
      </w:r>
      <w:r w:rsidRPr="001C2D09" w:rsidR="1D64C513">
        <w:rPr>
          <w:spacing w:val="-3"/>
          <w:sz w:val="22"/>
          <w:szCs w:val="22"/>
        </w:rPr>
        <w:t xml:space="preserve">to </w:t>
      </w:r>
      <w:r w:rsidRPr="001C2D09">
        <w:rPr>
          <w:spacing w:val="-3"/>
          <w:sz w:val="22"/>
          <w:szCs w:val="22"/>
        </w:rPr>
        <w:t xml:space="preserve">March </w:t>
      </w:r>
      <w:r w:rsidRPr="001C2D09" w:rsidR="634811AB">
        <w:rPr>
          <w:spacing w:val="-3"/>
          <w:sz w:val="22"/>
          <w:szCs w:val="22"/>
        </w:rPr>
        <w:t>1</w:t>
      </w:r>
      <w:r w:rsidRPr="001C2D09">
        <w:rPr>
          <w:spacing w:val="-3"/>
          <w:sz w:val="22"/>
          <w:szCs w:val="22"/>
        </w:rPr>
        <w:t xml:space="preserve">, </w:t>
      </w:r>
      <w:r w:rsidRPr="001C2D09" w:rsidR="3C5664F9">
        <w:rPr>
          <w:spacing w:val="-3"/>
          <w:sz w:val="22"/>
          <w:szCs w:val="22"/>
        </w:rPr>
        <w:t>202</w:t>
      </w:r>
      <w:r w:rsidRPr="001C2D09" w:rsidR="10469D58">
        <w:rPr>
          <w:sz w:val="22"/>
          <w:szCs w:val="22"/>
        </w:rPr>
        <w:t>4</w:t>
      </w:r>
      <w:r w:rsidRPr="001C2D09" w:rsidR="3C5664F9">
        <w:rPr>
          <w:spacing w:val="-3"/>
          <w:sz w:val="22"/>
          <w:szCs w:val="22"/>
        </w:rPr>
        <w:t xml:space="preserve"> </w:t>
      </w:r>
      <w:r w:rsidRPr="001C2D09" w:rsidR="1D64C513">
        <w:rPr>
          <w:spacing w:val="-3"/>
          <w:sz w:val="22"/>
          <w:szCs w:val="22"/>
        </w:rPr>
        <w:t xml:space="preserve">(for calendar year </w:t>
      </w:r>
      <w:r w:rsidRPr="001C2D09" w:rsidR="3C5664F9">
        <w:rPr>
          <w:spacing w:val="-3"/>
          <w:sz w:val="22"/>
          <w:szCs w:val="22"/>
        </w:rPr>
        <w:t>20</w:t>
      </w:r>
      <w:r w:rsidRPr="001C2D09" w:rsidR="634811AB">
        <w:rPr>
          <w:spacing w:val="-3"/>
          <w:sz w:val="22"/>
          <w:szCs w:val="22"/>
        </w:rPr>
        <w:t>2</w:t>
      </w:r>
      <w:r w:rsidRPr="001C2D09" w:rsidR="10469D58">
        <w:rPr>
          <w:sz w:val="22"/>
          <w:szCs w:val="22"/>
        </w:rPr>
        <w:t>3</w:t>
      </w:r>
      <w:r w:rsidRPr="001C2D09" w:rsidR="1D64C513">
        <w:rPr>
          <w:spacing w:val="-3"/>
          <w:sz w:val="22"/>
          <w:szCs w:val="22"/>
        </w:rPr>
        <w:t>)</w:t>
      </w:r>
      <w:r w:rsidRPr="001C2D09" w:rsidR="6345400C">
        <w:rPr>
          <w:spacing w:val="-3"/>
          <w:sz w:val="22"/>
          <w:szCs w:val="22"/>
        </w:rPr>
        <w:t xml:space="preserve">.  </w:t>
      </w:r>
      <w:r w:rsidRPr="001C2D09" w:rsidR="344B2C04">
        <w:rPr>
          <w:sz w:val="22"/>
          <w:szCs w:val="22"/>
        </w:rPr>
        <w:t>A</w:t>
      </w:r>
      <w:r w:rsidRPr="001C2D09" w:rsidR="1639C36D">
        <w:rPr>
          <w:spacing w:val="-3"/>
          <w:sz w:val="22"/>
          <w:szCs w:val="22"/>
        </w:rPr>
        <w:t xml:space="preserve">n additional 2% </w:t>
      </w:r>
      <w:r w:rsidRPr="001C2D09" w:rsidR="344B2C04">
        <w:rPr>
          <w:sz w:val="22"/>
          <w:szCs w:val="22"/>
        </w:rPr>
        <w:t xml:space="preserve">were added </w:t>
      </w:r>
      <w:r w:rsidRPr="001C2D09" w:rsidR="1639C36D">
        <w:rPr>
          <w:spacing w:val="-3"/>
          <w:sz w:val="22"/>
          <w:szCs w:val="22"/>
        </w:rPr>
        <w:t xml:space="preserve">to capture the number of </w:t>
      </w:r>
      <w:r w:rsidRPr="001C2D09" w:rsidR="6345400C">
        <w:rPr>
          <w:spacing w:val="-3"/>
          <w:sz w:val="22"/>
          <w:szCs w:val="22"/>
        </w:rPr>
        <w:t xml:space="preserve">filers that </w:t>
      </w:r>
      <w:r w:rsidRPr="001C2D09" w:rsidR="25F613A0">
        <w:rPr>
          <w:spacing w:val="-3"/>
          <w:sz w:val="22"/>
          <w:szCs w:val="22"/>
        </w:rPr>
        <w:t xml:space="preserve">may not have </w:t>
      </w:r>
      <w:r w:rsidRPr="001C2D09" w:rsidR="1639C36D">
        <w:rPr>
          <w:spacing w:val="-3"/>
          <w:sz w:val="22"/>
          <w:szCs w:val="22"/>
        </w:rPr>
        <w:t xml:space="preserve">met the </w:t>
      </w:r>
      <w:r w:rsidRPr="001C2D09" w:rsidR="36115104">
        <w:rPr>
          <w:spacing w:val="-3"/>
          <w:sz w:val="22"/>
          <w:szCs w:val="22"/>
        </w:rPr>
        <w:t xml:space="preserve">March </w:t>
      </w:r>
      <w:r w:rsidRPr="001C2D09" w:rsidR="634811AB">
        <w:rPr>
          <w:spacing w:val="-3"/>
          <w:sz w:val="22"/>
          <w:szCs w:val="22"/>
        </w:rPr>
        <w:t>1</w:t>
      </w:r>
      <w:r w:rsidRPr="001C2D09" w:rsidR="6345400C">
        <w:rPr>
          <w:spacing w:val="-3"/>
          <w:sz w:val="22"/>
          <w:szCs w:val="22"/>
        </w:rPr>
        <w:t xml:space="preserve">, </w:t>
      </w:r>
      <w:r w:rsidRPr="001C2D09" w:rsidR="3C5664F9">
        <w:rPr>
          <w:spacing w:val="-3"/>
          <w:sz w:val="22"/>
          <w:szCs w:val="22"/>
        </w:rPr>
        <w:t>202</w:t>
      </w:r>
      <w:r w:rsidRPr="001C2D09" w:rsidR="10469D58">
        <w:rPr>
          <w:sz w:val="22"/>
          <w:szCs w:val="22"/>
        </w:rPr>
        <w:t>4</w:t>
      </w:r>
      <w:r w:rsidRPr="001C2D09" w:rsidR="3C5664F9">
        <w:rPr>
          <w:spacing w:val="-3"/>
          <w:sz w:val="22"/>
          <w:szCs w:val="22"/>
        </w:rPr>
        <w:t xml:space="preserve"> </w:t>
      </w:r>
      <w:r w:rsidRPr="001C2D09" w:rsidR="1639C36D">
        <w:rPr>
          <w:spacing w:val="-3"/>
          <w:sz w:val="22"/>
          <w:szCs w:val="22"/>
        </w:rPr>
        <w:t>deadline</w:t>
      </w:r>
      <w:bookmarkEnd w:id="3"/>
      <w:r w:rsidRPr="001C2D09" w:rsidR="1639C36D">
        <w:rPr>
          <w:spacing w:val="-3"/>
          <w:sz w:val="22"/>
          <w:szCs w:val="22"/>
        </w:rPr>
        <w:t>.</w:t>
      </w:r>
      <w:r w:rsidRPr="001C2D09" w:rsidR="67B2AB25">
        <w:rPr>
          <w:spacing w:val="-3"/>
          <w:sz w:val="22"/>
          <w:szCs w:val="22"/>
        </w:rPr>
        <w:t xml:space="preserve"> </w:t>
      </w:r>
    </w:p>
    <w:p w:rsidR="00881FA5" w:rsidRPr="001C2D09" w:rsidP="00946053" w14:paraId="707899AE" w14:textId="2E14DD4C">
      <w:pPr>
        <w:spacing w:after="120"/>
        <w:rPr>
          <w:sz w:val="22"/>
          <w:szCs w:val="22"/>
        </w:rPr>
      </w:pPr>
      <w:r w:rsidRPr="001C2D09">
        <w:rPr>
          <w:sz w:val="22"/>
          <w:szCs w:val="22"/>
        </w:rPr>
        <w:t xml:space="preserve">FCC </w:t>
      </w:r>
      <w:r w:rsidRPr="001C2D09" w:rsidR="008C7820">
        <w:rPr>
          <w:sz w:val="22"/>
          <w:szCs w:val="22"/>
        </w:rPr>
        <w:t>Web-Based Electronic Filers</w:t>
      </w:r>
      <w:r w:rsidRPr="001C2D09" w:rsidR="00A357AE">
        <w:rPr>
          <w:sz w:val="22"/>
          <w:szCs w:val="22"/>
        </w:rPr>
        <w:t xml:space="preserve"> =</w:t>
      </w:r>
      <w:r w:rsidRPr="001C2D09" w:rsidR="00951624">
        <w:rPr>
          <w:sz w:val="22"/>
          <w:szCs w:val="22"/>
        </w:rPr>
        <w:t>1,735</w:t>
      </w:r>
      <w:r w:rsidRPr="001C2D09" w:rsidR="00CE7901">
        <w:rPr>
          <w:sz w:val="22"/>
          <w:szCs w:val="22"/>
        </w:rPr>
        <w:t>.</w:t>
      </w:r>
      <w:r w:rsidRPr="001C2D09" w:rsidR="00A357AE">
        <w:rPr>
          <w:sz w:val="22"/>
          <w:szCs w:val="22"/>
        </w:rPr>
        <w:t xml:space="preserve">  </w:t>
      </w:r>
      <w:r w:rsidRPr="001C2D09" w:rsidR="009F7A8B">
        <w:rPr>
          <w:sz w:val="22"/>
          <w:szCs w:val="22"/>
        </w:rPr>
        <w:t xml:space="preserve">For the </w:t>
      </w:r>
      <w:r w:rsidRPr="001C2D09" w:rsidR="00106DBC">
        <w:rPr>
          <w:sz w:val="22"/>
          <w:szCs w:val="22"/>
        </w:rPr>
        <w:t>20</w:t>
      </w:r>
      <w:r w:rsidRPr="001C2D09" w:rsidR="00DC5C92">
        <w:rPr>
          <w:sz w:val="22"/>
          <w:szCs w:val="22"/>
        </w:rPr>
        <w:t>2</w:t>
      </w:r>
      <w:r w:rsidRPr="001C2D09" w:rsidR="0048444E">
        <w:rPr>
          <w:sz w:val="22"/>
          <w:szCs w:val="22"/>
        </w:rPr>
        <w:t>3</w:t>
      </w:r>
      <w:r w:rsidRPr="001C2D09" w:rsidR="00106DBC">
        <w:rPr>
          <w:sz w:val="22"/>
          <w:szCs w:val="22"/>
        </w:rPr>
        <w:t xml:space="preserve"> </w:t>
      </w:r>
      <w:r w:rsidRPr="001C2D09" w:rsidR="009F7A8B">
        <w:rPr>
          <w:sz w:val="22"/>
          <w:szCs w:val="22"/>
        </w:rPr>
        <w:t xml:space="preserve">reporting period, there were </w:t>
      </w:r>
      <w:r w:rsidRPr="001C2D09" w:rsidR="00347915">
        <w:rPr>
          <w:sz w:val="22"/>
          <w:szCs w:val="22"/>
        </w:rPr>
        <w:t>1,735</w:t>
      </w:r>
      <w:r w:rsidRPr="001C2D09" w:rsidR="00FA424E">
        <w:rPr>
          <w:sz w:val="22"/>
          <w:szCs w:val="22"/>
        </w:rPr>
        <w:t xml:space="preserve"> </w:t>
      </w:r>
      <w:r w:rsidRPr="001C2D09" w:rsidR="009F7A8B">
        <w:rPr>
          <w:sz w:val="22"/>
          <w:szCs w:val="22"/>
        </w:rPr>
        <w:t xml:space="preserve">compliance certifications filed </w:t>
      </w:r>
      <w:r w:rsidRPr="001C2D09" w:rsidR="004B0426">
        <w:rPr>
          <w:sz w:val="22"/>
          <w:szCs w:val="22"/>
        </w:rPr>
        <w:t>on the FCC web portal</w:t>
      </w:r>
      <w:r w:rsidRPr="001C2D09" w:rsidR="009F7A8B">
        <w:rPr>
          <w:sz w:val="22"/>
          <w:szCs w:val="22"/>
        </w:rPr>
        <w:t xml:space="preserve"> from January 1, </w:t>
      </w:r>
      <w:r w:rsidRPr="001C2D09" w:rsidR="00106DBC">
        <w:rPr>
          <w:sz w:val="22"/>
          <w:szCs w:val="22"/>
        </w:rPr>
        <w:t>202</w:t>
      </w:r>
      <w:r w:rsidRPr="001C2D09" w:rsidR="0048444E">
        <w:rPr>
          <w:sz w:val="22"/>
          <w:szCs w:val="22"/>
        </w:rPr>
        <w:t>4</w:t>
      </w:r>
      <w:r w:rsidRPr="001C2D09" w:rsidR="00106DBC">
        <w:rPr>
          <w:sz w:val="22"/>
          <w:szCs w:val="22"/>
        </w:rPr>
        <w:t xml:space="preserve"> </w:t>
      </w:r>
      <w:r w:rsidRPr="001C2D09" w:rsidR="009F7A8B">
        <w:rPr>
          <w:sz w:val="22"/>
          <w:szCs w:val="22"/>
        </w:rPr>
        <w:t xml:space="preserve">to March </w:t>
      </w:r>
      <w:r w:rsidRPr="001C2D09" w:rsidR="00DC5C92">
        <w:rPr>
          <w:sz w:val="22"/>
          <w:szCs w:val="22"/>
        </w:rPr>
        <w:t>1</w:t>
      </w:r>
      <w:r w:rsidRPr="001C2D09" w:rsidR="009F7A8B">
        <w:rPr>
          <w:sz w:val="22"/>
          <w:szCs w:val="22"/>
        </w:rPr>
        <w:t xml:space="preserve">, </w:t>
      </w:r>
      <w:r w:rsidRPr="001C2D09" w:rsidR="00106DBC">
        <w:rPr>
          <w:sz w:val="22"/>
          <w:szCs w:val="22"/>
        </w:rPr>
        <w:t>202</w:t>
      </w:r>
      <w:r w:rsidRPr="001C2D09" w:rsidR="0048444E">
        <w:rPr>
          <w:sz w:val="22"/>
          <w:szCs w:val="22"/>
        </w:rPr>
        <w:t>4</w:t>
      </w:r>
      <w:r w:rsidRPr="001C2D09" w:rsidR="009F7A8B">
        <w:rPr>
          <w:sz w:val="22"/>
          <w:szCs w:val="22"/>
        </w:rPr>
        <w:t>.</w:t>
      </w:r>
    </w:p>
    <w:p w:rsidR="00881FA5" w:rsidRPr="001C2D09" w:rsidP="00946053" w14:paraId="6864F64E" w14:textId="20A8C99C">
      <w:pPr>
        <w:spacing w:after="120"/>
        <w:rPr>
          <w:sz w:val="22"/>
          <w:szCs w:val="22"/>
        </w:rPr>
      </w:pPr>
      <w:r w:rsidRPr="68F9AAF0">
        <w:rPr>
          <w:sz w:val="22"/>
          <w:szCs w:val="22"/>
        </w:rPr>
        <w:t>ECFS Filings</w:t>
      </w:r>
      <w:r w:rsidRPr="68F9AAF0" w:rsidR="00A357AE">
        <w:rPr>
          <w:sz w:val="22"/>
          <w:szCs w:val="22"/>
        </w:rPr>
        <w:t xml:space="preserve"> =</w:t>
      </w:r>
      <w:r w:rsidRPr="68F9AAF0" w:rsidR="00F57504">
        <w:rPr>
          <w:sz w:val="22"/>
          <w:szCs w:val="22"/>
        </w:rPr>
        <w:t>1,142</w:t>
      </w:r>
      <w:r w:rsidRPr="68F9AAF0">
        <w:rPr>
          <w:sz w:val="22"/>
          <w:szCs w:val="22"/>
        </w:rPr>
        <w:t>.</w:t>
      </w:r>
      <w:r w:rsidRPr="68F9AAF0" w:rsidR="00E028EE">
        <w:rPr>
          <w:sz w:val="22"/>
          <w:szCs w:val="22"/>
        </w:rPr>
        <w:t xml:space="preserve"> </w:t>
      </w:r>
      <w:r w:rsidRPr="68F9AAF0" w:rsidR="004B0426">
        <w:rPr>
          <w:sz w:val="22"/>
          <w:szCs w:val="22"/>
        </w:rPr>
        <w:t xml:space="preserve"> </w:t>
      </w:r>
      <w:r w:rsidRPr="68F9AAF0" w:rsidR="00E028EE">
        <w:rPr>
          <w:sz w:val="22"/>
          <w:szCs w:val="22"/>
        </w:rPr>
        <w:t xml:space="preserve">For the </w:t>
      </w:r>
      <w:r w:rsidRPr="68F9AAF0" w:rsidR="00106DBC">
        <w:rPr>
          <w:sz w:val="22"/>
          <w:szCs w:val="22"/>
        </w:rPr>
        <w:t>20</w:t>
      </w:r>
      <w:r w:rsidRPr="68F9AAF0" w:rsidR="00DC5C92">
        <w:rPr>
          <w:sz w:val="22"/>
          <w:szCs w:val="22"/>
        </w:rPr>
        <w:t>2</w:t>
      </w:r>
      <w:r w:rsidRPr="68F9AAF0" w:rsidR="0048444E">
        <w:rPr>
          <w:sz w:val="22"/>
          <w:szCs w:val="22"/>
        </w:rPr>
        <w:t>3</w:t>
      </w:r>
      <w:r w:rsidRPr="68F9AAF0" w:rsidR="00106DBC">
        <w:rPr>
          <w:sz w:val="22"/>
          <w:szCs w:val="22"/>
        </w:rPr>
        <w:t xml:space="preserve"> </w:t>
      </w:r>
      <w:r w:rsidRPr="68F9AAF0" w:rsidR="00E028EE">
        <w:rPr>
          <w:sz w:val="22"/>
          <w:szCs w:val="22"/>
        </w:rPr>
        <w:t xml:space="preserve">reporting period, </w:t>
      </w:r>
      <w:r w:rsidRPr="68F9AAF0" w:rsidR="004B0426">
        <w:rPr>
          <w:sz w:val="22"/>
          <w:szCs w:val="22"/>
        </w:rPr>
        <w:t xml:space="preserve">there were </w:t>
      </w:r>
      <w:r w:rsidRPr="68F9AAF0" w:rsidR="009978F6">
        <w:rPr>
          <w:sz w:val="22"/>
          <w:szCs w:val="22"/>
        </w:rPr>
        <w:t>1,142</w:t>
      </w:r>
      <w:r w:rsidRPr="68F9AAF0" w:rsidR="670796E0">
        <w:rPr>
          <w:sz w:val="22"/>
          <w:szCs w:val="22"/>
        </w:rPr>
        <w:t xml:space="preserve"> </w:t>
      </w:r>
      <w:r w:rsidRPr="68F9AAF0">
        <w:rPr>
          <w:sz w:val="22"/>
          <w:szCs w:val="22"/>
        </w:rPr>
        <w:t xml:space="preserve">certifications filed via ECFS from </w:t>
      </w:r>
      <w:r w:rsidRPr="68F9AAF0" w:rsidR="00A357AE">
        <w:rPr>
          <w:sz w:val="22"/>
          <w:szCs w:val="22"/>
        </w:rPr>
        <w:t xml:space="preserve">January 1, </w:t>
      </w:r>
      <w:r w:rsidRPr="68F9AAF0" w:rsidR="00106DBC">
        <w:rPr>
          <w:sz w:val="22"/>
          <w:szCs w:val="22"/>
        </w:rPr>
        <w:t>202</w:t>
      </w:r>
      <w:r w:rsidRPr="68F9AAF0" w:rsidR="0048444E">
        <w:rPr>
          <w:sz w:val="22"/>
          <w:szCs w:val="22"/>
        </w:rPr>
        <w:t>4</w:t>
      </w:r>
      <w:r w:rsidRPr="68F9AAF0" w:rsidR="00106DBC">
        <w:rPr>
          <w:sz w:val="22"/>
          <w:szCs w:val="22"/>
        </w:rPr>
        <w:t xml:space="preserve"> </w:t>
      </w:r>
      <w:r w:rsidRPr="68F9AAF0" w:rsidR="00A357AE">
        <w:rPr>
          <w:sz w:val="22"/>
          <w:szCs w:val="22"/>
        </w:rPr>
        <w:t xml:space="preserve">to March </w:t>
      </w:r>
      <w:r w:rsidRPr="68F9AAF0" w:rsidR="00DC5C92">
        <w:rPr>
          <w:sz w:val="22"/>
          <w:szCs w:val="22"/>
        </w:rPr>
        <w:t>1</w:t>
      </w:r>
      <w:r w:rsidRPr="68F9AAF0" w:rsidR="00A357AE">
        <w:rPr>
          <w:sz w:val="22"/>
          <w:szCs w:val="22"/>
        </w:rPr>
        <w:t xml:space="preserve">, </w:t>
      </w:r>
      <w:r w:rsidRPr="68F9AAF0" w:rsidR="00106DBC">
        <w:rPr>
          <w:sz w:val="22"/>
          <w:szCs w:val="22"/>
        </w:rPr>
        <w:t>202</w:t>
      </w:r>
      <w:r w:rsidRPr="68F9AAF0" w:rsidR="0048444E">
        <w:rPr>
          <w:sz w:val="22"/>
          <w:szCs w:val="22"/>
        </w:rPr>
        <w:t>4</w:t>
      </w:r>
      <w:r w:rsidRPr="68F9AAF0" w:rsidR="00A357AE">
        <w:rPr>
          <w:sz w:val="22"/>
          <w:szCs w:val="22"/>
        </w:rPr>
        <w:t>.</w:t>
      </w:r>
    </w:p>
    <w:p w:rsidR="00881FA5" w:rsidRPr="001C2D09" w:rsidP="0077092A" w14:paraId="0449F06C" w14:textId="7D282442">
      <w:pPr>
        <w:pStyle w:val="ListParagraph"/>
        <w:ind w:left="0"/>
        <w:rPr>
          <w:spacing w:val="-3"/>
          <w:sz w:val="22"/>
          <w:szCs w:val="22"/>
        </w:rPr>
      </w:pPr>
      <w:r w:rsidRPr="001C2D09">
        <w:rPr>
          <w:spacing w:val="-3"/>
          <w:sz w:val="22"/>
          <w:szCs w:val="22"/>
        </w:rPr>
        <w:t>Additional Filers</w:t>
      </w:r>
      <w:r w:rsidRPr="001C2D09" w:rsidR="00A357AE">
        <w:rPr>
          <w:spacing w:val="-3"/>
          <w:sz w:val="22"/>
          <w:szCs w:val="22"/>
        </w:rPr>
        <w:t xml:space="preserve"> =</w:t>
      </w:r>
      <w:r w:rsidRPr="001C2D09" w:rsidR="00BE021C">
        <w:rPr>
          <w:sz w:val="22"/>
          <w:szCs w:val="22"/>
        </w:rPr>
        <w:t>58</w:t>
      </w:r>
      <w:r w:rsidRPr="001C2D09">
        <w:rPr>
          <w:spacing w:val="-3"/>
          <w:sz w:val="22"/>
          <w:szCs w:val="22"/>
        </w:rPr>
        <w:t>.</w:t>
      </w:r>
      <w:r w:rsidRPr="001C2D09" w:rsidR="00A357AE">
        <w:rPr>
          <w:spacing w:val="-3"/>
          <w:sz w:val="22"/>
          <w:szCs w:val="22"/>
        </w:rPr>
        <w:t xml:space="preserve"> </w:t>
      </w:r>
      <w:r w:rsidRPr="001C2D09" w:rsidR="004B0426">
        <w:rPr>
          <w:spacing w:val="-3"/>
          <w:sz w:val="22"/>
          <w:szCs w:val="22"/>
        </w:rPr>
        <w:t xml:space="preserve"> </w:t>
      </w:r>
      <w:r w:rsidRPr="001C2D09" w:rsidR="00A357AE">
        <w:rPr>
          <w:spacing w:val="-3"/>
          <w:sz w:val="22"/>
          <w:szCs w:val="22"/>
        </w:rPr>
        <w:t xml:space="preserve">While we are unsure on the exact number of filers that do not comply with the annual filings, we added an additional </w:t>
      </w:r>
      <w:r w:rsidRPr="001C2D09">
        <w:rPr>
          <w:spacing w:val="-3"/>
          <w:sz w:val="22"/>
          <w:szCs w:val="22"/>
        </w:rPr>
        <w:t xml:space="preserve">2% </w:t>
      </w:r>
      <w:r w:rsidRPr="001C2D09" w:rsidR="00A357AE">
        <w:rPr>
          <w:spacing w:val="-3"/>
          <w:sz w:val="22"/>
          <w:szCs w:val="22"/>
        </w:rPr>
        <w:t xml:space="preserve">to capture the number </w:t>
      </w:r>
      <w:r w:rsidRPr="001C2D09">
        <w:rPr>
          <w:spacing w:val="-3"/>
          <w:sz w:val="22"/>
          <w:szCs w:val="22"/>
        </w:rPr>
        <w:t xml:space="preserve">of filers </w:t>
      </w:r>
      <w:r w:rsidRPr="001C2D09" w:rsidR="00A357AE">
        <w:rPr>
          <w:spacing w:val="-3"/>
          <w:sz w:val="22"/>
          <w:szCs w:val="22"/>
        </w:rPr>
        <w:t xml:space="preserve">that </w:t>
      </w:r>
      <w:r w:rsidRPr="001C2D09" w:rsidR="004B0426">
        <w:rPr>
          <w:spacing w:val="-3"/>
          <w:sz w:val="22"/>
          <w:szCs w:val="22"/>
        </w:rPr>
        <w:t>may n</w:t>
      </w:r>
      <w:r w:rsidRPr="001C2D09">
        <w:rPr>
          <w:spacing w:val="-3"/>
          <w:sz w:val="22"/>
          <w:szCs w:val="22"/>
        </w:rPr>
        <w:t xml:space="preserve">ot </w:t>
      </w:r>
      <w:r w:rsidRPr="001C2D09" w:rsidR="00480EE7">
        <w:rPr>
          <w:spacing w:val="-3"/>
          <w:sz w:val="22"/>
          <w:szCs w:val="22"/>
        </w:rPr>
        <w:t xml:space="preserve">have </w:t>
      </w:r>
      <w:r w:rsidRPr="001C2D09">
        <w:rPr>
          <w:spacing w:val="-3"/>
          <w:sz w:val="22"/>
          <w:szCs w:val="22"/>
        </w:rPr>
        <w:t xml:space="preserve">met the March </w:t>
      </w:r>
      <w:r w:rsidRPr="001C2D09" w:rsidR="00DC5C92">
        <w:rPr>
          <w:spacing w:val="-3"/>
          <w:sz w:val="22"/>
          <w:szCs w:val="22"/>
        </w:rPr>
        <w:t>1</w:t>
      </w:r>
      <w:r w:rsidRPr="001C2D09" w:rsidR="00480EE7">
        <w:rPr>
          <w:spacing w:val="-3"/>
          <w:sz w:val="22"/>
          <w:szCs w:val="22"/>
        </w:rPr>
        <w:t xml:space="preserve"> </w:t>
      </w:r>
      <w:r w:rsidRPr="001C2D09">
        <w:rPr>
          <w:spacing w:val="-3"/>
          <w:sz w:val="22"/>
          <w:szCs w:val="22"/>
        </w:rPr>
        <w:t>deadline</w:t>
      </w:r>
      <w:r w:rsidRPr="001C2D09" w:rsidR="00A357AE">
        <w:rPr>
          <w:spacing w:val="-3"/>
          <w:sz w:val="22"/>
          <w:szCs w:val="22"/>
        </w:rPr>
        <w:t xml:space="preserve">.  </w:t>
      </w:r>
    </w:p>
    <w:p w:rsidR="00881FA5" w:rsidRPr="001C2D09" w:rsidP="0077092A" w14:paraId="239909CC" w14:textId="77777777">
      <w:pPr>
        <w:pStyle w:val="ListParagraph"/>
        <w:ind w:left="0"/>
        <w:rPr>
          <w:spacing w:val="-3"/>
          <w:sz w:val="22"/>
          <w:szCs w:val="22"/>
          <w:shd w:val="clear" w:color="auto" w:fill="FFFFFF"/>
        </w:rPr>
      </w:pPr>
    </w:p>
    <w:p w:rsidR="00881FA5" w:rsidRPr="001C2D09" w:rsidP="0077092A" w14:paraId="4119912E" w14:textId="6C76BAF0">
      <w:pPr>
        <w:pStyle w:val="ListParagraph"/>
        <w:ind w:left="0"/>
        <w:rPr>
          <w:spacing w:val="-3"/>
          <w:sz w:val="22"/>
          <w:szCs w:val="22"/>
          <w:shd w:val="clear" w:color="auto" w:fill="FFFFFF"/>
        </w:rPr>
      </w:pPr>
      <w:r w:rsidRPr="001C2D09">
        <w:rPr>
          <w:spacing w:val="-3"/>
          <w:sz w:val="22"/>
          <w:szCs w:val="22"/>
          <w:shd w:val="clear" w:color="auto" w:fill="FFFFFF"/>
        </w:rPr>
        <w:tab/>
      </w:r>
      <w:r w:rsidRPr="001C2D09" w:rsidR="00946053">
        <w:rPr>
          <w:spacing w:val="-3"/>
          <w:sz w:val="22"/>
          <w:szCs w:val="22"/>
          <w:shd w:val="clear" w:color="auto" w:fill="FFFFFF"/>
        </w:rPr>
        <w:tab/>
      </w:r>
      <w:r w:rsidRPr="001C2D09">
        <w:rPr>
          <w:spacing w:val="-3"/>
          <w:sz w:val="22"/>
          <w:szCs w:val="22"/>
          <w:shd w:val="clear" w:color="auto" w:fill="FFFFFF"/>
        </w:rPr>
        <w:t>FCC Web-Based Filers (</w:t>
      </w:r>
      <w:r w:rsidRPr="001C2D09" w:rsidR="00447F1C">
        <w:rPr>
          <w:sz w:val="22"/>
          <w:szCs w:val="22"/>
        </w:rPr>
        <w:t>1,735</w:t>
      </w:r>
      <w:r w:rsidRPr="001C2D09">
        <w:rPr>
          <w:spacing w:val="-3"/>
          <w:sz w:val="22"/>
          <w:szCs w:val="22"/>
          <w:shd w:val="clear" w:color="auto" w:fill="FFFFFF"/>
        </w:rPr>
        <w:t>) + ECFS Filings (</w:t>
      </w:r>
      <w:r w:rsidRPr="001C2D09" w:rsidR="00447F1C">
        <w:rPr>
          <w:sz w:val="22"/>
          <w:szCs w:val="22"/>
        </w:rPr>
        <w:t>1,142</w:t>
      </w:r>
      <w:r w:rsidRPr="001C2D09">
        <w:rPr>
          <w:spacing w:val="-3"/>
          <w:sz w:val="22"/>
          <w:szCs w:val="22"/>
          <w:shd w:val="clear" w:color="auto" w:fill="FFFFFF"/>
        </w:rPr>
        <w:t xml:space="preserve">) =  </w:t>
      </w:r>
      <w:r w:rsidRPr="001C2D09" w:rsidR="008276CA">
        <w:rPr>
          <w:sz w:val="22"/>
          <w:szCs w:val="22"/>
        </w:rPr>
        <w:t xml:space="preserve">2,877 </w:t>
      </w:r>
      <w:r w:rsidRPr="001C2D09">
        <w:rPr>
          <w:spacing w:val="-3"/>
          <w:sz w:val="22"/>
          <w:szCs w:val="22"/>
          <w:shd w:val="clear" w:color="auto" w:fill="FFFFFF"/>
        </w:rPr>
        <w:t>total</w:t>
      </w:r>
    </w:p>
    <w:p w:rsidR="00881FA5" w:rsidRPr="001C2D09" w:rsidP="0077092A" w14:paraId="0CE362C9" w14:textId="55FFDFBF">
      <w:pPr>
        <w:pStyle w:val="ListParagraph"/>
        <w:ind w:left="0"/>
        <w:rPr>
          <w:spacing w:val="-3"/>
          <w:sz w:val="22"/>
          <w:szCs w:val="22"/>
          <w:shd w:val="clear" w:color="auto" w:fill="FFFFFF"/>
        </w:rPr>
      </w:pPr>
      <w:r w:rsidRPr="001C2D09">
        <w:rPr>
          <w:spacing w:val="-3"/>
          <w:sz w:val="22"/>
          <w:szCs w:val="22"/>
          <w:shd w:val="clear" w:color="auto" w:fill="FFFFFF"/>
        </w:rPr>
        <w:tab/>
      </w:r>
      <w:r w:rsidRPr="001C2D09" w:rsidR="00946053">
        <w:rPr>
          <w:spacing w:val="-3"/>
          <w:sz w:val="22"/>
          <w:szCs w:val="22"/>
          <w:shd w:val="clear" w:color="auto" w:fill="FFFFFF"/>
        </w:rPr>
        <w:tab/>
      </w:r>
      <w:r w:rsidRPr="001C2D09">
        <w:rPr>
          <w:spacing w:val="-3"/>
          <w:sz w:val="22"/>
          <w:szCs w:val="22"/>
          <w:shd w:val="clear" w:color="auto" w:fill="FFFFFF"/>
        </w:rPr>
        <w:t xml:space="preserve">2% of </w:t>
      </w:r>
      <w:r w:rsidRPr="001C2D09" w:rsidR="008276CA">
        <w:rPr>
          <w:sz w:val="22"/>
          <w:szCs w:val="22"/>
        </w:rPr>
        <w:t>2,877</w:t>
      </w:r>
      <w:r w:rsidRPr="001C2D09">
        <w:rPr>
          <w:spacing w:val="-3"/>
          <w:sz w:val="22"/>
          <w:szCs w:val="22"/>
          <w:shd w:val="clear" w:color="auto" w:fill="FFFFFF"/>
        </w:rPr>
        <w:t xml:space="preserve"> = </w:t>
      </w:r>
      <w:r w:rsidRPr="001C2D09" w:rsidR="008276CA">
        <w:rPr>
          <w:sz w:val="22"/>
          <w:szCs w:val="22"/>
        </w:rPr>
        <w:t>58</w:t>
      </w:r>
      <w:r w:rsidRPr="001C2D09" w:rsidR="00FA424E">
        <w:rPr>
          <w:spacing w:val="-3"/>
          <w:sz w:val="22"/>
          <w:szCs w:val="22"/>
          <w:shd w:val="clear" w:color="auto" w:fill="FFFFFF"/>
        </w:rPr>
        <w:t xml:space="preserve"> </w:t>
      </w:r>
    </w:p>
    <w:p w:rsidR="00881FA5" w:rsidRPr="001C2D09" w:rsidP="005E32BE" w14:paraId="73CFB25F" w14:textId="0B7ADCAC">
      <w:pPr>
        <w:pStyle w:val="ListParagraph"/>
        <w:spacing w:after="120"/>
        <w:ind w:left="0" w:firstLine="720"/>
        <w:rPr>
          <w:spacing w:val="-3"/>
          <w:sz w:val="22"/>
          <w:szCs w:val="22"/>
          <w:shd w:val="clear" w:color="auto" w:fill="FFFFFF"/>
        </w:rPr>
      </w:pPr>
      <w:r w:rsidRPr="001C2D09">
        <w:rPr>
          <w:spacing w:val="-3"/>
          <w:sz w:val="22"/>
          <w:szCs w:val="22"/>
          <w:shd w:val="clear" w:color="auto" w:fill="FFFFFF"/>
        </w:rPr>
        <w:tab/>
      </w:r>
      <w:r w:rsidRPr="001C2D09" w:rsidR="00A357AE">
        <w:rPr>
          <w:spacing w:val="-3"/>
          <w:sz w:val="22"/>
          <w:szCs w:val="22"/>
          <w:shd w:val="clear" w:color="auto" w:fill="FFFFFF"/>
        </w:rPr>
        <w:t xml:space="preserve">Total respondents:  </w:t>
      </w:r>
      <w:r w:rsidRPr="001C2D09" w:rsidR="00CC3BFB">
        <w:rPr>
          <w:spacing w:val="-3"/>
          <w:sz w:val="22"/>
          <w:szCs w:val="22"/>
          <w:shd w:val="clear" w:color="auto" w:fill="FFFFFF"/>
        </w:rPr>
        <w:t>1,735</w:t>
      </w:r>
      <w:r w:rsidRPr="001C2D09" w:rsidR="00A357AE">
        <w:rPr>
          <w:spacing w:val="-3"/>
          <w:sz w:val="22"/>
          <w:szCs w:val="22"/>
          <w:shd w:val="clear" w:color="auto" w:fill="FFFFFF"/>
        </w:rPr>
        <w:t xml:space="preserve">+ </w:t>
      </w:r>
      <w:r w:rsidRPr="001C2D09" w:rsidR="00CC3BFB">
        <w:rPr>
          <w:spacing w:val="-3"/>
          <w:sz w:val="22"/>
          <w:szCs w:val="22"/>
          <w:shd w:val="clear" w:color="auto" w:fill="FFFFFF"/>
        </w:rPr>
        <w:t>1,142</w:t>
      </w:r>
      <w:r w:rsidRPr="001C2D09" w:rsidR="00A357AE">
        <w:rPr>
          <w:spacing w:val="-3"/>
          <w:sz w:val="22"/>
          <w:szCs w:val="22"/>
          <w:shd w:val="clear" w:color="auto" w:fill="FFFFFF"/>
        </w:rPr>
        <w:t xml:space="preserve"> + </w:t>
      </w:r>
      <w:r w:rsidRPr="001C2D09" w:rsidR="00CC3BFB">
        <w:rPr>
          <w:spacing w:val="-3"/>
          <w:sz w:val="22"/>
          <w:szCs w:val="22"/>
          <w:shd w:val="clear" w:color="auto" w:fill="FFFFFF"/>
        </w:rPr>
        <w:t>58</w:t>
      </w:r>
      <w:r w:rsidRPr="001C2D09" w:rsidR="00FA424E">
        <w:rPr>
          <w:spacing w:val="-3"/>
          <w:sz w:val="22"/>
          <w:szCs w:val="22"/>
          <w:shd w:val="clear" w:color="auto" w:fill="FFFFFF"/>
        </w:rPr>
        <w:t xml:space="preserve"> </w:t>
      </w:r>
      <w:r w:rsidRPr="001C2D09" w:rsidR="00A357AE">
        <w:rPr>
          <w:spacing w:val="-3"/>
          <w:sz w:val="22"/>
          <w:szCs w:val="22"/>
          <w:shd w:val="clear" w:color="auto" w:fill="FFFFFF"/>
        </w:rPr>
        <w:t>=</w:t>
      </w:r>
      <w:r w:rsidRPr="001C2D09" w:rsidR="00CC3BFB">
        <w:rPr>
          <w:spacing w:val="-3"/>
          <w:sz w:val="22"/>
          <w:szCs w:val="22"/>
          <w:shd w:val="clear" w:color="auto" w:fill="FFFFFF"/>
        </w:rPr>
        <w:t>2,935</w:t>
      </w:r>
      <w:r w:rsidRPr="001C2D09" w:rsidR="004B0426">
        <w:rPr>
          <w:spacing w:val="-3"/>
          <w:sz w:val="22"/>
          <w:szCs w:val="22"/>
          <w:shd w:val="clear" w:color="auto" w:fill="FFFFFF"/>
        </w:rPr>
        <w:t xml:space="preserve">.    </w:t>
      </w:r>
    </w:p>
    <w:p w:rsidR="004B1E1E" w:rsidRPr="001C2D09" w:rsidP="005E32BE" w14:paraId="0EE269B8" w14:textId="37CCCFFD">
      <w:pPr>
        <w:ind w:firstLine="720"/>
        <w:rPr>
          <w:spacing w:val="-3"/>
          <w:sz w:val="22"/>
          <w:szCs w:val="22"/>
          <w:shd w:val="clear" w:color="auto" w:fill="FFFFFF"/>
        </w:rPr>
      </w:pPr>
      <w:r w:rsidRPr="001C2D09">
        <w:rPr>
          <w:spacing w:val="-3"/>
          <w:sz w:val="22"/>
          <w:szCs w:val="22"/>
          <w:shd w:val="clear" w:color="auto" w:fill="FFFFFF"/>
        </w:rPr>
        <w:t>(2)</w:t>
      </w:r>
      <w:r w:rsidRPr="001C2D09" w:rsidR="00946053">
        <w:rPr>
          <w:spacing w:val="-3"/>
          <w:sz w:val="22"/>
          <w:szCs w:val="22"/>
          <w:shd w:val="clear" w:color="auto" w:fill="FFFFFF"/>
        </w:rPr>
        <w:tab/>
      </w:r>
      <w:r w:rsidRPr="001C2D09">
        <w:rPr>
          <w:spacing w:val="-3"/>
          <w:sz w:val="22"/>
          <w:szCs w:val="22"/>
          <w:shd w:val="clear" w:color="auto" w:fill="FFFFFF"/>
        </w:rPr>
        <w:t xml:space="preserve">Frequency of </w:t>
      </w:r>
      <w:r w:rsidRPr="001C2D09" w:rsidR="00295D82">
        <w:rPr>
          <w:spacing w:val="-3"/>
          <w:sz w:val="22"/>
          <w:szCs w:val="22"/>
          <w:shd w:val="clear" w:color="auto" w:fill="FFFFFF"/>
        </w:rPr>
        <w:t>R</w:t>
      </w:r>
      <w:r w:rsidRPr="001C2D09">
        <w:rPr>
          <w:spacing w:val="-3"/>
          <w:sz w:val="22"/>
          <w:szCs w:val="22"/>
          <w:shd w:val="clear" w:color="auto" w:fill="FFFFFF"/>
        </w:rPr>
        <w:t xml:space="preserve">esponse:  On occasion reporting requirement.  </w:t>
      </w:r>
    </w:p>
    <w:p w:rsidR="00E92A78" w:rsidRPr="001C2D09" w:rsidP="005E32BE" w14:paraId="1F76C7D7" w14:textId="717B4E2D">
      <w:pPr>
        <w:spacing w:after="120"/>
        <w:ind w:firstLine="720"/>
        <w:rPr>
          <w:spacing w:val="-3"/>
          <w:sz w:val="22"/>
          <w:szCs w:val="22"/>
          <w:shd w:val="clear" w:color="auto" w:fill="FFFFFF"/>
        </w:rPr>
      </w:pPr>
      <w:r w:rsidRPr="001C2D09">
        <w:rPr>
          <w:spacing w:val="-3"/>
          <w:sz w:val="22"/>
          <w:szCs w:val="22"/>
          <w:shd w:val="clear" w:color="auto" w:fill="FFFFFF"/>
        </w:rPr>
        <w:t>(</w:t>
      </w:r>
      <w:r w:rsidRPr="001C2D09" w:rsidR="004B1E1E">
        <w:rPr>
          <w:spacing w:val="-3"/>
          <w:sz w:val="22"/>
          <w:szCs w:val="22"/>
          <w:shd w:val="clear" w:color="auto" w:fill="FFFFFF"/>
        </w:rPr>
        <w:t>3</w:t>
      </w:r>
      <w:r w:rsidRPr="001C2D09">
        <w:rPr>
          <w:spacing w:val="-3"/>
          <w:sz w:val="22"/>
          <w:szCs w:val="22"/>
          <w:shd w:val="clear" w:color="auto" w:fill="FFFFFF"/>
        </w:rPr>
        <w:t>)</w:t>
      </w:r>
      <w:r w:rsidRPr="001C2D09" w:rsidR="00946053">
        <w:rPr>
          <w:spacing w:val="-3"/>
          <w:sz w:val="22"/>
          <w:szCs w:val="22"/>
          <w:shd w:val="clear" w:color="auto" w:fill="FFFFFF"/>
        </w:rPr>
        <w:tab/>
      </w:r>
      <w:r w:rsidRPr="001C2D09">
        <w:rPr>
          <w:spacing w:val="-3"/>
          <w:sz w:val="22"/>
          <w:szCs w:val="22"/>
          <w:shd w:val="clear" w:color="auto" w:fill="FFFFFF"/>
        </w:rPr>
        <w:t xml:space="preserve">Total </w:t>
      </w:r>
      <w:r w:rsidRPr="001C2D09" w:rsidR="0072078A">
        <w:rPr>
          <w:spacing w:val="-3"/>
          <w:sz w:val="22"/>
          <w:szCs w:val="22"/>
          <w:shd w:val="clear" w:color="auto" w:fill="FFFFFF"/>
        </w:rPr>
        <w:t xml:space="preserve">Number of </w:t>
      </w:r>
      <w:r w:rsidRPr="001C2D09">
        <w:rPr>
          <w:spacing w:val="-3"/>
          <w:sz w:val="22"/>
          <w:szCs w:val="22"/>
          <w:shd w:val="clear" w:color="auto" w:fill="FFFFFF"/>
        </w:rPr>
        <w:t xml:space="preserve">Responses Annually: </w:t>
      </w:r>
      <w:r w:rsidRPr="001C2D09" w:rsidR="00946053">
        <w:rPr>
          <w:spacing w:val="-3"/>
          <w:sz w:val="22"/>
          <w:szCs w:val="22"/>
          <w:shd w:val="clear" w:color="auto" w:fill="FFFFFF"/>
        </w:rPr>
        <w:t xml:space="preserve"> </w:t>
      </w:r>
      <w:r w:rsidRPr="001C2D09" w:rsidR="000312F8">
        <w:rPr>
          <w:spacing w:val="-3"/>
          <w:sz w:val="22"/>
          <w:szCs w:val="22"/>
          <w:shd w:val="clear" w:color="auto" w:fill="FFFFFF"/>
        </w:rPr>
        <w:t xml:space="preserve"> </w:t>
      </w:r>
      <w:r w:rsidRPr="001C2D09" w:rsidR="0063763C">
        <w:rPr>
          <w:spacing w:val="-3"/>
          <w:sz w:val="22"/>
          <w:szCs w:val="22"/>
          <w:shd w:val="clear" w:color="auto" w:fill="FFFFFF"/>
        </w:rPr>
        <w:t>147</w:t>
      </w:r>
      <w:r w:rsidRPr="001C2D09" w:rsidR="00714E34">
        <w:rPr>
          <w:spacing w:val="-3"/>
          <w:sz w:val="22"/>
          <w:szCs w:val="22"/>
          <w:shd w:val="clear" w:color="auto" w:fill="FFFFFF"/>
        </w:rPr>
        <w:t xml:space="preserve"> </w:t>
      </w:r>
      <w:r w:rsidRPr="001C2D09">
        <w:rPr>
          <w:spacing w:val="-3"/>
          <w:sz w:val="22"/>
          <w:szCs w:val="22"/>
          <w:shd w:val="clear" w:color="auto" w:fill="FFFFFF"/>
        </w:rPr>
        <w:t>(reporting requirement)</w:t>
      </w:r>
    </w:p>
    <w:p w:rsidR="0063763C" w:rsidRPr="001C2D09" w:rsidP="00B539DC" w14:paraId="6F4BB547" w14:textId="58F961A5">
      <w:pPr>
        <w:spacing w:after="120"/>
        <w:rPr>
          <w:sz w:val="22"/>
          <w:szCs w:val="22"/>
        </w:rPr>
      </w:pPr>
      <w:r w:rsidRPr="001C2D09">
        <w:rPr>
          <w:spacing w:val="-3"/>
          <w:sz w:val="22"/>
          <w:szCs w:val="22"/>
          <w:shd w:val="clear" w:color="auto" w:fill="FFFFFF"/>
        </w:rPr>
        <w:t xml:space="preserve">The rules </w:t>
      </w:r>
      <w:r w:rsidRPr="001C2D09" w:rsidR="00C04DAB">
        <w:rPr>
          <w:spacing w:val="-3"/>
          <w:sz w:val="22"/>
          <w:szCs w:val="22"/>
          <w:shd w:val="clear" w:color="auto" w:fill="FFFFFF"/>
        </w:rPr>
        <w:t xml:space="preserve">requiring </w:t>
      </w:r>
      <w:r w:rsidRPr="001C2D09" w:rsidR="00717C6B">
        <w:rPr>
          <w:spacing w:val="-3"/>
          <w:sz w:val="22"/>
          <w:szCs w:val="22"/>
          <w:shd w:val="clear" w:color="auto" w:fill="FFFFFF"/>
        </w:rPr>
        <w:t>providers to see</w:t>
      </w:r>
      <w:r w:rsidRPr="001C2D09" w:rsidR="00D259DE">
        <w:rPr>
          <w:spacing w:val="-3"/>
          <w:sz w:val="22"/>
          <w:szCs w:val="22"/>
          <w:shd w:val="clear" w:color="auto" w:fill="FFFFFF"/>
        </w:rPr>
        <w:t xml:space="preserve">k customer approval </w:t>
      </w:r>
      <w:r w:rsidRPr="001C2D09" w:rsidR="00F424ED">
        <w:rPr>
          <w:spacing w:val="-3"/>
          <w:sz w:val="22"/>
          <w:szCs w:val="22"/>
          <w:shd w:val="clear" w:color="auto" w:fill="FFFFFF"/>
        </w:rPr>
        <w:t xml:space="preserve">to use CPNI to market service offerings outside the customer’s existing service </w:t>
      </w:r>
      <w:r w:rsidRPr="001C2D09">
        <w:rPr>
          <w:spacing w:val="-3"/>
          <w:sz w:val="22"/>
          <w:szCs w:val="22"/>
          <w:shd w:val="clear" w:color="auto" w:fill="FFFFFF"/>
        </w:rPr>
        <w:t>have been in place since 2007</w:t>
      </w:r>
      <w:r w:rsidRPr="001C2D09" w:rsidR="00E10B37">
        <w:rPr>
          <w:spacing w:val="-3"/>
          <w:sz w:val="22"/>
          <w:szCs w:val="22"/>
          <w:shd w:val="clear" w:color="auto" w:fill="FFFFFF"/>
        </w:rPr>
        <w:t>.</w:t>
      </w:r>
      <w:r w:rsidRPr="001C2D09">
        <w:rPr>
          <w:spacing w:val="-3"/>
          <w:sz w:val="22"/>
          <w:szCs w:val="22"/>
          <w:shd w:val="clear" w:color="auto" w:fill="FFFFFF"/>
        </w:rPr>
        <w:t xml:space="preserve"> </w:t>
      </w:r>
      <w:r w:rsidRPr="001C2D09" w:rsidR="00E10B37">
        <w:rPr>
          <w:spacing w:val="-3"/>
          <w:sz w:val="22"/>
          <w:szCs w:val="22"/>
          <w:shd w:val="clear" w:color="auto" w:fill="FFFFFF"/>
        </w:rPr>
        <w:t>W</w:t>
      </w:r>
      <w:r w:rsidRPr="001C2D09">
        <w:rPr>
          <w:spacing w:val="-3"/>
          <w:sz w:val="22"/>
          <w:szCs w:val="22"/>
          <w:shd w:val="clear" w:color="auto" w:fill="FFFFFF"/>
        </w:rPr>
        <w:t>e believe</w:t>
      </w:r>
      <w:r w:rsidRPr="001C2D09" w:rsidR="009C13A0">
        <w:rPr>
          <w:spacing w:val="-3"/>
          <w:sz w:val="22"/>
          <w:szCs w:val="22"/>
          <w:shd w:val="clear" w:color="auto" w:fill="FFFFFF"/>
        </w:rPr>
        <w:t xml:space="preserve"> </w:t>
      </w:r>
      <w:r w:rsidRPr="001C2D09">
        <w:rPr>
          <w:spacing w:val="-3"/>
          <w:sz w:val="22"/>
          <w:szCs w:val="22"/>
          <w:shd w:val="clear" w:color="auto" w:fill="FFFFFF"/>
        </w:rPr>
        <w:t xml:space="preserve">that only new entrants to the market will need to create the </w:t>
      </w:r>
      <w:r w:rsidRPr="001C2D09" w:rsidR="00E10B37">
        <w:rPr>
          <w:spacing w:val="-3"/>
          <w:sz w:val="22"/>
          <w:szCs w:val="22"/>
          <w:shd w:val="clear" w:color="auto" w:fill="FFFFFF"/>
        </w:rPr>
        <w:t xml:space="preserve">customer </w:t>
      </w:r>
      <w:r w:rsidRPr="001C2D09">
        <w:rPr>
          <w:spacing w:val="-3"/>
          <w:sz w:val="22"/>
          <w:szCs w:val="22"/>
          <w:shd w:val="clear" w:color="auto" w:fill="FFFFFF"/>
        </w:rPr>
        <w:t xml:space="preserve">notification.  We estimate approximately 5% of the 2,935 respondents are new entrants (2,935 x 5% = 147).  </w:t>
      </w:r>
    </w:p>
    <w:p w:rsidR="006A72AF" w:rsidRPr="001C2D09" w:rsidP="005E32BE" w14:paraId="05722D90" w14:textId="23F031A8">
      <w:pPr>
        <w:spacing w:after="12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63763C">
        <w:rPr>
          <w:spacing w:val="-3"/>
          <w:sz w:val="22"/>
          <w:szCs w:val="22"/>
          <w:shd w:val="clear" w:color="auto" w:fill="FFFFFF"/>
        </w:rPr>
        <w:t xml:space="preserve">147 </w:t>
      </w:r>
      <w:r w:rsidRPr="001C2D09">
        <w:rPr>
          <w:spacing w:val="-3"/>
          <w:sz w:val="22"/>
          <w:szCs w:val="22"/>
          <w:shd w:val="clear" w:color="auto" w:fill="FFFFFF"/>
        </w:rPr>
        <w:t>respondents x 1 response</w:t>
      </w:r>
      <w:r w:rsidRPr="001C2D09" w:rsidR="00C83A3C">
        <w:rPr>
          <w:spacing w:val="-3"/>
          <w:sz w:val="22"/>
          <w:szCs w:val="22"/>
          <w:shd w:val="clear" w:color="auto" w:fill="FFFFFF"/>
        </w:rPr>
        <w:t xml:space="preserve">/notification </w:t>
      </w:r>
      <w:r w:rsidRPr="001C2D09" w:rsidR="004B1E1E">
        <w:rPr>
          <w:spacing w:val="-3"/>
          <w:sz w:val="22"/>
          <w:szCs w:val="22"/>
          <w:shd w:val="clear" w:color="auto" w:fill="FFFFFF"/>
        </w:rPr>
        <w:t>design</w:t>
      </w:r>
      <w:r w:rsidRPr="001C2D09" w:rsidR="00DE7ABF">
        <w:rPr>
          <w:spacing w:val="-3"/>
          <w:sz w:val="22"/>
          <w:szCs w:val="22"/>
          <w:shd w:val="clear" w:color="auto" w:fill="FFFFFF"/>
        </w:rPr>
        <w:t>ed</w:t>
      </w:r>
      <w:r w:rsidRPr="001C2D09" w:rsidR="004B1E1E">
        <w:rPr>
          <w:spacing w:val="-3"/>
          <w:sz w:val="22"/>
          <w:szCs w:val="22"/>
          <w:shd w:val="clear" w:color="auto" w:fill="FFFFFF"/>
        </w:rPr>
        <w:t xml:space="preserve"> </w:t>
      </w:r>
      <w:r w:rsidRPr="001C2D09" w:rsidR="00C83A3C">
        <w:rPr>
          <w:spacing w:val="-3"/>
          <w:sz w:val="22"/>
          <w:szCs w:val="22"/>
          <w:shd w:val="clear" w:color="auto" w:fill="FFFFFF"/>
        </w:rPr>
        <w:t xml:space="preserve">and sent to customers </w:t>
      </w:r>
      <w:r w:rsidRPr="001C2D09">
        <w:rPr>
          <w:spacing w:val="-3"/>
          <w:sz w:val="22"/>
          <w:szCs w:val="22"/>
          <w:shd w:val="clear" w:color="auto" w:fill="FFFFFF"/>
        </w:rPr>
        <w:t xml:space="preserve">= </w:t>
      </w:r>
      <w:r w:rsidRPr="001C2D09" w:rsidR="0063763C">
        <w:rPr>
          <w:spacing w:val="-3"/>
          <w:sz w:val="22"/>
          <w:szCs w:val="22"/>
          <w:shd w:val="clear" w:color="auto" w:fill="FFFFFF"/>
        </w:rPr>
        <w:t xml:space="preserve">147 </w:t>
      </w:r>
      <w:r w:rsidRPr="001C2D09">
        <w:rPr>
          <w:spacing w:val="-3"/>
          <w:sz w:val="22"/>
          <w:szCs w:val="22"/>
          <w:shd w:val="clear" w:color="auto" w:fill="FFFFFF"/>
        </w:rPr>
        <w:t>responses</w:t>
      </w:r>
    </w:p>
    <w:p w:rsidR="009E1606" w:rsidRPr="001C2D09" w:rsidP="005E32BE" w14:paraId="2F389763" w14:textId="05EADBF4">
      <w:pPr>
        <w:spacing w:after="120"/>
        <w:ind w:firstLine="720"/>
        <w:rPr>
          <w:spacing w:val="-3"/>
          <w:sz w:val="22"/>
          <w:szCs w:val="22"/>
          <w:shd w:val="clear" w:color="auto" w:fill="FFFFFF"/>
        </w:rPr>
      </w:pPr>
      <w:r w:rsidRPr="001C2D09">
        <w:rPr>
          <w:spacing w:val="-3"/>
          <w:sz w:val="22"/>
          <w:szCs w:val="22"/>
          <w:shd w:val="clear" w:color="auto" w:fill="FFFFFF"/>
        </w:rPr>
        <w:t>(</w:t>
      </w:r>
      <w:r w:rsidRPr="001C2D09" w:rsidR="00BB0EE2">
        <w:rPr>
          <w:spacing w:val="-3"/>
          <w:sz w:val="22"/>
          <w:szCs w:val="22"/>
          <w:shd w:val="clear" w:color="auto" w:fill="FFFFFF"/>
        </w:rPr>
        <w:t>4</w:t>
      </w:r>
      <w:r w:rsidRPr="001C2D09">
        <w:rPr>
          <w:spacing w:val="-3"/>
          <w:sz w:val="22"/>
          <w:szCs w:val="22"/>
          <w:shd w:val="clear" w:color="auto" w:fill="FFFFFF"/>
        </w:rPr>
        <w:t>)</w:t>
      </w:r>
      <w:r w:rsidRPr="001C2D09" w:rsidR="005E32BE">
        <w:rPr>
          <w:spacing w:val="-3"/>
          <w:sz w:val="22"/>
          <w:szCs w:val="22"/>
          <w:shd w:val="clear" w:color="auto" w:fill="FFFFFF"/>
        </w:rPr>
        <w:tab/>
      </w:r>
      <w:r w:rsidRPr="001C2D09" w:rsidR="00BB0EE2">
        <w:rPr>
          <w:spacing w:val="-3"/>
          <w:sz w:val="22"/>
          <w:szCs w:val="22"/>
          <w:shd w:val="clear" w:color="auto" w:fill="FFFFFF"/>
        </w:rPr>
        <w:t xml:space="preserve">Total </w:t>
      </w:r>
      <w:r w:rsidRPr="001C2D09" w:rsidR="00005848">
        <w:rPr>
          <w:spacing w:val="-3"/>
          <w:sz w:val="22"/>
          <w:szCs w:val="22"/>
          <w:shd w:val="clear" w:color="auto" w:fill="FFFFFF"/>
        </w:rPr>
        <w:t xml:space="preserve">Annual </w:t>
      </w:r>
      <w:r w:rsidRPr="001C2D09" w:rsidR="00BB0EE2">
        <w:rPr>
          <w:spacing w:val="-3"/>
          <w:sz w:val="22"/>
          <w:szCs w:val="22"/>
          <w:shd w:val="clear" w:color="auto" w:fill="FFFFFF"/>
        </w:rPr>
        <w:t>H</w:t>
      </w:r>
      <w:r w:rsidRPr="001C2D09" w:rsidR="00005848">
        <w:rPr>
          <w:spacing w:val="-3"/>
          <w:sz w:val="22"/>
          <w:szCs w:val="22"/>
          <w:shd w:val="clear" w:color="auto" w:fill="FFFFFF"/>
        </w:rPr>
        <w:t xml:space="preserve">our </w:t>
      </w:r>
      <w:r w:rsidRPr="001C2D09" w:rsidR="00BB0EE2">
        <w:rPr>
          <w:spacing w:val="-3"/>
          <w:sz w:val="22"/>
          <w:szCs w:val="22"/>
          <w:shd w:val="clear" w:color="auto" w:fill="FFFFFF"/>
        </w:rPr>
        <w:t>B</w:t>
      </w:r>
      <w:r w:rsidRPr="001C2D09" w:rsidR="00005848">
        <w:rPr>
          <w:spacing w:val="-3"/>
          <w:sz w:val="22"/>
          <w:szCs w:val="22"/>
          <w:shd w:val="clear" w:color="auto" w:fill="FFFFFF"/>
        </w:rPr>
        <w:t>urden:</w:t>
      </w:r>
      <w:r w:rsidRPr="001C2D09" w:rsidR="00DC5C92">
        <w:rPr>
          <w:spacing w:val="-3"/>
          <w:sz w:val="22"/>
          <w:szCs w:val="22"/>
          <w:shd w:val="clear" w:color="auto" w:fill="FFFFFF"/>
        </w:rPr>
        <w:t xml:space="preserve"> </w:t>
      </w:r>
      <w:r w:rsidRPr="001C2D09" w:rsidR="00005848">
        <w:rPr>
          <w:spacing w:val="-3"/>
          <w:sz w:val="22"/>
          <w:szCs w:val="22"/>
          <w:shd w:val="clear" w:color="auto" w:fill="FFFFFF"/>
        </w:rPr>
        <w:t xml:space="preserve"> </w:t>
      </w:r>
      <w:r w:rsidRPr="001C2D09" w:rsidR="00C76D96">
        <w:rPr>
          <w:spacing w:val="-3"/>
          <w:sz w:val="22"/>
          <w:szCs w:val="22"/>
          <w:shd w:val="clear" w:color="auto" w:fill="FFFFFF"/>
        </w:rPr>
        <w:t>1,764</w:t>
      </w:r>
      <w:r w:rsidRPr="001C2D09" w:rsidR="00394295">
        <w:rPr>
          <w:spacing w:val="-3"/>
          <w:sz w:val="22"/>
          <w:szCs w:val="22"/>
          <w:shd w:val="clear" w:color="auto" w:fill="FFFFFF"/>
        </w:rPr>
        <w:t xml:space="preserve"> </w:t>
      </w:r>
      <w:r w:rsidRPr="001C2D09" w:rsidR="00E0313F">
        <w:rPr>
          <w:spacing w:val="-3"/>
          <w:sz w:val="22"/>
          <w:szCs w:val="22"/>
          <w:shd w:val="clear" w:color="auto" w:fill="FFFFFF"/>
        </w:rPr>
        <w:t xml:space="preserve">hours </w:t>
      </w:r>
      <w:r w:rsidRPr="001C2D09" w:rsidR="00172F0B">
        <w:rPr>
          <w:spacing w:val="-3"/>
          <w:sz w:val="22"/>
          <w:szCs w:val="22"/>
          <w:shd w:val="clear" w:color="auto" w:fill="FFFFFF"/>
        </w:rPr>
        <w:t>(</w:t>
      </w:r>
      <w:r w:rsidRPr="001C2D09" w:rsidR="007D6392">
        <w:rPr>
          <w:spacing w:val="-3"/>
          <w:sz w:val="22"/>
          <w:szCs w:val="22"/>
          <w:shd w:val="clear" w:color="auto" w:fill="FFFFFF"/>
        </w:rPr>
        <w:t>1,470</w:t>
      </w:r>
      <w:r w:rsidRPr="001C2D09" w:rsidR="00752EC2">
        <w:rPr>
          <w:spacing w:val="-3"/>
          <w:sz w:val="22"/>
          <w:szCs w:val="22"/>
          <w:shd w:val="clear" w:color="auto" w:fill="FFFFFF"/>
        </w:rPr>
        <w:t xml:space="preserve"> + 294</w:t>
      </w:r>
      <w:r w:rsidRPr="001C2D09" w:rsidR="007D6392">
        <w:rPr>
          <w:spacing w:val="-3"/>
          <w:sz w:val="22"/>
          <w:szCs w:val="22"/>
          <w:shd w:val="clear" w:color="auto" w:fill="FFFFFF"/>
        </w:rPr>
        <w:t>)</w:t>
      </w:r>
    </w:p>
    <w:p w:rsidR="0085055B" w:rsidRPr="001C2D09" w:rsidP="005E32BE" w14:paraId="48B4C4A1" w14:textId="50ADB4A0">
      <w:pPr>
        <w:spacing w:after="120"/>
        <w:rPr>
          <w:spacing w:val="-3"/>
          <w:sz w:val="22"/>
          <w:szCs w:val="22"/>
          <w:shd w:val="clear" w:color="auto" w:fill="FFFFFF"/>
        </w:rPr>
      </w:pPr>
      <w:r w:rsidRPr="001C2D09">
        <w:rPr>
          <w:spacing w:val="-3"/>
          <w:sz w:val="22"/>
          <w:szCs w:val="22"/>
          <w:shd w:val="clear" w:color="auto" w:fill="FFFFFF"/>
        </w:rPr>
        <w:t>The Commission believes that most respondent</w:t>
      </w:r>
      <w:r w:rsidRPr="001C2D09" w:rsidR="00463B01">
        <w:rPr>
          <w:spacing w:val="-3"/>
          <w:sz w:val="22"/>
          <w:szCs w:val="22"/>
          <w:shd w:val="clear" w:color="auto" w:fill="FFFFFF"/>
        </w:rPr>
        <w:t>s</w:t>
      </w:r>
      <w:r w:rsidRPr="001C2D09">
        <w:rPr>
          <w:spacing w:val="-3"/>
          <w:sz w:val="22"/>
          <w:szCs w:val="22"/>
          <w:shd w:val="clear" w:color="auto" w:fill="FFFFFF"/>
        </w:rPr>
        <w:t xml:space="preserve"> use a </w:t>
      </w:r>
      <w:r w:rsidRPr="001C2D09" w:rsidR="00F27920">
        <w:rPr>
          <w:spacing w:val="-3"/>
          <w:sz w:val="22"/>
          <w:szCs w:val="22"/>
          <w:shd w:val="clear" w:color="auto" w:fill="FFFFFF"/>
        </w:rPr>
        <w:t xml:space="preserve">digital internal system to solicit </w:t>
      </w:r>
      <w:r w:rsidRPr="001C2D09" w:rsidR="3A75FB1D">
        <w:rPr>
          <w:spacing w:val="-3"/>
          <w:sz w:val="22"/>
          <w:szCs w:val="22"/>
          <w:shd w:val="clear" w:color="auto" w:fill="FFFFFF"/>
        </w:rPr>
        <w:t>their</w:t>
      </w:r>
      <w:r w:rsidRPr="001C2D09" w:rsidR="00F27920">
        <w:rPr>
          <w:spacing w:val="-3"/>
          <w:sz w:val="22"/>
          <w:szCs w:val="22"/>
          <w:shd w:val="clear" w:color="auto" w:fill="FFFFFF"/>
        </w:rPr>
        <w:t xml:space="preserve"> customers for permission to use CPNI to market service offerings outside </w:t>
      </w:r>
      <w:r w:rsidRPr="001C2D09" w:rsidR="002742E8">
        <w:rPr>
          <w:spacing w:val="-3"/>
          <w:sz w:val="22"/>
          <w:szCs w:val="22"/>
          <w:shd w:val="clear" w:color="auto" w:fill="FFFFFF"/>
        </w:rPr>
        <w:t xml:space="preserve">a customer’s existing service relationship.  Therefore, the </w:t>
      </w:r>
      <w:r w:rsidRPr="001C2D09" w:rsidR="00275C65">
        <w:rPr>
          <w:spacing w:val="-3"/>
          <w:sz w:val="22"/>
          <w:szCs w:val="22"/>
          <w:shd w:val="clear" w:color="auto" w:fill="FFFFFF"/>
        </w:rPr>
        <w:t xml:space="preserve">burden to new entrants of complying with </w:t>
      </w:r>
      <w:r w:rsidRPr="001C2D09" w:rsidR="00493A0B">
        <w:rPr>
          <w:spacing w:val="-3"/>
          <w:sz w:val="22"/>
          <w:szCs w:val="22"/>
          <w:shd w:val="clear" w:color="auto" w:fill="FFFFFF"/>
        </w:rPr>
        <w:t xml:space="preserve">the notification requirement includes the design of a digital platform that the respondent can use to </w:t>
      </w:r>
      <w:r w:rsidRPr="001C2D09">
        <w:rPr>
          <w:spacing w:val="-3"/>
          <w:sz w:val="22"/>
          <w:szCs w:val="22"/>
          <w:shd w:val="clear" w:color="auto" w:fill="FFFFFF"/>
        </w:rPr>
        <w:t>automatically</w:t>
      </w:r>
      <w:r w:rsidRPr="001C2D09" w:rsidR="00681F17">
        <w:rPr>
          <w:spacing w:val="-3"/>
          <w:sz w:val="22"/>
          <w:szCs w:val="22"/>
          <w:shd w:val="clear" w:color="auto" w:fill="FFFFFF"/>
        </w:rPr>
        <w:t xml:space="preserve"> solicit permission from its customers, </w:t>
      </w:r>
      <w:r w:rsidRPr="001C2D09">
        <w:rPr>
          <w:spacing w:val="-3"/>
          <w:sz w:val="22"/>
          <w:szCs w:val="22"/>
          <w:shd w:val="clear" w:color="auto" w:fill="FFFFFF"/>
        </w:rPr>
        <w:t xml:space="preserve">as well as </w:t>
      </w:r>
      <w:r w:rsidRPr="001C2D09" w:rsidR="00493A0B">
        <w:rPr>
          <w:spacing w:val="-3"/>
          <w:sz w:val="22"/>
          <w:szCs w:val="22"/>
          <w:shd w:val="clear" w:color="auto" w:fill="FFFFFF"/>
        </w:rPr>
        <w:t xml:space="preserve">the design of the notification itself. </w:t>
      </w:r>
      <w:r w:rsidRPr="001C2D09" w:rsidR="00800D1E">
        <w:rPr>
          <w:spacing w:val="-3"/>
          <w:sz w:val="22"/>
          <w:szCs w:val="22"/>
          <w:shd w:val="clear" w:color="auto" w:fill="FFFFFF"/>
        </w:rPr>
        <w:t xml:space="preserve">The design of both of these is an annual burden to new entrants only, as </w:t>
      </w:r>
      <w:r w:rsidRPr="001C2D09" w:rsidR="00DD3C8E">
        <w:rPr>
          <w:spacing w:val="-3"/>
          <w:sz w:val="22"/>
          <w:szCs w:val="22"/>
          <w:shd w:val="clear" w:color="auto" w:fill="FFFFFF"/>
        </w:rPr>
        <w:t>providers who entered the market in the past are believed to have both</w:t>
      </w:r>
      <w:r w:rsidRPr="001C2D09" w:rsidR="00124F33">
        <w:rPr>
          <w:spacing w:val="-3"/>
          <w:sz w:val="22"/>
          <w:szCs w:val="22"/>
          <w:shd w:val="clear" w:color="auto" w:fill="FFFFFF"/>
        </w:rPr>
        <w:t xml:space="preserve"> components already developed. </w:t>
      </w:r>
      <w:r w:rsidRPr="001C2D09" w:rsidR="00493A0B">
        <w:rPr>
          <w:spacing w:val="-3"/>
          <w:sz w:val="22"/>
          <w:szCs w:val="22"/>
          <w:shd w:val="clear" w:color="auto" w:fill="FFFFFF"/>
        </w:rPr>
        <w:t xml:space="preserve"> </w:t>
      </w:r>
    </w:p>
    <w:p w:rsidR="0085055B" w:rsidRPr="001C2D09" w:rsidP="005E32BE" w14:paraId="56BDA85E" w14:textId="32F7399D">
      <w:pPr>
        <w:spacing w:after="120"/>
        <w:rPr>
          <w:spacing w:val="-3"/>
          <w:sz w:val="22"/>
          <w:szCs w:val="22"/>
          <w:shd w:val="clear" w:color="auto" w:fill="FFFFFF"/>
        </w:rPr>
      </w:pPr>
      <w:r w:rsidRPr="68F9AAF0">
        <w:rPr>
          <w:sz w:val="22"/>
          <w:szCs w:val="22"/>
        </w:rPr>
        <w:t xml:space="preserve">The Commission estimates that the respondents will require approximately ten hours to design a digital platform that solicits </w:t>
      </w:r>
      <w:r w:rsidRPr="68F9AAF0" w:rsidR="00896E0D">
        <w:rPr>
          <w:sz w:val="22"/>
          <w:szCs w:val="22"/>
        </w:rPr>
        <w:t xml:space="preserve">each of </w:t>
      </w:r>
      <w:r w:rsidRPr="68F9AAF0" w:rsidR="3BC9F73E">
        <w:rPr>
          <w:sz w:val="22"/>
          <w:szCs w:val="22"/>
        </w:rPr>
        <w:t>their</w:t>
      </w:r>
      <w:r w:rsidRPr="68F9AAF0" w:rsidR="00896E0D">
        <w:rPr>
          <w:sz w:val="22"/>
          <w:szCs w:val="22"/>
        </w:rPr>
        <w:t xml:space="preserve"> customers for </w:t>
      </w:r>
      <w:r w:rsidRPr="68F9AAF0" w:rsidR="0070325D">
        <w:rPr>
          <w:sz w:val="22"/>
          <w:szCs w:val="22"/>
        </w:rPr>
        <w:t xml:space="preserve">their </w:t>
      </w:r>
      <w:r w:rsidRPr="68F9AAF0" w:rsidR="00896E0D">
        <w:rPr>
          <w:sz w:val="22"/>
          <w:szCs w:val="22"/>
        </w:rPr>
        <w:t>permission to use CPNI to market service offerings outside of the</w:t>
      </w:r>
      <w:r w:rsidRPr="68F9AAF0" w:rsidR="0070325D">
        <w:rPr>
          <w:sz w:val="22"/>
          <w:szCs w:val="22"/>
        </w:rPr>
        <w:t xml:space="preserve">ir existing service relationship. </w:t>
      </w:r>
    </w:p>
    <w:p w:rsidR="001D548B" w:rsidRPr="001C2D09" w:rsidP="00B539DC" w14:paraId="27485E64" w14:textId="56842149">
      <w:pPr>
        <w:spacing w:after="120"/>
        <w:ind w:left="720" w:firstLine="720"/>
        <w:rPr>
          <w:spacing w:val="-3"/>
          <w:sz w:val="22"/>
          <w:szCs w:val="22"/>
          <w:shd w:val="clear" w:color="auto" w:fill="FFFFFF"/>
        </w:rPr>
      </w:pPr>
      <w:r w:rsidRPr="001C2D09">
        <w:rPr>
          <w:spacing w:val="-3"/>
          <w:sz w:val="22"/>
          <w:szCs w:val="22"/>
          <w:shd w:val="clear" w:color="auto" w:fill="FFFFFF"/>
        </w:rPr>
        <w:t>147</w:t>
      </w:r>
      <w:r w:rsidRPr="001C2D09" w:rsidR="00817F6D">
        <w:rPr>
          <w:spacing w:val="-3"/>
          <w:sz w:val="22"/>
          <w:szCs w:val="22"/>
          <w:shd w:val="clear" w:color="auto" w:fill="FFFFFF"/>
        </w:rPr>
        <w:t xml:space="preserve"> </w:t>
      </w:r>
      <w:r w:rsidRPr="001C2D09">
        <w:rPr>
          <w:spacing w:val="-3"/>
          <w:sz w:val="22"/>
          <w:szCs w:val="22"/>
          <w:shd w:val="clear" w:color="auto" w:fill="FFFFFF"/>
        </w:rPr>
        <w:t xml:space="preserve">respondents x </w:t>
      </w:r>
      <w:r w:rsidRPr="001C2D09" w:rsidR="00817F6D">
        <w:rPr>
          <w:spacing w:val="-3"/>
          <w:sz w:val="22"/>
          <w:szCs w:val="22"/>
          <w:shd w:val="clear" w:color="auto" w:fill="FFFFFF"/>
        </w:rPr>
        <w:t>10</w:t>
      </w:r>
      <w:r w:rsidRPr="001C2D09">
        <w:rPr>
          <w:spacing w:val="-3"/>
          <w:sz w:val="22"/>
          <w:szCs w:val="22"/>
          <w:shd w:val="clear" w:color="auto" w:fill="FFFFFF"/>
        </w:rPr>
        <w:t xml:space="preserve"> hours/</w:t>
      </w:r>
      <w:r w:rsidRPr="001C2D09" w:rsidR="00057352">
        <w:rPr>
          <w:spacing w:val="-3"/>
          <w:sz w:val="22"/>
          <w:szCs w:val="22"/>
          <w:shd w:val="clear" w:color="auto" w:fill="FFFFFF"/>
        </w:rPr>
        <w:t>digital platform</w:t>
      </w:r>
      <w:r w:rsidRPr="001C2D09">
        <w:rPr>
          <w:spacing w:val="-3"/>
          <w:sz w:val="22"/>
          <w:szCs w:val="22"/>
          <w:shd w:val="clear" w:color="auto" w:fill="FFFFFF"/>
        </w:rPr>
        <w:t xml:space="preserve"> design = </w:t>
      </w:r>
      <w:r w:rsidRPr="001C2D09" w:rsidR="00817F6D">
        <w:rPr>
          <w:spacing w:val="-3"/>
          <w:sz w:val="22"/>
          <w:szCs w:val="22"/>
          <w:shd w:val="clear" w:color="auto" w:fill="FFFFFF"/>
        </w:rPr>
        <w:t>1,470</w:t>
      </w:r>
      <w:r w:rsidRPr="001C2D09">
        <w:rPr>
          <w:spacing w:val="-3"/>
          <w:sz w:val="22"/>
          <w:szCs w:val="22"/>
          <w:shd w:val="clear" w:color="auto" w:fill="FFFFFF"/>
        </w:rPr>
        <w:t xml:space="preserve"> hours</w:t>
      </w:r>
      <w:r w:rsidRPr="001C2D09" w:rsidR="00817F6D">
        <w:rPr>
          <w:spacing w:val="-3"/>
          <w:sz w:val="22"/>
          <w:szCs w:val="22"/>
          <w:shd w:val="clear" w:color="auto" w:fill="FFFFFF"/>
        </w:rPr>
        <w:t xml:space="preserve"> for digital platform</w:t>
      </w:r>
    </w:p>
    <w:p w:rsidR="00012520" w:rsidRPr="001C2D09" w:rsidP="005E32BE" w14:paraId="1337DCDB" w14:textId="215CDBF0">
      <w:pPr>
        <w:spacing w:after="120"/>
        <w:rPr>
          <w:spacing w:val="-3"/>
          <w:sz w:val="22"/>
          <w:szCs w:val="22"/>
          <w:shd w:val="clear" w:color="auto" w:fill="FFFFFF"/>
        </w:rPr>
      </w:pPr>
      <w:r w:rsidRPr="001C2D09">
        <w:rPr>
          <w:spacing w:val="-3"/>
          <w:sz w:val="22"/>
          <w:szCs w:val="22"/>
          <w:shd w:val="clear" w:color="auto" w:fill="FFFFFF"/>
        </w:rPr>
        <w:t>The Commission estimates that the respondent</w:t>
      </w:r>
      <w:r w:rsidRPr="001C2D09" w:rsidR="00DE7ABF">
        <w:rPr>
          <w:spacing w:val="-3"/>
          <w:sz w:val="22"/>
          <w:szCs w:val="22"/>
          <w:shd w:val="clear" w:color="auto" w:fill="FFFFFF"/>
        </w:rPr>
        <w:t>s</w:t>
      </w:r>
      <w:r w:rsidRPr="001C2D09">
        <w:rPr>
          <w:spacing w:val="-3"/>
          <w:sz w:val="22"/>
          <w:szCs w:val="22"/>
          <w:shd w:val="clear" w:color="auto" w:fill="FFFFFF"/>
        </w:rPr>
        <w:t xml:space="preserve"> will require approximately two hours </w:t>
      </w:r>
      <w:r w:rsidRPr="001C2D09" w:rsidR="00F22C5C">
        <w:rPr>
          <w:spacing w:val="-3"/>
          <w:sz w:val="22"/>
          <w:szCs w:val="22"/>
          <w:shd w:val="clear" w:color="auto" w:fill="FFFFFF"/>
        </w:rPr>
        <w:t xml:space="preserve">to </w:t>
      </w:r>
      <w:r w:rsidRPr="001C2D09" w:rsidR="00C505BD">
        <w:rPr>
          <w:spacing w:val="-3"/>
          <w:sz w:val="22"/>
          <w:szCs w:val="22"/>
          <w:shd w:val="clear" w:color="auto" w:fill="FFFFFF"/>
        </w:rPr>
        <w:t xml:space="preserve">design </w:t>
      </w:r>
      <w:r w:rsidRPr="001C2D09" w:rsidR="00F22C5C">
        <w:rPr>
          <w:spacing w:val="-3"/>
          <w:sz w:val="22"/>
          <w:szCs w:val="22"/>
          <w:shd w:val="clear" w:color="auto" w:fill="FFFFFF"/>
        </w:rPr>
        <w:t xml:space="preserve">the </w:t>
      </w:r>
      <w:r w:rsidRPr="001C2D09" w:rsidR="00C505BD">
        <w:rPr>
          <w:spacing w:val="-3"/>
          <w:sz w:val="22"/>
          <w:szCs w:val="22"/>
          <w:shd w:val="clear" w:color="auto" w:fill="FFFFFF"/>
        </w:rPr>
        <w:t>notification</w:t>
      </w:r>
      <w:r w:rsidRPr="001C2D09" w:rsidR="00DE7ABF">
        <w:rPr>
          <w:spacing w:val="-3"/>
          <w:sz w:val="22"/>
          <w:szCs w:val="22"/>
          <w:shd w:val="clear" w:color="auto" w:fill="FFFFFF"/>
        </w:rPr>
        <w:t>,</w:t>
      </w:r>
      <w:r w:rsidRPr="001C2D09">
        <w:rPr>
          <w:spacing w:val="-3"/>
          <w:sz w:val="22"/>
          <w:szCs w:val="22"/>
          <w:shd w:val="clear" w:color="auto" w:fill="FFFFFF"/>
        </w:rPr>
        <w:t xml:space="preserve"> giving the respondents permission from their customers to use CPNI to market service offerings outside </w:t>
      </w:r>
      <w:r w:rsidRPr="001C2D09" w:rsidR="00DE7ABF">
        <w:rPr>
          <w:spacing w:val="-3"/>
          <w:sz w:val="22"/>
          <w:szCs w:val="22"/>
          <w:shd w:val="clear" w:color="auto" w:fill="FFFFFF"/>
        </w:rPr>
        <w:t>a</w:t>
      </w:r>
      <w:r w:rsidRPr="001C2D09">
        <w:rPr>
          <w:spacing w:val="-3"/>
          <w:sz w:val="22"/>
          <w:szCs w:val="22"/>
          <w:shd w:val="clear" w:color="auto" w:fill="FFFFFF"/>
        </w:rPr>
        <w:t xml:space="preserve"> customer’s existing service</w:t>
      </w:r>
      <w:r w:rsidRPr="001C2D09" w:rsidR="00DE7ABF">
        <w:rPr>
          <w:spacing w:val="-3"/>
          <w:sz w:val="22"/>
          <w:szCs w:val="22"/>
          <w:shd w:val="clear" w:color="auto" w:fill="FFFFFF"/>
        </w:rPr>
        <w:t xml:space="preserve"> relationship.</w:t>
      </w:r>
      <w:r w:rsidRPr="001C2D09" w:rsidR="00147FB4">
        <w:rPr>
          <w:spacing w:val="-3"/>
          <w:sz w:val="22"/>
          <w:szCs w:val="22"/>
          <w:shd w:val="clear" w:color="auto" w:fill="FFFFFF"/>
        </w:rPr>
        <w:t xml:space="preserve">  </w:t>
      </w:r>
    </w:p>
    <w:p w:rsidR="004D73DF" w:rsidRPr="001C2D09" w:rsidP="005E32BE" w14:paraId="37F5D167" w14:textId="2272F814">
      <w:pPr>
        <w:spacing w:after="120"/>
        <w:ind w:firstLine="720"/>
        <w:rPr>
          <w:spacing w:val="-3"/>
          <w:sz w:val="22"/>
          <w:szCs w:val="22"/>
          <w:shd w:val="clear" w:color="auto" w:fill="FFFFFF"/>
        </w:rPr>
      </w:pPr>
      <w:r w:rsidRPr="001C2D09">
        <w:rPr>
          <w:spacing w:val="-3"/>
          <w:sz w:val="22"/>
          <w:szCs w:val="22"/>
          <w:shd w:val="clear" w:color="auto" w:fill="FFFFFF"/>
        </w:rPr>
        <w:tab/>
      </w:r>
      <w:bookmarkStart w:id="4" w:name="_Hlk164243274"/>
      <w:r w:rsidRPr="001C2D09" w:rsidR="00E17889">
        <w:rPr>
          <w:spacing w:val="-3"/>
          <w:sz w:val="22"/>
          <w:szCs w:val="22"/>
          <w:shd w:val="clear" w:color="auto" w:fill="FFFFFF"/>
        </w:rPr>
        <w:t>147</w:t>
      </w:r>
      <w:r w:rsidRPr="001C2D09" w:rsidR="00714E34">
        <w:rPr>
          <w:spacing w:val="-3"/>
          <w:sz w:val="22"/>
          <w:szCs w:val="22"/>
          <w:shd w:val="clear" w:color="auto" w:fill="FFFFFF"/>
        </w:rPr>
        <w:t xml:space="preserve"> </w:t>
      </w:r>
      <w:r w:rsidRPr="001C2D09" w:rsidR="007260DF">
        <w:rPr>
          <w:spacing w:val="-3"/>
          <w:sz w:val="22"/>
          <w:szCs w:val="22"/>
          <w:shd w:val="clear" w:color="auto" w:fill="FFFFFF"/>
        </w:rPr>
        <w:t xml:space="preserve">respondents </w:t>
      </w:r>
      <w:r w:rsidRPr="001C2D09">
        <w:rPr>
          <w:spacing w:val="-3"/>
          <w:sz w:val="22"/>
          <w:szCs w:val="22"/>
          <w:shd w:val="clear" w:color="auto" w:fill="FFFFFF"/>
        </w:rPr>
        <w:t xml:space="preserve">x 2 hours/notification design = </w:t>
      </w:r>
      <w:r w:rsidRPr="001C2D09" w:rsidR="00426BB8">
        <w:rPr>
          <w:spacing w:val="-3"/>
          <w:sz w:val="22"/>
          <w:szCs w:val="22"/>
          <w:shd w:val="clear" w:color="auto" w:fill="FFFFFF"/>
        </w:rPr>
        <w:t>294</w:t>
      </w:r>
      <w:r w:rsidRPr="001C2D09" w:rsidR="00F36FBD">
        <w:rPr>
          <w:spacing w:val="-3"/>
          <w:sz w:val="22"/>
          <w:szCs w:val="22"/>
          <w:shd w:val="clear" w:color="auto" w:fill="FFFFFF"/>
        </w:rPr>
        <w:t xml:space="preserve"> </w:t>
      </w:r>
      <w:r w:rsidRPr="001C2D09">
        <w:rPr>
          <w:spacing w:val="-3"/>
          <w:sz w:val="22"/>
          <w:szCs w:val="22"/>
          <w:shd w:val="clear" w:color="auto" w:fill="FFFFFF"/>
        </w:rPr>
        <w:t>hours</w:t>
      </w:r>
      <w:r w:rsidRPr="001C2D09" w:rsidR="00135352">
        <w:rPr>
          <w:spacing w:val="-3"/>
          <w:sz w:val="22"/>
          <w:szCs w:val="22"/>
          <w:shd w:val="clear" w:color="auto" w:fill="FFFFFF"/>
        </w:rPr>
        <w:t xml:space="preserve"> for notification</w:t>
      </w:r>
    </w:p>
    <w:bookmarkEnd w:id="4"/>
    <w:p w:rsidR="003E57DF" w:rsidRPr="001C2D09" w:rsidP="005E32BE" w14:paraId="35FC0D05" w14:textId="67DFE29E">
      <w:pPr>
        <w:spacing w:after="120"/>
        <w:rPr>
          <w:spacing w:val="-3"/>
          <w:sz w:val="22"/>
          <w:szCs w:val="22"/>
          <w:shd w:val="clear" w:color="auto" w:fill="FFFFFF"/>
        </w:rPr>
      </w:pPr>
      <w:r w:rsidRPr="001C2D09">
        <w:rPr>
          <w:spacing w:val="-3"/>
          <w:sz w:val="22"/>
          <w:szCs w:val="22"/>
          <w:shd w:val="clear" w:color="auto" w:fill="FFFFFF"/>
        </w:rPr>
        <w:t xml:space="preserve">Once the customer grants the </w:t>
      </w:r>
      <w:r w:rsidRPr="001C2D09" w:rsidR="0042453B">
        <w:rPr>
          <w:spacing w:val="-3"/>
          <w:sz w:val="22"/>
          <w:szCs w:val="22"/>
          <w:shd w:val="clear" w:color="auto" w:fill="FFFFFF"/>
        </w:rPr>
        <w:t>respondent</w:t>
      </w:r>
      <w:r w:rsidRPr="001C2D09">
        <w:rPr>
          <w:spacing w:val="-3"/>
          <w:sz w:val="22"/>
          <w:szCs w:val="22"/>
          <w:shd w:val="clear" w:color="auto" w:fill="FFFFFF"/>
        </w:rPr>
        <w:t xml:space="preserve"> permission to use his/her CPNI to market services outside the existing service relationship, the </w:t>
      </w:r>
      <w:r w:rsidRPr="001C2D09" w:rsidR="0042453B">
        <w:rPr>
          <w:spacing w:val="-3"/>
          <w:sz w:val="22"/>
          <w:szCs w:val="22"/>
          <w:shd w:val="clear" w:color="auto" w:fill="FFFFFF"/>
        </w:rPr>
        <w:t>respondent</w:t>
      </w:r>
      <w:r w:rsidRPr="001C2D09">
        <w:rPr>
          <w:spacing w:val="-3"/>
          <w:sz w:val="22"/>
          <w:szCs w:val="22"/>
          <w:shd w:val="clear" w:color="auto" w:fill="FFFFFF"/>
        </w:rPr>
        <w:t xml:space="preserve"> does not have to seek approval again for the purpose </w:t>
      </w:r>
      <w:r w:rsidRPr="001C2D09" w:rsidR="004912DA">
        <w:rPr>
          <w:spacing w:val="-3"/>
          <w:sz w:val="22"/>
          <w:szCs w:val="22"/>
          <w:shd w:val="clear" w:color="auto" w:fill="FFFFFF"/>
        </w:rPr>
        <w:t xml:space="preserve">for which </w:t>
      </w:r>
      <w:r w:rsidRPr="001C2D09">
        <w:rPr>
          <w:spacing w:val="-3"/>
          <w:sz w:val="22"/>
          <w:szCs w:val="22"/>
          <w:shd w:val="clear" w:color="auto" w:fill="FFFFFF"/>
        </w:rPr>
        <w:t xml:space="preserve">it informed the customer.  However, if </w:t>
      </w:r>
      <w:r w:rsidRPr="001C2D09" w:rsidR="00797B38">
        <w:rPr>
          <w:spacing w:val="-3"/>
          <w:sz w:val="22"/>
          <w:szCs w:val="22"/>
          <w:shd w:val="clear" w:color="auto" w:fill="FFFFFF"/>
        </w:rPr>
        <w:t xml:space="preserve">the respondent </w:t>
      </w:r>
      <w:r w:rsidRPr="001C2D09">
        <w:rPr>
          <w:spacing w:val="-3"/>
          <w:sz w:val="22"/>
          <w:szCs w:val="22"/>
          <w:shd w:val="clear" w:color="auto" w:fill="FFFFFF"/>
        </w:rPr>
        <w:t>use</w:t>
      </w:r>
      <w:r w:rsidRPr="001C2D09" w:rsidR="0042453B">
        <w:rPr>
          <w:spacing w:val="-3"/>
          <w:sz w:val="22"/>
          <w:szCs w:val="22"/>
          <w:shd w:val="clear" w:color="auto" w:fill="FFFFFF"/>
        </w:rPr>
        <w:t>s</w:t>
      </w:r>
      <w:r w:rsidRPr="001C2D09">
        <w:rPr>
          <w:spacing w:val="-3"/>
          <w:sz w:val="22"/>
          <w:szCs w:val="22"/>
          <w:shd w:val="clear" w:color="auto" w:fill="FFFFFF"/>
        </w:rPr>
        <w:t xml:space="preserve"> the opt-out approval mechanism, </w:t>
      </w:r>
      <w:r w:rsidRPr="001C2D09" w:rsidR="007260DF">
        <w:rPr>
          <w:spacing w:val="-3"/>
          <w:sz w:val="22"/>
          <w:szCs w:val="22"/>
          <w:shd w:val="clear" w:color="auto" w:fill="FFFFFF"/>
        </w:rPr>
        <w:t>it</w:t>
      </w:r>
      <w:r w:rsidRPr="001C2D09">
        <w:rPr>
          <w:spacing w:val="-3"/>
          <w:sz w:val="22"/>
          <w:szCs w:val="22"/>
          <w:shd w:val="clear" w:color="auto" w:fill="FFFFFF"/>
        </w:rPr>
        <w:t xml:space="preserve"> must send </w:t>
      </w:r>
      <w:r w:rsidRPr="001C2D09" w:rsidR="00797B38">
        <w:rPr>
          <w:spacing w:val="-3"/>
          <w:sz w:val="22"/>
          <w:szCs w:val="22"/>
          <w:shd w:val="clear" w:color="auto" w:fill="FFFFFF"/>
        </w:rPr>
        <w:t xml:space="preserve">a </w:t>
      </w:r>
      <w:r w:rsidRPr="001C2D09">
        <w:rPr>
          <w:spacing w:val="-3"/>
          <w:sz w:val="22"/>
          <w:szCs w:val="22"/>
          <w:shd w:val="clear" w:color="auto" w:fill="FFFFFF"/>
        </w:rPr>
        <w:t>notice of customers’ rights to each customer biennially.</w:t>
      </w:r>
      <w:r w:rsidRPr="001C2D09" w:rsidR="007419D1">
        <w:rPr>
          <w:spacing w:val="-3"/>
          <w:sz w:val="22"/>
          <w:szCs w:val="22"/>
          <w:shd w:val="clear" w:color="auto" w:fill="FFFFFF"/>
        </w:rPr>
        <w:t xml:space="preserve">  Provided that the respondent use</w:t>
      </w:r>
      <w:r w:rsidRPr="001C2D09" w:rsidR="0013521F">
        <w:rPr>
          <w:spacing w:val="-3"/>
          <w:sz w:val="22"/>
          <w:szCs w:val="22"/>
          <w:shd w:val="clear" w:color="auto" w:fill="FFFFFF"/>
        </w:rPr>
        <w:t>s</w:t>
      </w:r>
      <w:r w:rsidRPr="001C2D09" w:rsidR="007419D1">
        <w:rPr>
          <w:spacing w:val="-3"/>
          <w:sz w:val="22"/>
          <w:szCs w:val="22"/>
          <w:shd w:val="clear" w:color="auto" w:fill="FFFFFF"/>
        </w:rPr>
        <w:t xml:space="preserve"> </w:t>
      </w:r>
      <w:r w:rsidRPr="001C2D09" w:rsidR="0013521F">
        <w:rPr>
          <w:spacing w:val="-3"/>
          <w:sz w:val="22"/>
          <w:szCs w:val="22"/>
          <w:shd w:val="clear" w:color="auto" w:fill="FFFFFF"/>
        </w:rPr>
        <w:t>the aforementioned</w:t>
      </w:r>
      <w:r w:rsidRPr="001C2D09" w:rsidR="007419D1">
        <w:rPr>
          <w:spacing w:val="-3"/>
          <w:sz w:val="22"/>
          <w:szCs w:val="22"/>
          <w:shd w:val="clear" w:color="auto" w:fill="FFFFFF"/>
        </w:rPr>
        <w:t xml:space="preserve"> digital </w:t>
      </w:r>
      <w:r w:rsidRPr="001C2D09" w:rsidR="0013521F">
        <w:rPr>
          <w:spacing w:val="-3"/>
          <w:sz w:val="22"/>
          <w:szCs w:val="22"/>
          <w:shd w:val="clear" w:color="auto" w:fill="FFFFFF"/>
        </w:rPr>
        <w:t xml:space="preserve">platform to engage with its customers on CPNI matters, </w:t>
      </w:r>
      <w:r w:rsidRPr="001C2D09" w:rsidR="006B7C80">
        <w:rPr>
          <w:spacing w:val="-3"/>
          <w:sz w:val="22"/>
          <w:szCs w:val="22"/>
          <w:shd w:val="clear" w:color="auto" w:fill="FFFFFF"/>
        </w:rPr>
        <w:t xml:space="preserve">a digital notification can be set to automatically be sent every two years.  As such, the Commission estimates the burden </w:t>
      </w:r>
      <w:r w:rsidRPr="001C2D09" w:rsidR="00AE4618">
        <w:rPr>
          <w:spacing w:val="-3"/>
          <w:sz w:val="22"/>
          <w:szCs w:val="22"/>
          <w:shd w:val="clear" w:color="auto" w:fill="FFFFFF"/>
        </w:rPr>
        <w:t xml:space="preserve">from biennially notifying customers to be zero. </w:t>
      </w:r>
    </w:p>
    <w:p w:rsidR="00A40E26" w:rsidRPr="001C2D09" w:rsidP="005E32BE" w14:paraId="66EE89F6" w14:textId="49F4530B">
      <w:pPr>
        <w:spacing w:after="120"/>
        <w:ind w:firstLine="720"/>
        <w:rPr>
          <w:sz w:val="22"/>
          <w:szCs w:val="22"/>
        </w:rPr>
      </w:pPr>
      <w:r w:rsidRPr="001C2D09">
        <w:rPr>
          <w:spacing w:val="-3"/>
          <w:sz w:val="22"/>
          <w:szCs w:val="22"/>
          <w:shd w:val="clear" w:color="auto" w:fill="FFFFFF"/>
        </w:rPr>
        <w:t>(5)</w:t>
      </w:r>
      <w:r w:rsidRPr="001C2D09" w:rsidR="005E32BE">
        <w:rPr>
          <w:spacing w:val="-3"/>
          <w:sz w:val="22"/>
          <w:szCs w:val="22"/>
          <w:shd w:val="clear" w:color="auto" w:fill="FFFFFF"/>
        </w:rPr>
        <w:tab/>
      </w:r>
      <w:r w:rsidRPr="001C2D09" w:rsidR="00AD4F36">
        <w:rPr>
          <w:sz w:val="22"/>
          <w:szCs w:val="22"/>
        </w:rPr>
        <w:t xml:space="preserve">Total </w:t>
      </w:r>
      <w:r w:rsidRPr="001C2D09" w:rsidR="003A5B77">
        <w:rPr>
          <w:sz w:val="22"/>
          <w:szCs w:val="22"/>
        </w:rPr>
        <w:t>“</w:t>
      </w:r>
      <w:r w:rsidRPr="001C2D09" w:rsidR="00AD4F36">
        <w:rPr>
          <w:sz w:val="22"/>
          <w:szCs w:val="22"/>
        </w:rPr>
        <w:t>I</w:t>
      </w:r>
      <w:r w:rsidRPr="001C2D09" w:rsidR="003A5B77">
        <w:rPr>
          <w:sz w:val="22"/>
          <w:szCs w:val="22"/>
        </w:rPr>
        <w:t xml:space="preserve">n </w:t>
      </w:r>
      <w:r w:rsidRPr="001C2D09" w:rsidR="00AD4F36">
        <w:rPr>
          <w:sz w:val="22"/>
          <w:szCs w:val="22"/>
        </w:rPr>
        <w:t>H</w:t>
      </w:r>
      <w:r w:rsidRPr="001C2D09" w:rsidR="003A5B77">
        <w:rPr>
          <w:sz w:val="22"/>
          <w:szCs w:val="22"/>
        </w:rPr>
        <w:t xml:space="preserve">ouse” </w:t>
      </w:r>
      <w:r w:rsidRPr="001C2D09" w:rsidR="00AD4F36">
        <w:rPr>
          <w:sz w:val="22"/>
          <w:szCs w:val="22"/>
        </w:rPr>
        <w:t>C</w:t>
      </w:r>
      <w:r w:rsidRPr="001C2D09" w:rsidR="00005848">
        <w:rPr>
          <w:sz w:val="22"/>
          <w:szCs w:val="22"/>
        </w:rPr>
        <w:t>ost</w:t>
      </w:r>
      <w:r w:rsidRPr="001C2D09" w:rsidR="00AD4F36">
        <w:rPr>
          <w:sz w:val="22"/>
          <w:szCs w:val="22"/>
        </w:rPr>
        <w:t>s</w:t>
      </w:r>
      <w:r w:rsidRPr="001C2D09" w:rsidR="00005848">
        <w:rPr>
          <w:sz w:val="22"/>
          <w:szCs w:val="22"/>
        </w:rPr>
        <w:t xml:space="preserve">: </w:t>
      </w:r>
      <w:r w:rsidRPr="001C2D09" w:rsidR="002569FA">
        <w:rPr>
          <w:sz w:val="22"/>
          <w:szCs w:val="22"/>
        </w:rPr>
        <w:t xml:space="preserve"> $</w:t>
      </w:r>
      <w:r w:rsidRPr="001C2D09" w:rsidR="00104E01">
        <w:rPr>
          <w:sz w:val="22"/>
          <w:szCs w:val="22"/>
        </w:rPr>
        <w:t>1</w:t>
      </w:r>
      <w:r w:rsidRPr="001C2D09" w:rsidR="00CA1AAA">
        <w:rPr>
          <w:sz w:val="22"/>
          <w:szCs w:val="22"/>
        </w:rPr>
        <w:t>31,879</w:t>
      </w:r>
    </w:p>
    <w:p w:rsidR="00C12DDA" w:rsidRPr="001C2D09" w:rsidP="005E32BE" w14:paraId="7945090E" w14:textId="225FB296">
      <w:pPr>
        <w:spacing w:after="120"/>
        <w:rPr>
          <w:spacing w:val="-3"/>
          <w:sz w:val="22"/>
          <w:szCs w:val="22"/>
          <w:shd w:val="clear" w:color="auto" w:fill="FFFFFF"/>
        </w:rPr>
      </w:pPr>
      <w:r w:rsidRPr="001C2D09">
        <w:rPr>
          <w:sz w:val="22"/>
          <w:szCs w:val="22"/>
        </w:rPr>
        <w:t xml:space="preserve">The Commission assumes that respondents will use personnel comparable in pay to a GS-12/Step </w:t>
      </w:r>
      <w:r w:rsidRPr="001C2D09" w:rsidR="00394295">
        <w:rPr>
          <w:sz w:val="22"/>
          <w:szCs w:val="22"/>
        </w:rPr>
        <w:t>5</w:t>
      </w:r>
      <w:r w:rsidRPr="001C2D09" w:rsidR="0D45713F">
        <w:rPr>
          <w:sz w:val="22"/>
          <w:szCs w:val="22"/>
        </w:rPr>
        <w:t xml:space="preserve"> ($</w:t>
      </w:r>
      <w:r w:rsidRPr="001C2D09" w:rsidR="00394295">
        <w:rPr>
          <w:sz w:val="22"/>
          <w:szCs w:val="22"/>
        </w:rPr>
        <w:t>53.87</w:t>
      </w:r>
      <w:r w:rsidRPr="001C2D09" w:rsidR="4F248C42">
        <w:rPr>
          <w:sz w:val="22"/>
          <w:szCs w:val="22"/>
        </w:rPr>
        <w:t>/hour) Federal employee,</w:t>
      </w:r>
      <w:r>
        <w:rPr>
          <w:rStyle w:val="FootnoteReference"/>
          <w:spacing w:val="-3"/>
          <w:sz w:val="22"/>
          <w:szCs w:val="22"/>
          <w:shd w:val="clear" w:color="auto" w:fill="FFFFFF"/>
        </w:rPr>
        <w:footnoteReference w:id="40"/>
      </w:r>
      <w:r w:rsidRPr="001C2D09" w:rsidR="4F248C42">
        <w:rPr>
          <w:sz w:val="22"/>
          <w:szCs w:val="22"/>
        </w:rPr>
        <w:t xml:space="preserve"> plus 30% overhead, to design the digital </w:t>
      </w:r>
      <w:r w:rsidRPr="001C2D09" w:rsidR="491D12C3">
        <w:rPr>
          <w:sz w:val="22"/>
          <w:szCs w:val="22"/>
        </w:rPr>
        <w:t>CPNI solicitation platform.</w:t>
      </w:r>
      <w:r w:rsidRPr="001C2D09" w:rsidR="35FEDD74">
        <w:rPr>
          <w:sz w:val="22"/>
          <w:szCs w:val="22"/>
        </w:rPr>
        <w:t xml:space="preserve">  The rules have been in place since 2007, and we believe that only new entrants to the market will need to create the notification. </w:t>
      </w:r>
      <w:r w:rsidRPr="001C2D09" w:rsidR="17636F46">
        <w:rPr>
          <w:sz w:val="22"/>
          <w:szCs w:val="22"/>
        </w:rPr>
        <w:t xml:space="preserve"> Having previously explained that we estimate 147 new entrants, this gives a burden of: </w:t>
      </w:r>
    </w:p>
    <w:p w:rsidR="00AE4618" w:rsidRPr="001C2D09" w:rsidP="00B539DC" w14:paraId="2F3BA3AE" w14:textId="14BFCD81">
      <w:pPr>
        <w:spacing w:after="120"/>
        <w:ind w:firstLine="720"/>
        <w:rPr>
          <w:spacing w:val="-3"/>
          <w:sz w:val="22"/>
          <w:szCs w:val="22"/>
          <w:shd w:val="clear" w:color="auto" w:fill="FFFFFF"/>
        </w:rPr>
      </w:pPr>
      <w:r w:rsidRPr="001C2D09">
        <w:rPr>
          <w:spacing w:val="-3"/>
          <w:sz w:val="22"/>
          <w:szCs w:val="22"/>
          <w:shd w:val="clear" w:color="auto" w:fill="FFFFFF"/>
        </w:rPr>
        <w:t>147 respondents x 10 hours/digital platform design x $</w:t>
      </w:r>
      <w:r w:rsidRPr="001C2D09" w:rsidR="00394295">
        <w:rPr>
          <w:spacing w:val="-3"/>
          <w:sz w:val="22"/>
          <w:szCs w:val="22"/>
          <w:shd w:val="clear" w:color="auto" w:fill="FFFFFF"/>
        </w:rPr>
        <w:t>53.87</w:t>
      </w:r>
      <w:r w:rsidRPr="001C2D09" w:rsidR="002A4389">
        <w:rPr>
          <w:spacing w:val="-3"/>
          <w:sz w:val="22"/>
          <w:szCs w:val="22"/>
          <w:shd w:val="clear" w:color="auto" w:fill="FFFFFF"/>
        </w:rPr>
        <w:t>/hour = $</w:t>
      </w:r>
      <w:r w:rsidRPr="001C2D09" w:rsidR="00CA1AAA">
        <w:rPr>
          <w:spacing w:val="-3"/>
          <w:sz w:val="22"/>
          <w:szCs w:val="22"/>
          <w:shd w:val="clear" w:color="auto" w:fill="FFFFFF"/>
        </w:rPr>
        <w:t>79,189</w:t>
      </w:r>
      <w:r w:rsidRPr="001C2D09" w:rsidR="00CC1A56">
        <w:rPr>
          <w:spacing w:val="-3"/>
          <w:sz w:val="22"/>
          <w:szCs w:val="22"/>
          <w:shd w:val="clear" w:color="auto" w:fill="FFFFFF"/>
        </w:rPr>
        <w:t xml:space="preserve"> </w:t>
      </w:r>
    </w:p>
    <w:p w:rsidR="00AE4618" w:rsidRPr="001C2D09" w:rsidP="005E32BE" w14:paraId="641DDA63" w14:textId="77777777">
      <w:pPr>
        <w:spacing w:after="120"/>
        <w:rPr>
          <w:spacing w:val="-3"/>
          <w:sz w:val="22"/>
          <w:szCs w:val="22"/>
          <w:shd w:val="clear" w:color="auto" w:fill="FFFFFF"/>
        </w:rPr>
      </w:pPr>
    </w:p>
    <w:p w:rsidR="00BC5087" w:rsidRPr="001C2D09" w:rsidP="005E32BE" w14:paraId="50959B09" w14:textId="7523EAD2">
      <w:pPr>
        <w:spacing w:after="120"/>
        <w:rPr>
          <w:spacing w:val="-3"/>
          <w:sz w:val="22"/>
          <w:szCs w:val="22"/>
          <w:shd w:val="clear" w:color="auto" w:fill="FFFFFF"/>
        </w:rPr>
      </w:pPr>
      <w:r w:rsidRPr="001C2D09">
        <w:rPr>
          <w:spacing w:val="-3"/>
          <w:sz w:val="22"/>
          <w:szCs w:val="22"/>
          <w:shd w:val="clear" w:color="auto" w:fill="FFFFFF"/>
        </w:rPr>
        <w:t xml:space="preserve">We assume that </w:t>
      </w:r>
      <w:r w:rsidRPr="001C2D09" w:rsidR="4052FF93">
        <w:rPr>
          <w:spacing w:val="-3"/>
          <w:sz w:val="22"/>
          <w:szCs w:val="22"/>
          <w:shd w:val="clear" w:color="auto" w:fill="FFFFFF"/>
        </w:rPr>
        <w:t>respondents</w:t>
      </w:r>
      <w:r w:rsidRPr="001C2D09" w:rsidR="5C0DEAAD">
        <w:rPr>
          <w:spacing w:val="-3"/>
          <w:sz w:val="22"/>
          <w:szCs w:val="22"/>
          <w:shd w:val="clear" w:color="auto" w:fill="FFFFFF"/>
        </w:rPr>
        <w:t xml:space="preserve"> </w:t>
      </w:r>
      <w:r w:rsidRPr="001C2D09" w:rsidR="206B2568">
        <w:rPr>
          <w:spacing w:val="-3"/>
          <w:sz w:val="22"/>
          <w:szCs w:val="22"/>
          <w:shd w:val="clear" w:color="auto" w:fill="FFFFFF"/>
        </w:rPr>
        <w:t xml:space="preserve">will </w:t>
      </w:r>
      <w:r w:rsidRPr="001C2D09" w:rsidR="5C0DEAAD">
        <w:rPr>
          <w:spacing w:val="-3"/>
          <w:sz w:val="22"/>
          <w:szCs w:val="22"/>
          <w:shd w:val="clear" w:color="auto" w:fill="FFFFFF"/>
        </w:rPr>
        <w:t>use personnel comparable in pay to a GS-14</w:t>
      </w:r>
      <w:r w:rsidRPr="001C2D09" w:rsidR="7E487FDB">
        <w:rPr>
          <w:spacing w:val="-3"/>
          <w:sz w:val="22"/>
          <w:szCs w:val="22"/>
          <w:shd w:val="clear" w:color="auto" w:fill="FFFFFF"/>
        </w:rPr>
        <w:t>/</w:t>
      </w:r>
      <w:r w:rsidRPr="001C2D09">
        <w:rPr>
          <w:spacing w:val="-3"/>
          <w:sz w:val="22"/>
          <w:szCs w:val="22"/>
          <w:shd w:val="clear" w:color="auto" w:fill="FFFFFF"/>
        </w:rPr>
        <w:t>Step 5</w:t>
      </w:r>
      <w:r w:rsidRPr="001C2D09" w:rsidR="5C0DEAAD">
        <w:rPr>
          <w:spacing w:val="-3"/>
          <w:sz w:val="22"/>
          <w:szCs w:val="22"/>
          <w:shd w:val="clear" w:color="auto" w:fill="FFFFFF"/>
        </w:rPr>
        <w:t xml:space="preserve"> </w:t>
      </w:r>
      <w:r w:rsidRPr="001C2D09" w:rsidR="27C34BCD">
        <w:rPr>
          <w:spacing w:val="-3"/>
          <w:sz w:val="22"/>
          <w:szCs w:val="22"/>
          <w:shd w:val="clear" w:color="auto" w:fill="FFFFFF"/>
        </w:rPr>
        <w:t>($</w:t>
      </w:r>
      <w:r w:rsidRPr="001C2D09" w:rsidR="4DF1F044">
        <w:rPr>
          <w:sz w:val="22"/>
          <w:szCs w:val="22"/>
        </w:rPr>
        <w:t>75.70</w:t>
      </w:r>
      <w:r w:rsidRPr="001C2D09" w:rsidR="27C34BCD">
        <w:rPr>
          <w:spacing w:val="-3"/>
          <w:sz w:val="22"/>
          <w:szCs w:val="22"/>
          <w:shd w:val="clear" w:color="auto" w:fill="FFFFFF"/>
        </w:rPr>
        <w:t xml:space="preserve">/hour) </w:t>
      </w:r>
      <w:r w:rsidRPr="001C2D09" w:rsidR="28AC32DF">
        <w:rPr>
          <w:spacing w:val="-3"/>
          <w:sz w:val="22"/>
          <w:szCs w:val="22"/>
          <w:shd w:val="clear" w:color="auto" w:fill="FFFFFF"/>
        </w:rPr>
        <w:t>Federal employee</w:t>
      </w:r>
      <w:r w:rsidRPr="001C2D09" w:rsidR="6C28F013">
        <w:rPr>
          <w:spacing w:val="-3"/>
          <w:sz w:val="22"/>
          <w:szCs w:val="22"/>
          <w:shd w:val="clear" w:color="auto" w:fill="FFFFFF"/>
        </w:rPr>
        <w:t xml:space="preserve">, </w:t>
      </w:r>
      <w:r w:rsidRPr="001C2D09" w:rsidR="01D66950">
        <w:rPr>
          <w:spacing w:val="-3"/>
          <w:sz w:val="22"/>
          <w:szCs w:val="22"/>
          <w:shd w:val="clear" w:color="auto" w:fill="FFFFFF"/>
        </w:rPr>
        <w:t>plus</w:t>
      </w:r>
      <w:r w:rsidRPr="001C2D09" w:rsidR="6C28F013">
        <w:rPr>
          <w:spacing w:val="-3"/>
          <w:sz w:val="22"/>
          <w:szCs w:val="22"/>
          <w:shd w:val="clear" w:color="auto" w:fill="FFFFFF"/>
        </w:rPr>
        <w:t xml:space="preserve"> 30% overhead,</w:t>
      </w:r>
      <w:r w:rsidRPr="001C2D09" w:rsidR="28AC32DF">
        <w:rPr>
          <w:spacing w:val="-3"/>
          <w:sz w:val="22"/>
          <w:szCs w:val="22"/>
          <w:shd w:val="clear" w:color="auto" w:fill="FFFFFF"/>
        </w:rPr>
        <w:t xml:space="preserve"> </w:t>
      </w:r>
      <w:r w:rsidRPr="001C2D09" w:rsidR="5C0DEAAD">
        <w:rPr>
          <w:spacing w:val="-3"/>
          <w:sz w:val="22"/>
          <w:szCs w:val="22"/>
          <w:shd w:val="clear" w:color="auto" w:fill="FFFFFF"/>
        </w:rPr>
        <w:t>to design the customer approval solicitation device</w:t>
      </w:r>
      <w:r w:rsidRPr="001C2D09" w:rsidR="6CDEB801">
        <w:rPr>
          <w:spacing w:val="-3"/>
          <w:sz w:val="22"/>
          <w:szCs w:val="22"/>
          <w:shd w:val="clear" w:color="auto" w:fill="FFFFFF"/>
        </w:rPr>
        <w:t xml:space="preserve">.  </w:t>
      </w:r>
      <w:r w:rsidRPr="001C2D09" w:rsidR="32FABD08">
        <w:rPr>
          <w:sz w:val="22"/>
          <w:szCs w:val="22"/>
        </w:rPr>
        <w:t xml:space="preserve">Again, the </w:t>
      </w:r>
      <w:r w:rsidRPr="001C2D09" w:rsidR="6CDEB801">
        <w:rPr>
          <w:spacing w:val="-3"/>
          <w:sz w:val="22"/>
          <w:szCs w:val="22"/>
          <w:shd w:val="clear" w:color="auto" w:fill="FFFFFF"/>
        </w:rPr>
        <w:t>rules have been in place since 2007</w:t>
      </w:r>
      <w:r w:rsidRPr="001C2D09" w:rsidR="3A7B93D6">
        <w:rPr>
          <w:spacing w:val="-3"/>
          <w:sz w:val="22"/>
          <w:szCs w:val="22"/>
          <w:shd w:val="clear" w:color="auto" w:fill="FFFFFF"/>
        </w:rPr>
        <w:t>,</w:t>
      </w:r>
      <w:r w:rsidRPr="001C2D09" w:rsidR="6CDEB801">
        <w:rPr>
          <w:spacing w:val="-3"/>
          <w:sz w:val="22"/>
          <w:szCs w:val="22"/>
          <w:shd w:val="clear" w:color="auto" w:fill="FFFFFF"/>
        </w:rPr>
        <w:t xml:space="preserve"> and we believe that only new entrants to the market will need to create the notification.  </w:t>
      </w:r>
      <w:r w:rsidRPr="001C2D09">
        <w:rPr>
          <w:spacing w:val="-3"/>
          <w:sz w:val="22"/>
          <w:szCs w:val="22"/>
          <w:shd w:val="clear" w:color="auto" w:fill="FFFFFF"/>
        </w:rPr>
        <w:t xml:space="preserve">    </w:t>
      </w:r>
    </w:p>
    <w:p w:rsidR="00F6118D" w:rsidRPr="001C2D09" w:rsidP="005E32BE" w14:paraId="16698C9A" w14:textId="147CC23B">
      <w:pPr>
        <w:spacing w:after="120"/>
        <w:ind w:firstLine="720"/>
        <w:rPr>
          <w:spacing w:val="-3"/>
          <w:sz w:val="22"/>
          <w:szCs w:val="22"/>
          <w:shd w:val="clear" w:color="auto" w:fill="FFFFFF"/>
        </w:rPr>
      </w:pPr>
      <w:bookmarkStart w:id="5" w:name="_Hlk46782110"/>
      <w:r w:rsidRPr="001C2D09">
        <w:rPr>
          <w:spacing w:val="-3"/>
          <w:sz w:val="22"/>
          <w:szCs w:val="22"/>
          <w:shd w:val="clear" w:color="auto" w:fill="FFFFFF"/>
        </w:rPr>
        <w:t xml:space="preserve">147 </w:t>
      </w:r>
      <w:r w:rsidRPr="001C2D09" w:rsidR="001D25CE">
        <w:rPr>
          <w:spacing w:val="-3"/>
          <w:sz w:val="22"/>
          <w:szCs w:val="22"/>
          <w:shd w:val="clear" w:color="auto" w:fill="FFFFFF"/>
        </w:rPr>
        <w:t>respondents x 2 hours/notification x $</w:t>
      </w:r>
      <w:r w:rsidRPr="001C2D09" w:rsidR="00D90E5F">
        <w:rPr>
          <w:spacing w:val="-3"/>
          <w:sz w:val="22"/>
          <w:szCs w:val="22"/>
          <w:shd w:val="clear" w:color="auto" w:fill="FFFFFF"/>
        </w:rPr>
        <w:t>75.70</w:t>
      </w:r>
      <w:r w:rsidRPr="001C2D09" w:rsidR="001D25CE">
        <w:rPr>
          <w:spacing w:val="-3"/>
          <w:sz w:val="22"/>
          <w:szCs w:val="22"/>
          <w:shd w:val="clear" w:color="auto" w:fill="FFFFFF"/>
        </w:rPr>
        <w:t>/hour = $</w:t>
      </w:r>
      <w:r w:rsidRPr="001C2D09" w:rsidR="00E12907">
        <w:rPr>
          <w:spacing w:val="-3"/>
          <w:sz w:val="22"/>
          <w:szCs w:val="22"/>
          <w:shd w:val="clear" w:color="auto" w:fill="FFFFFF"/>
        </w:rPr>
        <w:t>22,256</w:t>
      </w:r>
    </w:p>
    <w:p w:rsidR="009E1053" w:rsidRPr="001C2D09" w:rsidP="0077092A" w14:paraId="12DA8F4B" w14:textId="10C0A28E">
      <w:pPr>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t xml:space="preserve">      </w:t>
      </w:r>
      <w:r w:rsidRPr="001C2D09" w:rsidR="0072143D">
        <w:rPr>
          <w:spacing w:val="-3"/>
          <w:sz w:val="22"/>
          <w:szCs w:val="22"/>
          <w:shd w:val="clear" w:color="auto" w:fill="FFFFFF"/>
        </w:rPr>
        <w:tab/>
        <w:t xml:space="preserve">   </w:t>
      </w:r>
      <w:r w:rsidRPr="001C2D09">
        <w:rPr>
          <w:spacing w:val="-3"/>
          <w:sz w:val="22"/>
          <w:szCs w:val="22"/>
          <w:shd w:val="clear" w:color="auto" w:fill="FFFFFF"/>
        </w:rPr>
        <w:t>$</w:t>
      </w:r>
      <w:r w:rsidRPr="001C2D09" w:rsidR="00CA1AAA">
        <w:rPr>
          <w:spacing w:val="-3"/>
          <w:sz w:val="22"/>
          <w:szCs w:val="22"/>
          <w:shd w:val="clear" w:color="auto" w:fill="FFFFFF"/>
        </w:rPr>
        <w:t>79,189</w:t>
      </w:r>
      <w:r w:rsidRPr="001C2D09" w:rsidR="003154F7">
        <w:rPr>
          <w:spacing w:val="-3"/>
          <w:sz w:val="22"/>
          <w:szCs w:val="22"/>
          <w:shd w:val="clear" w:color="auto" w:fill="FFFFFF"/>
        </w:rPr>
        <w:t xml:space="preserve"> </w:t>
      </w:r>
      <w:r w:rsidRPr="001C2D09">
        <w:rPr>
          <w:spacing w:val="-3"/>
          <w:sz w:val="22"/>
          <w:szCs w:val="22"/>
          <w:shd w:val="clear" w:color="auto" w:fill="FFFFFF"/>
        </w:rPr>
        <w:t>+ $</w:t>
      </w:r>
      <w:r w:rsidRPr="001C2D09" w:rsidR="00CF4AFE">
        <w:rPr>
          <w:spacing w:val="-3"/>
          <w:sz w:val="22"/>
          <w:szCs w:val="22"/>
          <w:shd w:val="clear" w:color="auto" w:fill="FFFFFF"/>
        </w:rPr>
        <w:t>22,256</w:t>
      </w:r>
      <w:r w:rsidRPr="001C2D09" w:rsidR="00180493">
        <w:rPr>
          <w:spacing w:val="-3"/>
          <w:sz w:val="22"/>
          <w:szCs w:val="22"/>
          <w:shd w:val="clear" w:color="auto" w:fill="FFFFFF"/>
        </w:rPr>
        <w:t xml:space="preserve"> </w:t>
      </w:r>
      <w:r w:rsidRPr="001C2D09">
        <w:rPr>
          <w:spacing w:val="-3"/>
          <w:sz w:val="22"/>
          <w:szCs w:val="22"/>
          <w:shd w:val="clear" w:color="auto" w:fill="FFFFFF"/>
        </w:rPr>
        <w:t>=</w:t>
      </w:r>
      <w:r w:rsidRPr="001C2D09" w:rsidR="00DF7381">
        <w:rPr>
          <w:spacing w:val="-3"/>
          <w:sz w:val="22"/>
          <w:szCs w:val="22"/>
          <w:shd w:val="clear" w:color="auto" w:fill="FFFFFF"/>
        </w:rPr>
        <w:t xml:space="preserve"> </w:t>
      </w:r>
      <w:r w:rsidRPr="001C2D09">
        <w:rPr>
          <w:spacing w:val="-3"/>
          <w:sz w:val="22"/>
          <w:szCs w:val="22"/>
          <w:shd w:val="clear" w:color="auto" w:fill="FFFFFF"/>
        </w:rPr>
        <w:t>$</w:t>
      </w:r>
      <w:r w:rsidRPr="001C2D09" w:rsidR="00CA1AAA">
        <w:rPr>
          <w:spacing w:val="-3"/>
          <w:sz w:val="22"/>
          <w:szCs w:val="22"/>
          <w:shd w:val="clear" w:color="auto" w:fill="FFFFFF"/>
        </w:rPr>
        <w:t>101,445</w:t>
      </w:r>
    </w:p>
    <w:p w:rsidR="008073E3" w:rsidRPr="001C2D09" w:rsidP="0077092A" w14:paraId="65B7E691" w14:textId="4928D2D0">
      <w:pPr>
        <w:rPr>
          <w:spacing w:val="-3"/>
          <w:sz w:val="22"/>
          <w:szCs w:val="22"/>
          <w:shd w:val="clear" w:color="auto" w:fill="FFFFFF"/>
        </w:rPr>
      </w:pPr>
      <w:r w:rsidRPr="001C2D09">
        <w:rPr>
          <w:spacing w:val="-3"/>
          <w:sz w:val="22"/>
          <w:szCs w:val="22"/>
          <w:shd w:val="clear" w:color="auto" w:fill="FFFFFF"/>
        </w:rPr>
        <w:tab/>
      </w:r>
      <w:r w:rsidRPr="001C2D09" w:rsidR="00180493">
        <w:rPr>
          <w:spacing w:val="-3"/>
          <w:sz w:val="22"/>
          <w:szCs w:val="22"/>
          <w:shd w:val="clear" w:color="auto" w:fill="FFFFFF"/>
        </w:rPr>
        <w:tab/>
      </w:r>
      <w:r w:rsidRPr="001C2D09">
        <w:rPr>
          <w:spacing w:val="-3"/>
          <w:sz w:val="22"/>
          <w:szCs w:val="22"/>
          <w:shd w:val="clear" w:color="auto" w:fill="FFFFFF"/>
        </w:rPr>
        <w:tab/>
      </w:r>
      <w:r w:rsidRPr="001C2D09" w:rsidR="00E1070C">
        <w:rPr>
          <w:spacing w:val="-3"/>
          <w:sz w:val="22"/>
          <w:szCs w:val="22"/>
          <w:shd w:val="clear" w:color="auto" w:fill="FFFFFF"/>
        </w:rPr>
        <w:tab/>
      </w:r>
      <w:r w:rsidRPr="001C2D09" w:rsidR="00E1070C">
        <w:rPr>
          <w:spacing w:val="-3"/>
          <w:sz w:val="22"/>
          <w:szCs w:val="22"/>
          <w:shd w:val="clear" w:color="auto" w:fill="FFFFFF"/>
        </w:rPr>
        <w:tab/>
      </w:r>
      <w:r w:rsidRPr="001C2D09" w:rsidR="00E1070C">
        <w:rPr>
          <w:spacing w:val="-3"/>
          <w:sz w:val="22"/>
          <w:szCs w:val="22"/>
          <w:shd w:val="clear" w:color="auto" w:fill="FFFFFF"/>
        </w:rPr>
        <w:tab/>
      </w:r>
      <w:r w:rsidRPr="001C2D09" w:rsidR="00E1070C">
        <w:rPr>
          <w:spacing w:val="-3"/>
          <w:sz w:val="22"/>
          <w:szCs w:val="22"/>
          <w:shd w:val="clear" w:color="auto" w:fill="FFFFFF"/>
        </w:rPr>
        <w:tab/>
        <w:t xml:space="preserve">          </w:t>
      </w:r>
      <w:r w:rsidRPr="001C2D09">
        <w:rPr>
          <w:spacing w:val="-3"/>
          <w:sz w:val="22"/>
          <w:szCs w:val="22"/>
          <w:shd w:val="clear" w:color="auto" w:fill="FFFFFF"/>
        </w:rPr>
        <w:t>30%</w:t>
      </w:r>
      <w:r w:rsidRPr="001C2D09" w:rsidR="00897549">
        <w:rPr>
          <w:spacing w:val="-3"/>
          <w:sz w:val="22"/>
          <w:szCs w:val="22"/>
          <w:shd w:val="clear" w:color="auto" w:fill="FFFFFF"/>
        </w:rPr>
        <w:t xml:space="preserve"> ov</w:t>
      </w:r>
      <w:r w:rsidRPr="001C2D09">
        <w:rPr>
          <w:spacing w:val="-3"/>
          <w:sz w:val="22"/>
          <w:szCs w:val="22"/>
          <w:shd w:val="clear" w:color="auto" w:fill="FFFFFF"/>
        </w:rPr>
        <w:t xml:space="preserve">erhead = </w:t>
      </w:r>
      <w:r w:rsidRPr="001C2D09" w:rsidR="00D1790F">
        <w:rPr>
          <w:spacing w:val="-3"/>
          <w:sz w:val="22"/>
          <w:szCs w:val="22"/>
          <w:shd w:val="clear" w:color="auto" w:fill="FFFFFF"/>
        </w:rPr>
        <w:t>$</w:t>
      </w:r>
      <w:r w:rsidRPr="001C2D09" w:rsidR="00180493">
        <w:rPr>
          <w:spacing w:val="-3"/>
          <w:sz w:val="22"/>
          <w:szCs w:val="22"/>
          <w:shd w:val="clear" w:color="auto" w:fill="FFFFFF"/>
        </w:rPr>
        <w:t xml:space="preserve">  </w:t>
      </w:r>
      <w:r w:rsidRPr="001C2D09" w:rsidR="00CA1AAA">
        <w:rPr>
          <w:spacing w:val="-3"/>
          <w:sz w:val="22"/>
          <w:szCs w:val="22"/>
          <w:shd w:val="clear" w:color="auto" w:fill="FFFFFF"/>
        </w:rPr>
        <w:t>30,434</w:t>
      </w:r>
    </w:p>
    <w:p w:rsidR="00F84844" w:rsidRPr="001C2D09" w:rsidP="00000E39" w14:paraId="5B153CF7" w14:textId="5593E46C">
      <w:pPr>
        <w:spacing w:after="240"/>
        <w:rPr>
          <w:b/>
          <w:bCs/>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sidR="00AC0BFD">
        <w:rPr>
          <w:spacing w:val="-3"/>
          <w:sz w:val="22"/>
          <w:szCs w:val="22"/>
          <w:shd w:val="clear" w:color="auto" w:fill="FFFFFF"/>
        </w:rPr>
        <w:t>Total</w:t>
      </w:r>
      <w:r w:rsidRPr="001C2D09" w:rsidR="00C13579">
        <w:rPr>
          <w:spacing w:val="-3"/>
          <w:sz w:val="22"/>
          <w:szCs w:val="22"/>
          <w:shd w:val="clear" w:color="auto" w:fill="FFFFFF"/>
        </w:rPr>
        <w:t>:</w:t>
      </w:r>
      <w:r w:rsidRPr="001C2D09" w:rsidR="00000E39">
        <w:rPr>
          <w:spacing w:val="-3"/>
          <w:sz w:val="22"/>
          <w:szCs w:val="22"/>
          <w:shd w:val="clear" w:color="auto" w:fill="FFFFFF"/>
        </w:rPr>
        <w:tab/>
        <w:t xml:space="preserve">          </w:t>
      </w:r>
      <w:r w:rsidRPr="001C2D09" w:rsidR="00C505BD">
        <w:rPr>
          <w:spacing w:val="-3"/>
          <w:sz w:val="22"/>
          <w:szCs w:val="22"/>
          <w:shd w:val="clear" w:color="auto" w:fill="FFFFFF"/>
        </w:rPr>
        <w:t>$</w:t>
      </w:r>
      <w:r w:rsidRPr="001C2D09" w:rsidR="00CA1AAA">
        <w:rPr>
          <w:spacing w:val="-3"/>
          <w:sz w:val="22"/>
          <w:szCs w:val="22"/>
          <w:shd w:val="clear" w:color="auto" w:fill="FFFFFF"/>
        </w:rPr>
        <w:t>131,879</w:t>
      </w:r>
    </w:p>
    <w:bookmarkEnd w:id="5"/>
    <w:p w:rsidR="00005848" w:rsidRPr="001C2D09" w:rsidP="00017DC2" w14:paraId="4F949FC1" w14:textId="720412F8">
      <w:pPr>
        <w:spacing w:after="120"/>
        <w:rPr>
          <w:spacing w:val="-3"/>
          <w:sz w:val="22"/>
          <w:szCs w:val="22"/>
          <w:shd w:val="clear" w:color="auto" w:fill="FFFFFF"/>
        </w:rPr>
      </w:pPr>
      <w:r>
        <w:rPr>
          <w:b/>
          <w:bCs/>
          <w:spacing w:val="-3"/>
          <w:sz w:val="22"/>
          <w:szCs w:val="22"/>
          <w:shd w:val="clear" w:color="auto" w:fill="FFFFFF"/>
        </w:rPr>
        <w:t>(</w:t>
      </w:r>
      <w:r w:rsidRPr="001C2D09" w:rsidR="001D25CE">
        <w:rPr>
          <w:b/>
          <w:bCs/>
          <w:spacing w:val="-3"/>
          <w:sz w:val="22"/>
          <w:szCs w:val="22"/>
          <w:shd w:val="clear" w:color="auto" w:fill="FFFFFF"/>
        </w:rPr>
        <w:t>b</w:t>
      </w:r>
      <w:r>
        <w:rPr>
          <w:b/>
          <w:bCs/>
          <w:spacing w:val="-3"/>
          <w:sz w:val="22"/>
          <w:szCs w:val="22"/>
          <w:shd w:val="clear" w:color="auto" w:fill="FFFFFF"/>
        </w:rPr>
        <w:t>)</w:t>
      </w:r>
      <w:r w:rsidRPr="001C2D09" w:rsidR="001D25CE">
        <w:rPr>
          <w:b/>
          <w:bCs/>
          <w:spacing w:val="-3"/>
          <w:sz w:val="22"/>
          <w:szCs w:val="22"/>
          <w:shd w:val="clear" w:color="auto" w:fill="FFFFFF"/>
        </w:rPr>
        <w:tab/>
        <w:t xml:space="preserve">Customer Approval </w:t>
      </w:r>
      <w:r w:rsidRPr="001C2D09" w:rsidR="00C27E3C">
        <w:rPr>
          <w:b/>
          <w:bCs/>
          <w:spacing w:val="-3"/>
          <w:sz w:val="22"/>
          <w:szCs w:val="22"/>
          <w:shd w:val="clear" w:color="auto" w:fill="FFFFFF"/>
        </w:rPr>
        <w:t xml:space="preserve">Documentation and </w:t>
      </w:r>
      <w:r w:rsidRPr="001C2D09" w:rsidR="001D25CE">
        <w:rPr>
          <w:b/>
          <w:bCs/>
          <w:spacing w:val="-3"/>
          <w:sz w:val="22"/>
          <w:szCs w:val="22"/>
          <w:shd w:val="clear" w:color="auto" w:fill="FFFFFF"/>
        </w:rPr>
        <w:t>Recordkeeping</w:t>
      </w:r>
      <w:r w:rsidRPr="001C2D09" w:rsidR="00C27E3C">
        <w:rPr>
          <w:b/>
          <w:bCs/>
          <w:spacing w:val="-3"/>
          <w:sz w:val="22"/>
          <w:szCs w:val="22"/>
          <w:shd w:val="clear" w:color="auto" w:fill="FFFFFF"/>
        </w:rPr>
        <w:t>.</w:t>
      </w:r>
      <w:r w:rsidRPr="001C2D09" w:rsidR="001D25CE">
        <w:rPr>
          <w:b/>
          <w:bCs/>
          <w:spacing w:val="-3"/>
          <w:sz w:val="22"/>
          <w:szCs w:val="22"/>
          <w:shd w:val="clear" w:color="auto" w:fill="FFFFFF"/>
        </w:rPr>
        <w:t xml:space="preserve"> </w:t>
      </w:r>
    </w:p>
    <w:p w:rsidR="00A40E26" w:rsidRPr="001C2D09" w:rsidP="0077092A" w14:paraId="04001B2F" w14:textId="708E88FA">
      <w:pPr>
        <w:rPr>
          <w:spacing w:val="-3"/>
          <w:sz w:val="22"/>
          <w:szCs w:val="22"/>
          <w:shd w:val="clear" w:color="auto" w:fill="FFFFFF"/>
        </w:rPr>
      </w:pPr>
      <w:r w:rsidRPr="001C2D09">
        <w:rPr>
          <w:spacing w:val="-3"/>
          <w:sz w:val="22"/>
          <w:szCs w:val="22"/>
          <w:shd w:val="clear" w:color="auto" w:fill="FFFFFF"/>
        </w:rPr>
        <w:tab/>
        <w:t>(1)</w:t>
      </w:r>
      <w:r w:rsidRPr="001C2D09" w:rsidR="00000E39">
        <w:rPr>
          <w:spacing w:val="-3"/>
          <w:sz w:val="22"/>
          <w:szCs w:val="22"/>
          <w:shd w:val="clear" w:color="auto" w:fill="FFFFFF"/>
        </w:rPr>
        <w:tab/>
      </w:r>
      <w:r w:rsidRPr="001C2D09" w:rsidR="00571E13">
        <w:rPr>
          <w:spacing w:val="-3"/>
          <w:sz w:val="22"/>
          <w:szCs w:val="22"/>
          <w:shd w:val="clear" w:color="auto" w:fill="FFFFFF"/>
        </w:rPr>
        <w:t>Nu</w:t>
      </w:r>
      <w:r w:rsidRPr="001C2D09">
        <w:rPr>
          <w:spacing w:val="-3"/>
          <w:sz w:val="22"/>
          <w:szCs w:val="22"/>
          <w:shd w:val="clear" w:color="auto" w:fill="FFFFFF"/>
        </w:rPr>
        <w:t xml:space="preserve">mber of </w:t>
      </w:r>
      <w:r w:rsidRPr="001C2D09" w:rsidR="007260DF">
        <w:rPr>
          <w:spacing w:val="-3"/>
          <w:sz w:val="22"/>
          <w:szCs w:val="22"/>
          <w:shd w:val="clear" w:color="auto" w:fill="FFFFFF"/>
        </w:rPr>
        <w:t>R</w:t>
      </w:r>
      <w:r w:rsidRPr="001C2D09">
        <w:rPr>
          <w:spacing w:val="-3"/>
          <w:sz w:val="22"/>
          <w:szCs w:val="22"/>
          <w:shd w:val="clear" w:color="auto" w:fill="FFFFFF"/>
        </w:rPr>
        <w:t>espondents:</w:t>
      </w:r>
      <w:r w:rsidRPr="001C2D09" w:rsidR="00B60E3F">
        <w:rPr>
          <w:spacing w:val="-3"/>
          <w:sz w:val="22"/>
          <w:szCs w:val="22"/>
          <w:shd w:val="clear" w:color="auto" w:fill="FFFFFF"/>
        </w:rPr>
        <w:t xml:space="preserve"> </w:t>
      </w:r>
      <w:r w:rsidRPr="001C2D09" w:rsidR="00D41A2A">
        <w:rPr>
          <w:spacing w:val="-3"/>
          <w:sz w:val="22"/>
          <w:szCs w:val="22"/>
          <w:shd w:val="clear" w:color="auto" w:fill="FFFFFF"/>
        </w:rPr>
        <w:t xml:space="preserve"> </w:t>
      </w:r>
      <w:r w:rsidRPr="001C2D09" w:rsidR="000E1E7F">
        <w:rPr>
          <w:spacing w:val="-3"/>
          <w:sz w:val="22"/>
          <w:szCs w:val="22"/>
          <w:shd w:val="clear" w:color="auto" w:fill="FFFFFF"/>
        </w:rPr>
        <w:t xml:space="preserve"> </w:t>
      </w:r>
      <w:r w:rsidRPr="001C2D09" w:rsidR="0023607C">
        <w:rPr>
          <w:spacing w:val="-3"/>
          <w:sz w:val="22"/>
          <w:szCs w:val="22"/>
          <w:shd w:val="clear" w:color="auto" w:fill="FFFFFF"/>
        </w:rPr>
        <w:t>2,935</w:t>
      </w:r>
    </w:p>
    <w:p w:rsidR="008D3DF3" w:rsidRPr="001C2D09" w:rsidP="0077092A" w14:paraId="3EF03017" w14:textId="2CE662BA">
      <w:pPr>
        <w:rPr>
          <w:spacing w:val="-3"/>
          <w:sz w:val="22"/>
          <w:szCs w:val="22"/>
          <w:shd w:val="clear" w:color="auto" w:fill="FFFFFF"/>
        </w:rPr>
      </w:pPr>
      <w:r w:rsidRPr="001C2D09">
        <w:rPr>
          <w:spacing w:val="-3"/>
          <w:sz w:val="22"/>
          <w:szCs w:val="22"/>
          <w:shd w:val="clear" w:color="auto" w:fill="FFFFFF"/>
        </w:rPr>
        <w:tab/>
        <w:t>(2)</w:t>
      </w:r>
      <w:r w:rsidRPr="001C2D09" w:rsidR="00000E39">
        <w:rPr>
          <w:spacing w:val="-3"/>
          <w:sz w:val="22"/>
          <w:szCs w:val="22"/>
          <w:shd w:val="clear" w:color="auto" w:fill="FFFFFF"/>
        </w:rPr>
        <w:tab/>
      </w:r>
      <w:r w:rsidRPr="001C2D09">
        <w:rPr>
          <w:spacing w:val="-3"/>
          <w:sz w:val="22"/>
          <w:szCs w:val="22"/>
          <w:shd w:val="clear" w:color="auto" w:fill="FFFFFF"/>
        </w:rPr>
        <w:t xml:space="preserve">Frequency of </w:t>
      </w:r>
      <w:r w:rsidRPr="001C2D09" w:rsidR="00AD4AA7">
        <w:rPr>
          <w:spacing w:val="-3"/>
          <w:sz w:val="22"/>
          <w:szCs w:val="22"/>
          <w:shd w:val="clear" w:color="auto" w:fill="FFFFFF"/>
        </w:rPr>
        <w:t>R</w:t>
      </w:r>
      <w:r w:rsidRPr="001C2D09">
        <w:rPr>
          <w:spacing w:val="-3"/>
          <w:sz w:val="22"/>
          <w:szCs w:val="22"/>
          <w:shd w:val="clear" w:color="auto" w:fill="FFFFFF"/>
        </w:rPr>
        <w:t xml:space="preserve">esponse: </w:t>
      </w:r>
      <w:r w:rsidRPr="001C2D09" w:rsidR="00DA2306">
        <w:rPr>
          <w:spacing w:val="-3"/>
          <w:sz w:val="22"/>
          <w:szCs w:val="22"/>
          <w:shd w:val="clear" w:color="auto" w:fill="FFFFFF"/>
        </w:rPr>
        <w:t xml:space="preserve"> </w:t>
      </w:r>
      <w:r w:rsidRPr="001C2D09" w:rsidR="0082396A">
        <w:rPr>
          <w:spacing w:val="-3"/>
          <w:sz w:val="22"/>
          <w:szCs w:val="22"/>
          <w:shd w:val="clear" w:color="auto" w:fill="FFFFFF"/>
        </w:rPr>
        <w:t>Recordkeeping requirement</w:t>
      </w:r>
    </w:p>
    <w:p w:rsidR="00A40E26" w:rsidRPr="001C2D09" w:rsidP="00000E39" w14:paraId="1F71B813" w14:textId="1E190CDE">
      <w:pPr>
        <w:spacing w:after="120"/>
        <w:ind w:firstLine="720"/>
        <w:rPr>
          <w:spacing w:val="-3"/>
          <w:sz w:val="22"/>
          <w:szCs w:val="22"/>
          <w:shd w:val="clear" w:color="auto" w:fill="FFFFFF"/>
        </w:rPr>
      </w:pPr>
      <w:r w:rsidRPr="001C2D09">
        <w:rPr>
          <w:spacing w:val="-3"/>
          <w:sz w:val="22"/>
          <w:szCs w:val="22"/>
          <w:shd w:val="clear" w:color="auto" w:fill="FFFFFF"/>
        </w:rPr>
        <w:t>(</w:t>
      </w:r>
      <w:r w:rsidRPr="001C2D09" w:rsidR="00E3481B">
        <w:rPr>
          <w:spacing w:val="-3"/>
          <w:sz w:val="22"/>
          <w:szCs w:val="22"/>
          <w:shd w:val="clear" w:color="auto" w:fill="FFFFFF"/>
        </w:rPr>
        <w:t>3</w:t>
      </w:r>
      <w:r w:rsidRPr="001C2D09">
        <w:rPr>
          <w:spacing w:val="-3"/>
          <w:sz w:val="22"/>
          <w:szCs w:val="22"/>
          <w:shd w:val="clear" w:color="auto" w:fill="FFFFFF"/>
        </w:rPr>
        <w:t>)</w:t>
      </w:r>
      <w:r w:rsidRPr="001C2D09" w:rsidR="00000E39">
        <w:rPr>
          <w:spacing w:val="-3"/>
          <w:sz w:val="22"/>
          <w:szCs w:val="22"/>
          <w:shd w:val="clear" w:color="auto" w:fill="FFFFFF"/>
        </w:rPr>
        <w:tab/>
      </w:r>
      <w:r w:rsidRPr="001C2D09">
        <w:rPr>
          <w:spacing w:val="-3"/>
          <w:sz w:val="22"/>
          <w:szCs w:val="22"/>
          <w:shd w:val="clear" w:color="auto" w:fill="FFFFFF"/>
        </w:rPr>
        <w:t xml:space="preserve">Total </w:t>
      </w:r>
      <w:r w:rsidRPr="001C2D09" w:rsidR="00571E13">
        <w:rPr>
          <w:spacing w:val="-3"/>
          <w:sz w:val="22"/>
          <w:szCs w:val="22"/>
          <w:shd w:val="clear" w:color="auto" w:fill="FFFFFF"/>
        </w:rPr>
        <w:t xml:space="preserve">Number of </w:t>
      </w:r>
      <w:r w:rsidRPr="001C2D09">
        <w:rPr>
          <w:spacing w:val="-3"/>
          <w:sz w:val="22"/>
          <w:szCs w:val="22"/>
          <w:shd w:val="clear" w:color="auto" w:fill="FFFFFF"/>
        </w:rPr>
        <w:t>Responses Annually:</w:t>
      </w:r>
      <w:r w:rsidRPr="001C2D09" w:rsidR="00A5223B">
        <w:rPr>
          <w:spacing w:val="-3"/>
          <w:sz w:val="22"/>
          <w:szCs w:val="22"/>
          <w:shd w:val="clear" w:color="auto" w:fill="FFFFFF"/>
        </w:rPr>
        <w:t xml:space="preserve"> </w:t>
      </w:r>
      <w:r w:rsidRPr="001C2D09">
        <w:rPr>
          <w:spacing w:val="-3"/>
          <w:sz w:val="22"/>
          <w:szCs w:val="22"/>
          <w:shd w:val="clear" w:color="auto" w:fill="FFFFFF"/>
        </w:rPr>
        <w:t xml:space="preserve"> </w:t>
      </w:r>
      <w:r w:rsidR="00352EB7">
        <w:rPr>
          <w:spacing w:val="-3"/>
          <w:sz w:val="22"/>
          <w:szCs w:val="22"/>
          <w:shd w:val="clear" w:color="auto" w:fill="FFFFFF"/>
        </w:rPr>
        <w:t>147</w:t>
      </w:r>
      <w:r w:rsidRPr="001C2D09" w:rsidR="00BC29E2">
        <w:rPr>
          <w:spacing w:val="-3"/>
          <w:sz w:val="22"/>
          <w:szCs w:val="22"/>
          <w:shd w:val="clear" w:color="auto" w:fill="FFFFFF"/>
        </w:rPr>
        <w:t xml:space="preserve"> </w:t>
      </w:r>
      <w:r w:rsidRPr="001C2D09" w:rsidR="00CC3AAF">
        <w:rPr>
          <w:spacing w:val="-3"/>
          <w:sz w:val="22"/>
          <w:szCs w:val="22"/>
          <w:shd w:val="clear" w:color="auto" w:fill="FFFFFF"/>
        </w:rPr>
        <w:t>responses (recordkeeping)</w:t>
      </w:r>
    </w:p>
    <w:p w:rsidR="0097613B" w:rsidRPr="001C2D09" w:rsidP="00017DC2" w14:paraId="303F7A25" w14:textId="29E51152">
      <w:pPr>
        <w:spacing w:after="12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BC29E2">
        <w:rPr>
          <w:spacing w:val="-3"/>
          <w:sz w:val="22"/>
          <w:szCs w:val="22"/>
          <w:shd w:val="clear" w:color="auto" w:fill="FFFFFF"/>
        </w:rPr>
        <w:t>2,935</w:t>
      </w:r>
      <w:r w:rsidRPr="001C2D09" w:rsidR="00CA1AAA">
        <w:rPr>
          <w:spacing w:val="-3"/>
          <w:sz w:val="22"/>
          <w:szCs w:val="22"/>
          <w:shd w:val="clear" w:color="auto" w:fill="FFFFFF"/>
        </w:rPr>
        <w:t xml:space="preserve"> </w:t>
      </w:r>
      <w:r w:rsidRPr="001C2D09">
        <w:rPr>
          <w:spacing w:val="-3"/>
          <w:sz w:val="22"/>
          <w:szCs w:val="22"/>
          <w:shd w:val="clear" w:color="auto" w:fill="FFFFFF"/>
        </w:rPr>
        <w:t>respondents x 1 re</w:t>
      </w:r>
      <w:r w:rsidRPr="001C2D09" w:rsidR="00004B1C">
        <w:rPr>
          <w:spacing w:val="-3"/>
          <w:sz w:val="22"/>
          <w:szCs w:val="22"/>
          <w:shd w:val="clear" w:color="auto" w:fill="FFFFFF"/>
        </w:rPr>
        <w:t>cordkeeping requirement</w:t>
      </w:r>
      <w:r w:rsidRPr="001C2D09">
        <w:rPr>
          <w:spacing w:val="-3"/>
          <w:sz w:val="22"/>
          <w:szCs w:val="22"/>
          <w:shd w:val="clear" w:color="auto" w:fill="FFFFFF"/>
        </w:rPr>
        <w:t xml:space="preserve">/annum = </w:t>
      </w:r>
      <w:r w:rsidRPr="001C2D09" w:rsidR="00BC29E2">
        <w:rPr>
          <w:spacing w:val="-3"/>
          <w:sz w:val="22"/>
          <w:szCs w:val="22"/>
          <w:shd w:val="clear" w:color="auto" w:fill="FFFFFF"/>
        </w:rPr>
        <w:t>2,935</w:t>
      </w:r>
      <w:r w:rsidRPr="001C2D09">
        <w:rPr>
          <w:spacing w:val="-3"/>
          <w:sz w:val="22"/>
          <w:szCs w:val="22"/>
          <w:shd w:val="clear" w:color="auto" w:fill="FFFFFF"/>
        </w:rPr>
        <w:t xml:space="preserve"> responses</w:t>
      </w:r>
    </w:p>
    <w:p w:rsidR="00913BDD" w:rsidRPr="001C2D09" w:rsidP="00000E39" w14:paraId="7198CC38" w14:textId="63AA25E8">
      <w:pPr>
        <w:spacing w:after="120"/>
        <w:rPr>
          <w:spacing w:val="-3"/>
          <w:sz w:val="22"/>
          <w:szCs w:val="22"/>
          <w:shd w:val="clear" w:color="auto" w:fill="FFFFFF"/>
        </w:rPr>
      </w:pPr>
      <w:r w:rsidRPr="001C2D09">
        <w:rPr>
          <w:spacing w:val="-3"/>
          <w:sz w:val="22"/>
          <w:szCs w:val="22"/>
          <w:shd w:val="clear" w:color="auto" w:fill="FFFFFF"/>
        </w:rPr>
        <w:tab/>
        <w:t>(</w:t>
      </w:r>
      <w:r w:rsidRPr="001C2D09" w:rsidR="009E26D5">
        <w:rPr>
          <w:spacing w:val="-3"/>
          <w:sz w:val="22"/>
          <w:szCs w:val="22"/>
          <w:shd w:val="clear" w:color="auto" w:fill="FFFFFF"/>
        </w:rPr>
        <w:t>4</w:t>
      </w:r>
      <w:r w:rsidRPr="001C2D09">
        <w:rPr>
          <w:spacing w:val="-3"/>
          <w:sz w:val="22"/>
          <w:szCs w:val="22"/>
          <w:shd w:val="clear" w:color="auto" w:fill="FFFFFF"/>
        </w:rPr>
        <w:t>)</w:t>
      </w:r>
      <w:r w:rsidRPr="001C2D09" w:rsidR="00000E39">
        <w:rPr>
          <w:spacing w:val="-3"/>
          <w:sz w:val="22"/>
          <w:szCs w:val="22"/>
          <w:shd w:val="clear" w:color="auto" w:fill="FFFFFF"/>
        </w:rPr>
        <w:tab/>
      </w:r>
      <w:r w:rsidRPr="001C2D09" w:rsidR="009E26D5">
        <w:rPr>
          <w:spacing w:val="-3"/>
          <w:sz w:val="22"/>
          <w:szCs w:val="22"/>
          <w:shd w:val="clear" w:color="auto" w:fill="FFFFFF"/>
        </w:rPr>
        <w:t xml:space="preserve">Total </w:t>
      </w:r>
      <w:r w:rsidRPr="001C2D09">
        <w:rPr>
          <w:spacing w:val="-3"/>
          <w:sz w:val="22"/>
          <w:szCs w:val="22"/>
          <w:shd w:val="clear" w:color="auto" w:fill="FFFFFF"/>
        </w:rPr>
        <w:t xml:space="preserve">Annual </w:t>
      </w:r>
      <w:r w:rsidRPr="001C2D09" w:rsidR="009E26D5">
        <w:rPr>
          <w:spacing w:val="-3"/>
          <w:sz w:val="22"/>
          <w:szCs w:val="22"/>
          <w:shd w:val="clear" w:color="auto" w:fill="FFFFFF"/>
        </w:rPr>
        <w:t>H</w:t>
      </w:r>
      <w:r w:rsidRPr="001C2D09">
        <w:rPr>
          <w:spacing w:val="-3"/>
          <w:sz w:val="22"/>
          <w:szCs w:val="22"/>
          <w:shd w:val="clear" w:color="auto" w:fill="FFFFFF"/>
        </w:rPr>
        <w:t>our</w:t>
      </w:r>
      <w:r w:rsidRPr="001C2D09" w:rsidR="009E26D5">
        <w:rPr>
          <w:spacing w:val="-3"/>
          <w:sz w:val="22"/>
          <w:szCs w:val="22"/>
          <w:shd w:val="clear" w:color="auto" w:fill="FFFFFF"/>
        </w:rPr>
        <w:t>ly</w:t>
      </w:r>
      <w:r w:rsidRPr="001C2D09">
        <w:rPr>
          <w:spacing w:val="-3"/>
          <w:sz w:val="22"/>
          <w:szCs w:val="22"/>
          <w:shd w:val="clear" w:color="auto" w:fill="FFFFFF"/>
        </w:rPr>
        <w:t xml:space="preserve"> </w:t>
      </w:r>
      <w:r w:rsidRPr="001C2D09" w:rsidR="009E26D5">
        <w:rPr>
          <w:spacing w:val="-3"/>
          <w:sz w:val="22"/>
          <w:szCs w:val="22"/>
          <w:shd w:val="clear" w:color="auto" w:fill="FFFFFF"/>
        </w:rPr>
        <w:t>B</w:t>
      </w:r>
      <w:r w:rsidRPr="001C2D09">
        <w:rPr>
          <w:spacing w:val="-3"/>
          <w:sz w:val="22"/>
          <w:szCs w:val="22"/>
          <w:shd w:val="clear" w:color="auto" w:fill="FFFFFF"/>
        </w:rPr>
        <w:t>urden</w:t>
      </w:r>
      <w:r w:rsidRPr="001C2D09" w:rsidR="009E26D5">
        <w:rPr>
          <w:spacing w:val="-3"/>
          <w:sz w:val="22"/>
          <w:szCs w:val="22"/>
          <w:shd w:val="clear" w:color="auto" w:fill="FFFFFF"/>
        </w:rPr>
        <w:t>:</w:t>
      </w:r>
      <w:r w:rsidRPr="001C2D09" w:rsidR="009030D8">
        <w:rPr>
          <w:spacing w:val="-3"/>
          <w:sz w:val="22"/>
          <w:szCs w:val="22"/>
          <w:shd w:val="clear" w:color="auto" w:fill="FFFFFF"/>
        </w:rPr>
        <w:t xml:space="preserve"> </w:t>
      </w:r>
      <w:r w:rsidRPr="001C2D09" w:rsidR="00EB6346">
        <w:rPr>
          <w:spacing w:val="-3"/>
          <w:sz w:val="22"/>
          <w:szCs w:val="22"/>
          <w:shd w:val="clear" w:color="auto" w:fill="FFFFFF"/>
        </w:rPr>
        <w:t xml:space="preserve"> </w:t>
      </w:r>
      <w:r w:rsidRPr="001C2D09" w:rsidR="00FA1E10">
        <w:rPr>
          <w:spacing w:val="-3"/>
          <w:sz w:val="22"/>
          <w:szCs w:val="22"/>
          <w:shd w:val="clear" w:color="auto" w:fill="FFFFFF"/>
        </w:rPr>
        <w:t>294</w:t>
      </w:r>
      <w:r w:rsidRPr="001C2D09" w:rsidR="00572144">
        <w:rPr>
          <w:spacing w:val="-3"/>
          <w:sz w:val="22"/>
          <w:szCs w:val="22"/>
          <w:shd w:val="clear" w:color="auto" w:fill="FFFFFF"/>
        </w:rPr>
        <w:t xml:space="preserve"> </w:t>
      </w:r>
      <w:r w:rsidRPr="001C2D09" w:rsidR="009030D8">
        <w:rPr>
          <w:spacing w:val="-3"/>
          <w:sz w:val="22"/>
          <w:szCs w:val="22"/>
          <w:shd w:val="clear" w:color="auto" w:fill="FFFFFF"/>
        </w:rPr>
        <w:t>hours</w:t>
      </w:r>
    </w:p>
    <w:p w:rsidR="009B25FB" w:rsidRPr="001C2D09" w:rsidP="00CD02E3" w14:paraId="5277B297" w14:textId="5B1B666A">
      <w:pPr>
        <w:spacing w:after="120"/>
        <w:rPr>
          <w:spacing w:val="-3"/>
          <w:sz w:val="22"/>
          <w:szCs w:val="22"/>
          <w:shd w:val="clear" w:color="auto" w:fill="FFFFFF"/>
        </w:rPr>
      </w:pPr>
      <w:r w:rsidRPr="001C2D09">
        <w:rPr>
          <w:spacing w:val="-3"/>
          <w:sz w:val="22"/>
          <w:szCs w:val="22"/>
          <w:shd w:val="clear" w:color="auto" w:fill="FFFFFF"/>
        </w:rPr>
        <w:t>A</w:t>
      </w:r>
      <w:r w:rsidRPr="001C2D09" w:rsidR="00180576">
        <w:rPr>
          <w:spacing w:val="-3"/>
          <w:sz w:val="22"/>
          <w:szCs w:val="22"/>
          <w:shd w:val="clear" w:color="auto" w:fill="FFFFFF"/>
        </w:rPr>
        <w:t xml:space="preserve">s in (a) Customer Approval, the </w:t>
      </w:r>
      <w:r w:rsidRPr="001C2D09" w:rsidR="00CD02E3">
        <w:rPr>
          <w:spacing w:val="-3"/>
          <w:sz w:val="22"/>
          <w:szCs w:val="22"/>
          <w:shd w:val="clear" w:color="auto" w:fill="FFFFFF"/>
        </w:rPr>
        <w:t>Commission believe</w:t>
      </w:r>
      <w:r w:rsidRPr="001C2D09" w:rsidR="00180576">
        <w:rPr>
          <w:spacing w:val="-3"/>
          <w:sz w:val="22"/>
          <w:szCs w:val="22"/>
          <w:shd w:val="clear" w:color="auto" w:fill="FFFFFF"/>
        </w:rPr>
        <w:t>s</w:t>
      </w:r>
      <w:r w:rsidRPr="001C2D09" w:rsidR="00CD02E3">
        <w:rPr>
          <w:spacing w:val="-3"/>
          <w:sz w:val="22"/>
          <w:szCs w:val="22"/>
          <w:shd w:val="clear" w:color="auto" w:fill="FFFFFF"/>
        </w:rPr>
        <w:t xml:space="preserve"> that most respondent</w:t>
      </w:r>
      <w:r w:rsidRPr="001C2D09">
        <w:rPr>
          <w:spacing w:val="-3"/>
          <w:sz w:val="22"/>
          <w:szCs w:val="22"/>
          <w:shd w:val="clear" w:color="auto" w:fill="FFFFFF"/>
        </w:rPr>
        <w:t>s</w:t>
      </w:r>
      <w:r w:rsidRPr="001C2D09" w:rsidR="00CD02E3">
        <w:rPr>
          <w:spacing w:val="-3"/>
          <w:sz w:val="22"/>
          <w:szCs w:val="22"/>
          <w:shd w:val="clear" w:color="auto" w:fill="FFFFFF"/>
        </w:rPr>
        <w:t xml:space="preserve"> use a digital internal system to </w:t>
      </w:r>
      <w:r w:rsidRPr="001C2D09" w:rsidR="00180576">
        <w:rPr>
          <w:spacing w:val="-3"/>
          <w:sz w:val="22"/>
          <w:szCs w:val="22"/>
          <w:shd w:val="clear" w:color="auto" w:fill="FFFFFF"/>
        </w:rPr>
        <w:t xml:space="preserve">document and </w:t>
      </w:r>
      <w:r w:rsidRPr="001C2D09" w:rsidR="00B14ADF">
        <w:rPr>
          <w:spacing w:val="-3"/>
          <w:sz w:val="22"/>
          <w:szCs w:val="22"/>
          <w:shd w:val="clear" w:color="auto" w:fill="FFFFFF"/>
        </w:rPr>
        <w:t xml:space="preserve">record </w:t>
      </w:r>
      <w:r w:rsidRPr="001C2D09" w:rsidR="588F87FB">
        <w:rPr>
          <w:spacing w:val="-3"/>
          <w:sz w:val="22"/>
          <w:szCs w:val="22"/>
          <w:shd w:val="clear" w:color="auto" w:fill="FFFFFF"/>
        </w:rPr>
        <w:t>their</w:t>
      </w:r>
      <w:r w:rsidRPr="001C2D09" w:rsidR="00B14ADF">
        <w:rPr>
          <w:spacing w:val="-3"/>
          <w:sz w:val="22"/>
          <w:szCs w:val="22"/>
          <w:shd w:val="clear" w:color="auto" w:fill="FFFFFF"/>
        </w:rPr>
        <w:t xml:space="preserve"> customers</w:t>
      </w:r>
      <w:r w:rsidRPr="001C2D09" w:rsidR="5CAB6BBA">
        <w:rPr>
          <w:spacing w:val="-3"/>
          <w:sz w:val="22"/>
          <w:szCs w:val="22"/>
          <w:shd w:val="clear" w:color="auto" w:fill="FFFFFF"/>
        </w:rPr>
        <w:t>’</w:t>
      </w:r>
      <w:r w:rsidRPr="001C2D09" w:rsidR="00B14ADF">
        <w:rPr>
          <w:spacing w:val="-3"/>
          <w:sz w:val="22"/>
          <w:szCs w:val="22"/>
          <w:shd w:val="clear" w:color="auto" w:fill="FFFFFF"/>
        </w:rPr>
        <w:t xml:space="preserve"> CPNI approval status</w:t>
      </w:r>
      <w:r w:rsidRPr="001C2D09" w:rsidR="00CD02E3">
        <w:rPr>
          <w:spacing w:val="-3"/>
          <w:sz w:val="22"/>
          <w:szCs w:val="22"/>
          <w:shd w:val="clear" w:color="auto" w:fill="FFFFFF"/>
        </w:rPr>
        <w:t xml:space="preserve">.  </w:t>
      </w:r>
      <w:r w:rsidRPr="001C2D09" w:rsidR="0083271B">
        <w:rPr>
          <w:spacing w:val="-3"/>
          <w:sz w:val="22"/>
          <w:szCs w:val="22"/>
          <w:shd w:val="clear" w:color="auto" w:fill="FFFFFF"/>
        </w:rPr>
        <w:t xml:space="preserve">Furthermore, the Commission believes that </w:t>
      </w:r>
      <w:r w:rsidRPr="001C2D09" w:rsidR="00CB7432">
        <w:rPr>
          <w:spacing w:val="-3"/>
          <w:sz w:val="22"/>
          <w:szCs w:val="22"/>
          <w:shd w:val="clear" w:color="auto" w:fill="FFFFFF"/>
        </w:rPr>
        <w:t xml:space="preserve">it is </w:t>
      </w:r>
      <w:r w:rsidRPr="001C2D09" w:rsidR="00BA3229">
        <w:rPr>
          <w:spacing w:val="-3"/>
          <w:sz w:val="22"/>
          <w:szCs w:val="22"/>
          <w:shd w:val="clear" w:color="auto" w:fill="FFFFFF"/>
        </w:rPr>
        <w:t>reasonable</w:t>
      </w:r>
      <w:r w:rsidRPr="001C2D09" w:rsidR="00CB7432">
        <w:rPr>
          <w:spacing w:val="-3"/>
          <w:sz w:val="22"/>
          <w:szCs w:val="22"/>
          <w:shd w:val="clear" w:color="auto" w:fill="FFFFFF"/>
        </w:rPr>
        <w:t xml:space="preserve"> </w:t>
      </w:r>
      <w:r w:rsidRPr="001C2D09" w:rsidR="00BA3229">
        <w:rPr>
          <w:spacing w:val="-3"/>
          <w:sz w:val="22"/>
          <w:szCs w:val="22"/>
          <w:shd w:val="clear" w:color="auto" w:fill="FFFFFF"/>
        </w:rPr>
        <w:t>to assume that</w:t>
      </w:r>
      <w:r w:rsidRPr="001C2D09" w:rsidR="00CB7432">
        <w:rPr>
          <w:spacing w:val="-3"/>
          <w:sz w:val="22"/>
          <w:szCs w:val="22"/>
          <w:shd w:val="clear" w:color="auto" w:fill="FFFFFF"/>
        </w:rPr>
        <w:t xml:space="preserve"> the digital system developed</w:t>
      </w:r>
      <w:r w:rsidRPr="001C2D09">
        <w:rPr>
          <w:spacing w:val="-3"/>
          <w:sz w:val="22"/>
          <w:szCs w:val="22"/>
          <w:shd w:val="clear" w:color="auto" w:fill="FFFFFF"/>
        </w:rPr>
        <w:t xml:space="preserve"> in (a)</w:t>
      </w:r>
      <w:r w:rsidRPr="001C2D09" w:rsidR="00CB7432">
        <w:rPr>
          <w:spacing w:val="-3"/>
          <w:sz w:val="22"/>
          <w:szCs w:val="22"/>
          <w:shd w:val="clear" w:color="auto" w:fill="FFFFFF"/>
        </w:rPr>
        <w:t xml:space="preserve"> to solicit CPNI approval</w:t>
      </w:r>
      <w:r w:rsidRPr="001C2D09">
        <w:rPr>
          <w:spacing w:val="-3"/>
          <w:sz w:val="22"/>
          <w:szCs w:val="22"/>
          <w:shd w:val="clear" w:color="auto" w:fill="FFFFFF"/>
        </w:rPr>
        <w:t xml:space="preserve"> from customers </w:t>
      </w:r>
      <w:r w:rsidRPr="001C2D09" w:rsidR="00160254">
        <w:rPr>
          <w:spacing w:val="-3"/>
          <w:sz w:val="22"/>
          <w:szCs w:val="22"/>
          <w:shd w:val="clear" w:color="auto" w:fill="FFFFFF"/>
        </w:rPr>
        <w:t>is</w:t>
      </w:r>
      <w:r w:rsidRPr="001C2D09">
        <w:rPr>
          <w:spacing w:val="-3"/>
          <w:sz w:val="22"/>
          <w:szCs w:val="22"/>
          <w:shd w:val="clear" w:color="auto" w:fill="FFFFFF"/>
        </w:rPr>
        <w:t xml:space="preserve"> also the digital system that documents and records customer CPNI approval status. </w:t>
      </w:r>
    </w:p>
    <w:p w:rsidR="00CD02E3" w:rsidRPr="001C2D09" w:rsidP="00CD02E3" w14:paraId="1688DAAB" w14:textId="361F7543">
      <w:pPr>
        <w:spacing w:after="120"/>
        <w:rPr>
          <w:spacing w:val="-3"/>
          <w:sz w:val="22"/>
          <w:szCs w:val="22"/>
          <w:shd w:val="clear" w:color="auto" w:fill="FFFFFF"/>
        </w:rPr>
      </w:pPr>
      <w:r w:rsidRPr="001C2D09">
        <w:rPr>
          <w:spacing w:val="-3"/>
          <w:sz w:val="22"/>
          <w:szCs w:val="22"/>
          <w:shd w:val="clear" w:color="auto" w:fill="FFFFFF"/>
        </w:rPr>
        <w:t>The burden for documenting and recording CPNI approval status, t</w:t>
      </w:r>
      <w:r w:rsidRPr="001C2D09">
        <w:rPr>
          <w:spacing w:val="-3"/>
          <w:sz w:val="22"/>
          <w:szCs w:val="22"/>
          <w:shd w:val="clear" w:color="auto" w:fill="FFFFFF"/>
        </w:rPr>
        <w:t xml:space="preserve">herefore, </w:t>
      </w:r>
      <w:r w:rsidRPr="001C2D09">
        <w:rPr>
          <w:spacing w:val="-3"/>
          <w:sz w:val="22"/>
          <w:szCs w:val="22"/>
          <w:shd w:val="clear" w:color="auto" w:fill="FFFFFF"/>
        </w:rPr>
        <w:t xml:space="preserve">should be limited to </w:t>
      </w:r>
      <w:r w:rsidRPr="001C2D09">
        <w:rPr>
          <w:spacing w:val="-3"/>
          <w:sz w:val="22"/>
          <w:szCs w:val="22"/>
          <w:shd w:val="clear" w:color="auto" w:fill="FFFFFF"/>
        </w:rPr>
        <w:t>new entrants</w:t>
      </w:r>
      <w:r w:rsidRPr="001C2D09" w:rsidR="00A745F8">
        <w:rPr>
          <w:spacing w:val="-3"/>
          <w:sz w:val="22"/>
          <w:szCs w:val="22"/>
          <w:shd w:val="clear" w:color="auto" w:fill="FFFFFF"/>
        </w:rPr>
        <w:t>, and should only consider the burden of adding an additional feature – documentation and recordkeeping of CPNI status – to the digital system developed by new entrants in (a).</w:t>
      </w:r>
      <w:r w:rsidRPr="001C2D09">
        <w:rPr>
          <w:spacing w:val="-3"/>
          <w:sz w:val="22"/>
          <w:szCs w:val="22"/>
          <w:shd w:val="clear" w:color="auto" w:fill="FFFFFF"/>
        </w:rPr>
        <w:t xml:space="preserve">  </w:t>
      </w:r>
    </w:p>
    <w:p w:rsidR="00CD02E3" w:rsidRPr="001C2D09" w:rsidP="00CD02E3" w14:paraId="1B399183" w14:textId="215BEDA3">
      <w:pPr>
        <w:spacing w:after="120"/>
        <w:rPr>
          <w:spacing w:val="-3"/>
          <w:sz w:val="22"/>
          <w:szCs w:val="22"/>
          <w:shd w:val="clear" w:color="auto" w:fill="FFFFFF"/>
        </w:rPr>
      </w:pPr>
      <w:r w:rsidRPr="001C2D09">
        <w:rPr>
          <w:sz w:val="22"/>
          <w:szCs w:val="22"/>
        </w:rPr>
        <w:t>Having already developed the digital solicitation system described in (a), t</w:t>
      </w:r>
      <w:r w:rsidRPr="001C2D09">
        <w:rPr>
          <w:sz w:val="22"/>
          <w:szCs w:val="22"/>
        </w:rPr>
        <w:t xml:space="preserve">he Commission estimates that </w:t>
      </w:r>
      <w:r w:rsidRPr="001C2D09">
        <w:rPr>
          <w:sz w:val="22"/>
          <w:szCs w:val="22"/>
        </w:rPr>
        <w:t>new entrants</w:t>
      </w:r>
      <w:r w:rsidRPr="001C2D09">
        <w:rPr>
          <w:sz w:val="22"/>
          <w:szCs w:val="22"/>
        </w:rPr>
        <w:t xml:space="preserve"> will require a</w:t>
      </w:r>
      <w:r w:rsidRPr="001C2D09" w:rsidR="00B10B8F">
        <w:rPr>
          <w:sz w:val="22"/>
          <w:szCs w:val="22"/>
        </w:rPr>
        <w:t>n additional</w:t>
      </w:r>
      <w:r w:rsidRPr="001C2D09">
        <w:rPr>
          <w:sz w:val="22"/>
          <w:szCs w:val="22"/>
        </w:rPr>
        <w:t xml:space="preserve"> </w:t>
      </w:r>
      <w:r w:rsidRPr="001C2D09">
        <w:rPr>
          <w:sz w:val="22"/>
          <w:szCs w:val="22"/>
        </w:rPr>
        <w:t>two</w:t>
      </w:r>
      <w:r w:rsidRPr="001C2D09">
        <w:rPr>
          <w:sz w:val="22"/>
          <w:szCs w:val="22"/>
        </w:rPr>
        <w:t xml:space="preserve"> hours to </w:t>
      </w:r>
      <w:r w:rsidRPr="001C2D09" w:rsidR="00B10B8F">
        <w:rPr>
          <w:sz w:val="22"/>
          <w:szCs w:val="22"/>
        </w:rPr>
        <w:t xml:space="preserve">add </w:t>
      </w:r>
      <w:r w:rsidRPr="001C2D09" w:rsidR="00A54F9E">
        <w:rPr>
          <w:sz w:val="22"/>
          <w:szCs w:val="22"/>
        </w:rPr>
        <w:t xml:space="preserve">the necessary </w:t>
      </w:r>
      <w:r w:rsidRPr="001C2D09" w:rsidR="00B10B8F">
        <w:rPr>
          <w:sz w:val="22"/>
          <w:szCs w:val="22"/>
        </w:rPr>
        <w:t>document</w:t>
      </w:r>
      <w:r w:rsidRPr="001C2D09" w:rsidR="00A54F9E">
        <w:rPr>
          <w:sz w:val="22"/>
          <w:szCs w:val="22"/>
        </w:rPr>
        <w:t xml:space="preserve">ation and recordkeeping features required by (b) to the digital system. </w:t>
      </w:r>
    </w:p>
    <w:p w:rsidR="00005848" w:rsidRPr="001C2D09" w:rsidP="00000E39" w14:paraId="590F5AE1" w14:textId="2487AD3C">
      <w:pPr>
        <w:tabs>
          <w:tab w:val="left" w:pos="1080"/>
        </w:tabs>
        <w:spacing w:after="120"/>
        <w:rPr>
          <w:spacing w:val="-3"/>
          <w:sz w:val="22"/>
          <w:szCs w:val="22"/>
          <w:shd w:val="clear" w:color="auto" w:fill="FFFFFF"/>
        </w:rPr>
      </w:pPr>
      <w:r w:rsidRPr="001C2D09">
        <w:rPr>
          <w:spacing w:val="-3"/>
          <w:sz w:val="22"/>
          <w:szCs w:val="22"/>
          <w:shd w:val="clear" w:color="auto" w:fill="FFFFFF"/>
        </w:rPr>
        <w:tab/>
      </w:r>
      <w:r w:rsidRPr="001C2D09" w:rsidR="00913BDD">
        <w:rPr>
          <w:spacing w:val="-3"/>
          <w:sz w:val="22"/>
          <w:szCs w:val="22"/>
          <w:shd w:val="clear" w:color="auto" w:fill="FFFFFF"/>
        </w:rPr>
        <w:tab/>
      </w:r>
      <w:r w:rsidRPr="001C2D09" w:rsidR="00104E01">
        <w:rPr>
          <w:spacing w:val="-3"/>
          <w:sz w:val="22"/>
          <w:szCs w:val="22"/>
          <w:shd w:val="clear" w:color="auto" w:fill="FFFFFF"/>
        </w:rPr>
        <w:t xml:space="preserve">147 </w:t>
      </w:r>
      <w:r w:rsidRPr="001C2D09" w:rsidR="00913BDD">
        <w:rPr>
          <w:spacing w:val="-3"/>
          <w:sz w:val="22"/>
          <w:szCs w:val="22"/>
          <w:shd w:val="clear" w:color="auto" w:fill="FFFFFF"/>
        </w:rPr>
        <w:t xml:space="preserve">respondents x </w:t>
      </w:r>
      <w:r w:rsidRPr="001C2D09" w:rsidR="00104E01">
        <w:rPr>
          <w:spacing w:val="-3"/>
          <w:sz w:val="22"/>
          <w:szCs w:val="22"/>
          <w:shd w:val="clear" w:color="auto" w:fill="FFFFFF"/>
        </w:rPr>
        <w:t>2</w:t>
      </w:r>
      <w:r w:rsidRPr="001C2D09" w:rsidR="00913BDD">
        <w:rPr>
          <w:spacing w:val="-3"/>
          <w:sz w:val="22"/>
          <w:szCs w:val="22"/>
          <w:shd w:val="clear" w:color="auto" w:fill="FFFFFF"/>
        </w:rPr>
        <w:t xml:space="preserve"> hours/recordkeeping </w:t>
      </w:r>
      <w:r w:rsidRPr="001C2D09" w:rsidR="000844E2">
        <w:rPr>
          <w:spacing w:val="-3"/>
          <w:sz w:val="22"/>
          <w:szCs w:val="22"/>
          <w:shd w:val="clear" w:color="auto" w:fill="FFFFFF"/>
        </w:rPr>
        <w:t>for customer’s CPNI status</w:t>
      </w:r>
      <w:r w:rsidRPr="001C2D09" w:rsidR="0082008E">
        <w:rPr>
          <w:spacing w:val="-3"/>
          <w:sz w:val="22"/>
          <w:szCs w:val="22"/>
          <w:shd w:val="clear" w:color="auto" w:fill="FFFFFF"/>
        </w:rPr>
        <w:t xml:space="preserve"> </w:t>
      </w:r>
      <w:r w:rsidRPr="001C2D09" w:rsidR="00913BDD">
        <w:rPr>
          <w:spacing w:val="-3"/>
          <w:sz w:val="22"/>
          <w:szCs w:val="22"/>
          <w:shd w:val="clear" w:color="auto" w:fill="FFFFFF"/>
        </w:rPr>
        <w:t xml:space="preserve">= </w:t>
      </w:r>
      <w:r w:rsidRPr="001C2D09" w:rsidR="00104E01">
        <w:rPr>
          <w:spacing w:val="-3"/>
          <w:sz w:val="22"/>
          <w:szCs w:val="22"/>
          <w:shd w:val="clear" w:color="auto" w:fill="FFFFFF"/>
        </w:rPr>
        <w:t>294</w:t>
      </w:r>
      <w:r w:rsidRPr="001C2D09" w:rsidR="0050162D">
        <w:rPr>
          <w:spacing w:val="-3"/>
          <w:sz w:val="22"/>
          <w:szCs w:val="22"/>
          <w:shd w:val="clear" w:color="auto" w:fill="FFFFFF"/>
        </w:rPr>
        <w:t xml:space="preserve"> </w:t>
      </w:r>
      <w:r w:rsidRPr="001C2D09">
        <w:rPr>
          <w:spacing w:val="-3"/>
          <w:sz w:val="22"/>
          <w:szCs w:val="22"/>
          <w:shd w:val="clear" w:color="auto" w:fill="FFFFFF"/>
        </w:rPr>
        <w:t>hours</w:t>
      </w:r>
      <w:r w:rsidRPr="001C2D09" w:rsidR="008D3850">
        <w:rPr>
          <w:spacing w:val="-3"/>
          <w:sz w:val="22"/>
          <w:szCs w:val="22"/>
          <w:shd w:val="clear" w:color="auto" w:fill="FFFFFF"/>
        </w:rPr>
        <w:t xml:space="preserve"> </w:t>
      </w:r>
    </w:p>
    <w:p w:rsidR="00FF7C88" w:rsidRPr="001C2D09" w:rsidP="00000E39" w14:paraId="4E35C061" w14:textId="0DCECFC6">
      <w:pPr>
        <w:spacing w:after="120"/>
        <w:rPr>
          <w:spacing w:val="-3"/>
          <w:sz w:val="22"/>
          <w:szCs w:val="22"/>
          <w:shd w:val="clear" w:color="auto" w:fill="FFFFFF"/>
        </w:rPr>
      </w:pPr>
      <w:r w:rsidRPr="001C2D09">
        <w:rPr>
          <w:spacing w:val="-3"/>
          <w:sz w:val="22"/>
          <w:szCs w:val="22"/>
          <w:shd w:val="clear" w:color="auto" w:fill="FFFFFF"/>
        </w:rPr>
        <w:tab/>
      </w:r>
      <w:r w:rsidRPr="001C2D09" w:rsidR="00005848">
        <w:rPr>
          <w:spacing w:val="-3"/>
          <w:sz w:val="22"/>
          <w:szCs w:val="22"/>
          <w:shd w:val="clear" w:color="auto" w:fill="FFFFFF"/>
        </w:rPr>
        <w:t>(5)</w:t>
      </w:r>
      <w:r w:rsidRPr="001C2D09" w:rsidR="00000E39">
        <w:rPr>
          <w:spacing w:val="-3"/>
          <w:sz w:val="22"/>
          <w:szCs w:val="22"/>
          <w:shd w:val="clear" w:color="auto" w:fill="FFFFFF"/>
        </w:rPr>
        <w:tab/>
      </w:r>
      <w:r w:rsidRPr="001C2D09" w:rsidR="003E722F">
        <w:rPr>
          <w:spacing w:val="-3"/>
          <w:sz w:val="22"/>
          <w:szCs w:val="22"/>
          <w:shd w:val="clear" w:color="auto" w:fill="FFFFFF"/>
        </w:rPr>
        <w:t>Total “In House” Cost:</w:t>
      </w:r>
      <w:r w:rsidRPr="001C2D09" w:rsidR="00005848">
        <w:rPr>
          <w:spacing w:val="-3"/>
          <w:sz w:val="22"/>
          <w:szCs w:val="22"/>
          <w:shd w:val="clear" w:color="auto" w:fill="FFFFFF"/>
        </w:rPr>
        <w:t xml:space="preserve"> </w:t>
      </w:r>
      <w:r w:rsidRPr="001C2D09" w:rsidR="00B60E3F">
        <w:rPr>
          <w:spacing w:val="-3"/>
          <w:sz w:val="22"/>
          <w:szCs w:val="22"/>
          <w:shd w:val="clear" w:color="auto" w:fill="FFFFFF"/>
        </w:rPr>
        <w:t xml:space="preserve"> </w:t>
      </w:r>
      <w:r w:rsidRPr="001C2D09" w:rsidR="002569FA">
        <w:rPr>
          <w:spacing w:val="-3"/>
          <w:sz w:val="22"/>
          <w:szCs w:val="22"/>
          <w:shd w:val="clear" w:color="auto" w:fill="FFFFFF"/>
        </w:rPr>
        <w:t>$</w:t>
      </w:r>
      <w:r w:rsidRPr="001C2D09" w:rsidR="00CA1AAA">
        <w:rPr>
          <w:spacing w:val="-3"/>
          <w:sz w:val="22"/>
          <w:szCs w:val="22"/>
          <w:shd w:val="clear" w:color="auto" w:fill="FFFFFF"/>
        </w:rPr>
        <w:t>20,589</w:t>
      </w:r>
    </w:p>
    <w:p w:rsidR="00EB53F3" w:rsidRPr="001C2D09" w:rsidP="00000E39" w14:paraId="5B18CE67" w14:textId="3B8C28EB">
      <w:pPr>
        <w:spacing w:after="120"/>
        <w:rPr>
          <w:spacing w:val="-3"/>
          <w:sz w:val="22"/>
          <w:szCs w:val="22"/>
          <w:shd w:val="clear" w:color="auto" w:fill="FFFFFF"/>
        </w:rPr>
      </w:pPr>
      <w:r w:rsidRPr="001C2D09">
        <w:rPr>
          <w:spacing w:val="-3"/>
          <w:sz w:val="22"/>
          <w:szCs w:val="22"/>
          <w:shd w:val="clear" w:color="auto" w:fill="FFFFFF"/>
        </w:rPr>
        <w:t>T</w:t>
      </w:r>
      <w:r w:rsidRPr="001C2D09" w:rsidR="00EC5797">
        <w:rPr>
          <w:spacing w:val="-3"/>
          <w:sz w:val="22"/>
          <w:szCs w:val="22"/>
          <w:shd w:val="clear" w:color="auto" w:fill="FFFFFF"/>
        </w:rPr>
        <w:t xml:space="preserve">he Commission </w:t>
      </w:r>
      <w:r w:rsidRPr="001C2D09" w:rsidR="00005848">
        <w:rPr>
          <w:spacing w:val="-3"/>
          <w:sz w:val="22"/>
          <w:szCs w:val="22"/>
          <w:shd w:val="clear" w:color="auto" w:fill="FFFFFF"/>
        </w:rPr>
        <w:t>assume</w:t>
      </w:r>
      <w:r w:rsidRPr="001C2D09" w:rsidR="00EC5797">
        <w:rPr>
          <w:spacing w:val="-3"/>
          <w:sz w:val="22"/>
          <w:szCs w:val="22"/>
          <w:shd w:val="clear" w:color="auto" w:fill="FFFFFF"/>
        </w:rPr>
        <w:t>s</w:t>
      </w:r>
      <w:r w:rsidRPr="001C2D09" w:rsidR="00005848">
        <w:rPr>
          <w:spacing w:val="-3"/>
          <w:sz w:val="22"/>
          <w:szCs w:val="22"/>
          <w:shd w:val="clear" w:color="auto" w:fill="FFFFFF"/>
        </w:rPr>
        <w:t xml:space="preserve"> th</w:t>
      </w:r>
      <w:r w:rsidRPr="001C2D09" w:rsidR="00EC5797">
        <w:rPr>
          <w:spacing w:val="-3"/>
          <w:sz w:val="22"/>
          <w:szCs w:val="22"/>
          <w:shd w:val="clear" w:color="auto" w:fill="FFFFFF"/>
        </w:rPr>
        <w:t>at th</w:t>
      </w:r>
      <w:r w:rsidRPr="001C2D09" w:rsidR="00005848">
        <w:rPr>
          <w:spacing w:val="-3"/>
          <w:sz w:val="22"/>
          <w:szCs w:val="22"/>
          <w:shd w:val="clear" w:color="auto" w:fill="FFFFFF"/>
        </w:rPr>
        <w:t>e respondents use personnel comparable in pay to a GS-</w:t>
      </w:r>
      <w:r w:rsidRPr="001C2D09" w:rsidR="00C77743">
        <w:rPr>
          <w:spacing w:val="-3"/>
          <w:sz w:val="22"/>
          <w:szCs w:val="22"/>
          <w:shd w:val="clear" w:color="auto" w:fill="FFFFFF"/>
        </w:rPr>
        <w:t>12</w:t>
      </w:r>
      <w:r w:rsidRPr="001C2D09" w:rsidR="00005848">
        <w:rPr>
          <w:spacing w:val="-3"/>
          <w:sz w:val="22"/>
          <w:szCs w:val="22"/>
          <w:shd w:val="clear" w:color="auto" w:fill="FFFFFF"/>
        </w:rPr>
        <w:t>/</w:t>
      </w:r>
      <w:r w:rsidRPr="001C2D09">
        <w:rPr>
          <w:spacing w:val="-3"/>
          <w:sz w:val="22"/>
          <w:szCs w:val="22"/>
          <w:shd w:val="clear" w:color="auto" w:fill="FFFFFF"/>
        </w:rPr>
        <w:t xml:space="preserve">Step </w:t>
      </w:r>
      <w:r w:rsidRPr="001C2D09" w:rsidR="00CA1AAA">
        <w:rPr>
          <w:spacing w:val="-3"/>
          <w:sz w:val="22"/>
          <w:szCs w:val="22"/>
          <w:shd w:val="clear" w:color="auto" w:fill="FFFFFF"/>
        </w:rPr>
        <w:t>5</w:t>
      </w:r>
      <w:r w:rsidRPr="001C2D09" w:rsidR="00C77743">
        <w:rPr>
          <w:spacing w:val="-3"/>
          <w:sz w:val="22"/>
          <w:szCs w:val="22"/>
          <w:shd w:val="clear" w:color="auto" w:fill="FFFFFF"/>
        </w:rPr>
        <w:t xml:space="preserve"> </w:t>
      </w:r>
      <w:r w:rsidRPr="001C2D09" w:rsidR="00BA7CD6">
        <w:rPr>
          <w:spacing w:val="-3"/>
          <w:sz w:val="22"/>
          <w:szCs w:val="22"/>
          <w:shd w:val="clear" w:color="auto" w:fill="FFFFFF"/>
        </w:rPr>
        <w:t>($</w:t>
      </w:r>
      <w:r w:rsidRPr="001C2D09" w:rsidR="00CA1AAA">
        <w:rPr>
          <w:spacing w:val="-3"/>
          <w:sz w:val="22"/>
          <w:szCs w:val="22"/>
          <w:shd w:val="clear" w:color="auto" w:fill="FFFFFF"/>
        </w:rPr>
        <w:t>53.87</w:t>
      </w:r>
      <w:r w:rsidRPr="001C2D09" w:rsidR="00BA7CD6">
        <w:rPr>
          <w:spacing w:val="-3"/>
          <w:sz w:val="22"/>
          <w:szCs w:val="22"/>
          <w:shd w:val="clear" w:color="auto" w:fill="FFFFFF"/>
        </w:rPr>
        <w:t xml:space="preserve">/hour) </w:t>
      </w:r>
      <w:r w:rsidRPr="001C2D09" w:rsidR="00005848">
        <w:rPr>
          <w:spacing w:val="-3"/>
          <w:sz w:val="22"/>
          <w:szCs w:val="22"/>
          <w:shd w:val="clear" w:color="auto" w:fill="FFFFFF"/>
        </w:rPr>
        <w:t>Federal employee</w:t>
      </w:r>
      <w:r w:rsidRPr="001C2D09" w:rsidR="00BA7CD6">
        <w:rPr>
          <w:spacing w:val="-3"/>
          <w:sz w:val="22"/>
          <w:szCs w:val="22"/>
          <w:shd w:val="clear" w:color="auto" w:fill="FFFFFF"/>
        </w:rPr>
        <w:t>,</w:t>
      </w:r>
      <w:r w:rsidRPr="001C2D09" w:rsidR="00005848">
        <w:rPr>
          <w:spacing w:val="-3"/>
          <w:sz w:val="22"/>
          <w:szCs w:val="22"/>
          <w:shd w:val="clear" w:color="auto" w:fill="FFFFFF"/>
        </w:rPr>
        <w:t xml:space="preserve"> </w:t>
      </w:r>
      <w:r w:rsidRPr="001C2D09" w:rsidR="00F9632D">
        <w:rPr>
          <w:spacing w:val="-3"/>
          <w:sz w:val="22"/>
          <w:szCs w:val="22"/>
          <w:shd w:val="clear" w:color="auto" w:fill="FFFFFF"/>
        </w:rPr>
        <w:t>plus</w:t>
      </w:r>
      <w:r w:rsidRPr="001C2D09" w:rsidR="00005848">
        <w:rPr>
          <w:spacing w:val="-3"/>
          <w:sz w:val="22"/>
          <w:szCs w:val="22"/>
          <w:shd w:val="clear" w:color="auto" w:fill="FFFFFF"/>
        </w:rPr>
        <w:t xml:space="preserve"> 30% for overhead</w:t>
      </w:r>
      <w:r w:rsidRPr="001C2D09" w:rsidR="00BA7CD6">
        <w:rPr>
          <w:spacing w:val="-3"/>
          <w:sz w:val="22"/>
          <w:szCs w:val="22"/>
          <w:shd w:val="clear" w:color="auto" w:fill="FFFFFF"/>
        </w:rPr>
        <w:t>,</w:t>
      </w:r>
      <w:r w:rsidRPr="001C2D09" w:rsidR="00005848">
        <w:rPr>
          <w:spacing w:val="-3"/>
          <w:sz w:val="22"/>
          <w:szCs w:val="22"/>
          <w:shd w:val="clear" w:color="auto" w:fill="FFFFFF"/>
        </w:rPr>
        <w:t xml:space="preserve"> to comply with the recordkeeping requirement</w:t>
      </w:r>
      <w:r w:rsidRPr="001C2D09" w:rsidR="00B12300">
        <w:rPr>
          <w:spacing w:val="-3"/>
          <w:sz w:val="22"/>
          <w:szCs w:val="22"/>
          <w:shd w:val="clear" w:color="auto" w:fill="FFFFFF"/>
        </w:rPr>
        <w:t>:</w:t>
      </w:r>
      <w:r w:rsidRPr="001C2D09" w:rsidR="00005848">
        <w:rPr>
          <w:spacing w:val="-3"/>
          <w:sz w:val="22"/>
          <w:szCs w:val="22"/>
          <w:shd w:val="clear" w:color="auto" w:fill="FFFFFF"/>
        </w:rPr>
        <w:t xml:space="preserve"> </w:t>
      </w:r>
    </w:p>
    <w:p w:rsidR="00005848" w:rsidRPr="001C2D09" w:rsidP="0077092A" w14:paraId="31D3E0DB" w14:textId="300F0504">
      <w:pPr>
        <w:rPr>
          <w:spacing w:val="-3"/>
          <w:sz w:val="22"/>
          <w:szCs w:val="22"/>
          <w:shd w:val="clear" w:color="auto" w:fill="FFFFFF"/>
        </w:rPr>
      </w:pPr>
      <w:r w:rsidRPr="001C2D09">
        <w:rPr>
          <w:spacing w:val="-3"/>
          <w:sz w:val="22"/>
          <w:szCs w:val="22"/>
          <w:shd w:val="clear" w:color="auto" w:fill="FFFFFF"/>
        </w:rPr>
        <w:tab/>
      </w:r>
      <w:r w:rsidRPr="001C2D09" w:rsidR="00B4797B">
        <w:rPr>
          <w:spacing w:val="-3"/>
          <w:sz w:val="22"/>
          <w:szCs w:val="22"/>
          <w:shd w:val="clear" w:color="auto" w:fill="FFFFFF"/>
        </w:rPr>
        <w:t xml:space="preserve">147 </w:t>
      </w:r>
      <w:r w:rsidRPr="001C2D09" w:rsidR="00EB53F3">
        <w:rPr>
          <w:spacing w:val="-3"/>
          <w:sz w:val="22"/>
          <w:szCs w:val="22"/>
          <w:shd w:val="clear" w:color="auto" w:fill="FFFFFF"/>
        </w:rPr>
        <w:t xml:space="preserve">respondents x </w:t>
      </w:r>
      <w:r w:rsidRPr="001C2D09" w:rsidR="00B4797B">
        <w:rPr>
          <w:spacing w:val="-3"/>
          <w:sz w:val="22"/>
          <w:szCs w:val="22"/>
          <w:shd w:val="clear" w:color="auto" w:fill="FFFFFF"/>
        </w:rPr>
        <w:t>2</w:t>
      </w:r>
      <w:r w:rsidRPr="001C2D09" w:rsidR="00EB53F3">
        <w:rPr>
          <w:spacing w:val="-3"/>
          <w:sz w:val="22"/>
          <w:szCs w:val="22"/>
          <w:shd w:val="clear" w:color="auto" w:fill="FFFFFF"/>
        </w:rPr>
        <w:t xml:space="preserve"> </w:t>
      </w:r>
      <w:r w:rsidRPr="001C2D09" w:rsidR="003806F2">
        <w:rPr>
          <w:spacing w:val="-3"/>
          <w:sz w:val="22"/>
          <w:szCs w:val="22"/>
          <w:shd w:val="clear" w:color="auto" w:fill="FFFFFF"/>
        </w:rPr>
        <w:t>hours</w:t>
      </w:r>
      <w:r w:rsidRPr="001C2D09" w:rsidR="00EB53F3">
        <w:rPr>
          <w:spacing w:val="-3"/>
          <w:sz w:val="22"/>
          <w:szCs w:val="22"/>
          <w:shd w:val="clear" w:color="auto" w:fill="FFFFFF"/>
        </w:rPr>
        <w:t>/</w:t>
      </w:r>
      <w:r w:rsidRPr="001C2D09" w:rsidR="00535880">
        <w:rPr>
          <w:spacing w:val="-3"/>
          <w:sz w:val="22"/>
          <w:szCs w:val="22"/>
          <w:shd w:val="clear" w:color="auto" w:fill="FFFFFF"/>
        </w:rPr>
        <w:t xml:space="preserve">recordkeeping </w:t>
      </w:r>
      <w:r w:rsidRPr="001C2D09" w:rsidR="00F0620F">
        <w:rPr>
          <w:spacing w:val="-3"/>
          <w:sz w:val="22"/>
          <w:szCs w:val="22"/>
          <w:shd w:val="clear" w:color="auto" w:fill="FFFFFF"/>
        </w:rPr>
        <w:t xml:space="preserve">for CPNI status </w:t>
      </w:r>
      <w:r w:rsidRPr="001C2D09">
        <w:rPr>
          <w:spacing w:val="-3"/>
          <w:sz w:val="22"/>
          <w:szCs w:val="22"/>
          <w:shd w:val="clear" w:color="auto" w:fill="FFFFFF"/>
        </w:rPr>
        <w:t>x $</w:t>
      </w:r>
      <w:r w:rsidRPr="001C2D09" w:rsidR="00CA1AAA">
        <w:rPr>
          <w:spacing w:val="-3"/>
          <w:sz w:val="22"/>
          <w:szCs w:val="22"/>
          <w:shd w:val="clear" w:color="auto" w:fill="FFFFFF"/>
        </w:rPr>
        <w:t>53.87</w:t>
      </w:r>
      <w:r w:rsidRPr="001C2D09" w:rsidR="00535880">
        <w:rPr>
          <w:spacing w:val="-3"/>
          <w:sz w:val="22"/>
          <w:szCs w:val="22"/>
          <w:shd w:val="clear" w:color="auto" w:fill="FFFFFF"/>
        </w:rPr>
        <w:t>/hour</w:t>
      </w:r>
      <w:r w:rsidRPr="001C2D09">
        <w:rPr>
          <w:spacing w:val="-3"/>
          <w:sz w:val="22"/>
          <w:szCs w:val="22"/>
          <w:shd w:val="clear" w:color="auto" w:fill="FFFFFF"/>
        </w:rPr>
        <w:t xml:space="preserve"> = $</w:t>
      </w:r>
      <w:r w:rsidRPr="001C2D09" w:rsidR="00CA1AAA">
        <w:rPr>
          <w:spacing w:val="-3"/>
          <w:sz w:val="22"/>
          <w:szCs w:val="22"/>
          <w:shd w:val="clear" w:color="auto" w:fill="FFFFFF"/>
        </w:rPr>
        <w:t>15,838</w:t>
      </w:r>
    </w:p>
    <w:p w:rsidR="00F27024" w:rsidRPr="001C2D09" w:rsidP="0077092A" w14:paraId="2865ED94" w14:textId="60B45E98">
      <w:pPr>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sidR="0072143D">
        <w:rPr>
          <w:spacing w:val="-3"/>
          <w:sz w:val="22"/>
          <w:szCs w:val="22"/>
          <w:shd w:val="clear" w:color="auto" w:fill="FFFFFF"/>
        </w:rPr>
        <w:t xml:space="preserve"> </w:t>
      </w:r>
      <w:r w:rsidRPr="001C2D09">
        <w:rPr>
          <w:spacing w:val="-3"/>
          <w:sz w:val="22"/>
          <w:szCs w:val="22"/>
          <w:shd w:val="clear" w:color="auto" w:fill="FFFFFF"/>
        </w:rPr>
        <w:t xml:space="preserve">30% overhead </w:t>
      </w:r>
      <w:r w:rsidRPr="001C2D09" w:rsidR="00CA1AAA">
        <w:rPr>
          <w:spacing w:val="-3"/>
          <w:sz w:val="22"/>
          <w:szCs w:val="22"/>
          <w:shd w:val="clear" w:color="auto" w:fill="FFFFFF"/>
        </w:rPr>
        <w:t xml:space="preserve">  </w:t>
      </w:r>
      <w:r w:rsidRPr="001C2D09">
        <w:rPr>
          <w:spacing w:val="-3"/>
          <w:sz w:val="22"/>
          <w:szCs w:val="22"/>
          <w:u w:val="single"/>
          <w:shd w:val="clear" w:color="auto" w:fill="FFFFFF"/>
        </w:rPr>
        <w:t>$</w:t>
      </w:r>
      <w:r w:rsidRPr="001C2D09" w:rsidR="008F1F2D">
        <w:rPr>
          <w:spacing w:val="-3"/>
          <w:sz w:val="22"/>
          <w:szCs w:val="22"/>
          <w:u w:val="single"/>
          <w:shd w:val="clear" w:color="auto" w:fill="FFFFFF"/>
        </w:rPr>
        <w:t>4,</w:t>
      </w:r>
      <w:r w:rsidRPr="001C2D09" w:rsidR="00CA1AAA">
        <w:rPr>
          <w:spacing w:val="-3"/>
          <w:sz w:val="22"/>
          <w:szCs w:val="22"/>
          <w:u w:val="single"/>
          <w:shd w:val="clear" w:color="auto" w:fill="FFFFFF"/>
        </w:rPr>
        <w:t>751</w:t>
      </w:r>
    </w:p>
    <w:p w:rsidR="000B37B4" w:rsidRPr="001C2D09" w:rsidP="00000E39" w14:paraId="69580D32" w14:textId="772DB2B9">
      <w:pPr>
        <w:spacing w:after="24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sidR="0072143D">
        <w:rPr>
          <w:spacing w:val="-3"/>
          <w:sz w:val="22"/>
          <w:szCs w:val="22"/>
          <w:shd w:val="clear" w:color="auto" w:fill="FFFFFF"/>
        </w:rPr>
        <w:t xml:space="preserve"> </w:t>
      </w:r>
      <w:r w:rsidRPr="001C2D09" w:rsidR="00180493">
        <w:rPr>
          <w:spacing w:val="-3"/>
          <w:sz w:val="22"/>
          <w:szCs w:val="22"/>
          <w:shd w:val="clear" w:color="auto" w:fill="FFFFFF"/>
        </w:rPr>
        <w:tab/>
      </w:r>
      <w:r w:rsidRPr="001C2D09" w:rsidR="00EB6346">
        <w:rPr>
          <w:spacing w:val="-3"/>
          <w:sz w:val="22"/>
          <w:szCs w:val="22"/>
          <w:shd w:val="clear" w:color="auto" w:fill="FFFFFF"/>
        </w:rPr>
        <w:t xml:space="preserve"> </w:t>
      </w:r>
      <w:r w:rsidRPr="001C2D09" w:rsidR="0072143D">
        <w:rPr>
          <w:spacing w:val="-3"/>
          <w:sz w:val="22"/>
          <w:szCs w:val="22"/>
          <w:shd w:val="clear" w:color="auto" w:fill="FFFFFF"/>
        </w:rPr>
        <w:t xml:space="preserve"> </w:t>
      </w:r>
      <w:r w:rsidRPr="001C2D09">
        <w:rPr>
          <w:spacing w:val="-3"/>
          <w:sz w:val="22"/>
          <w:szCs w:val="22"/>
          <w:shd w:val="clear" w:color="auto" w:fill="FFFFFF"/>
        </w:rPr>
        <w:t>Total</w:t>
      </w:r>
      <w:r w:rsidRPr="001C2D09" w:rsidR="002A6CA9">
        <w:rPr>
          <w:spacing w:val="-3"/>
          <w:sz w:val="22"/>
          <w:szCs w:val="22"/>
          <w:shd w:val="clear" w:color="auto" w:fill="FFFFFF"/>
        </w:rPr>
        <w:t>:</w:t>
      </w:r>
      <w:r w:rsidRPr="001C2D09">
        <w:rPr>
          <w:spacing w:val="-3"/>
          <w:sz w:val="22"/>
          <w:szCs w:val="22"/>
          <w:shd w:val="clear" w:color="auto" w:fill="FFFFFF"/>
        </w:rPr>
        <w:t xml:space="preserve"> </w:t>
      </w:r>
      <w:r w:rsidRPr="001C2D09" w:rsidR="001F5B22">
        <w:rPr>
          <w:spacing w:val="-3"/>
          <w:sz w:val="22"/>
          <w:szCs w:val="22"/>
          <w:shd w:val="clear" w:color="auto" w:fill="FFFFFF"/>
        </w:rPr>
        <w:t>$</w:t>
      </w:r>
      <w:r w:rsidRPr="001C2D09" w:rsidR="00CA1AAA">
        <w:rPr>
          <w:spacing w:val="-3"/>
          <w:sz w:val="22"/>
          <w:szCs w:val="22"/>
          <w:shd w:val="clear" w:color="auto" w:fill="FFFFFF"/>
        </w:rPr>
        <w:t>20,589</w:t>
      </w:r>
    </w:p>
    <w:p w:rsidR="00005848" w:rsidRPr="001C2D09" w:rsidP="00000E39" w14:paraId="658073E4" w14:textId="7299837A">
      <w:pPr>
        <w:spacing w:after="120"/>
        <w:rPr>
          <w:b/>
          <w:bCs/>
          <w:spacing w:val="-3"/>
          <w:sz w:val="22"/>
          <w:szCs w:val="22"/>
          <w:shd w:val="clear" w:color="auto" w:fill="FFFFFF"/>
        </w:rPr>
      </w:pPr>
      <w:r>
        <w:rPr>
          <w:b/>
          <w:bCs/>
          <w:spacing w:val="-3"/>
          <w:sz w:val="22"/>
          <w:szCs w:val="22"/>
          <w:shd w:val="clear" w:color="auto" w:fill="FFFFFF"/>
        </w:rPr>
        <w:t>(</w:t>
      </w:r>
      <w:r w:rsidRPr="001C2D09" w:rsidR="001D25CE">
        <w:rPr>
          <w:b/>
          <w:bCs/>
          <w:spacing w:val="-3"/>
          <w:sz w:val="22"/>
          <w:szCs w:val="22"/>
          <w:shd w:val="clear" w:color="auto" w:fill="FFFFFF"/>
        </w:rPr>
        <w:t>c</w:t>
      </w:r>
      <w:r>
        <w:rPr>
          <w:b/>
          <w:bCs/>
          <w:spacing w:val="-3"/>
          <w:sz w:val="22"/>
          <w:szCs w:val="22"/>
          <w:shd w:val="clear" w:color="auto" w:fill="FFFFFF"/>
        </w:rPr>
        <w:t>)</w:t>
      </w:r>
      <w:r w:rsidRPr="001C2D09" w:rsidR="001D25CE">
        <w:rPr>
          <w:b/>
          <w:bCs/>
          <w:spacing w:val="-3"/>
          <w:sz w:val="22"/>
          <w:szCs w:val="22"/>
          <w:shd w:val="clear" w:color="auto" w:fill="FFFFFF"/>
        </w:rPr>
        <w:tab/>
        <w:t>Notification</w:t>
      </w:r>
      <w:r w:rsidRPr="001C2D09" w:rsidR="008D3850">
        <w:rPr>
          <w:b/>
          <w:bCs/>
          <w:spacing w:val="-3"/>
          <w:sz w:val="22"/>
          <w:szCs w:val="22"/>
          <w:shd w:val="clear" w:color="auto" w:fill="FFFFFF"/>
        </w:rPr>
        <w:t xml:space="preserve"> </w:t>
      </w:r>
      <w:r w:rsidRPr="001C2D09" w:rsidR="001D25CE">
        <w:rPr>
          <w:b/>
          <w:bCs/>
          <w:spacing w:val="-3"/>
          <w:sz w:val="22"/>
          <w:szCs w:val="22"/>
          <w:shd w:val="clear" w:color="auto" w:fill="FFFFFF"/>
        </w:rPr>
        <w:t>of CPNI Rights Requirement.</w:t>
      </w:r>
    </w:p>
    <w:p w:rsidR="00DB66E2" w:rsidRPr="001C2D09" w:rsidP="0077092A" w14:paraId="4A912569" w14:textId="5793CC25">
      <w:pPr>
        <w:rPr>
          <w:spacing w:val="-3"/>
          <w:sz w:val="22"/>
          <w:szCs w:val="22"/>
          <w:shd w:val="clear" w:color="auto" w:fill="FFFFFF"/>
        </w:rPr>
      </w:pPr>
      <w:r w:rsidRPr="001C2D09">
        <w:rPr>
          <w:spacing w:val="-3"/>
          <w:sz w:val="22"/>
          <w:szCs w:val="22"/>
          <w:shd w:val="clear" w:color="auto" w:fill="FFFFFF"/>
        </w:rPr>
        <w:tab/>
      </w:r>
      <w:r w:rsidRPr="001C2D09" w:rsidR="00005848">
        <w:rPr>
          <w:spacing w:val="-3"/>
          <w:sz w:val="22"/>
          <w:szCs w:val="22"/>
          <w:shd w:val="clear" w:color="auto" w:fill="FFFFFF"/>
        </w:rPr>
        <w:t>(1)</w:t>
      </w:r>
      <w:r w:rsidRPr="001C2D09" w:rsidR="00005848">
        <w:rPr>
          <w:spacing w:val="-3"/>
          <w:sz w:val="22"/>
          <w:szCs w:val="22"/>
          <w:shd w:val="clear" w:color="auto" w:fill="FFFFFF"/>
        </w:rPr>
        <w:tab/>
        <w:t xml:space="preserve">Number of </w:t>
      </w:r>
      <w:r w:rsidRPr="001C2D09" w:rsidR="00AD43CC">
        <w:rPr>
          <w:spacing w:val="-3"/>
          <w:sz w:val="22"/>
          <w:szCs w:val="22"/>
          <w:shd w:val="clear" w:color="auto" w:fill="FFFFFF"/>
        </w:rPr>
        <w:t>R</w:t>
      </w:r>
      <w:r w:rsidRPr="001C2D09" w:rsidR="00005848">
        <w:rPr>
          <w:spacing w:val="-3"/>
          <w:sz w:val="22"/>
          <w:szCs w:val="22"/>
          <w:shd w:val="clear" w:color="auto" w:fill="FFFFFF"/>
        </w:rPr>
        <w:t xml:space="preserve">espondents: </w:t>
      </w:r>
      <w:r w:rsidRPr="001C2D09">
        <w:rPr>
          <w:spacing w:val="-3"/>
          <w:sz w:val="22"/>
          <w:szCs w:val="22"/>
          <w:shd w:val="clear" w:color="auto" w:fill="FFFFFF"/>
        </w:rPr>
        <w:t xml:space="preserve"> </w:t>
      </w:r>
      <w:r w:rsidRPr="001C2D09" w:rsidR="00DA546B">
        <w:rPr>
          <w:spacing w:val="-3"/>
          <w:sz w:val="22"/>
          <w:szCs w:val="22"/>
          <w:shd w:val="clear" w:color="auto" w:fill="FFFFFF"/>
        </w:rPr>
        <w:t>2,935</w:t>
      </w:r>
    </w:p>
    <w:p w:rsidR="00CE2520" w:rsidRPr="001C2D09" w:rsidP="0077092A" w14:paraId="0FAD1615" w14:textId="22528355">
      <w:pPr>
        <w:rPr>
          <w:spacing w:val="-3"/>
          <w:sz w:val="22"/>
          <w:szCs w:val="22"/>
          <w:shd w:val="clear" w:color="auto" w:fill="FFFFFF"/>
        </w:rPr>
      </w:pPr>
      <w:r w:rsidRPr="001C2D09">
        <w:rPr>
          <w:spacing w:val="-3"/>
          <w:sz w:val="22"/>
          <w:szCs w:val="22"/>
          <w:shd w:val="clear" w:color="auto" w:fill="FFFFFF"/>
        </w:rPr>
        <w:tab/>
        <w:t>(2)</w:t>
      </w:r>
      <w:r w:rsidRPr="001C2D09">
        <w:rPr>
          <w:spacing w:val="-3"/>
          <w:sz w:val="22"/>
          <w:szCs w:val="22"/>
          <w:shd w:val="clear" w:color="auto" w:fill="FFFFFF"/>
        </w:rPr>
        <w:tab/>
        <w:t xml:space="preserve">Frequency of </w:t>
      </w:r>
      <w:r w:rsidRPr="001C2D09" w:rsidR="008173E9">
        <w:rPr>
          <w:spacing w:val="-3"/>
          <w:sz w:val="22"/>
          <w:szCs w:val="22"/>
          <w:shd w:val="clear" w:color="auto" w:fill="FFFFFF"/>
        </w:rPr>
        <w:t>R</w:t>
      </w:r>
      <w:r w:rsidRPr="001C2D09">
        <w:rPr>
          <w:spacing w:val="-3"/>
          <w:sz w:val="22"/>
          <w:szCs w:val="22"/>
          <w:shd w:val="clear" w:color="auto" w:fill="FFFFFF"/>
        </w:rPr>
        <w:t>esponse:  One</w:t>
      </w:r>
      <w:r w:rsidRPr="001C2D09" w:rsidR="00663ED1">
        <w:rPr>
          <w:spacing w:val="-3"/>
          <w:sz w:val="22"/>
          <w:szCs w:val="22"/>
          <w:shd w:val="clear" w:color="auto" w:fill="FFFFFF"/>
        </w:rPr>
        <w:t>-</w:t>
      </w:r>
      <w:r w:rsidRPr="001C2D09">
        <w:rPr>
          <w:spacing w:val="-3"/>
          <w:sz w:val="22"/>
          <w:szCs w:val="22"/>
          <w:shd w:val="clear" w:color="auto" w:fill="FFFFFF"/>
        </w:rPr>
        <w:t xml:space="preserve">time notification </w:t>
      </w:r>
      <w:r w:rsidRPr="001C2D09" w:rsidR="00CC3AAF">
        <w:rPr>
          <w:spacing w:val="-3"/>
          <w:sz w:val="22"/>
          <w:szCs w:val="22"/>
          <w:shd w:val="clear" w:color="auto" w:fill="FFFFFF"/>
        </w:rPr>
        <w:t xml:space="preserve">reporting </w:t>
      </w:r>
      <w:r w:rsidRPr="001C2D09">
        <w:rPr>
          <w:spacing w:val="-3"/>
          <w:sz w:val="22"/>
          <w:szCs w:val="22"/>
          <w:shd w:val="clear" w:color="auto" w:fill="FFFFFF"/>
        </w:rPr>
        <w:t xml:space="preserve">requirement.  The timing of this notification is at the discretion of the carrier or provider.  </w:t>
      </w:r>
    </w:p>
    <w:p w:rsidR="00AD43CC" w:rsidRPr="001C2D09" w:rsidP="00420AC8" w14:paraId="4EF5D868" w14:textId="2FC2F27F">
      <w:pPr>
        <w:spacing w:after="120"/>
        <w:rPr>
          <w:spacing w:val="-3"/>
          <w:sz w:val="22"/>
          <w:szCs w:val="22"/>
          <w:shd w:val="clear" w:color="auto" w:fill="FFFFFF"/>
        </w:rPr>
      </w:pPr>
      <w:r w:rsidRPr="001C2D09">
        <w:rPr>
          <w:spacing w:val="-3"/>
          <w:sz w:val="22"/>
          <w:szCs w:val="22"/>
          <w:shd w:val="clear" w:color="auto" w:fill="FFFFFF"/>
        </w:rPr>
        <w:tab/>
      </w:r>
      <w:r w:rsidRPr="001C2D09" w:rsidR="00005848">
        <w:rPr>
          <w:spacing w:val="-3"/>
          <w:sz w:val="22"/>
          <w:szCs w:val="22"/>
          <w:shd w:val="clear" w:color="auto" w:fill="FFFFFF"/>
        </w:rPr>
        <w:t>(</w:t>
      </w:r>
      <w:r w:rsidRPr="001C2D09" w:rsidR="00CE2520">
        <w:rPr>
          <w:spacing w:val="-3"/>
          <w:sz w:val="22"/>
          <w:szCs w:val="22"/>
          <w:shd w:val="clear" w:color="auto" w:fill="FFFFFF"/>
        </w:rPr>
        <w:t>3</w:t>
      </w:r>
      <w:r w:rsidRPr="001C2D09" w:rsidR="00005848">
        <w:rPr>
          <w:spacing w:val="-3"/>
          <w:sz w:val="22"/>
          <w:szCs w:val="22"/>
          <w:shd w:val="clear" w:color="auto" w:fill="FFFFFF"/>
        </w:rPr>
        <w:t>)</w:t>
      </w:r>
      <w:r w:rsidRPr="001C2D09">
        <w:rPr>
          <w:spacing w:val="-3"/>
          <w:sz w:val="22"/>
          <w:szCs w:val="22"/>
          <w:shd w:val="clear" w:color="auto" w:fill="FFFFFF"/>
        </w:rPr>
        <w:tab/>
        <w:t xml:space="preserve">Total Number of Responses Annually:  </w:t>
      </w:r>
      <w:r w:rsidRPr="001C2D09" w:rsidR="00D11BAE">
        <w:rPr>
          <w:spacing w:val="-3"/>
          <w:sz w:val="22"/>
          <w:szCs w:val="22"/>
          <w:shd w:val="clear" w:color="auto" w:fill="FFFFFF"/>
        </w:rPr>
        <w:t>2,935</w:t>
      </w:r>
      <w:r w:rsidRPr="001C2D09" w:rsidR="00744E01">
        <w:rPr>
          <w:spacing w:val="-3"/>
          <w:sz w:val="22"/>
          <w:szCs w:val="22"/>
          <w:shd w:val="clear" w:color="auto" w:fill="FFFFFF"/>
        </w:rPr>
        <w:t xml:space="preserve"> </w:t>
      </w:r>
      <w:r w:rsidRPr="001C2D09" w:rsidR="00CC3AAF">
        <w:rPr>
          <w:spacing w:val="-3"/>
          <w:sz w:val="22"/>
          <w:szCs w:val="22"/>
          <w:shd w:val="clear" w:color="auto" w:fill="FFFFFF"/>
        </w:rPr>
        <w:t>responses (reporting requirement)</w:t>
      </w:r>
    </w:p>
    <w:p w:rsidR="007D36A4" w:rsidRPr="001C2D09" w:rsidP="00420AC8" w14:paraId="5676F927" w14:textId="6C23A812">
      <w:pPr>
        <w:spacing w:after="120"/>
        <w:rPr>
          <w:spacing w:val="-3"/>
          <w:sz w:val="22"/>
          <w:szCs w:val="22"/>
          <w:shd w:val="clear" w:color="auto" w:fill="FFFFFF"/>
        </w:rPr>
      </w:pPr>
      <w:r w:rsidRPr="001C2D09">
        <w:rPr>
          <w:spacing w:val="-3"/>
          <w:sz w:val="22"/>
          <w:szCs w:val="22"/>
          <w:shd w:val="clear" w:color="auto" w:fill="FFFFFF"/>
        </w:rPr>
        <w:tab/>
      </w:r>
      <w:r w:rsidRPr="001C2D09" w:rsidR="00D11BAE">
        <w:rPr>
          <w:spacing w:val="-3"/>
          <w:sz w:val="22"/>
          <w:szCs w:val="22"/>
          <w:shd w:val="clear" w:color="auto" w:fill="FFFFFF"/>
        </w:rPr>
        <w:t>2,935</w:t>
      </w:r>
      <w:r w:rsidRPr="001C2D09">
        <w:rPr>
          <w:spacing w:val="-3"/>
          <w:sz w:val="22"/>
          <w:szCs w:val="22"/>
          <w:shd w:val="clear" w:color="auto" w:fill="FFFFFF"/>
        </w:rPr>
        <w:t xml:space="preserve"> respondents x 1 </w:t>
      </w:r>
      <w:r w:rsidRPr="001C2D09" w:rsidR="00BA6E77">
        <w:rPr>
          <w:spacing w:val="-3"/>
          <w:sz w:val="22"/>
          <w:szCs w:val="22"/>
          <w:shd w:val="clear" w:color="auto" w:fill="FFFFFF"/>
        </w:rPr>
        <w:t>response/</w:t>
      </w:r>
      <w:r w:rsidRPr="001C2D09" w:rsidR="008173E9">
        <w:rPr>
          <w:spacing w:val="-3"/>
          <w:sz w:val="22"/>
          <w:szCs w:val="22"/>
          <w:shd w:val="clear" w:color="auto" w:fill="FFFFFF"/>
        </w:rPr>
        <w:t>notification</w:t>
      </w:r>
      <w:r w:rsidRPr="001C2D09" w:rsidR="00BA6E77">
        <w:rPr>
          <w:spacing w:val="-3"/>
          <w:sz w:val="22"/>
          <w:szCs w:val="22"/>
          <w:shd w:val="clear" w:color="auto" w:fill="FFFFFF"/>
        </w:rPr>
        <w:t xml:space="preserve"> design and sent to customers =</w:t>
      </w:r>
      <w:r w:rsidRPr="001C2D09">
        <w:rPr>
          <w:spacing w:val="-3"/>
          <w:sz w:val="22"/>
          <w:szCs w:val="22"/>
          <w:shd w:val="clear" w:color="auto" w:fill="FFFFFF"/>
        </w:rPr>
        <w:t xml:space="preserve"> </w:t>
      </w:r>
      <w:r w:rsidRPr="001C2D09" w:rsidR="00D11BAE">
        <w:rPr>
          <w:spacing w:val="-3"/>
          <w:sz w:val="22"/>
          <w:szCs w:val="22"/>
          <w:shd w:val="clear" w:color="auto" w:fill="FFFFFF"/>
        </w:rPr>
        <w:t>2,935</w:t>
      </w:r>
      <w:r w:rsidRPr="001C2D09">
        <w:rPr>
          <w:spacing w:val="-3"/>
          <w:sz w:val="22"/>
          <w:szCs w:val="22"/>
          <w:shd w:val="clear" w:color="auto" w:fill="FFFFFF"/>
        </w:rPr>
        <w:t xml:space="preserve"> responses</w:t>
      </w:r>
    </w:p>
    <w:p w:rsidR="00497C62" w:rsidRPr="001C2D09" w:rsidP="00000E39" w14:paraId="3B425E34" w14:textId="1B527547">
      <w:pPr>
        <w:spacing w:after="120"/>
        <w:rPr>
          <w:spacing w:val="-3"/>
          <w:sz w:val="22"/>
          <w:szCs w:val="22"/>
          <w:shd w:val="clear" w:color="auto" w:fill="FFFFFF"/>
        </w:rPr>
      </w:pPr>
      <w:r w:rsidRPr="001C2D09">
        <w:rPr>
          <w:spacing w:val="-3"/>
          <w:sz w:val="22"/>
          <w:szCs w:val="22"/>
          <w:shd w:val="clear" w:color="auto" w:fill="FFFFFF"/>
        </w:rPr>
        <w:tab/>
      </w:r>
      <w:r w:rsidRPr="001C2D09" w:rsidR="00005848">
        <w:rPr>
          <w:spacing w:val="-3"/>
          <w:sz w:val="22"/>
          <w:szCs w:val="22"/>
          <w:shd w:val="clear" w:color="auto" w:fill="FFFFFF"/>
        </w:rPr>
        <w:t>(</w:t>
      </w:r>
      <w:r w:rsidRPr="001C2D09" w:rsidR="00072224">
        <w:rPr>
          <w:spacing w:val="-3"/>
          <w:sz w:val="22"/>
          <w:szCs w:val="22"/>
          <w:shd w:val="clear" w:color="auto" w:fill="FFFFFF"/>
        </w:rPr>
        <w:t>4</w:t>
      </w:r>
      <w:r w:rsidRPr="001C2D09" w:rsidR="00005848">
        <w:rPr>
          <w:spacing w:val="-3"/>
          <w:sz w:val="22"/>
          <w:szCs w:val="22"/>
          <w:shd w:val="clear" w:color="auto" w:fill="FFFFFF"/>
        </w:rPr>
        <w:t>)</w:t>
      </w:r>
      <w:r w:rsidRPr="001C2D09" w:rsidR="00005848">
        <w:rPr>
          <w:spacing w:val="-3"/>
          <w:sz w:val="22"/>
          <w:szCs w:val="22"/>
          <w:shd w:val="clear" w:color="auto" w:fill="FFFFFF"/>
        </w:rPr>
        <w:tab/>
      </w:r>
      <w:r w:rsidRPr="001C2D09" w:rsidR="00927FB5">
        <w:rPr>
          <w:spacing w:val="-3"/>
          <w:sz w:val="22"/>
          <w:szCs w:val="22"/>
          <w:shd w:val="clear" w:color="auto" w:fill="FFFFFF"/>
        </w:rPr>
        <w:t xml:space="preserve">Total </w:t>
      </w:r>
      <w:r w:rsidRPr="001C2D09" w:rsidR="00005848">
        <w:rPr>
          <w:spacing w:val="-3"/>
          <w:sz w:val="22"/>
          <w:szCs w:val="22"/>
          <w:shd w:val="clear" w:color="auto" w:fill="FFFFFF"/>
        </w:rPr>
        <w:t xml:space="preserve">Annual </w:t>
      </w:r>
      <w:r w:rsidRPr="001C2D09" w:rsidR="00927FB5">
        <w:rPr>
          <w:spacing w:val="-3"/>
          <w:sz w:val="22"/>
          <w:szCs w:val="22"/>
          <w:shd w:val="clear" w:color="auto" w:fill="FFFFFF"/>
        </w:rPr>
        <w:t>Hourly Burden</w:t>
      </w:r>
      <w:r w:rsidRPr="001C2D09" w:rsidR="00005848">
        <w:rPr>
          <w:spacing w:val="-3"/>
          <w:sz w:val="22"/>
          <w:szCs w:val="22"/>
          <w:shd w:val="clear" w:color="auto" w:fill="FFFFFF"/>
        </w:rPr>
        <w:t>:</w:t>
      </w:r>
      <w:r w:rsidRPr="001C2D09" w:rsidR="00ED06DE">
        <w:rPr>
          <w:spacing w:val="-3"/>
          <w:sz w:val="22"/>
          <w:szCs w:val="22"/>
          <w:shd w:val="clear" w:color="auto" w:fill="FFFFFF"/>
        </w:rPr>
        <w:t xml:space="preserve"> </w:t>
      </w:r>
      <w:r w:rsidRPr="001C2D09" w:rsidR="000D7B70">
        <w:rPr>
          <w:spacing w:val="-3"/>
          <w:sz w:val="22"/>
          <w:szCs w:val="22"/>
          <w:shd w:val="clear" w:color="auto" w:fill="FFFFFF"/>
        </w:rPr>
        <w:t>0</w:t>
      </w:r>
      <w:r w:rsidRPr="001C2D09" w:rsidR="008C0118">
        <w:rPr>
          <w:spacing w:val="-3"/>
          <w:sz w:val="22"/>
          <w:szCs w:val="22"/>
          <w:shd w:val="clear" w:color="auto" w:fill="FFFFFF"/>
        </w:rPr>
        <w:t xml:space="preserve"> </w:t>
      </w:r>
      <w:r w:rsidRPr="001C2D09">
        <w:rPr>
          <w:spacing w:val="-3"/>
          <w:sz w:val="22"/>
          <w:szCs w:val="22"/>
          <w:shd w:val="clear" w:color="auto" w:fill="FFFFFF"/>
        </w:rPr>
        <w:t>hours</w:t>
      </w:r>
    </w:p>
    <w:p w:rsidR="00005848" w:rsidRPr="001C2D09" w:rsidP="0026039C" w14:paraId="4FBDEA83" w14:textId="53659C0E">
      <w:pPr>
        <w:spacing w:after="120"/>
        <w:rPr>
          <w:spacing w:val="-3"/>
          <w:sz w:val="22"/>
          <w:szCs w:val="22"/>
          <w:shd w:val="clear" w:color="auto" w:fill="FFFFFF"/>
        </w:rPr>
      </w:pPr>
      <w:r w:rsidRPr="001C2D09">
        <w:rPr>
          <w:spacing w:val="-3"/>
          <w:sz w:val="22"/>
          <w:szCs w:val="22"/>
          <w:shd w:val="clear" w:color="auto" w:fill="FFFFFF"/>
        </w:rPr>
        <w:t xml:space="preserve">The Commission believes </w:t>
      </w:r>
      <w:r w:rsidRPr="001C2D09" w:rsidR="00E2372D">
        <w:rPr>
          <w:spacing w:val="-3"/>
          <w:sz w:val="22"/>
          <w:szCs w:val="22"/>
          <w:shd w:val="clear" w:color="auto" w:fill="FFFFFF"/>
        </w:rPr>
        <w:t>a</w:t>
      </w:r>
      <w:r w:rsidRPr="001C2D09">
        <w:rPr>
          <w:spacing w:val="-3"/>
          <w:sz w:val="22"/>
          <w:szCs w:val="22"/>
          <w:shd w:val="clear" w:color="auto" w:fill="FFFFFF"/>
        </w:rPr>
        <w:t xml:space="preserve"> respondent will</w:t>
      </w:r>
      <w:r w:rsidRPr="001C2D09" w:rsidR="00BF1CDA">
        <w:rPr>
          <w:spacing w:val="-3"/>
          <w:sz w:val="22"/>
          <w:szCs w:val="22"/>
          <w:shd w:val="clear" w:color="auto" w:fill="FFFFFF"/>
        </w:rPr>
        <w:t xml:space="preserve"> provide customers with their CPNI Rights at the same time at which the respondent solicits their </w:t>
      </w:r>
      <w:r w:rsidRPr="001C2D09" w:rsidR="00296989">
        <w:rPr>
          <w:spacing w:val="-3"/>
          <w:sz w:val="22"/>
          <w:szCs w:val="22"/>
          <w:shd w:val="clear" w:color="auto" w:fill="FFFFFF"/>
        </w:rPr>
        <w:t xml:space="preserve">CPNI approval.  As such, </w:t>
      </w:r>
      <w:r w:rsidRPr="001C2D09" w:rsidR="002321EE">
        <w:rPr>
          <w:spacing w:val="-3"/>
          <w:sz w:val="22"/>
          <w:szCs w:val="22"/>
          <w:shd w:val="clear" w:color="auto" w:fill="FFFFFF"/>
        </w:rPr>
        <w:t xml:space="preserve">any burden from Notification of CPNI Rights is subsumed </w:t>
      </w:r>
      <w:r w:rsidRPr="001C2D09" w:rsidR="007D429E">
        <w:rPr>
          <w:spacing w:val="-3"/>
          <w:sz w:val="22"/>
          <w:szCs w:val="22"/>
          <w:shd w:val="clear" w:color="auto" w:fill="FFFFFF"/>
        </w:rPr>
        <w:t xml:space="preserve">within </w:t>
      </w:r>
      <w:r w:rsidRPr="001C2D09" w:rsidR="00296989">
        <w:rPr>
          <w:spacing w:val="-3"/>
          <w:sz w:val="22"/>
          <w:szCs w:val="22"/>
          <w:shd w:val="clear" w:color="auto" w:fill="FFFFFF"/>
        </w:rPr>
        <w:t xml:space="preserve">the automated system </w:t>
      </w:r>
      <w:r w:rsidRPr="001C2D09" w:rsidR="00667F9B">
        <w:rPr>
          <w:spacing w:val="-3"/>
          <w:sz w:val="22"/>
          <w:szCs w:val="22"/>
          <w:shd w:val="clear" w:color="auto" w:fill="FFFFFF"/>
        </w:rPr>
        <w:t xml:space="preserve">and </w:t>
      </w:r>
      <w:r w:rsidRPr="001C2D09" w:rsidR="007D429E">
        <w:rPr>
          <w:spacing w:val="-3"/>
          <w:sz w:val="22"/>
          <w:szCs w:val="22"/>
          <w:shd w:val="clear" w:color="auto" w:fill="FFFFFF"/>
        </w:rPr>
        <w:t xml:space="preserve">notification </w:t>
      </w:r>
      <w:r w:rsidRPr="001C2D09" w:rsidR="00296989">
        <w:rPr>
          <w:spacing w:val="-3"/>
          <w:sz w:val="22"/>
          <w:szCs w:val="22"/>
          <w:shd w:val="clear" w:color="auto" w:fill="FFFFFF"/>
        </w:rPr>
        <w:t xml:space="preserve">devised in part (a) </w:t>
      </w:r>
      <w:r w:rsidRPr="001C2D09" w:rsidR="00667F9B">
        <w:rPr>
          <w:spacing w:val="-3"/>
          <w:sz w:val="22"/>
          <w:szCs w:val="22"/>
          <w:shd w:val="clear" w:color="auto" w:fill="FFFFFF"/>
        </w:rPr>
        <w:t>Customer Approval</w:t>
      </w:r>
      <w:r w:rsidRPr="001C2D09" w:rsidR="007D429E">
        <w:rPr>
          <w:spacing w:val="-3"/>
          <w:sz w:val="22"/>
          <w:szCs w:val="22"/>
          <w:shd w:val="clear" w:color="auto" w:fill="FFFFFF"/>
        </w:rPr>
        <w:t>.</w:t>
      </w:r>
      <w:r w:rsidRPr="001C2D09" w:rsidR="00667F9B">
        <w:rPr>
          <w:spacing w:val="-3"/>
          <w:sz w:val="22"/>
          <w:szCs w:val="22"/>
          <w:shd w:val="clear" w:color="auto" w:fill="FFFFFF"/>
        </w:rPr>
        <w:t xml:space="preserve"> </w:t>
      </w:r>
      <w:r w:rsidRPr="001C2D09" w:rsidR="007D429E">
        <w:rPr>
          <w:spacing w:val="-3"/>
          <w:sz w:val="22"/>
          <w:szCs w:val="22"/>
          <w:shd w:val="clear" w:color="auto" w:fill="FFFFFF"/>
        </w:rPr>
        <w:t xml:space="preserve"> </w:t>
      </w:r>
      <w:r w:rsidRPr="001C2D09" w:rsidR="00E2372D">
        <w:rPr>
          <w:spacing w:val="-3"/>
          <w:sz w:val="22"/>
          <w:szCs w:val="22"/>
          <w:shd w:val="clear" w:color="auto" w:fill="FFFFFF"/>
        </w:rPr>
        <w:t>This results in</w:t>
      </w:r>
      <w:r w:rsidRPr="001C2D09" w:rsidR="007A6186">
        <w:rPr>
          <w:spacing w:val="-3"/>
          <w:sz w:val="22"/>
          <w:szCs w:val="22"/>
          <w:shd w:val="clear" w:color="auto" w:fill="FFFFFF"/>
        </w:rPr>
        <w:t xml:space="preserve"> this subsection</w:t>
      </w:r>
      <w:r w:rsidRPr="001C2D09" w:rsidR="00317A2F">
        <w:rPr>
          <w:spacing w:val="-3"/>
          <w:sz w:val="22"/>
          <w:szCs w:val="22"/>
          <w:shd w:val="clear" w:color="auto" w:fill="FFFFFF"/>
        </w:rPr>
        <w:t>, Notification of CPNI Rights, having</w:t>
      </w:r>
      <w:r w:rsidRPr="001C2D09" w:rsidR="00E2372D">
        <w:rPr>
          <w:spacing w:val="-3"/>
          <w:sz w:val="22"/>
          <w:szCs w:val="22"/>
          <w:shd w:val="clear" w:color="auto" w:fill="FFFFFF"/>
        </w:rPr>
        <w:t xml:space="preserve"> an annual hourly burden of zero. </w:t>
      </w:r>
    </w:p>
    <w:p w:rsidR="00637433" w:rsidRPr="001C2D09" w:rsidP="00000E39" w14:paraId="30B72EE0" w14:textId="7C20B194">
      <w:pPr>
        <w:spacing w:after="120"/>
        <w:rPr>
          <w:spacing w:val="-3"/>
          <w:sz w:val="22"/>
          <w:szCs w:val="22"/>
          <w:shd w:val="clear" w:color="auto" w:fill="FFFFFF"/>
        </w:rPr>
      </w:pPr>
      <w:r w:rsidRPr="001C2D09">
        <w:rPr>
          <w:spacing w:val="-3"/>
          <w:sz w:val="22"/>
          <w:szCs w:val="22"/>
          <w:shd w:val="clear" w:color="auto" w:fill="FFFFFF"/>
        </w:rPr>
        <w:tab/>
      </w:r>
      <w:r w:rsidRPr="001C2D09" w:rsidR="00005848">
        <w:rPr>
          <w:spacing w:val="-3"/>
          <w:sz w:val="22"/>
          <w:szCs w:val="22"/>
          <w:shd w:val="clear" w:color="auto" w:fill="FFFFFF"/>
        </w:rPr>
        <w:t>(</w:t>
      </w:r>
      <w:r w:rsidRPr="001C2D09" w:rsidR="00FB1754">
        <w:rPr>
          <w:spacing w:val="-3"/>
          <w:sz w:val="22"/>
          <w:szCs w:val="22"/>
          <w:shd w:val="clear" w:color="auto" w:fill="FFFFFF"/>
        </w:rPr>
        <w:t>5</w:t>
      </w:r>
      <w:r w:rsidRPr="001C2D09" w:rsidR="00005848">
        <w:rPr>
          <w:spacing w:val="-3"/>
          <w:sz w:val="22"/>
          <w:szCs w:val="22"/>
          <w:shd w:val="clear" w:color="auto" w:fill="FFFFFF"/>
        </w:rPr>
        <w:t>)</w:t>
      </w:r>
      <w:r w:rsidRPr="001C2D09" w:rsidR="00005848">
        <w:rPr>
          <w:spacing w:val="-3"/>
          <w:sz w:val="22"/>
          <w:szCs w:val="22"/>
          <w:shd w:val="clear" w:color="auto" w:fill="FFFFFF"/>
        </w:rPr>
        <w:tab/>
      </w:r>
      <w:r w:rsidRPr="001C2D09" w:rsidR="00F71957">
        <w:rPr>
          <w:spacing w:val="-3"/>
          <w:sz w:val="22"/>
          <w:szCs w:val="22"/>
          <w:shd w:val="clear" w:color="auto" w:fill="FFFFFF"/>
        </w:rPr>
        <w:t xml:space="preserve">Total “In House” Costs: </w:t>
      </w:r>
      <w:r w:rsidRPr="001C2D09" w:rsidR="00531D6F">
        <w:rPr>
          <w:spacing w:val="-3"/>
          <w:sz w:val="22"/>
          <w:szCs w:val="22"/>
          <w:shd w:val="clear" w:color="auto" w:fill="FFFFFF"/>
        </w:rPr>
        <w:t xml:space="preserve"> </w:t>
      </w:r>
      <w:r w:rsidRPr="001C2D09" w:rsidR="002569FA">
        <w:rPr>
          <w:spacing w:val="-3"/>
          <w:sz w:val="22"/>
          <w:szCs w:val="22"/>
          <w:shd w:val="clear" w:color="auto" w:fill="FFFFFF"/>
        </w:rPr>
        <w:t>$</w:t>
      </w:r>
      <w:r w:rsidRPr="001C2D09" w:rsidR="00707005">
        <w:rPr>
          <w:spacing w:val="-3"/>
          <w:sz w:val="22"/>
          <w:szCs w:val="22"/>
          <w:shd w:val="clear" w:color="auto" w:fill="FFFFFF"/>
        </w:rPr>
        <w:t>0</w:t>
      </w:r>
    </w:p>
    <w:p w:rsidR="00EF1EF6" w:rsidRPr="001C2D09" w:rsidP="0026039C" w14:paraId="14207110" w14:textId="34940D28">
      <w:pPr>
        <w:spacing w:after="120"/>
        <w:rPr>
          <w:b/>
          <w:bCs/>
          <w:spacing w:val="-3"/>
          <w:sz w:val="22"/>
          <w:szCs w:val="22"/>
          <w:shd w:val="clear" w:color="auto" w:fill="FFFFFF"/>
        </w:rPr>
      </w:pPr>
      <w:r w:rsidRPr="001C2D09">
        <w:rPr>
          <w:spacing w:val="-3"/>
          <w:sz w:val="22"/>
          <w:szCs w:val="22"/>
          <w:shd w:val="clear" w:color="auto" w:fill="FFFFFF"/>
        </w:rPr>
        <w:t xml:space="preserve">With no hourly burden, </w:t>
      </w:r>
      <w:r w:rsidRPr="001C2D09" w:rsidR="00E2372D">
        <w:rPr>
          <w:spacing w:val="-3"/>
          <w:sz w:val="22"/>
          <w:szCs w:val="22"/>
          <w:shd w:val="clear" w:color="auto" w:fill="FFFFFF"/>
        </w:rPr>
        <w:t xml:space="preserve">the Commission does not </w:t>
      </w:r>
      <w:r w:rsidRPr="001C2D09" w:rsidR="00EE6C10">
        <w:rPr>
          <w:spacing w:val="-3"/>
          <w:sz w:val="22"/>
          <w:szCs w:val="22"/>
          <w:shd w:val="clear" w:color="auto" w:fill="FFFFFF"/>
        </w:rPr>
        <w:t>anti</w:t>
      </w:r>
      <w:r w:rsidRPr="001C2D09" w:rsidR="00046B81">
        <w:rPr>
          <w:spacing w:val="-3"/>
          <w:sz w:val="22"/>
          <w:szCs w:val="22"/>
          <w:shd w:val="clear" w:color="auto" w:fill="FFFFFF"/>
        </w:rPr>
        <w:t>cipate</w:t>
      </w:r>
      <w:r w:rsidRPr="001C2D09" w:rsidR="0026039C">
        <w:rPr>
          <w:spacing w:val="-3"/>
          <w:sz w:val="22"/>
          <w:szCs w:val="22"/>
          <w:shd w:val="clear" w:color="auto" w:fill="FFFFFF"/>
        </w:rPr>
        <w:t xml:space="preserve"> </w:t>
      </w:r>
      <w:r w:rsidRPr="001C2D09" w:rsidR="00E2372D">
        <w:rPr>
          <w:spacing w:val="-3"/>
          <w:sz w:val="22"/>
          <w:szCs w:val="22"/>
          <w:shd w:val="clear" w:color="auto" w:fill="FFFFFF"/>
        </w:rPr>
        <w:t>any “In House” Costs</w:t>
      </w:r>
      <w:r w:rsidRPr="001C2D09" w:rsidR="00317A2F">
        <w:rPr>
          <w:spacing w:val="-3"/>
          <w:sz w:val="22"/>
          <w:szCs w:val="22"/>
          <w:shd w:val="clear" w:color="auto" w:fill="FFFFFF"/>
        </w:rPr>
        <w:t>.</w:t>
      </w:r>
      <w:r w:rsidRPr="001C2D09" w:rsidR="00E2372D">
        <w:rPr>
          <w:spacing w:val="-3"/>
          <w:sz w:val="22"/>
          <w:szCs w:val="22"/>
          <w:shd w:val="clear" w:color="auto" w:fill="FFFFFF"/>
        </w:rPr>
        <w:t xml:space="preserve"> </w:t>
      </w:r>
    </w:p>
    <w:p w:rsidR="00005848" w:rsidRPr="001C2D09" w:rsidP="00364052" w14:paraId="3DED6E05" w14:textId="53FF1539">
      <w:pPr>
        <w:spacing w:after="120"/>
        <w:rPr>
          <w:b/>
          <w:bCs/>
          <w:spacing w:val="-3"/>
          <w:sz w:val="22"/>
          <w:szCs w:val="22"/>
          <w:shd w:val="clear" w:color="auto" w:fill="FFFFFF"/>
        </w:rPr>
      </w:pPr>
      <w:r>
        <w:rPr>
          <w:b/>
          <w:bCs/>
          <w:spacing w:val="-3"/>
          <w:sz w:val="22"/>
          <w:szCs w:val="22"/>
          <w:shd w:val="clear" w:color="auto" w:fill="FFFFFF"/>
        </w:rPr>
        <w:t>(</w:t>
      </w:r>
      <w:r w:rsidRPr="001C2D09" w:rsidR="001D25CE">
        <w:rPr>
          <w:b/>
          <w:bCs/>
          <w:spacing w:val="-3"/>
          <w:sz w:val="22"/>
          <w:szCs w:val="22"/>
          <w:shd w:val="clear" w:color="auto" w:fill="FFFFFF"/>
        </w:rPr>
        <w:t>d</w:t>
      </w:r>
      <w:r>
        <w:rPr>
          <w:b/>
          <w:bCs/>
          <w:spacing w:val="-3"/>
          <w:sz w:val="22"/>
          <w:szCs w:val="22"/>
          <w:shd w:val="clear" w:color="auto" w:fill="FFFFFF"/>
        </w:rPr>
        <w:t>)</w:t>
      </w:r>
      <w:r w:rsidRPr="001C2D09" w:rsidR="001D25CE">
        <w:rPr>
          <w:b/>
          <w:bCs/>
          <w:spacing w:val="-3"/>
          <w:sz w:val="22"/>
          <w:szCs w:val="22"/>
          <w:shd w:val="clear" w:color="auto" w:fill="FFFFFF"/>
        </w:rPr>
        <w:tab/>
        <w:t>Notification Recordkeeping.</w:t>
      </w:r>
    </w:p>
    <w:p w:rsidR="00005848" w:rsidRPr="001C2D09" w:rsidP="0077092A" w14:paraId="6ED8786D" w14:textId="4151FDE8">
      <w:pPr>
        <w:rPr>
          <w:spacing w:val="-3"/>
          <w:sz w:val="22"/>
          <w:szCs w:val="22"/>
          <w:shd w:val="clear" w:color="auto" w:fill="FFFFFF"/>
        </w:rPr>
      </w:pPr>
      <w:r w:rsidRPr="001C2D09">
        <w:rPr>
          <w:spacing w:val="-3"/>
          <w:sz w:val="22"/>
          <w:szCs w:val="22"/>
          <w:shd w:val="clear" w:color="auto" w:fill="FFFFFF"/>
        </w:rPr>
        <w:tab/>
        <w:t>(1)</w:t>
      </w:r>
      <w:r w:rsidRPr="001C2D09">
        <w:rPr>
          <w:spacing w:val="-3"/>
          <w:sz w:val="22"/>
          <w:szCs w:val="22"/>
          <w:shd w:val="clear" w:color="auto" w:fill="FFFFFF"/>
        </w:rPr>
        <w:tab/>
        <w:t xml:space="preserve">Number of </w:t>
      </w:r>
      <w:r w:rsidRPr="001C2D09" w:rsidR="00D22107">
        <w:rPr>
          <w:spacing w:val="-3"/>
          <w:sz w:val="22"/>
          <w:szCs w:val="22"/>
          <w:shd w:val="clear" w:color="auto" w:fill="FFFFFF"/>
        </w:rPr>
        <w:t>R</w:t>
      </w:r>
      <w:r w:rsidRPr="001C2D09">
        <w:rPr>
          <w:spacing w:val="-3"/>
          <w:sz w:val="22"/>
          <w:szCs w:val="22"/>
          <w:shd w:val="clear" w:color="auto" w:fill="FFFFFF"/>
        </w:rPr>
        <w:t xml:space="preserve">espondents:  </w:t>
      </w:r>
      <w:r w:rsidRPr="001C2D09" w:rsidR="00896FFF">
        <w:rPr>
          <w:spacing w:val="-3"/>
          <w:sz w:val="22"/>
          <w:szCs w:val="22"/>
          <w:shd w:val="clear" w:color="auto" w:fill="FFFFFF"/>
        </w:rPr>
        <w:t xml:space="preserve"> 2,935</w:t>
      </w:r>
    </w:p>
    <w:p w:rsidR="0012638C" w:rsidRPr="001C2D09" w:rsidP="00E826EC" w14:paraId="2D8CFF6A" w14:textId="1BF9B830">
      <w:pPr>
        <w:rPr>
          <w:spacing w:val="-3"/>
          <w:sz w:val="22"/>
          <w:szCs w:val="22"/>
          <w:shd w:val="clear" w:color="auto" w:fill="FFFFFF"/>
        </w:rPr>
      </w:pPr>
      <w:r w:rsidRPr="001C2D09">
        <w:rPr>
          <w:spacing w:val="-3"/>
          <w:sz w:val="22"/>
          <w:szCs w:val="22"/>
          <w:shd w:val="clear" w:color="auto" w:fill="FFFFFF"/>
        </w:rPr>
        <w:tab/>
        <w:t>(2)</w:t>
      </w:r>
      <w:r w:rsidRPr="001C2D09">
        <w:rPr>
          <w:spacing w:val="-3"/>
          <w:sz w:val="22"/>
          <w:szCs w:val="22"/>
          <w:shd w:val="clear" w:color="auto" w:fill="FFFFFF"/>
        </w:rPr>
        <w:tab/>
        <w:t xml:space="preserve">Frequency of Response:  </w:t>
      </w:r>
      <w:r w:rsidRPr="001C2D09" w:rsidR="0004403B">
        <w:rPr>
          <w:spacing w:val="-3"/>
          <w:sz w:val="22"/>
          <w:szCs w:val="22"/>
          <w:shd w:val="clear" w:color="auto" w:fill="FFFFFF"/>
        </w:rPr>
        <w:t>R</w:t>
      </w:r>
      <w:r w:rsidRPr="001C2D09">
        <w:rPr>
          <w:spacing w:val="-3"/>
          <w:sz w:val="22"/>
          <w:szCs w:val="22"/>
          <w:shd w:val="clear" w:color="auto" w:fill="FFFFFF"/>
        </w:rPr>
        <w:t>ecordkeeping requirement</w:t>
      </w:r>
      <w:r w:rsidRPr="001C2D09" w:rsidR="0004403B">
        <w:rPr>
          <w:spacing w:val="-3"/>
          <w:sz w:val="22"/>
          <w:szCs w:val="22"/>
          <w:shd w:val="clear" w:color="auto" w:fill="FFFFFF"/>
        </w:rPr>
        <w:t xml:space="preserve"> </w:t>
      </w:r>
    </w:p>
    <w:p w:rsidR="00CB3FCD" w:rsidRPr="001C2D09" w:rsidP="00E826EC" w14:paraId="530B31CB" w14:textId="2205D5E9">
      <w:pPr>
        <w:spacing w:after="120"/>
        <w:rPr>
          <w:spacing w:val="-3"/>
          <w:sz w:val="22"/>
          <w:szCs w:val="22"/>
          <w:shd w:val="clear" w:color="auto" w:fill="FFFFFF"/>
        </w:rPr>
      </w:pPr>
      <w:r w:rsidRPr="001C2D09">
        <w:rPr>
          <w:spacing w:val="-3"/>
          <w:sz w:val="22"/>
          <w:szCs w:val="22"/>
          <w:shd w:val="clear" w:color="auto" w:fill="FFFFFF"/>
        </w:rPr>
        <w:tab/>
        <w:t>(</w:t>
      </w:r>
      <w:r w:rsidRPr="001C2D09" w:rsidR="0012638C">
        <w:rPr>
          <w:spacing w:val="-3"/>
          <w:sz w:val="22"/>
          <w:szCs w:val="22"/>
          <w:shd w:val="clear" w:color="auto" w:fill="FFFFFF"/>
        </w:rPr>
        <w:t>3</w:t>
      </w:r>
      <w:r w:rsidRPr="001C2D09">
        <w:rPr>
          <w:spacing w:val="-3"/>
          <w:sz w:val="22"/>
          <w:szCs w:val="22"/>
          <w:shd w:val="clear" w:color="auto" w:fill="FFFFFF"/>
        </w:rPr>
        <w:t>)</w:t>
      </w:r>
      <w:r w:rsidRPr="001C2D09">
        <w:rPr>
          <w:spacing w:val="-3"/>
          <w:sz w:val="22"/>
          <w:szCs w:val="22"/>
          <w:shd w:val="clear" w:color="auto" w:fill="FFFFFF"/>
        </w:rPr>
        <w:tab/>
        <w:t xml:space="preserve">Total Number of Responses Annually:  </w:t>
      </w:r>
      <w:r w:rsidRPr="001C2D09" w:rsidR="00896FFF">
        <w:rPr>
          <w:spacing w:val="-3"/>
          <w:sz w:val="22"/>
          <w:szCs w:val="22"/>
          <w:shd w:val="clear" w:color="auto" w:fill="FFFFFF"/>
        </w:rPr>
        <w:t xml:space="preserve">2,935 </w:t>
      </w:r>
      <w:r w:rsidRPr="001C2D09" w:rsidR="00002E58">
        <w:rPr>
          <w:spacing w:val="-3"/>
          <w:sz w:val="22"/>
          <w:szCs w:val="22"/>
          <w:shd w:val="clear" w:color="auto" w:fill="FFFFFF"/>
        </w:rPr>
        <w:t xml:space="preserve">responses </w:t>
      </w:r>
      <w:r w:rsidRPr="001C2D09" w:rsidR="00B95854">
        <w:rPr>
          <w:spacing w:val="-3"/>
          <w:sz w:val="22"/>
          <w:szCs w:val="22"/>
          <w:shd w:val="clear" w:color="auto" w:fill="FFFFFF"/>
        </w:rPr>
        <w:t>(recordkeeping requirement)</w:t>
      </w:r>
    </w:p>
    <w:p w:rsidR="00AE1D9E" w:rsidRPr="001C2D09" w:rsidP="00E826EC" w14:paraId="6C4503BB" w14:textId="435960B0">
      <w:pPr>
        <w:spacing w:after="120"/>
        <w:rPr>
          <w:spacing w:val="-3"/>
          <w:sz w:val="22"/>
          <w:szCs w:val="22"/>
          <w:shd w:val="clear" w:color="auto" w:fill="FFFFFF"/>
        </w:rPr>
      </w:pPr>
      <w:r w:rsidRPr="001C2D09">
        <w:rPr>
          <w:spacing w:val="-3"/>
          <w:sz w:val="22"/>
          <w:szCs w:val="22"/>
          <w:shd w:val="clear" w:color="auto" w:fill="FFFFFF"/>
        </w:rPr>
        <w:tab/>
      </w:r>
      <w:r w:rsidRPr="001C2D09" w:rsidR="00E826EC">
        <w:rPr>
          <w:spacing w:val="-3"/>
          <w:sz w:val="22"/>
          <w:szCs w:val="22"/>
          <w:shd w:val="clear" w:color="auto" w:fill="FFFFFF"/>
        </w:rPr>
        <w:tab/>
      </w:r>
      <w:r w:rsidRPr="001C2D09" w:rsidR="00A00717">
        <w:rPr>
          <w:spacing w:val="-3"/>
          <w:sz w:val="22"/>
          <w:szCs w:val="22"/>
          <w:shd w:val="clear" w:color="auto" w:fill="FFFFFF"/>
        </w:rPr>
        <w:t xml:space="preserve"> 2,935</w:t>
      </w:r>
      <w:r w:rsidRPr="001C2D09" w:rsidR="00744E01">
        <w:rPr>
          <w:spacing w:val="-3"/>
          <w:sz w:val="22"/>
          <w:szCs w:val="22"/>
          <w:shd w:val="clear" w:color="auto" w:fill="FFFFFF"/>
        </w:rPr>
        <w:t xml:space="preserve"> </w:t>
      </w:r>
      <w:r w:rsidRPr="001C2D09">
        <w:rPr>
          <w:spacing w:val="-3"/>
          <w:sz w:val="22"/>
          <w:szCs w:val="22"/>
          <w:shd w:val="clear" w:color="auto" w:fill="FFFFFF"/>
        </w:rPr>
        <w:t xml:space="preserve">respondents x 1 recordkeeping requirement = </w:t>
      </w:r>
      <w:r w:rsidRPr="001C2D09" w:rsidR="00A00717">
        <w:rPr>
          <w:spacing w:val="-3"/>
          <w:sz w:val="22"/>
          <w:szCs w:val="22"/>
          <w:shd w:val="clear" w:color="auto" w:fill="FFFFFF"/>
        </w:rPr>
        <w:t>2,935</w:t>
      </w:r>
      <w:r w:rsidRPr="001C2D09">
        <w:rPr>
          <w:spacing w:val="-3"/>
          <w:sz w:val="22"/>
          <w:szCs w:val="22"/>
          <w:shd w:val="clear" w:color="auto" w:fill="FFFFFF"/>
        </w:rPr>
        <w:t xml:space="preserve"> recordkeeping requirement</w:t>
      </w:r>
      <w:r w:rsidRPr="001C2D09" w:rsidR="00242172">
        <w:rPr>
          <w:spacing w:val="-3"/>
          <w:sz w:val="22"/>
          <w:szCs w:val="22"/>
          <w:shd w:val="clear" w:color="auto" w:fill="FFFFFF"/>
        </w:rPr>
        <w:t>s</w:t>
      </w:r>
    </w:p>
    <w:p w:rsidR="00752D7A" w:rsidRPr="001C2D09" w:rsidP="002B779B" w14:paraId="2E2D8051" w14:textId="4569E8AE">
      <w:pPr>
        <w:spacing w:after="120"/>
        <w:rPr>
          <w:spacing w:val="-3"/>
          <w:sz w:val="22"/>
          <w:szCs w:val="22"/>
          <w:shd w:val="clear" w:color="auto" w:fill="FFFFFF"/>
        </w:rPr>
      </w:pPr>
      <w:r w:rsidRPr="001C2D09">
        <w:rPr>
          <w:spacing w:val="-3"/>
          <w:sz w:val="22"/>
          <w:szCs w:val="22"/>
          <w:shd w:val="clear" w:color="auto" w:fill="FFFFFF"/>
        </w:rPr>
        <w:tab/>
      </w:r>
      <w:r w:rsidRPr="001C2D09" w:rsidR="00005848">
        <w:rPr>
          <w:spacing w:val="-3"/>
          <w:sz w:val="22"/>
          <w:szCs w:val="22"/>
          <w:shd w:val="clear" w:color="auto" w:fill="FFFFFF"/>
        </w:rPr>
        <w:t>(</w:t>
      </w:r>
      <w:r w:rsidRPr="001C2D09" w:rsidR="00DF5C59">
        <w:rPr>
          <w:spacing w:val="-3"/>
          <w:sz w:val="22"/>
          <w:szCs w:val="22"/>
          <w:shd w:val="clear" w:color="auto" w:fill="FFFFFF"/>
        </w:rPr>
        <w:t>4</w:t>
      </w:r>
      <w:r w:rsidRPr="001C2D09" w:rsidR="00005848">
        <w:rPr>
          <w:spacing w:val="-3"/>
          <w:sz w:val="22"/>
          <w:szCs w:val="22"/>
          <w:shd w:val="clear" w:color="auto" w:fill="FFFFFF"/>
        </w:rPr>
        <w:t>)</w:t>
      </w:r>
      <w:r w:rsidRPr="001C2D09">
        <w:rPr>
          <w:spacing w:val="-3"/>
          <w:sz w:val="22"/>
          <w:szCs w:val="22"/>
          <w:shd w:val="clear" w:color="auto" w:fill="FFFFFF"/>
        </w:rPr>
        <w:tab/>
      </w:r>
      <w:r w:rsidRPr="001C2D09" w:rsidR="00BA15BC">
        <w:rPr>
          <w:spacing w:val="-3"/>
          <w:sz w:val="22"/>
          <w:szCs w:val="22"/>
          <w:shd w:val="clear" w:color="auto" w:fill="FFFFFF"/>
        </w:rPr>
        <w:t xml:space="preserve">Total </w:t>
      </w:r>
      <w:r w:rsidRPr="001C2D09" w:rsidR="00005848">
        <w:rPr>
          <w:spacing w:val="-3"/>
          <w:sz w:val="22"/>
          <w:szCs w:val="22"/>
          <w:shd w:val="clear" w:color="auto" w:fill="FFFFFF"/>
        </w:rPr>
        <w:t xml:space="preserve">Annual </w:t>
      </w:r>
      <w:r w:rsidRPr="001C2D09" w:rsidR="00BA15BC">
        <w:rPr>
          <w:spacing w:val="-3"/>
          <w:sz w:val="22"/>
          <w:szCs w:val="22"/>
          <w:shd w:val="clear" w:color="auto" w:fill="FFFFFF"/>
        </w:rPr>
        <w:t xml:space="preserve">Hourly Burden: </w:t>
      </w:r>
      <w:r w:rsidRPr="001C2D09" w:rsidR="0042628A">
        <w:rPr>
          <w:spacing w:val="-3"/>
          <w:sz w:val="22"/>
          <w:szCs w:val="22"/>
          <w:shd w:val="clear" w:color="auto" w:fill="FFFFFF"/>
        </w:rPr>
        <w:t xml:space="preserve"> </w:t>
      </w:r>
      <w:r w:rsidRPr="001C2D09" w:rsidR="001301EA">
        <w:rPr>
          <w:spacing w:val="-3"/>
          <w:sz w:val="22"/>
          <w:szCs w:val="22"/>
          <w:shd w:val="clear" w:color="auto" w:fill="FFFFFF"/>
        </w:rPr>
        <w:t>0</w:t>
      </w:r>
      <w:r w:rsidRPr="001C2D09" w:rsidR="008C0118">
        <w:rPr>
          <w:spacing w:val="-3"/>
          <w:sz w:val="22"/>
          <w:szCs w:val="22"/>
          <w:shd w:val="clear" w:color="auto" w:fill="FFFFFF"/>
        </w:rPr>
        <w:t xml:space="preserve"> </w:t>
      </w:r>
      <w:r w:rsidRPr="001C2D09" w:rsidR="00BA15BC">
        <w:rPr>
          <w:spacing w:val="-3"/>
          <w:sz w:val="22"/>
          <w:szCs w:val="22"/>
          <w:shd w:val="clear" w:color="auto" w:fill="FFFFFF"/>
        </w:rPr>
        <w:t>hours</w:t>
      </w:r>
    </w:p>
    <w:p w:rsidR="003B0759" w:rsidRPr="001C2D09" w:rsidP="008C0118" w14:paraId="7ADCF9E4" w14:textId="21DF2BE9">
      <w:pPr>
        <w:spacing w:after="120"/>
        <w:rPr>
          <w:spacing w:val="-3"/>
          <w:sz w:val="22"/>
          <w:szCs w:val="22"/>
          <w:shd w:val="clear" w:color="auto" w:fill="FFFFFF"/>
        </w:rPr>
      </w:pPr>
      <w:r w:rsidRPr="001C2D09">
        <w:rPr>
          <w:spacing w:val="-3"/>
          <w:sz w:val="22"/>
          <w:szCs w:val="22"/>
          <w:shd w:val="clear" w:color="auto" w:fill="FFFFFF"/>
        </w:rPr>
        <w:t xml:space="preserve">The Commission believes </w:t>
      </w:r>
      <w:r w:rsidRPr="001C2D09" w:rsidR="00C00A7C">
        <w:rPr>
          <w:spacing w:val="-3"/>
          <w:sz w:val="22"/>
          <w:szCs w:val="22"/>
          <w:shd w:val="clear" w:color="auto" w:fill="FFFFFF"/>
        </w:rPr>
        <w:t xml:space="preserve">it </w:t>
      </w:r>
      <w:r w:rsidRPr="001C2D09" w:rsidR="00046B81">
        <w:rPr>
          <w:spacing w:val="-3"/>
          <w:sz w:val="22"/>
          <w:szCs w:val="22"/>
          <w:shd w:val="clear" w:color="auto" w:fill="FFFFFF"/>
        </w:rPr>
        <w:t>is reasonable to assume</w:t>
      </w:r>
      <w:r w:rsidRPr="001C2D09" w:rsidR="00C00A7C">
        <w:rPr>
          <w:spacing w:val="-3"/>
          <w:sz w:val="22"/>
          <w:szCs w:val="22"/>
          <w:shd w:val="clear" w:color="auto" w:fill="FFFFFF"/>
        </w:rPr>
        <w:t xml:space="preserve"> that </w:t>
      </w:r>
      <w:r w:rsidRPr="001C2D09">
        <w:rPr>
          <w:spacing w:val="-3"/>
          <w:sz w:val="22"/>
          <w:szCs w:val="22"/>
          <w:shd w:val="clear" w:color="auto" w:fill="FFFFFF"/>
        </w:rPr>
        <w:t xml:space="preserve">a respondent will </w:t>
      </w:r>
      <w:r w:rsidRPr="001C2D09" w:rsidR="00FA5B8B">
        <w:rPr>
          <w:spacing w:val="-3"/>
          <w:sz w:val="22"/>
          <w:szCs w:val="22"/>
          <w:shd w:val="clear" w:color="auto" w:fill="FFFFFF"/>
        </w:rPr>
        <w:t>keep records of its notifications to customers of their CPNI rights</w:t>
      </w:r>
      <w:r w:rsidRPr="001C2D09" w:rsidR="007B20B1">
        <w:rPr>
          <w:spacing w:val="-3"/>
          <w:sz w:val="22"/>
          <w:szCs w:val="22"/>
          <w:shd w:val="clear" w:color="auto" w:fill="FFFFFF"/>
        </w:rPr>
        <w:t xml:space="preserve"> using the same internal digital system that </w:t>
      </w:r>
      <w:r w:rsidRPr="001C2D09" w:rsidR="00C00A7C">
        <w:rPr>
          <w:spacing w:val="-3"/>
          <w:sz w:val="22"/>
          <w:szCs w:val="22"/>
          <w:shd w:val="clear" w:color="auto" w:fill="FFFFFF"/>
        </w:rPr>
        <w:t>the respondent</w:t>
      </w:r>
      <w:r w:rsidRPr="001C2D09" w:rsidR="007B20B1">
        <w:rPr>
          <w:spacing w:val="-3"/>
          <w:sz w:val="22"/>
          <w:szCs w:val="22"/>
          <w:shd w:val="clear" w:color="auto" w:fill="FFFFFF"/>
        </w:rPr>
        <w:t xml:space="preserve"> uses to record</w:t>
      </w:r>
      <w:r w:rsidRPr="001C2D09" w:rsidR="00C00A7C">
        <w:rPr>
          <w:spacing w:val="-3"/>
          <w:sz w:val="22"/>
          <w:szCs w:val="22"/>
          <w:shd w:val="clear" w:color="auto" w:fill="FFFFFF"/>
        </w:rPr>
        <w:t xml:space="preserve"> customers’ CPNI approval.  </w:t>
      </w:r>
      <w:r w:rsidRPr="001C2D09" w:rsidR="00792CD2">
        <w:rPr>
          <w:spacing w:val="-3"/>
          <w:sz w:val="22"/>
          <w:szCs w:val="22"/>
          <w:shd w:val="clear" w:color="auto" w:fill="FFFFFF"/>
        </w:rPr>
        <w:t xml:space="preserve">The burden to respondents of modifying their internal </w:t>
      </w:r>
      <w:r w:rsidRPr="001C2D09" w:rsidR="00CA40D8">
        <w:rPr>
          <w:spacing w:val="-3"/>
          <w:sz w:val="22"/>
          <w:szCs w:val="22"/>
          <w:shd w:val="clear" w:color="auto" w:fill="FFFFFF"/>
        </w:rPr>
        <w:t xml:space="preserve">digital systems to keep records of customer CPNI approval was already calculated in (b) </w:t>
      </w:r>
      <w:r w:rsidRPr="001C2D09" w:rsidR="00AF4FFB">
        <w:rPr>
          <w:spacing w:val="-3"/>
          <w:sz w:val="22"/>
          <w:szCs w:val="22"/>
          <w:shd w:val="clear" w:color="auto" w:fill="FFFFFF"/>
        </w:rPr>
        <w:t>Customer Approval Documentation and Recordkeeping. As such, the Commission sees no</w:t>
      </w:r>
      <w:r w:rsidRPr="001C2D09" w:rsidR="00792CD2">
        <w:rPr>
          <w:spacing w:val="-3"/>
          <w:sz w:val="22"/>
          <w:szCs w:val="22"/>
          <w:shd w:val="clear" w:color="auto" w:fill="FFFFFF"/>
        </w:rPr>
        <w:t xml:space="preserve"> </w:t>
      </w:r>
      <w:r w:rsidRPr="001C2D09" w:rsidR="002A707C">
        <w:rPr>
          <w:spacing w:val="-3"/>
          <w:sz w:val="22"/>
          <w:szCs w:val="22"/>
          <w:shd w:val="clear" w:color="auto" w:fill="FFFFFF"/>
        </w:rPr>
        <w:t xml:space="preserve">additional annual burden for Notification Recordkeeping. </w:t>
      </w:r>
    </w:p>
    <w:p w:rsidR="003B0759" w:rsidRPr="001C2D09" w:rsidP="00364052" w14:paraId="5E76DE2F" w14:textId="59EE3CD5">
      <w:pPr>
        <w:spacing w:after="120"/>
        <w:ind w:left="720"/>
        <w:rPr>
          <w:spacing w:val="-3"/>
          <w:sz w:val="22"/>
          <w:szCs w:val="22"/>
          <w:shd w:val="clear" w:color="auto" w:fill="FFFFFF"/>
        </w:rPr>
      </w:pPr>
      <w:r w:rsidRPr="001C2D09">
        <w:rPr>
          <w:spacing w:val="-3"/>
          <w:sz w:val="22"/>
          <w:szCs w:val="22"/>
          <w:shd w:val="clear" w:color="auto" w:fill="FFFFFF"/>
        </w:rPr>
        <w:t>(5)</w:t>
      </w:r>
      <w:r w:rsidRPr="001C2D09">
        <w:rPr>
          <w:spacing w:val="-3"/>
          <w:sz w:val="22"/>
          <w:szCs w:val="22"/>
          <w:shd w:val="clear" w:color="auto" w:fill="FFFFFF"/>
        </w:rPr>
        <w:tab/>
        <w:t>Total “In House” Cost</w:t>
      </w:r>
      <w:r w:rsidRPr="001C2D09" w:rsidR="002569FA">
        <w:rPr>
          <w:spacing w:val="-3"/>
          <w:sz w:val="22"/>
          <w:szCs w:val="22"/>
          <w:shd w:val="clear" w:color="auto" w:fill="FFFFFF"/>
        </w:rPr>
        <w:t>:  $</w:t>
      </w:r>
      <w:r w:rsidRPr="001C2D09" w:rsidR="002A707C">
        <w:rPr>
          <w:spacing w:val="-3"/>
          <w:sz w:val="22"/>
          <w:szCs w:val="22"/>
          <w:shd w:val="clear" w:color="auto" w:fill="FFFFFF"/>
        </w:rPr>
        <w:t>0</w:t>
      </w:r>
    </w:p>
    <w:p w:rsidR="001F1403" w:rsidRPr="001C2D09" w:rsidP="0026039C" w14:paraId="37D83726" w14:textId="7004600B">
      <w:pPr>
        <w:spacing w:after="120"/>
        <w:rPr>
          <w:spacing w:val="-3"/>
          <w:sz w:val="22"/>
          <w:szCs w:val="22"/>
          <w:shd w:val="clear" w:color="auto" w:fill="FFFFFF"/>
        </w:rPr>
      </w:pPr>
      <w:r w:rsidRPr="001C2D09">
        <w:rPr>
          <w:spacing w:val="-3"/>
          <w:sz w:val="22"/>
          <w:szCs w:val="22"/>
          <w:shd w:val="clear" w:color="auto" w:fill="FFFFFF"/>
        </w:rPr>
        <w:t xml:space="preserve">With no hourly burden, the Commission does not </w:t>
      </w:r>
      <w:r w:rsidRPr="001C2D09" w:rsidR="00B9703D">
        <w:rPr>
          <w:spacing w:val="-3"/>
          <w:sz w:val="22"/>
          <w:szCs w:val="22"/>
          <w:shd w:val="clear" w:color="auto" w:fill="FFFFFF"/>
        </w:rPr>
        <w:t>anticipate</w:t>
      </w:r>
      <w:r w:rsidRPr="001C2D09">
        <w:rPr>
          <w:spacing w:val="-3"/>
          <w:sz w:val="22"/>
          <w:szCs w:val="22"/>
          <w:shd w:val="clear" w:color="auto" w:fill="FFFFFF"/>
        </w:rPr>
        <w:t xml:space="preserve"> any “In House” Costs.  </w:t>
      </w:r>
    </w:p>
    <w:p w:rsidR="00005848" w:rsidRPr="001C2D09" w:rsidP="005771A5" w14:paraId="314197E0" w14:textId="08F0E4C7">
      <w:pPr>
        <w:spacing w:after="120"/>
        <w:rPr>
          <w:b/>
          <w:bCs/>
          <w:spacing w:val="-3"/>
          <w:sz w:val="22"/>
          <w:szCs w:val="22"/>
          <w:shd w:val="clear" w:color="auto" w:fill="FFFFFF"/>
        </w:rPr>
      </w:pPr>
      <w:r>
        <w:rPr>
          <w:b/>
          <w:bCs/>
          <w:spacing w:val="-3"/>
          <w:sz w:val="22"/>
          <w:szCs w:val="22"/>
          <w:shd w:val="clear" w:color="auto" w:fill="FFFFFF"/>
        </w:rPr>
        <w:t>(</w:t>
      </w:r>
      <w:r w:rsidRPr="001C2D09" w:rsidR="001D25CE">
        <w:rPr>
          <w:b/>
          <w:bCs/>
          <w:spacing w:val="-3"/>
          <w:sz w:val="22"/>
          <w:szCs w:val="22"/>
          <w:shd w:val="clear" w:color="auto" w:fill="FFFFFF"/>
        </w:rPr>
        <w:t>e</w:t>
      </w:r>
      <w:r>
        <w:rPr>
          <w:b/>
          <w:bCs/>
          <w:spacing w:val="-3"/>
          <w:sz w:val="22"/>
          <w:szCs w:val="22"/>
          <w:shd w:val="clear" w:color="auto" w:fill="FFFFFF"/>
        </w:rPr>
        <w:t>)</w:t>
      </w:r>
      <w:r w:rsidRPr="001C2D09" w:rsidR="001D25CE">
        <w:rPr>
          <w:b/>
          <w:bCs/>
          <w:spacing w:val="-3"/>
          <w:sz w:val="22"/>
          <w:szCs w:val="22"/>
          <w:shd w:val="clear" w:color="auto" w:fill="FFFFFF"/>
        </w:rPr>
        <w:tab/>
        <w:t xml:space="preserve">Event Histories Recordkeeping. </w:t>
      </w:r>
    </w:p>
    <w:p w:rsidR="00005848" w:rsidRPr="001C2D09" w:rsidP="0077092A" w14:paraId="21867561" w14:textId="72E58585">
      <w:pPr>
        <w:rPr>
          <w:spacing w:val="-3"/>
          <w:sz w:val="22"/>
          <w:szCs w:val="22"/>
          <w:shd w:val="clear" w:color="auto" w:fill="FFFFFF"/>
        </w:rPr>
      </w:pPr>
      <w:r w:rsidRPr="001C2D09">
        <w:rPr>
          <w:spacing w:val="-3"/>
          <w:sz w:val="22"/>
          <w:szCs w:val="22"/>
          <w:shd w:val="clear" w:color="auto" w:fill="FFFFFF"/>
        </w:rPr>
        <w:tab/>
        <w:t>(1)</w:t>
      </w:r>
      <w:r w:rsidRPr="001C2D09">
        <w:rPr>
          <w:spacing w:val="-3"/>
          <w:sz w:val="22"/>
          <w:szCs w:val="22"/>
          <w:shd w:val="clear" w:color="auto" w:fill="FFFFFF"/>
        </w:rPr>
        <w:tab/>
        <w:t xml:space="preserve">Number of </w:t>
      </w:r>
      <w:r w:rsidRPr="001C2D09" w:rsidR="002347DB">
        <w:rPr>
          <w:spacing w:val="-3"/>
          <w:sz w:val="22"/>
          <w:szCs w:val="22"/>
          <w:shd w:val="clear" w:color="auto" w:fill="FFFFFF"/>
        </w:rPr>
        <w:t>R</w:t>
      </w:r>
      <w:r w:rsidRPr="001C2D09">
        <w:rPr>
          <w:spacing w:val="-3"/>
          <w:sz w:val="22"/>
          <w:szCs w:val="22"/>
          <w:shd w:val="clear" w:color="auto" w:fill="FFFFFF"/>
        </w:rPr>
        <w:t>espondents:</w:t>
      </w:r>
      <w:r w:rsidRPr="001C2D09" w:rsidR="00853514">
        <w:rPr>
          <w:spacing w:val="-3"/>
          <w:sz w:val="22"/>
          <w:szCs w:val="22"/>
          <w:shd w:val="clear" w:color="auto" w:fill="FFFFFF"/>
        </w:rPr>
        <w:t xml:space="preserve"> </w:t>
      </w:r>
      <w:r w:rsidRPr="001C2D09">
        <w:rPr>
          <w:spacing w:val="-3"/>
          <w:sz w:val="22"/>
          <w:szCs w:val="22"/>
          <w:shd w:val="clear" w:color="auto" w:fill="FFFFFF"/>
        </w:rPr>
        <w:t xml:space="preserve"> </w:t>
      </w:r>
      <w:r w:rsidRPr="001C2D09" w:rsidR="00D66999">
        <w:rPr>
          <w:spacing w:val="-3"/>
          <w:sz w:val="22"/>
          <w:szCs w:val="22"/>
          <w:shd w:val="clear" w:color="auto" w:fill="FFFFFF"/>
        </w:rPr>
        <w:t>2,935</w:t>
      </w:r>
    </w:p>
    <w:p w:rsidR="0020529A" w:rsidRPr="001C2D09" w:rsidP="0077092A" w14:paraId="618E9FA6" w14:textId="330CF41E">
      <w:pPr>
        <w:rPr>
          <w:spacing w:val="-3"/>
          <w:sz w:val="22"/>
          <w:szCs w:val="22"/>
          <w:shd w:val="clear" w:color="auto" w:fill="FFFFFF"/>
        </w:rPr>
      </w:pPr>
      <w:r w:rsidRPr="001C2D09">
        <w:rPr>
          <w:spacing w:val="-3"/>
          <w:sz w:val="22"/>
          <w:szCs w:val="22"/>
          <w:shd w:val="clear" w:color="auto" w:fill="FFFFFF"/>
        </w:rPr>
        <w:tab/>
        <w:t>(2)</w:t>
      </w:r>
      <w:r w:rsidRPr="001C2D09">
        <w:rPr>
          <w:spacing w:val="-3"/>
          <w:sz w:val="22"/>
          <w:szCs w:val="22"/>
          <w:shd w:val="clear" w:color="auto" w:fill="FFFFFF"/>
        </w:rPr>
        <w:tab/>
        <w:t xml:space="preserve">Frequency of </w:t>
      </w:r>
      <w:r w:rsidRPr="001C2D09" w:rsidR="00AC06A7">
        <w:rPr>
          <w:spacing w:val="-3"/>
          <w:sz w:val="22"/>
          <w:szCs w:val="22"/>
          <w:shd w:val="clear" w:color="auto" w:fill="FFFFFF"/>
        </w:rPr>
        <w:t>R</w:t>
      </w:r>
      <w:r w:rsidRPr="001C2D09">
        <w:rPr>
          <w:spacing w:val="-3"/>
          <w:sz w:val="22"/>
          <w:szCs w:val="22"/>
          <w:shd w:val="clear" w:color="auto" w:fill="FFFFFF"/>
        </w:rPr>
        <w:t>esponse:</w:t>
      </w:r>
      <w:r w:rsidRPr="001C2D09" w:rsidR="00D31AEA">
        <w:rPr>
          <w:spacing w:val="-3"/>
          <w:sz w:val="22"/>
          <w:szCs w:val="22"/>
          <w:shd w:val="clear" w:color="auto" w:fill="FFFFFF"/>
        </w:rPr>
        <w:t xml:space="preserve"> </w:t>
      </w:r>
      <w:r w:rsidRPr="001C2D09">
        <w:rPr>
          <w:spacing w:val="-3"/>
          <w:sz w:val="22"/>
          <w:szCs w:val="22"/>
          <w:shd w:val="clear" w:color="auto" w:fill="FFFFFF"/>
        </w:rPr>
        <w:t xml:space="preserve"> Recordkeeping requirement</w:t>
      </w:r>
    </w:p>
    <w:p w:rsidR="002E737C" w:rsidRPr="001C2D09" w:rsidP="00EB5D34" w14:paraId="48B01569" w14:textId="473AF7AC">
      <w:pPr>
        <w:spacing w:after="120"/>
        <w:rPr>
          <w:spacing w:val="-3"/>
          <w:sz w:val="22"/>
          <w:szCs w:val="22"/>
          <w:shd w:val="clear" w:color="auto" w:fill="FFFFFF"/>
        </w:rPr>
      </w:pPr>
      <w:r w:rsidRPr="001C2D09">
        <w:rPr>
          <w:spacing w:val="-3"/>
          <w:sz w:val="22"/>
          <w:szCs w:val="22"/>
          <w:shd w:val="clear" w:color="auto" w:fill="FFFFFF"/>
        </w:rPr>
        <w:tab/>
        <w:t>(</w:t>
      </w:r>
      <w:r w:rsidRPr="001C2D09" w:rsidR="0020529A">
        <w:rPr>
          <w:spacing w:val="-3"/>
          <w:sz w:val="22"/>
          <w:szCs w:val="22"/>
          <w:shd w:val="clear" w:color="auto" w:fill="FFFFFF"/>
        </w:rPr>
        <w:t>3</w:t>
      </w:r>
      <w:r w:rsidRPr="001C2D09">
        <w:rPr>
          <w:spacing w:val="-3"/>
          <w:sz w:val="22"/>
          <w:szCs w:val="22"/>
          <w:shd w:val="clear" w:color="auto" w:fill="FFFFFF"/>
        </w:rPr>
        <w:t>)</w:t>
      </w:r>
      <w:r w:rsidRPr="001C2D09">
        <w:rPr>
          <w:spacing w:val="-3"/>
          <w:sz w:val="22"/>
          <w:szCs w:val="22"/>
          <w:shd w:val="clear" w:color="auto" w:fill="FFFFFF"/>
        </w:rPr>
        <w:tab/>
        <w:t xml:space="preserve">Total </w:t>
      </w:r>
      <w:r w:rsidRPr="001C2D09" w:rsidR="00AC06A7">
        <w:rPr>
          <w:spacing w:val="-3"/>
          <w:sz w:val="22"/>
          <w:szCs w:val="22"/>
          <w:shd w:val="clear" w:color="auto" w:fill="FFFFFF"/>
        </w:rPr>
        <w:t xml:space="preserve">Number of </w:t>
      </w:r>
      <w:r w:rsidRPr="001C2D09">
        <w:rPr>
          <w:spacing w:val="-3"/>
          <w:sz w:val="22"/>
          <w:szCs w:val="22"/>
          <w:shd w:val="clear" w:color="auto" w:fill="FFFFFF"/>
        </w:rPr>
        <w:t xml:space="preserve">Responses Annually: </w:t>
      </w:r>
      <w:r w:rsidRPr="001C2D09" w:rsidR="00531D6F">
        <w:rPr>
          <w:spacing w:val="-3"/>
          <w:sz w:val="22"/>
          <w:szCs w:val="22"/>
          <w:shd w:val="clear" w:color="auto" w:fill="FFFFFF"/>
        </w:rPr>
        <w:t xml:space="preserve"> </w:t>
      </w:r>
      <w:r w:rsidR="00B9514B">
        <w:rPr>
          <w:spacing w:val="-3"/>
          <w:sz w:val="22"/>
          <w:szCs w:val="22"/>
          <w:shd w:val="clear" w:color="auto" w:fill="FFFFFF"/>
        </w:rPr>
        <w:t>978</w:t>
      </w:r>
      <w:r w:rsidRPr="001C2D09" w:rsidR="00E00DAE">
        <w:rPr>
          <w:spacing w:val="-3"/>
          <w:sz w:val="22"/>
          <w:szCs w:val="22"/>
          <w:shd w:val="clear" w:color="auto" w:fill="FFFFFF"/>
        </w:rPr>
        <w:t xml:space="preserve"> </w:t>
      </w:r>
      <w:r w:rsidRPr="001C2D09" w:rsidR="00B95854">
        <w:rPr>
          <w:spacing w:val="-3"/>
          <w:sz w:val="22"/>
          <w:szCs w:val="22"/>
          <w:shd w:val="clear" w:color="auto" w:fill="FFFFFF"/>
        </w:rPr>
        <w:t>(recordkeeping responses)</w:t>
      </w:r>
    </w:p>
    <w:p w:rsidR="00D4672E" w:rsidRPr="001C2D09" w:rsidP="00EB5D34" w14:paraId="25833377" w14:textId="7AB09B92">
      <w:pPr>
        <w:spacing w:after="120"/>
        <w:rPr>
          <w:spacing w:val="-3"/>
          <w:sz w:val="22"/>
          <w:szCs w:val="22"/>
          <w:shd w:val="clear" w:color="auto" w:fill="FFFFFF"/>
        </w:rPr>
      </w:pPr>
      <w:r w:rsidRPr="001C2D09">
        <w:rPr>
          <w:spacing w:val="-3"/>
          <w:sz w:val="22"/>
          <w:szCs w:val="22"/>
          <w:shd w:val="clear" w:color="auto" w:fill="FFFFFF"/>
        </w:rPr>
        <w:t xml:space="preserve">Sales personnel are required to obtain supervisor review for any proposed request to use CPNI for outbound marketing, and </w:t>
      </w:r>
      <w:r w:rsidRPr="001C2D09" w:rsidR="00327C2D">
        <w:rPr>
          <w:spacing w:val="-3"/>
          <w:sz w:val="22"/>
          <w:szCs w:val="22"/>
          <w:shd w:val="clear" w:color="auto" w:fill="FFFFFF"/>
        </w:rPr>
        <w:t xml:space="preserve">providers are required to maintain records of these events. However, not </w:t>
      </w:r>
      <w:r w:rsidRPr="001C2D09">
        <w:rPr>
          <w:spacing w:val="-3"/>
          <w:sz w:val="22"/>
          <w:szCs w:val="22"/>
          <w:shd w:val="clear" w:color="auto" w:fill="FFFFFF"/>
        </w:rPr>
        <w:t>all</w:t>
      </w:r>
      <w:r w:rsidRPr="001C2D09" w:rsidR="00403317">
        <w:rPr>
          <w:spacing w:val="-3"/>
          <w:sz w:val="22"/>
          <w:szCs w:val="22"/>
          <w:shd w:val="clear" w:color="auto" w:fill="FFFFFF"/>
        </w:rPr>
        <w:t xml:space="preserve"> covered </w:t>
      </w:r>
      <w:r w:rsidRPr="001C2D09">
        <w:rPr>
          <w:spacing w:val="-3"/>
          <w:sz w:val="22"/>
          <w:szCs w:val="22"/>
          <w:shd w:val="clear" w:color="auto" w:fill="FFFFFF"/>
        </w:rPr>
        <w:t xml:space="preserve">providers will propose new uses of CPNI for outbound marketing purposes in any given year.  The Commission estimates that one third of </w:t>
      </w:r>
      <w:r w:rsidRPr="001C2D09" w:rsidR="00403317">
        <w:rPr>
          <w:spacing w:val="-3"/>
          <w:sz w:val="22"/>
          <w:szCs w:val="22"/>
          <w:shd w:val="clear" w:color="auto" w:fill="FFFFFF"/>
        </w:rPr>
        <w:t xml:space="preserve">covered </w:t>
      </w:r>
      <w:r w:rsidRPr="001C2D09">
        <w:rPr>
          <w:spacing w:val="-3"/>
          <w:sz w:val="22"/>
          <w:szCs w:val="22"/>
          <w:shd w:val="clear" w:color="auto" w:fill="FFFFFF"/>
        </w:rPr>
        <w:t>providers will propose a new use of CPNI in a given year</w:t>
      </w:r>
      <w:r w:rsidRPr="001C2D09" w:rsidR="00B3167E">
        <w:rPr>
          <w:spacing w:val="-3"/>
          <w:sz w:val="22"/>
          <w:szCs w:val="22"/>
          <w:shd w:val="clear" w:color="auto" w:fill="FFFFFF"/>
        </w:rPr>
        <w:t xml:space="preserve">. </w:t>
      </w:r>
    </w:p>
    <w:p w:rsidR="00B3167E" w:rsidRPr="001C2D09" w:rsidP="0026039C" w14:paraId="32FB31EA" w14:textId="63E5F51F">
      <w:pPr>
        <w:spacing w:after="120"/>
        <w:ind w:left="720" w:firstLine="720"/>
        <w:rPr>
          <w:spacing w:val="-3"/>
          <w:sz w:val="22"/>
          <w:szCs w:val="22"/>
          <w:shd w:val="clear" w:color="auto" w:fill="FFFFFF"/>
        </w:rPr>
      </w:pPr>
      <w:r w:rsidRPr="001C2D09">
        <w:rPr>
          <w:spacing w:val="-3"/>
          <w:sz w:val="22"/>
          <w:szCs w:val="22"/>
          <w:shd w:val="clear" w:color="auto" w:fill="FFFFFF"/>
        </w:rPr>
        <w:t>2,935</w:t>
      </w:r>
      <w:r w:rsidRPr="001C2D09" w:rsidR="0046169B">
        <w:rPr>
          <w:spacing w:val="-3"/>
          <w:sz w:val="22"/>
          <w:szCs w:val="22"/>
          <w:shd w:val="clear" w:color="auto" w:fill="FFFFFF"/>
        </w:rPr>
        <w:t xml:space="preserve"> </w:t>
      </w:r>
      <w:r w:rsidRPr="001C2D09">
        <w:rPr>
          <w:spacing w:val="-3"/>
          <w:sz w:val="22"/>
          <w:szCs w:val="22"/>
          <w:shd w:val="clear" w:color="auto" w:fill="FFFFFF"/>
        </w:rPr>
        <w:t xml:space="preserve">respondents x </w:t>
      </w:r>
      <w:r w:rsidRPr="001C2D09" w:rsidR="00037504">
        <w:rPr>
          <w:spacing w:val="-3"/>
          <w:sz w:val="22"/>
          <w:szCs w:val="22"/>
          <w:shd w:val="clear" w:color="auto" w:fill="FFFFFF"/>
        </w:rPr>
        <w:t>(</w:t>
      </w:r>
      <w:r w:rsidRPr="001C2D09">
        <w:rPr>
          <w:spacing w:val="-3"/>
          <w:sz w:val="22"/>
          <w:szCs w:val="22"/>
          <w:shd w:val="clear" w:color="auto" w:fill="FFFFFF"/>
        </w:rPr>
        <w:t>1</w:t>
      </w:r>
      <w:r w:rsidRPr="001C2D09" w:rsidR="00037504">
        <w:rPr>
          <w:spacing w:val="-3"/>
          <w:sz w:val="22"/>
          <w:szCs w:val="22"/>
          <w:shd w:val="clear" w:color="auto" w:fill="FFFFFF"/>
        </w:rPr>
        <w:t>/3)</w:t>
      </w:r>
      <w:r w:rsidRPr="001C2D09">
        <w:rPr>
          <w:spacing w:val="-3"/>
          <w:sz w:val="22"/>
          <w:szCs w:val="22"/>
          <w:shd w:val="clear" w:color="auto" w:fill="FFFFFF"/>
        </w:rPr>
        <w:t xml:space="preserve"> </w:t>
      </w:r>
      <w:r w:rsidRPr="001C2D09" w:rsidR="00037504">
        <w:rPr>
          <w:spacing w:val="-3"/>
          <w:sz w:val="22"/>
          <w:szCs w:val="22"/>
          <w:shd w:val="clear" w:color="auto" w:fill="FFFFFF"/>
        </w:rPr>
        <w:t>of whom propose new CPNI use</w:t>
      </w:r>
      <w:r w:rsidRPr="001C2D09">
        <w:rPr>
          <w:spacing w:val="-3"/>
          <w:sz w:val="22"/>
          <w:szCs w:val="22"/>
          <w:shd w:val="clear" w:color="auto" w:fill="FFFFFF"/>
        </w:rPr>
        <w:t xml:space="preserve">/annum = </w:t>
      </w:r>
      <w:r w:rsidRPr="001C2D09" w:rsidR="00EE30F9">
        <w:rPr>
          <w:spacing w:val="-3"/>
          <w:sz w:val="22"/>
          <w:szCs w:val="22"/>
          <w:shd w:val="clear" w:color="auto" w:fill="FFFFFF"/>
        </w:rPr>
        <w:t>978</w:t>
      </w:r>
      <w:r w:rsidRPr="001C2D09">
        <w:rPr>
          <w:spacing w:val="-3"/>
          <w:sz w:val="22"/>
          <w:szCs w:val="22"/>
          <w:shd w:val="clear" w:color="auto" w:fill="FFFFFF"/>
        </w:rPr>
        <w:t xml:space="preserve"> </w:t>
      </w:r>
      <w:r w:rsidRPr="001C2D09" w:rsidR="00EE30F9">
        <w:rPr>
          <w:spacing w:val="-3"/>
          <w:sz w:val="22"/>
          <w:szCs w:val="22"/>
          <w:shd w:val="clear" w:color="auto" w:fill="FFFFFF"/>
        </w:rPr>
        <w:t xml:space="preserve">annual </w:t>
      </w:r>
      <w:r w:rsidRPr="001C2D09">
        <w:rPr>
          <w:spacing w:val="-3"/>
          <w:sz w:val="22"/>
          <w:szCs w:val="22"/>
          <w:shd w:val="clear" w:color="auto" w:fill="FFFFFF"/>
        </w:rPr>
        <w:t>responses</w:t>
      </w:r>
    </w:p>
    <w:p w:rsidR="00FD5BC9" w:rsidRPr="001C2D09" w:rsidP="00902D35" w14:paraId="5C3D63F5" w14:textId="2D0B6619">
      <w:pPr>
        <w:spacing w:after="120"/>
        <w:rPr>
          <w:spacing w:val="-3"/>
          <w:sz w:val="22"/>
          <w:szCs w:val="22"/>
          <w:shd w:val="clear" w:color="auto" w:fill="FFFFFF"/>
        </w:rPr>
      </w:pPr>
      <w:r w:rsidRPr="001C2D09">
        <w:rPr>
          <w:spacing w:val="-3"/>
          <w:sz w:val="22"/>
          <w:szCs w:val="22"/>
          <w:shd w:val="clear" w:color="auto" w:fill="FFFFFF"/>
        </w:rPr>
        <w:tab/>
      </w:r>
      <w:r w:rsidRPr="001C2D09" w:rsidR="00005848">
        <w:rPr>
          <w:spacing w:val="-3"/>
          <w:sz w:val="22"/>
          <w:szCs w:val="22"/>
          <w:shd w:val="clear" w:color="auto" w:fill="FFFFFF"/>
        </w:rPr>
        <w:t>(</w:t>
      </w:r>
      <w:r w:rsidRPr="001C2D09" w:rsidR="00EF3031">
        <w:rPr>
          <w:spacing w:val="-3"/>
          <w:sz w:val="22"/>
          <w:szCs w:val="22"/>
          <w:shd w:val="clear" w:color="auto" w:fill="FFFFFF"/>
        </w:rPr>
        <w:t>4</w:t>
      </w:r>
      <w:r w:rsidRPr="001C2D09" w:rsidR="00005848">
        <w:rPr>
          <w:spacing w:val="-3"/>
          <w:sz w:val="22"/>
          <w:szCs w:val="22"/>
          <w:shd w:val="clear" w:color="auto" w:fill="FFFFFF"/>
        </w:rPr>
        <w:t>)</w:t>
      </w:r>
      <w:r w:rsidRPr="001C2D09" w:rsidR="00005848">
        <w:rPr>
          <w:spacing w:val="-3"/>
          <w:sz w:val="22"/>
          <w:szCs w:val="22"/>
          <w:shd w:val="clear" w:color="auto" w:fill="FFFFFF"/>
        </w:rPr>
        <w:tab/>
      </w:r>
      <w:r w:rsidRPr="001C2D09" w:rsidR="002E1A1C">
        <w:rPr>
          <w:spacing w:val="-3"/>
          <w:sz w:val="22"/>
          <w:szCs w:val="22"/>
          <w:shd w:val="clear" w:color="auto" w:fill="FFFFFF"/>
        </w:rPr>
        <w:t xml:space="preserve">Total </w:t>
      </w:r>
      <w:r w:rsidRPr="001C2D09" w:rsidR="00005848">
        <w:rPr>
          <w:spacing w:val="-3"/>
          <w:sz w:val="22"/>
          <w:szCs w:val="22"/>
          <w:shd w:val="clear" w:color="auto" w:fill="FFFFFF"/>
        </w:rPr>
        <w:t xml:space="preserve">Annual </w:t>
      </w:r>
      <w:r w:rsidRPr="001C2D09" w:rsidR="002E1A1C">
        <w:rPr>
          <w:spacing w:val="-3"/>
          <w:sz w:val="22"/>
          <w:szCs w:val="22"/>
          <w:shd w:val="clear" w:color="auto" w:fill="FFFFFF"/>
        </w:rPr>
        <w:t>H</w:t>
      </w:r>
      <w:r w:rsidRPr="001C2D09" w:rsidR="00005848">
        <w:rPr>
          <w:spacing w:val="-3"/>
          <w:sz w:val="22"/>
          <w:szCs w:val="22"/>
          <w:shd w:val="clear" w:color="auto" w:fill="FFFFFF"/>
        </w:rPr>
        <w:t>our</w:t>
      </w:r>
      <w:r w:rsidRPr="001C2D09" w:rsidR="002E1A1C">
        <w:rPr>
          <w:spacing w:val="-3"/>
          <w:sz w:val="22"/>
          <w:szCs w:val="22"/>
          <w:shd w:val="clear" w:color="auto" w:fill="FFFFFF"/>
        </w:rPr>
        <w:t>ly B</w:t>
      </w:r>
      <w:r w:rsidRPr="001C2D09" w:rsidR="00005848">
        <w:rPr>
          <w:spacing w:val="-3"/>
          <w:sz w:val="22"/>
          <w:szCs w:val="22"/>
          <w:shd w:val="clear" w:color="auto" w:fill="FFFFFF"/>
        </w:rPr>
        <w:t xml:space="preserve">urden: </w:t>
      </w:r>
      <w:r w:rsidRPr="001C2D09" w:rsidR="009E5B52">
        <w:rPr>
          <w:spacing w:val="-3"/>
          <w:sz w:val="22"/>
          <w:szCs w:val="22"/>
          <w:shd w:val="clear" w:color="auto" w:fill="FFFFFF"/>
        </w:rPr>
        <w:t xml:space="preserve"> </w:t>
      </w:r>
      <w:r w:rsidR="00B9514B">
        <w:rPr>
          <w:spacing w:val="-3"/>
          <w:sz w:val="22"/>
          <w:szCs w:val="22"/>
          <w:shd w:val="clear" w:color="auto" w:fill="FFFFFF"/>
        </w:rPr>
        <w:t xml:space="preserve">489 </w:t>
      </w:r>
      <w:r w:rsidRPr="001C2D09" w:rsidR="002B1732">
        <w:rPr>
          <w:spacing w:val="-3"/>
          <w:sz w:val="22"/>
          <w:szCs w:val="22"/>
          <w:shd w:val="clear" w:color="auto" w:fill="FFFFFF"/>
        </w:rPr>
        <w:t>hours</w:t>
      </w:r>
    </w:p>
    <w:p w:rsidR="00DE6ED1" w:rsidRPr="001C2D09" w:rsidP="00902D35" w14:paraId="739BB258" w14:textId="722DA437">
      <w:pPr>
        <w:spacing w:after="120"/>
        <w:rPr>
          <w:spacing w:val="-3"/>
          <w:sz w:val="22"/>
          <w:szCs w:val="22"/>
          <w:shd w:val="clear" w:color="auto" w:fill="FFFFFF"/>
        </w:rPr>
      </w:pPr>
      <w:r w:rsidRPr="001C2D09">
        <w:rPr>
          <w:spacing w:val="-3"/>
          <w:sz w:val="22"/>
          <w:szCs w:val="22"/>
          <w:shd w:val="clear" w:color="auto" w:fill="FFFFFF"/>
        </w:rPr>
        <w:t xml:space="preserve">The Commission </w:t>
      </w:r>
      <w:r w:rsidRPr="001C2D09" w:rsidR="002E5F4C">
        <w:rPr>
          <w:spacing w:val="-3"/>
          <w:sz w:val="22"/>
          <w:szCs w:val="22"/>
          <w:shd w:val="clear" w:color="auto" w:fill="FFFFFF"/>
        </w:rPr>
        <w:t>estimate</w:t>
      </w:r>
      <w:r w:rsidRPr="001C2D09">
        <w:rPr>
          <w:spacing w:val="-3"/>
          <w:sz w:val="22"/>
          <w:szCs w:val="22"/>
          <w:shd w:val="clear" w:color="auto" w:fill="FFFFFF"/>
        </w:rPr>
        <w:t>s</w:t>
      </w:r>
      <w:r w:rsidRPr="001C2D09" w:rsidR="002E5F4C">
        <w:rPr>
          <w:spacing w:val="-3"/>
          <w:sz w:val="22"/>
          <w:szCs w:val="22"/>
          <w:shd w:val="clear" w:color="auto" w:fill="FFFFFF"/>
        </w:rPr>
        <w:t xml:space="preserve"> t</w:t>
      </w:r>
      <w:r w:rsidRPr="001C2D09">
        <w:rPr>
          <w:spacing w:val="-3"/>
          <w:sz w:val="22"/>
          <w:szCs w:val="22"/>
          <w:shd w:val="clear" w:color="auto" w:fill="FFFFFF"/>
        </w:rPr>
        <w:t>hat respondent</w:t>
      </w:r>
      <w:r w:rsidRPr="001C2D09" w:rsidR="00DF3DE5">
        <w:rPr>
          <w:spacing w:val="-3"/>
          <w:sz w:val="22"/>
          <w:szCs w:val="22"/>
          <w:shd w:val="clear" w:color="auto" w:fill="FFFFFF"/>
        </w:rPr>
        <w:t>s</w:t>
      </w:r>
      <w:r w:rsidRPr="001C2D09" w:rsidR="0020529A">
        <w:rPr>
          <w:spacing w:val="-3"/>
          <w:sz w:val="22"/>
          <w:szCs w:val="22"/>
          <w:shd w:val="clear" w:color="auto" w:fill="FFFFFF"/>
        </w:rPr>
        <w:t xml:space="preserve"> </w:t>
      </w:r>
      <w:r w:rsidRPr="001C2D09" w:rsidR="00DD0842">
        <w:rPr>
          <w:spacing w:val="-3"/>
          <w:sz w:val="22"/>
          <w:szCs w:val="22"/>
          <w:shd w:val="clear" w:color="auto" w:fill="FFFFFF"/>
        </w:rPr>
        <w:t xml:space="preserve">will </w:t>
      </w:r>
      <w:r w:rsidRPr="001C2D09">
        <w:rPr>
          <w:spacing w:val="-3"/>
          <w:sz w:val="22"/>
          <w:szCs w:val="22"/>
          <w:shd w:val="clear" w:color="auto" w:fill="FFFFFF"/>
        </w:rPr>
        <w:t>require</w:t>
      </w:r>
      <w:r w:rsidRPr="001C2D09" w:rsidR="002E5F4C">
        <w:rPr>
          <w:spacing w:val="-3"/>
          <w:sz w:val="22"/>
          <w:szCs w:val="22"/>
          <w:shd w:val="clear" w:color="auto" w:fill="FFFFFF"/>
        </w:rPr>
        <w:t xml:space="preserve"> approximately </w:t>
      </w:r>
      <w:r w:rsidRPr="001C2D09" w:rsidR="00A72BA6">
        <w:rPr>
          <w:spacing w:val="-3"/>
          <w:sz w:val="22"/>
          <w:szCs w:val="22"/>
          <w:shd w:val="clear" w:color="auto" w:fill="FFFFFF"/>
        </w:rPr>
        <w:t>30</w:t>
      </w:r>
      <w:r w:rsidRPr="001C2D09" w:rsidR="002E5F4C">
        <w:rPr>
          <w:spacing w:val="-3"/>
          <w:sz w:val="22"/>
          <w:szCs w:val="22"/>
          <w:shd w:val="clear" w:color="auto" w:fill="FFFFFF"/>
        </w:rPr>
        <w:t xml:space="preserve"> minutes </w:t>
      </w:r>
      <w:r w:rsidRPr="001C2D09" w:rsidR="00A34C42">
        <w:rPr>
          <w:spacing w:val="-3"/>
          <w:sz w:val="22"/>
          <w:szCs w:val="22"/>
          <w:shd w:val="clear" w:color="auto" w:fill="FFFFFF"/>
        </w:rPr>
        <w:t>(0.</w:t>
      </w:r>
      <w:r w:rsidRPr="001C2D09" w:rsidR="0020529A">
        <w:rPr>
          <w:spacing w:val="-3"/>
          <w:sz w:val="22"/>
          <w:szCs w:val="22"/>
          <w:shd w:val="clear" w:color="auto" w:fill="FFFFFF"/>
        </w:rPr>
        <w:t>5</w:t>
      </w:r>
      <w:r w:rsidRPr="001C2D09" w:rsidR="00A34C42">
        <w:rPr>
          <w:spacing w:val="-3"/>
          <w:sz w:val="22"/>
          <w:szCs w:val="22"/>
          <w:shd w:val="clear" w:color="auto" w:fill="FFFFFF"/>
        </w:rPr>
        <w:t xml:space="preserve"> hours) </w:t>
      </w:r>
      <w:r w:rsidRPr="001C2D09" w:rsidR="005B28D3">
        <w:rPr>
          <w:spacing w:val="-3"/>
          <w:sz w:val="22"/>
          <w:szCs w:val="22"/>
          <w:shd w:val="clear" w:color="auto" w:fill="FFFFFF"/>
        </w:rPr>
        <w:t xml:space="preserve">annually </w:t>
      </w:r>
      <w:r w:rsidRPr="001C2D09" w:rsidR="00DD0842">
        <w:rPr>
          <w:spacing w:val="-3"/>
          <w:sz w:val="22"/>
          <w:szCs w:val="22"/>
          <w:shd w:val="clear" w:color="auto" w:fill="FFFFFF"/>
        </w:rPr>
        <w:t>to comply with the recordkeeping requirement that they record the date and purpose of the campaign, what products and services were offered to customers</w:t>
      </w:r>
      <w:r w:rsidRPr="001C2D09" w:rsidR="00C350B4">
        <w:rPr>
          <w:spacing w:val="-3"/>
          <w:sz w:val="22"/>
          <w:szCs w:val="22"/>
          <w:shd w:val="clear" w:color="auto" w:fill="FFFFFF"/>
        </w:rPr>
        <w:t xml:space="preserve">, </w:t>
      </w:r>
      <w:r w:rsidRPr="001C2D09" w:rsidR="00531D6F">
        <w:rPr>
          <w:spacing w:val="-3"/>
          <w:sz w:val="22"/>
          <w:szCs w:val="22"/>
          <w:shd w:val="clear" w:color="auto" w:fill="FFFFFF"/>
        </w:rPr>
        <w:t xml:space="preserve">and </w:t>
      </w:r>
      <w:r w:rsidRPr="001C2D09" w:rsidR="00DD0842">
        <w:rPr>
          <w:spacing w:val="-3"/>
          <w:sz w:val="22"/>
          <w:szCs w:val="22"/>
          <w:shd w:val="clear" w:color="auto" w:fill="FFFFFF"/>
        </w:rPr>
        <w:t xml:space="preserve">when they use customer CPNI for sales and marketing campaigns. </w:t>
      </w:r>
      <w:r w:rsidRPr="001C2D09">
        <w:rPr>
          <w:spacing w:val="-3"/>
          <w:sz w:val="22"/>
          <w:szCs w:val="22"/>
          <w:shd w:val="clear" w:color="auto" w:fill="FFFFFF"/>
        </w:rPr>
        <w:t xml:space="preserve"> </w:t>
      </w:r>
    </w:p>
    <w:p w:rsidR="00005848" w:rsidRPr="001C2D09" w:rsidP="00902D35" w14:paraId="5A8DF0AE" w14:textId="0584BE01">
      <w:pPr>
        <w:spacing w:after="120"/>
        <w:rPr>
          <w:spacing w:val="-3"/>
          <w:sz w:val="22"/>
          <w:szCs w:val="22"/>
          <w:shd w:val="clear" w:color="auto" w:fill="FFFFFF"/>
        </w:rPr>
      </w:pPr>
      <w:r w:rsidRPr="001C2D09">
        <w:rPr>
          <w:spacing w:val="-3"/>
          <w:sz w:val="22"/>
          <w:szCs w:val="22"/>
          <w:shd w:val="clear" w:color="auto" w:fill="FFFFFF"/>
        </w:rPr>
        <w:tab/>
      </w:r>
      <w:r w:rsidRPr="001C2D09" w:rsidR="00DE6ED1">
        <w:rPr>
          <w:spacing w:val="-3"/>
          <w:sz w:val="22"/>
          <w:szCs w:val="22"/>
          <w:shd w:val="clear" w:color="auto" w:fill="FFFFFF"/>
        </w:rPr>
        <w:tab/>
      </w:r>
      <w:r w:rsidRPr="001C2D09" w:rsidR="004E27B8">
        <w:rPr>
          <w:spacing w:val="-3"/>
          <w:sz w:val="22"/>
          <w:szCs w:val="22"/>
          <w:shd w:val="clear" w:color="auto" w:fill="FFFFFF"/>
        </w:rPr>
        <w:t>978</w:t>
      </w:r>
      <w:r w:rsidRPr="001C2D09" w:rsidR="00ED6098">
        <w:rPr>
          <w:spacing w:val="-3"/>
          <w:sz w:val="22"/>
          <w:szCs w:val="22"/>
          <w:shd w:val="clear" w:color="auto" w:fill="FFFFFF"/>
        </w:rPr>
        <w:t xml:space="preserve"> </w:t>
      </w:r>
      <w:r w:rsidRPr="001C2D09" w:rsidR="00FD5BC9">
        <w:rPr>
          <w:spacing w:val="-3"/>
          <w:sz w:val="22"/>
          <w:szCs w:val="22"/>
          <w:shd w:val="clear" w:color="auto" w:fill="FFFFFF"/>
        </w:rPr>
        <w:t xml:space="preserve">respondents x </w:t>
      </w:r>
      <w:r w:rsidRPr="001C2D09" w:rsidR="00A34C42">
        <w:rPr>
          <w:spacing w:val="-3"/>
          <w:sz w:val="22"/>
          <w:szCs w:val="22"/>
          <w:shd w:val="clear" w:color="auto" w:fill="FFFFFF"/>
        </w:rPr>
        <w:t>0.</w:t>
      </w:r>
      <w:r w:rsidRPr="001C2D09" w:rsidR="0020529A">
        <w:rPr>
          <w:spacing w:val="-3"/>
          <w:sz w:val="22"/>
          <w:szCs w:val="22"/>
          <w:shd w:val="clear" w:color="auto" w:fill="FFFFFF"/>
        </w:rPr>
        <w:t>5</w:t>
      </w:r>
      <w:r w:rsidRPr="001C2D09" w:rsidR="00A34C42">
        <w:rPr>
          <w:spacing w:val="-3"/>
          <w:sz w:val="22"/>
          <w:szCs w:val="22"/>
          <w:shd w:val="clear" w:color="auto" w:fill="FFFFFF"/>
        </w:rPr>
        <w:t xml:space="preserve"> hours</w:t>
      </w:r>
      <w:r w:rsidRPr="001C2D09" w:rsidR="00FD5BC9">
        <w:rPr>
          <w:spacing w:val="-3"/>
          <w:sz w:val="22"/>
          <w:szCs w:val="22"/>
          <w:shd w:val="clear" w:color="auto" w:fill="FFFFFF"/>
        </w:rPr>
        <w:t xml:space="preserve">/annual recordkeeping </w:t>
      </w:r>
      <w:r w:rsidRPr="001C2D09" w:rsidR="0020529A">
        <w:rPr>
          <w:spacing w:val="-3"/>
          <w:sz w:val="22"/>
          <w:szCs w:val="22"/>
          <w:shd w:val="clear" w:color="auto" w:fill="FFFFFF"/>
        </w:rPr>
        <w:t xml:space="preserve">requirement </w:t>
      </w:r>
      <w:r w:rsidRPr="001C2D09" w:rsidR="00FD5BC9">
        <w:rPr>
          <w:spacing w:val="-3"/>
          <w:sz w:val="22"/>
          <w:szCs w:val="22"/>
          <w:shd w:val="clear" w:color="auto" w:fill="FFFFFF"/>
        </w:rPr>
        <w:t xml:space="preserve">= </w:t>
      </w:r>
      <w:r w:rsidRPr="001C2D09" w:rsidR="008D639C">
        <w:rPr>
          <w:spacing w:val="-3"/>
          <w:sz w:val="22"/>
          <w:szCs w:val="22"/>
          <w:shd w:val="clear" w:color="auto" w:fill="FFFFFF"/>
        </w:rPr>
        <w:t>489</w:t>
      </w:r>
      <w:r w:rsidRPr="001C2D09" w:rsidR="0046169B">
        <w:rPr>
          <w:spacing w:val="-3"/>
          <w:sz w:val="22"/>
          <w:szCs w:val="22"/>
          <w:shd w:val="clear" w:color="auto" w:fill="FFFFFF"/>
        </w:rPr>
        <w:t xml:space="preserve"> </w:t>
      </w:r>
      <w:r w:rsidRPr="001C2D09" w:rsidR="005D0D88">
        <w:rPr>
          <w:spacing w:val="-3"/>
          <w:sz w:val="22"/>
          <w:szCs w:val="22"/>
          <w:shd w:val="clear" w:color="auto" w:fill="FFFFFF"/>
        </w:rPr>
        <w:t>hours</w:t>
      </w:r>
    </w:p>
    <w:p w:rsidR="00C7074D" w:rsidRPr="001C2D09" w:rsidP="0026039C" w14:paraId="199748C2" w14:textId="0520814D">
      <w:pPr>
        <w:spacing w:after="120"/>
        <w:ind w:left="1440"/>
        <w:rPr>
          <w:spacing w:val="-3"/>
          <w:sz w:val="22"/>
          <w:szCs w:val="22"/>
          <w:shd w:val="clear" w:color="auto" w:fill="FFFFFF"/>
        </w:rPr>
      </w:pPr>
    </w:p>
    <w:p w:rsidR="00923C89" w:rsidRPr="001C2D09" w:rsidP="00902D35" w14:paraId="364C8781" w14:textId="0034878C">
      <w:pPr>
        <w:spacing w:after="120"/>
        <w:rPr>
          <w:spacing w:val="-3"/>
          <w:sz w:val="22"/>
          <w:szCs w:val="22"/>
          <w:shd w:val="clear" w:color="auto" w:fill="FFFFFF"/>
        </w:rPr>
      </w:pPr>
      <w:r w:rsidRPr="001C2D09">
        <w:rPr>
          <w:spacing w:val="-3"/>
          <w:sz w:val="22"/>
          <w:szCs w:val="22"/>
          <w:shd w:val="clear" w:color="auto" w:fill="FFFFFF"/>
        </w:rPr>
        <w:tab/>
      </w:r>
      <w:r w:rsidRPr="001C2D09" w:rsidR="00005848">
        <w:rPr>
          <w:spacing w:val="-3"/>
          <w:sz w:val="22"/>
          <w:szCs w:val="22"/>
          <w:shd w:val="clear" w:color="auto" w:fill="FFFFFF"/>
        </w:rPr>
        <w:t>(</w:t>
      </w:r>
      <w:r w:rsidRPr="001C2D09" w:rsidR="009861E9">
        <w:rPr>
          <w:spacing w:val="-3"/>
          <w:sz w:val="22"/>
          <w:szCs w:val="22"/>
          <w:shd w:val="clear" w:color="auto" w:fill="FFFFFF"/>
        </w:rPr>
        <w:t>5</w:t>
      </w:r>
      <w:r w:rsidRPr="001C2D09" w:rsidR="00005848">
        <w:rPr>
          <w:spacing w:val="-3"/>
          <w:sz w:val="22"/>
          <w:szCs w:val="22"/>
          <w:shd w:val="clear" w:color="auto" w:fill="FFFFFF"/>
        </w:rPr>
        <w:t>)</w:t>
      </w:r>
      <w:r w:rsidRPr="001C2D09" w:rsidR="00005848">
        <w:rPr>
          <w:spacing w:val="-3"/>
          <w:sz w:val="22"/>
          <w:szCs w:val="22"/>
          <w:shd w:val="clear" w:color="auto" w:fill="FFFFFF"/>
        </w:rPr>
        <w:tab/>
      </w:r>
      <w:r w:rsidRPr="001C2D09">
        <w:rPr>
          <w:spacing w:val="-3"/>
          <w:sz w:val="22"/>
          <w:szCs w:val="22"/>
          <w:shd w:val="clear" w:color="auto" w:fill="FFFFFF"/>
        </w:rPr>
        <w:t xml:space="preserve">Total “In House” Cost: </w:t>
      </w:r>
      <w:r w:rsidRPr="001C2D09" w:rsidR="001623EF">
        <w:rPr>
          <w:spacing w:val="-3"/>
          <w:sz w:val="22"/>
          <w:szCs w:val="22"/>
          <w:shd w:val="clear" w:color="auto" w:fill="FFFFFF"/>
        </w:rPr>
        <w:t xml:space="preserve"> </w:t>
      </w:r>
      <w:r w:rsidRPr="001C2D09" w:rsidR="002569FA">
        <w:rPr>
          <w:spacing w:val="-3"/>
          <w:sz w:val="22"/>
          <w:szCs w:val="22"/>
          <w:shd w:val="clear" w:color="auto" w:fill="FFFFFF"/>
        </w:rPr>
        <w:t>$</w:t>
      </w:r>
      <w:r w:rsidR="00B9514B">
        <w:rPr>
          <w:spacing w:val="-3"/>
          <w:sz w:val="22"/>
          <w:szCs w:val="22"/>
          <w:shd w:val="clear" w:color="auto" w:fill="FFFFFF"/>
        </w:rPr>
        <w:t>19,307</w:t>
      </w:r>
    </w:p>
    <w:p w:rsidR="00A34C42" w:rsidRPr="001C2D09" w:rsidP="00902D35" w14:paraId="14A1C044" w14:textId="3FFA76CF">
      <w:pPr>
        <w:spacing w:after="120"/>
        <w:rPr>
          <w:spacing w:val="-3"/>
          <w:sz w:val="22"/>
          <w:szCs w:val="22"/>
          <w:shd w:val="clear" w:color="auto" w:fill="FFFFFF"/>
        </w:rPr>
      </w:pPr>
      <w:r w:rsidRPr="001C2D09">
        <w:rPr>
          <w:spacing w:val="-3"/>
          <w:sz w:val="22"/>
          <w:szCs w:val="22"/>
          <w:shd w:val="clear" w:color="auto" w:fill="FFFFFF"/>
        </w:rPr>
        <w:t>The Commission e</w:t>
      </w:r>
      <w:r w:rsidRPr="001C2D09" w:rsidR="00005848">
        <w:rPr>
          <w:spacing w:val="-3"/>
          <w:sz w:val="22"/>
          <w:szCs w:val="22"/>
          <w:shd w:val="clear" w:color="auto" w:fill="FFFFFF"/>
        </w:rPr>
        <w:t xml:space="preserve">stimates </w:t>
      </w:r>
      <w:r w:rsidRPr="001C2D09">
        <w:rPr>
          <w:spacing w:val="-3"/>
          <w:sz w:val="22"/>
          <w:szCs w:val="22"/>
          <w:shd w:val="clear" w:color="auto" w:fill="FFFFFF"/>
        </w:rPr>
        <w:t>that respondent</w:t>
      </w:r>
      <w:r w:rsidRPr="001C2D09" w:rsidR="007C3519">
        <w:rPr>
          <w:spacing w:val="-3"/>
          <w:sz w:val="22"/>
          <w:szCs w:val="22"/>
          <w:shd w:val="clear" w:color="auto" w:fill="FFFFFF"/>
        </w:rPr>
        <w:t>s</w:t>
      </w:r>
      <w:r w:rsidRPr="001C2D09" w:rsidR="00835672">
        <w:rPr>
          <w:spacing w:val="-3"/>
          <w:sz w:val="22"/>
          <w:szCs w:val="22"/>
          <w:shd w:val="clear" w:color="auto" w:fill="FFFFFF"/>
        </w:rPr>
        <w:t xml:space="preserve"> </w:t>
      </w:r>
      <w:r w:rsidRPr="001C2D09">
        <w:rPr>
          <w:spacing w:val="-3"/>
          <w:sz w:val="22"/>
          <w:szCs w:val="22"/>
          <w:shd w:val="clear" w:color="auto" w:fill="FFFFFF"/>
        </w:rPr>
        <w:t xml:space="preserve">will use </w:t>
      </w:r>
      <w:r w:rsidRPr="001C2D09" w:rsidR="00005848">
        <w:rPr>
          <w:spacing w:val="-3"/>
          <w:sz w:val="22"/>
          <w:szCs w:val="22"/>
          <w:shd w:val="clear" w:color="auto" w:fill="FFFFFF"/>
        </w:rPr>
        <w:t>personnel comparable in pay to a GS-</w:t>
      </w:r>
      <w:r w:rsidRPr="001C2D09" w:rsidR="008D3850">
        <w:rPr>
          <w:spacing w:val="-3"/>
          <w:sz w:val="22"/>
          <w:szCs w:val="22"/>
          <w:shd w:val="clear" w:color="auto" w:fill="FFFFFF"/>
        </w:rPr>
        <w:t>7</w:t>
      </w:r>
      <w:r w:rsidRPr="001C2D09" w:rsidR="00855BC1">
        <w:rPr>
          <w:spacing w:val="-3"/>
          <w:sz w:val="22"/>
          <w:szCs w:val="22"/>
          <w:shd w:val="clear" w:color="auto" w:fill="FFFFFF"/>
        </w:rPr>
        <w:t>/</w:t>
      </w:r>
      <w:r w:rsidRPr="001C2D09">
        <w:rPr>
          <w:spacing w:val="-3"/>
          <w:sz w:val="22"/>
          <w:szCs w:val="22"/>
          <w:shd w:val="clear" w:color="auto" w:fill="FFFFFF"/>
        </w:rPr>
        <w:t>Step 5</w:t>
      </w:r>
      <w:r w:rsidRPr="001C2D09" w:rsidR="00CE2DB2">
        <w:rPr>
          <w:spacing w:val="-3"/>
          <w:sz w:val="22"/>
          <w:szCs w:val="22"/>
          <w:shd w:val="clear" w:color="auto" w:fill="FFFFFF"/>
        </w:rPr>
        <w:t xml:space="preserve"> ($</w:t>
      </w:r>
      <w:r w:rsidRPr="001C2D09" w:rsidR="00172B5B">
        <w:rPr>
          <w:spacing w:val="-3"/>
          <w:sz w:val="22"/>
          <w:szCs w:val="22"/>
          <w:shd w:val="clear" w:color="auto" w:fill="FFFFFF"/>
        </w:rPr>
        <w:t>30.37</w:t>
      </w:r>
      <w:r w:rsidRPr="001C2D09" w:rsidR="00855BC1">
        <w:rPr>
          <w:spacing w:val="-3"/>
          <w:sz w:val="22"/>
          <w:szCs w:val="22"/>
          <w:shd w:val="clear" w:color="auto" w:fill="FFFFFF"/>
        </w:rPr>
        <w:t>/hour)</w:t>
      </w:r>
      <w:r w:rsidRPr="001C2D09">
        <w:rPr>
          <w:spacing w:val="-3"/>
          <w:sz w:val="22"/>
          <w:szCs w:val="22"/>
          <w:shd w:val="clear" w:color="auto" w:fill="FFFFFF"/>
        </w:rPr>
        <w:t xml:space="preserve"> </w:t>
      </w:r>
      <w:r w:rsidRPr="001C2D09" w:rsidR="00005848">
        <w:rPr>
          <w:spacing w:val="-3"/>
          <w:sz w:val="22"/>
          <w:szCs w:val="22"/>
          <w:shd w:val="clear" w:color="auto" w:fill="FFFFFF"/>
        </w:rPr>
        <w:t>Federal employee</w:t>
      </w:r>
      <w:r w:rsidRPr="001C2D09" w:rsidR="00855BC1">
        <w:rPr>
          <w:spacing w:val="-3"/>
          <w:sz w:val="22"/>
          <w:szCs w:val="22"/>
          <w:shd w:val="clear" w:color="auto" w:fill="FFFFFF"/>
        </w:rPr>
        <w:t>,</w:t>
      </w:r>
      <w:r w:rsidRPr="001C2D09" w:rsidR="00005848">
        <w:rPr>
          <w:spacing w:val="-3"/>
          <w:sz w:val="22"/>
          <w:szCs w:val="22"/>
          <w:shd w:val="clear" w:color="auto" w:fill="FFFFFF"/>
        </w:rPr>
        <w:t xml:space="preserve"> </w:t>
      </w:r>
      <w:r w:rsidRPr="001C2D09" w:rsidR="00F9632D">
        <w:rPr>
          <w:spacing w:val="-3"/>
          <w:sz w:val="22"/>
          <w:szCs w:val="22"/>
          <w:shd w:val="clear" w:color="auto" w:fill="FFFFFF"/>
        </w:rPr>
        <w:t>plus</w:t>
      </w:r>
      <w:r w:rsidRPr="001C2D09" w:rsidR="00005848">
        <w:rPr>
          <w:spacing w:val="-3"/>
          <w:sz w:val="22"/>
          <w:szCs w:val="22"/>
          <w:shd w:val="clear" w:color="auto" w:fill="FFFFFF"/>
        </w:rPr>
        <w:t xml:space="preserve"> 30% for overhead</w:t>
      </w:r>
      <w:r w:rsidRPr="001C2D09" w:rsidR="00855BC1">
        <w:rPr>
          <w:spacing w:val="-3"/>
          <w:sz w:val="22"/>
          <w:szCs w:val="22"/>
          <w:shd w:val="clear" w:color="auto" w:fill="FFFFFF"/>
        </w:rPr>
        <w:t>,</w:t>
      </w:r>
      <w:r w:rsidRPr="001C2D09" w:rsidR="00005848">
        <w:rPr>
          <w:spacing w:val="-3"/>
          <w:sz w:val="22"/>
          <w:szCs w:val="22"/>
          <w:shd w:val="clear" w:color="auto" w:fill="FFFFFF"/>
        </w:rPr>
        <w:t xml:space="preserve"> to comply with the recordkeeping requirement:  </w:t>
      </w:r>
    </w:p>
    <w:p w:rsidR="0045628D" w:rsidP="000940EC" w14:paraId="64F4937B" w14:textId="2FC022BD">
      <w:pPr>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0940EC">
        <w:rPr>
          <w:spacing w:val="-3"/>
          <w:sz w:val="22"/>
          <w:szCs w:val="22"/>
          <w:shd w:val="clear" w:color="auto" w:fill="FFFFFF"/>
        </w:rPr>
        <w:t>978</w:t>
      </w:r>
      <w:r w:rsidRPr="001C2D09">
        <w:rPr>
          <w:spacing w:val="-3"/>
          <w:sz w:val="22"/>
          <w:szCs w:val="22"/>
          <w:shd w:val="clear" w:color="auto" w:fill="FFFFFF"/>
        </w:rPr>
        <w:t xml:space="preserve"> respondents x 0.5 hours x $</w:t>
      </w:r>
      <w:r w:rsidRPr="001C2D09" w:rsidR="00172B5B">
        <w:rPr>
          <w:spacing w:val="-3"/>
          <w:sz w:val="22"/>
          <w:szCs w:val="22"/>
          <w:shd w:val="clear" w:color="auto" w:fill="FFFFFF"/>
        </w:rPr>
        <w:t>30.37</w:t>
      </w:r>
      <w:r w:rsidRPr="001C2D09">
        <w:rPr>
          <w:spacing w:val="-3"/>
          <w:sz w:val="22"/>
          <w:szCs w:val="22"/>
          <w:shd w:val="clear" w:color="auto" w:fill="FFFFFF"/>
        </w:rPr>
        <w:t xml:space="preserve">/hour = </w:t>
      </w:r>
      <w:r w:rsidR="00B9514B">
        <w:rPr>
          <w:spacing w:val="-3"/>
          <w:sz w:val="22"/>
          <w:szCs w:val="22"/>
          <w:shd w:val="clear" w:color="auto" w:fill="FFFFFF"/>
        </w:rPr>
        <w:tab/>
      </w:r>
      <w:r w:rsidRPr="001C2D09">
        <w:rPr>
          <w:spacing w:val="-3"/>
          <w:sz w:val="22"/>
          <w:szCs w:val="22"/>
          <w:shd w:val="clear" w:color="auto" w:fill="FFFFFF"/>
        </w:rPr>
        <w:t>$</w:t>
      </w:r>
      <w:r w:rsidRPr="001C2D09" w:rsidR="0006117E">
        <w:rPr>
          <w:spacing w:val="-3"/>
          <w:sz w:val="22"/>
          <w:szCs w:val="22"/>
          <w:shd w:val="clear" w:color="auto" w:fill="FFFFFF"/>
        </w:rPr>
        <w:t>14,851</w:t>
      </w:r>
      <w:r w:rsidRPr="001C2D09" w:rsidR="005771A5">
        <w:rPr>
          <w:spacing w:val="-3"/>
          <w:sz w:val="22"/>
          <w:szCs w:val="22"/>
          <w:shd w:val="clear" w:color="auto" w:fill="FFFFFF"/>
        </w:rPr>
        <w:t xml:space="preserve"> </w:t>
      </w:r>
    </w:p>
    <w:p w:rsidR="00B9514B" w:rsidRPr="001C2D09" w:rsidP="00582018" w14:paraId="58F3B0BF" w14:textId="7B82FEFE">
      <w:pPr>
        <w:ind w:left="3600" w:firstLine="720"/>
        <w:rPr>
          <w:spacing w:val="-3"/>
          <w:sz w:val="22"/>
          <w:szCs w:val="22"/>
          <w:u w:val="single"/>
          <w:shd w:val="clear" w:color="auto" w:fill="FFFFFF"/>
        </w:rPr>
      </w:pPr>
      <w:r w:rsidRPr="001C2D09">
        <w:rPr>
          <w:spacing w:val="-3"/>
          <w:sz w:val="22"/>
          <w:szCs w:val="22"/>
          <w:shd w:val="clear" w:color="auto" w:fill="FFFFFF"/>
        </w:rPr>
        <w:t xml:space="preserve">30% overhead = </w:t>
      </w:r>
      <w:r w:rsidRPr="001C2D09">
        <w:rPr>
          <w:spacing w:val="-3"/>
          <w:sz w:val="22"/>
          <w:szCs w:val="22"/>
          <w:u w:val="single"/>
          <w:shd w:val="clear" w:color="auto" w:fill="FFFFFF"/>
        </w:rPr>
        <w:t xml:space="preserve">$ </w:t>
      </w:r>
      <w:r>
        <w:rPr>
          <w:spacing w:val="-3"/>
          <w:sz w:val="22"/>
          <w:szCs w:val="22"/>
          <w:u w:val="single"/>
          <w:shd w:val="clear" w:color="auto" w:fill="FFFFFF"/>
        </w:rPr>
        <w:t>4,456</w:t>
      </w:r>
    </w:p>
    <w:p w:rsidR="00B9514B" w:rsidRPr="001C2D09" w:rsidP="00B9514B" w14:paraId="0E41AFA0" w14:textId="56C0DB69">
      <w:pPr>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t xml:space="preserve">    Total:   </w:t>
      </w:r>
      <w:r>
        <w:rPr>
          <w:spacing w:val="-3"/>
          <w:sz w:val="22"/>
          <w:szCs w:val="22"/>
          <w:shd w:val="clear" w:color="auto" w:fill="FFFFFF"/>
        </w:rPr>
        <w:tab/>
      </w:r>
      <w:r w:rsidRPr="001C2D09">
        <w:rPr>
          <w:spacing w:val="-3"/>
          <w:sz w:val="22"/>
          <w:szCs w:val="22"/>
          <w:shd w:val="clear" w:color="auto" w:fill="FFFFFF"/>
        </w:rPr>
        <w:t>$</w:t>
      </w:r>
      <w:r>
        <w:rPr>
          <w:spacing w:val="-3"/>
          <w:sz w:val="22"/>
          <w:szCs w:val="22"/>
          <w:shd w:val="clear" w:color="auto" w:fill="FFFFFF"/>
        </w:rPr>
        <w:t>19,307</w:t>
      </w:r>
    </w:p>
    <w:p w:rsidR="000940EC" w:rsidRPr="001C2D09" w:rsidP="0026039C" w14:paraId="10F6B7A5" w14:textId="77777777">
      <w:pPr>
        <w:rPr>
          <w:spacing w:val="-3"/>
          <w:sz w:val="22"/>
          <w:szCs w:val="22"/>
          <w:shd w:val="clear" w:color="auto" w:fill="FFFFFF"/>
        </w:rPr>
      </w:pPr>
    </w:p>
    <w:p w:rsidR="008C043F" w:rsidRPr="001C2D09" w:rsidP="00582018" w14:paraId="417D7CF1" w14:textId="48D72207">
      <w:pPr>
        <w:rPr>
          <w:spacing w:val="-3"/>
          <w:sz w:val="22"/>
          <w:szCs w:val="22"/>
          <w:shd w:val="clear" w:color="auto" w:fill="FFFFFF"/>
        </w:rPr>
      </w:pPr>
    </w:p>
    <w:p w:rsidR="00005848" w:rsidRPr="001C2D09" w:rsidP="005771A5" w14:paraId="54C74351" w14:textId="0A496F6C">
      <w:pPr>
        <w:spacing w:after="120"/>
        <w:rPr>
          <w:b/>
          <w:bCs/>
          <w:spacing w:val="-3"/>
          <w:sz w:val="22"/>
          <w:szCs w:val="22"/>
          <w:shd w:val="clear" w:color="auto" w:fill="FFFFFF"/>
        </w:rPr>
      </w:pPr>
      <w:r>
        <w:rPr>
          <w:b/>
          <w:bCs/>
          <w:spacing w:val="-3"/>
          <w:sz w:val="22"/>
          <w:szCs w:val="22"/>
          <w:shd w:val="clear" w:color="auto" w:fill="FFFFFF"/>
        </w:rPr>
        <w:t>(</w:t>
      </w:r>
      <w:r w:rsidRPr="001C2D09" w:rsidR="001D25CE">
        <w:rPr>
          <w:b/>
          <w:bCs/>
          <w:spacing w:val="-3"/>
          <w:sz w:val="22"/>
          <w:szCs w:val="22"/>
          <w:shd w:val="clear" w:color="auto" w:fill="FFFFFF"/>
        </w:rPr>
        <w:t>f</w:t>
      </w:r>
      <w:r>
        <w:rPr>
          <w:b/>
          <w:bCs/>
          <w:spacing w:val="-3"/>
          <w:sz w:val="22"/>
          <w:szCs w:val="22"/>
          <w:shd w:val="clear" w:color="auto" w:fill="FFFFFF"/>
        </w:rPr>
        <w:t>)</w:t>
      </w:r>
      <w:r w:rsidRPr="001C2D09" w:rsidR="001D25CE">
        <w:rPr>
          <w:b/>
          <w:bCs/>
          <w:spacing w:val="-3"/>
          <w:sz w:val="22"/>
          <w:szCs w:val="22"/>
          <w:shd w:val="clear" w:color="auto" w:fill="FFFFFF"/>
        </w:rPr>
        <w:tab/>
        <w:t xml:space="preserve">Compliance Certificate.  </w:t>
      </w:r>
    </w:p>
    <w:p w:rsidR="00177845" w:rsidRPr="001C2D09" w:rsidP="0077092A" w14:paraId="560A7F30" w14:textId="7D3EB4CF">
      <w:pPr>
        <w:rPr>
          <w:spacing w:val="-3"/>
          <w:sz w:val="22"/>
          <w:szCs w:val="22"/>
          <w:shd w:val="clear" w:color="auto" w:fill="FFFFFF"/>
        </w:rPr>
      </w:pPr>
      <w:r w:rsidRPr="001C2D09">
        <w:rPr>
          <w:spacing w:val="-3"/>
          <w:sz w:val="22"/>
          <w:szCs w:val="22"/>
          <w:shd w:val="clear" w:color="auto" w:fill="FFFFFF"/>
        </w:rPr>
        <w:tab/>
      </w:r>
      <w:r w:rsidRPr="001C2D09" w:rsidR="00005848">
        <w:rPr>
          <w:spacing w:val="-3"/>
          <w:sz w:val="22"/>
          <w:szCs w:val="22"/>
          <w:shd w:val="clear" w:color="auto" w:fill="FFFFFF"/>
        </w:rPr>
        <w:t>(1)</w:t>
      </w:r>
      <w:r w:rsidRPr="001C2D09" w:rsidR="00005848">
        <w:rPr>
          <w:spacing w:val="-3"/>
          <w:sz w:val="22"/>
          <w:szCs w:val="22"/>
          <w:shd w:val="clear" w:color="auto" w:fill="FFFFFF"/>
        </w:rPr>
        <w:tab/>
        <w:t xml:space="preserve">Number of </w:t>
      </w:r>
      <w:r w:rsidRPr="001C2D09" w:rsidR="00CE3C89">
        <w:rPr>
          <w:spacing w:val="-3"/>
          <w:sz w:val="22"/>
          <w:szCs w:val="22"/>
          <w:shd w:val="clear" w:color="auto" w:fill="FFFFFF"/>
        </w:rPr>
        <w:t>R</w:t>
      </w:r>
      <w:r w:rsidRPr="001C2D09" w:rsidR="00005848">
        <w:rPr>
          <w:spacing w:val="-3"/>
          <w:sz w:val="22"/>
          <w:szCs w:val="22"/>
          <w:shd w:val="clear" w:color="auto" w:fill="FFFFFF"/>
        </w:rPr>
        <w:t>espondents:</w:t>
      </w:r>
      <w:r w:rsidRPr="001C2D09" w:rsidR="00853514">
        <w:rPr>
          <w:spacing w:val="-3"/>
          <w:sz w:val="22"/>
          <w:szCs w:val="22"/>
          <w:shd w:val="clear" w:color="auto" w:fill="FFFFFF"/>
        </w:rPr>
        <w:t xml:space="preserve"> </w:t>
      </w:r>
      <w:r w:rsidRPr="001C2D09" w:rsidR="001623EF">
        <w:rPr>
          <w:spacing w:val="-3"/>
          <w:sz w:val="22"/>
          <w:szCs w:val="22"/>
          <w:shd w:val="clear" w:color="auto" w:fill="FFFFFF"/>
        </w:rPr>
        <w:t xml:space="preserve"> </w:t>
      </w:r>
      <w:r w:rsidRPr="001C2D09" w:rsidR="006578AA">
        <w:rPr>
          <w:spacing w:val="-3"/>
          <w:sz w:val="22"/>
          <w:szCs w:val="22"/>
          <w:shd w:val="clear" w:color="auto" w:fill="FFFFFF"/>
        </w:rPr>
        <w:t xml:space="preserve"> 2,935</w:t>
      </w:r>
    </w:p>
    <w:p w:rsidR="005C0F99" w:rsidRPr="001C2D09" w:rsidP="0077092A" w14:paraId="7C8BCE3C" w14:textId="4640EADE">
      <w:pPr>
        <w:rPr>
          <w:spacing w:val="-3"/>
          <w:sz w:val="22"/>
          <w:szCs w:val="22"/>
          <w:shd w:val="clear" w:color="auto" w:fill="FFFFFF"/>
        </w:rPr>
      </w:pPr>
      <w:r w:rsidRPr="001C2D09">
        <w:rPr>
          <w:spacing w:val="-3"/>
          <w:sz w:val="22"/>
          <w:szCs w:val="22"/>
          <w:shd w:val="clear" w:color="auto" w:fill="FFFFFF"/>
        </w:rPr>
        <w:tab/>
        <w:t>(2)</w:t>
      </w:r>
      <w:r w:rsidRPr="001C2D09">
        <w:rPr>
          <w:spacing w:val="-3"/>
          <w:sz w:val="22"/>
          <w:szCs w:val="22"/>
          <w:shd w:val="clear" w:color="auto" w:fill="FFFFFF"/>
        </w:rPr>
        <w:tab/>
        <w:t xml:space="preserve">Frequency of </w:t>
      </w:r>
      <w:r w:rsidRPr="001C2D09" w:rsidR="00CE3C89">
        <w:rPr>
          <w:spacing w:val="-3"/>
          <w:sz w:val="22"/>
          <w:szCs w:val="22"/>
          <w:shd w:val="clear" w:color="auto" w:fill="FFFFFF"/>
        </w:rPr>
        <w:t>R</w:t>
      </w:r>
      <w:r w:rsidRPr="001C2D09">
        <w:rPr>
          <w:spacing w:val="-3"/>
          <w:sz w:val="22"/>
          <w:szCs w:val="22"/>
          <w:shd w:val="clear" w:color="auto" w:fill="FFFFFF"/>
        </w:rPr>
        <w:t>esponse:  Annual reporting requirement.</w:t>
      </w:r>
    </w:p>
    <w:p w:rsidR="00005848" w:rsidRPr="001C2D09" w:rsidP="00202217" w14:paraId="66EF68E3" w14:textId="70A0FE9B">
      <w:pPr>
        <w:spacing w:after="120"/>
        <w:rPr>
          <w:spacing w:val="-3"/>
          <w:sz w:val="22"/>
          <w:szCs w:val="22"/>
          <w:shd w:val="clear" w:color="auto" w:fill="FFFFFF"/>
        </w:rPr>
      </w:pPr>
      <w:r w:rsidRPr="001C2D09">
        <w:rPr>
          <w:spacing w:val="-3"/>
          <w:sz w:val="22"/>
          <w:szCs w:val="22"/>
          <w:shd w:val="clear" w:color="auto" w:fill="FFFFFF"/>
        </w:rPr>
        <w:tab/>
      </w:r>
      <w:r w:rsidRPr="001C2D09" w:rsidR="00177845">
        <w:rPr>
          <w:spacing w:val="-3"/>
          <w:sz w:val="22"/>
          <w:szCs w:val="22"/>
          <w:shd w:val="clear" w:color="auto" w:fill="FFFFFF"/>
        </w:rPr>
        <w:t>(</w:t>
      </w:r>
      <w:r w:rsidRPr="001C2D09" w:rsidR="005C0F99">
        <w:rPr>
          <w:spacing w:val="-3"/>
          <w:sz w:val="22"/>
          <w:szCs w:val="22"/>
          <w:shd w:val="clear" w:color="auto" w:fill="FFFFFF"/>
        </w:rPr>
        <w:t>3</w:t>
      </w:r>
      <w:r w:rsidRPr="001C2D09" w:rsidR="00177845">
        <w:rPr>
          <w:spacing w:val="-3"/>
          <w:sz w:val="22"/>
          <w:szCs w:val="22"/>
          <w:shd w:val="clear" w:color="auto" w:fill="FFFFFF"/>
        </w:rPr>
        <w:t>)</w:t>
      </w:r>
      <w:r w:rsidRPr="001C2D09" w:rsidR="00177845">
        <w:rPr>
          <w:spacing w:val="-3"/>
          <w:sz w:val="22"/>
          <w:szCs w:val="22"/>
          <w:shd w:val="clear" w:color="auto" w:fill="FFFFFF"/>
        </w:rPr>
        <w:tab/>
        <w:t>Total Number of Responses Annually:</w:t>
      </w:r>
      <w:r w:rsidRPr="001C2D09">
        <w:rPr>
          <w:spacing w:val="-3"/>
          <w:sz w:val="22"/>
          <w:szCs w:val="22"/>
          <w:shd w:val="clear" w:color="auto" w:fill="FFFFFF"/>
        </w:rPr>
        <w:t xml:space="preserve"> </w:t>
      </w:r>
      <w:r w:rsidRPr="001C2D09" w:rsidR="00177845">
        <w:rPr>
          <w:spacing w:val="-3"/>
          <w:sz w:val="22"/>
          <w:szCs w:val="22"/>
          <w:shd w:val="clear" w:color="auto" w:fill="FFFFFF"/>
        </w:rPr>
        <w:t xml:space="preserve"> </w:t>
      </w:r>
      <w:r w:rsidRPr="001C2D09" w:rsidR="006578AA">
        <w:rPr>
          <w:spacing w:val="-3"/>
          <w:sz w:val="22"/>
          <w:szCs w:val="22"/>
          <w:shd w:val="clear" w:color="auto" w:fill="FFFFFF"/>
        </w:rPr>
        <w:t xml:space="preserve">2,935 </w:t>
      </w:r>
      <w:r w:rsidRPr="001C2D09" w:rsidR="006F7B83">
        <w:rPr>
          <w:spacing w:val="-3"/>
          <w:sz w:val="22"/>
          <w:szCs w:val="22"/>
          <w:shd w:val="clear" w:color="auto" w:fill="FFFFFF"/>
        </w:rPr>
        <w:t>responses</w:t>
      </w:r>
    </w:p>
    <w:p w:rsidR="00177845" w:rsidRPr="001C2D09" w:rsidP="00202217" w14:paraId="1A386B7C" w14:textId="76D8FB3A">
      <w:pPr>
        <w:spacing w:after="12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6578AA">
        <w:rPr>
          <w:spacing w:val="-3"/>
          <w:sz w:val="22"/>
          <w:szCs w:val="22"/>
          <w:shd w:val="clear" w:color="auto" w:fill="FFFFFF"/>
        </w:rPr>
        <w:t xml:space="preserve">2,935 </w:t>
      </w:r>
      <w:r w:rsidRPr="001C2D09">
        <w:rPr>
          <w:spacing w:val="-3"/>
          <w:sz w:val="22"/>
          <w:szCs w:val="22"/>
          <w:shd w:val="clear" w:color="auto" w:fill="FFFFFF"/>
        </w:rPr>
        <w:t xml:space="preserve">respondents x 1 response/annum = </w:t>
      </w:r>
      <w:r w:rsidRPr="001C2D09" w:rsidR="006578AA">
        <w:rPr>
          <w:spacing w:val="-3"/>
          <w:sz w:val="22"/>
          <w:szCs w:val="22"/>
          <w:shd w:val="clear" w:color="auto" w:fill="FFFFFF"/>
        </w:rPr>
        <w:t xml:space="preserve">2,935 </w:t>
      </w:r>
      <w:r w:rsidRPr="001C2D09">
        <w:rPr>
          <w:spacing w:val="-3"/>
          <w:sz w:val="22"/>
          <w:szCs w:val="22"/>
          <w:shd w:val="clear" w:color="auto" w:fill="FFFFFF"/>
        </w:rPr>
        <w:t>responses</w:t>
      </w:r>
      <w:r w:rsidRPr="001C2D09" w:rsidR="007455D6">
        <w:rPr>
          <w:spacing w:val="-3"/>
          <w:sz w:val="22"/>
          <w:szCs w:val="22"/>
          <w:shd w:val="clear" w:color="auto" w:fill="FFFFFF"/>
        </w:rPr>
        <w:t xml:space="preserve"> (reporting requirement)</w:t>
      </w:r>
    </w:p>
    <w:p w:rsidR="00005848" w:rsidRPr="001C2D09" w:rsidP="0077092A" w14:paraId="2DC96239" w14:textId="7060B562">
      <w:pPr>
        <w:rPr>
          <w:spacing w:val="-3"/>
          <w:sz w:val="22"/>
          <w:szCs w:val="22"/>
          <w:shd w:val="clear" w:color="auto" w:fill="FFFFFF"/>
        </w:rPr>
      </w:pPr>
      <w:r w:rsidRPr="001C2D09">
        <w:rPr>
          <w:spacing w:val="-3"/>
          <w:sz w:val="22"/>
          <w:szCs w:val="22"/>
          <w:shd w:val="clear" w:color="auto" w:fill="FFFFFF"/>
        </w:rPr>
        <w:tab/>
        <w:t>(</w:t>
      </w:r>
      <w:r w:rsidRPr="001C2D09" w:rsidR="002A0EC4">
        <w:rPr>
          <w:spacing w:val="-3"/>
          <w:sz w:val="22"/>
          <w:szCs w:val="22"/>
          <w:shd w:val="clear" w:color="auto" w:fill="FFFFFF"/>
        </w:rPr>
        <w:t>4</w:t>
      </w:r>
      <w:r w:rsidRPr="001C2D09">
        <w:rPr>
          <w:spacing w:val="-3"/>
          <w:sz w:val="22"/>
          <w:szCs w:val="22"/>
          <w:shd w:val="clear" w:color="auto" w:fill="FFFFFF"/>
        </w:rPr>
        <w:t>)</w:t>
      </w:r>
      <w:r w:rsidRPr="001C2D09">
        <w:rPr>
          <w:spacing w:val="-3"/>
          <w:sz w:val="22"/>
          <w:szCs w:val="22"/>
          <w:shd w:val="clear" w:color="auto" w:fill="FFFFFF"/>
        </w:rPr>
        <w:tab/>
      </w:r>
      <w:r w:rsidRPr="001C2D09" w:rsidR="002A0EC4">
        <w:rPr>
          <w:spacing w:val="-3"/>
          <w:sz w:val="22"/>
          <w:szCs w:val="22"/>
          <w:shd w:val="clear" w:color="auto" w:fill="FFFFFF"/>
        </w:rPr>
        <w:t xml:space="preserve">Total </w:t>
      </w:r>
      <w:r w:rsidRPr="001C2D09">
        <w:rPr>
          <w:spacing w:val="-3"/>
          <w:sz w:val="22"/>
          <w:szCs w:val="22"/>
          <w:shd w:val="clear" w:color="auto" w:fill="FFFFFF"/>
        </w:rPr>
        <w:t xml:space="preserve">Annual </w:t>
      </w:r>
      <w:r w:rsidRPr="001C2D09" w:rsidR="002A0EC4">
        <w:rPr>
          <w:spacing w:val="-3"/>
          <w:sz w:val="22"/>
          <w:szCs w:val="22"/>
          <w:shd w:val="clear" w:color="auto" w:fill="FFFFFF"/>
        </w:rPr>
        <w:t>H</w:t>
      </w:r>
      <w:r w:rsidRPr="001C2D09">
        <w:rPr>
          <w:spacing w:val="-3"/>
          <w:sz w:val="22"/>
          <w:szCs w:val="22"/>
          <w:shd w:val="clear" w:color="auto" w:fill="FFFFFF"/>
        </w:rPr>
        <w:t>our</w:t>
      </w:r>
      <w:r w:rsidRPr="001C2D09" w:rsidR="002A0EC4">
        <w:rPr>
          <w:spacing w:val="-3"/>
          <w:sz w:val="22"/>
          <w:szCs w:val="22"/>
          <w:shd w:val="clear" w:color="auto" w:fill="FFFFFF"/>
        </w:rPr>
        <w:t>ly B</w:t>
      </w:r>
      <w:r w:rsidRPr="001C2D09">
        <w:rPr>
          <w:spacing w:val="-3"/>
          <w:sz w:val="22"/>
          <w:szCs w:val="22"/>
          <w:shd w:val="clear" w:color="auto" w:fill="FFFFFF"/>
        </w:rPr>
        <w:t xml:space="preserve">urden: </w:t>
      </w:r>
      <w:r w:rsidRPr="001C2D09" w:rsidR="001623EF">
        <w:rPr>
          <w:spacing w:val="-3"/>
          <w:sz w:val="22"/>
          <w:szCs w:val="22"/>
          <w:shd w:val="clear" w:color="auto" w:fill="FFFFFF"/>
        </w:rPr>
        <w:t xml:space="preserve"> </w:t>
      </w:r>
      <w:r w:rsidRPr="001C2D09" w:rsidR="00A66425">
        <w:rPr>
          <w:sz w:val="22"/>
          <w:szCs w:val="22"/>
        </w:rPr>
        <w:t xml:space="preserve">2,935 </w:t>
      </w:r>
      <w:r w:rsidRPr="001C2D09">
        <w:rPr>
          <w:spacing w:val="-3"/>
          <w:sz w:val="22"/>
          <w:szCs w:val="22"/>
          <w:shd w:val="clear" w:color="auto" w:fill="FFFFFF"/>
        </w:rPr>
        <w:t>hours</w:t>
      </w:r>
      <w:r w:rsidRPr="001C2D09" w:rsidR="008D3850">
        <w:rPr>
          <w:spacing w:val="-3"/>
          <w:sz w:val="22"/>
          <w:szCs w:val="22"/>
          <w:shd w:val="clear" w:color="auto" w:fill="FFFFFF"/>
        </w:rPr>
        <w:t xml:space="preserve"> </w:t>
      </w:r>
    </w:p>
    <w:p w:rsidR="00005848" w:rsidRPr="001C2D09" w:rsidP="0077092A" w14:paraId="21C9E84C" w14:textId="77777777">
      <w:pPr>
        <w:rPr>
          <w:spacing w:val="-3"/>
          <w:sz w:val="22"/>
          <w:szCs w:val="22"/>
          <w:shd w:val="clear" w:color="auto" w:fill="FFFFFF"/>
        </w:rPr>
      </w:pPr>
    </w:p>
    <w:p w:rsidR="00827251" w:rsidRPr="001C2D09" w:rsidP="00202217" w14:paraId="59E16471" w14:textId="3E44437F">
      <w:pPr>
        <w:tabs>
          <w:tab w:val="left" w:pos="1080"/>
        </w:tabs>
        <w:spacing w:after="120"/>
        <w:rPr>
          <w:spacing w:val="-3"/>
          <w:sz w:val="22"/>
          <w:szCs w:val="22"/>
          <w:shd w:val="clear" w:color="auto" w:fill="FFFFFF"/>
        </w:rPr>
      </w:pPr>
      <w:r w:rsidRPr="001C2D09">
        <w:rPr>
          <w:spacing w:val="-3"/>
          <w:sz w:val="22"/>
          <w:szCs w:val="22"/>
          <w:shd w:val="clear" w:color="auto" w:fill="FFFFFF"/>
        </w:rPr>
        <w:t>The Commission</w:t>
      </w:r>
      <w:r w:rsidRPr="001C2D09" w:rsidR="00005848">
        <w:rPr>
          <w:spacing w:val="-3"/>
          <w:sz w:val="22"/>
          <w:szCs w:val="22"/>
          <w:shd w:val="clear" w:color="auto" w:fill="FFFFFF"/>
        </w:rPr>
        <w:t xml:space="preserve"> estimate</w:t>
      </w:r>
      <w:r w:rsidRPr="001C2D09">
        <w:rPr>
          <w:spacing w:val="-3"/>
          <w:sz w:val="22"/>
          <w:szCs w:val="22"/>
          <w:shd w:val="clear" w:color="auto" w:fill="FFFFFF"/>
        </w:rPr>
        <w:t>s</w:t>
      </w:r>
      <w:r w:rsidRPr="001C2D09" w:rsidR="00005848">
        <w:rPr>
          <w:spacing w:val="-3"/>
          <w:sz w:val="22"/>
          <w:szCs w:val="22"/>
          <w:shd w:val="clear" w:color="auto" w:fill="FFFFFF"/>
        </w:rPr>
        <w:t xml:space="preserve"> that </w:t>
      </w:r>
      <w:r w:rsidRPr="001C2D09">
        <w:rPr>
          <w:spacing w:val="-3"/>
          <w:sz w:val="22"/>
          <w:szCs w:val="22"/>
          <w:shd w:val="clear" w:color="auto" w:fill="FFFFFF"/>
        </w:rPr>
        <w:t>respondents will</w:t>
      </w:r>
      <w:r w:rsidRPr="001C2D09" w:rsidR="00005848">
        <w:rPr>
          <w:spacing w:val="-3"/>
          <w:sz w:val="22"/>
          <w:szCs w:val="22"/>
          <w:shd w:val="clear" w:color="auto" w:fill="FFFFFF"/>
        </w:rPr>
        <w:t xml:space="preserve"> take approximately </w:t>
      </w:r>
      <w:r w:rsidRPr="001C2D09" w:rsidR="00A66425">
        <w:rPr>
          <w:sz w:val="22"/>
          <w:szCs w:val="22"/>
        </w:rPr>
        <w:t>1</w:t>
      </w:r>
      <w:r w:rsidRPr="001C2D09" w:rsidR="00005848">
        <w:rPr>
          <w:spacing w:val="-3"/>
          <w:sz w:val="22"/>
          <w:szCs w:val="22"/>
          <w:shd w:val="clear" w:color="auto" w:fill="FFFFFF"/>
        </w:rPr>
        <w:t xml:space="preserve"> hour</w:t>
      </w:r>
      <w:r w:rsidRPr="001C2D09" w:rsidR="00C604B2">
        <w:rPr>
          <w:spacing w:val="-3"/>
          <w:sz w:val="22"/>
          <w:szCs w:val="22"/>
          <w:shd w:val="clear" w:color="auto" w:fill="FFFFFF"/>
        </w:rPr>
        <w:t xml:space="preserve"> annually</w:t>
      </w:r>
      <w:r w:rsidRPr="001C2D09" w:rsidR="00005848">
        <w:rPr>
          <w:spacing w:val="-3"/>
          <w:sz w:val="22"/>
          <w:szCs w:val="22"/>
          <w:shd w:val="clear" w:color="auto" w:fill="FFFFFF"/>
        </w:rPr>
        <w:t xml:space="preserve"> to comply with the </w:t>
      </w:r>
      <w:r w:rsidRPr="001C2D09" w:rsidR="001E78AA">
        <w:rPr>
          <w:spacing w:val="-3"/>
          <w:sz w:val="22"/>
          <w:szCs w:val="22"/>
          <w:shd w:val="clear" w:color="auto" w:fill="FFFFFF"/>
        </w:rPr>
        <w:t xml:space="preserve">requirement that they </w:t>
      </w:r>
      <w:r w:rsidRPr="001C2D09" w:rsidR="00D54D47">
        <w:rPr>
          <w:spacing w:val="-3"/>
          <w:sz w:val="22"/>
          <w:szCs w:val="22"/>
          <w:shd w:val="clear" w:color="auto" w:fill="FFFFFF"/>
        </w:rPr>
        <w:t xml:space="preserve">file </w:t>
      </w:r>
      <w:r w:rsidRPr="001C2D09" w:rsidR="002573AD">
        <w:rPr>
          <w:spacing w:val="-3"/>
          <w:sz w:val="22"/>
          <w:szCs w:val="22"/>
          <w:shd w:val="clear" w:color="auto" w:fill="FFFFFF"/>
        </w:rPr>
        <w:t>their compliance certificate</w:t>
      </w:r>
      <w:r w:rsidRPr="001C2D09" w:rsidR="00100A52">
        <w:rPr>
          <w:spacing w:val="-3"/>
          <w:sz w:val="22"/>
          <w:szCs w:val="22"/>
          <w:shd w:val="clear" w:color="auto" w:fill="FFFFFF"/>
        </w:rPr>
        <w:t>.</w:t>
      </w:r>
    </w:p>
    <w:p w:rsidR="00005848" w:rsidRPr="001C2D09" w:rsidP="00202217" w14:paraId="7710064A" w14:textId="5BDE40FE">
      <w:pPr>
        <w:spacing w:after="120"/>
        <w:rPr>
          <w:spacing w:val="-3"/>
          <w:sz w:val="22"/>
          <w:szCs w:val="22"/>
          <w:shd w:val="clear" w:color="auto" w:fill="FFFFFF"/>
        </w:rPr>
      </w:pPr>
      <w:r w:rsidRPr="001C2D09">
        <w:rPr>
          <w:spacing w:val="-3"/>
          <w:sz w:val="22"/>
          <w:szCs w:val="22"/>
          <w:shd w:val="clear" w:color="auto" w:fill="FFFFFF"/>
        </w:rPr>
        <w:tab/>
      </w:r>
      <w:r w:rsidRPr="001C2D09" w:rsidR="000C6278">
        <w:rPr>
          <w:sz w:val="22"/>
          <w:szCs w:val="22"/>
        </w:rPr>
        <w:t>2,935</w:t>
      </w:r>
      <w:r w:rsidRPr="001C2D09" w:rsidR="00ED6098">
        <w:rPr>
          <w:sz w:val="22"/>
          <w:szCs w:val="22"/>
        </w:rPr>
        <w:t xml:space="preserve"> </w:t>
      </w:r>
      <w:r w:rsidRPr="001C2D09" w:rsidR="00B46FB6">
        <w:rPr>
          <w:spacing w:val="-3"/>
          <w:sz w:val="22"/>
          <w:szCs w:val="22"/>
          <w:shd w:val="clear" w:color="auto" w:fill="FFFFFF"/>
        </w:rPr>
        <w:t xml:space="preserve">respondents x </w:t>
      </w:r>
      <w:r w:rsidRPr="001C2D09" w:rsidR="00A66425">
        <w:rPr>
          <w:sz w:val="22"/>
          <w:szCs w:val="22"/>
        </w:rPr>
        <w:t>1</w:t>
      </w:r>
      <w:r w:rsidRPr="001C2D09" w:rsidR="000C6278">
        <w:rPr>
          <w:sz w:val="22"/>
          <w:szCs w:val="22"/>
        </w:rPr>
        <w:t xml:space="preserve"> </w:t>
      </w:r>
      <w:r w:rsidRPr="001C2D09" w:rsidR="00B46FB6">
        <w:rPr>
          <w:spacing w:val="-3"/>
          <w:sz w:val="22"/>
          <w:szCs w:val="22"/>
          <w:shd w:val="clear" w:color="auto" w:fill="FFFFFF"/>
        </w:rPr>
        <w:t>hour/certification</w:t>
      </w:r>
      <w:r w:rsidRPr="001C2D09" w:rsidR="00100A52">
        <w:rPr>
          <w:spacing w:val="-3"/>
          <w:sz w:val="22"/>
          <w:szCs w:val="22"/>
          <w:shd w:val="clear" w:color="auto" w:fill="FFFFFF"/>
        </w:rPr>
        <w:t xml:space="preserve"> certificate</w:t>
      </w:r>
      <w:r w:rsidRPr="001C2D09" w:rsidR="00B46FB6">
        <w:rPr>
          <w:spacing w:val="-3"/>
          <w:sz w:val="22"/>
          <w:szCs w:val="22"/>
          <w:shd w:val="clear" w:color="auto" w:fill="FFFFFF"/>
        </w:rPr>
        <w:t xml:space="preserve"> = </w:t>
      </w:r>
      <w:r w:rsidRPr="001C2D09" w:rsidR="00FB235D">
        <w:rPr>
          <w:spacing w:val="-3"/>
          <w:sz w:val="22"/>
          <w:szCs w:val="22"/>
          <w:shd w:val="clear" w:color="auto" w:fill="FFFFFF"/>
        </w:rPr>
        <w:t xml:space="preserve"> </w:t>
      </w:r>
      <w:r w:rsidRPr="001C2D09" w:rsidR="00A66425">
        <w:rPr>
          <w:sz w:val="22"/>
          <w:szCs w:val="22"/>
        </w:rPr>
        <w:t>2,935</w:t>
      </w:r>
      <w:r w:rsidRPr="001C2D09" w:rsidR="00B46FB6">
        <w:rPr>
          <w:spacing w:val="-3"/>
          <w:sz w:val="22"/>
          <w:szCs w:val="22"/>
          <w:shd w:val="clear" w:color="auto" w:fill="FFFFFF"/>
        </w:rPr>
        <w:t xml:space="preserve"> hours</w:t>
      </w:r>
    </w:p>
    <w:p w:rsidR="00F827F6" w:rsidRPr="001C2D09" w:rsidP="00202217" w14:paraId="4F1DBBAC" w14:textId="30F8E407">
      <w:pPr>
        <w:ind w:left="720"/>
        <w:rPr>
          <w:spacing w:val="-3"/>
          <w:sz w:val="22"/>
          <w:szCs w:val="22"/>
          <w:shd w:val="clear" w:color="auto" w:fill="FFFFFF"/>
        </w:rPr>
      </w:pPr>
      <w:r w:rsidRPr="001C2D09">
        <w:rPr>
          <w:spacing w:val="-3"/>
          <w:sz w:val="22"/>
          <w:szCs w:val="22"/>
          <w:shd w:val="clear" w:color="auto" w:fill="FFFFFF"/>
        </w:rPr>
        <w:t>(5)</w:t>
      </w:r>
      <w:r w:rsidRPr="001C2D09">
        <w:rPr>
          <w:spacing w:val="-3"/>
          <w:sz w:val="22"/>
          <w:szCs w:val="22"/>
          <w:shd w:val="clear" w:color="auto" w:fill="FFFFFF"/>
        </w:rPr>
        <w:tab/>
        <w:t>Total “In House” C</w:t>
      </w:r>
      <w:r w:rsidRPr="001C2D09" w:rsidR="00005848">
        <w:rPr>
          <w:spacing w:val="-3"/>
          <w:sz w:val="22"/>
          <w:szCs w:val="22"/>
          <w:shd w:val="clear" w:color="auto" w:fill="FFFFFF"/>
        </w:rPr>
        <w:t>ost</w:t>
      </w:r>
      <w:r w:rsidRPr="001C2D09" w:rsidR="00853514">
        <w:rPr>
          <w:spacing w:val="-3"/>
          <w:sz w:val="22"/>
          <w:szCs w:val="22"/>
          <w:shd w:val="clear" w:color="auto" w:fill="FFFFFF"/>
        </w:rPr>
        <w:t xml:space="preserve">: </w:t>
      </w:r>
      <w:r w:rsidRPr="001C2D09" w:rsidR="00C346CE">
        <w:rPr>
          <w:spacing w:val="-3"/>
          <w:sz w:val="22"/>
          <w:szCs w:val="22"/>
          <w:shd w:val="clear" w:color="auto" w:fill="FFFFFF"/>
        </w:rPr>
        <w:t xml:space="preserve"> </w:t>
      </w:r>
      <w:r w:rsidRPr="001C2D09" w:rsidR="00123418">
        <w:rPr>
          <w:spacing w:val="-3"/>
          <w:sz w:val="22"/>
          <w:szCs w:val="22"/>
          <w:shd w:val="clear" w:color="auto" w:fill="FFFFFF"/>
        </w:rPr>
        <w:t>$</w:t>
      </w:r>
      <w:r w:rsidRPr="001C2D09" w:rsidR="004359BC">
        <w:rPr>
          <w:sz w:val="22"/>
          <w:szCs w:val="22"/>
        </w:rPr>
        <w:t>339,732</w:t>
      </w:r>
    </w:p>
    <w:p w:rsidR="00840B2C" w:rsidRPr="001C2D09" w:rsidP="0077092A" w14:paraId="42B58BF4" w14:textId="77777777">
      <w:pPr>
        <w:rPr>
          <w:spacing w:val="-3"/>
          <w:sz w:val="22"/>
          <w:szCs w:val="22"/>
          <w:shd w:val="clear" w:color="auto" w:fill="FFFFFF"/>
        </w:rPr>
      </w:pPr>
    </w:p>
    <w:p w:rsidR="00C62E13" w:rsidRPr="001C2D09" w:rsidP="0077092A" w14:paraId="49C6DAA5" w14:textId="5750B31D">
      <w:pPr>
        <w:rPr>
          <w:spacing w:val="-3"/>
          <w:sz w:val="22"/>
          <w:szCs w:val="22"/>
          <w:shd w:val="clear" w:color="auto" w:fill="FFFFFF"/>
        </w:rPr>
      </w:pPr>
      <w:r w:rsidRPr="001C2D09">
        <w:rPr>
          <w:spacing w:val="-3"/>
          <w:sz w:val="22"/>
          <w:szCs w:val="22"/>
          <w:shd w:val="clear" w:color="auto" w:fill="FFFFFF"/>
        </w:rPr>
        <w:t xml:space="preserve">The Commission estimates that </w:t>
      </w:r>
      <w:r w:rsidRPr="001C2D09" w:rsidR="00F95C9C">
        <w:rPr>
          <w:spacing w:val="-3"/>
          <w:sz w:val="22"/>
          <w:szCs w:val="22"/>
          <w:shd w:val="clear" w:color="auto" w:fill="FFFFFF"/>
        </w:rPr>
        <w:t>respondent</w:t>
      </w:r>
      <w:r w:rsidRPr="001C2D09" w:rsidR="00840B2C">
        <w:rPr>
          <w:spacing w:val="-3"/>
          <w:sz w:val="22"/>
          <w:szCs w:val="22"/>
          <w:shd w:val="clear" w:color="auto" w:fill="FFFFFF"/>
        </w:rPr>
        <w:t>s</w:t>
      </w:r>
      <w:r w:rsidRPr="001C2D09">
        <w:rPr>
          <w:spacing w:val="-3"/>
          <w:sz w:val="22"/>
          <w:szCs w:val="22"/>
          <w:shd w:val="clear" w:color="auto" w:fill="FFFFFF"/>
        </w:rPr>
        <w:t xml:space="preserve"> </w:t>
      </w:r>
      <w:r w:rsidRPr="001C2D09" w:rsidR="006249B1">
        <w:rPr>
          <w:spacing w:val="-3"/>
          <w:sz w:val="22"/>
          <w:szCs w:val="22"/>
          <w:shd w:val="clear" w:color="auto" w:fill="FFFFFF"/>
        </w:rPr>
        <w:t xml:space="preserve">will </w:t>
      </w:r>
      <w:r w:rsidRPr="001C2D09" w:rsidR="00005848">
        <w:rPr>
          <w:spacing w:val="-3"/>
          <w:sz w:val="22"/>
          <w:szCs w:val="22"/>
          <w:shd w:val="clear" w:color="auto" w:fill="FFFFFF"/>
        </w:rPr>
        <w:t>use personnel comparable in pay to a GS-</w:t>
      </w:r>
      <w:r w:rsidRPr="001C2D09">
        <w:rPr>
          <w:spacing w:val="-3"/>
          <w:sz w:val="22"/>
          <w:szCs w:val="22"/>
          <w:shd w:val="clear" w:color="auto" w:fill="FFFFFF"/>
        </w:rPr>
        <w:t>15</w:t>
      </w:r>
      <w:r w:rsidRPr="001C2D09" w:rsidR="00C61728">
        <w:rPr>
          <w:spacing w:val="-3"/>
          <w:sz w:val="22"/>
          <w:szCs w:val="22"/>
          <w:shd w:val="clear" w:color="auto" w:fill="FFFFFF"/>
        </w:rPr>
        <w:t>/</w:t>
      </w:r>
      <w:r w:rsidRPr="001C2D09">
        <w:rPr>
          <w:spacing w:val="-3"/>
          <w:sz w:val="22"/>
          <w:szCs w:val="22"/>
          <w:shd w:val="clear" w:color="auto" w:fill="FFFFFF"/>
        </w:rPr>
        <w:t>Step 5 ($</w:t>
      </w:r>
      <w:r w:rsidRPr="001C2D09" w:rsidR="00A33DAF">
        <w:rPr>
          <w:sz w:val="22"/>
          <w:szCs w:val="22"/>
        </w:rPr>
        <w:t>89.04</w:t>
      </w:r>
      <w:r w:rsidRPr="001C2D09" w:rsidR="00C61728">
        <w:rPr>
          <w:spacing w:val="-3"/>
          <w:sz w:val="22"/>
          <w:szCs w:val="22"/>
          <w:shd w:val="clear" w:color="auto" w:fill="FFFFFF"/>
        </w:rPr>
        <w:t>/hour</w:t>
      </w:r>
      <w:r w:rsidRPr="001C2D09">
        <w:rPr>
          <w:spacing w:val="-3"/>
          <w:sz w:val="22"/>
          <w:szCs w:val="22"/>
          <w:shd w:val="clear" w:color="auto" w:fill="FFFFFF"/>
        </w:rPr>
        <w:t>)</w:t>
      </w:r>
      <w:r w:rsidRPr="001C2D09" w:rsidR="00005848">
        <w:rPr>
          <w:spacing w:val="-3"/>
          <w:sz w:val="22"/>
          <w:szCs w:val="22"/>
          <w:shd w:val="clear" w:color="auto" w:fill="FFFFFF"/>
        </w:rPr>
        <w:t xml:space="preserve"> Federal employee</w:t>
      </w:r>
      <w:r w:rsidRPr="001C2D09" w:rsidR="00F95C9C">
        <w:rPr>
          <w:spacing w:val="-3"/>
          <w:sz w:val="22"/>
          <w:szCs w:val="22"/>
          <w:shd w:val="clear" w:color="auto" w:fill="FFFFFF"/>
        </w:rPr>
        <w:t>,</w:t>
      </w:r>
      <w:r w:rsidRPr="001C2D09" w:rsidR="00E50CFF">
        <w:rPr>
          <w:spacing w:val="-3"/>
          <w:sz w:val="22"/>
          <w:szCs w:val="22"/>
          <w:shd w:val="clear" w:color="auto" w:fill="FFFFFF"/>
        </w:rPr>
        <w:t xml:space="preserve"> plus 30% overhead</w:t>
      </w:r>
      <w:r w:rsidRPr="001C2D09" w:rsidR="00F95C9C">
        <w:rPr>
          <w:spacing w:val="-3"/>
          <w:sz w:val="22"/>
          <w:szCs w:val="22"/>
          <w:shd w:val="clear" w:color="auto" w:fill="FFFFFF"/>
        </w:rPr>
        <w:t>,</w:t>
      </w:r>
      <w:r w:rsidRPr="001C2D09" w:rsidR="00931F6A">
        <w:rPr>
          <w:spacing w:val="-3"/>
          <w:sz w:val="22"/>
          <w:szCs w:val="22"/>
          <w:shd w:val="clear" w:color="auto" w:fill="FFFFFF"/>
        </w:rPr>
        <w:t xml:space="preserve"> to prepare this compliance report</w:t>
      </w:r>
      <w:r w:rsidRPr="001C2D09">
        <w:rPr>
          <w:spacing w:val="-3"/>
          <w:sz w:val="22"/>
          <w:szCs w:val="22"/>
          <w:shd w:val="clear" w:color="auto" w:fill="FFFFFF"/>
        </w:rPr>
        <w:t xml:space="preserve">.  </w:t>
      </w:r>
    </w:p>
    <w:p w:rsidR="00C62E13" w:rsidRPr="001C2D09" w:rsidP="0077092A" w14:paraId="6CBEBEF6" w14:textId="77777777">
      <w:pPr>
        <w:rPr>
          <w:spacing w:val="-3"/>
          <w:sz w:val="22"/>
          <w:szCs w:val="22"/>
          <w:shd w:val="clear" w:color="auto" w:fill="FFFFFF"/>
        </w:rPr>
      </w:pPr>
    </w:p>
    <w:p w:rsidR="00005848" w:rsidRPr="001C2D09" w:rsidP="0077092A" w14:paraId="6CB0C718" w14:textId="787032A7">
      <w:pPr>
        <w:rPr>
          <w:spacing w:val="-3"/>
          <w:sz w:val="22"/>
          <w:szCs w:val="22"/>
          <w:shd w:val="clear" w:color="auto" w:fill="FFFFFF"/>
        </w:rPr>
      </w:pPr>
      <w:r w:rsidRPr="001C2D09">
        <w:rPr>
          <w:spacing w:val="-3"/>
          <w:sz w:val="22"/>
          <w:szCs w:val="22"/>
          <w:shd w:val="clear" w:color="auto" w:fill="FFFFFF"/>
        </w:rPr>
        <w:tab/>
      </w:r>
      <w:r w:rsidRPr="001C2D09" w:rsidR="00DD720B">
        <w:rPr>
          <w:sz w:val="22"/>
          <w:szCs w:val="22"/>
        </w:rPr>
        <w:t>2,935</w:t>
      </w:r>
      <w:r w:rsidRPr="001C2D09" w:rsidR="00ED6098">
        <w:rPr>
          <w:sz w:val="22"/>
          <w:szCs w:val="22"/>
        </w:rPr>
        <w:t xml:space="preserve"> </w:t>
      </w:r>
      <w:r w:rsidRPr="001C2D09">
        <w:rPr>
          <w:spacing w:val="-3"/>
          <w:sz w:val="22"/>
          <w:szCs w:val="22"/>
          <w:shd w:val="clear" w:color="auto" w:fill="FFFFFF"/>
        </w:rPr>
        <w:t xml:space="preserve">respondents x </w:t>
      </w:r>
      <w:r w:rsidRPr="001C2D09" w:rsidR="00A66425">
        <w:rPr>
          <w:sz w:val="22"/>
          <w:szCs w:val="22"/>
        </w:rPr>
        <w:t>1</w:t>
      </w:r>
      <w:r w:rsidRPr="001C2D09" w:rsidR="00DD720B">
        <w:rPr>
          <w:sz w:val="22"/>
          <w:szCs w:val="22"/>
        </w:rPr>
        <w:t xml:space="preserve"> </w:t>
      </w:r>
      <w:r w:rsidRPr="001C2D09" w:rsidR="00931F6A">
        <w:rPr>
          <w:spacing w:val="-3"/>
          <w:sz w:val="22"/>
          <w:szCs w:val="22"/>
          <w:shd w:val="clear" w:color="auto" w:fill="FFFFFF"/>
        </w:rPr>
        <w:t>hour/</w:t>
      </w:r>
      <w:r w:rsidRPr="001C2D09">
        <w:rPr>
          <w:spacing w:val="-3"/>
          <w:sz w:val="22"/>
          <w:szCs w:val="22"/>
          <w:shd w:val="clear" w:color="auto" w:fill="FFFFFF"/>
        </w:rPr>
        <w:t>compliance report x $</w:t>
      </w:r>
      <w:r w:rsidRPr="001C2D09" w:rsidR="00A33DAF">
        <w:rPr>
          <w:sz w:val="22"/>
          <w:szCs w:val="22"/>
        </w:rPr>
        <w:t>89.04</w:t>
      </w:r>
      <w:r w:rsidRPr="001C2D09">
        <w:rPr>
          <w:spacing w:val="-3"/>
          <w:sz w:val="22"/>
          <w:szCs w:val="22"/>
          <w:shd w:val="clear" w:color="auto" w:fill="FFFFFF"/>
        </w:rPr>
        <w:t>/hour</w:t>
      </w:r>
      <w:r w:rsidRPr="001C2D09" w:rsidR="00853514">
        <w:rPr>
          <w:spacing w:val="-3"/>
          <w:sz w:val="22"/>
          <w:szCs w:val="22"/>
          <w:shd w:val="clear" w:color="auto" w:fill="FFFFFF"/>
        </w:rPr>
        <w:t xml:space="preserve"> = $</w:t>
      </w:r>
      <w:r w:rsidRPr="001C2D09" w:rsidR="00C011DF">
        <w:rPr>
          <w:sz w:val="22"/>
          <w:szCs w:val="22"/>
        </w:rPr>
        <w:t>261,332</w:t>
      </w:r>
      <w:r w:rsidRPr="001C2D09" w:rsidR="00466C8C">
        <w:rPr>
          <w:spacing w:val="-3"/>
          <w:sz w:val="22"/>
          <w:szCs w:val="22"/>
          <w:shd w:val="clear" w:color="auto" w:fill="FFFFFF"/>
        </w:rPr>
        <w:t xml:space="preserve"> </w:t>
      </w:r>
    </w:p>
    <w:p w:rsidR="0000054D" w:rsidRPr="001C2D09" w:rsidP="0077092A" w14:paraId="54D2DAEE" w14:textId="04045E92">
      <w:pPr>
        <w:tabs>
          <w:tab w:val="left" w:pos="1440"/>
        </w:tabs>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t xml:space="preserve">        </w:t>
      </w:r>
      <w:r w:rsidRPr="001C2D09" w:rsidR="0017779C">
        <w:rPr>
          <w:spacing w:val="-3"/>
          <w:sz w:val="22"/>
          <w:szCs w:val="22"/>
          <w:shd w:val="clear" w:color="auto" w:fill="FFFFFF"/>
        </w:rPr>
        <w:t>30</w:t>
      </w:r>
      <w:r w:rsidRPr="001C2D09" w:rsidR="00293DB1">
        <w:rPr>
          <w:spacing w:val="-3"/>
          <w:sz w:val="22"/>
          <w:szCs w:val="22"/>
          <w:shd w:val="clear" w:color="auto" w:fill="FFFFFF"/>
        </w:rPr>
        <w:t xml:space="preserve">% </w:t>
      </w:r>
      <w:r w:rsidRPr="001C2D09" w:rsidR="0017779C">
        <w:rPr>
          <w:spacing w:val="-3"/>
          <w:sz w:val="22"/>
          <w:szCs w:val="22"/>
          <w:shd w:val="clear" w:color="auto" w:fill="FFFFFF"/>
        </w:rPr>
        <w:t xml:space="preserve">overhead </w:t>
      </w:r>
      <w:r w:rsidRPr="001C2D09">
        <w:rPr>
          <w:spacing w:val="-3"/>
          <w:sz w:val="22"/>
          <w:szCs w:val="22"/>
          <w:shd w:val="clear" w:color="auto" w:fill="FFFFFF"/>
        </w:rPr>
        <w:t xml:space="preserve">= </w:t>
      </w:r>
      <w:r w:rsidRPr="001C2D09" w:rsidR="00ED6098">
        <w:rPr>
          <w:spacing w:val="-3"/>
          <w:sz w:val="22"/>
          <w:szCs w:val="22"/>
          <w:shd w:val="clear" w:color="auto" w:fill="FFFFFF"/>
        </w:rPr>
        <w:t xml:space="preserve">  </w:t>
      </w:r>
      <w:r w:rsidRPr="001C2D09">
        <w:rPr>
          <w:spacing w:val="-3"/>
          <w:sz w:val="22"/>
          <w:szCs w:val="22"/>
          <w:u w:val="single"/>
          <w:shd w:val="clear" w:color="auto" w:fill="FFFFFF"/>
        </w:rPr>
        <w:t>$</w:t>
      </w:r>
      <w:r w:rsidRPr="001C2D09" w:rsidR="00C011DF">
        <w:rPr>
          <w:sz w:val="22"/>
          <w:szCs w:val="22"/>
          <w:u w:val="single"/>
        </w:rPr>
        <w:t>78,400</w:t>
      </w:r>
      <w:r w:rsidRPr="001C2D09" w:rsidR="00466C8C">
        <w:rPr>
          <w:spacing w:val="-3"/>
          <w:sz w:val="22"/>
          <w:szCs w:val="22"/>
          <w:u w:val="single"/>
          <w:shd w:val="clear" w:color="auto" w:fill="FFFFFF"/>
        </w:rPr>
        <w:t xml:space="preserve"> </w:t>
      </w:r>
    </w:p>
    <w:p w:rsidR="00682281" w:rsidRPr="001C2D09" w:rsidP="00F73C9F" w14:paraId="3825B600" w14:textId="2B660970">
      <w:pPr>
        <w:spacing w:after="24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t xml:space="preserve">  </w:t>
      </w:r>
      <w:r w:rsidRPr="001C2D09" w:rsidR="008A0B2E">
        <w:rPr>
          <w:spacing w:val="-3"/>
          <w:sz w:val="22"/>
          <w:szCs w:val="22"/>
          <w:shd w:val="clear" w:color="auto" w:fill="FFFFFF"/>
        </w:rPr>
        <w:t xml:space="preserve">Total: </w:t>
      </w:r>
      <w:r w:rsidRPr="001C2D09" w:rsidR="00202217">
        <w:rPr>
          <w:spacing w:val="-3"/>
          <w:sz w:val="22"/>
          <w:szCs w:val="22"/>
          <w:shd w:val="clear" w:color="auto" w:fill="FFFFFF"/>
        </w:rPr>
        <w:t xml:space="preserve">         </w:t>
      </w:r>
      <w:r w:rsidRPr="001C2D09" w:rsidR="00CE2DB2">
        <w:rPr>
          <w:spacing w:val="-3"/>
          <w:sz w:val="22"/>
          <w:szCs w:val="22"/>
          <w:shd w:val="clear" w:color="auto" w:fill="FFFFFF"/>
        </w:rPr>
        <w:t>$</w:t>
      </w:r>
      <w:bookmarkStart w:id="6" w:name="_Hlk46778773"/>
      <w:r w:rsidRPr="001C2D09" w:rsidR="004359BC">
        <w:rPr>
          <w:sz w:val="22"/>
          <w:szCs w:val="22"/>
        </w:rPr>
        <w:t>339,732</w:t>
      </w:r>
      <w:bookmarkEnd w:id="6"/>
    </w:p>
    <w:p w:rsidR="00426B11" w:rsidRPr="001C2D09" w:rsidP="00F73C9F" w14:paraId="359BB24B" w14:textId="5B276D48">
      <w:pPr>
        <w:keepNext/>
        <w:spacing w:after="120"/>
        <w:rPr>
          <w:b/>
          <w:bCs/>
          <w:spacing w:val="-3"/>
          <w:sz w:val="22"/>
          <w:szCs w:val="22"/>
          <w:shd w:val="clear" w:color="auto" w:fill="FFFFFF"/>
        </w:rPr>
      </w:pPr>
      <w:r>
        <w:rPr>
          <w:b/>
          <w:bCs/>
          <w:spacing w:val="-3"/>
          <w:sz w:val="22"/>
          <w:szCs w:val="22"/>
          <w:shd w:val="clear" w:color="auto" w:fill="FFFFFF"/>
        </w:rPr>
        <w:t>(</w:t>
      </w:r>
      <w:r w:rsidRPr="001C2D09" w:rsidR="001D25CE">
        <w:rPr>
          <w:b/>
          <w:bCs/>
          <w:spacing w:val="-3"/>
          <w:sz w:val="22"/>
          <w:szCs w:val="22"/>
          <w:shd w:val="clear" w:color="auto" w:fill="FFFFFF"/>
        </w:rPr>
        <w:t>g</w:t>
      </w:r>
      <w:r>
        <w:rPr>
          <w:b/>
          <w:bCs/>
          <w:spacing w:val="-3"/>
          <w:sz w:val="22"/>
          <w:szCs w:val="22"/>
          <w:shd w:val="clear" w:color="auto" w:fill="FFFFFF"/>
        </w:rPr>
        <w:t>)</w:t>
      </w:r>
      <w:r w:rsidRPr="001C2D09" w:rsidR="001D25CE">
        <w:rPr>
          <w:b/>
          <w:bCs/>
          <w:spacing w:val="-3"/>
          <w:sz w:val="22"/>
          <w:szCs w:val="22"/>
          <w:shd w:val="clear" w:color="auto" w:fill="FFFFFF"/>
        </w:rPr>
        <w:t xml:space="preserve"> </w:t>
      </w:r>
      <w:r w:rsidRPr="001C2D09" w:rsidR="001D25CE">
        <w:rPr>
          <w:b/>
          <w:bCs/>
          <w:spacing w:val="-3"/>
          <w:sz w:val="22"/>
          <w:szCs w:val="22"/>
          <w:shd w:val="clear" w:color="auto" w:fill="FFFFFF"/>
        </w:rPr>
        <w:tab/>
        <w:t>Aggregate Customer Information Disclosure Requirements.</w:t>
      </w:r>
    </w:p>
    <w:p w:rsidR="00426B11" w:rsidRPr="001C2D09" w:rsidP="00F73C9F" w14:paraId="5DE33AAA" w14:textId="0B129402">
      <w:pPr>
        <w:spacing w:after="120"/>
        <w:rPr>
          <w:spacing w:val="-3"/>
          <w:sz w:val="22"/>
          <w:szCs w:val="22"/>
          <w:shd w:val="clear" w:color="auto" w:fill="FFFFFF"/>
        </w:rPr>
      </w:pPr>
      <w:r w:rsidRPr="001C2D09">
        <w:rPr>
          <w:spacing w:val="-3"/>
          <w:sz w:val="22"/>
          <w:szCs w:val="22"/>
          <w:shd w:val="clear" w:color="auto" w:fill="FFFFFF"/>
        </w:rPr>
        <w:tab/>
        <w:t>(1)</w:t>
      </w:r>
      <w:r w:rsidRPr="001C2D09">
        <w:rPr>
          <w:spacing w:val="-3"/>
          <w:sz w:val="22"/>
          <w:szCs w:val="22"/>
          <w:shd w:val="clear" w:color="auto" w:fill="FFFFFF"/>
        </w:rPr>
        <w:tab/>
        <w:t xml:space="preserve">Number of Respondents: </w:t>
      </w:r>
      <w:r w:rsidRPr="001C2D09" w:rsidR="001623EF">
        <w:rPr>
          <w:spacing w:val="-3"/>
          <w:sz w:val="22"/>
          <w:szCs w:val="22"/>
          <w:shd w:val="clear" w:color="auto" w:fill="FFFFFF"/>
        </w:rPr>
        <w:t xml:space="preserve"> </w:t>
      </w:r>
      <w:r w:rsidRPr="001C2D09" w:rsidR="009958CF">
        <w:rPr>
          <w:sz w:val="22"/>
          <w:szCs w:val="22"/>
        </w:rPr>
        <w:t>978</w:t>
      </w:r>
    </w:p>
    <w:p w:rsidR="00426B11" w:rsidRPr="001C2D09" w:rsidP="201C1D70" w14:paraId="42C90863" w14:textId="1265FD1C">
      <w:pPr>
        <w:spacing w:after="120"/>
        <w:rPr>
          <w:spacing w:val="-3"/>
          <w:sz w:val="22"/>
          <w:szCs w:val="22"/>
          <w:shd w:val="clear" w:color="auto" w:fill="FFFFFF"/>
        </w:rPr>
      </w:pPr>
    </w:p>
    <w:p w:rsidR="00C63D04" w:rsidRPr="001C2D09" w:rsidP="00F73C9F" w14:paraId="0B869138" w14:textId="12985A72">
      <w:pPr>
        <w:spacing w:after="120"/>
        <w:rPr>
          <w:spacing w:val="-3"/>
          <w:sz w:val="22"/>
          <w:szCs w:val="22"/>
          <w:shd w:val="clear" w:color="auto" w:fill="FFFFFF"/>
        </w:rPr>
      </w:pPr>
      <w:r w:rsidRPr="7F2667BC">
        <w:rPr>
          <w:sz w:val="22"/>
          <w:szCs w:val="22"/>
        </w:rPr>
        <w:t>This rule applies to providers who use or disclose aggregate customer information for the purposes of ma</w:t>
      </w:r>
      <w:r w:rsidRPr="7F2667BC" w:rsidR="4D21A6ED">
        <w:rPr>
          <w:sz w:val="22"/>
          <w:szCs w:val="22"/>
        </w:rPr>
        <w:t xml:space="preserve">rketing service to which the customer does not subscribe.  </w:t>
      </w:r>
      <w:r w:rsidRPr="7F2667BC" w:rsidR="4BC7E12E">
        <w:rPr>
          <w:sz w:val="22"/>
          <w:szCs w:val="22"/>
        </w:rPr>
        <w:t>Earlier, in part (e) Event Histories Recordkeeping, the Commission specul</w:t>
      </w:r>
      <w:r w:rsidRPr="7F2667BC" w:rsidR="656C5113">
        <w:rPr>
          <w:sz w:val="22"/>
          <w:szCs w:val="22"/>
        </w:rPr>
        <w:t xml:space="preserve">ated that one third of all respondents will </w:t>
      </w:r>
      <w:r w:rsidRPr="7F2667BC" w:rsidR="54DED54F">
        <w:rPr>
          <w:sz w:val="22"/>
          <w:szCs w:val="22"/>
        </w:rPr>
        <w:t xml:space="preserve">propose a new use of CPNI in a given year.  We maintain that assumption here and assume that 2,935 respondents x (1/3) </w:t>
      </w:r>
      <w:r w:rsidRPr="7F2667BC" w:rsidR="0D34A877">
        <w:rPr>
          <w:sz w:val="22"/>
          <w:szCs w:val="22"/>
        </w:rPr>
        <w:t xml:space="preserve">= </w:t>
      </w:r>
      <w:r w:rsidRPr="7F2667BC" w:rsidR="19346479">
        <w:rPr>
          <w:sz w:val="22"/>
          <w:szCs w:val="22"/>
        </w:rPr>
        <w:t xml:space="preserve">978 respondents, annually. </w:t>
      </w:r>
    </w:p>
    <w:p w:rsidR="00426B11" w:rsidRPr="001C2D09" w:rsidP="0077092A" w14:paraId="61DAAC6B" w14:textId="694CF465">
      <w:pPr>
        <w:rPr>
          <w:spacing w:val="-3"/>
          <w:sz w:val="22"/>
          <w:szCs w:val="22"/>
          <w:shd w:val="clear" w:color="auto" w:fill="FFFFFF"/>
        </w:rPr>
      </w:pPr>
      <w:r w:rsidRPr="001C2D09">
        <w:rPr>
          <w:spacing w:val="-3"/>
          <w:sz w:val="22"/>
          <w:szCs w:val="22"/>
          <w:shd w:val="clear" w:color="auto" w:fill="FFFFFF"/>
        </w:rPr>
        <w:tab/>
        <w:t>(2)</w:t>
      </w:r>
      <w:r w:rsidRPr="001C2D09">
        <w:rPr>
          <w:spacing w:val="-3"/>
          <w:sz w:val="22"/>
          <w:szCs w:val="22"/>
          <w:shd w:val="clear" w:color="auto" w:fill="FFFFFF"/>
        </w:rPr>
        <w:tab/>
        <w:t xml:space="preserve">Frequency of Response: </w:t>
      </w:r>
      <w:r w:rsidRPr="001C2D09" w:rsidR="00466C8C">
        <w:rPr>
          <w:spacing w:val="-3"/>
          <w:sz w:val="22"/>
          <w:szCs w:val="22"/>
          <w:shd w:val="clear" w:color="auto" w:fill="FFFFFF"/>
        </w:rPr>
        <w:t xml:space="preserve"> </w:t>
      </w:r>
      <w:r w:rsidRPr="001C2D09">
        <w:rPr>
          <w:spacing w:val="-3"/>
          <w:sz w:val="22"/>
          <w:szCs w:val="22"/>
          <w:shd w:val="clear" w:color="auto" w:fill="FFFFFF"/>
        </w:rPr>
        <w:t>On occasion reporting requirements.</w:t>
      </w:r>
    </w:p>
    <w:p w:rsidR="00426B11" w:rsidRPr="001C2D09" w:rsidP="00202217" w14:paraId="57E4FD87" w14:textId="55F16A39">
      <w:pPr>
        <w:spacing w:after="120"/>
        <w:rPr>
          <w:spacing w:val="-3"/>
          <w:sz w:val="22"/>
          <w:szCs w:val="22"/>
          <w:shd w:val="clear" w:color="auto" w:fill="FFFFFF"/>
        </w:rPr>
      </w:pPr>
      <w:r w:rsidRPr="001C2D09">
        <w:rPr>
          <w:spacing w:val="-3"/>
          <w:sz w:val="22"/>
          <w:szCs w:val="22"/>
          <w:shd w:val="clear" w:color="auto" w:fill="FFFFFF"/>
        </w:rPr>
        <w:tab/>
        <w:t>(3)</w:t>
      </w:r>
      <w:r w:rsidRPr="001C2D09">
        <w:rPr>
          <w:spacing w:val="-3"/>
          <w:sz w:val="22"/>
          <w:szCs w:val="22"/>
          <w:shd w:val="clear" w:color="auto" w:fill="FFFFFF"/>
        </w:rPr>
        <w:tab/>
        <w:t xml:space="preserve">Total Number of Responses Annually: </w:t>
      </w:r>
      <w:r w:rsidRPr="001C2D09" w:rsidR="00FB235D">
        <w:rPr>
          <w:spacing w:val="-3"/>
          <w:sz w:val="22"/>
          <w:szCs w:val="22"/>
          <w:shd w:val="clear" w:color="auto" w:fill="FFFFFF"/>
        </w:rPr>
        <w:t xml:space="preserve"> </w:t>
      </w:r>
      <w:r w:rsidRPr="001C2D09">
        <w:rPr>
          <w:spacing w:val="-3"/>
          <w:sz w:val="22"/>
          <w:szCs w:val="22"/>
          <w:shd w:val="clear" w:color="auto" w:fill="FFFFFF"/>
        </w:rPr>
        <w:t xml:space="preserve"> </w:t>
      </w:r>
      <w:r w:rsidRPr="001C2D09" w:rsidR="00277FA6">
        <w:rPr>
          <w:spacing w:val="-3"/>
          <w:sz w:val="22"/>
          <w:szCs w:val="22"/>
          <w:shd w:val="clear" w:color="auto" w:fill="FFFFFF"/>
        </w:rPr>
        <w:t>978</w:t>
      </w:r>
      <w:r w:rsidRPr="001C2D09" w:rsidR="00776470">
        <w:rPr>
          <w:spacing w:val="-3"/>
          <w:sz w:val="22"/>
          <w:szCs w:val="22"/>
          <w:shd w:val="clear" w:color="auto" w:fill="FFFFFF"/>
        </w:rPr>
        <w:t xml:space="preserve"> </w:t>
      </w:r>
      <w:r w:rsidRPr="001C2D09">
        <w:rPr>
          <w:spacing w:val="-3"/>
          <w:sz w:val="22"/>
          <w:szCs w:val="22"/>
          <w:shd w:val="clear" w:color="auto" w:fill="FFFFFF"/>
        </w:rPr>
        <w:t>responses (reporting requirement)</w:t>
      </w:r>
    </w:p>
    <w:p w:rsidR="00426B11" w:rsidRPr="001C2D09" w:rsidP="00202217" w14:paraId="3830E590" w14:textId="29850318">
      <w:pPr>
        <w:spacing w:after="12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t xml:space="preserve"> </w:t>
      </w:r>
      <w:r w:rsidRPr="001C2D09" w:rsidR="00277FA6">
        <w:rPr>
          <w:spacing w:val="-3"/>
          <w:sz w:val="22"/>
          <w:szCs w:val="22"/>
          <w:shd w:val="clear" w:color="auto" w:fill="FFFFFF"/>
        </w:rPr>
        <w:t>978</w:t>
      </w:r>
      <w:r w:rsidRPr="001C2D09" w:rsidR="00987650">
        <w:rPr>
          <w:spacing w:val="-3"/>
          <w:sz w:val="22"/>
          <w:szCs w:val="22"/>
          <w:shd w:val="clear" w:color="auto" w:fill="FFFFFF"/>
        </w:rPr>
        <w:t xml:space="preserve"> </w:t>
      </w:r>
      <w:r w:rsidRPr="001C2D09">
        <w:rPr>
          <w:spacing w:val="-3"/>
          <w:sz w:val="22"/>
          <w:szCs w:val="22"/>
          <w:shd w:val="clear" w:color="auto" w:fill="FFFFFF"/>
        </w:rPr>
        <w:t xml:space="preserve">respondents x 1 response/annum =  </w:t>
      </w:r>
      <w:r w:rsidRPr="001C2D09" w:rsidR="00277FA6">
        <w:rPr>
          <w:spacing w:val="-3"/>
          <w:sz w:val="22"/>
          <w:szCs w:val="22"/>
          <w:shd w:val="clear" w:color="auto" w:fill="FFFFFF"/>
        </w:rPr>
        <w:t>978</w:t>
      </w:r>
      <w:r w:rsidRPr="001C2D09" w:rsidR="00776470">
        <w:rPr>
          <w:spacing w:val="-3"/>
          <w:sz w:val="22"/>
          <w:szCs w:val="22"/>
          <w:shd w:val="clear" w:color="auto" w:fill="FFFFFF"/>
        </w:rPr>
        <w:t xml:space="preserve"> </w:t>
      </w:r>
      <w:r w:rsidRPr="001C2D09">
        <w:rPr>
          <w:spacing w:val="-3"/>
          <w:sz w:val="22"/>
          <w:szCs w:val="22"/>
          <w:shd w:val="clear" w:color="auto" w:fill="FFFFFF"/>
        </w:rPr>
        <w:t>responses</w:t>
      </w:r>
    </w:p>
    <w:p w:rsidR="00426B11" w:rsidRPr="001C2D09" w:rsidP="00F73C9F" w14:paraId="2232D150" w14:textId="6ED48941">
      <w:pPr>
        <w:spacing w:after="120"/>
        <w:rPr>
          <w:spacing w:val="-3"/>
          <w:sz w:val="22"/>
          <w:szCs w:val="22"/>
          <w:shd w:val="clear" w:color="auto" w:fill="FFFFFF"/>
        </w:rPr>
      </w:pPr>
      <w:r w:rsidRPr="001C2D09">
        <w:rPr>
          <w:spacing w:val="-3"/>
          <w:sz w:val="22"/>
          <w:szCs w:val="22"/>
          <w:shd w:val="clear" w:color="auto" w:fill="FFFFFF"/>
        </w:rPr>
        <w:tab/>
        <w:t>(4)</w:t>
      </w:r>
      <w:r w:rsidRPr="001C2D09">
        <w:rPr>
          <w:spacing w:val="-3"/>
          <w:sz w:val="22"/>
          <w:szCs w:val="22"/>
          <w:shd w:val="clear" w:color="auto" w:fill="FFFFFF"/>
        </w:rPr>
        <w:tab/>
        <w:t xml:space="preserve">Total Annual Hourly Burden: </w:t>
      </w:r>
      <w:r w:rsidRPr="001C2D09" w:rsidR="00531D6F">
        <w:rPr>
          <w:spacing w:val="-3"/>
          <w:sz w:val="22"/>
          <w:szCs w:val="22"/>
          <w:shd w:val="clear" w:color="auto" w:fill="FFFFFF"/>
        </w:rPr>
        <w:t xml:space="preserve"> </w:t>
      </w:r>
      <w:r w:rsidRPr="001C2D09">
        <w:rPr>
          <w:spacing w:val="-3"/>
          <w:sz w:val="22"/>
          <w:szCs w:val="22"/>
          <w:shd w:val="clear" w:color="auto" w:fill="FFFFFF"/>
        </w:rPr>
        <w:t xml:space="preserve"> </w:t>
      </w:r>
      <w:r w:rsidRPr="001C2D09" w:rsidR="00985095">
        <w:rPr>
          <w:spacing w:val="-3"/>
          <w:sz w:val="22"/>
          <w:szCs w:val="22"/>
          <w:shd w:val="clear" w:color="auto" w:fill="FFFFFF"/>
        </w:rPr>
        <w:t>1,956</w:t>
      </w:r>
      <w:r w:rsidRPr="001C2D09" w:rsidR="00776470">
        <w:rPr>
          <w:spacing w:val="-3"/>
          <w:sz w:val="22"/>
          <w:szCs w:val="22"/>
          <w:shd w:val="clear" w:color="auto" w:fill="FFFFFF"/>
        </w:rPr>
        <w:t xml:space="preserve"> </w:t>
      </w:r>
      <w:r w:rsidRPr="001C2D09">
        <w:rPr>
          <w:spacing w:val="-3"/>
          <w:sz w:val="22"/>
          <w:szCs w:val="22"/>
          <w:shd w:val="clear" w:color="auto" w:fill="FFFFFF"/>
        </w:rPr>
        <w:t>hours</w:t>
      </w:r>
    </w:p>
    <w:p w:rsidR="00426B11" w:rsidRPr="001C2D09" w:rsidP="00987650" w14:paraId="79D33C91" w14:textId="4A06719D">
      <w:pPr>
        <w:spacing w:after="120"/>
        <w:rPr>
          <w:spacing w:val="-3"/>
          <w:sz w:val="22"/>
          <w:szCs w:val="22"/>
          <w:shd w:val="clear" w:color="auto" w:fill="FFFFFF"/>
        </w:rPr>
      </w:pPr>
      <w:r w:rsidRPr="001C2D09">
        <w:rPr>
          <w:spacing w:val="-3"/>
          <w:sz w:val="22"/>
          <w:szCs w:val="22"/>
          <w:shd w:val="clear" w:color="auto" w:fill="FFFFFF"/>
        </w:rPr>
        <w:t>The Commission estimates that respondents will require approximately 2 hour</w:t>
      </w:r>
      <w:r w:rsidRPr="001C2D09" w:rsidR="002A7ADA">
        <w:rPr>
          <w:spacing w:val="-3"/>
          <w:sz w:val="22"/>
          <w:szCs w:val="22"/>
          <w:shd w:val="clear" w:color="auto" w:fill="FFFFFF"/>
        </w:rPr>
        <w:t>s</w:t>
      </w:r>
      <w:r w:rsidRPr="001C2D09">
        <w:rPr>
          <w:spacing w:val="-3"/>
          <w:sz w:val="22"/>
          <w:szCs w:val="22"/>
          <w:shd w:val="clear" w:color="auto" w:fill="FFFFFF"/>
        </w:rPr>
        <w:t xml:space="preserve"> to comply with the requirement.  </w:t>
      </w:r>
    </w:p>
    <w:p w:rsidR="00426B11" w:rsidRPr="001C2D09" w:rsidP="00987650" w14:paraId="7A158DBF" w14:textId="7E19FAD3">
      <w:pPr>
        <w:spacing w:after="120"/>
        <w:rPr>
          <w:spacing w:val="-3"/>
          <w:sz w:val="22"/>
          <w:szCs w:val="22"/>
          <w:shd w:val="clear" w:color="auto" w:fill="FFFFFF"/>
        </w:rPr>
      </w:pPr>
      <w:r w:rsidRPr="001C2D09">
        <w:rPr>
          <w:spacing w:val="-3"/>
          <w:sz w:val="22"/>
          <w:szCs w:val="22"/>
          <w:shd w:val="clear" w:color="auto" w:fill="FFFFFF"/>
        </w:rPr>
        <w:t xml:space="preserve"> </w:t>
      </w:r>
      <w:r w:rsidRPr="001C2D09" w:rsidR="00987650">
        <w:rPr>
          <w:spacing w:val="-3"/>
          <w:sz w:val="22"/>
          <w:szCs w:val="22"/>
          <w:shd w:val="clear" w:color="auto" w:fill="FFFFFF"/>
        </w:rPr>
        <w:tab/>
      </w:r>
      <w:r w:rsidRPr="001C2D09" w:rsidR="00987650">
        <w:rPr>
          <w:spacing w:val="-3"/>
          <w:sz w:val="22"/>
          <w:szCs w:val="22"/>
          <w:shd w:val="clear" w:color="auto" w:fill="FFFFFF"/>
        </w:rPr>
        <w:tab/>
      </w:r>
      <w:r w:rsidRPr="001C2D09" w:rsidR="00985095">
        <w:rPr>
          <w:spacing w:val="-3"/>
          <w:sz w:val="22"/>
          <w:szCs w:val="22"/>
          <w:shd w:val="clear" w:color="auto" w:fill="FFFFFF"/>
        </w:rPr>
        <w:t>978</w:t>
      </w:r>
      <w:r w:rsidRPr="001C2D09" w:rsidR="00987650">
        <w:rPr>
          <w:spacing w:val="-3"/>
          <w:sz w:val="22"/>
          <w:szCs w:val="22"/>
          <w:shd w:val="clear" w:color="auto" w:fill="FFFFFF"/>
        </w:rPr>
        <w:t xml:space="preserve"> </w:t>
      </w:r>
      <w:r w:rsidRPr="001C2D09">
        <w:rPr>
          <w:spacing w:val="-3"/>
          <w:sz w:val="22"/>
          <w:szCs w:val="22"/>
          <w:shd w:val="clear" w:color="auto" w:fill="FFFFFF"/>
        </w:rPr>
        <w:t>respondents x 2 hour</w:t>
      </w:r>
      <w:r w:rsidRPr="001C2D09" w:rsidR="00636C25">
        <w:rPr>
          <w:spacing w:val="-3"/>
          <w:sz w:val="22"/>
          <w:szCs w:val="22"/>
          <w:shd w:val="clear" w:color="auto" w:fill="FFFFFF"/>
        </w:rPr>
        <w:t>s</w:t>
      </w:r>
      <w:r w:rsidRPr="001C2D09">
        <w:rPr>
          <w:spacing w:val="-3"/>
          <w:sz w:val="22"/>
          <w:szCs w:val="22"/>
          <w:shd w:val="clear" w:color="auto" w:fill="FFFFFF"/>
        </w:rPr>
        <w:t xml:space="preserve">/disclosure requirements = </w:t>
      </w:r>
      <w:r w:rsidRPr="001C2D09" w:rsidR="00985095">
        <w:rPr>
          <w:spacing w:val="-3"/>
          <w:sz w:val="22"/>
          <w:szCs w:val="22"/>
          <w:shd w:val="clear" w:color="auto" w:fill="FFFFFF"/>
        </w:rPr>
        <w:t xml:space="preserve">1,956 </w:t>
      </w:r>
      <w:r w:rsidRPr="001C2D09">
        <w:rPr>
          <w:spacing w:val="-3"/>
          <w:sz w:val="22"/>
          <w:szCs w:val="22"/>
          <w:shd w:val="clear" w:color="auto" w:fill="FFFFFF"/>
        </w:rPr>
        <w:t>hours</w:t>
      </w:r>
    </w:p>
    <w:p w:rsidR="00426B11" w:rsidRPr="001C2D09" w:rsidP="00F73C9F" w14:paraId="1B9C44BB" w14:textId="7E2BAAAD">
      <w:pPr>
        <w:spacing w:after="120"/>
        <w:rPr>
          <w:spacing w:val="-3"/>
          <w:sz w:val="22"/>
          <w:szCs w:val="22"/>
          <w:shd w:val="clear" w:color="auto" w:fill="FFFFFF"/>
        </w:rPr>
      </w:pPr>
      <w:r w:rsidRPr="001C2D09">
        <w:rPr>
          <w:spacing w:val="-3"/>
          <w:sz w:val="22"/>
          <w:szCs w:val="22"/>
          <w:shd w:val="clear" w:color="auto" w:fill="FFFFFF"/>
        </w:rPr>
        <w:tab/>
        <w:t>(5)</w:t>
      </w:r>
      <w:r w:rsidRPr="001C2D09">
        <w:rPr>
          <w:spacing w:val="-3"/>
          <w:sz w:val="22"/>
          <w:szCs w:val="22"/>
          <w:shd w:val="clear" w:color="auto" w:fill="FFFFFF"/>
        </w:rPr>
        <w:tab/>
        <w:t xml:space="preserve">Total “In House” Costs: </w:t>
      </w:r>
      <w:r w:rsidRPr="001C2D09" w:rsidR="00F34D54">
        <w:rPr>
          <w:spacing w:val="-3"/>
          <w:sz w:val="22"/>
          <w:szCs w:val="22"/>
          <w:shd w:val="clear" w:color="auto" w:fill="FFFFFF"/>
        </w:rPr>
        <w:t xml:space="preserve"> </w:t>
      </w:r>
      <w:r w:rsidRPr="001C2D09">
        <w:rPr>
          <w:spacing w:val="-3"/>
          <w:sz w:val="22"/>
          <w:szCs w:val="22"/>
          <w:shd w:val="clear" w:color="auto" w:fill="FFFFFF"/>
        </w:rPr>
        <w:t>$</w:t>
      </w:r>
      <w:r w:rsidRPr="001C2D09" w:rsidR="00335DF6">
        <w:rPr>
          <w:spacing w:val="-3"/>
          <w:sz w:val="22"/>
          <w:szCs w:val="22"/>
          <w:shd w:val="clear" w:color="auto" w:fill="FFFFFF"/>
        </w:rPr>
        <w:t>77,22</w:t>
      </w:r>
      <w:r w:rsidRPr="001C2D09" w:rsidR="00DD70F8">
        <w:rPr>
          <w:spacing w:val="-3"/>
          <w:sz w:val="22"/>
          <w:szCs w:val="22"/>
          <w:shd w:val="clear" w:color="auto" w:fill="FFFFFF"/>
        </w:rPr>
        <w:t>4</w:t>
      </w:r>
    </w:p>
    <w:p w:rsidR="00426B11" w:rsidRPr="001C2D09" w:rsidP="00F73C9F" w14:paraId="4B828F7B" w14:textId="4CDD3530">
      <w:pPr>
        <w:spacing w:after="120"/>
        <w:rPr>
          <w:spacing w:val="-3"/>
          <w:sz w:val="22"/>
          <w:szCs w:val="22"/>
          <w:shd w:val="clear" w:color="auto" w:fill="FFFFFF"/>
        </w:rPr>
      </w:pPr>
      <w:r w:rsidRPr="001C2D09">
        <w:rPr>
          <w:spacing w:val="-3"/>
          <w:sz w:val="22"/>
          <w:szCs w:val="22"/>
          <w:shd w:val="clear" w:color="auto" w:fill="FFFFFF"/>
        </w:rPr>
        <w:t>The Commission assumes that a respondent will use personnel comparable in pay to a GS-7/Step 5 ($</w:t>
      </w:r>
      <w:r w:rsidRPr="001C2D09" w:rsidR="00172B5B">
        <w:rPr>
          <w:spacing w:val="-3"/>
          <w:sz w:val="22"/>
          <w:szCs w:val="22"/>
          <w:shd w:val="clear" w:color="auto" w:fill="FFFFFF"/>
        </w:rPr>
        <w:t>30.37</w:t>
      </w:r>
      <w:r w:rsidRPr="001C2D09">
        <w:rPr>
          <w:spacing w:val="-3"/>
          <w:sz w:val="22"/>
          <w:szCs w:val="22"/>
          <w:shd w:val="clear" w:color="auto" w:fill="FFFFFF"/>
        </w:rPr>
        <w:t>/hour) Federal employee, plus 30% overhead, to comply with this disclosure requirement.</w:t>
      </w:r>
    </w:p>
    <w:p w:rsidR="00426B11" w:rsidRPr="001C2D09" w:rsidP="0077092A" w14:paraId="2358B86E" w14:textId="0CE07405">
      <w:pPr>
        <w:rPr>
          <w:spacing w:val="-3"/>
          <w:sz w:val="22"/>
          <w:szCs w:val="22"/>
          <w:shd w:val="clear" w:color="auto" w:fill="FFFFFF"/>
        </w:rPr>
      </w:pPr>
      <w:r w:rsidRPr="001C2D09">
        <w:rPr>
          <w:spacing w:val="-3"/>
          <w:sz w:val="22"/>
          <w:szCs w:val="22"/>
          <w:shd w:val="clear" w:color="auto" w:fill="FFFFFF"/>
        </w:rPr>
        <w:tab/>
      </w:r>
      <w:r w:rsidRPr="001C2D09" w:rsidR="00B27974">
        <w:rPr>
          <w:spacing w:val="-3"/>
          <w:sz w:val="22"/>
          <w:szCs w:val="22"/>
          <w:shd w:val="clear" w:color="auto" w:fill="FFFFFF"/>
        </w:rPr>
        <w:t>978</w:t>
      </w:r>
      <w:r w:rsidRPr="001C2D09">
        <w:rPr>
          <w:spacing w:val="-3"/>
          <w:sz w:val="22"/>
          <w:szCs w:val="22"/>
          <w:shd w:val="clear" w:color="auto" w:fill="FFFFFF"/>
        </w:rPr>
        <w:t xml:space="preserve"> respondents x 2 hour</w:t>
      </w:r>
      <w:r w:rsidRPr="001C2D09" w:rsidR="00636C25">
        <w:rPr>
          <w:spacing w:val="-3"/>
          <w:sz w:val="22"/>
          <w:szCs w:val="22"/>
          <w:shd w:val="clear" w:color="auto" w:fill="FFFFFF"/>
        </w:rPr>
        <w:t>s</w:t>
      </w:r>
      <w:r w:rsidRPr="001C2D09">
        <w:rPr>
          <w:spacing w:val="-3"/>
          <w:sz w:val="22"/>
          <w:szCs w:val="22"/>
          <w:shd w:val="clear" w:color="auto" w:fill="FFFFFF"/>
        </w:rPr>
        <w:t>/disclosure requirement x $</w:t>
      </w:r>
      <w:r w:rsidRPr="001C2D09" w:rsidR="00172B5B">
        <w:rPr>
          <w:spacing w:val="-3"/>
          <w:sz w:val="22"/>
          <w:szCs w:val="22"/>
          <w:shd w:val="clear" w:color="auto" w:fill="FFFFFF"/>
        </w:rPr>
        <w:t>30.37</w:t>
      </w:r>
      <w:r w:rsidRPr="001C2D09">
        <w:rPr>
          <w:spacing w:val="-3"/>
          <w:sz w:val="22"/>
          <w:szCs w:val="22"/>
          <w:shd w:val="clear" w:color="auto" w:fill="FFFFFF"/>
        </w:rPr>
        <w:t xml:space="preserve">/hour = </w:t>
      </w:r>
      <w:r w:rsidRPr="001C2D09">
        <w:rPr>
          <w:spacing w:val="-3"/>
          <w:sz w:val="22"/>
          <w:szCs w:val="22"/>
          <w:u w:val="single"/>
          <w:shd w:val="clear" w:color="auto" w:fill="FFFFFF"/>
        </w:rPr>
        <w:t>$</w:t>
      </w:r>
      <w:r w:rsidRPr="001C2D09" w:rsidR="00B27974">
        <w:rPr>
          <w:spacing w:val="-3"/>
          <w:sz w:val="22"/>
          <w:szCs w:val="22"/>
          <w:u w:val="single"/>
          <w:shd w:val="clear" w:color="auto" w:fill="FFFFFF"/>
        </w:rPr>
        <w:t>59,403</w:t>
      </w:r>
    </w:p>
    <w:p w:rsidR="00426B11" w:rsidRPr="001C2D09" w:rsidP="0077092A" w14:paraId="1DA806EA" w14:textId="750FBBD0">
      <w:pPr>
        <w:rPr>
          <w:spacing w:val="-3"/>
          <w:sz w:val="22"/>
          <w:szCs w:val="22"/>
          <w:shd w:val="clear" w:color="auto" w:fill="FFFFFF"/>
        </w:rPr>
      </w:pPr>
      <w:r w:rsidRPr="001C2D09">
        <w:rPr>
          <w:spacing w:val="-3"/>
          <w:sz w:val="22"/>
          <w:szCs w:val="22"/>
          <w:shd w:val="clear" w:color="auto" w:fill="FFFFFF"/>
        </w:rPr>
        <w:tab/>
      </w:r>
      <w:r w:rsidRPr="001C2D09" w:rsidR="00466C8C">
        <w:rPr>
          <w:spacing w:val="-3"/>
          <w:sz w:val="22"/>
          <w:szCs w:val="22"/>
          <w:shd w:val="clear" w:color="auto" w:fill="FFFFFF"/>
        </w:rPr>
        <w:tab/>
      </w:r>
      <w:r w:rsidRPr="001C2D09" w:rsidR="00466C8C">
        <w:rPr>
          <w:spacing w:val="-3"/>
          <w:sz w:val="22"/>
          <w:szCs w:val="22"/>
          <w:shd w:val="clear" w:color="auto" w:fill="FFFFFF"/>
        </w:rPr>
        <w:tab/>
      </w:r>
      <w:r w:rsidRPr="001C2D09" w:rsidR="00466C8C">
        <w:rPr>
          <w:spacing w:val="-3"/>
          <w:sz w:val="22"/>
          <w:szCs w:val="22"/>
          <w:shd w:val="clear" w:color="auto" w:fill="FFFFFF"/>
        </w:rPr>
        <w:tab/>
      </w:r>
      <w:r w:rsidRPr="001C2D09" w:rsidR="00466C8C">
        <w:rPr>
          <w:spacing w:val="-3"/>
          <w:sz w:val="22"/>
          <w:szCs w:val="22"/>
          <w:shd w:val="clear" w:color="auto" w:fill="FFFFFF"/>
        </w:rPr>
        <w:tab/>
      </w:r>
      <w:r w:rsidRPr="001C2D09">
        <w:rPr>
          <w:spacing w:val="-3"/>
          <w:sz w:val="22"/>
          <w:szCs w:val="22"/>
          <w:shd w:val="clear" w:color="auto" w:fill="FFFFFF"/>
        </w:rPr>
        <w:tab/>
      </w:r>
      <w:r w:rsidRPr="001C2D09" w:rsidR="00DD70F8">
        <w:rPr>
          <w:spacing w:val="-3"/>
          <w:sz w:val="22"/>
          <w:szCs w:val="22"/>
          <w:shd w:val="clear" w:color="auto" w:fill="FFFFFF"/>
        </w:rPr>
        <w:t xml:space="preserve">           </w:t>
      </w:r>
      <w:r w:rsidRPr="001C2D09" w:rsidR="00987650">
        <w:rPr>
          <w:spacing w:val="-3"/>
          <w:sz w:val="22"/>
          <w:szCs w:val="22"/>
          <w:shd w:val="clear" w:color="auto" w:fill="FFFFFF"/>
        </w:rPr>
        <w:t>3</w:t>
      </w:r>
      <w:r w:rsidRPr="001C2D09">
        <w:rPr>
          <w:spacing w:val="-3"/>
          <w:sz w:val="22"/>
          <w:szCs w:val="22"/>
          <w:shd w:val="clear" w:color="auto" w:fill="FFFFFF"/>
        </w:rPr>
        <w:t xml:space="preserve">0% overhead </w:t>
      </w:r>
      <w:r w:rsidRPr="001C2D09" w:rsidR="00636C25">
        <w:rPr>
          <w:spacing w:val="-3"/>
          <w:sz w:val="22"/>
          <w:szCs w:val="22"/>
          <w:shd w:val="clear" w:color="auto" w:fill="FFFFFF"/>
        </w:rPr>
        <w:t xml:space="preserve"> </w:t>
      </w:r>
      <w:r w:rsidRPr="001C2D09">
        <w:rPr>
          <w:spacing w:val="-3"/>
          <w:sz w:val="22"/>
          <w:szCs w:val="22"/>
          <w:shd w:val="clear" w:color="auto" w:fill="FFFFFF"/>
        </w:rPr>
        <w:t xml:space="preserve">= </w:t>
      </w:r>
      <w:r w:rsidRPr="001C2D09" w:rsidR="00636C25">
        <w:rPr>
          <w:spacing w:val="-3"/>
          <w:sz w:val="22"/>
          <w:szCs w:val="22"/>
          <w:shd w:val="clear" w:color="auto" w:fill="FFFFFF"/>
        </w:rPr>
        <w:t xml:space="preserve"> </w:t>
      </w:r>
      <w:r w:rsidRPr="001C2D09">
        <w:rPr>
          <w:spacing w:val="-3"/>
          <w:sz w:val="22"/>
          <w:szCs w:val="22"/>
          <w:u w:val="single"/>
          <w:shd w:val="clear" w:color="auto" w:fill="FFFFFF"/>
        </w:rPr>
        <w:t>$</w:t>
      </w:r>
      <w:r w:rsidRPr="001C2D09" w:rsidR="00335DF6">
        <w:rPr>
          <w:spacing w:val="-3"/>
          <w:sz w:val="22"/>
          <w:szCs w:val="22"/>
          <w:u w:val="single"/>
          <w:shd w:val="clear" w:color="auto" w:fill="FFFFFF"/>
        </w:rPr>
        <w:t>17,821</w:t>
      </w:r>
    </w:p>
    <w:p w:rsidR="00426B11" w:rsidRPr="001C2D09" w:rsidP="00F73C9F" w14:paraId="521E0644" w14:textId="40675E30">
      <w:pPr>
        <w:spacing w:after="24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sidR="00DD70F8">
        <w:rPr>
          <w:spacing w:val="-3"/>
          <w:sz w:val="22"/>
          <w:szCs w:val="22"/>
          <w:shd w:val="clear" w:color="auto" w:fill="FFFFFF"/>
        </w:rPr>
        <w:t xml:space="preserve">             </w:t>
      </w:r>
      <w:r w:rsidRPr="001C2D09">
        <w:rPr>
          <w:spacing w:val="-3"/>
          <w:sz w:val="22"/>
          <w:szCs w:val="22"/>
          <w:shd w:val="clear" w:color="auto" w:fill="FFFFFF"/>
        </w:rPr>
        <w:t xml:space="preserve">Total:  </w:t>
      </w:r>
      <w:r w:rsidRPr="001C2D09" w:rsidR="00636C25">
        <w:rPr>
          <w:spacing w:val="-3"/>
          <w:sz w:val="22"/>
          <w:szCs w:val="22"/>
          <w:shd w:val="clear" w:color="auto" w:fill="FFFFFF"/>
        </w:rPr>
        <w:t xml:space="preserve">  </w:t>
      </w:r>
      <w:r w:rsidRPr="001C2D09">
        <w:rPr>
          <w:spacing w:val="-3"/>
          <w:sz w:val="22"/>
          <w:szCs w:val="22"/>
          <w:shd w:val="clear" w:color="auto" w:fill="FFFFFF"/>
        </w:rPr>
        <w:t>$</w:t>
      </w:r>
      <w:r w:rsidRPr="001C2D09" w:rsidR="00335DF6">
        <w:rPr>
          <w:spacing w:val="-3"/>
          <w:sz w:val="22"/>
          <w:szCs w:val="22"/>
          <w:shd w:val="clear" w:color="auto" w:fill="FFFFFF"/>
        </w:rPr>
        <w:t>77,22</w:t>
      </w:r>
      <w:r w:rsidRPr="001C2D09" w:rsidR="00DD70F8">
        <w:rPr>
          <w:spacing w:val="-3"/>
          <w:sz w:val="22"/>
          <w:szCs w:val="22"/>
          <w:shd w:val="clear" w:color="auto" w:fill="FFFFFF"/>
        </w:rPr>
        <w:t>4</w:t>
      </w:r>
    </w:p>
    <w:p w:rsidR="00426B11" w:rsidRPr="001C2D09" w:rsidP="00F73C9F" w14:paraId="7A7EAF5D" w14:textId="6D21C46A">
      <w:pPr>
        <w:spacing w:after="120"/>
        <w:rPr>
          <w:b/>
          <w:bCs/>
          <w:spacing w:val="-3"/>
          <w:sz w:val="22"/>
          <w:szCs w:val="22"/>
          <w:shd w:val="clear" w:color="auto" w:fill="FFFFFF"/>
        </w:rPr>
      </w:pPr>
      <w:r>
        <w:rPr>
          <w:b/>
          <w:bCs/>
          <w:spacing w:val="-3"/>
          <w:sz w:val="22"/>
          <w:szCs w:val="22"/>
          <w:shd w:val="clear" w:color="auto" w:fill="FFFFFF"/>
        </w:rPr>
        <w:t>(</w:t>
      </w:r>
      <w:r w:rsidRPr="001C2D09" w:rsidR="001D25CE">
        <w:rPr>
          <w:b/>
          <w:bCs/>
          <w:spacing w:val="-3"/>
          <w:sz w:val="22"/>
          <w:szCs w:val="22"/>
          <w:shd w:val="clear" w:color="auto" w:fill="FFFFFF"/>
        </w:rPr>
        <w:t>h</w:t>
      </w:r>
      <w:r>
        <w:rPr>
          <w:b/>
          <w:bCs/>
          <w:spacing w:val="-3"/>
          <w:sz w:val="22"/>
          <w:szCs w:val="22"/>
          <w:shd w:val="clear" w:color="auto" w:fill="FFFFFF"/>
        </w:rPr>
        <w:t>)</w:t>
      </w:r>
      <w:r w:rsidRPr="001C2D09" w:rsidR="001D25CE">
        <w:rPr>
          <w:b/>
          <w:bCs/>
          <w:spacing w:val="-3"/>
          <w:sz w:val="22"/>
          <w:szCs w:val="22"/>
          <w:shd w:val="clear" w:color="auto" w:fill="FFFFFF"/>
        </w:rPr>
        <w:tab/>
        <w:t xml:space="preserve">CPNI Disclosure to Third Parties (47 U.S.C. </w:t>
      </w:r>
      <w:r w:rsidRPr="001C2D09" w:rsidR="00C31061">
        <w:rPr>
          <w:b/>
          <w:bCs/>
          <w:spacing w:val="-3"/>
          <w:sz w:val="22"/>
          <w:szCs w:val="22"/>
          <w:shd w:val="clear" w:color="auto" w:fill="FFFFFF"/>
        </w:rPr>
        <w:t>§ </w:t>
      </w:r>
      <w:r w:rsidRPr="001C2D09" w:rsidR="00190494">
        <w:rPr>
          <w:b/>
          <w:bCs/>
          <w:spacing w:val="-3"/>
          <w:sz w:val="22"/>
          <w:szCs w:val="22"/>
          <w:shd w:val="clear" w:color="auto" w:fill="FFFFFF"/>
        </w:rPr>
        <w:t>222</w:t>
      </w:r>
      <w:r w:rsidRPr="001C2D09" w:rsidR="001D25CE">
        <w:rPr>
          <w:b/>
          <w:bCs/>
          <w:spacing w:val="-3"/>
          <w:sz w:val="22"/>
          <w:szCs w:val="22"/>
          <w:shd w:val="clear" w:color="auto" w:fill="FFFFFF"/>
        </w:rPr>
        <w:t>(c)(2))</w:t>
      </w:r>
    </w:p>
    <w:p w:rsidR="00426B11" w:rsidRPr="001C2D09" w:rsidP="0077092A" w14:paraId="3AB54359" w14:textId="1153CFFA">
      <w:pPr>
        <w:rPr>
          <w:spacing w:val="-3"/>
          <w:sz w:val="22"/>
          <w:szCs w:val="22"/>
          <w:shd w:val="clear" w:color="auto" w:fill="FFFFFF"/>
        </w:rPr>
      </w:pPr>
      <w:r w:rsidRPr="001C2D09">
        <w:rPr>
          <w:spacing w:val="-3"/>
          <w:sz w:val="22"/>
          <w:szCs w:val="22"/>
          <w:shd w:val="clear" w:color="auto" w:fill="FFFFFF"/>
        </w:rPr>
        <w:tab/>
        <w:t>(1)</w:t>
      </w:r>
      <w:r w:rsidRPr="001C2D09">
        <w:rPr>
          <w:spacing w:val="-3"/>
          <w:sz w:val="22"/>
          <w:szCs w:val="22"/>
          <w:shd w:val="clear" w:color="auto" w:fill="FFFFFF"/>
        </w:rPr>
        <w:tab/>
        <w:t xml:space="preserve">Number of respondents: </w:t>
      </w:r>
      <w:r w:rsidRPr="001C2D09" w:rsidR="00F34D54">
        <w:rPr>
          <w:spacing w:val="-3"/>
          <w:sz w:val="22"/>
          <w:szCs w:val="22"/>
          <w:shd w:val="clear" w:color="auto" w:fill="FFFFFF"/>
        </w:rPr>
        <w:t xml:space="preserve"> </w:t>
      </w:r>
      <w:r w:rsidRPr="001C2D09">
        <w:rPr>
          <w:spacing w:val="-3"/>
          <w:sz w:val="22"/>
          <w:szCs w:val="22"/>
          <w:shd w:val="clear" w:color="auto" w:fill="FFFFFF"/>
        </w:rPr>
        <w:t>500</w:t>
      </w:r>
    </w:p>
    <w:p w:rsidR="00426B11" w:rsidRPr="001C2D09" w:rsidP="00C31061" w14:paraId="3D969F22" w14:textId="5C19F2D0">
      <w:pPr>
        <w:spacing w:after="120"/>
        <w:rPr>
          <w:spacing w:val="-3"/>
          <w:sz w:val="22"/>
          <w:szCs w:val="22"/>
          <w:shd w:val="clear" w:color="auto" w:fill="FFFFFF"/>
        </w:rPr>
      </w:pPr>
      <w:r w:rsidRPr="001C2D09">
        <w:rPr>
          <w:spacing w:val="-3"/>
          <w:sz w:val="22"/>
          <w:szCs w:val="22"/>
          <w:shd w:val="clear" w:color="auto" w:fill="FFFFFF"/>
        </w:rPr>
        <w:tab/>
        <w:t>(2)</w:t>
      </w:r>
      <w:r w:rsidRPr="001C2D09">
        <w:rPr>
          <w:spacing w:val="-3"/>
          <w:sz w:val="22"/>
          <w:szCs w:val="22"/>
          <w:shd w:val="clear" w:color="auto" w:fill="FFFFFF"/>
        </w:rPr>
        <w:tab/>
        <w:t xml:space="preserve">Frequency of Response:  On occasion reporting requirement; third party disclosure.  </w:t>
      </w:r>
    </w:p>
    <w:p w:rsidR="00426B11" w:rsidRPr="001C2D09" w:rsidP="00C31061" w14:paraId="4861DF09" w14:textId="29EA30D1">
      <w:pPr>
        <w:spacing w:after="120"/>
        <w:rPr>
          <w:spacing w:val="-3"/>
          <w:sz w:val="22"/>
          <w:szCs w:val="22"/>
          <w:shd w:val="clear" w:color="auto" w:fill="FFFFFF"/>
        </w:rPr>
      </w:pPr>
      <w:r w:rsidRPr="001C2D09">
        <w:rPr>
          <w:spacing w:val="-3"/>
          <w:sz w:val="22"/>
          <w:szCs w:val="22"/>
          <w:shd w:val="clear" w:color="auto" w:fill="FFFFFF"/>
        </w:rPr>
        <w:t>This obligation will arise when third parties that have obtained affirmative</w:t>
      </w:r>
      <w:r w:rsidRPr="001C2D09" w:rsidR="00A5498B">
        <w:rPr>
          <w:spacing w:val="-3"/>
          <w:sz w:val="22"/>
          <w:szCs w:val="22"/>
          <w:shd w:val="clear" w:color="auto" w:fill="FFFFFF"/>
        </w:rPr>
        <w:t>,</w:t>
      </w:r>
      <w:r w:rsidRPr="001C2D09">
        <w:rPr>
          <w:spacing w:val="-3"/>
          <w:sz w:val="22"/>
          <w:szCs w:val="22"/>
          <w:shd w:val="clear" w:color="auto" w:fill="FFFFFF"/>
        </w:rPr>
        <w:t xml:space="preserve"> written customer authorization request access to CPNI.  We believe that</w:t>
      </w:r>
      <w:r w:rsidRPr="001C2D09" w:rsidR="00A5498B">
        <w:rPr>
          <w:spacing w:val="-3"/>
          <w:sz w:val="22"/>
          <w:szCs w:val="22"/>
          <w:shd w:val="clear" w:color="auto" w:fill="FFFFFF"/>
        </w:rPr>
        <w:t>,</w:t>
      </w:r>
      <w:r w:rsidRPr="001C2D09">
        <w:rPr>
          <w:spacing w:val="-3"/>
          <w:sz w:val="22"/>
          <w:szCs w:val="22"/>
          <w:shd w:val="clear" w:color="auto" w:fill="FFFFFF"/>
        </w:rPr>
        <w:t xml:space="preserve"> although all </w:t>
      </w:r>
      <w:r w:rsidRPr="001C2D09" w:rsidR="00605AF5">
        <w:rPr>
          <w:spacing w:val="-3"/>
          <w:sz w:val="22"/>
          <w:szCs w:val="22"/>
          <w:shd w:val="clear" w:color="auto" w:fill="FFFFFF"/>
        </w:rPr>
        <w:t xml:space="preserve">covered </w:t>
      </w:r>
      <w:r w:rsidRPr="001C2D09">
        <w:rPr>
          <w:spacing w:val="-3"/>
          <w:sz w:val="22"/>
          <w:szCs w:val="22"/>
          <w:shd w:val="clear" w:color="auto" w:fill="FFFFFF"/>
        </w:rPr>
        <w:t xml:space="preserve">providers are subject to Section 222(c)(2), on average, </w:t>
      </w:r>
      <w:r w:rsidRPr="001C2D09" w:rsidR="00605AF5">
        <w:rPr>
          <w:spacing w:val="-3"/>
          <w:sz w:val="22"/>
          <w:szCs w:val="22"/>
          <w:shd w:val="clear" w:color="auto" w:fill="FFFFFF"/>
        </w:rPr>
        <w:t xml:space="preserve">covered providers </w:t>
      </w:r>
      <w:r w:rsidRPr="001C2D09">
        <w:rPr>
          <w:spacing w:val="-3"/>
          <w:sz w:val="22"/>
          <w:szCs w:val="22"/>
          <w:shd w:val="clear" w:color="auto" w:fill="FFFFFF"/>
        </w:rPr>
        <w:t>will be required to respond to 500 or fewer requests</w:t>
      </w:r>
      <w:r w:rsidRPr="001C2D09" w:rsidR="013833F9">
        <w:rPr>
          <w:spacing w:val="-3"/>
          <w:sz w:val="22"/>
          <w:szCs w:val="22"/>
          <w:shd w:val="clear" w:color="auto" w:fill="FFFFFF"/>
        </w:rPr>
        <w:t xml:space="preserve"> annually</w:t>
      </w:r>
      <w:r w:rsidRPr="001C2D09">
        <w:rPr>
          <w:spacing w:val="-3"/>
          <w:sz w:val="22"/>
          <w:szCs w:val="22"/>
          <w:shd w:val="clear" w:color="auto" w:fill="FFFFFF"/>
        </w:rPr>
        <w:t xml:space="preserve"> for access to CPNI from third parties.   </w:t>
      </w:r>
    </w:p>
    <w:p w:rsidR="00426B11" w:rsidRPr="001C2D09" w:rsidP="00C31061" w14:paraId="02AB3D52" w14:textId="176CF42E">
      <w:pPr>
        <w:spacing w:after="120"/>
        <w:rPr>
          <w:spacing w:val="-3"/>
          <w:sz w:val="22"/>
          <w:szCs w:val="22"/>
          <w:shd w:val="clear" w:color="auto" w:fill="FFFFFF"/>
        </w:rPr>
      </w:pPr>
      <w:r w:rsidRPr="001C2D09">
        <w:rPr>
          <w:spacing w:val="-3"/>
          <w:sz w:val="22"/>
          <w:szCs w:val="22"/>
          <w:shd w:val="clear" w:color="auto" w:fill="FFFFFF"/>
        </w:rPr>
        <w:tab/>
        <w:t>(3)</w:t>
      </w:r>
      <w:r w:rsidRPr="001C2D09">
        <w:rPr>
          <w:spacing w:val="-3"/>
          <w:sz w:val="22"/>
          <w:szCs w:val="22"/>
          <w:shd w:val="clear" w:color="auto" w:fill="FFFFFF"/>
        </w:rPr>
        <w:tab/>
        <w:t xml:space="preserve">Total Number of Responses Annually: </w:t>
      </w:r>
      <w:r w:rsidRPr="001C2D09" w:rsidR="00D31AEA">
        <w:rPr>
          <w:spacing w:val="-3"/>
          <w:sz w:val="22"/>
          <w:szCs w:val="22"/>
          <w:shd w:val="clear" w:color="auto" w:fill="FFFFFF"/>
        </w:rPr>
        <w:t xml:space="preserve"> </w:t>
      </w:r>
      <w:r w:rsidRPr="001C2D09">
        <w:rPr>
          <w:spacing w:val="-3"/>
          <w:sz w:val="22"/>
          <w:szCs w:val="22"/>
          <w:shd w:val="clear" w:color="auto" w:fill="FFFFFF"/>
        </w:rPr>
        <w:t>500 responses (third party disclosures)</w:t>
      </w:r>
    </w:p>
    <w:p w:rsidR="00426B11" w:rsidRPr="001C2D09" w:rsidP="00C31061" w14:paraId="3188011E" w14:textId="1075F2B7">
      <w:pPr>
        <w:spacing w:after="120"/>
        <w:rPr>
          <w:spacing w:val="-3"/>
          <w:sz w:val="22"/>
          <w:szCs w:val="22"/>
          <w:shd w:val="clear" w:color="auto" w:fill="FFFFFF"/>
        </w:rPr>
      </w:pPr>
      <w:r w:rsidRPr="001C2D09">
        <w:rPr>
          <w:spacing w:val="-3"/>
          <w:sz w:val="22"/>
          <w:szCs w:val="22"/>
          <w:shd w:val="clear" w:color="auto" w:fill="FFFFFF"/>
        </w:rPr>
        <w:tab/>
      </w:r>
      <w:r w:rsidRPr="001C2D09" w:rsidR="00C31061">
        <w:rPr>
          <w:spacing w:val="-3"/>
          <w:sz w:val="22"/>
          <w:szCs w:val="22"/>
          <w:shd w:val="clear" w:color="auto" w:fill="FFFFFF"/>
        </w:rPr>
        <w:tab/>
      </w:r>
      <w:r w:rsidRPr="001C2D09">
        <w:rPr>
          <w:spacing w:val="-3"/>
          <w:sz w:val="22"/>
          <w:szCs w:val="22"/>
          <w:shd w:val="clear" w:color="auto" w:fill="FFFFFF"/>
        </w:rPr>
        <w:t>500 respondents x 1 CPNI disclosure/annum = 500 responses</w:t>
      </w:r>
    </w:p>
    <w:p w:rsidR="00426B11" w:rsidRPr="001C2D09" w:rsidP="0095097A" w14:paraId="0E8D6B07" w14:textId="2B9C7103">
      <w:pPr>
        <w:spacing w:after="120"/>
        <w:rPr>
          <w:spacing w:val="-3"/>
          <w:sz w:val="22"/>
          <w:szCs w:val="22"/>
          <w:shd w:val="clear" w:color="auto" w:fill="FFFFFF"/>
        </w:rPr>
      </w:pPr>
      <w:r w:rsidRPr="001C2D09">
        <w:rPr>
          <w:spacing w:val="-3"/>
          <w:sz w:val="22"/>
          <w:szCs w:val="22"/>
          <w:shd w:val="clear" w:color="auto" w:fill="FFFFFF"/>
        </w:rPr>
        <w:tab/>
        <w:t>(4)</w:t>
      </w:r>
      <w:r w:rsidRPr="001C2D09">
        <w:rPr>
          <w:spacing w:val="-3"/>
          <w:sz w:val="22"/>
          <w:szCs w:val="22"/>
          <w:shd w:val="clear" w:color="auto" w:fill="FFFFFF"/>
        </w:rPr>
        <w:tab/>
        <w:t xml:space="preserve">Total Annual Hourly Burden:  </w:t>
      </w:r>
      <w:r w:rsidRPr="001C2D09" w:rsidR="00A77CBA">
        <w:rPr>
          <w:sz w:val="22"/>
          <w:szCs w:val="22"/>
        </w:rPr>
        <w:t>500</w:t>
      </w:r>
      <w:r w:rsidRPr="001C2D09" w:rsidR="007469B9">
        <w:rPr>
          <w:sz w:val="22"/>
          <w:szCs w:val="22"/>
        </w:rPr>
        <w:t xml:space="preserve"> </w:t>
      </w:r>
      <w:r w:rsidRPr="001C2D09">
        <w:rPr>
          <w:spacing w:val="-3"/>
          <w:sz w:val="22"/>
          <w:szCs w:val="22"/>
          <w:shd w:val="clear" w:color="auto" w:fill="FFFFFF"/>
        </w:rPr>
        <w:t>hours</w:t>
      </w:r>
    </w:p>
    <w:p w:rsidR="00426B11" w:rsidRPr="001C2D09" w:rsidP="0095097A" w14:paraId="61908118" w14:textId="3D4B728A">
      <w:pPr>
        <w:spacing w:after="120"/>
        <w:rPr>
          <w:spacing w:val="-3"/>
          <w:sz w:val="22"/>
          <w:szCs w:val="22"/>
          <w:shd w:val="clear" w:color="auto" w:fill="FFFFFF"/>
        </w:rPr>
      </w:pPr>
      <w:r w:rsidRPr="001C2D09">
        <w:rPr>
          <w:spacing w:val="-3"/>
          <w:sz w:val="22"/>
          <w:szCs w:val="22"/>
          <w:shd w:val="clear" w:color="auto" w:fill="FFFFFF"/>
        </w:rPr>
        <w:t xml:space="preserve">The Commission estimates that the respondents will require approximately </w:t>
      </w:r>
      <w:r w:rsidRPr="001C2D09" w:rsidR="00A77CBA">
        <w:rPr>
          <w:sz w:val="22"/>
          <w:szCs w:val="22"/>
        </w:rPr>
        <w:t xml:space="preserve">one </w:t>
      </w:r>
      <w:r w:rsidRPr="001C2D09">
        <w:rPr>
          <w:spacing w:val="-3"/>
          <w:sz w:val="22"/>
          <w:szCs w:val="22"/>
          <w:shd w:val="clear" w:color="auto" w:fill="FFFFFF"/>
        </w:rPr>
        <w:t>hour (</w:t>
      </w:r>
      <w:r w:rsidRPr="001C2D09" w:rsidR="00A77CBA">
        <w:rPr>
          <w:sz w:val="22"/>
          <w:szCs w:val="22"/>
        </w:rPr>
        <w:t>1</w:t>
      </w:r>
      <w:r w:rsidRPr="001C2D09" w:rsidR="001F41B3">
        <w:rPr>
          <w:spacing w:val="-3"/>
          <w:sz w:val="22"/>
          <w:szCs w:val="22"/>
          <w:shd w:val="clear" w:color="auto" w:fill="FFFFFF"/>
        </w:rPr>
        <w:t xml:space="preserve"> </w:t>
      </w:r>
      <w:r w:rsidRPr="001C2D09">
        <w:rPr>
          <w:spacing w:val="-3"/>
          <w:sz w:val="22"/>
          <w:szCs w:val="22"/>
          <w:shd w:val="clear" w:color="auto" w:fill="FFFFFF"/>
        </w:rPr>
        <w:t>hour) to respond annually to approximately 500 requests for access to CPNI from third parties, pursuant to affirmative written customer authorization.</w:t>
      </w:r>
      <w:r w:rsidRPr="001C2D09" w:rsidR="00C31061">
        <w:rPr>
          <w:spacing w:val="-3"/>
          <w:sz w:val="22"/>
          <w:szCs w:val="22"/>
          <w:shd w:val="clear" w:color="auto" w:fill="FFFFFF"/>
        </w:rPr>
        <w:t xml:space="preserve"> </w:t>
      </w:r>
      <w:r w:rsidRPr="001C2D09" w:rsidR="00A0768C">
        <w:rPr>
          <w:spacing w:val="-3"/>
          <w:sz w:val="22"/>
          <w:szCs w:val="22"/>
          <w:shd w:val="clear" w:color="auto" w:fill="FFFFFF"/>
        </w:rPr>
        <w:t xml:space="preserve"> </w:t>
      </w:r>
      <w:r w:rsidRPr="001C2D09">
        <w:rPr>
          <w:spacing w:val="-3"/>
          <w:sz w:val="22"/>
          <w:szCs w:val="22"/>
          <w:shd w:val="clear" w:color="auto" w:fill="FFFFFF"/>
        </w:rPr>
        <w:t xml:space="preserve">This obligation will arise when these third parties that have obtained affirmative written customer authorization request access to CPNI.  </w:t>
      </w:r>
    </w:p>
    <w:p w:rsidR="00426B11" w:rsidRPr="001C2D09" w:rsidP="0095097A" w14:paraId="7D1A250A" w14:textId="2BA8457A">
      <w:pPr>
        <w:spacing w:after="120"/>
        <w:rPr>
          <w:spacing w:val="-3"/>
          <w:sz w:val="22"/>
          <w:szCs w:val="22"/>
          <w:shd w:val="clear" w:color="auto" w:fill="FFFFFF"/>
        </w:rPr>
      </w:pPr>
      <w:r w:rsidRPr="001C2D09">
        <w:rPr>
          <w:spacing w:val="-3"/>
          <w:sz w:val="22"/>
          <w:szCs w:val="22"/>
          <w:shd w:val="clear" w:color="auto" w:fill="FFFFFF"/>
        </w:rPr>
        <w:tab/>
      </w:r>
      <w:r w:rsidRPr="001C2D09" w:rsidR="009B52B8">
        <w:rPr>
          <w:spacing w:val="-3"/>
          <w:sz w:val="22"/>
          <w:szCs w:val="22"/>
          <w:shd w:val="clear" w:color="auto" w:fill="FFFFFF"/>
        </w:rPr>
        <w:tab/>
      </w:r>
      <w:r w:rsidRPr="001C2D09">
        <w:rPr>
          <w:spacing w:val="-3"/>
          <w:sz w:val="22"/>
          <w:szCs w:val="22"/>
          <w:shd w:val="clear" w:color="auto" w:fill="FFFFFF"/>
        </w:rPr>
        <w:t xml:space="preserve">500 respondents x </w:t>
      </w:r>
      <w:r w:rsidRPr="001C2D09" w:rsidR="00A77CBA">
        <w:rPr>
          <w:spacing w:val="-3"/>
          <w:sz w:val="22"/>
          <w:szCs w:val="22"/>
          <w:shd w:val="clear" w:color="auto" w:fill="FFFFFF"/>
        </w:rPr>
        <w:t>1</w:t>
      </w:r>
      <w:r w:rsidRPr="001C2D09">
        <w:rPr>
          <w:spacing w:val="-3"/>
          <w:sz w:val="22"/>
          <w:szCs w:val="22"/>
          <w:shd w:val="clear" w:color="auto" w:fill="FFFFFF"/>
        </w:rPr>
        <w:t xml:space="preserve"> hours/CPNI disclosures annually = </w:t>
      </w:r>
      <w:r w:rsidRPr="001C2D09" w:rsidR="00A77CBA">
        <w:rPr>
          <w:spacing w:val="-3"/>
          <w:sz w:val="22"/>
          <w:szCs w:val="22"/>
          <w:shd w:val="clear" w:color="auto" w:fill="FFFFFF"/>
        </w:rPr>
        <w:t>500</w:t>
      </w:r>
      <w:r w:rsidRPr="001C2D09" w:rsidR="007469B9">
        <w:rPr>
          <w:spacing w:val="-3"/>
          <w:sz w:val="22"/>
          <w:szCs w:val="22"/>
          <w:shd w:val="clear" w:color="auto" w:fill="FFFFFF"/>
        </w:rPr>
        <w:t xml:space="preserve"> </w:t>
      </w:r>
      <w:r w:rsidRPr="001C2D09">
        <w:rPr>
          <w:spacing w:val="-3"/>
          <w:sz w:val="22"/>
          <w:szCs w:val="22"/>
          <w:shd w:val="clear" w:color="auto" w:fill="FFFFFF"/>
        </w:rPr>
        <w:t>hours (third party responses)</w:t>
      </w:r>
    </w:p>
    <w:p w:rsidR="00426B11" w:rsidRPr="001C2D09" w:rsidP="0095097A" w14:paraId="380654C8" w14:textId="03F00706">
      <w:pPr>
        <w:spacing w:after="120"/>
        <w:rPr>
          <w:spacing w:val="-3"/>
          <w:sz w:val="22"/>
          <w:szCs w:val="22"/>
          <w:shd w:val="clear" w:color="auto" w:fill="FFFFFF"/>
        </w:rPr>
      </w:pPr>
      <w:r w:rsidRPr="001C2D09">
        <w:rPr>
          <w:spacing w:val="-3"/>
          <w:sz w:val="22"/>
          <w:szCs w:val="22"/>
          <w:shd w:val="clear" w:color="auto" w:fill="FFFFFF"/>
        </w:rPr>
        <w:tab/>
        <w:t>(5)</w:t>
      </w:r>
      <w:r w:rsidRPr="001C2D09">
        <w:rPr>
          <w:spacing w:val="-3"/>
          <w:sz w:val="22"/>
          <w:szCs w:val="22"/>
          <w:shd w:val="clear" w:color="auto" w:fill="FFFFFF"/>
        </w:rPr>
        <w:tab/>
        <w:t>Total “In House” Cost:</w:t>
      </w:r>
      <w:r w:rsidRPr="001C2D09" w:rsidR="002238FF">
        <w:rPr>
          <w:spacing w:val="-3"/>
          <w:sz w:val="22"/>
          <w:szCs w:val="22"/>
          <w:shd w:val="clear" w:color="auto" w:fill="FFFFFF"/>
        </w:rPr>
        <w:t xml:space="preserve"> </w:t>
      </w:r>
      <w:r w:rsidRPr="001C2D09">
        <w:rPr>
          <w:spacing w:val="-3"/>
          <w:sz w:val="22"/>
          <w:szCs w:val="22"/>
          <w:shd w:val="clear" w:color="auto" w:fill="FFFFFF"/>
        </w:rPr>
        <w:t xml:space="preserve"> $</w:t>
      </w:r>
      <w:r w:rsidRPr="001C2D09" w:rsidR="00B1057B">
        <w:rPr>
          <w:spacing w:val="-3"/>
          <w:sz w:val="22"/>
          <w:szCs w:val="22"/>
          <w:shd w:val="clear" w:color="auto" w:fill="FFFFFF"/>
        </w:rPr>
        <w:t>19,741</w:t>
      </w:r>
    </w:p>
    <w:p w:rsidR="00426B11" w:rsidRPr="001C2D09" w:rsidP="0095097A" w14:paraId="2B404784" w14:textId="2A4A30A5">
      <w:pPr>
        <w:spacing w:after="120"/>
        <w:rPr>
          <w:spacing w:val="-3"/>
          <w:sz w:val="22"/>
          <w:szCs w:val="22"/>
          <w:shd w:val="clear" w:color="auto" w:fill="FFFFFF"/>
        </w:rPr>
      </w:pPr>
      <w:r w:rsidRPr="001C2D09">
        <w:rPr>
          <w:spacing w:val="-3"/>
          <w:sz w:val="22"/>
          <w:szCs w:val="22"/>
          <w:shd w:val="clear" w:color="auto" w:fill="FFFFFF"/>
        </w:rPr>
        <w:t>The Commission assumes that respondents will use personnel comparable in pay to a GS-7/Step 5 Federal employee ($</w:t>
      </w:r>
      <w:r w:rsidRPr="001C2D09" w:rsidR="00636911">
        <w:rPr>
          <w:spacing w:val="-3"/>
          <w:sz w:val="22"/>
          <w:szCs w:val="22"/>
          <w:shd w:val="clear" w:color="auto" w:fill="FFFFFF"/>
        </w:rPr>
        <w:t>30.37</w:t>
      </w:r>
      <w:r w:rsidRPr="001C2D09">
        <w:rPr>
          <w:spacing w:val="-3"/>
          <w:sz w:val="22"/>
          <w:szCs w:val="22"/>
          <w:shd w:val="clear" w:color="auto" w:fill="FFFFFF"/>
        </w:rPr>
        <w:t>/hour), plus 30% overhead, to provide this CPNI information to these third party requesters:</w:t>
      </w:r>
    </w:p>
    <w:p w:rsidR="00426B11" w:rsidRPr="001C2D09" w:rsidP="0077092A" w14:paraId="2DA99DA1" w14:textId="3C6D5366">
      <w:pPr>
        <w:rPr>
          <w:spacing w:val="-3"/>
          <w:sz w:val="22"/>
          <w:szCs w:val="22"/>
          <w:shd w:val="clear" w:color="auto" w:fill="FFFFFF"/>
        </w:rPr>
      </w:pPr>
      <w:r w:rsidRPr="001C2D09">
        <w:rPr>
          <w:spacing w:val="-3"/>
          <w:sz w:val="22"/>
          <w:szCs w:val="22"/>
          <w:shd w:val="clear" w:color="auto" w:fill="FFFFFF"/>
        </w:rPr>
        <w:tab/>
      </w:r>
      <w:r w:rsidRPr="001C2D09" w:rsidR="009E1174">
        <w:rPr>
          <w:spacing w:val="-3"/>
          <w:sz w:val="22"/>
          <w:szCs w:val="22"/>
          <w:shd w:val="clear" w:color="auto" w:fill="FFFFFF"/>
        </w:rPr>
        <w:tab/>
      </w:r>
      <w:r w:rsidRPr="001C2D09">
        <w:rPr>
          <w:spacing w:val="-3"/>
          <w:sz w:val="22"/>
          <w:szCs w:val="22"/>
          <w:shd w:val="clear" w:color="auto" w:fill="FFFFFF"/>
        </w:rPr>
        <w:t xml:space="preserve">500 respondents x </w:t>
      </w:r>
      <w:r w:rsidRPr="001C2D09" w:rsidR="00A77CBA">
        <w:rPr>
          <w:spacing w:val="-3"/>
          <w:sz w:val="22"/>
          <w:szCs w:val="22"/>
          <w:shd w:val="clear" w:color="auto" w:fill="FFFFFF"/>
        </w:rPr>
        <w:t xml:space="preserve">1 </w:t>
      </w:r>
      <w:r w:rsidRPr="001C2D09">
        <w:rPr>
          <w:spacing w:val="-3"/>
          <w:sz w:val="22"/>
          <w:szCs w:val="22"/>
          <w:shd w:val="clear" w:color="auto" w:fill="FFFFFF"/>
        </w:rPr>
        <w:t>hours/CPNI disclosure x $</w:t>
      </w:r>
      <w:r w:rsidRPr="001C2D09" w:rsidR="00636911">
        <w:rPr>
          <w:spacing w:val="-3"/>
          <w:sz w:val="22"/>
          <w:szCs w:val="22"/>
          <w:shd w:val="clear" w:color="auto" w:fill="FFFFFF"/>
        </w:rPr>
        <w:t>30.37</w:t>
      </w:r>
      <w:r w:rsidRPr="001C2D09">
        <w:rPr>
          <w:spacing w:val="-3"/>
          <w:sz w:val="22"/>
          <w:szCs w:val="22"/>
          <w:shd w:val="clear" w:color="auto" w:fill="FFFFFF"/>
        </w:rPr>
        <w:t>/hour = $</w:t>
      </w:r>
      <w:r w:rsidRPr="001C2D09" w:rsidR="006B5FEC">
        <w:rPr>
          <w:spacing w:val="-3"/>
          <w:sz w:val="22"/>
          <w:szCs w:val="22"/>
          <w:shd w:val="clear" w:color="auto" w:fill="FFFFFF"/>
        </w:rPr>
        <w:t>15,185</w:t>
      </w:r>
    </w:p>
    <w:p w:rsidR="00426B11" w:rsidRPr="001C2D09" w:rsidP="0077092A" w14:paraId="5F1105E0" w14:textId="181CFAB8">
      <w:pPr>
        <w:rPr>
          <w:spacing w:val="-3"/>
          <w:sz w:val="22"/>
          <w:szCs w:val="22"/>
          <w:shd w:val="clear" w:color="auto" w:fill="FFFFFF"/>
        </w:rPr>
      </w:pPr>
      <w:r w:rsidRPr="001C2D09">
        <w:rPr>
          <w:spacing w:val="-3"/>
          <w:sz w:val="22"/>
          <w:szCs w:val="22"/>
          <w:shd w:val="clear" w:color="auto" w:fill="FFFFFF"/>
        </w:rPr>
        <w:tab/>
      </w:r>
      <w:r w:rsidRPr="001C2D09" w:rsidR="009E1174">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sidR="009E1174">
        <w:rPr>
          <w:spacing w:val="-3"/>
          <w:sz w:val="22"/>
          <w:szCs w:val="22"/>
          <w:shd w:val="clear" w:color="auto" w:fill="FFFFFF"/>
        </w:rPr>
        <w:t xml:space="preserve">  </w:t>
      </w:r>
      <w:r w:rsidRPr="001C2D09">
        <w:rPr>
          <w:spacing w:val="-3"/>
          <w:sz w:val="22"/>
          <w:szCs w:val="22"/>
          <w:shd w:val="clear" w:color="auto" w:fill="FFFFFF"/>
        </w:rPr>
        <w:t xml:space="preserve">30% overhead = </w:t>
      </w:r>
      <w:r w:rsidRPr="001C2D09">
        <w:rPr>
          <w:spacing w:val="-3"/>
          <w:sz w:val="22"/>
          <w:szCs w:val="22"/>
          <w:u w:val="single"/>
          <w:shd w:val="clear" w:color="auto" w:fill="FFFFFF"/>
        </w:rPr>
        <w:t>$</w:t>
      </w:r>
      <w:r w:rsidRPr="001C2D09" w:rsidR="008705C8">
        <w:rPr>
          <w:spacing w:val="-3"/>
          <w:sz w:val="22"/>
          <w:szCs w:val="22"/>
          <w:u w:val="single"/>
          <w:shd w:val="clear" w:color="auto" w:fill="FFFFFF"/>
        </w:rPr>
        <w:t xml:space="preserve"> </w:t>
      </w:r>
      <w:r w:rsidRPr="001C2D09" w:rsidR="00636C25">
        <w:rPr>
          <w:spacing w:val="-3"/>
          <w:sz w:val="22"/>
          <w:szCs w:val="22"/>
          <w:u w:val="single"/>
          <w:shd w:val="clear" w:color="auto" w:fill="FFFFFF"/>
        </w:rPr>
        <w:t xml:space="preserve"> </w:t>
      </w:r>
      <w:r w:rsidRPr="001C2D09" w:rsidR="00B1057B">
        <w:rPr>
          <w:spacing w:val="-3"/>
          <w:sz w:val="22"/>
          <w:szCs w:val="22"/>
          <w:u w:val="single"/>
          <w:shd w:val="clear" w:color="auto" w:fill="FFFFFF"/>
        </w:rPr>
        <w:t>4,55</w:t>
      </w:r>
      <w:r w:rsidRPr="001C2D09" w:rsidR="00BA278B">
        <w:rPr>
          <w:spacing w:val="-3"/>
          <w:sz w:val="22"/>
          <w:szCs w:val="22"/>
          <w:u w:val="single"/>
          <w:shd w:val="clear" w:color="auto" w:fill="FFFFFF"/>
        </w:rPr>
        <w:t>6</w:t>
      </w:r>
    </w:p>
    <w:p w:rsidR="00426B11" w:rsidRPr="001C2D09" w:rsidP="009E1174" w14:paraId="2B1B3ACB" w14:textId="66658591">
      <w:pPr>
        <w:spacing w:after="24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sidR="009B52B8">
        <w:rPr>
          <w:spacing w:val="-3"/>
          <w:sz w:val="22"/>
          <w:szCs w:val="22"/>
          <w:shd w:val="clear" w:color="auto" w:fill="FFFFFF"/>
        </w:rPr>
        <w:tab/>
      </w:r>
      <w:r w:rsidRPr="001C2D09" w:rsidR="009B52B8">
        <w:rPr>
          <w:spacing w:val="-3"/>
          <w:sz w:val="22"/>
          <w:szCs w:val="22"/>
          <w:shd w:val="clear" w:color="auto" w:fill="FFFFFF"/>
        </w:rPr>
        <w:tab/>
      </w:r>
      <w:r w:rsidRPr="001C2D09">
        <w:rPr>
          <w:spacing w:val="-3"/>
          <w:sz w:val="22"/>
          <w:szCs w:val="22"/>
          <w:shd w:val="clear" w:color="auto" w:fill="FFFFFF"/>
        </w:rPr>
        <w:t xml:space="preserve">Total:  </w:t>
      </w:r>
      <w:r w:rsidRPr="001C2D09" w:rsidR="009B52B8">
        <w:rPr>
          <w:spacing w:val="-3"/>
          <w:sz w:val="22"/>
          <w:szCs w:val="22"/>
          <w:shd w:val="clear" w:color="auto" w:fill="FFFFFF"/>
        </w:rPr>
        <w:t xml:space="preserve">   </w:t>
      </w:r>
      <w:r w:rsidRPr="001C2D09">
        <w:rPr>
          <w:spacing w:val="-3"/>
          <w:sz w:val="22"/>
          <w:szCs w:val="22"/>
          <w:shd w:val="clear" w:color="auto" w:fill="FFFFFF"/>
        </w:rPr>
        <w:t xml:space="preserve"> $</w:t>
      </w:r>
      <w:r w:rsidRPr="001C2D09" w:rsidR="00B1057B">
        <w:rPr>
          <w:spacing w:val="-3"/>
          <w:sz w:val="22"/>
          <w:szCs w:val="22"/>
          <w:shd w:val="clear" w:color="auto" w:fill="FFFFFF"/>
        </w:rPr>
        <w:t>19,741</w:t>
      </w:r>
    </w:p>
    <w:p w:rsidR="00005848" w:rsidRPr="001C2D09" w:rsidP="0077092A" w14:paraId="133A9C98" w14:textId="0C348A00">
      <w:pPr>
        <w:rPr>
          <w:b/>
          <w:bCs/>
          <w:spacing w:val="-3"/>
          <w:sz w:val="22"/>
          <w:szCs w:val="22"/>
          <w:shd w:val="clear" w:color="auto" w:fill="FFFFFF"/>
        </w:rPr>
      </w:pPr>
      <w:r>
        <w:rPr>
          <w:b/>
          <w:bCs/>
          <w:spacing w:val="-3"/>
          <w:sz w:val="22"/>
          <w:szCs w:val="22"/>
          <w:shd w:val="clear" w:color="auto" w:fill="FFFFFF"/>
        </w:rPr>
        <w:t>(</w:t>
      </w:r>
      <w:r w:rsidRPr="001C2D09" w:rsidR="001D25CE">
        <w:rPr>
          <w:b/>
          <w:bCs/>
          <w:spacing w:val="-3"/>
          <w:sz w:val="22"/>
          <w:szCs w:val="22"/>
          <w:shd w:val="clear" w:color="auto" w:fill="FFFFFF"/>
        </w:rPr>
        <w:t>i</w:t>
      </w:r>
      <w:r>
        <w:rPr>
          <w:b/>
          <w:bCs/>
          <w:spacing w:val="-3"/>
          <w:sz w:val="22"/>
          <w:szCs w:val="22"/>
          <w:shd w:val="clear" w:color="auto" w:fill="FFFFFF"/>
        </w:rPr>
        <w:t>)</w:t>
      </w:r>
      <w:r w:rsidRPr="001C2D09" w:rsidR="002238FF">
        <w:rPr>
          <w:b/>
          <w:bCs/>
          <w:spacing w:val="-3"/>
          <w:sz w:val="22"/>
          <w:szCs w:val="22"/>
          <w:shd w:val="clear" w:color="auto" w:fill="FFFFFF"/>
        </w:rPr>
        <w:tab/>
      </w:r>
      <w:r w:rsidRPr="001C2D09" w:rsidR="00C02A3F">
        <w:rPr>
          <w:b/>
          <w:bCs/>
          <w:spacing w:val="-3"/>
          <w:sz w:val="22"/>
          <w:szCs w:val="22"/>
          <w:shd w:val="clear" w:color="auto" w:fill="FFFFFF"/>
        </w:rPr>
        <w:t>Safeguards Required for Use of CPNI.</w:t>
      </w:r>
    </w:p>
    <w:p w:rsidR="00C02A3F" w:rsidRPr="001C2D09" w:rsidP="0077092A" w14:paraId="4A9620B3" w14:textId="77777777">
      <w:pPr>
        <w:rPr>
          <w:spacing w:val="-3"/>
          <w:sz w:val="22"/>
          <w:szCs w:val="22"/>
          <w:shd w:val="clear" w:color="auto" w:fill="FFFFFF"/>
        </w:rPr>
      </w:pPr>
    </w:p>
    <w:p w:rsidR="00C02A3F" w:rsidRPr="001C2D09" w:rsidP="0077092A" w14:paraId="7C7156AE" w14:textId="364EDDCF">
      <w:pPr>
        <w:rPr>
          <w:spacing w:val="-3"/>
          <w:sz w:val="22"/>
          <w:szCs w:val="22"/>
          <w:shd w:val="clear" w:color="auto" w:fill="FFFFFF"/>
        </w:rPr>
      </w:pPr>
      <w:r w:rsidRPr="001C2D09">
        <w:rPr>
          <w:spacing w:val="-3"/>
          <w:sz w:val="22"/>
          <w:szCs w:val="22"/>
          <w:shd w:val="clear" w:color="auto" w:fill="FFFFFF"/>
        </w:rPr>
        <w:tab/>
        <w:t>(1)</w:t>
      </w:r>
      <w:r w:rsidRPr="001C2D09">
        <w:rPr>
          <w:spacing w:val="-3"/>
          <w:sz w:val="22"/>
          <w:szCs w:val="22"/>
          <w:shd w:val="clear" w:color="auto" w:fill="FFFFFF"/>
        </w:rPr>
        <w:tab/>
      </w:r>
      <w:r w:rsidRPr="001C2D09" w:rsidR="00F13714">
        <w:rPr>
          <w:spacing w:val="-3"/>
          <w:sz w:val="22"/>
          <w:szCs w:val="22"/>
          <w:shd w:val="clear" w:color="auto" w:fill="FFFFFF"/>
        </w:rPr>
        <w:t>N</w:t>
      </w:r>
      <w:r w:rsidRPr="001C2D09">
        <w:rPr>
          <w:spacing w:val="-3"/>
          <w:sz w:val="22"/>
          <w:szCs w:val="22"/>
          <w:shd w:val="clear" w:color="auto" w:fill="FFFFFF"/>
        </w:rPr>
        <w:t xml:space="preserve">umber of </w:t>
      </w:r>
      <w:r w:rsidRPr="001C2D09" w:rsidR="0089416F">
        <w:rPr>
          <w:spacing w:val="-3"/>
          <w:sz w:val="22"/>
          <w:szCs w:val="22"/>
          <w:shd w:val="clear" w:color="auto" w:fill="FFFFFF"/>
        </w:rPr>
        <w:t>R</w:t>
      </w:r>
      <w:r w:rsidRPr="001C2D09">
        <w:rPr>
          <w:spacing w:val="-3"/>
          <w:sz w:val="22"/>
          <w:szCs w:val="22"/>
          <w:shd w:val="clear" w:color="auto" w:fill="FFFFFF"/>
        </w:rPr>
        <w:t>espondents:</w:t>
      </w:r>
      <w:r w:rsidRPr="001C2D09" w:rsidR="00F34D54">
        <w:rPr>
          <w:spacing w:val="-3"/>
          <w:sz w:val="22"/>
          <w:szCs w:val="22"/>
          <w:shd w:val="clear" w:color="auto" w:fill="FFFFFF"/>
        </w:rPr>
        <w:t xml:space="preserve"> </w:t>
      </w:r>
      <w:r w:rsidRPr="001C2D09">
        <w:rPr>
          <w:spacing w:val="-3"/>
          <w:sz w:val="22"/>
          <w:szCs w:val="22"/>
          <w:shd w:val="clear" w:color="auto" w:fill="FFFFFF"/>
        </w:rPr>
        <w:t xml:space="preserve"> </w:t>
      </w:r>
      <w:r w:rsidRPr="001C2D09" w:rsidR="0026232E">
        <w:rPr>
          <w:spacing w:val="-3"/>
          <w:sz w:val="22"/>
          <w:szCs w:val="22"/>
          <w:shd w:val="clear" w:color="auto" w:fill="FFFFFF"/>
        </w:rPr>
        <w:t>5</w:t>
      </w:r>
    </w:p>
    <w:p w:rsidR="00D451DF" w:rsidRPr="001C2D09" w:rsidP="0077092A" w14:paraId="4E33FCEE" w14:textId="36993C24">
      <w:pPr>
        <w:rPr>
          <w:spacing w:val="-3"/>
          <w:sz w:val="22"/>
          <w:szCs w:val="22"/>
          <w:shd w:val="clear" w:color="auto" w:fill="FFFFFF"/>
        </w:rPr>
      </w:pPr>
      <w:r w:rsidRPr="001C2D09">
        <w:rPr>
          <w:spacing w:val="-3"/>
          <w:sz w:val="22"/>
          <w:szCs w:val="22"/>
          <w:shd w:val="clear" w:color="auto" w:fill="FFFFFF"/>
        </w:rPr>
        <w:tab/>
        <w:t>(</w:t>
      </w:r>
      <w:r w:rsidRPr="001C2D09" w:rsidR="00F646EC">
        <w:rPr>
          <w:spacing w:val="-3"/>
          <w:sz w:val="22"/>
          <w:szCs w:val="22"/>
          <w:shd w:val="clear" w:color="auto" w:fill="FFFFFF"/>
        </w:rPr>
        <w:t>2</w:t>
      </w:r>
      <w:r w:rsidRPr="001C2D09">
        <w:rPr>
          <w:spacing w:val="-3"/>
          <w:sz w:val="22"/>
          <w:szCs w:val="22"/>
          <w:shd w:val="clear" w:color="auto" w:fill="FFFFFF"/>
        </w:rPr>
        <w:t>)</w:t>
      </w:r>
      <w:r w:rsidRPr="001C2D09">
        <w:rPr>
          <w:spacing w:val="-3"/>
          <w:sz w:val="22"/>
          <w:szCs w:val="22"/>
          <w:shd w:val="clear" w:color="auto" w:fill="FFFFFF"/>
        </w:rPr>
        <w:tab/>
        <w:t xml:space="preserve">Frequency of </w:t>
      </w:r>
      <w:r w:rsidRPr="001C2D09" w:rsidR="00267BF8">
        <w:rPr>
          <w:spacing w:val="-3"/>
          <w:sz w:val="22"/>
          <w:szCs w:val="22"/>
          <w:shd w:val="clear" w:color="auto" w:fill="FFFFFF"/>
        </w:rPr>
        <w:t>R</w:t>
      </w:r>
      <w:r w:rsidRPr="001C2D09" w:rsidR="00DD024B">
        <w:rPr>
          <w:spacing w:val="-3"/>
          <w:sz w:val="22"/>
          <w:szCs w:val="22"/>
          <w:shd w:val="clear" w:color="auto" w:fill="FFFFFF"/>
        </w:rPr>
        <w:t>e</w:t>
      </w:r>
      <w:r w:rsidRPr="001C2D09">
        <w:rPr>
          <w:spacing w:val="-3"/>
          <w:sz w:val="22"/>
          <w:szCs w:val="22"/>
          <w:shd w:val="clear" w:color="auto" w:fill="FFFFFF"/>
        </w:rPr>
        <w:t>sponse:  On occasion reporting requirement.</w:t>
      </w:r>
    </w:p>
    <w:p w:rsidR="001A7EFA" w:rsidRPr="001C2D09" w:rsidP="00A0768C" w14:paraId="7C16012A" w14:textId="6524A921">
      <w:pPr>
        <w:spacing w:after="120"/>
        <w:rPr>
          <w:spacing w:val="-3"/>
          <w:sz w:val="22"/>
          <w:szCs w:val="22"/>
          <w:shd w:val="clear" w:color="auto" w:fill="FFFFFF"/>
        </w:rPr>
      </w:pPr>
      <w:r w:rsidRPr="001C2D09">
        <w:rPr>
          <w:spacing w:val="-3"/>
          <w:sz w:val="22"/>
          <w:szCs w:val="22"/>
          <w:shd w:val="clear" w:color="auto" w:fill="FFFFFF"/>
        </w:rPr>
        <w:tab/>
        <w:t>(</w:t>
      </w:r>
      <w:r w:rsidRPr="001C2D09" w:rsidR="00D451DF">
        <w:rPr>
          <w:spacing w:val="-3"/>
          <w:sz w:val="22"/>
          <w:szCs w:val="22"/>
          <w:shd w:val="clear" w:color="auto" w:fill="FFFFFF"/>
        </w:rPr>
        <w:t>3</w:t>
      </w:r>
      <w:r w:rsidRPr="001C2D09">
        <w:rPr>
          <w:spacing w:val="-3"/>
          <w:sz w:val="22"/>
          <w:szCs w:val="22"/>
          <w:shd w:val="clear" w:color="auto" w:fill="FFFFFF"/>
        </w:rPr>
        <w:t>)</w:t>
      </w:r>
      <w:r w:rsidRPr="001C2D09">
        <w:rPr>
          <w:spacing w:val="-3"/>
          <w:sz w:val="22"/>
          <w:szCs w:val="22"/>
          <w:shd w:val="clear" w:color="auto" w:fill="FFFFFF"/>
        </w:rPr>
        <w:tab/>
      </w:r>
      <w:r w:rsidRPr="001C2D09" w:rsidR="006A45C4">
        <w:rPr>
          <w:spacing w:val="-3"/>
          <w:sz w:val="22"/>
          <w:szCs w:val="22"/>
          <w:shd w:val="clear" w:color="auto" w:fill="FFFFFF"/>
        </w:rPr>
        <w:t xml:space="preserve">Total Number of Responses Annually: </w:t>
      </w:r>
      <w:r w:rsidRPr="001C2D09" w:rsidR="00EA0B3F">
        <w:rPr>
          <w:spacing w:val="-3"/>
          <w:sz w:val="22"/>
          <w:szCs w:val="22"/>
          <w:shd w:val="clear" w:color="auto" w:fill="FFFFFF"/>
        </w:rPr>
        <w:t>5</w:t>
      </w:r>
      <w:r w:rsidRPr="001C2D09" w:rsidR="006A45C4">
        <w:rPr>
          <w:spacing w:val="-3"/>
          <w:sz w:val="22"/>
          <w:szCs w:val="22"/>
          <w:shd w:val="clear" w:color="auto" w:fill="FFFFFF"/>
        </w:rPr>
        <w:t xml:space="preserve"> </w:t>
      </w:r>
    </w:p>
    <w:p w:rsidR="006A45C4" w:rsidRPr="001C2D09" w:rsidP="00A0768C" w14:paraId="3AED15AE" w14:textId="3C658887">
      <w:pPr>
        <w:spacing w:after="120"/>
        <w:rPr>
          <w:spacing w:val="-3"/>
          <w:sz w:val="22"/>
          <w:szCs w:val="22"/>
          <w:shd w:val="clear" w:color="auto" w:fill="FFFFFF"/>
        </w:rPr>
      </w:pPr>
      <w:r w:rsidRPr="001C2D09">
        <w:rPr>
          <w:spacing w:val="-3"/>
          <w:sz w:val="22"/>
          <w:szCs w:val="22"/>
          <w:shd w:val="clear" w:color="auto" w:fill="FFFFFF"/>
        </w:rPr>
        <w:tab/>
      </w:r>
      <w:r w:rsidRPr="001C2D09" w:rsidR="00A0768C">
        <w:rPr>
          <w:spacing w:val="-3"/>
          <w:sz w:val="22"/>
          <w:szCs w:val="22"/>
          <w:shd w:val="clear" w:color="auto" w:fill="FFFFFF"/>
        </w:rPr>
        <w:tab/>
      </w:r>
      <w:r w:rsidRPr="001C2D09" w:rsidR="00EA0B3F">
        <w:rPr>
          <w:spacing w:val="-3"/>
          <w:sz w:val="22"/>
          <w:szCs w:val="22"/>
          <w:shd w:val="clear" w:color="auto" w:fill="FFFFFF"/>
        </w:rPr>
        <w:t>5</w:t>
      </w:r>
      <w:r w:rsidRPr="001C2D09">
        <w:rPr>
          <w:spacing w:val="-3"/>
          <w:sz w:val="22"/>
          <w:szCs w:val="22"/>
          <w:shd w:val="clear" w:color="auto" w:fill="FFFFFF"/>
        </w:rPr>
        <w:t xml:space="preserve"> respondents x 1 response/annum = </w:t>
      </w:r>
      <w:r w:rsidRPr="001C2D09" w:rsidR="00EA0B3F">
        <w:rPr>
          <w:spacing w:val="-3"/>
          <w:sz w:val="22"/>
          <w:szCs w:val="22"/>
          <w:shd w:val="clear" w:color="auto" w:fill="FFFFFF"/>
        </w:rPr>
        <w:t>5</w:t>
      </w:r>
      <w:r w:rsidRPr="001C2D09">
        <w:rPr>
          <w:spacing w:val="-3"/>
          <w:sz w:val="22"/>
          <w:szCs w:val="22"/>
          <w:shd w:val="clear" w:color="auto" w:fill="FFFFFF"/>
        </w:rPr>
        <w:t xml:space="preserve"> responses</w:t>
      </w:r>
      <w:r w:rsidRPr="001C2D09" w:rsidR="00B95854">
        <w:rPr>
          <w:spacing w:val="-3"/>
          <w:sz w:val="22"/>
          <w:szCs w:val="22"/>
          <w:shd w:val="clear" w:color="auto" w:fill="FFFFFF"/>
        </w:rPr>
        <w:t xml:space="preserve"> (reporting requirement)</w:t>
      </w:r>
    </w:p>
    <w:p w:rsidR="00C44985" w:rsidRPr="001C2D09" w:rsidP="00A0768C" w14:paraId="3483775D" w14:textId="0B8E0C73">
      <w:pPr>
        <w:spacing w:after="120"/>
        <w:rPr>
          <w:spacing w:val="-3"/>
          <w:sz w:val="22"/>
          <w:szCs w:val="22"/>
          <w:shd w:val="clear" w:color="auto" w:fill="FFFFFF"/>
        </w:rPr>
      </w:pPr>
      <w:r w:rsidRPr="001C2D09">
        <w:rPr>
          <w:spacing w:val="-3"/>
          <w:sz w:val="22"/>
          <w:szCs w:val="22"/>
          <w:shd w:val="clear" w:color="auto" w:fill="FFFFFF"/>
        </w:rPr>
        <w:tab/>
      </w:r>
      <w:r w:rsidRPr="001C2D09" w:rsidR="00D85D26">
        <w:rPr>
          <w:spacing w:val="-3"/>
          <w:sz w:val="22"/>
          <w:szCs w:val="22"/>
          <w:shd w:val="clear" w:color="auto" w:fill="FFFFFF"/>
        </w:rPr>
        <w:t>(</w:t>
      </w:r>
      <w:r w:rsidRPr="001C2D09" w:rsidR="009E20A9">
        <w:rPr>
          <w:spacing w:val="-3"/>
          <w:sz w:val="22"/>
          <w:szCs w:val="22"/>
          <w:shd w:val="clear" w:color="auto" w:fill="FFFFFF"/>
        </w:rPr>
        <w:t>4</w:t>
      </w:r>
      <w:r w:rsidRPr="001C2D09" w:rsidR="00D85D26">
        <w:rPr>
          <w:spacing w:val="-3"/>
          <w:sz w:val="22"/>
          <w:szCs w:val="22"/>
          <w:shd w:val="clear" w:color="auto" w:fill="FFFFFF"/>
        </w:rPr>
        <w:t>)</w:t>
      </w:r>
      <w:r w:rsidRPr="001C2D09">
        <w:rPr>
          <w:spacing w:val="-3"/>
          <w:sz w:val="22"/>
          <w:szCs w:val="22"/>
          <w:shd w:val="clear" w:color="auto" w:fill="FFFFFF"/>
        </w:rPr>
        <w:tab/>
      </w:r>
      <w:r w:rsidRPr="001C2D09" w:rsidR="005D509C">
        <w:rPr>
          <w:spacing w:val="-3"/>
          <w:sz w:val="22"/>
          <w:szCs w:val="22"/>
          <w:shd w:val="clear" w:color="auto" w:fill="FFFFFF"/>
        </w:rPr>
        <w:t>Total A</w:t>
      </w:r>
      <w:r w:rsidRPr="001C2D09" w:rsidR="00D85D26">
        <w:rPr>
          <w:spacing w:val="-3"/>
          <w:sz w:val="22"/>
          <w:szCs w:val="22"/>
          <w:shd w:val="clear" w:color="auto" w:fill="FFFFFF"/>
        </w:rPr>
        <w:t xml:space="preserve">nnual </w:t>
      </w:r>
      <w:r w:rsidRPr="001C2D09" w:rsidR="005D509C">
        <w:rPr>
          <w:spacing w:val="-3"/>
          <w:sz w:val="22"/>
          <w:szCs w:val="22"/>
          <w:shd w:val="clear" w:color="auto" w:fill="FFFFFF"/>
        </w:rPr>
        <w:t>H</w:t>
      </w:r>
      <w:r w:rsidRPr="001C2D09" w:rsidR="00D85D26">
        <w:rPr>
          <w:spacing w:val="-3"/>
          <w:sz w:val="22"/>
          <w:szCs w:val="22"/>
          <w:shd w:val="clear" w:color="auto" w:fill="FFFFFF"/>
        </w:rPr>
        <w:t xml:space="preserve">our </w:t>
      </w:r>
      <w:r w:rsidRPr="001C2D09" w:rsidR="005D509C">
        <w:rPr>
          <w:spacing w:val="-3"/>
          <w:sz w:val="22"/>
          <w:szCs w:val="22"/>
          <w:shd w:val="clear" w:color="auto" w:fill="FFFFFF"/>
        </w:rPr>
        <w:t>B</w:t>
      </w:r>
      <w:r w:rsidRPr="001C2D09" w:rsidR="00D85D26">
        <w:rPr>
          <w:spacing w:val="-3"/>
          <w:sz w:val="22"/>
          <w:szCs w:val="22"/>
          <w:shd w:val="clear" w:color="auto" w:fill="FFFFFF"/>
        </w:rPr>
        <w:t xml:space="preserve">urden:  </w:t>
      </w:r>
      <w:r w:rsidRPr="001C2D09" w:rsidR="0089416F">
        <w:rPr>
          <w:spacing w:val="-3"/>
          <w:sz w:val="22"/>
          <w:szCs w:val="22"/>
          <w:shd w:val="clear" w:color="auto" w:fill="FFFFFF"/>
        </w:rPr>
        <w:t>25 hours</w:t>
      </w:r>
    </w:p>
    <w:p w:rsidR="00257194" w:rsidRPr="001C2D09" w:rsidP="00A0768C" w14:paraId="0113FC70" w14:textId="05520783">
      <w:pPr>
        <w:spacing w:after="120"/>
        <w:rPr>
          <w:spacing w:val="-3"/>
          <w:sz w:val="22"/>
          <w:szCs w:val="22"/>
          <w:shd w:val="clear" w:color="auto" w:fill="FFFFFF"/>
        </w:rPr>
      </w:pPr>
      <w:r w:rsidRPr="001C2D09">
        <w:rPr>
          <w:spacing w:val="-3"/>
          <w:sz w:val="22"/>
          <w:szCs w:val="22"/>
          <w:shd w:val="clear" w:color="auto" w:fill="FFFFFF"/>
        </w:rPr>
        <w:t xml:space="preserve">The Commission believes that </w:t>
      </w:r>
      <w:r w:rsidRPr="001C2D09" w:rsidR="00683FA9">
        <w:rPr>
          <w:spacing w:val="-3"/>
          <w:sz w:val="22"/>
          <w:szCs w:val="22"/>
          <w:shd w:val="clear" w:color="auto" w:fill="FFFFFF"/>
        </w:rPr>
        <w:t xml:space="preserve">the </w:t>
      </w:r>
      <w:r w:rsidRPr="001C2D09" w:rsidR="00EA5E8D">
        <w:rPr>
          <w:spacing w:val="-3"/>
          <w:sz w:val="22"/>
          <w:szCs w:val="22"/>
          <w:shd w:val="clear" w:color="auto" w:fill="FFFFFF"/>
        </w:rPr>
        <w:t>instances where the respondent</w:t>
      </w:r>
      <w:r w:rsidRPr="001C2D09" w:rsidR="00616E65">
        <w:rPr>
          <w:spacing w:val="-3"/>
          <w:sz w:val="22"/>
          <w:szCs w:val="22"/>
          <w:shd w:val="clear" w:color="auto" w:fill="FFFFFF"/>
        </w:rPr>
        <w:t xml:space="preserve">s </w:t>
      </w:r>
      <w:r w:rsidRPr="001C2D09" w:rsidR="00A61004">
        <w:rPr>
          <w:spacing w:val="-3"/>
          <w:sz w:val="22"/>
          <w:szCs w:val="22"/>
          <w:shd w:val="clear" w:color="auto" w:fill="FFFFFF"/>
        </w:rPr>
        <w:t>must report to the Commission any instances when the opt-out mechanisms did not work will require approx</w:t>
      </w:r>
      <w:r w:rsidRPr="001C2D09" w:rsidR="00EA5E8D">
        <w:rPr>
          <w:spacing w:val="-3"/>
          <w:sz w:val="22"/>
          <w:szCs w:val="22"/>
          <w:shd w:val="clear" w:color="auto" w:fill="FFFFFF"/>
        </w:rPr>
        <w:t xml:space="preserve">imately </w:t>
      </w:r>
      <w:r w:rsidRPr="001C2D09" w:rsidR="005D509C">
        <w:rPr>
          <w:spacing w:val="-3"/>
          <w:sz w:val="22"/>
          <w:szCs w:val="22"/>
          <w:shd w:val="clear" w:color="auto" w:fill="FFFFFF"/>
        </w:rPr>
        <w:t xml:space="preserve">five </w:t>
      </w:r>
      <w:r w:rsidRPr="001C2D09" w:rsidR="00EA5E8D">
        <w:rPr>
          <w:spacing w:val="-3"/>
          <w:sz w:val="22"/>
          <w:szCs w:val="22"/>
          <w:shd w:val="clear" w:color="auto" w:fill="FFFFFF"/>
        </w:rPr>
        <w:t>hour</w:t>
      </w:r>
      <w:r w:rsidRPr="001C2D09" w:rsidR="005D509C">
        <w:rPr>
          <w:spacing w:val="-3"/>
          <w:sz w:val="22"/>
          <w:szCs w:val="22"/>
          <w:shd w:val="clear" w:color="auto" w:fill="FFFFFF"/>
        </w:rPr>
        <w:t>s</w:t>
      </w:r>
      <w:r w:rsidRPr="001C2D09" w:rsidR="00A61004">
        <w:rPr>
          <w:spacing w:val="-3"/>
          <w:sz w:val="22"/>
          <w:szCs w:val="22"/>
          <w:shd w:val="clear" w:color="auto" w:fill="FFFFFF"/>
        </w:rPr>
        <w:t xml:space="preserve"> (5</w:t>
      </w:r>
      <w:r w:rsidRPr="001C2D09" w:rsidR="003D16CC">
        <w:rPr>
          <w:spacing w:val="-3"/>
          <w:sz w:val="22"/>
          <w:szCs w:val="22"/>
          <w:shd w:val="clear" w:color="auto" w:fill="FFFFFF"/>
        </w:rPr>
        <w:t xml:space="preserve"> </w:t>
      </w:r>
      <w:r w:rsidRPr="001C2D09" w:rsidR="00A61004">
        <w:rPr>
          <w:spacing w:val="-3"/>
          <w:sz w:val="22"/>
          <w:szCs w:val="22"/>
          <w:shd w:val="clear" w:color="auto" w:fill="FFFFFF"/>
        </w:rPr>
        <w:t>hours) annually</w:t>
      </w:r>
      <w:r w:rsidRPr="001C2D09" w:rsidR="005D509C">
        <w:rPr>
          <w:spacing w:val="-3"/>
          <w:sz w:val="22"/>
          <w:szCs w:val="22"/>
          <w:shd w:val="clear" w:color="auto" w:fill="FFFFFF"/>
        </w:rPr>
        <w:t>.</w:t>
      </w:r>
      <w:r w:rsidRPr="001C2D09" w:rsidR="00EA5E8D">
        <w:rPr>
          <w:spacing w:val="-3"/>
          <w:sz w:val="22"/>
          <w:szCs w:val="22"/>
          <w:shd w:val="clear" w:color="auto" w:fill="FFFFFF"/>
        </w:rPr>
        <w:t xml:space="preserve"> </w:t>
      </w:r>
    </w:p>
    <w:p w:rsidR="003F01BC" w:rsidRPr="001C2D09" w:rsidP="00A0768C" w14:paraId="740D77FF" w14:textId="486EE998">
      <w:pPr>
        <w:spacing w:after="120"/>
        <w:rPr>
          <w:spacing w:val="-3"/>
          <w:sz w:val="22"/>
          <w:szCs w:val="22"/>
          <w:shd w:val="clear" w:color="auto" w:fill="FFFFFF"/>
        </w:rPr>
      </w:pPr>
      <w:r w:rsidRPr="001C2D09">
        <w:rPr>
          <w:spacing w:val="-3"/>
          <w:sz w:val="22"/>
          <w:szCs w:val="22"/>
          <w:shd w:val="clear" w:color="auto" w:fill="FFFFFF"/>
        </w:rPr>
        <w:tab/>
      </w:r>
      <w:r w:rsidRPr="001C2D09" w:rsidR="00A0768C">
        <w:rPr>
          <w:spacing w:val="-3"/>
          <w:sz w:val="22"/>
          <w:szCs w:val="22"/>
          <w:shd w:val="clear" w:color="auto" w:fill="FFFFFF"/>
        </w:rPr>
        <w:tab/>
      </w:r>
      <w:r w:rsidRPr="001C2D09" w:rsidR="001A5F08">
        <w:rPr>
          <w:spacing w:val="-3"/>
          <w:sz w:val="22"/>
          <w:szCs w:val="22"/>
          <w:shd w:val="clear" w:color="auto" w:fill="FFFFFF"/>
        </w:rPr>
        <w:t>5</w:t>
      </w:r>
      <w:r w:rsidRPr="001C2D09" w:rsidR="00B17D8F">
        <w:rPr>
          <w:spacing w:val="-3"/>
          <w:sz w:val="22"/>
          <w:szCs w:val="22"/>
          <w:shd w:val="clear" w:color="auto" w:fill="FFFFFF"/>
        </w:rPr>
        <w:t xml:space="preserve"> respondents x 5 hours/</w:t>
      </w:r>
      <w:r w:rsidRPr="001C2D09" w:rsidR="0073798E">
        <w:rPr>
          <w:spacing w:val="-3"/>
          <w:sz w:val="22"/>
          <w:szCs w:val="22"/>
          <w:shd w:val="clear" w:color="auto" w:fill="FFFFFF"/>
        </w:rPr>
        <w:t xml:space="preserve">opt-out notification </w:t>
      </w:r>
      <w:r w:rsidRPr="001C2D09" w:rsidR="00581039">
        <w:rPr>
          <w:spacing w:val="-3"/>
          <w:sz w:val="22"/>
          <w:szCs w:val="22"/>
          <w:shd w:val="clear" w:color="auto" w:fill="FFFFFF"/>
        </w:rPr>
        <w:t>safeguard/</w:t>
      </w:r>
      <w:r w:rsidRPr="001C2D09" w:rsidR="00B17D8F">
        <w:rPr>
          <w:spacing w:val="-3"/>
          <w:sz w:val="22"/>
          <w:szCs w:val="22"/>
          <w:shd w:val="clear" w:color="auto" w:fill="FFFFFF"/>
        </w:rPr>
        <w:t xml:space="preserve">annum = </w:t>
      </w:r>
      <w:r w:rsidRPr="001C2D09" w:rsidR="001A5F08">
        <w:rPr>
          <w:spacing w:val="-3"/>
          <w:sz w:val="22"/>
          <w:szCs w:val="22"/>
          <w:shd w:val="clear" w:color="auto" w:fill="FFFFFF"/>
        </w:rPr>
        <w:t>25</w:t>
      </w:r>
      <w:r w:rsidRPr="001C2D09" w:rsidR="00B17D8F">
        <w:rPr>
          <w:spacing w:val="-3"/>
          <w:sz w:val="22"/>
          <w:szCs w:val="22"/>
          <w:shd w:val="clear" w:color="auto" w:fill="FFFFFF"/>
        </w:rPr>
        <w:t xml:space="preserve"> hours</w:t>
      </w:r>
    </w:p>
    <w:p w:rsidR="004A31FB" w:rsidRPr="001C2D09" w:rsidP="00A0768C" w14:paraId="6C9E34DA" w14:textId="5AA33A6D">
      <w:pPr>
        <w:spacing w:after="120"/>
        <w:rPr>
          <w:spacing w:val="-3"/>
          <w:sz w:val="22"/>
          <w:szCs w:val="22"/>
          <w:shd w:val="clear" w:color="auto" w:fill="FFFFFF"/>
        </w:rPr>
      </w:pPr>
      <w:r w:rsidRPr="001C2D09">
        <w:rPr>
          <w:spacing w:val="-3"/>
          <w:sz w:val="22"/>
          <w:szCs w:val="22"/>
          <w:shd w:val="clear" w:color="auto" w:fill="FFFFFF"/>
        </w:rPr>
        <w:tab/>
      </w:r>
      <w:r w:rsidRPr="001C2D09" w:rsidR="00325A4C">
        <w:rPr>
          <w:spacing w:val="-3"/>
          <w:sz w:val="22"/>
          <w:szCs w:val="22"/>
          <w:shd w:val="clear" w:color="auto" w:fill="FFFFFF"/>
        </w:rPr>
        <w:t>(5)</w:t>
      </w:r>
      <w:r w:rsidRPr="001C2D09">
        <w:rPr>
          <w:spacing w:val="-3"/>
          <w:sz w:val="22"/>
          <w:szCs w:val="22"/>
          <w:shd w:val="clear" w:color="auto" w:fill="FFFFFF"/>
        </w:rPr>
        <w:tab/>
        <w:t>Total “In House” Costs:</w:t>
      </w:r>
      <w:r w:rsidRPr="001C2D09" w:rsidR="00811744">
        <w:rPr>
          <w:spacing w:val="-3"/>
          <w:sz w:val="22"/>
          <w:szCs w:val="22"/>
          <w:shd w:val="clear" w:color="auto" w:fill="FFFFFF"/>
        </w:rPr>
        <w:t xml:space="preserve"> </w:t>
      </w:r>
      <w:r w:rsidRPr="001C2D09" w:rsidR="00F13714">
        <w:rPr>
          <w:spacing w:val="-3"/>
          <w:sz w:val="22"/>
          <w:szCs w:val="22"/>
          <w:shd w:val="clear" w:color="auto" w:fill="FFFFFF"/>
        </w:rPr>
        <w:t xml:space="preserve"> </w:t>
      </w:r>
      <w:r w:rsidRPr="001C2D09" w:rsidR="00811744">
        <w:rPr>
          <w:spacing w:val="-3"/>
          <w:sz w:val="22"/>
          <w:szCs w:val="22"/>
          <w:shd w:val="clear" w:color="auto" w:fill="FFFFFF"/>
        </w:rPr>
        <w:t>$</w:t>
      </w:r>
      <w:r w:rsidRPr="001C2D09" w:rsidR="00E5141C">
        <w:rPr>
          <w:spacing w:val="-3"/>
          <w:sz w:val="22"/>
          <w:szCs w:val="22"/>
          <w:shd w:val="clear" w:color="auto" w:fill="FFFFFF"/>
        </w:rPr>
        <w:t>2,46</w:t>
      </w:r>
      <w:r w:rsidRPr="001C2D09" w:rsidR="00001207">
        <w:rPr>
          <w:spacing w:val="-3"/>
          <w:sz w:val="22"/>
          <w:szCs w:val="22"/>
          <w:shd w:val="clear" w:color="auto" w:fill="FFFFFF"/>
        </w:rPr>
        <w:t>1</w:t>
      </w:r>
    </w:p>
    <w:p w:rsidR="004A31FB" w:rsidRPr="001C2D09" w:rsidP="00A0768C" w14:paraId="233727CD" w14:textId="2E7774A4">
      <w:pPr>
        <w:spacing w:after="120"/>
        <w:rPr>
          <w:spacing w:val="-3"/>
          <w:sz w:val="22"/>
          <w:szCs w:val="22"/>
          <w:shd w:val="clear" w:color="auto" w:fill="FFFFFF"/>
        </w:rPr>
      </w:pPr>
      <w:r w:rsidRPr="001C2D09">
        <w:rPr>
          <w:spacing w:val="-3"/>
          <w:sz w:val="22"/>
          <w:szCs w:val="22"/>
          <w:shd w:val="clear" w:color="auto" w:fill="FFFFFF"/>
        </w:rPr>
        <w:t xml:space="preserve">The Commission </w:t>
      </w:r>
      <w:r w:rsidRPr="001C2D09" w:rsidR="00325A4C">
        <w:rPr>
          <w:spacing w:val="-3"/>
          <w:sz w:val="22"/>
          <w:szCs w:val="22"/>
          <w:shd w:val="clear" w:color="auto" w:fill="FFFFFF"/>
        </w:rPr>
        <w:t>assume</w:t>
      </w:r>
      <w:r w:rsidRPr="001C2D09">
        <w:rPr>
          <w:spacing w:val="-3"/>
          <w:sz w:val="22"/>
          <w:szCs w:val="22"/>
          <w:shd w:val="clear" w:color="auto" w:fill="FFFFFF"/>
        </w:rPr>
        <w:t>s</w:t>
      </w:r>
      <w:r w:rsidRPr="001C2D09" w:rsidR="00325A4C">
        <w:rPr>
          <w:spacing w:val="-3"/>
          <w:sz w:val="22"/>
          <w:szCs w:val="22"/>
          <w:shd w:val="clear" w:color="auto" w:fill="FFFFFF"/>
        </w:rPr>
        <w:t xml:space="preserve"> th</w:t>
      </w:r>
      <w:r w:rsidRPr="001C2D09">
        <w:rPr>
          <w:spacing w:val="-3"/>
          <w:sz w:val="22"/>
          <w:szCs w:val="22"/>
          <w:shd w:val="clear" w:color="auto" w:fill="FFFFFF"/>
        </w:rPr>
        <w:t>at</w:t>
      </w:r>
      <w:r w:rsidRPr="001C2D09" w:rsidR="00325A4C">
        <w:rPr>
          <w:spacing w:val="-3"/>
          <w:sz w:val="22"/>
          <w:szCs w:val="22"/>
          <w:shd w:val="clear" w:color="auto" w:fill="FFFFFF"/>
        </w:rPr>
        <w:t xml:space="preserve"> respondents </w:t>
      </w:r>
      <w:r w:rsidRPr="001C2D09" w:rsidR="00851D56">
        <w:rPr>
          <w:spacing w:val="-3"/>
          <w:sz w:val="22"/>
          <w:szCs w:val="22"/>
          <w:shd w:val="clear" w:color="auto" w:fill="FFFFFF"/>
        </w:rPr>
        <w:t xml:space="preserve">will </w:t>
      </w:r>
      <w:r w:rsidRPr="001C2D09" w:rsidR="00325A4C">
        <w:rPr>
          <w:spacing w:val="-3"/>
          <w:sz w:val="22"/>
          <w:szCs w:val="22"/>
          <w:shd w:val="clear" w:color="auto" w:fill="FFFFFF"/>
        </w:rPr>
        <w:t>use personnel comparable in pay to a GS-</w:t>
      </w:r>
      <w:r w:rsidRPr="001C2D09" w:rsidR="00FB2D4A">
        <w:rPr>
          <w:spacing w:val="-3"/>
          <w:sz w:val="22"/>
          <w:szCs w:val="22"/>
          <w:shd w:val="clear" w:color="auto" w:fill="FFFFFF"/>
        </w:rPr>
        <w:t>14</w:t>
      </w:r>
      <w:r w:rsidRPr="001C2D09" w:rsidR="00325A4C">
        <w:rPr>
          <w:spacing w:val="-3"/>
          <w:sz w:val="22"/>
          <w:szCs w:val="22"/>
          <w:shd w:val="clear" w:color="auto" w:fill="FFFFFF"/>
        </w:rPr>
        <w:t>/</w:t>
      </w:r>
      <w:r w:rsidRPr="001C2D09">
        <w:rPr>
          <w:spacing w:val="-3"/>
          <w:sz w:val="22"/>
          <w:szCs w:val="22"/>
          <w:shd w:val="clear" w:color="auto" w:fill="FFFFFF"/>
        </w:rPr>
        <w:t xml:space="preserve">Step 5 </w:t>
      </w:r>
      <w:r w:rsidRPr="001C2D09" w:rsidR="00325A4C">
        <w:rPr>
          <w:spacing w:val="-3"/>
          <w:sz w:val="22"/>
          <w:szCs w:val="22"/>
          <w:shd w:val="clear" w:color="auto" w:fill="FFFFFF"/>
        </w:rPr>
        <w:t xml:space="preserve">Federal employee </w:t>
      </w:r>
      <w:r w:rsidRPr="001C2D09">
        <w:rPr>
          <w:spacing w:val="-3"/>
          <w:sz w:val="22"/>
          <w:szCs w:val="22"/>
          <w:shd w:val="clear" w:color="auto" w:fill="FFFFFF"/>
        </w:rPr>
        <w:t>($</w:t>
      </w:r>
      <w:r w:rsidRPr="001C2D09" w:rsidR="000455C6">
        <w:rPr>
          <w:spacing w:val="-3"/>
          <w:sz w:val="22"/>
          <w:szCs w:val="22"/>
          <w:shd w:val="clear" w:color="auto" w:fill="FFFFFF"/>
        </w:rPr>
        <w:t>75.70</w:t>
      </w:r>
      <w:r w:rsidRPr="001C2D09">
        <w:rPr>
          <w:spacing w:val="-3"/>
          <w:sz w:val="22"/>
          <w:szCs w:val="22"/>
          <w:shd w:val="clear" w:color="auto" w:fill="FFFFFF"/>
        </w:rPr>
        <w:t>)</w:t>
      </w:r>
      <w:r w:rsidRPr="001C2D09" w:rsidR="00FB2D4A">
        <w:rPr>
          <w:spacing w:val="-3"/>
          <w:sz w:val="22"/>
          <w:szCs w:val="22"/>
          <w:shd w:val="clear" w:color="auto" w:fill="FFFFFF"/>
        </w:rPr>
        <w:t xml:space="preserve">, </w:t>
      </w:r>
      <w:r w:rsidRPr="001C2D09">
        <w:rPr>
          <w:spacing w:val="-3"/>
          <w:sz w:val="22"/>
          <w:szCs w:val="22"/>
          <w:shd w:val="clear" w:color="auto" w:fill="FFFFFF"/>
        </w:rPr>
        <w:t>plus 3</w:t>
      </w:r>
      <w:r w:rsidRPr="001C2D09" w:rsidR="00325A4C">
        <w:rPr>
          <w:spacing w:val="-3"/>
          <w:sz w:val="22"/>
          <w:szCs w:val="22"/>
          <w:shd w:val="clear" w:color="auto" w:fill="FFFFFF"/>
        </w:rPr>
        <w:t>0% for overhead</w:t>
      </w:r>
      <w:r w:rsidRPr="001C2D09" w:rsidR="00FB2D4A">
        <w:rPr>
          <w:spacing w:val="-3"/>
          <w:sz w:val="22"/>
          <w:szCs w:val="22"/>
          <w:shd w:val="clear" w:color="auto" w:fill="FFFFFF"/>
        </w:rPr>
        <w:t>,</w:t>
      </w:r>
      <w:r w:rsidRPr="001C2D09" w:rsidR="00325A4C">
        <w:rPr>
          <w:spacing w:val="-3"/>
          <w:sz w:val="22"/>
          <w:szCs w:val="22"/>
          <w:shd w:val="clear" w:color="auto" w:fill="FFFFFF"/>
        </w:rPr>
        <w:t xml:space="preserve"> to comply with th</w:t>
      </w:r>
      <w:r w:rsidRPr="001C2D09" w:rsidR="00FB2D4A">
        <w:rPr>
          <w:spacing w:val="-3"/>
          <w:sz w:val="22"/>
          <w:szCs w:val="22"/>
          <w:shd w:val="clear" w:color="auto" w:fill="FFFFFF"/>
        </w:rPr>
        <w:t>is notification</w:t>
      </w:r>
      <w:r w:rsidRPr="001C2D09" w:rsidR="00325A4C">
        <w:rPr>
          <w:spacing w:val="-3"/>
          <w:sz w:val="22"/>
          <w:szCs w:val="22"/>
          <w:shd w:val="clear" w:color="auto" w:fill="FFFFFF"/>
        </w:rPr>
        <w:t xml:space="preserve"> requirement.  </w:t>
      </w:r>
    </w:p>
    <w:p w:rsidR="00AB30B0" w:rsidRPr="001C2D09" w:rsidP="0077092A" w14:paraId="64AF45E7" w14:textId="3CBF19A6">
      <w:pPr>
        <w:rPr>
          <w:spacing w:val="-3"/>
          <w:sz w:val="22"/>
          <w:szCs w:val="22"/>
          <w:shd w:val="clear" w:color="auto" w:fill="FFFFFF"/>
        </w:rPr>
      </w:pPr>
      <w:r w:rsidRPr="001C2D09">
        <w:rPr>
          <w:spacing w:val="-3"/>
          <w:sz w:val="22"/>
          <w:szCs w:val="22"/>
          <w:shd w:val="clear" w:color="auto" w:fill="FFFFFF"/>
        </w:rPr>
        <w:tab/>
      </w:r>
      <w:r w:rsidRPr="001C2D09" w:rsidR="00A0768C">
        <w:rPr>
          <w:spacing w:val="-3"/>
          <w:sz w:val="22"/>
          <w:szCs w:val="22"/>
          <w:shd w:val="clear" w:color="auto" w:fill="FFFFFF"/>
        </w:rPr>
        <w:tab/>
      </w:r>
      <w:r w:rsidRPr="001C2D09" w:rsidR="0053549E">
        <w:rPr>
          <w:spacing w:val="-3"/>
          <w:sz w:val="22"/>
          <w:szCs w:val="22"/>
          <w:shd w:val="clear" w:color="auto" w:fill="FFFFFF"/>
        </w:rPr>
        <w:t>5</w:t>
      </w:r>
      <w:r w:rsidRPr="001C2D09">
        <w:rPr>
          <w:spacing w:val="-3"/>
          <w:sz w:val="22"/>
          <w:szCs w:val="22"/>
          <w:shd w:val="clear" w:color="auto" w:fill="FFFFFF"/>
        </w:rPr>
        <w:t xml:space="preserve"> respondents x 5 hours/annum </w:t>
      </w:r>
      <w:r w:rsidRPr="001C2D09" w:rsidR="00325A4C">
        <w:rPr>
          <w:spacing w:val="-3"/>
          <w:sz w:val="22"/>
          <w:szCs w:val="22"/>
          <w:shd w:val="clear" w:color="auto" w:fill="FFFFFF"/>
        </w:rPr>
        <w:t>x $</w:t>
      </w:r>
      <w:r w:rsidRPr="001C2D09" w:rsidR="0033011D">
        <w:rPr>
          <w:spacing w:val="-3"/>
          <w:sz w:val="22"/>
          <w:szCs w:val="22"/>
          <w:shd w:val="clear" w:color="auto" w:fill="FFFFFF"/>
        </w:rPr>
        <w:t>75.70</w:t>
      </w:r>
      <w:r w:rsidRPr="001C2D09" w:rsidR="00FB2D4A">
        <w:rPr>
          <w:spacing w:val="-3"/>
          <w:sz w:val="22"/>
          <w:szCs w:val="22"/>
          <w:shd w:val="clear" w:color="auto" w:fill="FFFFFF"/>
        </w:rPr>
        <w:t>/hour</w:t>
      </w:r>
      <w:r w:rsidRPr="001C2D09" w:rsidR="00325A4C">
        <w:rPr>
          <w:spacing w:val="-3"/>
          <w:sz w:val="22"/>
          <w:szCs w:val="22"/>
          <w:shd w:val="clear" w:color="auto" w:fill="FFFFFF"/>
        </w:rPr>
        <w:t xml:space="preserve"> = $</w:t>
      </w:r>
      <w:r w:rsidRPr="001C2D09" w:rsidR="00E5141C">
        <w:rPr>
          <w:spacing w:val="-3"/>
          <w:sz w:val="22"/>
          <w:szCs w:val="22"/>
          <w:shd w:val="clear" w:color="auto" w:fill="FFFFFF"/>
        </w:rPr>
        <w:t>1,893</w:t>
      </w:r>
    </w:p>
    <w:p w:rsidR="00AB30B0" w:rsidRPr="001C2D09" w:rsidP="0077092A" w14:paraId="331995B8" w14:textId="741BB8FB">
      <w:pPr>
        <w:rPr>
          <w:spacing w:val="-3"/>
          <w:sz w:val="22"/>
          <w:szCs w:val="22"/>
          <w:shd w:val="clear" w:color="auto" w:fill="FFFFFF"/>
        </w:rPr>
      </w:pPr>
      <w:r w:rsidRPr="001C2D09">
        <w:rPr>
          <w:spacing w:val="-3"/>
          <w:sz w:val="22"/>
          <w:szCs w:val="22"/>
          <w:shd w:val="clear" w:color="auto" w:fill="FFFFFF"/>
        </w:rPr>
        <w:tab/>
      </w:r>
      <w:r w:rsidRPr="001C2D09" w:rsidR="00A0768C">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t xml:space="preserve">          30% overhead =</w:t>
      </w:r>
      <w:r w:rsidRPr="001C2D09">
        <w:rPr>
          <w:spacing w:val="-3"/>
          <w:sz w:val="22"/>
          <w:szCs w:val="22"/>
          <w:u w:val="single"/>
          <w:shd w:val="clear" w:color="auto" w:fill="FFFFFF"/>
        </w:rPr>
        <w:t xml:space="preserve"> </w:t>
      </w:r>
      <w:r w:rsidRPr="001C2D09" w:rsidR="00001207">
        <w:rPr>
          <w:spacing w:val="-3"/>
          <w:sz w:val="22"/>
          <w:szCs w:val="22"/>
          <w:u w:val="single"/>
          <w:shd w:val="clear" w:color="auto" w:fill="FFFFFF"/>
        </w:rPr>
        <w:t xml:space="preserve">   </w:t>
      </w:r>
      <w:r w:rsidRPr="001C2D09">
        <w:rPr>
          <w:spacing w:val="-3"/>
          <w:sz w:val="22"/>
          <w:szCs w:val="22"/>
          <w:u w:val="single"/>
          <w:shd w:val="clear" w:color="auto" w:fill="FFFFFF"/>
        </w:rPr>
        <w:t>$</w:t>
      </w:r>
      <w:r w:rsidRPr="001C2D09" w:rsidR="00E5141C">
        <w:rPr>
          <w:spacing w:val="-3"/>
          <w:sz w:val="22"/>
          <w:szCs w:val="22"/>
          <w:u w:val="single"/>
          <w:shd w:val="clear" w:color="auto" w:fill="FFFFFF"/>
        </w:rPr>
        <w:t>568</w:t>
      </w:r>
      <w:r w:rsidRPr="001C2D09" w:rsidR="003F5C0D">
        <w:rPr>
          <w:spacing w:val="-3"/>
          <w:sz w:val="22"/>
          <w:szCs w:val="22"/>
          <w:u w:val="single"/>
          <w:shd w:val="clear" w:color="auto" w:fill="FFFFFF"/>
        </w:rPr>
        <w:t xml:space="preserve">   </w:t>
      </w:r>
    </w:p>
    <w:p w:rsidR="0001572C" w:rsidRPr="001C2D09" w:rsidP="003F5C0D" w14:paraId="779195C6" w14:textId="430556F1">
      <w:pPr>
        <w:spacing w:after="240"/>
        <w:rPr>
          <w:spacing w:val="-3"/>
          <w:sz w:val="22"/>
          <w:szCs w:val="22"/>
          <w:shd w:val="clear" w:color="auto" w:fill="FFFFFF"/>
        </w:rPr>
      </w:pPr>
      <w:r w:rsidRPr="001C2D09">
        <w:rPr>
          <w:spacing w:val="-3"/>
          <w:sz w:val="22"/>
          <w:szCs w:val="22"/>
          <w:shd w:val="clear" w:color="auto" w:fill="FFFFFF"/>
        </w:rPr>
        <w:tab/>
      </w:r>
      <w:r w:rsidRPr="001C2D09" w:rsidR="00A0768C">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t xml:space="preserve">                         </w:t>
      </w:r>
      <w:r w:rsidRPr="001C2D09" w:rsidR="00AB30B0">
        <w:rPr>
          <w:spacing w:val="-3"/>
          <w:sz w:val="22"/>
          <w:szCs w:val="22"/>
          <w:shd w:val="clear" w:color="auto" w:fill="FFFFFF"/>
        </w:rPr>
        <w:t xml:space="preserve">Total: </w:t>
      </w:r>
      <w:r w:rsidRPr="001C2D09">
        <w:rPr>
          <w:spacing w:val="-3"/>
          <w:sz w:val="22"/>
          <w:szCs w:val="22"/>
          <w:shd w:val="clear" w:color="auto" w:fill="FFFFFF"/>
        </w:rPr>
        <w:t xml:space="preserve">  $</w:t>
      </w:r>
      <w:r w:rsidRPr="001C2D09" w:rsidR="00E5141C">
        <w:rPr>
          <w:spacing w:val="-3"/>
          <w:sz w:val="22"/>
          <w:szCs w:val="22"/>
          <w:shd w:val="clear" w:color="auto" w:fill="FFFFFF"/>
        </w:rPr>
        <w:t>2,46</w:t>
      </w:r>
      <w:r w:rsidRPr="001C2D09" w:rsidR="00001207">
        <w:rPr>
          <w:spacing w:val="-3"/>
          <w:sz w:val="22"/>
          <w:szCs w:val="22"/>
          <w:shd w:val="clear" w:color="auto" w:fill="FFFFFF"/>
        </w:rPr>
        <w:t>1</w:t>
      </w:r>
    </w:p>
    <w:p w:rsidR="005C5E02" w:rsidRPr="001C2D09" w:rsidP="003F5C0D" w14:paraId="272BB648" w14:textId="5BB89B12">
      <w:pPr>
        <w:tabs>
          <w:tab w:val="left" w:pos="-720"/>
        </w:tabs>
        <w:suppressAutoHyphens/>
        <w:spacing w:after="120"/>
        <w:rPr>
          <w:b/>
          <w:bCs/>
          <w:sz w:val="22"/>
          <w:szCs w:val="22"/>
          <w:shd w:val="clear" w:color="auto" w:fill="FFFFFF"/>
        </w:rPr>
      </w:pPr>
      <w:r>
        <w:rPr>
          <w:b/>
          <w:bCs/>
          <w:sz w:val="22"/>
          <w:szCs w:val="22"/>
          <w:shd w:val="clear" w:color="auto" w:fill="FFFFFF"/>
        </w:rPr>
        <w:t>(</w:t>
      </w:r>
      <w:r w:rsidRPr="001C2D09" w:rsidR="001D25CE">
        <w:rPr>
          <w:b/>
          <w:bCs/>
          <w:sz w:val="22"/>
          <w:szCs w:val="22"/>
          <w:shd w:val="clear" w:color="auto" w:fill="FFFFFF"/>
        </w:rPr>
        <w:t>j</w:t>
      </w:r>
      <w:r>
        <w:rPr>
          <w:b/>
          <w:bCs/>
          <w:sz w:val="22"/>
          <w:szCs w:val="22"/>
          <w:shd w:val="clear" w:color="auto" w:fill="FFFFFF"/>
        </w:rPr>
        <w:t>)</w:t>
      </w:r>
      <w:r w:rsidRPr="001C2D09" w:rsidR="002238FF">
        <w:rPr>
          <w:b/>
          <w:bCs/>
          <w:spacing w:val="-3"/>
          <w:sz w:val="22"/>
          <w:szCs w:val="22"/>
          <w:shd w:val="clear" w:color="auto" w:fill="FFFFFF"/>
        </w:rPr>
        <w:tab/>
      </w:r>
      <w:r w:rsidRPr="001C2D09" w:rsidR="001D25CE">
        <w:rPr>
          <w:b/>
          <w:bCs/>
          <w:sz w:val="22"/>
          <w:szCs w:val="22"/>
          <w:shd w:val="clear" w:color="auto" w:fill="FFFFFF"/>
        </w:rPr>
        <w:t>Subscriber List Information Disclosure</w:t>
      </w:r>
      <w:r w:rsidRPr="001C2D09" w:rsidR="00A7777C">
        <w:rPr>
          <w:b/>
          <w:bCs/>
          <w:sz w:val="22"/>
          <w:szCs w:val="22"/>
          <w:shd w:val="clear" w:color="auto" w:fill="FFFFFF"/>
        </w:rPr>
        <w:t>:</w:t>
      </w:r>
    </w:p>
    <w:p w:rsidR="00881FA5" w:rsidRPr="001C2D09" w:rsidP="00C31061" w14:paraId="422A4DA9" w14:textId="39994C65">
      <w:pPr>
        <w:pStyle w:val="ListParagraph"/>
        <w:tabs>
          <w:tab w:val="left" w:pos="-720"/>
        </w:tabs>
        <w:suppressAutoHyphens/>
        <w:spacing w:after="120"/>
        <w:ind w:left="0"/>
        <w:rPr>
          <w:sz w:val="22"/>
          <w:szCs w:val="22"/>
          <w:shd w:val="clear" w:color="auto" w:fill="FFFFFF"/>
        </w:rPr>
      </w:pPr>
      <w:r w:rsidRPr="001C2D09">
        <w:rPr>
          <w:sz w:val="22"/>
          <w:szCs w:val="22"/>
          <w:shd w:val="clear" w:color="auto" w:fill="FFFFFF"/>
        </w:rPr>
        <w:tab/>
        <w:t>(1)</w:t>
      </w:r>
      <w:r w:rsidRPr="001C2D09">
        <w:rPr>
          <w:sz w:val="22"/>
          <w:szCs w:val="22"/>
          <w:shd w:val="clear" w:color="auto" w:fill="FFFFFF"/>
        </w:rPr>
        <w:tab/>
      </w:r>
      <w:r w:rsidRPr="001C2D09" w:rsidR="000C1E83">
        <w:rPr>
          <w:sz w:val="22"/>
          <w:szCs w:val="22"/>
          <w:shd w:val="clear" w:color="auto" w:fill="FFFFFF"/>
        </w:rPr>
        <w:t>N</w:t>
      </w:r>
      <w:r w:rsidRPr="001C2D09" w:rsidR="005C5E02">
        <w:rPr>
          <w:sz w:val="22"/>
          <w:szCs w:val="22"/>
          <w:shd w:val="clear" w:color="auto" w:fill="FFFFFF"/>
        </w:rPr>
        <w:t xml:space="preserve">umber of </w:t>
      </w:r>
      <w:r w:rsidRPr="001C2D09" w:rsidR="000C1E83">
        <w:rPr>
          <w:sz w:val="22"/>
          <w:szCs w:val="22"/>
          <w:shd w:val="clear" w:color="auto" w:fill="FFFFFF"/>
        </w:rPr>
        <w:t>R</w:t>
      </w:r>
      <w:r w:rsidRPr="001C2D09" w:rsidR="005C5E02">
        <w:rPr>
          <w:sz w:val="22"/>
          <w:szCs w:val="22"/>
          <w:shd w:val="clear" w:color="auto" w:fill="FFFFFF"/>
        </w:rPr>
        <w:t xml:space="preserve">espondents: </w:t>
      </w:r>
      <w:r w:rsidRPr="001C2D09" w:rsidR="002238FF">
        <w:rPr>
          <w:sz w:val="22"/>
          <w:szCs w:val="22"/>
          <w:shd w:val="clear" w:color="auto" w:fill="FFFFFF"/>
        </w:rPr>
        <w:t xml:space="preserve"> </w:t>
      </w:r>
      <w:r w:rsidRPr="001C2D09" w:rsidR="002E1620">
        <w:rPr>
          <w:sz w:val="22"/>
          <w:szCs w:val="22"/>
          <w:shd w:val="clear" w:color="auto" w:fill="FFFFFF"/>
        </w:rPr>
        <w:t>978</w:t>
      </w:r>
    </w:p>
    <w:p w:rsidR="002238FF" w:rsidRPr="001C2D09" w:rsidP="201C1D70" w14:paraId="14494126" w14:textId="353823B5">
      <w:pPr>
        <w:tabs>
          <w:tab w:val="left" w:pos="1080"/>
          <w:tab w:val="left" w:pos="2880"/>
        </w:tabs>
        <w:suppressAutoHyphens/>
        <w:spacing w:after="120"/>
        <w:rPr>
          <w:sz w:val="22"/>
          <w:szCs w:val="22"/>
          <w:shd w:val="clear" w:color="auto" w:fill="FFFFFF"/>
        </w:rPr>
      </w:pPr>
      <w:r w:rsidRPr="001C2D09">
        <w:rPr>
          <w:sz w:val="22"/>
          <w:szCs w:val="22"/>
          <w:shd w:val="clear" w:color="auto" w:fill="FFFFFF"/>
        </w:rPr>
        <w:t>The Commission believes th</w:t>
      </w:r>
      <w:r w:rsidRPr="001C2D09" w:rsidR="00D23198">
        <w:rPr>
          <w:sz w:val="22"/>
          <w:szCs w:val="22"/>
          <w:shd w:val="clear" w:color="auto" w:fill="FFFFFF"/>
        </w:rPr>
        <w:t>at ther</w:t>
      </w:r>
      <w:r w:rsidRPr="001C2D09">
        <w:rPr>
          <w:sz w:val="22"/>
          <w:szCs w:val="22"/>
          <w:shd w:val="clear" w:color="auto" w:fill="FFFFFF"/>
        </w:rPr>
        <w:t xml:space="preserve">e </w:t>
      </w:r>
      <w:r w:rsidRPr="001C2D09" w:rsidR="00D23198">
        <w:rPr>
          <w:sz w:val="22"/>
          <w:szCs w:val="22"/>
          <w:shd w:val="clear" w:color="auto" w:fill="FFFFFF"/>
        </w:rPr>
        <w:t xml:space="preserve">are </w:t>
      </w:r>
      <w:r w:rsidRPr="001C2D09">
        <w:rPr>
          <w:sz w:val="22"/>
          <w:szCs w:val="22"/>
          <w:shd w:val="clear" w:color="auto" w:fill="FFFFFF"/>
        </w:rPr>
        <w:t xml:space="preserve">approximately </w:t>
      </w:r>
      <w:r w:rsidRPr="001C2D09" w:rsidR="006A3A45">
        <w:rPr>
          <w:sz w:val="22"/>
          <w:szCs w:val="22"/>
        </w:rPr>
        <w:t xml:space="preserve">978 </w:t>
      </w:r>
      <w:r w:rsidRPr="001C2D09">
        <w:rPr>
          <w:sz w:val="22"/>
          <w:szCs w:val="22"/>
          <w:shd w:val="clear" w:color="auto" w:fill="FFFFFF"/>
        </w:rPr>
        <w:t>tele</w:t>
      </w:r>
      <w:r w:rsidRPr="001C2D09" w:rsidR="00A7777C">
        <w:rPr>
          <w:sz w:val="22"/>
          <w:szCs w:val="22"/>
          <w:shd w:val="clear" w:color="auto" w:fill="FFFFFF"/>
        </w:rPr>
        <w:t>communications carriers providing tele</w:t>
      </w:r>
      <w:r w:rsidRPr="001C2D09">
        <w:rPr>
          <w:sz w:val="22"/>
          <w:szCs w:val="22"/>
          <w:shd w:val="clear" w:color="auto" w:fill="FFFFFF"/>
        </w:rPr>
        <w:t xml:space="preserve">phone exchange service.  </w:t>
      </w:r>
      <w:r w:rsidRPr="001C2D09" w:rsidR="00E516A0">
        <w:rPr>
          <w:sz w:val="22"/>
          <w:szCs w:val="22"/>
          <w:shd w:val="clear" w:color="auto" w:fill="FFFFFF"/>
        </w:rPr>
        <w:t xml:space="preserve">We are unable to quantify the exact number and used the same percentages as the last submission from the total respondents:  </w:t>
      </w:r>
    </w:p>
    <w:p w:rsidR="00D8341A" w:rsidRPr="001C2D09" w:rsidP="201C1D70" w14:paraId="2615CDC2" w14:textId="3B14910F">
      <w:pPr>
        <w:suppressAutoHyphens/>
        <w:spacing w:after="120"/>
        <w:rPr>
          <w:sz w:val="22"/>
          <w:szCs w:val="22"/>
          <w:shd w:val="clear" w:color="auto" w:fill="FFFFFF"/>
        </w:rPr>
      </w:pPr>
      <w:r w:rsidRPr="001C2D09">
        <w:rPr>
          <w:sz w:val="22"/>
          <w:szCs w:val="22"/>
          <w:shd w:val="clear" w:color="auto" w:fill="FFFFFF"/>
        </w:rPr>
        <w:tab/>
      </w:r>
      <w:r w:rsidRPr="001C2D09" w:rsidR="00A06161">
        <w:rPr>
          <w:sz w:val="22"/>
          <w:szCs w:val="22"/>
          <w:shd w:val="clear" w:color="auto" w:fill="FFFFFF"/>
        </w:rPr>
        <w:tab/>
      </w:r>
      <w:r w:rsidRPr="001C2D09" w:rsidR="00D5487D">
        <w:rPr>
          <w:sz w:val="22"/>
          <w:szCs w:val="22"/>
          <w:shd w:val="clear" w:color="auto" w:fill="FFFFFF"/>
        </w:rPr>
        <w:t xml:space="preserve">1/3 </w:t>
      </w:r>
      <w:r w:rsidRPr="001C2D09" w:rsidR="00E516A0">
        <w:rPr>
          <w:sz w:val="22"/>
          <w:szCs w:val="22"/>
          <w:shd w:val="clear" w:color="auto" w:fill="FFFFFF"/>
        </w:rPr>
        <w:t>of total respondents provide telephone exchange (</w:t>
      </w:r>
      <w:r w:rsidRPr="001C2D09" w:rsidR="00D5487D">
        <w:rPr>
          <w:sz w:val="22"/>
          <w:szCs w:val="22"/>
          <w:shd w:val="clear" w:color="auto" w:fill="FFFFFF"/>
        </w:rPr>
        <w:t>1/3</w:t>
      </w:r>
      <w:r w:rsidRPr="001C2D09" w:rsidR="00E516A0">
        <w:rPr>
          <w:sz w:val="22"/>
          <w:szCs w:val="22"/>
          <w:shd w:val="clear" w:color="auto" w:fill="FFFFFF"/>
        </w:rPr>
        <w:t xml:space="preserve"> x </w:t>
      </w:r>
      <w:r w:rsidRPr="001C2D09" w:rsidR="00657E8F">
        <w:rPr>
          <w:sz w:val="22"/>
          <w:szCs w:val="22"/>
        </w:rPr>
        <w:t>2,935</w:t>
      </w:r>
      <w:r w:rsidRPr="001C2D09" w:rsidR="0059422D">
        <w:rPr>
          <w:sz w:val="22"/>
          <w:szCs w:val="22"/>
        </w:rPr>
        <w:t xml:space="preserve"> </w:t>
      </w:r>
      <w:r w:rsidRPr="001C2D09" w:rsidR="00E516A0">
        <w:rPr>
          <w:sz w:val="22"/>
          <w:szCs w:val="22"/>
          <w:shd w:val="clear" w:color="auto" w:fill="FFFFFF"/>
        </w:rPr>
        <w:t>=</w:t>
      </w:r>
      <w:r w:rsidRPr="001C2D09" w:rsidR="0059422D">
        <w:rPr>
          <w:sz w:val="22"/>
          <w:szCs w:val="22"/>
          <w:shd w:val="clear" w:color="auto" w:fill="FFFFFF"/>
        </w:rPr>
        <w:t xml:space="preserve"> </w:t>
      </w:r>
      <w:r w:rsidRPr="001C2D09" w:rsidR="002E1620">
        <w:rPr>
          <w:sz w:val="22"/>
          <w:szCs w:val="22"/>
        </w:rPr>
        <w:t>978</w:t>
      </w:r>
      <w:r w:rsidRPr="001C2D09" w:rsidR="00E516A0">
        <w:rPr>
          <w:sz w:val="22"/>
          <w:szCs w:val="22"/>
          <w:shd w:val="clear" w:color="auto" w:fill="FFFFFF"/>
        </w:rPr>
        <w:t>).</w:t>
      </w:r>
    </w:p>
    <w:p w:rsidR="00D8341A" w:rsidRPr="001C2D09" w:rsidP="201C1D70" w14:paraId="2051F9F6" w14:textId="2989E2D9">
      <w:pPr>
        <w:suppressAutoHyphens/>
        <w:rPr>
          <w:sz w:val="22"/>
          <w:szCs w:val="22"/>
          <w:shd w:val="clear" w:color="auto" w:fill="FFFFFF"/>
        </w:rPr>
      </w:pPr>
      <w:r w:rsidRPr="001C2D09">
        <w:rPr>
          <w:sz w:val="22"/>
          <w:szCs w:val="22"/>
          <w:shd w:val="clear" w:color="auto" w:fill="FFFFFF"/>
        </w:rPr>
        <w:tab/>
        <w:t>(2)</w:t>
      </w:r>
      <w:r w:rsidRPr="001C2D09">
        <w:rPr>
          <w:sz w:val="22"/>
          <w:szCs w:val="22"/>
          <w:shd w:val="clear" w:color="auto" w:fill="FFFFFF"/>
        </w:rPr>
        <w:tab/>
        <w:t xml:space="preserve">Frequency of Response: </w:t>
      </w:r>
      <w:r w:rsidRPr="001C2D09" w:rsidR="002238FF">
        <w:rPr>
          <w:sz w:val="22"/>
          <w:szCs w:val="22"/>
          <w:shd w:val="clear" w:color="auto" w:fill="FFFFFF"/>
        </w:rPr>
        <w:t xml:space="preserve"> </w:t>
      </w:r>
      <w:r w:rsidRPr="001C2D09">
        <w:rPr>
          <w:sz w:val="22"/>
          <w:szCs w:val="22"/>
          <w:shd w:val="clear" w:color="auto" w:fill="FFFFFF"/>
        </w:rPr>
        <w:t xml:space="preserve">On occasion reporting requirements (periodic responses/annum) </w:t>
      </w:r>
    </w:p>
    <w:p w:rsidR="00720DDE" w:rsidRPr="001C2D09" w:rsidP="201C1D70" w14:paraId="041EDCE0" w14:textId="717E1470">
      <w:pPr>
        <w:suppressAutoHyphens/>
        <w:spacing w:after="120"/>
        <w:rPr>
          <w:sz w:val="22"/>
          <w:szCs w:val="22"/>
          <w:shd w:val="clear" w:color="auto" w:fill="FFFFFF"/>
        </w:rPr>
      </w:pPr>
      <w:r w:rsidRPr="001C2D09">
        <w:rPr>
          <w:sz w:val="22"/>
          <w:szCs w:val="22"/>
          <w:shd w:val="clear" w:color="auto" w:fill="FFFFFF"/>
        </w:rPr>
        <w:tab/>
        <w:t>(</w:t>
      </w:r>
      <w:r w:rsidRPr="001C2D09" w:rsidR="00D8341A">
        <w:rPr>
          <w:sz w:val="22"/>
          <w:szCs w:val="22"/>
          <w:shd w:val="clear" w:color="auto" w:fill="FFFFFF"/>
        </w:rPr>
        <w:t>3</w:t>
      </w:r>
      <w:r w:rsidRPr="001C2D09">
        <w:rPr>
          <w:sz w:val="22"/>
          <w:szCs w:val="22"/>
          <w:shd w:val="clear" w:color="auto" w:fill="FFFFFF"/>
        </w:rPr>
        <w:t>)</w:t>
      </w:r>
      <w:r w:rsidRPr="001C2D09">
        <w:rPr>
          <w:sz w:val="22"/>
          <w:szCs w:val="22"/>
          <w:shd w:val="clear" w:color="auto" w:fill="FFFFFF"/>
        </w:rPr>
        <w:tab/>
        <w:t xml:space="preserve">Total Number of Responses Annually: </w:t>
      </w:r>
      <w:r w:rsidRPr="001C2D09" w:rsidR="002238FF">
        <w:rPr>
          <w:sz w:val="22"/>
          <w:szCs w:val="22"/>
          <w:shd w:val="clear" w:color="auto" w:fill="FFFFFF"/>
        </w:rPr>
        <w:t xml:space="preserve"> </w:t>
      </w:r>
      <w:r w:rsidRPr="001C2D09" w:rsidR="005259C7">
        <w:rPr>
          <w:sz w:val="22"/>
          <w:szCs w:val="22"/>
          <w:shd w:val="clear" w:color="auto" w:fill="FFFFFF"/>
        </w:rPr>
        <w:t>5,868</w:t>
      </w:r>
      <w:r w:rsidRPr="001C2D09" w:rsidR="007469B9">
        <w:rPr>
          <w:sz w:val="22"/>
          <w:szCs w:val="22"/>
          <w:shd w:val="clear" w:color="auto" w:fill="FFFFFF"/>
        </w:rPr>
        <w:t xml:space="preserve"> </w:t>
      </w:r>
      <w:r w:rsidRPr="001C2D09" w:rsidR="006F7B83">
        <w:rPr>
          <w:sz w:val="22"/>
          <w:szCs w:val="22"/>
          <w:shd w:val="clear" w:color="auto" w:fill="FFFFFF"/>
        </w:rPr>
        <w:t xml:space="preserve">responses </w:t>
      </w:r>
      <w:r w:rsidRPr="001C2D09" w:rsidR="00CC1EB2">
        <w:rPr>
          <w:sz w:val="22"/>
          <w:szCs w:val="22"/>
          <w:shd w:val="clear" w:color="auto" w:fill="FFFFFF"/>
        </w:rPr>
        <w:t xml:space="preserve">(third party disclosure </w:t>
      </w:r>
      <w:r w:rsidRPr="001C2D09" w:rsidR="00A06161">
        <w:rPr>
          <w:sz w:val="22"/>
          <w:szCs w:val="22"/>
          <w:shd w:val="clear" w:color="auto" w:fill="FFFFFF"/>
        </w:rPr>
        <w:tab/>
      </w:r>
      <w:r w:rsidRPr="001C2D09" w:rsidR="00A06161">
        <w:rPr>
          <w:sz w:val="22"/>
          <w:szCs w:val="22"/>
          <w:shd w:val="clear" w:color="auto" w:fill="FFFFFF"/>
        </w:rPr>
        <w:tab/>
      </w:r>
      <w:r w:rsidRPr="001C2D09" w:rsidR="00A06161">
        <w:rPr>
          <w:sz w:val="22"/>
          <w:szCs w:val="22"/>
          <w:shd w:val="clear" w:color="auto" w:fill="FFFFFF"/>
        </w:rPr>
        <w:tab/>
      </w:r>
      <w:r w:rsidRPr="001C2D09" w:rsidR="00A06161">
        <w:rPr>
          <w:sz w:val="22"/>
          <w:szCs w:val="22"/>
          <w:shd w:val="clear" w:color="auto" w:fill="FFFFFF"/>
        </w:rPr>
        <w:tab/>
      </w:r>
      <w:r w:rsidRPr="001C2D09" w:rsidR="00CC1EB2">
        <w:rPr>
          <w:sz w:val="22"/>
          <w:szCs w:val="22"/>
          <w:shd w:val="clear" w:color="auto" w:fill="FFFFFF"/>
        </w:rPr>
        <w:t>requirements)</w:t>
      </w:r>
    </w:p>
    <w:p w:rsidR="003A7214" w:rsidRPr="001C2D09" w:rsidP="201C1D70" w14:paraId="04476F84" w14:textId="2846A1AC">
      <w:pPr>
        <w:suppressAutoHyphens/>
        <w:spacing w:after="120"/>
        <w:rPr>
          <w:sz w:val="22"/>
          <w:szCs w:val="22"/>
          <w:shd w:val="clear" w:color="auto" w:fill="FFFFFF"/>
        </w:rPr>
      </w:pPr>
      <w:r w:rsidRPr="001C2D09">
        <w:rPr>
          <w:sz w:val="22"/>
          <w:szCs w:val="22"/>
          <w:shd w:val="clear" w:color="auto" w:fill="FFFFFF"/>
        </w:rPr>
        <w:tab/>
      </w:r>
      <w:r w:rsidRPr="001C2D09" w:rsidR="00A06161">
        <w:rPr>
          <w:sz w:val="22"/>
          <w:szCs w:val="22"/>
          <w:shd w:val="clear" w:color="auto" w:fill="FFFFFF"/>
        </w:rPr>
        <w:tab/>
      </w:r>
      <w:r w:rsidRPr="001C2D09" w:rsidR="002E1620">
        <w:rPr>
          <w:sz w:val="22"/>
          <w:szCs w:val="22"/>
        </w:rPr>
        <w:t>978</w:t>
      </w:r>
      <w:r w:rsidRPr="001C2D09" w:rsidR="00DD40B5">
        <w:rPr>
          <w:sz w:val="22"/>
          <w:szCs w:val="22"/>
        </w:rPr>
        <w:t xml:space="preserve"> </w:t>
      </w:r>
      <w:r w:rsidRPr="001C2D09">
        <w:rPr>
          <w:sz w:val="22"/>
          <w:szCs w:val="22"/>
          <w:shd w:val="clear" w:color="auto" w:fill="FFFFFF"/>
        </w:rPr>
        <w:t xml:space="preserve">respondents x </w:t>
      </w:r>
      <w:r w:rsidRPr="001C2D09" w:rsidR="00593EEA">
        <w:rPr>
          <w:sz w:val="22"/>
          <w:szCs w:val="22"/>
          <w:shd w:val="clear" w:color="auto" w:fill="FFFFFF"/>
        </w:rPr>
        <w:t>6</w:t>
      </w:r>
      <w:r w:rsidRPr="001C2D09">
        <w:rPr>
          <w:sz w:val="22"/>
          <w:szCs w:val="22"/>
          <w:shd w:val="clear" w:color="auto" w:fill="FFFFFF"/>
        </w:rPr>
        <w:t xml:space="preserve"> response</w:t>
      </w:r>
      <w:r w:rsidRPr="001C2D09" w:rsidR="0009178E">
        <w:rPr>
          <w:sz w:val="22"/>
          <w:szCs w:val="22"/>
          <w:shd w:val="clear" w:color="auto" w:fill="FFFFFF"/>
        </w:rPr>
        <w:t>s</w:t>
      </w:r>
      <w:r w:rsidRPr="001C2D09">
        <w:rPr>
          <w:sz w:val="22"/>
          <w:szCs w:val="22"/>
          <w:shd w:val="clear" w:color="auto" w:fill="FFFFFF"/>
        </w:rPr>
        <w:t xml:space="preserve">/annum = </w:t>
      </w:r>
      <w:r w:rsidRPr="001C2D09" w:rsidR="00E7647D">
        <w:rPr>
          <w:sz w:val="22"/>
          <w:szCs w:val="22"/>
        </w:rPr>
        <w:t>5,868</w:t>
      </w:r>
      <w:r w:rsidRPr="001C2D09" w:rsidR="007469B9">
        <w:rPr>
          <w:sz w:val="22"/>
          <w:szCs w:val="22"/>
        </w:rPr>
        <w:t xml:space="preserve"> </w:t>
      </w:r>
      <w:r w:rsidRPr="001C2D09">
        <w:rPr>
          <w:sz w:val="22"/>
          <w:szCs w:val="22"/>
          <w:shd w:val="clear" w:color="auto" w:fill="FFFFFF"/>
        </w:rPr>
        <w:t>responses</w:t>
      </w:r>
    </w:p>
    <w:p w:rsidR="0024044E" w:rsidRPr="001C2D09" w:rsidP="201C1D70" w14:paraId="2FED9DE3" w14:textId="798165E4">
      <w:pPr>
        <w:suppressAutoHyphens/>
        <w:spacing w:after="120"/>
        <w:rPr>
          <w:sz w:val="22"/>
          <w:szCs w:val="22"/>
          <w:shd w:val="clear" w:color="auto" w:fill="FFFFFF"/>
        </w:rPr>
      </w:pPr>
      <w:r w:rsidRPr="001C2D09">
        <w:rPr>
          <w:sz w:val="22"/>
          <w:szCs w:val="22"/>
          <w:shd w:val="clear" w:color="auto" w:fill="FFFFFF"/>
        </w:rPr>
        <w:tab/>
      </w:r>
      <w:r w:rsidRPr="001C2D09" w:rsidR="005C5E02">
        <w:rPr>
          <w:sz w:val="22"/>
          <w:szCs w:val="22"/>
          <w:shd w:val="clear" w:color="auto" w:fill="FFFFFF"/>
        </w:rPr>
        <w:t>(</w:t>
      </w:r>
      <w:r w:rsidRPr="001C2D09" w:rsidR="009C24B2">
        <w:rPr>
          <w:sz w:val="22"/>
          <w:szCs w:val="22"/>
          <w:shd w:val="clear" w:color="auto" w:fill="FFFFFF"/>
        </w:rPr>
        <w:t>4</w:t>
      </w:r>
      <w:r w:rsidRPr="001C2D09" w:rsidR="005C5E02">
        <w:rPr>
          <w:sz w:val="22"/>
          <w:szCs w:val="22"/>
          <w:shd w:val="clear" w:color="auto" w:fill="FFFFFF"/>
        </w:rPr>
        <w:t>)</w:t>
      </w:r>
      <w:r w:rsidRPr="001C2D09" w:rsidR="00893A2D">
        <w:rPr>
          <w:sz w:val="22"/>
          <w:szCs w:val="22"/>
          <w:shd w:val="clear" w:color="auto" w:fill="FFFFFF"/>
        </w:rPr>
        <w:tab/>
      </w:r>
      <w:r w:rsidRPr="001C2D09">
        <w:rPr>
          <w:sz w:val="22"/>
          <w:szCs w:val="22"/>
          <w:shd w:val="clear" w:color="auto" w:fill="FFFFFF"/>
        </w:rPr>
        <w:t>Total Annual Hourly Burden</w:t>
      </w:r>
      <w:r w:rsidRPr="001C2D09" w:rsidR="005C5E02">
        <w:rPr>
          <w:sz w:val="22"/>
          <w:szCs w:val="22"/>
          <w:shd w:val="clear" w:color="auto" w:fill="FFFFFF"/>
        </w:rPr>
        <w:t xml:space="preserve">:  </w:t>
      </w:r>
      <w:r w:rsidRPr="001C2D09" w:rsidR="00470C16">
        <w:rPr>
          <w:sz w:val="22"/>
          <w:szCs w:val="22"/>
        </w:rPr>
        <w:t>11,736</w:t>
      </w:r>
      <w:r w:rsidRPr="001C2D09" w:rsidR="007469B9">
        <w:rPr>
          <w:sz w:val="22"/>
          <w:szCs w:val="22"/>
        </w:rPr>
        <w:t xml:space="preserve"> </w:t>
      </w:r>
      <w:r w:rsidRPr="001C2D09" w:rsidR="00000952">
        <w:rPr>
          <w:sz w:val="22"/>
          <w:szCs w:val="22"/>
          <w:shd w:val="clear" w:color="auto" w:fill="FFFFFF"/>
        </w:rPr>
        <w:t>hours</w:t>
      </w:r>
    </w:p>
    <w:p w:rsidR="009C24B2" w:rsidRPr="001C2D09" w:rsidP="201C1D70" w14:paraId="5EE9CAD5" w14:textId="663D3FEC">
      <w:pPr>
        <w:suppressAutoHyphens/>
        <w:spacing w:after="120"/>
        <w:rPr>
          <w:sz w:val="22"/>
          <w:szCs w:val="22"/>
          <w:shd w:val="clear" w:color="auto" w:fill="FFFFFF"/>
        </w:rPr>
      </w:pPr>
      <w:r w:rsidRPr="001C2D09">
        <w:rPr>
          <w:sz w:val="22"/>
          <w:szCs w:val="22"/>
          <w:shd w:val="clear" w:color="auto" w:fill="FFFFFF"/>
        </w:rPr>
        <w:t xml:space="preserve">The Commission estimates that, on average, most </w:t>
      </w:r>
      <w:r w:rsidRPr="001C2D09" w:rsidR="009422B0">
        <w:rPr>
          <w:sz w:val="22"/>
          <w:szCs w:val="22"/>
          <w:shd w:val="clear" w:color="auto" w:fill="FFFFFF"/>
        </w:rPr>
        <w:t xml:space="preserve">respondents </w:t>
      </w:r>
      <w:r w:rsidRPr="001C2D09">
        <w:rPr>
          <w:sz w:val="22"/>
          <w:szCs w:val="22"/>
          <w:shd w:val="clear" w:color="auto" w:fill="FFFFFF"/>
        </w:rPr>
        <w:t xml:space="preserve">will be required to provide subscriber list information to directory publishers </w:t>
      </w:r>
      <w:r w:rsidRPr="001C2D09" w:rsidR="00B2526E">
        <w:rPr>
          <w:sz w:val="22"/>
          <w:szCs w:val="22"/>
          <w:shd w:val="clear" w:color="auto" w:fill="FFFFFF"/>
        </w:rPr>
        <w:t xml:space="preserve">six </w:t>
      </w:r>
      <w:r w:rsidRPr="001C2D09">
        <w:rPr>
          <w:sz w:val="22"/>
          <w:szCs w:val="22"/>
          <w:shd w:val="clear" w:color="auto" w:fill="FFFFFF"/>
        </w:rPr>
        <w:t>times a year, including requests for updated subscriber list information</w:t>
      </w:r>
      <w:r w:rsidRPr="001C2D09" w:rsidR="002238FF">
        <w:rPr>
          <w:sz w:val="22"/>
          <w:szCs w:val="22"/>
          <w:shd w:val="clear" w:color="auto" w:fill="FFFFFF"/>
        </w:rPr>
        <w:t>,</w:t>
      </w:r>
      <w:r w:rsidRPr="001C2D09" w:rsidR="007159B7">
        <w:rPr>
          <w:sz w:val="22"/>
          <w:szCs w:val="22"/>
          <w:shd w:val="clear" w:color="auto" w:fill="FFFFFF"/>
        </w:rPr>
        <w:t xml:space="preserve"> and that the respondents will require approximately two hours </w:t>
      </w:r>
      <w:r w:rsidRPr="001C2D09" w:rsidR="47A891BC">
        <w:rPr>
          <w:sz w:val="22"/>
          <w:szCs w:val="22"/>
          <w:shd w:val="clear" w:color="auto" w:fill="FFFFFF"/>
        </w:rPr>
        <w:t>in each instance</w:t>
      </w:r>
      <w:r w:rsidRPr="001C2D09" w:rsidR="007159B7">
        <w:rPr>
          <w:sz w:val="22"/>
          <w:szCs w:val="22"/>
          <w:shd w:val="clear" w:color="auto" w:fill="FFFFFF"/>
        </w:rPr>
        <w:t xml:space="preserve"> to comply with this requirement</w:t>
      </w:r>
      <w:r w:rsidRPr="001C2D09">
        <w:rPr>
          <w:sz w:val="22"/>
          <w:szCs w:val="22"/>
          <w:shd w:val="clear" w:color="auto" w:fill="FFFFFF"/>
        </w:rPr>
        <w:t xml:space="preserve">.  </w:t>
      </w:r>
    </w:p>
    <w:p w:rsidR="005C5E02" w:rsidRPr="001C2D09" w:rsidP="201C1D70" w14:paraId="76D7EF09" w14:textId="0D86B655">
      <w:pPr>
        <w:suppressAutoHyphens/>
        <w:spacing w:after="120"/>
        <w:rPr>
          <w:sz w:val="22"/>
          <w:szCs w:val="22"/>
          <w:shd w:val="clear" w:color="auto" w:fill="FFFFFF"/>
        </w:rPr>
      </w:pPr>
      <w:r w:rsidRPr="001C2D09">
        <w:rPr>
          <w:sz w:val="22"/>
          <w:szCs w:val="22"/>
          <w:shd w:val="clear" w:color="auto" w:fill="FFFFFF"/>
        </w:rPr>
        <w:tab/>
      </w:r>
      <w:r w:rsidRPr="001C2D09" w:rsidR="00A06161">
        <w:rPr>
          <w:sz w:val="22"/>
          <w:szCs w:val="22"/>
          <w:shd w:val="clear" w:color="auto" w:fill="FFFFFF"/>
        </w:rPr>
        <w:tab/>
      </w:r>
      <w:r w:rsidRPr="001C2D09" w:rsidR="00E7647D">
        <w:rPr>
          <w:sz w:val="22"/>
          <w:szCs w:val="22"/>
        </w:rPr>
        <w:t>978</w:t>
      </w:r>
      <w:r w:rsidRPr="001C2D09" w:rsidR="0059422D">
        <w:rPr>
          <w:sz w:val="22"/>
          <w:szCs w:val="22"/>
        </w:rPr>
        <w:t xml:space="preserve"> </w:t>
      </w:r>
      <w:r w:rsidRPr="001C2D09">
        <w:rPr>
          <w:sz w:val="22"/>
          <w:szCs w:val="22"/>
          <w:shd w:val="clear" w:color="auto" w:fill="FFFFFF"/>
        </w:rPr>
        <w:t>respon</w:t>
      </w:r>
      <w:r w:rsidRPr="001C2D09" w:rsidR="00F714EE">
        <w:rPr>
          <w:sz w:val="22"/>
          <w:szCs w:val="22"/>
          <w:shd w:val="clear" w:color="auto" w:fill="FFFFFF"/>
        </w:rPr>
        <w:t xml:space="preserve">dents x </w:t>
      </w:r>
      <w:r w:rsidRPr="001C2D09" w:rsidR="007159B7">
        <w:rPr>
          <w:sz w:val="22"/>
          <w:szCs w:val="22"/>
          <w:shd w:val="clear" w:color="auto" w:fill="FFFFFF"/>
        </w:rPr>
        <w:t>2</w:t>
      </w:r>
      <w:r w:rsidRPr="001C2D09" w:rsidR="00DC27AD">
        <w:rPr>
          <w:sz w:val="22"/>
          <w:szCs w:val="22"/>
          <w:shd w:val="clear" w:color="auto" w:fill="FFFFFF"/>
        </w:rPr>
        <w:t xml:space="preserve"> </w:t>
      </w:r>
      <w:r w:rsidRPr="001C2D09">
        <w:rPr>
          <w:sz w:val="22"/>
          <w:szCs w:val="22"/>
          <w:shd w:val="clear" w:color="auto" w:fill="FFFFFF"/>
        </w:rPr>
        <w:t>hours/resp</w:t>
      </w:r>
      <w:r w:rsidRPr="001C2D09" w:rsidR="00471992">
        <w:rPr>
          <w:sz w:val="22"/>
          <w:szCs w:val="22"/>
          <w:shd w:val="clear" w:color="auto" w:fill="FFFFFF"/>
        </w:rPr>
        <w:t xml:space="preserve">onse </w:t>
      </w:r>
      <w:r w:rsidRPr="001C2D09" w:rsidR="00F714EE">
        <w:rPr>
          <w:sz w:val="22"/>
          <w:szCs w:val="22"/>
          <w:shd w:val="clear" w:color="auto" w:fill="FFFFFF"/>
        </w:rPr>
        <w:t xml:space="preserve">x 6 times/annum </w:t>
      </w:r>
      <w:r w:rsidRPr="001C2D09" w:rsidR="006A69BD">
        <w:rPr>
          <w:sz w:val="22"/>
          <w:szCs w:val="22"/>
          <w:shd w:val="clear" w:color="auto" w:fill="FFFFFF"/>
        </w:rPr>
        <w:t xml:space="preserve">= </w:t>
      </w:r>
      <w:r w:rsidRPr="001C2D09" w:rsidR="00470C16">
        <w:rPr>
          <w:sz w:val="22"/>
          <w:szCs w:val="22"/>
        </w:rPr>
        <w:t>11,736</w:t>
      </w:r>
      <w:r w:rsidRPr="001C2D09" w:rsidR="007469B9">
        <w:rPr>
          <w:sz w:val="22"/>
          <w:szCs w:val="22"/>
        </w:rPr>
        <w:t xml:space="preserve"> </w:t>
      </w:r>
      <w:r w:rsidRPr="001C2D09">
        <w:rPr>
          <w:sz w:val="22"/>
          <w:szCs w:val="22"/>
          <w:shd w:val="clear" w:color="auto" w:fill="FFFFFF"/>
        </w:rPr>
        <w:t>hours.</w:t>
      </w:r>
    </w:p>
    <w:p w:rsidR="00881FA5" w:rsidRPr="001C2D09" w:rsidP="201C1D70" w14:paraId="1CDC4BE2" w14:textId="5C706862">
      <w:pPr>
        <w:suppressAutoHyphens/>
        <w:rPr>
          <w:sz w:val="22"/>
          <w:szCs w:val="22"/>
          <w:shd w:val="clear" w:color="auto" w:fill="FFFFFF"/>
        </w:rPr>
      </w:pPr>
      <w:r w:rsidRPr="001C2D09">
        <w:rPr>
          <w:sz w:val="22"/>
          <w:szCs w:val="22"/>
          <w:shd w:val="clear" w:color="auto" w:fill="FFFFFF"/>
        </w:rPr>
        <w:tab/>
      </w:r>
      <w:r w:rsidRPr="001C2D09" w:rsidR="00F71A98">
        <w:rPr>
          <w:sz w:val="22"/>
          <w:szCs w:val="22"/>
          <w:shd w:val="clear" w:color="auto" w:fill="FFFFFF"/>
        </w:rPr>
        <w:t>(5)</w:t>
      </w:r>
      <w:r w:rsidRPr="001C2D09">
        <w:rPr>
          <w:sz w:val="22"/>
          <w:szCs w:val="22"/>
          <w:shd w:val="clear" w:color="auto" w:fill="FFFFFF"/>
        </w:rPr>
        <w:tab/>
      </w:r>
      <w:r w:rsidRPr="001C2D09" w:rsidR="009F7A8B">
        <w:rPr>
          <w:sz w:val="22"/>
          <w:szCs w:val="22"/>
          <w:shd w:val="clear" w:color="auto" w:fill="FFFFFF"/>
        </w:rPr>
        <w:t>Total “In House” Costs:  $</w:t>
      </w:r>
      <w:r w:rsidRPr="001C2D09" w:rsidR="00EB1F1B">
        <w:rPr>
          <w:sz w:val="22"/>
          <w:szCs w:val="22"/>
          <w:shd w:val="clear" w:color="auto" w:fill="FFFFFF"/>
        </w:rPr>
        <w:t>821,88</w:t>
      </w:r>
      <w:r w:rsidRPr="001C2D09" w:rsidR="003D6F2B">
        <w:rPr>
          <w:sz w:val="22"/>
          <w:szCs w:val="22"/>
          <w:shd w:val="clear" w:color="auto" w:fill="FFFFFF"/>
        </w:rPr>
        <w:t>3</w:t>
      </w:r>
    </w:p>
    <w:p w:rsidR="00881FA5" w:rsidRPr="001C2D09" w:rsidP="0077092A" w14:paraId="4A57CBB5" w14:textId="77777777">
      <w:pPr>
        <w:pStyle w:val="ListParagraph"/>
        <w:ind w:left="0"/>
        <w:rPr>
          <w:sz w:val="22"/>
          <w:szCs w:val="22"/>
          <w:shd w:val="clear" w:color="auto" w:fill="FFFFFF"/>
        </w:rPr>
      </w:pPr>
    </w:p>
    <w:p w:rsidR="00865F23" w:rsidRPr="001C2D09" w:rsidP="00935151" w14:paraId="252EB7D8" w14:textId="1911C9FA">
      <w:pPr>
        <w:spacing w:after="120"/>
        <w:rPr>
          <w:sz w:val="22"/>
          <w:szCs w:val="22"/>
          <w:shd w:val="clear" w:color="auto" w:fill="FFFFFF"/>
        </w:rPr>
      </w:pPr>
      <w:r w:rsidRPr="001C2D09">
        <w:rPr>
          <w:sz w:val="22"/>
          <w:szCs w:val="22"/>
          <w:shd w:val="clear" w:color="auto" w:fill="FFFFFF"/>
        </w:rPr>
        <w:t xml:space="preserve">The Commission </w:t>
      </w:r>
      <w:r w:rsidRPr="001C2D09" w:rsidR="005C5E02">
        <w:rPr>
          <w:sz w:val="22"/>
          <w:szCs w:val="22"/>
          <w:shd w:val="clear" w:color="auto" w:fill="FFFFFF"/>
        </w:rPr>
        <w:t>estimate</w:t>
      </w:r>
      <w:r w:rsidRPr="001C2D09">
        <w:rPr>
          <w:sz w:val="22"/>
          <w:szCs w:val="22"/>
          <w:shd w:val="clear" w:color="auto" w:fill="FFFFFF"/>
        </w:rPr>
        <w:t>s</w:t>
      </w:r>
      <w:r w:rsidRPr="001C2D09" w:rsidR="005C5E02">
        <w:rPr>
          <w:sz w:val="22"/>
          <w:szCs w:val="22"/>
          <w:shd w:val="clear" w:color="auto" w:fill="FFFFFF"/>
        </w:rPr>
        <w:t xml:space="preserve"> that </w:t>
      </w:r>
      <w:r w:rsidRPr="001C2D09" w:rsidR="004210CC">
        <w:rPr>
          <w:sz w:val="22"/>
          <w:szCs w:val="22"/>
          <w:shd w:val="clear" w:color="auto" w:fill="FFFFFF"/>
        </w:rPr>
        <w:t xml:space="preserve">the </w:t>
      </w:r>
      <w:r w:rsidRPr="001C2D09" w:rsidR="005C5E02">
        <w:rPr>
          <w:sz w:val="22"/>
          <w:szCs w:val="22"/>
          <w:shd w:val="clear" w:color="auto" w:fill="FFFFFF"/>
        </w:rPr>
        <w:t>respond</w:t>
      </w:r>
      <w:r w:rsidRPr="001C2D09">
        <w:rPr>
          <w:sz w:val="22"/>
          <w:szCs w:val="22"/>
          <w:shd w:val="clear" w:color="auto" w:fill="FFFFFF"/>
        </w:rPr>
        <w:t>ent</w:t>
      </w:r>
      <w:r w:rsidRPr="001C2D09" w:rsidR="007571E4">
        <w:rPr>
          <w:sz w:val="22"/>
          <w:szCs w:val="22"/>
          <w:shd w:val="clear" w:color="auto" w:fill="FFFFFF"/>
        </w:rPr>
        <w:t>s</w:t>
      </w:r>
      <w:r w:rsidRPr="001C2D09" w:rsidR="004210CC">
        <w:rPr>
          <w:sz w:val="22"/>
          <w:szCs w:val="22"/>
          <w:shd w:val="clear" w:color="auto" w:fill="FFFFFF"/>
        </w:rPr>
        <w:t xml:space="preserve"> will use </w:t>
      </w:r>
      <w:r w:rsidRPr="001C2D09">
        <w:rPr>
          <w:sz w:val="22"/>
          <w:szCs w:val="22"/>
          <w:shd w:val="clear" w:color="auto" w:fill="FFFFFF"/>
        </w:rPr>
        <w:t>s</w:t>
      </w:r>
      <w:r w:rsidRPr="001C2D09" w:rsidR="004210CC">
        <w:rPr>
          <w:sz w:val="22"/>
          <w:szCs w:val="22"/>
          <w:shd w:val="clear" w:color="auto" w:fill="FFFFFF"/>
        </w:rPr>
        <w:t xml:space="preserve">taff </w:t>
      </w:r>
      <w:r w:rsidRPr="001C2D09" w:rsidR="004210CC">
        <w:rPr>
          <w:spacing w:val="-3"/>
          <w:sz w:val="22"/>
          <w:szCs w:val="22"/>
          <w:shd w:val="clear" w:color="auto" w:fill="FFFFFF"/>
        </w:rPr>
        <w:t xml:space="preserve">comparable </w:t>
      </w:r>
      <w:r w:rsidRPr="001C2D09" w:rsidR="00423407">
        <w:rPr>
          <w:spacing w:val="-3"/>
          <w:sz w:val="22"/>
          <w:szCs w:val="22"/>
          <w:shd w:val="clear" w:color="auto" w:fill="FFFFFF"/>
        </w:rPr>
        <w:t>in pay to a GS-12/Step 5 ($</w:t>
      </w:r>
      <w:r w:rsidRPr="001C2D09" w:rsidR="0033011D">
        <w:rPr>
          <w:spacing w:val="-3"/>
          <w:sz w:val="22"/>
          <w:szCs w:val="22"/>
          <w:shd w:val="clear" w:color="auto" w:fill="FFFFFF"/>
        </w:rPr>
        <w:t>53.87</w:t>
      </w:r>
      <w:r w:rsidRPr="001C2D09" w:rsidR="004210CC">
        <w:rPr>
          <w:spacing w:val="-3"/>
          <w:sz w:val="22"/>
          <w:szCs w:val="22"/>
          <w:shd w:val="clear" w:color="auto" w:fill="FFFFFF"/>
        </w:rPr>
        <w:t xml:space="preserve">/hour) Federal employee, </w:t>
      </w:r>
      <w:r w:rsidRPr="001C2D09" w:rsidR="00F9632D">
        <w:rPr>
          <w:spacing w:val="-3"/>
          <w:sz w:val="22"/>
          <w:szCs w:val="22"/>
          <w:shd w:val="clear" w:color="auto" w:fill="FFFFFF"/>
        </w:rPr>
        <w:t>plus</w:t>
      </w:r>
      <w:r w:rsidRPr="001C2D09" w:rsidR="004210CC">
        <w:rPr>
          <w:spacing w:val="-3"/>
          <w:sz w:val="22"/>
          <w:szCs w:val="22"/>
          <w:shd w:val="clear" w:color="auto" w:fill="FFFFFF"/>
        </w:rPr>
        <w:t xml:space="preserve"> 30% overhead, to comply with this requirement that they </w:t>
      </w:r>
      <w:r w:rsidRPr="001C2D09" w:rsidR="008E14EF">
        <w:rPr>
          <w:sz w:val="22"/>
          <w:szCs w:val="22"/>
          <w:shd w:val="clear" w:color="auto" w:fill="FFFFFF"/>
        </w:rPr>
        <w:t>provide updated subscriber list information to requesting directory publishers</w:t>
      </w:r>
      <w:r w:rsidRPr="001C2D09">
        <w:rPr>
          <w:sz w:val="22"/>
          <w:szCs w:val="22"/>
          <w:shd w:val="clear" w:color="auto" w:fill="FFFFFF"/>
        </w:rPr>
        <w:t>.</w:t>
      </w:r>
    </w:p>
    <w:p w:rsidR="005C5E02" w:rsidRPr="001C2D09" w:rsidP="0077092A" w14:paraId="6873914F" w14:textId="25BD606F">
      <w:pPr>
        <w:tabs>
          <w:tab w:val="left" w:pos="-720"/>
        </w:tabs>
        <w:suppressAutoHyphens/>
        <w:rPr>
          <w:sz w:val="22"/>
          <w:szCs w:val="22"/>
          <w:shd w:val="clear" w:color="auto" w:fill="FFFFFF"/>
        </w:rPr>
      </w:pPr>
      <w:r w:rsidRPr="001C2D09">
        <w:rPr>
          <w:sz w:val="22"/>
          <w:szCs w:val="22"/>
          <w:shd w:val="clear" w:color="auto" w:fill="FFFFFF"/>
        </w:rPr>
        <w:tab/>
      </w:r>
      <w:r w:rsidRPr="001C2D09" w:rsidR="000C57FF">
        <w:rPr>
          <w:sz w:val="22"/>
          <w:szCs w:val="22"/>
          <w:shd w:val="clear" w:color="auto" w:fill="FFFFFF"/>
        </w:rPr>
        <w:tab/>
      </w:r>
      <w:r w:rsidRPr="001C2D09" w:rsidR="00470C16">
        <w:rPr>
          <w:sz w:val="22"/>
          <w:szCs w:val="22"/>
          <w:shd w:val="clear" w:color="auto" w:fill="FFFFFF"/>
        </w:rPr>
        <w:t>11,736</w:t>
      </w:r>
      <w:r w:rsidRPr="001C2D09" w:rsidR="000B1E2E">
        <w:rPr>
          <w:sz w:val="22"/>
          <w:szCs w:val="22"/>
          <w:shd w:val="clear" w:color="auto" w:fill="FFFFFF"/>
        </w:rPr>
        <w:t xml:space="preserve"> </w:t>
      </w:r>
      <w:r w:rsidRPr="001C2D09" w:rsidR="007107F3">
        <w:rPr>
          <w:sz w:val="22"/>
          <w:szCs w:val="22"/>
          <w:shd w:val="clear" w:color="auto" w:fill="FFFFFF"/>
        </w:rPr>
        <w:t>hours</w:t>
      </w:r>
      <w:r w:rsidRPr="001C2D09" w:rsidR="00DE7F6B">
        <w:rPr>
          <w:sz w:val="22"/>
          <w:szCs w:val="22"/>
          <w:shd w:val="clear" w:color="auto" w:fill="FFFFFF"/>
        </w:rPr>
        <w:t>/subscriber list request</w:t>
      </w:r>
      <w:r w:rsidRPr="001C2D09" w:rsidR="003719BC">
        <w:rPr>
          <w:sz w:val="22"/>
          <w:szCs w:val="22"/>
          <w:shd w:val="clear" w:color="auto" w:fill="FFFFFF"/>
        </w:rPr>
        <w:t>s</w:t>
      </w:r>
      <w:r w:rsidRPr="001C2D09">
        <w:rPr>
          <w:sz w:val="22"/>
          <w:szCs w:val="22"/>
          <w:shd w:val="clear" w:color="auto" w:fill="FFFFFF"/>
        </w:rPr>
        <w:t xml:space="preserve"> x $</w:t>
      </w:r>
      <w:r w:rsidRPr="001C2D09" w:rsidR="0033011D">
        <w:rPr>
          <w:sz w:val="22"/>
          <w:szCs w:val="22"/>
          <w:shd w:val="clear" w:color="auto" w:fill="FFFFFF"/>
        </w:rPr>
        <w:t>53.87</w:t>
      </w:r>
      <w:r w:rsidRPr="001C2D09" w:rsidR="00C25604">
        <w:rPr>
          <w:sz w:val="22"/>
          <w:szCs w:val="22"/>
          <w:shd w:val="clear" w:color="auto" w:fill="FFFFFF"/>
        </w:rPr>
        <w:t>/</w:t>
      </w:r>
      <w:r w:rsidRPr="001C2D09">
        <w:rPr>
          <w:sz w:val="22"/>
          <w:szCs w:val="22"/>
          <w:shd w:val="clear" w:color="auto" w:fill="FFFFFF"/>
        </w:rPr>
        <w:t>hour =</w:t>
      </w:r>
      <w:r w:rsidRPr="001C2D09" w:rsidR="000B1E2E">
        <w:rPr>
          <w:sz w:val="22"/>
          <w:szCs w:val="22"/>
          <w:shd w:val="clear" w:color="auto" w:fill="FFFFFF"/>
        </w:rPr>
        <w:t xml:space="preserve"> </w:t>
      </w:r>
      <w:r w:rsidRPr="001C2D09">
        <w:rPr>
          <w:sz w:val="22"/>
          <w:szCs w:val="22"/>
          <w:shd w:val="clear" w:color="auto" w:fill="FFFFFF"/>
        </w:rPr>
        <w:t>$</w:t>
      </w:r>
      <w:r w:rsidRPr="001C2D09" w:rsidR="00AF41B5">
        <w:rPr>
          <w:sz w:val="22"/>
          <w:szCs w:val="22"/>
          <w:shd w:val="clear" w:color="auto" w:fill="FFFFFF"/>
        </w:rPr>
        <w:t>632,218</w:t>
      </w:r>
    </w:p>
    <w:p w:rsidR="000F165D" w:rsidRPr="001C2D09" w:rsidP="0077092A" w14:paraId="349A748B" w14:textId="6D293A5E">
      <w:pPr>
        <w:tabs>
          <w:tab w:val="left" w:pos="-720"/>
        </w:tabs>
        <w:suppressAutoHyphens/>
        <w:rPr>
          <w:sz w:val="22"/>
          <w:szCs w:val="22"/>
          <w:shd w:val="clear" w:color="auto" w:fill="FFFFFF"/>
        </w:rPr>
      </w:pPr>
      <w:r w:rsidRPr="001C2D09">
        <w:rPr>
          <w:sz w:val="22"/>
          <w:szCs w:val="22"/>
          <w:shd w:val="clear" w:color="auto" w:fill="FFFFFF"/>
        </w:rPr>
        <w:tab/>
      </w:r>
      <w:r w:rsidRPr="001C2D09">
        <w:rPr>
          <w:sz w:val="22"/>
          <w:szCs w:val="22"/>
          <w:shd w:val="clear" w:color="auto" w:fill="FFFFFF"/>
        </w:rPr>
        <w:tab/>
      </w:r>
      <w:r w:rsidRPr="001C2D09">
        <w:rPr>
          <w:sz w:val="22"/>
          <w:szCs w:val="22"/>
          <w:shd w:val="clear" w:color="auto" w:fill="FFFFFF"/>
        </w:rPr>
        <w:tab/>
      </w:r>
      <w:r w:rsidRPr="001C2D09">
        <w:rPr>
          <w:sz w:val="22"/>
          <w:szCs w:val="22"/>
          <w:shd w:val="clear" w:color="auto" w:fill="FFFFFF"/>
        </w:rPr>
        <w:tab/>
      </w:r>
      <w:r w:rsidRPr="001C2D09" w:rsidR="000C57FF">
        <w:rPr>
          <w:sz w:val="22"/>
          <w:szCs w:val="22"/>
          <w:shd w:val="clear" w:color="auto" w:fill="FFFFFF"/>
        </w:rPr>
        <w:tab/>
      </w:r>
      <w:r w:rsidRPr="001C2D09">
        <w:rPr>
          <w:sz w:val="22"/>
          <w:szCs w:val="22"/>
          <w:shd w:val="clear" w:color="auto" w:fill="FFFFFF"/>
        </w:rPr>
        <w:tab/>
      </w:r>
      <w:r w:rsidRPr="001C2D09" w:rsidR="000C57FF">
        <w:rPr>
          <w:sz w:val="22"/>
          <w:szCs w:val="22"/>
          <w:shd w:val="clear" w:color="auto" w:fill="FFFFFF"/>
        </w:rPr>
        <w:t xml:space="preserve">      </w:t>
      </w:r>
      <w:r w:rsidRPr="001C2D09">
        <w:rPr>
          <w:sz w:val="22"/>
          <w:szCs w:val="22"/>
          <w:shd w:val="clear" w:color="auto" w:fill="FFFFFF"/>
        </w:rPr>
        <w:t>30</w:t>
      </w:r>
      <w:r w:rsidRPr="001C2D09" w:rsidR="00045C16">
        <w:rPr>
          <w:sz w:val="22"/>
          <w:szCs w:val="22"/>
          <w:shd w:val="clear" w:color="auto" w:fill="FFFFFF"/>
        </w:rPr>
        <w:t xml:space="preserve">% </w:t>
      </w:r>
      <w:r w:rsidRPr="001C2D09">
        <w:rPr>
          <w:sz w:val="22"/>
          <w:szCs w:val="22"/>
          <w:shd w:val="clear" w:color="auto" w:fill="FFFFFF"/>
        </w:rPr>
        <w:t xml:space="preserve">overhead = </w:t>
      </w:r>
      <w:r w:rsidRPr="001C2D09">
        <w:rPr>
          <w:sz w:val="22"/>
          <w:szCs w:val="22"/>
          <w:u w:val="single"/>
          <w:shd w:val="clear" w:color="auto" w:fill="FFFFFF"/>
        </w:rPr>
        <w:t>$</w:t>
      </w:r>
      <w:r w:rsidRPr="001C2D09" w:rsidR="00AF41B5">
        <w:rPr>
          <w:sz w:val="22"/>
          <w:szCs w:val="22"/>
          <w:u w:val="single"/>
          <w:shd w:val="clear" w:color="auto" w:fill="FFFFFF"/>
        </w:rPr>
        <w:t>189,665</w:t>
      </w:r>
    </w:p>
    <w:p w:rsidR="000F165D" w:rsidRPr="001C2D09" w:rsidP="00A06161" w14:paraId="2475C11B" w14:textId="624802FA">
      <w:pPr>
        <w:tabs>
          <w:tab w:val="left" w:pos="-720"/>
        </w:tabs>
        <w:suppressAutoHyphens/>
        <w:spacing w:after="240"/>
        <w:rPr>
          <w:sz w:val="22"/>
          <w:szCs w:val="22"/>
          <w:shd w:val="clear" w:color="auto" w:fill="FFFFFF"/>
        </w:rPr>
      </w:pPr>
      <w:r w:rsidRPr="001C2D09">
        <w:rPr>
          <w:sz w:val="22"/>
          <w:szCs w:val="22"/>
          <w:shd w:val="clear" w:color="auto" w:fill="FFFFFF"/>
        </w:rPr>
        <w:tab/>
      </w:r>
      <w:r w:rsidRPr="001C2D09" w:rsidR="002238FF">
        <w:rPr>
          <w:sz w:val="22"/>
          <w:szCs w:val="22"/>
          <w:shd w:val="clear" w:color="auto" w:fill="FFFFFF"/>
        </w:rPr>
        <w:tab/>
      </w:r>
      <w:r w:rsidRPr="001C2D09" w:rsidR="002238FF">
        <w:rPr>
          <w:sz w:val="22"/>
          <w:szCs w:val="22"/>
          <w:shd w:val="clear" w:color="auto" w:fill="FFFFFF"/>
        </w:rPr>
        <w:tab/>
      </w:r>
      <w:r w:rsidRPr="001C2D09" w:rsidR="002238FF">
        <w:rPr>
          <w:sz w:val="22"/>
          <w:szCs w:val="22"/>
          <w:shd w:val="clear" w:color="auto" w:fill="FFFFFF"/>
        </w:rPr>
        <w:tab/>
      </w:r>
      <w:r w:rsidRPr="001C2D09" w:rsidR="002238FF">
        <w:rPr>
          <w:sz w:val="22"/>
          <w:szCs w:val="22"/>
          <w:shd w:val="clear" w:color="auto" w:fill="FFFFFF"/>
        </w:rPr>
        <w:tab/>
      </w:r>
      <w:r w:rsidRPr="001C2D09" w:rsidR="002238FF">
        <w:rPr>
          <w:sz w:val="22"/>
          <w:szCs w:val="22"/>
          <w:shd w:val="clear" w:color="auto" w:fill="FFFFFF"/>
        </w:rPr>
        <w:tab/>
      </w:r>
      <w:r w:rsidRPr="001C2D09" w:rsidR="00466C8C">
        <w:rPr>
          <w:sz w:val="22"/>
          <w:szCs w:val="22"/>
          <w:shd w:val="clear" w:color="auto" w:fill="FFFFFF"/>
        </w:rPr>
        <w:tab/>
      </w:r>
      <w:r w:rsidRPr="001C2D09" w:rsidR="000C57FF">
        <w:rPr>
          <w:sz w:val="22"/>
          <w:szCs w:val="22"/>
          <w:shd w:val="clear" w:color="auto" w:fill="FFFFFF"/>
        </w:rPr>
        <w:t xml:space="preserve">         </w:t>
      </w:r>
      <w:r w:rsidRPr="001C2D09">
        <w:rPr>
          <w:sz w:val="22"/>
          <w:szCs w:val="22"/>
          <w:shd w:val="clear" w:color="auto" w:fill="FFFFFF"/>
        </w:rPr>
        <w:t>Total:</w:t>
      </w:r>
      <w:r w:rsidRPr="001C2D09" w:rsidR="00610973">
        <w:rPr>
          <w:sz w:val="22"/>
          <w:szCs w:val="22"/>
          <w:shd w:val="clear" w:color="auto" w:fill="FFFFFF"/>
        </w:rPr>
        <w:t xml:space="preserve">  </w:t>
      </w:r>
      <w:r w:rsidRPr="001C2D09" w:rsidR="00CA5D59">
        <w:rPr>
          <w:sz w:val="22"/>
          <w:szCs w:val="22"/>
          <w:shd w:val="clear" w:color="auto" w:fill="FFFFFF"/>
        </w:rPr>
        <w:t>$</w:t>
      </w:r>
      <w:r w:rsidRPr="001C2D09" w:rsidR="00AF41B5">
        <w:rPr>
          <w:sz w:val="22"/>
          <w:szCs w:val="22"/>
          <w:shd w:val="clear" w:color="auto" w:fill="FFFFFF"/>
        </w:rPr>
        <w:t>821,88</w:t>
      </w:r>
      <w:r w:rsidRPr="001C2D09" w:rsidR="003D6F2B">
        <w:rPr>
          <w:sz w:val="22"/>
          <w:szCs w:val="22"/>
          <w:shd w:val="clear" w:color="auto" w:fill="FFFFFF"/>
        </w:rPr>
        <w:t>3</w:t>
      </w:r>
    </w:p>
    <w:p w:rsidR="005C5E02" w:rsidRPr="001C2D09" w:rsidP="00A06161" w14:paraId="071F78A6" w14:textId="26E02906">
      <w:pPr>
        <w:keepNext/>
        <w:tabs>
          <w:tab w:val="left" w:pos="-720"/>
        </w:tabs>
        <w:suppressAutoHyphens/>
        <w:spacing w:after="120"/>
        <w:rPr>
          <w:b/>
          <w:bCs/>
          <w:sz w:val="22"/>
          <w:szCs w:val="22"/>
          <w:shd w:val="clear" w:color="auto" w:fill="FFFFFF"/>
        </w:rPr>
      </w:pPr>
      <w:r>
        <w:rPr>
          <w:b/>
          <w:bCs/>
          <w:sz w:val="22"/>
          <w:szCs w:val="22"/>
          <w:shd w:val="clear" w:color="auto" w:fill="FFFFFF"/>
        </w:rPr>
        <w:t>(</w:t>
      </w:r>
      <w:r w:rsidRPr="001C2D09" w:rsidR="001D25CE">
        <w:rPr>
          <w:b/>
          <w:bCs/>
          <w:sz w:val="22"/>
          <w:szCs w:val="22"/>
          <w:shd w:val="clear" w:color="auto" w:fill="FFFFFF"/>
        </w:rPr>
        <w:t>k</w:t>
      </w:r>
      <w:r>
        <w:rPr>
          <w:b/>
          <w:bCs/>
          <w:sz w:val="22"/>
          <w:szCs w:val="22"/>
          <w:shd w:val="clear" w:color="auto" w:fill="FFFFFF"/>
        </w:rPr>
        <w:t>)</w:t>
      </w:r>
      <w:r w:rsidRPr="001C2D09" w:rsidR="00610973">
        <w:rPr>
          <w:b/>
          <w:bCs/>
          <w:sz w:val="22"/>
          <w:szCs w:val="22"/>
          <w:shd w:val="clear" w:color="auto" w:fill="FFFFFF"/>
        </w:rPr>
        <w:tab/>
      </w:r>
      <w:r w:rsidRPr="001C2D09" w:rsidR="001D25CE">
        <w:rPr>
          <w:b/>
          <w:bCs/>
          <w:sz w:val="22"/>
          <w:szCs w:val="22"/>
          <w:shd w:val="clear" w:color="auto" w:fill="FFFFFF"/>
        </w:rPr>
        <w:t>Notifications.</w:t>
      </w:r>
    </w:p>
    <w:p w:rsidR="005C5E02" w:rsidRPr="001C2D09" w:rsidP="201C1D70" w14:paraId="5D642230" w14:textId="2E587176">
      <w:pPr>
        <w:suppressAutoHyphens/>
        <w:rPr>
          <w:sz w:val="22"/>
          <w:szCs w:val="22"/>
          <w:shd w:val="clear" w:color="auto" w:fill="FFFFFF"/>
        </w:rPr>
      </w:pPr>
      <w:r w:rsidRPr="001C2D09">
        <w:rPr>
          <w:sz w:val="22"/>
          <w:szCs w:val="22"/>
          <w:shd w:val="clear" w:color="auto" w:fill="FFFFFF"/>
        </w:rPr>
        <w:tab/>
        <w:t>(1)</w:t>
      </w:r>
      <w:r w:rsidRPr="001C2D09">
        <w:rPr>
          <w:sz w:val="22"/>
          <w:szCs w:val="22"/>
          <w:shd w:val="clear" w:color="auto" w:fill="FFFFFF"/>
        </w:rPr>
        <w:tab/>
        <w:t xml:space="preserve">Number of </w:t>
      </w:r>
      <w:r w:rsidRPr="001C2D09" w:rsidR="00E66BFF">
        <w:rPr>
          <w:sz w:val="22"/>
          <w:szCs w:val="22"/>
          <w:shd w:val="clear" w:color="auto" w:fill="FFFFFF"/>
        </w:rPr>
        <w:t>R</w:t>
      </w:r>
      <w:r w:rsidRPr="001C2D09">
        <w:rPr>
          <w:sz w:val="22"/>
          <w:szCs w:val="22"/>
          <w:shd w:val="clear" w:color="auto" w:fill="FFFFFF"/>
        </w:rPr>
        <w:t xml:space="preserve">espondents: </w:t>
      </w:r>
      <w:r w:rsidRPr="001C2D09" w:rsidR="00610973">
        <w:rPr>
          <w:sz w:val="22"/>
          <w:szCs w:val="22"/>
          <w:shd w:val="clear" w:color="auto" w:fill="FFFFFF"/>
        </w:rPr>
        <w:t xml:space="preserve"> </w:t>
      </w:r>
      <w:r w:rsidRPr="001C2D09" w:rsidR="000712D6">
        <w:rPr>
          <w:sz w:val="22"/>
          <w:szCs w:val="22"/>
        </w:rPr>
        <w:t>500</w:t>
      </w:r>
    </w:p>
    <w:p w:rsidR="00F93EAD" w:rsidRPr="001C2D09" w:rsidP="201C1D70" w14:paraId="0CD0A2E7" w14:textId="6176FE95">
      <w:pPr>
        <w:suppressAutoHyphens/>
        <w:rPr>
          <w:sz w:val="22"/>
          <w:szCs w:val="22"/>
          <w:shd w:val="clear" w:color="auto" w:fill="FFFFFF"/>
        </w:rPr>
      </w:pPr>
      <w:r w:rsidRPr="001C2D09">
        <w:rPr>
          <w:sz w:val="22"/>
          <w:szCs w:val="22"/>
          <w:shd w:val="clear" w:color="auto" w:fill="FFFFFF"/>
        </w:rPr>
        <w:tab/>
        <w:t>(2)</w:t>
      </w:r>
      <w:r w:rsidRPr="001C2D09">
        <w:rPr>
          <w:sz w:val="22"/>
          <w:szCs w:val="22"/>
          <w:shd w:val="clear" w:color="auto" w:fill="FFFFFF"/>
        </w:rPr>
        <w:tab/>
        <w:t xml:space="preserve">Frequency of </w:t>
      </w:r>
      <w:r w:rsidRPr="001C2D09" w:rsidR="00E66BFF">
        <w:rPr>
          <w:sz w:val="22"/>
          <w:szCs w:val="22"/>
          <w:shd w:val="clear" w:color="auto" w:fill="FFFFFF"/>
        </w:rPr>
        <w:t>R</w:t>
      </w:r>
      <w:r w:rsidRPr="001C2D09">
        <w:rPr>
          <w:sz w:val="22"/>
          <w:szCs w:val="22"/>
          <w:shd w:val="clear" w:color="auto" w:fill="FFFFFF"/>
        </w:rPr>
        <w:t xml:space="preserve">esponse: </w:t>
      </w:r>
      <w:r w:rsidRPr="001C2D09" w:rsidR="00466C8C">
        <w:rPr>
          <w:sz w:val="22"/>
          <w:szCs w:val="22"/>
          <w:shd w:val="clear" w:color="auto" w:fill="FFFFFF"/>
        </w:rPr>
        <w:t xml:space="preserve"> </w:t>
      </w:r>
      <w:r w:rsidRPr="001C2D09">
        <w:rPr>
          <w:sz w:val="22"/>
          <w:szCs w:val="22"/>
          <w:shd w:val="clear" w:color="auto" w:fill="FFFFFF"/>
        </w:rPr>
        <w:t>On occasion reporting requirement</w:t>
      </w:r>
      <w:r w:rsidRPr="001C2D09" w:rsidR="003359D6">
        <w:rPr>
          <w:sz w:val="22"/>
          <w:szCs w:val="22"/>
          <w:shd w:val="clear" w:color="auto" w:fill="FFFFFF"/>
        </w:rPr>
        <w:t xml:space="preserve">; </w:t>
      </w:r>
      <w:r w:rsidRPr="001C2D09" w:rsidR="00C42550">
        <w:rPr>
          <w:sz w:val="22"/>
          <w:szCs w:val="22"/>
          <w:shd w:val="clear" w:color="auto" w:fill="FFFFFF"/>
        </w:rPr>
        <w:t>t</w:t>
      </w:r>
      <w:r w:rsidRPr="001C2D09" w:rsidR="003359D6">
        <w:rPr>
          <w:sz w:val="22"/>
          <w:szCs w:val="22"/>
          <w:shd w:val="clear" w:color="auto" w:fill="FFFFFF"/>
        </w:rPr>
        <w:t>hird party response</w:t>
      </w:r>
      <w:r w:rsidRPr="001C2D09">
        <w:rPr>
          <w:sz w:val="22"/>
          <w:szCs w:val="22"/>
          <w:shd w:val="clear" w:color="auto" w:fill="FFFFFF"/>
        </w:rPr>
        <w:t>.</w:t>
      </w:r>
    </w:p>
    <w:p w:rsidR="003E6CB6" w:rsidRPr="001C2D09" w:rsidP="201C1D70" w14:paraId="794DD5BF" w14:textId="57E00623">
      <w:pPr>
        <w:suppressAutoHyphens/>
        <w:spacing w:after="120"/>
        <w:rPr>
          <w:sz w:val="22"/>
          <w:szCs w:val="22"/>
          <w:shd w:val="clear" w:color="auto" w:fill="FFFFFF"/>
        </w:rPr>
      </w:pPr>
      <w:r w:rsidRPr="001C2D09">
        <w:rPr>
          <w:sz w:val="22"/>
          <w:szCs w:val="22"/>
          <w:shd w:val="clear" w:color="auto" w:fill="FFFFFF"/>
        </w:rPr>
        <w:tab/>
        <w:t>(</w:t>
      </w:r>
      <w:r w:rsidRPr="001C2D09" w:rsidR="00F93EAD">
        <w:rPr>
          <w:sz w:val="22"/>
          <w:szCs w:val="22"/>
          <w:shd w:val="clear" w:color="auto" w:fill="FFFFFF"/>
        </w:rPr>
        <w:t>3</w:t>
      </w:r>
      <w:r w:rsidRPr="001C2D09">
        <w:rPr>
          <w:sz w:val="22"/>
          <w:szCs w:val="22"/>
          <w:shd w:val="clear" w:color="auto" w:fill="FFFFFF"/>
        </w:rPr>
        <w:t>)</w:t>
      </w:r>
      <w:r w:rsidRPr="001C2D09">
        <w:rPr>
          <w:sz w:val="22"/>
          <w:szCs w:val="22"/>
          <w:shd w:val="clear" w:color="auto" w:fill="FFFFFF"/>
        </w:rPr>
        <w:tab/>
        <w:t xml:space="preserve">Total Number of Responses Annually: </w:t>
      </w:r>
      <w:r w:rsidRPr="001C2D09" w:rsidR="00466C8C">
        <w:rPr>
          <w:sz w:val="22"/>
          <w:szCs w:val="22"/>
          <w:shd w:val="clear" w:color="auto" w:fill="FFFFFF"/>
        </w:rPr>
        <w:t xml:space="preserve"> </w:t>
      </w:r>
      <w:r w:rsidRPr="001C2D09" w:rsidR="000712D6">
        <w:rPr>
          <w:sz w:val="22"/>
          <w:szCs w:val="22"/>
        </w:rPr>
        <w:t>500</w:t>
      </w:r>
      <w:r w:rsidRPr="001C2D09" w:rsidR="007469B9">
        <w:rPr>
          <w:sz w:val="22"/>
          <w:szCs w:val="22"/>
        </w:rPr>
        <w:t xml:space="preserve"> </w:t>
      </w:r>
      <w:r w:rsidRPr="001C2D09" w:rsidR="006F7B83">
        <w:rPr>
          <w:sz w:val="22"/>
          <w:szCs w:val="22"/>
          <w:shd w:val="clear" w:color="auto" w:fill="FFFFFF"/>
        </w:rPr>
        <w:t xml:space="preserve">responses </w:t>
      </w:r>
      <w:r w:rsidRPr="001C2D09" w:rsidR="00CC1EB2">
        <w:rPr>
          <w:sz w:val="22"/>
          <w:szCs w:val="22"/>
          <w:shd w:val="clear" w:color="auto" w:fill="FFFFFF"/>
        </w:rPr>
        <w:t>(third party disclosure)</w:t>
      </w:r>
    </w:p>
    <w:p w:rsidR="00FA47F9" w:rsidRPr="001C2D09" w:rsidP="201C1D70" w14:paraId="42B5BB28" w14:textId="2F82AA9E">
      <w:pPr>
        <w:suppressAutoHyphens/>
        <w:spacing w:after="120"/>
        <w:rPr>
          <w:sz w:val="22"/>
          <w:szCs w:val="22"/>
          <w:shd w:val="clear" w:color="auto" w:fill="FFFFFF"/>
        </w:rPr>
      </w:pPr>
      <w:r w:rsidRPr="001C2D09">
        <w:rPr>
          <w:sz w:val="22"/>
          <w:szCs w:val="22"/>
          <w:shd w:val="clear" w:color="auto" w:fill="FFFFFF"/>
        </w:rPr>
        <w:tab/>
        <w:t xml:space="preserve">The Commission </w:t>
      </w:r>
      <w:r w:rsidRPr="001C2D09" w:rsidR="00793AE1">
        <w:rPr>
          <w:sz w:val="22"/>
          <w:szCs w:val="22"/>
          <w:shd w:val="clear" w:color="auto" w:fill="FFFFFF"/>
        </w:rPr>
        <w:t>estimates</w:t>
      </w:r>
      <w:r w:rsidRPr="001C2D09">
        <w:rPr>
          <w:sz w:val="22"/>
          <w:szCs w:val="22"/>
          <w:shd w:val="clear" w:color="auto" w:fill="FFFFFF"/>
        </w:rPr>
        <w:t xml:space="preserve"> that </w:t>
      </w:r>
      <w:r w:rsidRPr="001C2D09" w:rsidR="00721BA0">
        <w:rPr>
          <w:sz w:val="22"/>
          <w:szCs w:val="22"/>
          <w:shd w:val="clear" w:color="auto" w:fill="FFFFFF"/>
        </w:rPr>
        <w:t xml:space="preserve">the </w:t>
      </w:r>
      <w:r w:rsidRPr="001C2D09">
        <w:rPr>
          <w:sz w:val="22"/>
          <w:szCs w:val="22"/>
          <w:shd w:val="clear" w:color="auto" w:fill="FFFFFF"/>
        </w:rPr>
        <w:t>respondent</w:t>
      </w:r>
      <w:r w:rsidRPr="001C2D09" w:rsidR="00553ED7">
        <w:rPr>
          <w:sz w:val="22"/>
          <w:szCs w:val="22"/>
          <w:shd w:val="clear" w:color="auto" w:fill="FFFFFF"/>
        </w:rPr>
        <w:t>s</w:t>
      </w:r>
      <w:r w:rsidRPr="001C2D09" w:rsidR="00793AE1">
        <w:rPr>
          <w:sz w:val="22"/>
          <w:szCs w:val="22"/>
          <w:shd w:val="clear" w:color="auto" w:fill="FFFFFF"/>
        </w:rPr>
        <w:t xml:space="preserve"> may</w:t>
      </w:r>
      <w:r w:rsidRPr="001C2D09">
        <w:rPr>
          <w:sz w:val="22"/>
          <w:szCs w:val="22"/>
          <w:shd w:val="clear" w:color="auto" w:fill="FFFFFF"/>
        </w:rPr>
        <w:t xml:space="preserve"> receive </w:t>
      </w:r>
      <w:r w:rsidRPr="001C2D09" w:rsidR="00966008">
        <w:rPr>
          <w:sz w:val="22"/>
          <w:szCs w:val="22"/>
          <w:shd w:val="clear" w:color="auto" w:fill="FFFFFF"/>
        </w:rPr>
        <w:t xml:space="preserve">approximately </w:t>
      </w:r>
      <w:r w:rsidRPr="001C2D09" w:rsidR="005F7036">
        <w:rPr>
          <w:sz w:val="22"/>
          <w:szCs w:val="22"/>
        </w:rPr>
        <w:t>500</w:t>
      </w:r>
      <w:r w:rsidRPr="001C2D09" w:rsidR="00C34437">
        <w:rPr>
          <w:sz w:val="22"/>
          <w:szCs w:val="22"/>
        </w:rPr>
        <w:t xml:space="preserve"> </w:t>
      </w:r>
      <w:r w:rsidRPr="001C2D09" w:rsidR="00793AE1">
        <w:rPr>
          <w:sz w:val="22"/>
          <w:szCs w:val="22"/>
          <w:shd w:val="clear" w:color="auto" w:fill="FFFFFF"/>
        </w:rPr>
        <w:t>r</w:t>
      </w:r>
      <w:r w:rsidRPr="001C2D09">
        <w:rPr>
          <w:sz w:val="22"/>
          <w:szCs w:val="22"/>
          <w:shd w:val="clear" w:color="auto" w:fill="FFFFFF"/>
        </w:rPr>
        <w:t>equests from directory publisher</w:t>
      </w:r>
      <w:r w:rsidRPr="001C2D09" w:rsidR="00966008">
        <w:rPr>
          <w:sz w:val="22"/>
          <w:szCs w:val="22"/>
          <w:shd w:val="clear" w:color="auto" w:fill="FFFFFF"/>
        </w:rPr>
        <w:t>s annually for information on the</w:t>
      </w:r>
      <w:r w:rsidRPr="001C2D09">
        <w:rPr>
          <w:sz w:val="22"/>
          <w:szCs w:val="22"/>
          <w:shd w:val="clear" w:color="auto" w:fill="FFFFFF"/>
        </w:rPr>
        <w:t xml:space="preserve"> carrier</w:t>
      </w:r>
      <w:r w:rsidRPr="001C2D09" w:rsidR="00966008">
        <w:rPr>
          <w:sz w:val="22"/>
          <w:szCs w:val="22"/>
          <w:shd w:val="clear" w:color="auto" w:fill="FFFFFF"/>
        </w:rPr>
        <w:t>s</w:t>
      </w:r>
      <w:r w:rsidRPr="001C2D09">
        <w:rPr>
          <w:sz w:val="22"/>
          <w:szCs w:val="22"/>
          <w:shd w:val="clear" w:color="auto" w:fill="FFFFFF"/>
        </w:rPr>
        <w:t>’ subscriber list information.</w:t>
      </w:r>
    </w:p>
    <w:p w:rsidR="00FA47F9" w:rsidRPr="001C2D09" w:rsidP="201C1D70" w14:paraId="4D9CFADD" w14:textId="7B56BF2B">
      <w:pPr>
        <w:suppressAutoHyphens/>
        <w:spacing w:after="120"/>
        <w:rPr>
          <w:sz w:val="22"/>
          <w:szCs w:val="22"/>
          <w:shd w:val="clear" w:color="auto" w:fill="FFFFFF"/>
        </w:rPr>
      </w:pPr>
      <w:r w:rsidRPr="001C2D09">
        <w:rPr>
          <w:sz w:val="22"/>
          <w:szCs w:val="22"/>
          <w:shd w:val="clear" w:color="auto" w:fill="FFFFFF"/>
        </w:rPr>
        <w:tab/>
      </w:r>
      <w:r w:rsidRPr="001C2D09" w:rsidR="00A06161">
        <w:rPr>
          <w:sz w:val="22"/>
          <w:szCs w:val="22"/>
          <w:shd w:val="clear" w:color="auto" w:fill="FFFFFF"/>
        </w:rPr>
        <w:tab/>
      </w:r>
      <w:r w:rsidRPr="001C2D09" w:rsidR="00552E46">
        <w:rPr>
          <w:sz w:val="22"/>
          <w:szCs w:val="22"/>
          <w:shd w:val="clear" w:color="auto" w:fill="FFFFFF"/>
        </w:rPr>
        <w:t>5</w:t>
      </w:r>
      <w:r w:rsidRPr="001C2D09" w:rsidR="00E516A0">
        <w:rPr>
          <w:sz w:val="22"/>
          <w:szCs w:val="22"/>
          <w:shd w:val="clear" w:color="auto" w:fill="FFFFFF"/>
        </w:rPr>
        <w:t>00</w:t>
      </w:r>
      <w:r w:rsidRPr="001C2D09" w:rsidR="00966008">
        <w:rPr>
          <w:sz w:val="22"/>
          <w:szCs w:val="22"/>
          <w:shd w:val="clear" w:color="auto" w:fill="FFFFFF"/>
        </w:rPr>
        <w:t xml:space="preserve"> requests</w:t>
      </w:r>
      <w:r w:rsidRPr="001C2D09" w:rsidR="00793AE1">
        <w:rPr>
          <w:sz w:val="22"/>
          <w:szCs w:val="22"/>
          <w:shd w:val="clear" w:color="auto" w:fill="FFFFFF"/>
        </w:rPr>
        <w:t xml:space="preserve"> x 1 subscriber list request/annum = </w:t>
      </w:r>
      <w:r w:rsidRPr="001C2D09" w:rsidR="005F7036">
        <w:rPr>
          <w:sz w:val="22"/>
          <w:szCs w:val="22"/>
        </w:rPr>
        <w:t>500</w:t>
      </w:r>
      <w:r w:rsidRPr="001C2D09" w:rsidR="007469B9">
        <w:rPr>
          <w:sz w:val="22"/>
          <w:szCs w:val="22"/>
        </w:rPr>
        <w:t xml:space="preserve"> </w:t>
      </w:r>
      <w:r w:rsidRPr="001C2D09" w:rsidR="00793AE1">
        <w:rPr>
          <w:sz w:val="22"/>
          <w:szCs w:val="22"/>
          <w:shd w:val="clear" w:color="auto" w:fill="FFFFFF"/>
        </w:rPr>
        <w:t>responses</w:t>
      </w:r>
      <w:r w:rsidRPr="001C2D09">
        <w:rPr>
          <w:sz w:val="22"/>
          <w:szCs w:val="22"/>
          <w:shd w:val="clear" w:color="auto" w:fill="FFFFFF"/>
        </w:rPr>
        <w:t xml:space="preserve"> </w:t>
      </w:r>
    </w:p>
    <w:p w:rsidR="00F241BE" w:rsidRPr="001C2D09" w:rsidP="201C1D70" w14:paraId="2A9D45D2" w14:textId="7E581E97">
      <w:pPr>
        <w:suppressAutoHyphens/>
        <w:spacing w:after="120"/>
        <w:rPr>
          <w:sz w:val="22"/>
          <w:szCs w:val="22"/>
          <w:shd w:val="clear" w:color="auto" w:fill="FFFFFF"/>
        </w:rPr>
      </w:pPr>
      <w:r w:rsidRPr="001C2D09">
        <w:rPr>
          <w:sz w:val="22"/>
          <w:szCs w:val="22"/>
          <w:shd w:val="clear" w:color="auto" w:fill="FFFFFF"/>
        </w:rPr>
        <w:tab/>
      </w:r>
      <w:r w:rsidRPr="001C2D09" w:rsidR="005C5E02">
        <w:rPr>
          <w:sz w:val="22"/>
          <w:szCs w:val="22"/>
          <w:shd w:val="clear" w:color="auto" w:fill="FFFFFF"/>
        </w:rPr>
        <w:t>(</w:t>
      </w:r>
      <w:r w:rsidRPr="001C2D09" w:rsidR="008E5E0A">
        <w:rPr>
          <w:sz w:val="22"/>
          <w:szCs w:val="22"/>
          <w:shd w:val="clear" w:color="auto" w:fill="FFFFFF"/>
        </w:rPr>
        <w:t>4</w:t>
      </w:r>
      <w:r w:rsidRPr="001C2D09" w:rsidR="005C5E02">
        <w:rPr>
          <w:sz w:val="22"/>
          <w:szCs w:val="22"/>
          <w:shd w:val="clear" w:color="auto" w:fill="FFFFFF"/>
        </w:rPr>
        <w:t>)</w:t>
      </w:r>
      <w:r w:rsidRPr="001C2D09">
        <w:rPr>
          <w:sz w:val="22"/>
          <w:szCs w:val="22"/>
          <w:shd w:val="clear" w:color="auto" w:fill="FFFFFF"/>
        </w:rPr>
        <w:tab/>
      </w:r>
      <w:r w:rsidRPr="001C2D09" w:rsidR="008E5E0A">
        <w:rPr>
          <w:sz w:val="22"/>
          <w:szCs w:val="22"/>
          <w:shd w:val="clear" w:color="auto" w:fill="FFFFFF"/>
        </w:rPr>
        <w:t>Total An</w:t>
      </w:r>
      <w:r w:rsidRPr="001C2D09" w:rsidR="005C5E02">
        <w:rPr>
          <w:sz w:val="22"/>
          <w:szCs w:val="22"/>
          <w:shd w:val="clear" w:color="auto" w:fill="FFFFFF"/>
        </w:rPr>
        <w:t xml:space="preserve">nual </w:t>
      </w:r>
      <w:r w:rsidRPr="001C2D09" w:rsidR="008E5E0A">
        <w:rPr>
          <w:sz w:val="22"/>
          <w:szCs w:val="22"/>
          <w:shd w:val="clear" w:color="auto" w:fill="FFFFFF"/>
        </w:rPr>
        <w:t>H</w:t>
      </w:r>
      <w:r w:rsidRPr="001C2D09" w:rsidR="005C5E02">
        <w:rPr>
          <w:sz w:val="22"/>
          <w:szCs w:val="22"/>
          <w:shd w:val="clear" w:color="auto" w:fill="FFFFFF"/>
        </w:rPr>
        <w:t>our</w:t>
      </w:r>
      <w:r w:rsidRPr="001C2D09" w:rsidR="008E5E0A">
        <w:rPr>
          <w:sz w:val="22"/>
          <w:szCs w:val="22"/>
          <w:shd w:val="clear" w:color="auto" w:fill="FFFFFF"/>
        </w:rPr>
        <w:t>ly B</w:t>
      </w:r>
      <w:r w:rsidRPr="001C2D09" w:rsidR="005C5E02">
        <w:rPr>
          <w:sz w:val="22"/>
          <w:szCs w:val="22"/>
          <w:shd w:val="clear" w:color="auto" w:fill="FFFFFF"/>
        </w:rPr>
        <w:t xml:space="preserve">urden: </w:t>
      </w:r>
      <w:r w:rsidRPr="001C2D09" w:rsidR="00F13714">
        <w:rPr>
          <w:sz w:val="22"/>
          <w:szCs w:val="22"/>
          <w:shd w:val="clear" w:color="auto" w:fill="FFFFFF"/>
        </w:rPr>
        <w:t xml:space="preserve"> </w:t>
      </w:r>
      <w:r w:rsidRPr="001C2D09" w:rsidR="00C4453E">
        <w:rPr>
          <w:sz w:val="22"/>
          <w:szCs w:val="22"/>
        </w:rPr>
        <w:t>500</w:t>
      </w:r>
      <w:r w:rsidRPr="001C2D09" w:rsidR="007469B9">
        <w:rPr>
          <w:sz w:val="22"/>
          <w:szCs w:val="22"/>
        </w:rPr>
        <w:t xml:space="preserve"> </w:t>
      </w:r>
      <w:r w:rsidRPr="001C2D09" w:rsidR="00FE0C6B">
        <w:rPr>
          <w:sz w:val="22"/>
          <w:szCs w:val="22"/>
          <w:shd w:val="clear" w:color="auto" w:fill="FFFFFF"/>
        </w:rPr>
        <w:t>hours</w:t>
      </w:r>
    </w:p>
    <w:p w:rsidR="0044634D" w:rsidRPr="001C2D09" w:rsidP="201C1D70" w14:paraId="19C3E62C" w14:textId="0C802BFA">
      <w:pPr>
        <w:suppressAutoHyphens/>
        <w:spacing w:after="120"/>
        <w:rPr>
          <w:sz w:val="22"/>
          <w:szCs w:val="22"/>
          <w:shd w:val="clear" w:color="auto" w:fill="FFFFFF"/>
        </w:rPr>
      </w:pPr>
      <w:r w:rsidRPr="001C2D09">
        <w:rPr>
          <w:sz w:val="22"/>
          <w:szCs w:val="22"/>
          <w:shd w:val="clear" w:color="auto" w:fill="FFFFFF"/>
        </w:rPr>
        <w:t xml:space="preserve">The Commission estimates that respondents will take approximately </w:t>
      </w:r>
      <w:r w:rsidRPr="001C2D09" w:rsidR="00552E46">
        <w:rPr>
          <w:sz w:val="22"/>
          <w:szCs w:val="22"/>
          <w:shd w:val="clear" w:color="auto" w:fill="FFFFFF"/>
        </w:rPr>
        <w:t>one</w:t>
      </w:r>
      <w:r w:rsidRPr="001C2D09" w:rsidR="00E14D4E">
        <w:rPr>
          <w:sz w:val="22"/>
          <w:szCs w:val="22"/>
          <w:shd w:val="clear" w:color="auto" w:fill="FFFFFF"/>
        </w:rPr>
        <w:t xml:space="preserve"> hour </w:t>
      </w:r>
      <w:r w:rsidRPr="001C2D09">
        <w:rPr>
          <w:sz w:val="22"/>
          <w:szCs w:val="22"/>
          <w:shd w:val="clear" w:color="auto" w:fill="FFFFFF"/>
        </w:rPr>
        <w:t>to fulfill each directory publisher’s subscriber list information request, which the c</w:t>
      </w:r>
      <w:r w:rsidRPr="001C2D09" w:rsidR="00146A93">
        <w:rPr>
          <w:sz w:val="22"/>
          <w:szCs w:val="22"/>
          <w:shd w:val="clear" w:color="auto" w:fill="FFFFFF"/>
        </w:rPr>
        <w:t xml:space="preserve">arrier must </w:t>
      </w:r>
      <w:r w:rsidRPr="001C2D09" w:rsidR="007A1B37">
        <w:rPr>
          <w:sz w:val="22"/>
          <w:szCs w:val="22"/>
          <w:shd w:val="clear" w:color="auto" w:fill="FFFFFF"/>
        </w:rPr>
        <w:t xml:space="preserve">do </w:t>
      </w:r>
      <w:r w:rsidRPr="001C2D09" w:rsidR="00146A93">
        <w:rPr>
          <w:sz w:val="22"/>
          <w:szCs w:val="22"/>
          <w:shd w:val="clear" w:color="auto" w:fill="FFFFFF"/>
        </w:rPr>
        <w:t xml:space="preserve">at the time </w:t>
      </w:r>
      <w:r w:rsidRPr="001C2D09">
        <w:rPr>
          <w:sz w:val="22"/>
          <w:szCs w:val="22"/>
          <w:shd w:val="clear" w:color="auto" w:fill="FFFFFF"/>
        </w:rPr>
        <w:t xml:space="preserve">it is </w:t>
      </w:r>
      <w:r w:rsidRPr="001C2D09" w:rsidR="00146A93">
        <w:rPr>
          <w:sz w:val="22"/>
          <w:szCs w:val="22"/>
          <w:shd w:val="clear" w:color="auto" w:fill="FFFFFF"/>
        </w:rPr>
        <w:t>requested by the directory publisher, provided</w:t>
      </w:r>
      <w:r w:rsidRPr="001C2D09" w:rsidR="002C06B5">
        <w:rPr>
          <w:sz w:val="22"/>
          <w:szCs w:val="22"/>
          <w:shd w:val="clear" w:color="auto" w:fill="FFFFFF"/>
        </w:rPr>
        <w:t xml:space="preserve"> </w:t>
      </w:r>
      <w:r w:rsidRPr="001C2D09" w:rsidR="00146A93">
        <w:rPr>
          <w:sz w:val="22"/>
          <w:szCs w:val="22"/>
          <w:shd w:val="clear" w:color="auto" w:fill="FFFFFF"/>
        </w:rPr>
        <w:t>that the directory publisher has given advance notice</w:t>
      </w:r>
      <w:r w:rsidRPr="001C2D09">
        <w:rPr>
          <w:sz w:val="22"/>
          <w:szCs w:val="22"/>
          <w:shd w:val="clear" w:color="auto" w:fill="FFFFFF"/>
        </w:rPr>
        <w:t>,</w:t>
      </w:r>
      <w:r w:rsidRPr="001C2D09" w:rsidR="00146A93">
        <w:rPr>
          <w:sz w:val="22"/>
          <w:szCs w:val="22"/>
          <w:shd w:val="clear" w:color="auto" w:fill="FFFFFF"/>
        </w:rPr>
        <w:t xml:space="preserve"> and the carrier</w:t>
      </w:r>
      <w:r w:rsidRPr="001C2D09" w:rsidR="00964C70">
        <w:rPr>
          <w:sz w:val="22"/>
          <w:szCs w:val="22"/>
          <w:shd w:val="clear" w:color="auto" w:fill="FFFFFF"/>
        </w:rPr>
        <w:t>’</w:t>
      </w:r>
      <w:r w:rsidRPr="001C2D09" w:rsidR="00146A93">
        <w:rPr>
          <w:sz w:val="22"/>
          <w:szCs w:val="22"/>
          <w:shd w:val="clear" w:color="auto" w:fill="FFFFFF"/>
        </w:rPr>
        <w:t xml:space="preserve">s internal systems permit the request to be filled within that time frame. </w:t>
      </w:r>
    </w:p>
    <w:p w:rsidR="005C5E02" w:rsidRPr="001C2D09" w:rsidP="00AE1822" w14:paraId="674D0415" w14:textId="32CA0038">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AE1822">
        <w:rPr>
          <w:sz w:val="22"/>
          <w:szCs w:val="22"/>
          <w:shd w:val="clear" w:color="auto" w:fill="FFFFFF"/>
        </w:rPr>
        <w:tab/>
      </w:r>
      <w:r w:rsidRPr="001C2D09" w:rsidR="00C4453E">
        <w:rPr>
          <w:sz w:val="22"/>
          <w:szCs w:val="22"/>
          <w:shd w:val="clear" w:color="auto" w:fill="FFFFFF"/>
        </w:rPr>
        <w:t>500</w:t>
      </w:r>
      <w:r w:rsidRPr="001C2D09">
        <w:rPr>
          <w:sz w:val="22"/>
          <w:szCs w:val="22"/>
          <w:shd w:val="clear" w:color="auto" w:fill="FFFFFF"/>
        </w:rPr>
        <w:t xml:space="preserve"> requests for subscriber list information </w:t>
      </w:r>
      <w:r w:rsidRPr="001C2D09" w:rsidR="00724C4A">
        <w:rPr>
          <w:sz w:val="22"/>
          <w:szCs w:val="22"/>
          <w:shd w:val="clear" w:color="auto" w:fill="FFFFFF"/>
        </w:rPr>
        <w:t xml:space="preserve">x </w:t>
      </w:r>
      <w:r w:rsidRPr="001C2D09" w:rsidR="00C4453E">
        <w:rPr>
          <w:sz w:val="22"/>
          <w:szCs w:val="22"/>
          <w:shd w:val="clear" w:color="auto" w:fill="FFFFFF"/>
        </w:rPr>
        <w:t xml:space="preserve">1 </w:t>
      </w:r>
      <w:r w:rsidRPr="001C2D09">
        <w:rPr>
          <w:sz w:val="22"/>
          <w:szCs w:val="22"/>
          <w:shd w:val="clear" w:color="auto" w:fill="FFFFFF"/>
        </w:rPr>
        <w:t>hour</w:t>
      </w:r>
      <w:r w:rsidRPr="001C2D09" w:rsidR="00724C4A">
        <w:rPr>
          <w:sz w:val="22"/>
          <w:szCs w:val="22"/>
          <w:shd w:val="clear" w:color="auto" w:fill="FFFFFF"/>
        </w:rPr>
        <w:t>/</w:t>
      </w:r>
      <w:r w:rsidRPr="001C2D09">
        <w:rPr>
          <w:sz w:val="22"/>
          <w:szCs w:val="22"/>
          <w:shd w:val="clear" w:color="auto" w:fill="FFFFFF"/>
        </w:rPr>
        <w:t>request</w:t>
      </w:r>
      <w:r w:rsidRPr="001C2D09" w:rsidR="00724C4A">
        <w:rPr>
          <w:sz w:val="22"/>
          <w:szCs w:val="22"/>
          <w:shd w:val="clear" w:color="auto" w:fill="FFFFFF"/>
        </w:rPr>
        <w:t xml:space="preserve"> = </w:t>
      </w:r>
      <w:r w:rsidRPr="001C2D09" w:rsidR="00C4453E">
        <w:rPr>
          <w:sz w:val="22"/>
          <w:szCs w:val="22"/>
          <w:shd w:val="clear" w:color="auto" w:fill="FFFFFF"/>
        </w:rPr>
        <w:t>500</w:t>
      </w:r>
      <w:r w:rsidRPr="001C2D09" w:rsidR="007469B9">
        <w:rPr>
          <w:sz w:val="22"/>
          <w:szCs w:val="22"/>
          <w:shd w:val="clear" w:color="auto" w:fill="FFFFFF"/>
        </w:rPr>
        <w:t xml:space="preserve"> </w:t>
      </w:r>
      <w:r w:rsidRPr="001C2D09">
        <w:rPr>
          <w:sz w:val="22"/>
          <w:szCs w:val="22"/>
          <w:shd w:val="clear" w:color="auto" w:fill="FFFFFF"/>
        </w:rPr>
        <w:t>hours</w:t>
      </w:r>
      <w:r w:rsidRPr="001C2D09" w:rsidR="00964C70">
        <w:rPr>
          <w:sz w:val="22"/>
          <w:szCs w:val="22"/>
          <w:shd w:val="clear" w:color="auto" w:fill="FFFFFF"/>
        </w:rPr>
        <w:t xml:space="preserve"> (third party </w:t>
      </w:r>
      <w:r w:rsidRPr="001C2D09" w:rsidR="00AE1822">
        <w:rPr>
          <w:sz w:val="22"/>
          <w:szCs w:val="22"/>
          <w:shd w:val="clear" w:color="auto" w:fill="FFFFFF"/>
        </w:rPr>
        <w:tab/>
      </w:r>
      <w:r w:rsidRPr="001C2D09" w:rsidR="00AE1822">
        <w:rPr>
          <w:sz w:val="22"/>
          <w:szCs w:val="22"/>
          <w:shd w:val="clear" w:color="auto" w:fill="FFFFFF"/>
        </w:rPr>
        <w:tab/>
      </w:r>
      <w:r w:rsidRPr="001C2D09" w:rsidR="00964C70">
        <w:rPr>
          <w:sz w:val="22"/>
          <w:szCs w:val="22"/>
          <w:shd w:val="clear" w:color="auto" w:fill="FFFFFF"/>
        </w:rPr>
        <w:t>responses)</w:t>
      </w:r>
    </w:p>
    <w:p w:rsidR="005C5E02" w:rsidRPr="001C2D09" w:rsidP="00F959D3" w14:paraId="477EA2DD" w14:textId="2F74D8BC">
      <w:pPr>
        <w:tabs>
          <w:tab w:val="left" w:pos="-720"/>
        </w:tabs>
        <w:suppressAutoHyphens/>
        <w:spacing w:after="120"/>
        <w:rPr>
          <w:sz w:val="22"/>
          <w:szCs w:val="22"/>
          <w:shd w:val="clear" w:color="auto" w:fill="FFFFFF"/>
        </w:rPr>
      </w:pPr>
      <w:r w:rsidRPr="001C2D09">
        <w:rPr>
          <w:sz w:val="22"/>
          <w:szCs w:val="22"/>
          <w:shd w:val="clear" w:color="auto" w:fill="FFFFFF"/>
        </w:rPr>
        <w:tab/>
        <w:t>(</w:t>
      </w:r>
      <w:r w:rsidRPr="001C2D09" w:rsidR="008E5E0A">
        <w:rPr>
          <w:sz w:val="22"/>
          <w:szCs w:val="22"/>
          <w:shd w:val="clear" w:color="auto" w:fill="FFFFFF"/>
        </w:rPr>
        <w:t>5</w:t>
      </w:r>
      <w:r w:rsidRPr="001C2D09">
        <w:rPr>
          <w:sz w:val="22"/>
          <w:szCs w:val="22"/>
          <w:shd w:val="clear" w:color="auto" w:fill="FFFFFF"/>
        </w:rPr>
        <w:t>)</w:t>
      </w:r>
      <w:r w:rsidRPr="001C2D09">
        <w:rPr>
          <w:sz w:val="22"/>
          <w:szCs w:val="22"/>
          <w:shd w:val="clear" w:color="auto" w:fill="FFFFFF"/>
        </w:rPr>
        <w:tab/>
        <w:t xml:space="preserve">Total </w:t>
      </w:r>
      <w:r w:rsidRPr="001C2D09" w:rsidR="00F241BE">
        <w:rPr>
          <w:sz w:val="22"/>
          <w:szCs w:val="22"/>
          <w:shd w:val="clear" w:color="auto" w:fill="FFFFFF"/>
        </w:rPr>
        <w:t>“In House” Cost:</w:t>
      </w:r>
      <w:r w:rsidRPr="001C2D09">
        <w:rPr>
          <w:sz w:val="22"/>
          <w:szCs w:val="22"/>
          <w:shd w:val="clear" w:color="auto" w:fill="FFFFFF"/>
        </w:rPr>
        <w:t xml:space="preserve"> </w:t>
      </w:r>
      <w:r w:rsidRPr="001C2D09" w:rsidR="002832AF">
        <w:rPr>
          <w:sz w:val="22"/>
          <w:szCs w:val="22"/>
          <w:shd w:val="clear" w:color="auto" w:fill="FFFFFF"/>
        </w:rPr>
        <w:t xml:space="preserve"> </w:t>
      </w:r>
      <w:r w:rsidRPr="001C2D09">
        <w:rPr>
          <w:sz w:val="22"/>
          <w:szCs w:val="22"/>
          <w:shd w:val="clear" w:color="auto" w:fill="FFFFFF"/>
        </w:rPr>
        <w:t>$</w:t>
      </w:r>
      <w:r w:rsidRPr="001C2D09" w:rsidR="00F25799">
        <w:rPr>
          <w:sz w:val="22"/>
          <w:szCs w:val="22"/>
          <w:shd w:val="clear" w:color="auto" w:fill="FFFFFF"/>
        </w:rPr>
        <w:t>35,016</w:t>
      </w:r>
    </w:p>
    <w:p w:rsidR="00303986" w:rsidRPr="001C2D09" w:rsidP="00F959D3" w14:paraId="4B56EA66" w14:textId="30AB6782">
      <w:pPr>
        <w:tabs>
          <w:tab w:val="left" w:pos="-720"/>
        </w:tabs>
        <w:suppressAutoHyphens/>
        <w:spacing w:after="120"/>
        <w:rPr>
          <w:sz w:val="22"/>
          <w:szCs w:val="22"/>
          <w:shd w:val="clear" w:color="auto" w:fill="FFFFFF"/>
        </w:rPr>
      </w:pPr>
      <w:r w:rsidRPr="001C2D09">
        <w:rPr>
          <w:sz w:val="22"/>
          <w:szCs w:val="22"/>
          <w:shd w:val="clear" w:color="auto" w:fill="FFFFFF"/>
        </w:rPr>
        <w:t>The Commission estimates that the respondent</w:t>
      </w:r>
      <w:r w:rsidRPr="001C2D09" w:rsidR="007A1B37">
        <w:rPr>
          <w:sz w:val="22"/>
          <w:szCs w:val="22"/>
          <w:shd w:val="clear" w:color="auto" w:fill="FFFFFF"/>
        </w:rPr>
        <w:t>s</w:t>
      </w:r>
      <w:r w:rsidRPr="001C2D09">
        <w:rPr>
          <w:sz w:val="22"/>
          <w:szCs w:val="22"/>
          <w:shd w:val="clear" w:color="auto" w:fill="FFFFFF"/>
        </w:rPr>
        <w:t xml:space="preserve"> </w:t>
      </w:r>
      <w:r w:rsidRPr="001C2D09" w:rsidR="006916C5">
        <w:rPr>
          <w:sz w:val="22"/>
          <w:szCs w:val="22"/>
          <w:shd w:val="clear" w:color="auto" w:fill="FFFFFF"/>
        </w:rPr>
        <w:t xml:space="preserve">will use </w:t>
      </w:r>
      <w:r w:rsidRPr="001C2D09" w:rsidR="00074ADA">
        <w:rPr>
          <w:sz w:val="22"/>
          <w:szCs w:val="22"/>
          <w:shd w:val="clear" w:color="auto" w:fill="FFFFFF"/>
        </w:rPr>
        <w:t xml:space="preserve">personnel </w:t>
      </w:r>
      <w:r w:rsidRPr="001C2D09">
        <w:rPr>
          <w:spacing w:val="-3"/>
          <w:sz w:val="22"/>
          <w:szCs w:val="22"/>
          <w:shd w:val="clear" w:color="auto" w:fill="FFFFFF"/>
        </w:rPr>
        <w:t xml:space="preserve">comparable </w:t>
      </w:r>
      <w:r w:rsidRPr="001C2D09" w:rsidR="00C06F83">
        <w:rPr>
          <w:spacing w:val="-3"/>
          <w:sz w:val="22"/>
          <w:szCs w:val="22"/>
          <w:shd w:val="clear" w:color="auto" w:fill="FFFFFF"/>
        </w:rPr>
        <w:t>in pay to a GS-12/Step 5 ($</w:t>
      </w:r>
      <w:r w:rsidRPr="001C2D09" w:rsidR="00AB4A52">
        <w:rPr>
          <w:spacing w:val="-3"/>
          <w:sz w:val="22"/>
          <w:szCs w:val="22"/>
          <w:shd w:val="clear" w:color="auto" w:fill="FFFFFF"/>
        </w:rPr>
        <w:t>53.87</w:t>
      </w:r>
      <w:r w:rsidRPr="001C2D09">
        <w:rPr>
          <w:spacing w:val="-3"/>
          <w:sz w:val="22"/>
          <w:szCs w:val="22"/>
          <w:shd w:val="clear" w:color="auto" w:fill="FFFFFF"/>
        </w:rPr>
        <w:t xml:space="preserve">/hour) Federal employee, </w:t>
      </w:r>
      <w:r w:rsidRPr="001C2D09" w:rsidR="00F9632D">
        <w:rPr>
          <w:spacing w:val="-3"/>
          <w:sz w:val="22"/>
          <w:szCs w:val="22"/>
          <w:shd w:val="clear" w:color="auto" w:fill="FFFFFF"/>
        </w:rPr>
        <w:t>plus</w:t>
      </w:r>
      <w:r w:rsidRPr="001C2D09">
        <w:rPr>
          <w:spacing w:val="-3"/>
          <w:sz w:val="22"/>
          <w:szCs w:val="22"/>
          <w:shd w:val="clear" w:color="auto" w:fill="FFFFFF"/>
        </w:rPr>
        <w:t xml:space="preserve"> 30% overhead, to comply with this requirement </w:t>
      </w:r>
      <w:r w:rsidRPr="001C2D09">
        <w:rPr>
          <w:sz w:val="22"/>
          <w:szCs w:val="22"/>
          <w:shd w:val="clear" w:color="auto" w:fill="FFFFFF"/>
        </w:rPr>
        <w:t xml:space="preserve">to </w:t>
      </w:r>
      <w:r w:rsidRPr="001C2D09" w:rsidR="006916C5">
        <w:rPr>
          <w:sz w:val="22"/>
          <w:szCs w:val="22"/>
          <w:shd w:val="clear" w:color="auto" w:fill="FFFFFF"/>
        </w:rPr>
        <w:t xml:space="preserve">provide the subscriber list information whenever </w:t>
      </w:r>
      <w:r w:rsidRPr="001C2D09">
        <w:rPr>
          <w:sz w:val="22"/>
          <w:szCs w:val="22"/>
          <w:shd w:val="clear" w:color="auto" w:fill="FFFFFF"/>
        </w:rPr>
        <w:t xml:space="preserve">directory </w:t>
      </w:r>
      <w:r w:rsidRPr="001C2D09" w:rsidR="006916C5">
        <w:rPr>
          <w:sz w:val="22"/>
          <w:szCs w:val="22"/>
          <w:shd w:val="clear" w:color="auto" w:fill="FFFFFF"/>
        </w:rPr>
        <w:t>p</w:t>
      </w:r>
      <w:r w:rsidRPr="001C2D09">
        <w:rPr>
          <w:sz w:val="22"/>
          <w:szCs w:val="22"/>
          <w:shd w:val="clear" w:color="auto" w:fill="FFFFFF"/>
        </w:rPr>
        <w:t>ublisher</w:t>
      </w:r>
      <w:r w:rsidRPr="001C2D09" w:rsidR="009B7DEB">
        <w:rPr>
          <w:sz w:val="22"/>
          <w:szCs w:val="22"/>
          <w:shd w:val="clear" w:color="auto" w:fill="FFFFFF"/>
        </w:rPr>
        <w:t>s make</w:t>
      </w:r>
      <w:r w:rsidRPr="001C2D09" w:rsidR="006916C5">
        <w:rPr>
          <w:sz w:val="22"/>
          <w:szCs w:val="22"/>
          <w:shd w:val="clear" w:color="auto" w:fill="FFFFFF"/>
        </w:rPr>
        <w:t xml:space="preserve"> such </w:t>
      </w:r>
      <w:r w:rsidRPr="001C2D09">
        <w:rPr>
          <w:sz w:val="22"/>
          <w:szCs w:val="22"/>
          <w:shd w:val="clear" w:color="auto" w:fill="FFFFFF"/>
        </w:rPr>
        <w:t>request</w:t>
      </w:r>
      <w:r w:rsidRPr="001C2D09" w:rsidR="009B7DEB">
        <w:rPr>
          <w:sz w:val="22"/>
          <w:szCs w:val="22"/>
          <w:shd w:val="clear" w:color="auto" w:fill="FFFFFF"/>
        </w:rPr>
        <w:t>s</w:t>
      </w:r>
      <w:r w:rsidRPr="001C2D09">
        <w:rPr>
          <w:sz w:val="22"/>
          <w:szCs w:val="22"/>
          <w:shd w:val="clear" w:color="auto" w:fill="FFFFFF"/>
        </w:rPr>
        <w:t xml:space="preserve">.  </w:t>
      </w:r>
    </w:p>
    <w:p w:rsidR="00303986" w:rsidRPr="001C2D09" w:rsidP="008D4595" w14:paraId="0CB4D15D" w14:textId="60D3A6EA">
      <w:pPr>
        <w:keepNext/>
        <w:tabs>
          <w:tab w:val="left" w:pos="-720"/>
        </w:tabs>
        <w:suppressAutoHyphens/>
        <w:rPr>
          <w:sz w:val="22"/>
          <w:szCs w:val="22"/>
          <w:shd w:val="clear" w:color="auto" w:fill="FFFFFF"/>
        </w:rPr>
      </w:pPr>
      <w:r w:rsidRPr="001C2D09">
        <w:rPr>
          <w:sz w:val="22"/>
          <w:szCs w:val="22"/>
          <w:shd w:val="clear" w:color="auto" w:fill="FFFFFF"/>
        </w:rPr>
        <w:tab/>
      </w:r>
      <w:r w:rsidRPr="001C2D09" w:rsidR="00A06161">
        <w:rPr>
          <w:sz w:val="22"/>
          <w:szCs w:val="22"/>
          <w:shd w:val="clear" w:color="auto" w:fill="FFFFFF"/>
        </w:rPr>
        <w:tab/>
      </w:r>
      <w:r w:rsidRPr="001C2D09" w:rsidR="008C1906">
        <w:rPr>
          <w:sz w:val="22"/>
          <w:szCs w:val="22"/>
          <w:shd w:val="clear" w:color="auto" w:fill="FFFFFF"/>
        </w:rPr>
        <w:t>500</w:t>
      </w:r>
      <w:r w:rsidRPr="001C2D09" w:rsidR="007A38EB">
        <w:rPr>
          <w:sz w:val="22"/>
          <w:szCs w:val="22"/>
          <w:shd w:val="clear" w:color="auto" w:fill="FFFFFF"/>
        </w:rPr>
        <w:t xml:space="preserve"> </w:t>
      </w:r>
      <w:r w:rsidRPr="001C2D09">
        <w:rPr>
          <w:sz w:val="22"/>
          <w:szCs w:val="22"/>
          <w:shd w:val="clear" w:color="auto" w:fill="FFFFFF"/>
        </w:rPr>
        <w:t xml:space="preserve">hours/subscriber </w:t>
      </w:r>
      <w:r w:rsidRPr="001C2D09" w:rsidR="00C06F83">
        <w:rPr>
          <w:sz w:val="22"/>
          <w:szCs w:val="22"/>
          <w:shd w:val="clear" w:color="auto" w:fill="FFFFFF"/>
        </w:rPr>
        <w:t>list information request x $</w:t>
      </w:r>
      <w:r w:rsidRPr="001C2D09" w:rsidR="00AB4A52">
        <w:rPr>
          <w:sz w:val="22"/>
          <w:szCs w:val="22"/>
          <w:shd w:val="clear" w:color="auto" w:fill="FFFFFF"/>
        </w:rPr>
        <w:t>53.87</w:t>
      </w:r>
      <w:r w:rsidRPr="001C2D09">
        <w:rPr>
          <w:sz w:val="22"/>
          <w:szCs w:val="22"/>
          <w:shd w:val="clear" w:color="auto" w:fill="FFFFFF"/>
        </w:rPr>
        <w:t>/hour</w:t>
      </w:r>
      <w:r w:rsidRPr="001C2D09" w:rsidR="00F959D3">
        <w:rPr>
          <w:sz w:val="22"/>
          <w:szCs w:val="22"/>
          <w:shd w:val="clear" w:color="auto" w:fill="FFFFFF"/>
        </w:rPr>
        <w:t xml:space="preserve">   </w:t>
      </w:r>
      <w:r w:rsidRPr="001C2D09">
        <w:rPr>
          <w:sz w:val="22"/>
          <w:szCs w:val="22"/>
          <w:shd w:val="clear" w:color="auto" w:fill="FFFFFF"/>
        </w:rPr>
        <w:t xml:space="preserve"> = $</w:t>
      </w:r>
      <w:r w:rsidRPr="001C2D09" w:rsidR="00F25799">
        <w:rPr>
          <w:sz w:val="22"/>
          <w:szCs w:val="22"/>
          <w:shd w:val="clear" w:color="auto" w:fill="FFFFFF"/>
        </w:rPr>
        <w:t>26,935</w:t>
      </w:r>
      <w:r w:rsidRPr="001C2D09" w:rsidR="00466C8C">
        <w:rPr>
          <w:sz w:val="22"/>
          <w:szCs w:val="22"/>
          <w:shd w:val="clear" w:color="auto" w:fill="FFFFFF"/>
        </w:rPr>
        <w:t xml:space="preserve"> </w:t>
      </w:r>
    </w:p>
    <w:p w:rsidR="00303986" w:rsidRPr="001C2D09" w:rsidP="008D4595" w14:paraId="0FD089F8" w14:textId="4697054E">
      <w:pPr>
        <w:keepNext/>
        <w:tabs>
          <w:tab w:val="left" w:pos="-720"/>
        </w:tabs>
        <w:suppressAutoHyphens/>
        <w:rPr>
          <w:sz w:val="22"/>
          <w:szCs w:val="22"/>
          <w:shd w:val="clear" w:color="auto" w:fill="FFFFFF"/>
        </w:rPr>
      </w:pPr>
      <w:r w:rsidRPr="001C2D09">
        <w:rPr>
          <w:sz w:val="22"/>
          <w:szCs w:val="22"/>
          <w:shd w:val="clear" w:color="auto" w:fill="FFFFFF"/>
        </w:rPr>
        <w:tab/>
      </w:r>
      <w:r w:rsidRPr="001C2D09">
        <w:rPr>
          <w:sz w:val="22"/>
          <w:szCs w:val="22"/>
          <w:shd w:val="clear" w:color="auto" w:fill="FFFFFF"/>
        </w:rPr>
        <w:tab/>
      </w:r>
      <w:r w:rsidRPr="001C2D09" w:rsidR="00A06161">
        <w:rPr>
          <w:sz w:val="22"/>
          <w:szCs w:val="22"/>
          <w:shd w:val="clear" w:color="auto" w:fill="FFFFFF"/>
        </w:rPr>
        <w:tab/>
      </w:r>
      <w:r w:rsidRPr="001C2D09" w:rsidR="00610973">
        <w:rPr>
          <w:sz w:val="22"/>
          <w:szCs w:val="22"/>
          <w:shd w:val="clear" w:color="auto" w:fill="FFFFFF"/>
        </w:rPr>
        <w:tab/>
      </w:r>
      <w:r w:rsidRPr="001C2D09" w:rsidR="00610973">
        <w:rPr>
          <w:sz w:val="22"/>
          <w:szCs w:val="22"/>
          <w:shd w:val="clear" w:color="auto" w:fill="FFFFFF"/>
        </w:rPr>
        <w:tab/>
      </w:r>
      <w:r w:rsidRPr="001C2D09" w:rsidR="00610973">
        <w:rPr>
          <w:sz w:val="22"/>
          <w:szCs w:val="22"/>
          <w:shd w:val="clear" w:color="auto" w:fill="FFFFFF"/>
        </w:rPr>
        <w:tab/>
      </w:r>
      <w:r w:rsidRPr="001C2D09">
        <w:rPr>
          <w:sz w:val="22"/>
          <w:szCs w:val="22"/>
          <w:shd w:val="clear" w:color="auto" w:fill="FFFFFF"/>
        </w:rPr>
        <w:tab/>
      </w:r>
      <w:r w:rsidRPr="001C2D09" w:rsidR="00FA5072">
        <w:rPr>
          <w:sz w:val="22"/>
          <w:szCs w:val="22"/>
          <w:shd w:val="clear" w:color="auto" w:fill="FFFFFF"/>
        </w:rPr>
        <w:t xml:space="preserve">           </w:t>
      </w:r>
      <w:r w:rsidRPr="001C2D09">
        <w:rPr>
          <w:sz w:val="22"/>
          <w:szCs w:val="22"/>
          <w:shd w:val="clear" w:color="auto" w:fill="FFFFFF"/>
        </w:rPr>
        <w:t xml:space="preserve">30% </w:t>
      </w:r>
      <w:r w:rsidRPr="001C2D09" w:rsidR="00427075">
        <w:rPr>
          <w:sz w:val="22"/>
          <w:szCs w:val="22"/>
          <w:shd w:val="clear" w:color="auto" w:fill="FFFFFF"/>
        </w:rPr>
        <w:t>o</w:t>
      </w:r>
      <w:r w:rsidRPr="001C2D09">
        <w:rPr>
          <w:sz w:val="22"/>
          <w:szCs w:val="22"/>
          <w:shd w:val="clear" w:color="auto" w:fill="FFFFFF"/>
        </w:rPr>
        <w:t xml:space="preserve">verhead = </w:t>
      </w:r>
      <w:r w:rsidRPr="001C2D09">
        <w:rPr>
          <w:sz w:val="22"/>
          <w:szCs w:val="22"/>
          <w:u w:val="single"/>
          <w:shd w:val="clear" w:color="auto" w:fill="FFFFFF"/>
        </w:rPr>
        <w:t>$</w:t>
      </w:r>
      <w:r w:rsidRPr="001C2D09" w:rsidR="00F25799">
        <w:rPr>
          <w:sz w:val="22"/>
          <w:szCs w:val="22"/>
          <w:u w:val="single"/>
          <w:shd w:val="clear" w:color="auto" w:fill="FFFFFF"/>
        </w:rPr>
        <w:t>8,081</w:t>
      </w:r>
      <w:r w:rsidRPr="001C2D09" w:rsidR="00466C8C">
        <w:rPr>
          <w:sz w:val="22"/>
          <w:szCs w:val="22"/>
          <w:u w:val="single"/>
          <w:shd w:val="clear" w:color="auto" w:fill="FFFFFF"/>
        </w:rPr>
        <w:t xml:space="preserve"> </w:t>
      </w:r>
    </w:p>
    <w:p w:rsidR="00C25310" w:rsidRPr="001C2D09" w:rsidP="009F2C8C" w14:paraId="5C2727EA" w14:textId="2AB34EBD">
      <w:pPr>
        <w:keepNext/>
        <w:tabs>
          <w:tab w:val="left" w:pos="-720"/>
        </w:tabs>
        <w:suppressAutoHyphens/>
        <w:spacing w:after="240"/>
        <w:rPr>
          <w:sz w:val="22"/>
          <w:szCs w:val="22"/>
          <w:shd w:val="clear" w:color="auto" w:fill="FFFFFF"/>
        </w:rPr>
      </w:pPr>
      <w:r w:rsidRPr="001C2D09">
        <w:rPr>
          <w:sz w:val="22"/>
          <w:szCs w:val="22"/>
          <w:shd w:val="clear" w:color="auto" w:fill="FFFFFF"/>
        </w:rPr>
        <w:tab/>
      </w:r>
      <w:r w:rsidRPr="001C2D09" w:rsidR="00A06161">
        <w:rPr>
          <w:sz w:val="22"/>
          <w:szCs w:val="22"/>
          <w:shd w:val="clear" w:color="auto" w:fill="FFFFFF"/>
        </w:rPr>
        <w:tab/>
      </w:r>
      <w:r w:rsidRPr="001C2D09" w:rsidR="00610973">
        <w:rPr>
          <w:sz w:val="22"/>
          <w:szCs w:val="22"/>
          <w:shd w:val="clear" w:color="auto" w:fill="FFFFFF"/>
        </w:rPr>
        <w:tab/>
      </w:r>
      <w:r w:rsidRPr="001C2D09" w:rsidR="00610973">
        <w:rPr>
          <w:sz w:val="22"/>
          <w:szCs w:val="22"/>
          <w:shd w:val="clear" w:color="auto" w:fill="FFFFFF"/>
        </w:rPr>
        <w:tab/>
      </w:r>
      <w:r w:rsidRPr="001C2D09" w:rsidR="00610973">
        <w:rPr>
          <w:sz w:val="22"/>
          <w:szCs w:val="22"/>
          <w:shd w:val="clear" w:color="auto" w:fill="FFFFFF"/>
        </w:rPr>
        <w:tab/>
      </w:r>
      <w:r w:rsidRPr="001C2D09" w:rsidR="00610973">
        <w:rPr>
          <w:sz w:val="22"/>
          <w:szCs w:val="22"/>
          <w:shd w:val="clear" w:color="auto" w:fill="FFFFFF"/>
        </w:rPr>
        <w:tab/>
      </w:r>
      <w:r w:rsidRPr="001C2D09" w:rsidR="00610973">
        <w:rPr>
          <w:sz w:val="22"/>
          <w:szCs w:val="22"/>
          <w:shd w:val="clear" w:color="auto" w:fill="FFFFFF"/>
        </w:rPr>
        <w:tab/>
      </w:r>
      <w:r w:rsidRPr="001C2D09" w:rsidR="00610973">
        <w:rPr>
          <w:sz w:val="22"/>
          <w:szCs w:val="22"/>
          <w:shd w:val="clear" w:color="auto" w:fill="FFFFFF"/>
        </w:rPr>
        <w:tab/>
      </w:r>
      <w:r w:rsidRPr="001C2D09" w:rsidR="00FA5072">
        <w:rPr>
          <w:sz w:val="22"/>
          <w:szCs w:val="22"/>
          <w:shd w:val="clear" w:color="auto" w:fill="FFFFFF"/>
        </w:rPr>
        <w:t xml:space="preserve">          </w:t>
      </w:r>
      <w:r w:rsidRPr="001C2D09" w:rsidR="00FE602D">
        <w:rPr>
          <w:sz w:val="22"/>
          <w:szCs w:val="22"/>
          <w:shd w:val="clear" w:color="auto" w:fill="FFFFFF"/>
        </w:rPr>
        <w:t>T</w:t>
      </w:r>
      <w:r w:rsidRPr="001C2D09">
        <w:rPr>
          <w:sz w:val="22"/>
          <w:szCs w:val="22"/>
          <w:shd w:val="clear" w:color="auto" w:fill="FFFFFF"/>
        </w:rPr>
        <w:t xml:space="preserve">otal: </w:t>
      </w:r>
      <w:r w:rsidRPr="001C2D09" w:rsidR="00FE602D">
        <w:rPr>
          <w:sz w:val="22"/>
          <w:szCs w:val="22"/>
          <w:shd w:val="clear" w:color="auto" w:fill="FFFFFF"/>
        </w:rPr>
        <w:t xml:space="preserve">   </w:t>
      </w:r>
      <w:r w:rsidRPr="001C2D09">
        <w:rPr>
          <w:sz w:val="22"/>
          <w:szCs w:val="22"/>
          <w:shd w:val="clear" w:color="auto" w:fill="FFFFFF"/>
        </w:rPr>
        <w:t>$</w:t>
      </w:r>
      <w:r w:rsidRPr="001C2D09" w:rsidR="00F25799">
        <w:rPr>
          <w:sz w:val="22"/>
          <w:szCs w:val="22"/>
          <w:shd w:val="clear" w:color="auto" w:fill="FFFFFF"/>
        </w:rPr>
        <w:t>35,016</w:t>
      </w:r>
      <w:r w:rsidRPr="001C2D09" w:rsidR="00E460F3">
        <w:rPr>
          <w:b/>
          <w:bCs/>
          <w:sz w:val="22"/>
          <w:szCs w:val="22"/>
          <w:shd w:val="clear" w:color="auto" w:fill="FFFFFF"/>
        </w:rPr>
        <w:tab/>
      </w:r>
    </w:p>
    <w:p w:rsidR="005C5E02" w:rsidRPr="001C2D09" w:rsidP="00CC6687" w14:paraId="77916CB2" w14:textId="128D01C9">
      <w:pPr>
        <w:keepNext/>
        <w:tabs>
          <w:tab w:val="left" w:pos="-720"/>
        </w:tabs>
        <w:suppressAutoHyphens/>
        <w:spacing w:after="120"/>
        <w:rPr>
          <w:b/>
          <w:bCs/>
          <w:sz w:val="22"/>
          <w:szCs w:val="22"/>
          <w:shd w:val="clear" w:color="auto" w:fill="FFFFFF"/>
        </w:rPr>
      </w:pPr>
      <w:r>
        <w:rPr>
          <w:b/>
          <w:bCs/>
          <w:sz w:val="22"/>
          <w:szCs w:val="22"/>
          <w:shd w:val="clear" w:color="auto" w:fill="FFFFFF"/>
        </w:rPr>
        <w:t>(</w:t>
      </w:r>
      <w:r w:rsidRPr="001C2D09" w:rsidR="00F37B0B">
        <w:rPr>
          <w:b/>
          <w:bCs/>
          <w:sz w:val="22"/>
          <w:szCs w:val="22"/>
          <w:shd w:val="clear" w:color="auto" w:fill="FFFFFF"/>
        </w:rPr>
        <w:t>l</w:t>
      </w:r>
      <w:r>
        <w:rPr>
          <w:b/>
          <w:bCs/>
          <w:sz w:val="22"/>
          <w:szCs w:val="22"/>
          <w:shd w:val="clear" w:color="auto" w:fill="FFFFFF"/>
        </w:rPr>
        <w:t>)</w:t>
      </w:r>
      <w:r w:rsidRPr="001C2D09" w:rsidR="00793CC1">
        <w:rPr>
          <w:b/>
          <w:bCs/>
          <w:sz w:val="22"/>
          <w:szCs w:val="22"/>
          <w:shd w:val="clear" w:color="auto" w:fill="FFFFFF"/>
        </w:rPr>
        <w:tab/>
      </w:r>
      <w:r w:rsidRPr="001C2D09" w:rsidR="001D25CE">
        <w:rPr>
          <w:b/>
          <w:bCs/>
          <w:sz w:val="22"/>
          <w:szCs w:val="22"/>
          <w:shd w:val="clear" w:color="auto" w:fill="FFFFFF"/>
        </w:rPr>
        <w:t>Disclosure of Contract Rates, Terms, and Conditions and Recordkeeping.</w:t>
      </w:r>
      <w:r w:rsidRPr="001C2D09" w:rsidR="00192EE1">
        <w:rPr>
          <w:b/>
          <w:bCs/>
          <w:sz w:val="22"/>
          <w:szCs w:val="22"/>
          <w:shd w:val="clear" w:color="auto" w:fill="FFFFFF"/>
        </w:rPr>
        <w:t xml:space="preserve">  </w:t>
      </w:r>
    </w:p>
    <w:p w:rsidR="005C5E02" w:rsidRPr="001C2D09" w:rsidP="201C1D70" w14:paraId="2AC4E3F5" w14:textId="4CBEDF77">
      <w:pPr>
        <w:suppressAutoHyphens/>
        <w:spacing w:after="120"/>
        <w:rPr>
          <w:sz w:val="22"/>
          <w:szCs w:val="22"/>
          <w:shd w:val="clear" w:color="auto" w:fill="FFFFFF"/>
        </w:rPr>
      </w:pPr>
      <w:r w:rsidRPr="001C2D09">
        <w:rPr>
          <w:sz w:val="22"/>
          <w:szCs w:val="22"/>
          <w:shd w:val="clear" w:color="auto" w:fill="FFFFFF"/>
        </w:rPr>
        <w:tab/>
        <w:t>(1)</w:t>
      </w:r>
      <w:r w:rsidRPr="001C2D09">
        <w:rPr>
          <w:sz w:val="22"/>
          <w:szCs w:val="22"/>
          <w:shd w:val="clear" w:color="auto" w:fill="FFFFFF"/>
        </w:rPr>
        <w:tab/>
      </w:r>
      <w:r w:rsidRPr="001C2D09" w:rsidR="00793CC1">
        <w:rPr>
          <w:sz w:val="22"/>
          <w:szCs w:val="22"/>
          <w:shd w:val="clear" w:color="auto" w:fill="FFFFFF"/>
        </w:rPr>
        <w:t>N</w:t>
      </w:r>
      <w:r w:rsidRPr="001C2D09">
        <w:rPr>
          <w:sz w:val="22"/>
          <w:szCs w:val="22"/>
          <w:shd w:val="clear" w:color="auto" w:fill="FFFFFF"/>
        </w:rPr>
        <w:t xml:space="preserve">umber of </w:t>
      </w:r>
      <w:r w:rsidRPr="001C2D09" w:rsidR="00793CC1">
        <w:rPr>
          <w:sz w:val="22"/>
          <w:szCs w:val="22"/>
          <w:shd w:val="clear" w:color="auto" w:fill="FFFFFF"/>
        </w:rPr>
        <w:t>R</w:t>
      </w:r>
      <w:r w:rsidRPr="001C2D09">
        <w:rPr>
          <w:sz w:val="22"/>
          <w:szCs w:val="22"/>
          <w:shd w:val="clear" w:color="auto" w:fill="FFFFFF"/>
        </w:rPr>
        <w:t xml:space="preserve">espondents: </w:t>
      </w:r>
      <w:r w:rsidRPr="001C2D09" w:rsidR="00E460F3">
        <w:rPr>
          <w:sz w:val="22"/>
          <w:szCs w:val="22"/>
          <w:shd w:val="clear" w:color="auto" w:fill="FFFFFF"/>
        </w:rPr>
        <w:t xml:space="preserve"> </w:t>
      </w:r>
      <w:r w:rsidRPr="001C2D09" w:rsidR="00B3560F">
        <w:rPr>
          <w:sz w:val="22"/>
          <w:szCs w:val="22"/>
        </w:rPr>
        <w:t>500</w:t>
      </w:r>
    </w:p>
    <w:p w:rsidR="006F0FA7" w:rsidRPr="001C2D09" w:rsidP="00C77414" w14:paraId="25A384C1" w14:textId="646E6554">
      <w:pPr>
        <w:tabs>
          <w:tab w:val="left" w:pos="-720"/>
        </w:tabs>
        <w:suppressAutoHyphens/>
        <w:rPr>
          <w:sz w:val="22"/>
          <w:szCs w:val="22"/>
          <w:shd w:val="clear" w:color="auto" w:fill="FFFFFF"/>
        </w:rPr>
      </w:pPr>
      <w:r w:rsidRPr="001C2D09">
        <w:rPr>
          <w:sz w:val="22"/>
          <w:szCs w:val="22"/>
          <w:shd w:val="clear" w:color="auto" w:fill="FFFFFF"/>
        </w:rPr>
        <w:tab/>
      </w:r>
      <w:r w:rsidRPr="001C2D09" w:rsidR="005C5E02">
        <w:rPr>
          <w:sz w:val="22"/>
          <w:szCs w:val="22"/>
          <w:shd w:val="clear" w:color="auto" w:fill="FFFFFF"/>
        </w:rPr>
        <w:t>(2)</w:t>
      </w:r>
      <w:r w:rsidRPr="001C2D09">
        <w:rPr>
          <w:sz w:val="22"/>
          <w:szCs w:val="22"/>
          <w:shd w:val="clear" w:color="auto" w:fill="FFFFFF"/>
        </w:rPr>
        <w:tab/>
      </w:r>
      <w:r w:rsidRPr="001C2D09" w:rsidR="005C5E02">
        <w:rPr>
          <w:sz w:val="22"/>
          <w:szCs w:val="22"/>
          <w:shd w:val="clear" w:color="auto" w:fill="FFFFFF"/>
        </w:rPr>
        <w:t>Frequency of response</w:t>
      </w:r>
      <w:r w:rsidRPr="001C2D09">
        <w:rPr>
          <w:sz w:val="22"/>
          <w:szCs w:val="22"/>
          <w:shd w:val="clear" w:color="auto" w:fill="FFFFFF"/>
        </w:rPr>
        <w:t xml:space="preserve">: </w:t>
      </w:r>
      <w:r w:rsidRPr="001C2D09" w:rsidR="00E460F3">
        <w:rPr>
          <w:sz w:val="22"/>
          <w:szCs w:val="22"/>
          <w:shd w:val="clear" w:color="auto" w:fill="FFFFFF"/>
        </w:rPr>
        <w:t xml:space="preserve"> </w:t>
      </w:r>
      <w:r w:rsidRPr="001C2D09" w:rsidR="00BB6DB9">
        <w:rPr>
          <w:sz w:val="22"/>
          <w:szCs w:val="22"/>
          <w:shd w:val="clear" w:color="auto" w:fill="FFFFFF"/>
        </w:rPr>
        <w:t>Re</w:t>
      </w:r>
      <w:r w:rsidRPr="001C2D09">
        <w:rPr>
          <w:sz w:val="22"/>
          <w:szCs w:val="22"/>
          <w:shd w:val="clear" w:color="auto" w:fill="FFFFFF"/>
        </w:rPr>
        <w:t>cordkeeping</w:t>
      </w:r>
      <w:r w:rsidRPr="001C2D09" w:rsidR="00264097">
        <w:rPr>
          <w:sz w:val="22"/>
          <w:szCs w:val="22"/>
          <w:shd w:val="clear" w:color="auto" w:fill="FFFFFF"/>
        </w:rPr>
        <w:t xml:space="preserve"> requirements</w:t>
      </w:r>
      <w:r w:rsidRPr="001C2D09" w:rsidR="002C499B">
        <w:rPr>
          <w:sz w:val="22"/>
          <w:szCs w:val="22"/>
          <w:shd w:val="clear" w:color="auto" w:fill="FFFFFF"/>
        </w:rPr>
        <w:t xml:space="preserve">; </w:t>
      </w:r>
      <w:r w:rsidRPr="001C2D09" w:rsidR="00D41515">
        <w:rPr>
          <w:sz w:val="22"/>
          <w:szCs w:val="22"/>
          <w:shd w:val="clear" w:color="auto" w:fill="FFFFFF"/>
        </w:rPr>
        <w:t>th</w:t>
      </w:r>
      <w:r w:rsidRPr="001C2D09" w:rsidR="002C499B">
        <w:rPr>
          <w:sz w:val="22"/>
          <w:szCs w:val="22"/>
          <w:shd w:val="clear" w:color="auto" w:fill="FFFFFF"/>
        </w:rPr>
        <w:t>ird party disclosure</w:t>
      </w:r>
    </w:p>
    <w:p w:rsidR="00BB7FCF" w:rsidRPr="001C2D09" w:rsidP="00C77414" w14:paraId="6E5018DD" w14:textId="5D5DAA0B">
      <w:pPr>
        <w:tabs>
          <w:tab w:val="left" w:pos="-720"/>
        </w:tabs>
        <w:suppressAutoHyphens/>
        <w:spacing w:after="120"/>
        <w:rPr>
          <w:sz w:val="22"/>
          <w:szCs w:val="22"/>
          <w:shd w:val="clear" w:color="auto" w:fill="FFFFFF"/>
        </w:rPr>
      </w:pPr>
      <w:r w:rsidRPr="001C2D09">
        <w:rPr>
          <w:sz w:val="22"/>
          <w:szCs w:val="22"/>
          <w:shd w:val="clear" w:color="auto" w:fill="FFFFFF"/>
        </w:rPr>
        <w:tab/>
        <w:t>(3)</w:t>
      </w:r>
      <w:r w:rsidRPr="001C2D09">
        <w:rPr>
          <w:sz w:val="22"/>
          <w:szCs w:val="22"/>
          <w:shd w:val="clear" w:color="auto" w:fill="FFFFFF"/>
        </w:rPr>
        <w:tab/>
        <w:t xml:space="preserve">Total Number of Responses Annually: </w:t>
      </w:r>
      <w:r w:rsidRPr="001C2D09" w:rsidR="00E460F3">
        <w:rPr>
          <w:sz w:val="22"/>
          <w:szCs w:val="22"/>
          <w:shd w:val="clear" w:color="auto" w:fill="FFFFFF"/>
        </w:rPr>
        <w:t xml:space="preserve"> </w:t>
      </w:r>
      <w:r w:rsidRPr="001C2D09" w:rsidR="00CC1EB2">
        <w:rPr>
          <w:sz w:val="22"/>
          <w:szCs w:val="22"/>
          <w:shd w:val="clear" w:color="auto" w:fill="FFFFFF"/>
        </w:rPr>
        <w:t xml:space="preserve"> </w:t>
      </w:r>
      <w:r w:rsidRPr="001C2D09" w:rsidR="007E0BB0">
        <w:rPr>
          <w:sz w:val="22"/>
          <w:szCs w:val="22"/>
          <w:shd w:val="clear" w:color="auto" w:fill="FFFFFF"/>
        </w:rPr>
        <w:t>2,000</w:t>
      </w:r>
      <w:r w:rsidRPr="001C2D09" w:rsidR="002B6A1B">
        <w:rPr>
          <w:sz w:val="22"/>
          <w:szCs w:val="22"/>
          <w:shd w:val="clear" w:color="auto" w:fill="FFFFFF"/>
        </w:rPr>
        <w:t xml:space="preserve"> </w:t>
      </w:r>
      <w:r w:rsidRPr="001C2D09" w:rsidR="00CC1EB2">
        <w:rPr>
          <w:sz w:val="22"/>
          <w:szCs w:val="22"/>
          <w:shd w:val="clear" w:color="auto" w:fill="FFFFFF"/>
        </w:rPr>
        <w:t xml:space="preserve">responses (recordkeeping and third party </w:t>
      </w:r>
      <w:r w:rsidRPr="001C2D09">
        <w:rPr>
          <w:sz w:val="22"/>
          <w:szCs w:val="22"/>
          <w:shd w:val="clear" w:color="auto" w:fill="FFFFFF"/>
        </w:rPr>
        <w:tab/>
      </w:r>
      <w:r w:rsidRPr="001C2D09">
        <w:rPr>
          <w:sz w:val="22"/>
          <w:szCs w:val="22"/>
          <w:shd w:val="clear" w:color="auto" w:fill="FFFFFF"/>
        </w:rPr>
        <w:tab/>
      </w:r>
      <w:r w:rsidRPr="001C2D09">
        <w:rPr>
          <w:sz w:val="22"/>
          <w:szCs w:val="22"/>
          <w:shd w:val="clear" w:color="auto" w:fill="FFFFFF"/>
        </w:rPr>
        <w:tab/>
      </w:r>
      <w:r w:rsidRPr="001C2D09" w:rsidR="00CC1EB2">
        <w:rPr>
          <w:sz w:val="22"/>
          <w:szCs w:val="22"/>
          <w:shd w:val="clear" w:color="auto" w:fill="FFFFFF"/>
        </w:rPr>
        <w:t>responses)</w:t>
      </w:r>
    </w:p>
    <w:p w:rsidR="006050E4" w:rsidRPr="001C2D09" w:rsidP="00C77414" w14:paraId="75C7BB01" w14:textId="6AE77694">
      <w:pPr>
        <w:spacing w:after="120"/>
        <w:rPr>
          <w:spacing w:val="-3"/>
          <w:sz w:val="22"/>
          <w:szCs w:val="22"/>
          <w:shd w:val="clear" w:color="auto" w:fill="FFFFFF"/>
        </w:rPr>
      </w:pPr>
      <w:r w:rsidRPr="001C2D09">
        <w:rPr>
          <w:spacing w:val="-3"/>
          <w:sz w:val="22"/>
          <w:szCs w:val="22"/>
          <w:shd w:val="clear" w:color="auto" w:fill="FFFFFF"/>
        </w:rPr>
        <w:t>T</w:t>
      </w:r>
      <w:r w:rsidRPr="001C2D09" w:rsidR="002C499B">
        <w:rPr>
          <w:spacing w:val="-3"/>
          <w:sz w:val="22"/>
          <w:szCs w:val="22"/>
          <w:shd w:val="clear" w:color="auto" w:fill="FFFFFF"/>
        </w:rPr>
        <w:t>he</w:t>
      </w:r>
      <w:r w:rsidRPr="001C2D09" w:rsidR="002B20AC">
        <w:rPr>
          <w:spacing w:val="-3"/>
          <w:sz w:val="22"/>
          <w:szCs w:val="22"/>
          <w:shd w:val="clear" w:color="auto" w:fill="FFFFFF"/>
        </w:rPr>
        <w:t>r</w:t>
      </w:r>
      <w:r w:rsidRPr="001C2D09" w:rsidR="002C499B">
        <w:rPr>
          <w:spacing w:val="-3"/>
          <w:sz w:val="22"/>
          <w:szCs w:val="22"/>
          <w:shd w:val="clear" w:color="auto" w:fill="FFFFFF"/>
        </w:rPr>
        <w:t xml:space="preserve">e are two recordkeeping requirements and one </w:t>
      </w:r>
      <w:r w:rsidRPr="001C2D09" w:rsidR="009559F6">
        <w:rPr>
          <w:spacing w:val="-3"/>
          <w:sz w:val="22"/>
          <w:szCs w:val="22"/>
          <w:shd w:val="clear" w:color="auto" w:fill="FFFFFF"/>
        </w:rPr>
        <w:t xml:space="preserve">third party </w:t>
      </w:r>
      <w:r w:rsidRPr="001C2D09" w:rsidR="002C499B">
        <w:rPr>
          <w:spacing w:val="-3"/>
          <w:sz w:val="22"/>
          <w:szCs w:val="22"/>
          <w:shd w:val="clear" w:color="auto" w:fill="FFFFFF"/>
        </w:rPr>
        <w:t>disclosure requirement for respondent</w:t>
      </w:r>
      <w:r w:rsidRPr="001C2D09" w:rsidR="002513FC">
        <w:rPr>
          <w:spacing w:val="-3"/>
          <w:sz w:val="22"/>
          <w:szCs w:val="22"/>
          <w:shd w:val="clear" w:color="auto" w:fill="FFFFFF"/>
        </w:rPr>
        <w:t>s</w:t>
      </w:r>
      <w:r w:rsidRPr="001C2D09" w:rsidR="00E460F3">
        <w:rPr>
          <w:spacing w:val="-3"/>
          <w:sz w:val="22"/>
          <w:szCs w:val="22"/>
          <w:shd w:val="clear" w:color="auto" w:fill="FFFFFF"/>
        </w:rPr>
        <w:t>,</w:t>
      </w:r>
      <w:r w:rsidRPr="001C2D09" w:rsidR="00A46B31">
        <w:rPr>
          <w:spacing w:val="-3"/>
          <w:sz w:val="22"/>
          <w:szCs w:val="22"/>
          <w:shd w:val="clear" w:color="auto" w:fill="FFFFFF"/>
        </w:rPr>
        <w:t xml:space="preserve"> </w:t>
      </w:r>
      <w:r w:rsidRPr="001C2D09" w:rsidR="00784746">
        <w:rPr>
          <w:spacing w:val="-3"/>
          <w:sz w:val="22"/>
          <w:szCs w:val="22"/>
          <w:shd w:val="clear" w:color="auto" w:fill="FFFFFF"/>
        </w:rPr>
        <w:t xml:space="preserve">as explained </w:t>
      </w:r>
      <w:r w:rsidRPr="001C2D09" w:rsidR="00A46B31">
        <w:rPr>
          <w:spacing w:val="-3"/>
          <w:sz w:val="22"/>
          <w:szCs w:val="22"/>
          <w:shd w:val="clear" w:color="auto" w:fill="FFFFFF"/>
        </w:rPr>
        <w:t>in (a)</w:t>
      </w:r>
      <w:r w:rsidRPr="001C2D09" w:rsidR="00AA4451">
        <w:rPr>
          <w:spacing w:val="-3"/>
          <w:sz w:val="22"/>
          <w:szCs w:val="22"/>
          <w:shd w:val="clear" w:color="auto" w:fill="FFFFFF"/>
        </w:rPr>
        <w:t xml:space="preserve">, </w:t>
      </w:r>
      <w:r w:rsidRPr="001C2D09" w:rsidR="00A46B31">
        <w:rPr>
          <w:spacing w:val="-3"/>
          <w:sz w:val="22"/>
          <w:szCs w:val="22"/>
          <w:shd w:val="clear" w:color="auto" w:fill="FFFFFF"/>
        </w:rPr>
        <w:t>(b)</w:t>
      </w:r>
      <w:r w:rsidRPr="001C2D09" w:rsidR="00AA4451">
        <w:rPr>
          <w:spacing w:val="-3"/>
          <w:sz w:val="22"/>
          <w:szCs w:val="22"/>
          <w:shd w:val="clear" w:color="auto" w:fill="FFFFFF"/>
        </w:rPr>
        <w:t>, and (c)</w:t>
      </w:r>
      <w:r w:rsidRPr="001C2D09" w:rsidR="00A46B31">
        <w:rPr>
          <w:spacing w:val="-3"/>
          <w:sz w:val="22"/>
          <w:szCs w:val="22"/>
          <w:shd w:val="clear" w:color="auto" w:fill="FFFFFF"/>
        </w:rPr>
        <w:t xml:space="preserve"> below.  The Commission also estimates that respondents will receive approximately two requests annually to provide the contract disclosure information to third party directory publishers in (c) below.</w:t>
      </w:r>
    </w:p>
    <w:p w:rsidR="006050E4" w:rsidRPr="001C2D09" w:rsidP="00A63428" w14:paraId="55F292E8" w14:textId="326C1085">
      <w:pPr>
        <w:spacing w:after="120"/>
        <w:rPr>
          <w:sz w:val="22"/>
          <w:szCs w:val="22"/>
          <w:shd w:val="clear" w:color="auto" w:fill="FFFFFF"/>
        </w:rPr>
      </w:pPr>
      <w:r w:rsidRPr="001C2D09">
        <w:rPr>
          <w:spacing w:val="-3"/>
          <w:sz w:val="22"/>
          <w:szCs w:val="22"/>
          <w:shd w:val="clear" w:color="auto" w:fill="FFFFFF"/>
        </w:rPr>
        <w:tab/>
        <w:t xml:space="preserve">(a)  they </w:t>
      </w:r>
      <w:r w:rsidRPr="001C2D09" w:rsidR="002A284F">
        <w:rPr>
          <w:spacing w:val="-3"/>
          <w:sz w:val="22"/>
          <w:szCs w:val="22"/>
          <w:shd w:val="clear" w:color="auto" w:fill="FFFFFF"/>
        </w:rPr>
        <w:t xml:space="preserve">maintain </w:t>
      </w:r>
      <w:r w:rsidRPr="001C2D09">
        <w:rPr>
          <w:spacing w:val="-3"/>
          <w:sz w:val="22"/>
          <w:szCs w:val="22"/>
          <w:shd w:val="clear" w:color="auto" w:fill="FFFFFF"/>
        </w:rPr>
        <w:t xml:space="preserve">records on </w:t>
      </w:r>
      <w:r w:rsidRPr="001C2D09" w:rsidR="002A284F">
        <w:rPr>
          <w:sz w:val="22"/>
          <w:szCs w:val="22"/>
          <w:shd w:val="clear" w:color="auto" w:fill="FFFFFF"/>
        </w:rPr>
        <w:t xml:space="preserve">their contract rates, terms, and conditions </w:t>
      </w:r>
      <w:r w:rsidRPr="001C2D09">
        <w:rPr>
          <w:sz w:val="22"/>
          <w:szCs w:val="22"/>
          <w:shd w:val="clear" w:color="auto" w:fill="FFFFFF"/>
        </w:rPr>
        <w:t>for at least one year</w:t>
      </w:r>
      <w:r w:rsidRPr="001C2D09" w:rsidR="00264097">
        <w:rPr>
          <w:sz w:val="22"/>
          <w:szCs w:val="22"/>
          <w:shd w:val="clear" w:color="auto" w:fill="FFFFFF"/>
        </w:rPr>
        <w:t>,</w:t>
      </w:r>
    </w:p>
    <w:p w:rsidR="00A46B31" w:rsidRPr="001C2D09" w:rsidP="00145740" w14:paraId="0F8E76B7" w14:textId="280F7E80">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145740">
        <w:rPr>
          <w:sz w:val="22"/>
          <w:szCs w:val="22"/>
          <w:shd w:val="clear" w:color="auto" w:fill="FFFFFF"/>
        </w:rPr>
        <w:tab/>
      </w:r>
      <w:r w:rsidRPr="001C2D09" w:rsidR="00C66F22">
        <w:rPr>
          <w:sz w:val="22"/>
          <w:szCs w:val="22"/>
          <w:shd w:val="clear" w:color="auto" w:fill="FFFFFF"/>
        </w:rPr>
        <w:t>500</w:t>
      </w:r>
      <w:r w:rsidRPr="001C2D09" w:rsidR="009F2C8C">
        <w:rPr>
          <w:sz w:val="22"/>
          <w:szCs w:val="22"/>
          <w:shd w:val="clear" w:color="auto" w:fill="FFFFFF"/>
        </w:rPr>
        <w:t xml:space="preserve"> </w:t>
      </w:r>
      <w:r w:rsidRPr="001C2D09">
        <w:rPr>
          <w:sz w:val="22"/>
          <w:szCs w:val="22"/>
          <w:shd w:val="clear" w:color="auto" w:fill="FFFFFF"/>
        </w:rPr>
        <w:t xml:space="preserve">respondents x 1 recordkeeping for contract records/annum =  </w:t>
      </w:r>
      <w:r w:rsidRPr="001C2D09" w:rsidR="00C66F22">
        <w:rPr>
          <w:sz w:val="22"/>
          <w:szCs w:val="22"/>
          <w:shd w:val="clear" w:color="auto" w:fill="FFFFFF"/>
        </w:rPr>
        <w:t>500</w:t>
      </w:r>
      <w:r w:rsidRPr="001C2D09" w:rsidR="00066E17">
        <w:rPr>
          <w:sz w:val="22"/>
          <w:szCs w:val="22"/>
          <w:shd w:val="clear" w:color="auto" w:fill="FFFFFF"/>
        </w:rPr>
        <w:t xml:space="preserve"> </w:t>
      </w:r>
      <w:r w:rsidRPr="001C2D09">
        <w:rPr>
          <w:sz w:val="22"/>
          <w:szCs w:val="22"/>
          <w:shd w:val="clear" w:color="auto" w:fill="FFFFFF"/>
        </w:rPr>
        <w:t>responses</w:t>
      </w:r>
    </w:p>
    <w:p w:rsidR="002A284F" w:rsidRPr="001C2D09" w:rsidP="00A63428" w14:paraId="5EAD2B44" w14:textId="09987451">
      <w:pPr>
        <w:spacing w:after="120"/>
        <w:rPr>
          <w:sz w:val="22"/>
          <w:szCs w:val="22"/>
          <w:shd w:val="clear" w:color="auto" w:fill="FFFFFF"/>
        </w:rPr>
      </w:pPr>
      <w:r w:rsidRPr="001C2D09">
        <w:rPr>
          <w:sz w:val="22"/>
          <w:szCs w:val="22"/>
          <w:shd w:val="clear" w:color="auto" w:fill="FFFFFF"/>
        </w:rPr>
        <w:tab/>
      </w:r>
      <w:r w:rsidRPr="001C2D09" w:rsidR="006050E4">
        <w:rPr>
          <w:sz w:val="22"/>
          <w:szCs w:val="22"/>
          <w:shd w:val="clear" w:color="auto" w:fill="FFFFFF"/>
        </w:rPr>
        <w:t>(b)  they maintain records for at least one year after the carrier provides subscriber list information</w:t>
      </w:r>
      <w:r w:rsidRPr="001C2D09" w:rsidR="00264097">
        <w:rPr>
          <w:sz w:val="22"/>
          <w:szCs w:val="22"/>
          <w:shd w:val="clear" w:color="auto" w:fill="FFFFFF"/>
        </w:rPr>
        <w:t xml:space="preserve"> </w:t>
      </w:r>
      <w:r w:rsidRPr="001C2D09" w:rsidR="00C74B13">
        <w:rPr>
          <w:sz w:val="22"/>
          <w:szCs w:val="22"/>
          <w:shd w:val="clear" w:color="auto" w:fill="FFFFFF"/>
        </w:rPr>
        <w:tab/>
      </w:r>
      <w:r w:rsidRPr="001C2D09" w:rsidR="00264097">
        <w:rPr>
          <w:sz w:val="22"/>
          <w:szCs w:val="22"/>
          <w:shd w:val="clear" w:color="auto" w:fill="FFFFFF"/>
        </w:rPr>
        <w:t>to directory publishers,</w:t>
      </w:r>
    </w:p>
    <w:p w:rsidR="00A46B31" w:rsidRPr="001C2D09" w:rsidP="7F2667BC" w14:paraId="222DA59C" w14:textId="38B30FA8">
      <w:pPr>
        <w:suppressAutoHyphens/>
        <w:spacing w:after="120"/>
        <w:rPr>
          <w:sz w:val="22"/>
          <w:szCs w:val="22"/>
          <w:shd w:val="clear" w:color="auto" w:fill="FFFFFF"/>
        </w:rPr>
      </w:pPr>
      <w:r w:rsidRPr="001C2D09">
        <w:rPr>
          <w:sz w:val="22"/>
          <w:szCs w:val="22"/>
          <w:shd w:val="clear" w:color="auto" w:fill="FFFFFF"/>
        </w:rPr>
        <w:tab/>
      </w:r>
      <w:r w:rsidRPr="001C2D09" w:rsidR="00145740">
        <w:rPr>
          <w:sz w:val="22"/>
          <w:szCs w:val="22"/>
          <w:shd w:val="clear" w:color="auto" w:fill="FFFFFF"/>
        </w:rPr>
        <w:tab/>
      </w:r>
      <w:r w:rsidRPr="001C2D09">
        <w:rPr>
          <w:sz w:val="22"/>
          <w:szCs w:val="22"/>
          <w:shd w:val="clear" w:color="auto" w:fill="FFFFFF"/>
        </w:rPr>
        <w:t xml:space="preserve"> </w:t>
      </w:r>
      <w:r w:rsidRPr="001C2D09" w:rsidR="00C66F22">
        <w:rPr>
          <w:sz w:val="22"/>
          <w:szCs w:val="22"/>
          <w:shd w:val="clear" w:color="auto" w:fill="FFFFFF"/>
        </w:rPr>
        <w:t>500</w:t>
      </w:r>
      <w:r w:rsidRPr="001C2D09" w:rsidR="00066E17">
        <w:rPr>
          <w:sz w:val="22"/>
          <w:szCs w:val="22"/>
          <w:shd w:val="clear" w:color="auto" w:fill="FFFFFF"/>
        </w:rPr>
        <w:t xml:space="preserve"> </w:t>
      </w:r>
      <w:r w:rsidRPr="001C2D09">
        <w:rPr>
          <w:sz w:val="22"/>
          <w:szCs w:val="22"/>
          <w:shd w:val="clear" w:color="auto" w:fill="FFFFFF"/>
        </w:rPr>
        <w:t>respondents x 1 recordkeeping for subscriber list information/annum =</w:t>
      </w:r>
      <w:r w:rsidRPr="001C2D09" w:rsidR="00C66F22">
        <w:rPr>
          <w:sz w:val="22"/>
          <w:szCs w:val="22"/>
          <w:shd w:val="clear" w:color="auto" w:fill="FFFFFF"/>
        </w:rPr>
        <w:t>500</w:t>
      </w:r>
      <w:r w:rsidRPr="001C2D09" w:rsidR="000A6C47">
        <w:rPr>
          <w:sz w:val="22"/>
          <w:szCs w:val="22"/>
          <w:shd w:val="clear" w:color="auto" w:fill="FFFFFF"/>
        </w:rPr>
        <w:tab/>
      </w:r>
      <w:r w:rsidRPr="001C2D09" w:rsidR="000A6C47">
        <w:rPr>
          <w:sz w:val="22"/>
          <w:szCs w:val="22"/>
          <w:shd w:val="clear" w:color="auto" w:fill="FFFFFF"/>
        </w:rPr>
        <w:tab/>
      </w:r>
      <w:r w:rsidRPr="001C2D09">
        <w:rPr>
          <w:sz w:val="22"/>
          <w:szCs w:val="22"/>
          <w:shd w:val="clear" w:color="auto" w:fill="FFFFFF"/>
        </w:rPr>
        <w:t>responses</w:t>
      </w:r>
      <w:r w:rsidRPr="001C2D09" w:rsidR="526ED7B4">
        <w:rPr>
          <w:sz w:val="22"/>
          <w:szCs w:val="22"/>
          <w:shd w:val="clear" w:color="auto" w:fill="FFFFFF"/>
        </w:rPr>
        <w:t>, and</w:t>
      </w:r>
    </w:p>
    <w:p w:rsidR="00264097" w:rsidRPr="001C2D09" w:rsidP="00A63428" w14:paraId="77EC9C08" w14:textId="5F6454D0">
      <w:pPr>
        <w:spacing w:after="120"/>
        <w:rPr>
          <w:sz w:val="22"/>
          <w:szCs w:val="22"/>
          <w:shd w:val="clear" w:color="auto" w:fill="FFFFFF"/>
        </w:rPr>
      </w:pPr>
      <w:r w:rsidRPr="001C2D09">
        <w:rPr>
          <w:sz w:val="22"/>
          <w:szCs w:val="22"/>
          <w:shd w:val="clear" w:color="auto" w:fill="FFFFFF"/>
        </w:rPr>
        <w:tab/>
        <w:t>(c)  they make these records available to the FCC and to any directory publisher</w:t>
      </w:r>
      <w:r w:rsidRPr="001C2D09" w:rsidR="004B09A8">
        <w:rPr>
          <w:sz w:val="22"/>
          <w:szCs w:val="22"/>
          <w:shd w:val="clear" w:color="auto" w:fill="FFFFFF"/>
        </w:rPr>
        <w:t xml:space="preserve"> </w:t>
      </w:r>
      <w:r w:rsidRPr="001C2D09">
        <w:rPr>
          <w:sz w:val="22"/>
          <w:szCs w:val="22"/>
          <w:shd w:val="clear" w:color="auto" w:fill="FFFFFF"/>
        </w:rPr>
        <w:t>upon request.</w:t>
      </w:r>
    </w:p>
    <w:p w:rsidR="009D6AB3" w:rsidRPr="001C2D09" w:rsidP="00145740" w14:paraId="44EF3BD1" w14:textId="592466B5">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0A6C47">
        <w:rPr>
          <w:sz w:val="22"/>
          <w:szCs w:val="22"/>
          <w:shd w:val="clear" w:color="auto" w:fill="FFFFFF"/>
        </w:rPr>
        <w:tab/>
      </w:r>
      <w:r w:rsidRPr="001C2D09">
        <w:rPr>
          <w:sz w:val="22"/>
          <w:szCs w:val="22"/>
          <w:shd w:val="clear" w:color="auto" w:fill="FFFFFF"/>
        </w:rPr>
        <w:t xml:space="preserve"> </w:t>
      </w:r>
      <w:r w:rsidRPr="001C2D09" w:rsidR="00C66F22">
        <w:rPr>
          <w:sz w:val="22"/>
          <w:szCs w:val="22"/>
          <w:shd w:val="clear" w:color="auto" w:fill="FFFFFF"/>
        </w:rPr>
        <w:t>500</w:t>
      </w:r>
      <w:r w:rsidRPr="001C2D09" w:rsidR="00066E17">
        <w:rPr>
          <w:sz w:val="22"/>
          <w:szCs w:val="22"/>
          <w:shd w:val="clear" w:color="auto" w:fill="FFFFFF"/>
        </w:rPr>
        <w:t xml:space="preserve"> </w:t>
      </w:r>
      <w:r w:rsidRPr="001C2D09">
        <w:rPr>
          <w:sz w:val="22"/>
          <w:szCs w:val="22"/>
          <w:shd w:val="clear" w:color="auto" w:fill="FFFFFF"/>
        </w:rPr>
        <w:t xml:space="preserve">respondents x 2 </w:t>
      </w:r>
      <w:r w:rsidRPr="001C2D09" w:rsidR="002B20AC">
        <w:rPr>
          <w:sz w:val="22"/>
          <w:szCs w:val="22"/>
          <w:shd w:val="clear" w:color="auto" w:fill="FFFFFF"/>
        </w:rPr>
        <w:t xml:space="preserve">disclosures to </w:t>
      </w:r>
      <w:r w:rsidRPr="001C2D09">
        <w:rPr>
          <w:sz w:val="22"/>
          <w:szCs w:val="22"/>
          <w:shd w:val="clear" w:color="auto" w:fill="FFFFFF"/>
        </w:rPr>
        <w:t>directory publishers</w:t>
      </w:r>
      <w:r w:rsidRPr="001C2D09" w:rsidR="002B20AC">
        <w:rPr>
          <w:sz w:val="22"/>
          <w:szCs w:val="22"/>
          <w:shd w:val="clear" w:color="auto" w:fill="FFFFFF"/>
        </w:rPr>
        <w:t>/annum</w:t>
      </w:r>
      <w:r w:rsidRPr="001C2D09">
        <w:rPr>
          <w:sz w:val="22"/>
          <w:szCs w:val="22"/>
          <w:shd w:val="clear" w:color="auto" w:fill="FFFFFF"/>
        </w:rPr>
        <w:t xml:space="preserve"> =  </w:t>
      </w:r>
      <w:r w:rsidRPr="001C2D09" w:rsidR="007E0BB0">
        <w:rPr>
          <w:sz w:val="22"/>
          <w:szCs w:val="22"/>
          <w:shd w:val="clear" w:color="auto" w:fill="FFFFFF"/>
        </w:rPr>
        <w:t>1,000</w:t>
      </w:r>
      <w:r w:rsidRPr="001C2D09" w:rsidR="00E71ACD">
        <w:rPr>
          <w:sz w:val="22"/>
          <w:szCs w:val="22"/>
          <w:shd w:val="clear" w:color="auto" w:fill="FFFFFF"/>
        </w:rPr>
        <w:t xml:space="preserve"> </w:t>
      </w:r>
      <w:r w:rsidRPr="001C2D09">
        <w:rPr>
          <w:sz w:val="22"/>
          <w:szCs w:val="22"/>
          <w:shd w:val="clear" w:color="auto" w:fill="FFFFFF"/>
        </w:rPr>
        <w:t xml:space="preserve">third party </w:t>
      </w:r>
      <w:r w:rsidRPr="001C2D09" w:rsidR="002F3B3C">
        <w:rPr>
          <w:sz w:val="22"/>
          <w:szCs w:val="22"/>
          <w:shd w:val="clear" w:color="auto" w:fill="FFFFFF"/>
        </w:rPr>
        <w:tab/>
      </w:r>
      <w:r w:rsidRPr="001C2D09" w:rsidR="000A6C47">
        <w:rPr>
          <w:sz w:val="22"/>
          <w:szCs w:val="22"/>
          <w:shd w:val="clear" w:color="auto" w:fill="FFFFFF"/>
        </w:rPr>
        <w:tab/>
      </w:r>
      <w:r w:rsidRPr="001C2D09" w:rsidR="000A6C47">
        <w:rPr>
          <w:sz w:val="22"/>
          <w:szCs w:val="22"/>
          <w:shd w:val="clear" w:color="auto" w:fill="FFFFFF"/>
        </w:rPr>
        <w:tab/>
      </w:r>
      <w:r w:rsidRPr="001C2D09">
        <w:rPr>
          <w:sz w:val="22"/>
          <w:szCs w:val="22"/>
          <w:shd w:val="clear" w:color="auto" w:fill="FFFFFF"/>
        </w:rPr>
        <w:t>disclosures</w:t>
      </w:r>
    </w:p>
    <w:p w:rsidR="00A63428" w:rsidRPr="001C2D09" w:rsidP="006A33C6" w14:paraId="3ABC2E79" w14:textId="43BBD58F">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0A6C47">
        <w:rPr>
          <w:sz w:val="22"/>
          <w:szCs w:val="22"/>
          <w:shd w:val="clear" w:color="auto" w:fill="FFFFFF"/>
        </w:rPr>
        <w:tab/>
      </w:r>
      <w:r w:rsidRPr="001C2D09" w:rsidR="002B20AC">
        <w:rPr>
          <w:sz w:val="22"/>
          <w:szCs w:val="22"/>
          <w:shd w:val="clear" w:color="auto" w:fill="FFFFFF"/>
        </w:rPr>
        <w:t xml:space="preserve">Total:  </w:t>
      </w:r>
      <w:r w:rsidRPr="001C2D09" w:rsidR="009D6AB3">
        <w:rPr>
          <w:sz w:val="22"/>
          <w:szCs w:val="22"/>
          <w:shd w:val="clear" w:color="auto" w:fill="FFFFFF"/>
        </w:rPr>
        <w:t xml:space="preserve"> </w:t>
      </w:r>
      <w:r w:rsidRPr="001C2D09" w:rsidR="00C66F22">
        <w:rPr>
          <w:sz w:val="22"/>
          <w:szCs w:val="22"/>
          <w:shd w:val="clear" w:color="auto" w:fill="FFFFFF"/>
        </w:rPr>
        <w:t>500</w:t>
      </w:r>
      <w:r w:rsidRPr="001C2D09" w:rsidR="002B6A1B">
        <w:rPr>
          <w:sz w:val="22"/>
          <w:szCs w:val="22"/>
          <w:shd w:val="clear" w:color="auto" w:fill="FFFFFF"/>
        </w:rPr>
        <w:t xml:space="preserve"> </w:t>
      </w:r>
      <w:r w:rsidRPr="001C2D09" w:rsidR="009D6AB3">
        <w:rPr>
          <w:sz w:val="22"/>
          <w:szCs w:val="22"/>
          <w:shd w:val="clear" w:color="auto" w:fill="FFFFFF"/>
        </w:rPr>
        <w:t xml:space="preserve">+  </w:t>
      </w:r>
      <w:r w:rsidRPr="001C2D09" w:rsidR="00C66F22">
        <w:rPr>
          <w:sz w:val="22"/>
          <w:szCs w:val="22"/>
          <w:shd w:val="clear" w:color="auto" w:fill="FFFFFF"/>
        </w:rPr>
        <w:t>500</w:t>
      </w:r>
      <w:r w:rsidRPr="001C2D09" w:rsidR="00066E17">
        <w:rPr>
          <w:sz w:val="22"/>
          <w:szCs w:val="22"/>
          <w:shd w:val="clear" w:color="auto" w:fill="FFFFFF"/>
        </w:rPr>
        <w:t xml:space="preserve"> </w:t>
      </w:r>
      <w:r w:rsidRPr="001C2D09" w:rsidR="002A284F">
        <w:rPr>
          <w:sz w:val="22"/>
          <w:szCs w:val="22"/>
          <w:shd w:val="clear" w:color="auto" w:fill="FFFFFF"/>
        </w:rPr>
        <w:t xml:space="preserve">+ </w:t>
      </w:r>
      <w:r w:rsidRPr="001C2D09" w:rsidR="00C66F22">
        <w:rPr>
          <w:sz w:val="22"/>
          <w:szCs w:val="22"/>
          <w:shd w:val="clear" w:color="auto" w:fill="FFFFFF"/>
        </w:rPr>
        <w:t>1,000</w:t>
      </w:r>
      <w:r w:rsidRPr="001C2D09" w:rsidR="002A284F">
        <w:rPr>
          <w:sz w:val="22"/>
          <w:szCs w:val="22"/>
          <w:shd w:val="clear" w:color="auto" w:fill="FFFFFF"/>
        </w:rPr>
        <w:t xml:space="preserve">=  </w:t>
      </w:r>
      <w:r w:rsidRPr="001C2D09" w:rsidR="00C66F22">
        <w:rPr>
          <w:sz w:val="22"/>
          <w:szCs w:val="22"/>
          <w:shd w:val="clear" w:color="auto" w:fill="FFFFFF"/>
        </w:rPr>
        <w:t>2,000</w:t>
      </w:r>
      <w:r w:rsidRPr="001C2D09" w:rsidR="00E71ACD">
        <w:rPr>
          <w:sz w:val="22"/>
          <w:szCs w:val="22"/>
          <w:shd w:val="clear" w:color="auto" w:fill="FFFFFF"/>
        </w:rPr>
        <w:t xml:space="preserve"> </w:t>
      </w:r>
      <w:r w:rsidRPr="001C2D09" w:rsidR="002A284F">
        <w:rPr>
          <w:sz w:val="22"/>
          <w:szCs w:val="22"/>
          <w:shd w:val="clear" w:color="auto" w:fill="FFFFFF"/>
        </w:rPr>
        <w:t>responses</w:t>
      </w:r>
    </w:p>
    <w:p w:rsidR="002764CC" w:rsidRPr="001C2D09" w:rsidP="006A33C6" w14:paraId="35DEACBA" w14:textId="61164625">
      <w:pPr>
        <w:tabs>
          <w:tab w:val="left" w:pos="-720"/>
        </w:tabs>
        <w:suppressAutoHyphens/>
        <w:spacing w:after="120"/>
        <w:rPr>
          <w:sz w:val="22"/>
          <w:szCs w:val="22"/>
          <w:shd w:val="clear" w:color="auto" w:fill="FFFFFF"/>
        </w:rPr>
      </w:pPr>
      <w:r w:rsidRPr="001C2D09">
        <w:rPr>
          <w:sz w:val="22"/>
          <w:szCs w:val="22"/>
          <w:shd w:val="clear" w:color="auto" w:fill="FFFFFF"/>
        </w:rPr>
        <w:tab/>
        <w:t>(</w:t>
      </w:r>
      <w:r w:rsidRPr="001C2D09" w:rsidR="006F0FA7">
        <w:rPr>
          <w:sz w:val="22"/>
          <w:szCs w:val="22"/>
          <w:shd w:val="clear" w:color="auto" w:fill="FFFFFF"/>
        </w:rPr>
        <w:t>4</w:t>
      </w:r>
      <w:r w:rsidRPr="001C2D09" w:rsidR="005C5E02">
        <w:rPr>
          <w:sz w:val="22"/>
          <w:szCs w:val="22"/>
          <w:shd w:val="clear" w:color="auto" w:fill="FFFFFF"/>
        </w:rPr>
        <w:t>)</w:t>
      </w:r>
      <w:r w:rsidRPr="001C2D09">
        <w:rPr>
          <w:sz w:val="22"/>
          <w:szCs w:val="22"/>
          <w:shd w:val="clear" w:color="auto" w:fill="FFFFFF"/>
        </w:rPr>
        <w:tab/>
      </w:r>
      <w:r w:rsidRPr="001C2D09" w:rsidR="004811B8">
        <w:rPr>
          <w:sz w:val="22"/>
          <w:szCs w:val="22"/>
          <w:shd w:val="clear" w:color="auto" w:fill="FFFFFF"/>
        </w:rPr>
        <w:t>Total A</w:t>
      </w:r>
      <w:r w:rsidRPr="001C2D09" w:rsidR="005C5E02">
        <w:rPr>
          <w:sz w:val="22"/>
          <w:szCs w:val="22"/>
          <w:shd w:val="clear" w:color="auto" w:fill="FFFFFF"/>
        </w:rPr>
        <w:t xml:space="preserve">nnual </w:t>
      </w:r>
      <w:r w:rsidRPr="001C2D09" w:rsidR="004811B8">
        <w:rPr>
          <w:sz w:val="22"/>
          <w:szCs w:val="22"/>
          <w:shd w:val="clear" w:color="auto" w:fill="FFFFFF"/>
        </w:rPr>
        <w:t>H</w:t>
      </w:r>
      <w:r w:rsidRPr="001C2D09" w:rsidR="005C5E02">
        <w:rPr>
          <w:sz w:val="22"/>
          <w:szCs w:val="22"/>
          <w:shd w:val="clear" w:color="auto" w:fill="FFFFFF"/>
        </w:rPr>
        <w:t xml:space="preserve">our </w:t>
      </w:r>
      <w:r w:rsidRPr="001C2D09" w:rsidR="004811B8">
        <w:rPr>
          <w:sz w:val="22"/>
          <w:szCs w:val="22"/>
          <w:shd w:val="clear" w:color="auto" w:fill="FFFFFF"/>
        </w:rPr>
        <w:t>B</w:t>
      </w:r>
      <w:r w:rsidRPr="001C2D09" w:rsidR="005C5E02">
        <w:rPr>
          <w:sz w:val="22"/>
          <w:szCs w:val="22"/>
          <w:shd w:val="clear" w:color="auto" w:fill="FFFFFF"/>
        </w:rPr>
        <w:t>urden</w:t>
      </w:r>
      <w:r w:rsidRPr="001C2D09" w:rsidR="00CA4C61">
        <w:rPr>
          <w:sz w:val="22"/>
          <w:szCs w:val="22"/>
          <w:shd w:val="clear" w:color="auto" w:fill="FFFFFF"/>
        </w:rPr>
        <w:t xml:space="preserve">: </w:t>
      </w:r>
      <w:r w:rsidRPr="001C2D09" w:rsidR="00C9089E">
        <w:rPr>
          <w:sz w:val="22"/>
          <w:szCs w:val="22"/>
          <w:shd w:val="clear" w:color="auto" w:fill="FFFFFF"/>
        </w:rPr>
        <w:t xml:space="preserve"> </w:t>
      </w:r>
      <w:r w:rsidRPr="001C2D09" w:rsidR="00D46929">
        <w:rPr>
          <w:sz w:val="22"/>
          <w:szCs w:val="22"/>
          <w:shd w:val="clear" w:color="auto" w:fill="FFFFFF"/>
        </w:rPr>
        <w:t>1,500</w:t>
      </w:r>
      <w:r w:rsidRPr="001C2D09" w:rsidR="00E71ACD">
        <w:rPr>
          <w:sz w:val="22"/>
          <w:szCs w:val="22"/>
          <w:shd w:val="clear" w:color="auto" w:fill="FFFFFF"/>
        </w:rPr>
        <w:t xml:space="preserve"> </w:t>
      </w:r>
      <w:r w:rsidRPr="001C2D09" w:rsidR="009F7A8B">
        <w:rPr>
          <w:sz w:val="22"/>
          <w:szCs w:val="22"/>
          <w:shd w:val="clear" w:color="auto" w:fill="FFFFFF"/>
        </w:rPr>
        <w:t>hours</w:t>
      </w:r>
    </w:p>
    <w:p w:rsidR="008A0F85" w:rsidRPr="001C2D09" w:rsidP="7F2667BC" w14:paraId="0A9BDE65" w14:textId="5C44BA91">
      <w:pPr>
        <w:suppressAutoHyphens/>
        <w:spacing w:after="120"/>
        <w:rPr>
          <w:sz w:val="22"/>
          <w:szCs w:val="22"/>
          <w:shd w:val="clear" w:color="auto" w:fill="FFFFFF"/>
        </w:rPr>
      </w:pPr>
      <w:r w:rsidRPr="001C2D09">
        <w:rPr>
          <w:sz w:val="22"/>
          <w:szCs w:val="22"/>
          <w:shd w:val="clear" w:color="auto" w:fill="FFFFFF"/>
        </w:rPr>
        <w:t>The Commission estimates that respondent</w:t>
      </w:r>
      <w:r w:rsidRPr="001C2D09" w:rsidR="00083E65">
        <w:rPr>
          <w:sz w:val="22"/>
          <w:szCs w:val="22"/>
          <w:shd w:val="clear" w:color="auto" w:fill="FFFFFF"/>
        </w:rPr>
        <w:t>s</w:t>
      </w:r>
      <w:r w:rsidRPr="001C2D09">
        <w:rPr>
          <w:sz w:val="22"/>
          <w:szCs w:val="22"/>
          <w:shd w:val="clear" w:color="auto" w:fill="FFFFFF"/>
        </w:rPr>
        <w:t xml:space="preserve"> will </w:t>
      </w:r>
      <w:r w:rsidRPr="001C2D09">
        <w:rPr>
          <w:spacing w:val="-3"/>
          <w:sz w:val="22"/>
          <w:szCs w:val="22"/>
          <w:shd w:val="clear" w:color="auto" w:fill="FFFFFF"/>
        </w:rPr>
        <w:t xml:space="preserve">require approximately 30 minutes (0.5 hours) annually to comply with </w:t>
      </w:r>
      <w:r w:rsidRPr="001C2D09" w:rsidR="00197D96">
        <w:rPr>
          <w:spacing w:val="-3"/>
          <w:sz w:val="22"/>
          <w:szCs w:val="22"/>
          <w:shd w:val="clear" w:color="auto" w:fill="FFFFFF"/>
        </w:rPr>
        <w:t>each of thes</w:t>
      </w:r>
      <w:r w:rsidRPr="001C2D09">
        <w:rPr>
          <w:spacing w:val="-3"/>
          <w:sz w:val="22"/>
          <w:szCs w:val="22"/>
          <w:shd w:val="clear" w:color="auto" w:fill="FFFFFF"/>
        </w:rPr>
        <w:t>e two recordkeeping requirements below</w:t>
      </w:r>
      <w:r w:rsidRPr="001C2D09" w:rsidR="00E460F3">
        <w:rPr>
          <w:spacing w:val="-3"/>
          <w:sz w:val="22"/>
          <w:szCs w:val="22"/>
          <w:shd w:val="clear" w:color="auto" w:fill="FFFFFF"/>
        </w:rPr>
        <w:t>,</w:t>
      </w:r>
      <w:r w:rsidRPr="001C2D09">
        <w:rPr>
          <w:spacing w:val="-3"/>
          <w:sz w:val="22"/>
          <w:szCs w:val="22"/>
          <w:shd w:val="clear" w:color="auto" w:fill="FFFFFF"/>
        </w:rPr>
        <w:t xml:space="preserve"> (a) and (b). </w:t>
      </w:r>
      <w:r w:rsidRPr="001C2D09">
        <w:rPr>
          <w:sz w:val="22"/>
          <w:szCs w:val="22"/>
          <w:shd w:val="clear" w:color="auto" w:fill="FFFFFF"/>
        </w:rPr>
        <w:t xml:space="preserve"> The Commission also estimates that respondents will require approximately one hour to furnish </w:t>
      </w:r>
      <w:r w:rsidRPr="001C2D09" w:rsidR="00113DF1">
        <w:rPr>
          <w:sz w:val="22"/>
          <w:szCs w:val="22"/>
          <w:shd w:val="clear" w:color="auto" w:fill="FFFFFF"/>
        </w:rPr>
        <w:t xml:space="preserve">the records to </w:t>
      </w:r>
      <w:r w:rsidRPr="001C2D09">
        <w:rPr>
          <w:sz w:val="22"/>
          <w:szCs w:val="22"/>
          <w:shd w:val="clear" w:color="auto" w:fill="FFFFFF"/>
        </w:rPr>
        <w:t xml:space="preserve">directory publishers </w:t>
      </w:r>
      <w:r w:rsidRPr="001C2D09" w:rsidR="00113DF1">
        <w:rPr>
          <w:sz w:val="22"/>
          <w:szCs w:val="22"/>
          <w:shd w:val="clear" w:color="auto" w:fill="FFFFFF"/>
        </w:rPr>
        <w:t>twice annually</w:t>
      </w:r>
      <w:r w:rsidRPr="001C2D09">
        <w:rPr>
          <w:sz w:val="22"/>
          <w:szCs w:val="22"/>
          <w:shd w:val="clear" w:color="auto" w:fill="FFFFFF"/>
        </w:rPr>
        <w:t xml:space="preserve"> </w:t>
      </w:r>
      <w:r w:rsidRPr="001C2D09" w:rsidR="00113DF1">
        <w:rPr>
          <w:sz w:val="22"/>
          <w:szCs w:val="22"/>
          <w:shd w:val="clear" w:color="auto" w:fill="FFFFFF"/>
        </w:rPr>
        <w:t>i</w:t>
      </w:r>
      <w:r w:rsidRPr="001C2D09">
        <w:rPr>
          <w:sz w:val="22"/>
          <w:szCs w:val="22"/>
          <w:shd w:val="clear" w:color="auto" w:fill="FFFFFF"/>
        </w:rPr>
        <w:t xml:space="preserve">n (c) below.  </w:t>
      </w:r>
    </w:p>
    <w:p w:rsidR="008A0F85" w:rsidRPr="001C2D09" w:rsidP="000A6C47" w14:paraId="21381868" w14:textId="1630B27F">
      <w:pPr>
        <w:pStyle w:val="ListParagraph"/>
        <w:spacing w:after="120"/>
        <w:ind w:left="0"/>
        <w:rPr>
          <w:sz w:val="22"/>
          <w:szCs w:val="22"/>
          <w:shd w:val="clear" w:color="auto" w:fill="FFFFFF"/>
        </w:rPr>
      </w:pPr>
      <w:r w:rsidRPr="001C2D09">
        <w:rPr>
          <w:spacing w:val="-3"/>
          <w:sz w:val="22"/>
          <w:szCs w:val="22"/>
          <w:shd w:val="clear" w:color="auto" w:fill="FFFFFF"/>
        </w:rPr>
        <w:tab/>
        <w:t xml:space="preserve">(a)  they maintain records on </w:t>
      </w:r>
      <w:r w:rsidRPr="001C2D09">
        <w:rPr>
          <w:sz w:val="22"/>
          <w:szCs w:val="22"/>
          <w:shd w:val="clear" w:color="auto" w:fill="FFFFFF"/>
        </w:rPr>
        <w:t>their contract rates, terms, and conditions for at least one year,</w:t>
      </w:r>
    </w:p>
    <w:p w:rsidR="008A0F85" w:rsidRPr="001C2D09" w:rsidP="000A6C47" w14:paraId="0DD0B455" w14:textId="66A6BEF0">
      <w:pPr>
        <w:spacing w:after="120"/>
        <w:rPr>
          <w:sz w:val="22"/>
          <w:szCs w:val="22"/>
          <w:shd w:val="clear" w:color="auto" w:fill="FFFFFF"/>
        </w:rPr>
      </w:pPr>
      <w:r w:rsidRPr="001C2D09">
        <w:rPr>
          <w:sz w:val="22"/>
          <w:szCs w:val="22"/>
          <w:shd w:val="clear" w:color="auto" w:fill="FFFFFF"/>
        </w:rPr>
        <w:tab/>
        <w:t xml:space="preserve"> </w:t>
      </w:r>
      <w:r w:rsidRPr="001C2D09" w:rsidR="00C311D4">
        <w:rPr>
          <w:sz w:val="22"/>
          <w:szCs w:val="22"/>
          <w:shd w:val="clear" w:color="auto" w:fill="FFFFFF"/>
        </w:rPr>
        <w:t>500</w:t>
      </w:r>
      <w:r w:rsidRPr="001C2D09" w:rsidR="00066E17">
        <w:rPr>
          <w:sz w:val="22"/>
          <w:szCs w:val="22"/>
          <w:shd w:val="clear" w:color="auto" w:fill="FFFFFF"/>
        </w:rPr>
        <w:t xml:space="preserve"> </w:t>
      </w:r>
      <w:r w:rsidRPr="001C2D09">
        <w:rPr>
          <w:sz w:val="22"/>
          <w:szCs w:val="22"/>
          <w:shd w:val="clear" w:color="auto" w:fill="FFFFFF"/>
        </w:rPr>
        <w:t xml:space="preserve">respondents x 1 recordkeeping requirement/annum x 0.5 hours/response =  </w:t>
      </w:r>
      <w:r w:rsidRPr="001C2D09" w:rsidR="00C311D4">
        <w:rPr>
          <w:sz w:val="22"/>
          <w:szCs w:val="22"/>
          <w:shd w:val="clear" w:color="auto" w:fill="FFFFFF"/>
        </w:rPr>
        <w:t>250</w:t>
      </w:r>
      <w:r w:rsidRPr="001C2D09" w:rsidR="00E03FED">
        <w:rPr>
          <w:sz w:val="22"/>
          <w:szCs w:val="22"/>
          <w:shd w:val="clear" w:color="auto" w:fill="FFFFFF"/>
        </w:rPr>
        <w:t xml:space="preserve"> </w:t>
      </w:r>
      <w:r w:rsidRPr="001C2D09">
        <w:rPr>
          <w:sz w:val="22"/>
          <w:szCs w:val="22"/>
          <w:shd w:val="clear" w:color="auto" w:fill="FFFFFF"/>
        </w:rPr>
        <w:t>hours</w:t>
      </w:r>
    </w:p>
    <w:p w:rsidR="008A0F85" w:rsidRPr="001C2D09" w:rsidP="004E1B90" w14:paraId="75EFCCE8" w14:textId="486C7DC4">
      <w:pPr>
        <w:pStyle w:val="ListParagraph"/>
        <w:spacing w:after="120"/>
        <w:ind w:left="0"/>
        <w:rPr>
          <w:sz w:val="22"/>
          <w:szCs w:val="22"/>
          <w:shd w:val="clear" w:color="auto" w:fill="FFFFFF"/>
        </w:rPr>
      </w:pPr>
      <w:r w:rsidRPr="001C2D09">
        <w:rPr>
          <w:sz w:val="22"/>
          <w:szCs w:val="22"/>
          <w:shd w:val="clear" w:color="auto" w:fill="FFFFFF"/>
        </w:rPr>
        <w:tab/>
        <w:t xml:space="preserve">(b)  they maintain records for at least one year after the carrier provides subscriber list information </w:t>
      </w:r>
      <w:r w:rsidRPr="001C2D09">
        <w:rPr>
          <w:sz w:val="22"/>
          <w:szCs w:val="22"/>
          <w:shd w:val="clear" w:color="auto" w:fill="FFFFFF"/>
        </w:rPr>
        <w:tab/>
        <w:t xml:space="preserve">to directory publishers, </w:t>
      </w:r>
    </w:p>
    <w:p w:rsidR="008A0F85" w:rsidRPr="001C2D09" w:rsidP="7F2667BC" w14:paraId="679E1406" w14:textId="7B5B1C11">
      <w:pPr>
        <w:suppressAutoHyphens/>
        <w:spacing w:after="120"/>
        <w:rPr>
          <w:sz w:val="22"/>
          <w:szCs w:val="22"/>
          <w:shd w:val="clear" w:color="auto" w:fill="FFFFFF"/>
        </w:rPr>
      </w:pPr>
      <w:r w:rsidRPr="001C2D09">
        <w:rPr>
          <w:sz w:val="22"/>
          <w:szCs w:val="22"/>
          <w:shd w:val="clear" w:color="auto" w:fill="FFFFFF"/>
        </w:rPr>
        <w:tab/>
      </w:r>
      <w:r w:rsidRPr="001C2D09" w:rsidR="004E1B90">
        <w:rPr>
          <w:sz w:val="22"/>
          <w:szCs w:val="22"/>
          <w:shd w:val="clear" w:color="auto" w:fill="FFFFFF"/>
        </w:rPr>
        <w:tab/>
      </w:r>
      <w:r w:rsidRPr="001C2D09" w:rsidR="00C311D4">
        <w:rPr>
          <w:sz w:val="22"/>
          <w:szCs w:val="22"/>
          <w:shd w:val="clear" w:color="auto" w:fill="FFFFFF"/>
        </w:rPr>
        <w:t>500</w:t>
      </w:r>
      <w:r w:rsidRPr="001C2D09" w:rsidR="00F06879">
        <w:rPr>
          <w:sz w:val="22"/>
          <w:szCs w:val="22"/>
          <w:shd w:val="clear" w:color="auto" w:fill="FFFFFF"/>
        </w:rPr>
        <w:t xml:space="preserve"> </w:t>
      </w:r>
      <w:r w:rsidRPr="001C2D09">
        <w:rPr>
          <w:sz w:val="22"/>
          <w:szCs w:val="22"/>
          <w:shd w:val="clear" w:color="auto" w:fill="FFFFFF"/>
        </w:rPr>
        <w:t xml:space="preserve">respondents x 1 recordkeeping requirement/annum x 0.5 hours/response = </w:t>
      </w:r>
      <w:r w:rsidRPr="001C2D09" w:rsidR="00C311D4">
        <w:rPr>
          <w:sz w:val="22"/>
          <w:szCs w:val="22"/>
          <w:shd w:val="clear" w:color="auto" w:fill="FFFFFF"/>
        </w:rPr>
        <w:t>250</w:t>
      </w:r>
      <w:r w:rsidRPr="001C2D09">
        <w:rPr>
          <w:sz w:val="22"/>
          <w:szCs w:val="22"/>
          <w:shd w:val="clear" w:color="auto" w:fill="FFFFFF"/>
        </w:rPr>
        <w:t xml:space="preserve"> hours</w:t>
      </w:r>
      <w:r w:rsidRPr="001C2D09" w:rsidR="1C1053DF">
        <w:rPr>
          <w:sz w:val="22"/>
          <w:szCs w:val="22"/>
          <w:shd w:val="clear" w:color="auto" w:fill="FFFFFF"/>
        </w:rPr>
        <w:t>, and</w:t>
      </w:r>
    </w:p>
    <w:p w:rsidR="00272880" w:rsidRPr="001C2D09" w:rsidP="004E1B90" w14:paraId="7A956A20" w14:textId="6966C480">
      <w:pPr>
        <w:pStyle w:val="ListParagraph"/>
        <w:spacing w:after="120"/>
        <w:ind w:left="0"/>
        <w:rPr>
          <w:spacing w:val="-3"/>
          <w:sz w:val="22"/>
          <w:szCs w:val="22"/>
          <w:shd w:val="clear" w:color="auto" w:fill="FFFFFF"/>
        </w:rPr>
      </w:pPr>
      <w:r w:rsidRPr="001C2D09">
        <w:rPr>
          <w:sz w:val="22"/>
          <w:szCs w:val="22"/>
          <w:shd w:val="clear" w:color="auto" w:fill="FFFFFF"/>
        </w:rPr>
        <w:tab/>
        <w:t xml:space="preserve">(c)  </w:t>
      </w:r>
      <w:r w:rsidRPr="001C2D09" w:rsidR="008A0F85">
        <w:rPr>
          <w:sz w:val="22"/>
          <w:szCs w:val="22"/>
          <w:shd w:val="clear" w:color="auto" w:fill="FFFFFF"/>
        </w:rPr>
        <w:t>they make these records available to the FCC and to any directory publisher upon request</w:t>
      </w:r>
      <w:r w:rsidRPr="001C2D09" w:rsidR="008A0F85">
        <w:rPr>
          <w:spacing w:val="-3"/>
          <w:sz w:val="22"/>
          <w:szCs w:val="22"/>
          <w:shd w:val="clear" w:color="auto" w:fill="FFFFFF"/>
        </w:rPr>
        <w:t xml:space="preserve"> </w:t>
      </w:r>
    </w:p>
    <w:p w:rsidR="005C5E02" w:rsidRPr="001C2D09" w:rsidP="0077092A" w14:paraId="5115419D" w14:textId="18F642DB">
      <w:pPr>
        <w:tabs>
          <w:tab w:val="left" w:pos="-720"/>
        </w:tabs>
        <w:suppressAutoHyphens/>
        <w:rPr>
          <w:sz w:val="22"/>
          <w:szCs w:val="22"/>
          <w:shd w:val="clear" w:color="auto" w:fill="FFFFFF"/>
        </w:rPr>
      </w:pPr>
      <w:r w:rsidRPr="001C2D09">
        <w:rPr>
          <w:sz w:val="22"/>
          <w:szCs w:val="22"/>
          <w:shd w:val="clear" w:color="auto" w:fill="FFFFFF"/>
        </w:rPr>
        <w:tab/>
      </w:r>
      <w:r w:rsidRPr="001C2D09">
        <w:rPr>
          <w:sz w:val="22"/>
          <w:szCs w:val="22"/>
          <w:shd w:val="clear" w:color="auto" w:fill="FFFFFF"/>
        </w:rPr>
        <w:tab/>
      </w:r>
      <w:r w:rsidRPr="001C2D09" w:rsidR="00C311D4">
        <w:rPr>
          <w:sz w:val="22"/>
          <w:szCs w:val="22"/>
          <w:shd w:val="clear" w:color="auto" w:fill="FFFFFF"/>
        </w:rPr>
        <w:t>500</w:t>
      </w:r>
      <w:r w:rsidRPr="001C2D09" w:rsidR="00F06879">
        <w:rPr>
          <w:sz w:val="22"/>
          <w:szCs w:val="22"/>
          <w:shd w:val="clear" w:color="auto" w:fill="FFFFFF"/>
        </w:rPr>
        <w:t xml:space="preserve"> </w:t>
      </w:r>
      <w:r w:rsidRPr="001C2D09" w:rsidR="00C83DE3">
        <w:rPr>
          <w:sz w:val="22"/>
          <w:szCs w:val="22"/>
          <w:shd w:val="clear" w:color="auto" w:fill="FFFFFF"/>
        </w:rPr>
        <w:t xml:space="preserve">respondents x 2 responses/annum x </w:t>
      </w:r>
      <w:r w:rsidRPr="001C2D09" w:rsidR="00D55D8E">
        <w:rPr>
          <w:sz w:val="22"/>
          <w:szCs w:val="22"/>
          <w:shd w:val="clear" w:color="auto" w:fill="FFFFFF"/>
        </w:rPr>
        <w:t>1</w:t>
      </w:r>
      <w:r w:rsidRPr="001C2D09" w:rsidR="005C57CD">
        <w:rPr>
          <w:sz w:val="22"/>
          <w:szCs w:val="22"/>
          <w:shd w:val="clear" w:color="auto" w:fill="FFFFFF"/>
        </w:rPr>
        <w:t xml:space="preserve"> </w:t>
      </w:r>
      <w:r w:rsidRPr="001C2D09" w:rsidR="00C83DE3">
        <w:rPr>
          <w:sz w:val="22"/>
          <w:szCs w:val="22"/>
          <w:shd w:val="clear" w:color="auto" w:fill="FFFFFF"/>
        </w:rPr>
        <w:t>hour/</w:t>
      </w:r>
      <w:r w:rsidRPr="001C2D09" w:rsidR="00B42066">
        <w:rPr>
          <w:sz w:val="22"/>
          <w:szCs w:val="22"/>
          <w:shd w:val="clear" w:color="auto" w:fill="FFFFFF"/>
        </w:rPr>
        <w:t xml:space="preserve">third party </w:t>
      </w:r>
      <w:r w:rsidRPr="001C2D09" w:rsidR="00C83DE3">
        <w:rPr>
          <w:sz w:val="22"/>
          <w:szCs w:val="22"/>
          <w:shd w:val="clear" w:color="auto" w:fill="FFFFFF"/>
        </w:rPr>
        <w:t>r</w:t>
      </w:r>
      <w:r w:rsidRPr="001C2D09" w:rsidR="00C21CD3">
        <w:rPr>
          <w:sz w:val="22"/>
          <w:szCs w:val="22"/>
          <w:shd w:val="clear" w:color="auto" w:fill="FFFFFF"/>
        </w:rPr>
        <w:t xml:space="preserve">esponse </w:t>
      </w:r>
      <w:r w:rsidRPr="001C2D09" w:rsidR="00C83DE3">
        <w:rPr>
          <w:sz w:val="22"/>
          <w:szCs w:val="22"/>
          <w:shd w:val="clear" w:color="auto" w:fill="FFFFFF"/>
        </w:rPr>
        <w:t xml:space="preserve">= </w:t>
      </w:r>
      <w:r w:rsidRPr="001C2D09" w:rsidR="00E24127">
        <w:rPr>
          <w:sz w:val="22"/>
          <w:szCs w:val="22"/>
          <w:shd w:val="clear" w:color="auto" w:fill="FFFFFF"/>
        </w:rPr>
        <w:t xml:space="preserve"> </w:t>
      </w:r>
      <w:r w:rsidRPr="001C2D09" w:rsidR="00B261B2">
        <w:rPr>
          <w:sz w:val="22"/>
          <w:szCs w:val="22"/>
          <w:shd w:val="clear" w:color="auto" w:fill="FFFFFF"/>
        </w:rPr>
        <w:t>1,</w:t>
      </w:r>
      <w:r w:rsidRPr="001C2D09" w:rsidR="00C311D4">
        <w:rPr>
          <w:sz w:val="22"/>
          <w:szCs w:val="22"/>
          <w:shd w:val="clear" w:color="auto" w:fill="FFFFFF"/>
        </w:rPr>
        <w:t xml:space="preserve">000 </w:t>
      </w:r>
      <w:r w:rsidRPr="001C2D09" w:rsidR="00E24127">
        <w:rPr>
          <w:sz w:val="22"/>
          <w:szCs w:val="22"/>
          <w:shd w:val="clear" w:color="auto" w:fill="FFFFFF"/>
        </w:rPr>
        <w:t>hours</w:t>
      </w:r>
      <w:r w:rsidRPr="001C2D09" w:rsidR="00964C70">
        <w:rPr>
          <w:sz w:val="22"/>
          <w:szCs w:val="22"/>
          <w:shd w:val="clear" w:color="auto" w:fill="FFFFFF"/>
        </w:rPr>
        <w:t xml:space="preserve"> </w:t>
      </w:r>
      <w:r w:rsidRPr="001C2D09">
        <w:rPr>
          <w:sz w:val="22"/>
          <w:szCs w:val="22"/>
          <w:shd w:val="clear" w:color="auto" w:fill="FFFFFF"/>
        </w:rPr>
        <w:tab/>
      </w:r>
      <w:r w:rsidRPr="001C2D09">
        <w:rPr>
          <w:sz w:val="22"/>
          <w:szCs w:val="22"/>
          <w:shd w:val="clear" w:color="auto" w:fill="FFFFFF"/>
        </w:rPr>
        <w:tab/>
      </w:r>
      <w:r w:rsidRPr="001C2D09">
        <w:rPr>
          <w:sz w:val="22"/>
          <w:szCs w:val="22"/>
          <w:shd w:val="clear" w:color="auto" w:fill="FFFFFF"/>
        </w:rPr>
        <w:tab/>
      </w:r>
      <w:r w:rsidRPr="001C2D09" w:rsidR="00B42066">
        <w:rPr>
          <w:sz w:val="22"/>
          <w:szCs w:val="22"/>
          <w:shd w:val="clear" w:color="auto" w:fill="FFFFFF"/>
        </w:rPr>
        <w:t xml:space="preserve">(third party </w:t>
      </w:r>
      <w:r w:rsidRPr="001C2D09" w:rsidR="00CC1EB2">
        <w:rPr>
          <w:sz w:val="22"/>
          <w:szCs w:val="22"/>
          <w:shd w:val="clear" w:color="auto" w:fill="FFFFFF"/>
        </w:rPr>
        <w:t>disclosure</w:t>
      </w:r>
      <w:r w:rsidRPr="001C2D09" w:rsidR="00B42066">
        <w:rPr>
          <w:sz w:val="22"/>
          <w:szCs w:val="22"/>
          <w:shd w:val="clear" w:color="auto" w:fill="FFFFFF"/>
        </w:rPr>
        <w:t xml:space="preserve">) </w:t>
      </w:r>
    </w:p>
    <w:p w:rsidR="000A6C47" w:rsidRPr="001C2D09" w:rsidP="004E1B90" w14:paraId="2643D2E1" w14:textId="173CDD32">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2B20AC">
        <w:rPr>
          <w:sz w:val="22"/>
          <w:szCs w:val="22"/>
          <w:shd w:val="clear" w:color="auto" w:fill="FFFFFF"/>
        </w:rPr>
        <w:tab/>
      </w:r>
      <w:r w:rsidRPr="001C2D09">
        <w:rPr>
          <w:sz w:val="22"/>
          <w:szCs w:val="22"/>
          <w:shd w:val="clear" w:color="auto" w:fill="FFFFFF"/>
        </w:rPr>
        <w:t xml:space="preserve">Total: </w:t>
      </w:r>
      <w:r w:rsidRPr="001C2D09" w:rsidR="009D6AB3">
        <w:rPr>
          <w:sz w:val="22"/>
          <w:szCs w:val="22"/>
          <w:shd w:val="clear" w:color="auto" w:fill="FFFFFF"/>
        </w:rPr>
        <w:t xml:space="preserve"> </w:t>
      </w:r>
      <w:r w:rsidRPr="001C2D09" w:rsidR="00D46929">
        <w:rPr>
          <w:sz w:val="22"/>
          <w:szCs w:val="22"/>
          <w:shd w:val="clear" w:color="auto" w:fill="FFFFFF"/>
        </w:rPr>
        <w:t>250</w:t>
      </w:r>
      <w:r w:rsidRPr="001C2D09" w:rsidR="00F06879">
        <w:rPr>
          <w:sz w:val="22"/>
          <w:szCs w:val="22"/>
          <w:shd w:val="clear" w:color="auto" w:fill="FFFFFF"/>
        </w:rPr>
        <w:t xml:space="preserve"> </w:t>
      </w:r>
      <w:r w:rsidRPr="001C2D09" w:rsidR="00115F8C">
        <w:rPr>
          <w:sz w:val="22"/>
          <w:szCs w:val="22"/>
          <w:shd w:val="clear" w:color="auto" w:fill="FFFFFF"/>
        </w:rPr>
        <w:t xml:space="preserve">hours + </w:t>
      </w:r>
      <w:r w:rsidRPr="001C2D09" w:rsidR="00D46929">
        <w:rPr>
          <w:sz w:val="22"/>
          <w:szCs w:val="22"/>
          <w:shd w:val="clear" w:color="auto" w:fill="FFFFFF"/>
        </w:rPr>
        <w:t>250</w:t>
      </w:r>
      <w:r w:rsidRPr="001C2D09" w:rsidR="00115F8C">
        <w:rPr>
          <w:sz w:val="22"/>
          <w:szCs w:val="22"/>
          <w:shd w:val="clear" w:color="auto" w:fill="FFFFFF"/>
        </w:rPr>
        <w:t xml:space="preserve"> hours </w:t>
      </w:r>
      <w:r w:rsidRPr="001C2D09" w:rsidR="008A0F85">
        <w:rPr>
          <w:sz w:val="22"/>
          <w:szCs w:val="22"/>
          <w:shd w:val="clear" w:color="auto" w:fill="FFFFFF"/>
        </w:rPr>
        <w:t xml:space="preserve">+ </w:t>
      </w:r>
      <w:r w:rsidRPr="001C2D09" w:rsidR="00D46929">
        <w:rPr>
          <w:sz w:val="22"/>
          <w:szCs w:val="22"/>
          <w:shd w:val="clear" w:color="auto" w:fill="FFFFFF"/>
        </w:rPr>
        <w:t>1,000</w:t>
      </w:r>
      <w:r w:rsidRPr="001C2D09" w:rsidR="00E71ACD">
        <w:rPr>
          <w:sz w:val="22"/>
          <w:szCs w:val="22"/>
          <w:shd w:val="clear" w:color="auto" w:fill="FFFFFF"/>
        </w:rPr>
        <w:t xml:space="preserve"> </w:t>
      </w:r>
      <w:r w:rsidRPr="001C2D09" w:rsidR="000C763E">
        <w:rPr>
          <w:sz w:val="22"/>
          <w:szCs w:val="22"/>
          <w:shd w:val="clear" w:color="auto" w:fill="FFFFFF"/>
        </w:rPr>
        <w:t xml:space="preserve">hours </w:t>
      </w:r>
      <w:r w:rsidRPr="001C2D09">
        <w:rPr>
          <w:sz w:val="22"/>
          <w:szCs w:val="22"/>
          <w:shd w:val="clear" w:color="auto" w:fill="FFFFFF"/>
        </w:rPr>
        <w:t xml:space="preserve">= </w:t>
      </w:r>
      <w:r w:rsidRPr="001C2D09" w:rsidR="00D46929">
        <w:rPr>
          <w:sz w:val="22"/>
          <w:szCs w:val="22"/>
          <w:shd w:val="clear" w:color="auto" w:fill="FFFFFF"/>
        </w:rPr>
        <w:t>1,500</w:t>
      </w:r>
      <w:r w:rsidRPr="001C2D09" w:rsidR="00E71ACD">
        <w:rPr>
          <w:sz w:val="22"/>
          <w:szCs w:val="22"/>
          <w:shd w:val="clear" w:color="auto" w:fill="FFFFFF"/>
        </w:rPr>
        <w:t xml:space="preserve"> </w:t>
      </w:r>
      <w:r w:rsidRPr="001C2D09">
        <w:rPr>
          <w:sz w:val="22"/>
          <w:szCs w:val="22"/>
          <w:shd w:val="clear" w:color="auto" w:fill="FFFFFF"/>
        </w:rPr>
        <w:t>hours</w:t>
      </w:r>
    </w:p>
    <w:p w:rsidR="005C5E02" w:rsidRPr="001C2D09" w:rsidP="004E1B90" w14:paraId="312003A2" w14:textId="4B9A7A59">
      <w:pPr>
        <w:tabs>
          <w:tab w:val="left" w:pos="-720"/>
        </w:tabs>
        <w:suppressAutoHyphens/>
        <w:spacing w:after="120"/>
        <w:rPr>
          <w:sz w:val="22"/>
          <w:szCs w:val="22"/>
          <w:shd w:val="clear" w:color="auto" w:fill="FFFFFF"/>
        </w:rPr>
      </w:pPr>
      <w:r w:rsidRPr="001C2D09">
        <w:rPr>
          <w:sz w:val="22"/>
          <w:szCs w:val="22"/>
          <w:shd w:val="clear" w:color="auto" w:fill="FFFFFF"/>
        </w:rPr>
        <w:tab/>
        <w:t>(</w:t>
      </w:r>
      <w:r w:rsidRPr="001C2D09" w:rsidR="00672170">
        <w:rPr>
          <w:sz w:val="22"/>
          <w:szCs w:val="22"/>
          <w:shd w:val="clear" w:color="auto" w:fill="FFFFFF"/>
        </w:rPr>
        <w:t>5</w:t>
      </w:r>
      <w:r w:rsidRPr="001C2D09">
        <w:rPr>
          <w:sz w:val="22"/>
          <w:szCs w:val="22"/>
          <w:shd w:val="clear" w:color="auto" w:fill="FFFFFF"/>
        </w:rPr>
        <w:t>)</w:t>
      </w:r>
      <w:r w:rsidRPr="001C2D09">
        <w:rPr>
          <w:sz w:val="22"/>
          <w:szCs w:val="22"/>
          <w:shd w:val="clear" w:color="auto" w:fill="FFFFFF"/>
        </w:rPr>
        <w:tab/>
        <w:t xml:space="preserve">Total </w:t>
      </w:r>
      <w:r w:rsidRPr="001C2D09" w:rsidR="00E9063A">
        <w:rPr>
          <w:sz w:val="22"/>
          <w:szCs w:val="22"/>
          <w:shd w:val="clear" w:color="auto" w:fill="FFFFFF"/>
        </w:rPr>
        <w:t>“In House” Costs:</w:t>
      </w:r>
      <w:r w:rsidRPr="001C2D09">
        <w:rPr>
          <w:sz w:val="22"/>
          <w:szCs w:val="22"/>
          <w:shd w:val="clear" w:color="auto" w:fill="FFFFFF"/>
        </w:rPr>
        <w:t xml:space="preserve">  </w:t>
      </w:r>
      <w:r w:rsidRPr="001C2D09" w:rsidR="009A7B92">
        <w:rPr>
          <w:spacing w:val="-3"/>
          <w:sz w:val="22"/>
          <w:szCs w:val="22"/>
          <w:shd w:val="clear" w:color="auto" w:fill="FFFFFF"/>
        </w:rPr>
        <w:t>$</w:t>
      </w:r>
      <w:r w:rsidRPr="001C2D09" w:rsidR="00285353">
        <w:rPr>
          <w:spacing w:val="-3"/>
          <w:sz w:val="22"/>
          <w:szCs w:val="22"/>
          <w:shd w:val="clear" w:color="auto" w:fill="FFFFFF"/>
        </w:rPr>
        <w:t>105,04</w:t>
      </w:r>
      <w:r w:rsidRPr="001C2D09" w:rsidR="000A7A18">
        <w:rPr>
          <w:spacing w:val="-3"/>
          <w:sz w:val="22"/>
          <w:szCs w:val="22"/>
          <w:shd w:val="clear" w:color="auto" w:fill="FFFFFF"/>
        </w:rPr>
        <w:t>8</w:t>
      </w:r>
      <w:r w:rsidRPr="001C2D09" w:rsidR="00B9542A">
        <w:rPr>
          <w:spacing w:val="-3"/>
          <w:sz w:val="22"/>
          <w:szCs w:val="22"/>
          <w:shd w:val="clear" w:color="auto" w:fill="FFFFFF"/>
        </w:rPr>
        <w:t xml:space="preserve"> </w:t>
      </w:r>
    </w:p>
    <w:p w:rsidR="00D67527" w:rsidRPr="001C2D09" w:rsidP="006A33C6" w14:paraId="671188C5" w14:textId="1B35B792">
      <w:pPr>
        <w:tabs>
          <w:tab w:val="left" w:pos="-720"/>
          <w:tab w:val="left" w:pos="1080"/>
        </w:tabs>
        <w:suppressAutoHyphens/>
        <w:spacing w:after="120"/>
        <w:rPr>
          <w:sz w:val="22"/>
          <w:szCs w:val="22"/>
          <w:shd w:val="clear" w:color="auto" w:fill="FFFFFF"/>
        </w:rPr>
      </w:pPr>
      <w:r w:rsidRPr="001C2D09">
        <w:rPr>
          <w:sz w:val="22"/>
          <w:szCs w:val="22"/>
          <w:shd w:val="clear" w:color="auto" w:fill="FFFFFF"/>
        </w:rPr>
        <w:t xml:space="preserve">The Commission </w:t>
      </w:r>
      <w:r w:rsidRPr="001C2D09" w:rsidR="005C5E02">
        <w:rPr>
          <w:sz w:val="22"/>
          <w:szCs w:val="22"/>
          <w:shd w:val="clear" w:color="auto" w:fill="FFFFFF"/>
        </w:rPr>
        <w:t>estimate</w:t>
      </w:r>
      <w:r w:rsidRPr="001C2D09">
        <w:rPr>
          <w:sz w:val="22"/>
          <w:szCs w:val="22"/>
          <w:shd w:val="clear" w:color="auto" w:fill="FFFFFF"/>
        </w:rPr>
        <w:t>s</w:t>
      </w:r>
      <w:r w:rsidRPr="001C2D09" w:rsidR="005C5E02">
        <w:rPr>
          <w:sz w:val="22"/>
          <w:szCs w:val="22"/>
          <w:shd w:val="clear" w:color="auto" w:fill="FFFFFF"/>
        </w:rPr>
        <w:t xml:space="preserve"> that </w:t>
      </w:r>
      <w:r w:rsidRPr="001C2D09">
        <w:rPr>
          <w:sz w:val="22"/>
          <w:szCs w:val="22"/>
          <w:shd w:val="clear" w:color="auto" w:fill="FFFFFF"/>
        </w:rPr>
        <w:t xml:space="preserve">respondents will use </w:t>
      </w:r>
      <w:r w:rsidRPr="001C2D09" w:rsidR="00D55D8E">
        <w:rPr>
          <w:sz w:val="22"/>
          <w:szCs w:val="22"/>
          <w:shd w:val="clear" w:color="auto" w:fill="FFFFFF"/>
        </w:rPr>
        <w:t>staff</w:t>
      </w:r>
      <w:r w:rsidRPr="001C2D09" w:rsidR="00616534">
        <w:rPr>
          <w:sz w:val="22"/>
          <w:szCs w:val="22"/>
          <w:shd w:val="clear" w:color="auto" w:fill="FFFFFF"/>
        </w:rPr>
        <w:t xml:space="preserve"> </w:t>
      </w:r>
      <w:r w:rsidRPr="001C2D09" w:rsidR="00616534">
        <w:rPr>
          <w:spacing w:val="-3"/>
          <w:sz w:val="22"/>
          <w:szCs w:val="22"/>
          <w:shd w:val="clear" w:color="auto" w:fill="FFFFFF"/>
        </w:rPr>
        <w:t xml:space="preserve">comparable in pay to </w:t>
      </w:r>
      <w:r w:rsidRPr="001C2D09">
        <w:rPr>
          <w:sz w:val="22"/>
          <w:szCs w:val="22"/>
          <w:shd w:val="clear" w:color="auto" w:fill="FFFFFF"/>
        </w:rPr>
        <w:t>a GS-1</w:t>
      </w:r>
      <w:r w:rsidRPr="001C2D09" w:rsidR="00D55D8E">
        <w:rPr>
          <w:sz w:val="22"/>
          <w:szCs w:val="22"/>
          <w:shd w:val="clear" w:color="auto" w:fill="FFFFFF"/>
        </w:rPr>
        <w:t>2/</w:t>
      </w:r>
      <w:r w:rsidRPr="001C2D09">
        <w:rPr>
          <w:sz w:val="22"/>
          <w:szCs w:val="22"/>
          <w:shd w:val="clear" w:color="auto" w:fill="FFFFFF"/>
        </w:rPr>
        <w:t xml:space="preserve">Step </w:t>
      </w:r>
      <w:r w:rsidRPr="001C2D09" w:rsidR="002B14FB">
        <w:rPr>
          <w:sz w:val="22"/>
          <w:szCs w:val="22"/>
          <w:shd w:val="clear" w:color="auto" w:fill="FFFFFF"/>
        </w:rPr>
        <w:t>5</w:t>
      </w:r>
      <w:r w:rsidRPr="001C2D09" w:rsidR="00333433">
        <w:rPr>
          <w:sz w:val="22"/>
          <w:szCs w:val="22"/>
          <w:shd w:val="clear" w:color="auto" w:fill="FFFFFF"/>
        </w:rPr>
        <w:t xml:space="preserve"> ($</w:t>
      </w:r>
      <w:r w:rsidRPr="001C2D09" w:rsidR="00AB4A52">
        <w:rPr>
          <w:sz w:val="22"/>
          <w:szCs w:val="22"/>
          <w:shd w:val="clear" w:color="auto" w:fill="FFFFFF"/>
        </w:rPr>
        <w:t>53.87</w:t>
      </w:r>
      <w:r w:rsidRPr="001C2D09" w:rsidR="00616534">
        <w:rPr>
          <w:sz w:val="22"/>
          <w:szCs w:val="22"/>
          <w:shd w:val="clear" w:color="auto" w:fill="FFFFFF"/>
        </w:rPr>
        <w:t>/hour) Federal employee</w:t>
      </w:r>
      <w:r w:rsidRPr="001C2D09" w:rsidR="00EF5090">
        <w:rPr>
          <w:sz w:val="22"/>
          <w:szCs w:val="22"/>
          <w:shd w:val="clear" w:color="auto" w:fill="FFFFFF"/>
        </w:rPr>
        <w:t xml:space="preserve">, </w:t>
      </w:r>
      <w:r w:rsidRPr="001C2D09" w:rsidR="00F9632D">
        <w:rPr>
          <w:sz w:val="22"/>
          <w:szCs w:val="22"/>
          <w:shd w:val="clear" w:color="auto" w:fill="FFFFFF"/>
        </w:rPr>
        <w:t>plus</w:t>
      </w:r>
      <w:r w:rsidRPr="001C2D09" w:rsidR="00EF5090">
        <w:rPr>
          <w:sz w:val="22"/>
          <w:szCs w:val="22"/>
          <w:shd w:val="clear" w:color="auto" w:fill="FFFFFF"/>
        </w:rPr>
        <w:t xml:space="preserve"> 30% overhead,</w:t>
      </w:r>
      <w:r w:rsidRPr="001C2D09">
        <w:rPr>
          <w:sz w:val="22"/>
          <w:szCs w:val="22"/>
          <w:shd w:val="clear" w:color="auto" w:fill="FFFFFF"/>
        </w:rPr>
        <w:t xml:space="preserve"> to </w:t>
      </w:r>
      <w:r w:rsidRPr="001C2D09" w:rsidR="00616534">
        <w:rPr>
          <w:sz w:val="22"/>
          <w:szCs w:val="22"/>
          <w:shd w:val="clear" w:color="auto" w:fill="FFFFFF"/>
        </w:rPr>
        <w:t>maintain these records and to disclose the contract and subscriber list information to publisher</w:t>
      </w:r>
      <w:r w:rsidRPr="001C2D09" w:rsidR="005C21C2">
        <w:rPr>
          <w:sz w:val="22"/>
          <w:szCs w:val="22"/>
          <w:shd w:val="clear" w:color="auto" w:fill="FFFFFF"/>
        </w:rPr>
        <w:t>s</w:t>
      </w:r>
      <w:r w:rsidRPr="001C2D09" w:rsidR="00616534">
        <w:rPr>
          <w:sz w:val="22"/>
          <w:szCs w:val="22"/>
          <w:shd w:val="clear" w:color="auto" w:fill="FFFFFF"/>
        </w:rPr>
        <w:t xml:space="preserve"> and the FCC, upon request, </w:t>
      </w:r>
      <w:r w:rsidRPr="001C2D09" w:rsidR="00616534">
        <w:rPr>
          <w:i/>
          <w:sz w:val="22"/>
          <w:szCs w:val="22"/>
          <w:shd w:val="clear" w:color="auto" w:fill="FFFFFF"/>
        </w:rPr>
        <w:t>e.g.</w:t>
      </w:r>
      <w:r w:rsidRPr="001C2D09" w:rsidR="00616534">
        <w:rPr>
          <w:sz w:val="22"/>
          <w:szCs w:val="22"/>
          <w:shd w:val="clear" w:color="auto" w:fill="FFFFFF"/>
        </w:rPr>
        <w:t xml:space="preserve">, third party disclosure </w:t>
      </w:r>
      <w:r w:rsidRPr="001C2D09" w:rsidR="00EF5090">
        <w:rPr>
          <w:sz w:val="22"/>
          <w:szCs w:val="22"/>
          <w:shd w:val="clear" w:color="auto" w:fill="FFFFFF"/>
        </w:rPr>
        <w:t>requirement.</w:t>
      </w:r>
    </w:p>
    <w:p w:rsidR="00881FA5" w:rsidRPr="001C2D09" w:rsidP="0077092A" w14:paraId="1DA945B5" w14:textId="52104354">
      <w:pPr>
        <w:tabs>
          <w:tab w:val="left" w:pos="-720"/>
        </w:tabs>
        <w:suppressAutoHyphens/>
        <w:rPr>
          <w:sz w:val="22"/>
          <w:szCs w:val="22"/>
          <w:shd w:val="clear" w:color="auto" w:fill="FFFFFF"/>
        </w:rPr>
      </w:pPr>
      <w:r w:rsidRPr="001C2D09">
        <w:rPr>
          <w:sz w:val="22"/>
          <w:szCs w:val="22"/>
          <w:shd w:val="clear" w:color="auto" w:fill="FFFFFF"/>
        </w:rPr>
        <w:tab/>
      </w:r>
      <w:r w:rsidRPr="001C2D09">
        <w:rPr>
          <w:sz w:val="22"/>
          <w:szCs w:val="22"/>
          <w:shd w:val="clear" w:color="auto" w:fill="FFFFFF"/>
        </w:rPr>
        <w:tab/>
      </w:r>
      <w:r w:rsidRPr="001C2D09" w:rsidR="008672BD">
        <w:rPr>
          <w:sz w:val="22"/>
          <w:szCs w:val="22"/>
          <w:shd w:val="clear" w:color="auto" w:fill="FFFFFF"/>
        </w:rPr>
        <w:t xml:space="preserve">250 </w:t>
      </w:r>
      <w:r w:rsidRPr="001C2D09" w:rsidR="00573CF7">
        <w:rPr>
          <w:sz w:val="22"/>
          <w:szCs w:val="22"/>
          <w:shd w:val="clear" w:color="auto" w:fill="FFFFFF"/>
        </w:rPr>
        <w:t>hours/recordkeeping requirements x $</w:t>
      </w:r>
      <w:r w:rsidRPr="001C2D09" w:rsidR="00AB4A52">
        <w:rPr>
          <w:sz w:val="22"/>
          <w:szCs w:val="22"/>
          <w:shd w:val="clear" w:color="auto" w:fill="FFFFFF"/>
        </w:rPr>
        <w:t>53.87</w:t>
      </w:r>
      <w:r w:rsidRPr="001C2D09" w:rsidR="00573CF7">
        <w:rPr>
          <w:sz w:val="22"/>
          <w:szCs w:val="22"/>
          <w:shd w:val="clear" w:color="auto" w:fill="FFFFFF"/>
        </w:rPr>
        <w:t>/hour = $</w:t>
      </w:r>
      <w:r w:rsidRPr="001C2D09" w:rsidR="00466864">
        <w:rPr>
          <w:sz w:val="22"/>
          <w:szCs w:val="22"/>
          <w:shd w:val="clear" w:color="auto" w:fill="FFFFFF"/>
        </w:rPr>
        <w:t>13,468</w:t>
      </w:r>
      <w:r w:rsidRPr="001C2D09" w:rsidR="00B30CE1">
        <w:rPr>
          <w:sz w:val="22"/>
          <w:szCs w:val="22"/>
          <w:shd w:val="clear" w:color="auto" w:fill="FFFFFF"/>
        </w:rPr>
        <w:t xml:space="preserve"> </w:t>
      </w:r>
      <w:r w:rsidRPr="001C2D09" w:rsidR="00337B9A">
        <w:rPr>
          <w:sz w:val="22"/>
          <w:szCs w:val="22"/>
          <w:shd w:val="clear" w:color="auto" w:fill="FFFFFF"/>
        </w:rPr>
        <w:t xml:space="preserve"> </w:t>
      </w:r>
    </w:p>
    <w:p w:rsidR="00881FA5" w:rsidRPr="001C2D09" w:rsidP="0077092A" w14:paraId="01E403B4" w14:textId="751937C9">
      <w:pPr>
        <w:tabs>
          <w:tab w:val="left" w:pos="-720"/>
        </w:tabs>
        <w:suppressAutoHyphens/>
        <w:rPr>
          <w:sz w:val="22"/>
          <w:szCs w:val="22"/>
          <w:shd w:val="clear" w:color="auto" w:fill="FFFFFF"/>
        </w:rPr>
      </w:pPr>
      <w:r w:rsidRPr="001C2D09">
        <w:rPr>
          <w:sz w:val="22"/>
          <w:szCs w:val="22"/>
          <w:shd w:val="clear" w:color="auto" w:fill="FFFFFF"/>
        </w:rPr>
        <w:tab/>
      </w:r>
      <w:r w:rsidRPr="001C2D09">
        <w:rPr>
          <w:sz w:val="22"/>
          <w:szCs w:val="22"/>
          <w:shd w:val="clear" w:color="auto" w:fill="FFFFFF"/>
        </w:rPr>
        <w:tab/>
      </w:r>
      <w:r w:rsidRPr="001C2D09" w:rsidR="008672BD">
        <w:rPr>
          <w:sz w:val="22"/>
          <w:szCs w:val="22"/>
          <w:shd w:val="clear" w:color="auto" w:fill="FFFFFF"/>
        </w:rPr>
        <w:t xml:space="preserve">250 </w:t>
      </w:r>
      <w:r w:rsidRPr="001C2D09" w:rsidR="00573CF7">
        <w:rPr>
          <w:sz w:val="22"/>
          <w:szCs w:val="22"/>
          <w:shd w:val="clear" w:color="auto" w:fill="FFFFFF"/>
        </w:rPr>
        <w:t>hours/</w:t>
      </w:r>
      <w:r w:rsidRPr="001C2D09" w:rsidR="000468A7">
        <w:rPr>
          <w:sz w:val="22"/>
          <w:szCs w:val="22"/>
          <w:shd w:val="clear" w:color="auto" w:fill="FFFFFF"/>
        </w:rPr>
        <w:t>recordkeeping</w:t>
      </w:r>
      <w:r w:rsidRPr="001C2D09" w:rsidR="0052630C">
        <w:rPr>
          <w:sz w:val="22"/>
          <w:szCs w:val="22"/>
          <w:shd w:val="clear" w:color="auto" w:fill="FFFFFF"/>
        </w:rPr>
        <w:t xml:space="preserve"> </w:t>
      </w:r>
      <w:r w:rsidRPr="001C2D09" w:rsidR="00573CF7">
        <w:rPr>
          <w:sz w:val="22"/>
          <w:szCs w:val="22"/>
          <w:shd w:val="clear" w:color="auto" w:fill="FFFFFF"/>
        </w:rPr>
        <w:t>requirements x $</w:t>
      </w:r>
      <w:r w:rsidRPr="001C2D09" w:rsidR="00AB4A52">
        <w:rPr>
          <w:sz w:val="22"/>
          <w:szCs w:val="22"/>
          <w:shd w:val="clear" w:color="auto" w:fill="FFFFFF"/>
        </w:rPr>
        <w:t>53.87</w:t>
      </w:r>
      <w:r w:rsidRPr="001C2D09" w:rsidR="005B091F">
        <w:rPr>
          <w:sz w:val="22"/>
          <w:szCs w:val="22"/>
          <w:shd w:val="clear" w:color="auto" w:fill="FFFFFF"/>
        </w:rPr>
        <w:t>/</w:t>
      </w:r>
      <w:r w:rsidRPr="001C2D09" w:rsidR="00573CF7">
        <w:rPr>
          <w:sz w:val="22"/>
          <w:szCs w:val="22"/>
          <w:shd w:val="clear" w:color="auto" w:fill="FFFFFF"/>
        </w:rPr>
        <w:t>hour = $</w:t>
      </w:r>
      <w:r w:rsidRPr="001C2D09" w:rsidR="00466864">
        <w:rPr>
          <w:sz w:val="22"/>
          <w:szCs w:val="22"/>
          <w:shd w:val="clear" w:color="auto" w:fill="FFFFFF"/>
        </w:rPr>
        <w:t>13,468</w:t>
      </w:r>
      <w:r w:rsidRPr="001C2D09" w:rsidR="00B30CE1">
        <w:rPr>
          <w:sz w:val="22"/>
          <w:szCs w:val="22"/>
          <w:shd w:val="clear" w:color="auto" w:fill="FFFFFF"/>
        </w:rPr>
        <w:t xml:space="preserve"> </w:t>
      </w:r>
      <w:r w:rsidRPr="001C2D09" w:rsidR="00337B9A">
        <w:rPr>
          <w:sz w:val="22"/>
          <w:szCs w:val="22"/>
          <w:shd w:val="clear" w:color="auto" w:fill="FFFFFF"/>
        </w:rPr>
        <w:t xml:space="preserve"> </w:t>
      </w:r>
    </w:p>
    <w:p w:rsidR="00881FA5" w:rsidRPr="001C2D09" w:rsidP="0077092A" w14:paraId="236EC6CA" w14:textId="573C3A14">
      <w:pPr>
        <w:tabs>
          <w:tab w:val="left" w:pos="-720"/>
        </w:tabs>
        <w:suppressAutoHyphens/>
        <w:rPr>
          <w:sz w:val="22"/>
          <w:szCs w:val="22"/>
          <w:shd w:val="clear" w:color="auto" w:fill="FFFFFF"/>
        </w:rPr>
      </w:pPr>
      <w:r w:rsidRPr="001C2D09">
        <w:rPr>
          <w:sz w:val="22"/>
          <w:szCs w:val="22"/>
          <w:shd w:val="clear" w:color="auto" w:fill="FFFFFF"/>
        </w:rPr>
        <w:tab/>
      </w:r>
      <w:r w:rsidRPr="001C2D09">
        <w:rPr>
          <w:sz w:val="22"/>
          <w:szCs w:val="22"/>
          <w:shd w:val="clear" w:color="auto" w:fill="FFFFFF"/>
        </w:rPr>
        <w:tab/>
      </w:r>
      <w:r w:rsidRPr="001C2D09" w:rsidR="00337B9A">
        <w:rPr>
          <w:sz w:val="22"/>
          <w:szCs w:val="22"/>
          <w:shd w:val="clear" w:color="auto" w:fill="FFFFFF"/>
        </w:rPr>
        <w:t xml:space="preserve">    </w:t>
      </w:r>
      <w:r w:rsidRPr="001C2D09" w:rsidR="00B261B2">
        <w:rPr>
          <w:sz w:val="22"/>
          <w:szCs w:val="22"/>
          <w:shd w:val="clear" w:color="auto" w:fill="FFFFFF"/>
        </w:rPr>
        <w:t>1,</w:t>
      </w:r>
      <w:r w:rsidRPr="001C2D09" w:rsidR="00A82046">
        <w:rPr>
          <w:sz w:val="22"/>
          <w:szCs w:val="22"/>
          <w:shd w:val="clear" w:color="auto" w:fill="FFFFFF"/>
        </w:rPr>
        <w:t xml:space="preserve">000 </w:t>
      </w:r>
      <w:r w:rsidRPr="001C2D09" w:rsidR="00573CF7">
        <w:rPr>
          <w:sz w:val="22"/>
          <w:szCs w:val="22"/>
          <w:shd w:val="clear" w:color="auto" w:fill="FFFFFF"/>
        </w:rPr>
        <w:t>hours/disclosure requirements x $</w:t>
      </w:r>
      <w:r w:rsidRPr="001C2D09" w:rsidR="00AB4A52">
        <w:rPr>
          <w:sz w:val="22"/>
          <w:szCs w:val="22"/>
          <w:shd w:val="clear" w:color="auto" w:fill="FFFFFF"/>
        </w:rPr>
        <w:t>53.87</w:t>
      </w:r>
      <w:r w:rsidRPr="001C2D09" w:rsidR="00573CF7">
        <w:rPr>
          <w:sz w:val="22"/>
          <w:szCs w:val="22"/>
          <w:shd w:val="clear" w:color="auto" w:fill="FFFFFF"/>
        </w:rPr>
        <w:t xml:space="preserve">/hour = </w:t>
      </w:r>
      <w:r w:rsidRPr="001C2D09" w:rsidR="009F7A8B">
        <w:rPr>
          <w:sz w:val="22"/>
          <w:szCs w:val="22"/>
          <w:u w:val="single"/>
          <w:shd w:val="clear" w:color="auto" w:fill="FFFFFF"/>
        </w:rPr>
        <w:t>$</w:t>
      </w:r>
      <w:r w:rsidRPr="001C2D09" w:rsidR="00EB70FD">
        <w:rPr>
          <w:sz w:val="22"/>
          <w:szCs w:val="22"/>
          <w:u w:val="single"/>
          <w:shd w:val="clear" w:color="auto" w:fill="FFFFFF"/>
        </w:rPr>
        <w:t>53,870</w:t>
      </w:r>
      <w:r w:rsidRPr="001C2D09" w:rsidR="00337B9A">
        <w:rPr>
          <w:sz w:val="22"/>
          <w:szCs w:val="22"/>
          <w:u w:val="single"/>
          <w:shd w:val="clear" w:color="auto" w:fill="FFFFFF"/>
        </w:rPr>
        <w:t xml:space="preserve"> </w:t>
      </w:r>
    </w:p>
    <w:p w:rsidR="00573CF7" w:rsidRPr="001C2D09" w:rsidP="0077092A" w14:paraId="6BCD0847" w14:textId="0054736A">
      <w:pPr>
        <w:tabs>
          <w:tab w:val="left" w:pos="-720"/>
        </w:tabs>
        <w:suppressAutoHyphens/>
        <w:rPr>
          <w:sz w:val="22"/>
          <w:szCs w:val="22"/>
          <w:shd w:val="clear" w:color="auto" w:fill="FFFFFF"/>
        </w:rPr>
      </w:pPr>
      <w:r w:rsidRPr="001C2D09">
        <w:rPr>
          <w:sz w:val="22"/>
          <w:szCs w:val="22"/>
          <w:shd w:val="clear" w:color="auto" w:fill="FFFFFF"/>
        </w:rPr>
        <w:tab/>
      </w:r>
      <w:r w:rsidRPr="001C2D09">
        <w:rPr>
          <w:sz w:val="22"/>
          <w:szCs w:val="22"/>
          <w:shd w:val="clear" w:color="auto" w:fill="FFFFFF"/>
        </w:rPr>
        <w:tab/>
      </w:r>
      <w:r w:rsidRPr="001C2D09" w:rsidR="00D93DC9">
        <w:rPr>
          <w:sz w:val="22"/>
          <w:szCs w:val="22"/>
          <w:shd w:val="clear" w:color="auto" w:fill="FFFFFF"/>
        </w:rPr>
        <w:tab/>
      </w:r>
      <w:r w:rsidRPr="001C2D09" w:rsidR="00D93DC9">
        <w:rPr>
          <w:sz w:val="22"/>
          <w:szCs w:val="22"/>
          <w:shd w:val="clear" w:color="auto" w:fill="FFFFFF"/>
        </w:rPr>
        <w:tab/>
      </w:r>
      <w:r w:rsidRPr="001C2D09" w:rsidR="00D93DC9">
        <w:rPr>
          <w:sz w:val="22"/>
          <w:szCs w:val="22"/>
          <w:shd w:val="clear" w:color="auto" w:fill="FFFFFF"/>
        </w:rPr>
        <w:tab/>
      </w:r>
      <w:r w:rsidRPr="001C2D09" w:rsidR="00D93DC9">
        <w:rPr>
          <w:sz w:val="22"/>
          <w:szCs w:val="22"/>
          <w:shd w:val="clear" w:color="auto" w:fill="FFFFFF"/>
        </w:rPr>
        <w:tab/>
      </w:r>
      <w:r w:rsidRPr="001C2D09" w:rsidR="00D93DC9">
        <w:rPr>
          <w:sz w:val="22"/>
          <w:szCs w:val="22"/>
          <w:shd w:val="clear" w:color="auto" w:fill="FFFFFF"/>
        </w:rPr>
        <w:tab/>
      </w:r>
      <w:r w:rsidRPr="001C2D09" w:rsidR="00D93DC9">
        <w:rPr>
          <w:sz w:val="22"/>
          <w:szCs w:val="22"/>
          <w:shd w:val="clear" w:color="auto" w:fill="FFFFFF"/>
        </w:rPr>
        <w:tab/>
      </w:r>
      <w:r w:rsidRPr="001C2D09">
        <w:rPr>
          <w:sz w:val="22"/>
          <w:szCs w:val="22"/>
          <w:shd w:val="clear" w:color="auto" w:fill="FFFFFF"/>
        </w:rPr>
        <w:t xml:space="preserve">           </w:t>
      </w:r>
      <w:r w:rsidRPr="001C2D09" w:rsidR="00515A79">
        <w:rPr>
          <w:sz w:val="22"/>
          <w:szCs w:val="22"/>
          <w:shd w:val="clear" w:color="auto" w:fill="FFFFFF"/>
        </w:rPr>
        <w:t>$</w:t>
      </w:r>
      <w:r w:rsidRPr="001C2D09" w:rsidR="00285353">
        <w:rPr>
          <w:sz w:val="22"/>
          <w:szCs w:val="22"/>
          <w:shd w:val="clear" w:color="auto" w:fill="FFFFFF"/>
        </w:rPr>
        <w:t>80,80</w:t>
      </w:r>
      <w:r w:rsidRPr="001C2D09" w:rsidR="00681D3B">
        <w:rPr>
          <w:sz w:val="22"/>
          <w:szCs w:val="22"/>
          <w:shd w:val="clear" w:color="auto" w:fill="FFFFFF"/>
        </w:rPr>
        <w:t>6</w:t>
      </w:r>
    </w:p>
    <w:p w:rsidR="00433208" w:rsidRPr="001C2D09" w:rsidP="0077092A" w14:paraId="33C374EB" w14:textId="7B9E3F1E">
      <w:pPr>
        <w:tabs>
          <w:tab w:val="left" w:pos="1080"/>
        </w:tabs>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5B091F">
        <w:rPr>
          <w:spacing w:val="-3"/>
          <w:sz w:val="22"/>
          <w:szCs w:val="22"/>
          <w:shd w:val="clear" w:color="auto" w:fill="FFFFFF"/>
        </w:rPr>
        <w:tab/>
      </w:r>
      <w:r w:rsidRPr="001C2D09" w:rsidR="005B091F">
        <w:rPr>
          <w:spacing w:val="-3"/>
          <w:sz w:val="22"/>
          <w:szCs w:val="22"/>
          <w:shd w:val="clear" w:color="auto" w:fill="FFFFFF"/>
        </w:rPr>
        <w:tab/>
      </w:r>
      <w:r w:rsidRPr="001C2D09" w:rsidR="005B091F">
        <w:rPr>
          <w:spacing w:val="-3"/>
          <w:sz w:val="22"/>
          <w:szCs w:val="22"/>
          <w:shd w:val="clear" w:color="auto" w:fill="FFFFFF"/>
        </w:rPr>
        <w:tab/>
      </w:r>
      <w:r w:rsidRPr="001C2D09" w:rsidR="005B091F">
        <w:rPr>
          <w:spacing w:val="-3"/>
          <w:sz w:val="22"/>
          <w:szCs w:val="22"/>
          <w:shd w:val="clear" w:color="auto" w:fill="FFFFFF"/>
        </w:rPr>
        <w:tab/>
      </w:r>
      <w:r w:rsidRPr="001C2D09">
        <w:rPr>
          <w:spacing w:val="-3"/>
          <w:sz w:val="22"/>
          <w:szCs w:val="22"/>
          <w:shd w:val="clear" w:color="auto" w:fill="FFFFFF"/>
        </w:rPr>
        <w:t xml:space="preserve">           </w:t>
      </w:r>
      <w:r w:rsidRPr="001C2D09" w:rsidR="005B6A06">
        <w:rPr>
          <w:spacing w:val="-3"/>
          <w:sz w:val="22"/>
          <w:szCs w:val="22"/>
          <w:shd w:val="clear" w:color="auto" w:fill="FFFFFF"/>
        </w:rPr>
        <w:t xml:space="preserve">30% </w:t>
      </w:r>
      <w:r w:rsidRPr="001C2D09" w:rsidR="00B6539F">
        <w:rPr>
          <w:spacing w:val="-3"/>
          <w:sz w:val="22"/>
          <w:szCs w:val="22"/>
          <w:shd w:val="clear" w:color="auto" w:fill="FFFFFF"/>
        </w:rPr>
        <w:t>over head =</w:t>
      </w:r>
      <w:r w:rsidRPr="001C2D09" w:rsidR="00D93DC9">
        <w:rPr>
          <w:spacing w:val="-3"/>
          <w:sz w:val="22"/>
          <w:szCs w:val="22"/>
          <w:shd w:val="clear" w:color="auto" w:fill="FFFFFF"/>
        </w:rPr>
        <w:t xml:space="preserve"> </w:t>
      </w:r>
      <w:r w:rsidRPr="001C2D09" w:rsidR="005B6A06">
        <w:rPr>
          <w:spacing w:val="-3"/>
          <w:sz w:val="22"/>
          <w:szCs w:val="22"/>
          <w:u w:val="single"/>
          <w:shd w:val="clear" w:color="auto" w:fill="FFFFFF"/>
        </w:rPr>
        <w:t>$</w:t>
      </w:r>
      <w:r w:rsidRPr="001C2D09" w:rsidR="00285353">
        <w:rPr>
          <w:spacing w:val="-3"/>
          <w:sz w:val="22"/>
          <w:szCs w:val="22"/>
          <w:u w:val="single"/>
          <w:shd w:val="clear" w:color="auto" w:fill="FFFFFF"/>
        </w:rPr>
        <w:t>24,242</w:t>
      </w:r>
      <w:r w:rsidRPr="001C2D09" w:rsidR="00B30CE1">
        <w:rPr>
          <w:spacing w:val="-3"/>
          <w:sz w:val="22"/>
          <w:szCs w:val="22"/>
          <w:u w:val="single"/>
          <w:shd w:val="clear" w:color="auto" w:fill="FFFFFF"/>
        </w:rPr>
        <w:t xml:space="preserve"> </w:t>
      </w:r>
    </w:p>
    <w:p w:rsidR="00B5707C" w:rsidRPr="001C2D09" w:rsidP="00FC6A11" w14:paraId="6C692F37" w14:textId="42DC5D22">
      <w:pPr>
        <w:tabs>
          <w:tab w:val="left" w:pos="1080"/>
        </w:tabs>
        <w:spacing w:after="24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0D7587">
        <w:rPr>
          <w:spacing w:val="-3"/>
          <w:sz w:val="22"/>
          <w:szCs w:val="22"/>
          <w:shd w:val="clear" w:color="auto" w:fill="FFFFFF"/>
        </w:rPr>
        <w:tab/>
      </w:r>
      <w:r w:rsidRPr="001C2D09" w:rsidR="000D7587">
        <w:rPr>
          <w:spacing w:val="-3"/>
          <w:sz w:val="22"/>
          <w:szCs w:val="22"/>
          <w:shd w:val="clear" w:color="auto" w:fill="FFFFFF"/>
        </w:rPr>
        <w:tab/>
      </w:r>
      <w:r w:rsidRPr="001C2D09" w:rsidR="000D7587">
        <w:rPr>
          <w:spacing w:val="-3"/>
          <w:sz w:val="22"/>
          <w:szCs w:val="22"/>
          <w:shd w:val="clear" w:color="auto" w:fill="FFFFFF"/>
        </w:rPr>
        <w:tab/>
      </w:r>
      <w:r w:rsidRPr="001C2D09" w:rsidR="000D7587">
        <w:rPr>
          <w:spacing w:val="-3"/>
          <w:sz w:val="22"/>
          <w:szCs w:val="22"/>
          <w:shd w:val="clear" w:color="auto" w:fill="FFFFFF"/>
        </w:rPr>
        <w:tab/>
      </w:r>
      <w:r w:rsidRPr="001C2D09" w:rsidR="000D7587">
        <w:rPr>
          <w:spacing w:val="-3"/>
          <w:sz w:val="22"/>
          <w:szCs w:val="22"/>
          <w:shd w:val="clear" w:color="auto" w:fill="FFFFFF"/>
        </w:rPr>
        <w:tab/>
      </w:r>
      <w:r w:rsidRPr="001C2D09" w:rsidR="00466C8C">
        <w:rPr>
          <w:spacing w:val="-3"/>
          <w:sz w:val="22"/>
          <w:szCs w:val="22"/>
          <w:shd w:val="clear" w:color="auto" w:fill="FFFFFF"/>
        </w:rPr>
        <w:tab/>
      </w:r>
      <w:r w:rsidRPr="001C2D09" w:rsidR="002F1498">
        <w:rPr>
          <w:spacing w:val="-3"/>
          <w:sz w:val="22"/>
          <w:szCs w:val="22"/>
          <w:shd w:val="clear" w:color="auto" w:fill="FFFFFF"/>
        </w:rPr>
        <w:t xml:space="preserve">Total: </w:t>
      </w:r>
      <w:r w:rsidRPr="001C2D09" w:rsidR="00FC4CED">
        <w:rPr>
          <w:spacing w:val="-3"/>
          <w:sz w:val="22"/>
          <w:szCs w:val="22"/>
          <w:shd w:val="clear" w:color="auto" w:fill="FFFFFF"/>
        </w:rPr>
        <w:t xml:space="preserve"> </w:t>
      </w:r>
      <w:r w:rsidRPr="001C2D09" w:rsidR="00333433">
        <w:rPr>
          <w:spacing w:val="-3"/>
          <w:sz w:val="22"/>
          <w:szCs w:val="22"/>
          <w:shd w:val="clear" w:color="auto" w:fill="FFFFFF"/>
        </w:rPr>
        <w:t>$</w:t>
      </w:r>
      <w:r w:rsidRPr="001C2D09" w:rsidR="00285353">
        <w:rPr>
          <w:spacing w:val="-3"/>
          <w:sz w:val="22"/>
          <w:szCs w:val="22"/>
          <w:shd w:val="clear" w:color="auto" w:fill="FFFFFF"/>
        </w:rPr>
        <w:t>105,04</w:t>
      </w:r>
      <w:r w:rsidRPr="001C2D09" w:rsidR="00681D3B">
        <w:rPr>
          <w:spacing w:val="-3"/>
          <w:sz w:val="22"/>
          <w:szCs w:val="22"/>
          <w:shd w:val="clear" w:color="auto" w:fill="FFFFFF"/>
        </w:rPr>
        <w:t>8</w:t>
      </w:r>
    </w:p>
    <w:p w:rsidR="00FD4AB9" w:rsidRPr="001C2D09" w:rsidP="7F2667BC" w14:paraId="6C011B2B" w14:textId="797FFCF5">
      <w:pPr>
        <w:suppressAutoHyphens/>
        <w:spacing w:after="120"/>
        <w:rPr>
          <w:b/>
          <w:bCs/>
          <w:spacing w:val="-3"/>
          <w:sz w:val="22"/>
          <w:szCs w:val="22"/>
          <w:shd w:val="clear" w:color="auto" w:fill="FFFFFF"/>
        </w:rPr>
      </w:pPr>
      <w:r>
        <w:rPr>
          <w:b/>
          <w:bCs/>
          <w:spacing w:val="-3"/>
          <w:sz w:val="22"/>
          <w:szCs w:val="22"/>
          <w:shd w:val="clear" w:color="auto" w:fill="FFFFFF"/>
        </w:rPr>
        <w:t>(</w:t>
      </w:r>
      <w:r w:rsidRPr="7F2667BC" w:rsidR="00F37B0B">
        <w:rPr>
          <w:b/>
          <w:bCs/>
          <w:spacing w:val="-3"/>
          <w:sz w:val="22"/>
          <w:szCs w:val="22"/>
          <w:shd w:val="clear" w:color="auto" w:fill="FFFFFF"/>
        </w:rPr>
        <w:t>m</w:t>
      </w:r>
      <w:r>
        <w:rPr>
          <w:b/>
          <w:bCs/>
          <w:spacing w:val="-3"/>
          <w:sz w:val="22"/>
          <w:szCs w:val="22"/>
          <w:shd w:val="clear" w:color="auto" w:fill="FFFFFF"/>
        </w:rPr>
        <w:t>)</w:t>
      </w:r>
      <w:r w:rsidRPr="001C2D09" w:rsidR="00B84ABE">
        <w:rPr>
          <w:b/>
          <w:spacing w:val="-3"/>
          <w:sz w:val="22"/>
          <w:szCs w:val="22"/>
          <w:shd w:val="clear" w:color="auto" w:fill="FFFFFF"/>
        </w:rPr>
        <w:tab/>
      </w:r>
      <w:r w:rsidRPr="7F2667BC" w:rsidR="009F7A8B">
        <w:rPr>
          <w:b/>
          <w:bCs/>
          <w:spacing w:val="-3"/>
          <w:sz w:val="22"/>
          <w:szCs w:val="22"/>
          <w:shd w:val="clear" w:color="auto" w:fill="FFFFFF"/>
        </w:rPr>
        <w:t xml:space="preserve">Password and Back-up Authentication Methods for Lost or Forgotten Passwords for Call Detail </w:t>
      </w:r>
      <w:r w:rsidRPr="001C2D09" w:rsidR="00B84ABE">
        <w:rPr>
          <w:b/>
          <w:spacing w:val="-3"/>
          <w:sz w:val="22"/>
          <w:szCs w:val="22"/>
          <w:shd w:val="clear" w:color="auto" w:fill="FFFFFF"/>
        </w:rPr>
        <w:tab/>
      </w:r>
      <w:r w:rsidRPr="7F2667BC" w:rsidR="009F7A8B">
        <w:rPr>
          <w:b/>
          <w:bCs/>
          <w:spacing w:val="-3"/>
          <w:sz w:val="22"/>
          <w:szCs w:val="22"/>
          <w:shd w:val="clear" w:color="auto" w:fill="FFFFFF"/>
        </w:rPr>
        <w:t>Telephone Access and Online Access.</w:t>
      </w:r>
    </w:p>
    <w:p w:rsidR="00FD4AB9" w:rsidRPr="001C2D09" w:rsidP="201C1D70" w14:paraId="12AB0033" w14:textId="329F5F59">
      <w:pPr>
        <w:suppressAutoHyphens/>
        <w:rPr>
          <w:sz w:val="22"/>
          <w:szCs w:val="22"/>
          <w:shd w:val="clear" w:color="auto" w:fill="FFFFFF"/>
        </w:rPr>
      </w:pPr>
      <w:r w:rsidRPr="001C2D09">
        <w:rPr>
          <w:sz w:val="22"/>
          <w:szCs w:val="22"/>
          <w:shd w:val="clear" w:color="auto" w:fill="FFFFFF"/>
        </w:rPr>
        <w:tab/>
      </w:r>
      <w:r w:rsidRPr="001C2D09" w:rsidR="009F7A8B">
        <w:rPr>
          <w:sz w:val="22"/>
          <w:szCs w:val="22"/>
          <w:shd w:val="clear" w:color="auto" w:fill="FFFFFF"/>
        </w:rPr>
        <w:t>(1)</w:t>
      </w:r>
      <w:r w:rsidRPr="001C2D09">
        <w:rPr>
          <w:sz w:val="22"/>
          <w:szCs w:val="22"/>
          <w:shd w:val="clear" w:color="auto" w:fill="FFFFFF"/>
        </w:rPr>
        <w:tab/>
      </w:r>
      <w:r w:rsidRPr="001C2D09" w:rsidR="009F7A8B">
        <w:rPr>
          <w:sz w:val="22"/>
          <w:szCs w:val="22"/>
          <w:shd w:val="clear" w:color="auto" w:fill="FFFFFF"/>
        </w:rPr>
        <w:t xml:space="preserve">Number of Respondents: </w:t>
      </w:r>
      <w:r w:rsidRPr="001C2D09" w:rsidR="00A738B8">
        <w:rPr>
          <w:sz w:val="22"/>
          <w:szCs w:val="22"/>
          <w:shd w:val="clear" w:color="auto" w:fill="FFFFFF"/>
        </w:rPr>
        <w:t xml:space="preserve"> </w:t>
      </w:r>
      <w:r w:rsidRPr="001C2D09" w:rsidR="006A4732">
        <w:rPr>
          <w:sz w:val="22"/>
          <w:szCs w:val="22"/>
        </w:rPr>
        <w:t>2,935</w:t>
      </w:r>
    </w:p>
    <w:p w:rsidR="00FD4AB9" w:rsidRPr="001C2D09" w:rsidP="0077092A" w14:paraId="5DB59C2F" w14:textId="6CBFCD8F">
      <w:pPr>
        <w:tabs>
          <w:tab w:val="left" w:pos="-720"/>
        </w:tabs>
        <w:suppressAutoHyphens/>
        <w:rPr>
          <w:sz w:val="22"/>
          <w:szCs w:val="22"/>
          <w:shd w:val="clear" w:color="auto" w:fill="FFFFFF"/>
        </w:rPr>
      </w:pPr>
      <w:r w:rsidRPr="001C2D09">
        <w:rPr>
          <w:sz w:val="22"/>
          <w:szCs w:val="22"/>
          <w:shd w:val="clear" w:color="auto" w:fill="FFFFFF"/>
        </w:rPr>
        <w:tab/>
      </w:r>
      <w:r w:rsidRPr="001C2D09" w:rsidR="009F7A8B">
        <w:rPr>
          <w:sz w:val="22"/>
          <w:szCs w:val="22"/>
          <w:shd w:val="clear" w:color="auto" w:fill="FFFFFF"/>
        </w:rPr>
        <w:t>(2)</w:t>
      </w:r>
      <w:r w:rsidRPr="001C2D09">
        <w:rPr>
          <w:sz w:val="22"/>
          <w:szCs w:val="22"/>
          <w:shd w:val="clear" w:color="auto" w:fill="FFFFFF"/>
        </w:rPr>
        <w:tab/>
      </w:r>
      <w:r w:rsidRPr="001C2D09" w:rsidR="009F7A8B">
        <w:rPr>
          <w:sz w:val="22"/>
          <w:szCs w:val="22"/>
          <w:shd w:val="clear" w:color="auto" w:fill="FFFFFF"/>
        </w:rPr>
        <w:t xml:space="preserve">Frequency of </w:t>
      </w:r>
      <w:r w:rsidRPr="001C2D09" w:rsidR="005E4655">
        <w:rPr>
          <w:sz w:val="22"/>
          <w:szCs w:val="22"/>
          <w:shd w:val="clear" w:color="auto" w:fill="FFFFFF"/>
        </w:rPr>
        <w:t>R</w:t>
      </w:r>
      <w:r w:rsidRPr="001C2D09" w:rsidR="009F7A8B">
        <w:rPr>
          <w:sz w:val="22"/>
          <w:szCs w:val="22"/>
          <w:shd w:val="clear" w:color="auto" w:fill="FFFFFF"/>
        </w:rPr>
        <w:t>esponse:</w:t>
      </w:r>
      <w:r w:rsidRPr="001C2D09" w:rsidR="000D7587">
        <w:rPr>
          <w:sz w:val="22"/>
          <w:szCs w:val="22"/>
          <w:shd w:val="clear" w:color="auto" w:fill="FFFFFF"/>
        </w:rPr>
        <w:t xml:space="preserve"> </w:t>
      </w:r>
      <w:r w:rsidRPr="001C2D09" w:rsidR="009F7A8B">
        <w:rPr>
          <w:sz w:val="22"/>
          <w:szCs w:val="22"/>
          <w:shd w:val="clear" w:color="auto" w:fill="FFFFFF"/>
        </w:rPr>
        <w:t xml:space="preserve"> Recordkeeping requirement</w:t>
      </w:r>
      <w:r w:rsidRPr="001C2D09" w:rsidR="004B09A8">
        <w:rPr>
          <w:sz w:val="22"/>
          <w:szCs w:val="22"/>
          <w:shd w:val="clear" w:color="auto" w:fill="FFFFFF"/>
        </w:rPr>
        <w:t>; reporting requirement</w:t>
      </w:r>
      <w:r w:rsidRPr="001C2D09" w:rsidR="009F7A8B">
        <w:rPr>
          <w:sz w:val="22"/>
          <w:szCs w:val="22"/>
          <w:shd w:val="clear" w:color="auto" w:fill="FFFFFF"/>
        </w:rPr>
        <w:t>.</w:t>
      </w:r>
    </w:p>
    <w:p w:rsidR="0069642E" w:rsidRPr="001C2D09" w:rsidP="178EEC2F" w14:paraId="707E18C1" w14:textId="74D8AE34">
      <w:pPr>
        <w:suppressAutoHyphens/>
        <w:spacing w:after="120"/>
        <w:rPr>
          <w:sz w:val="22"/>
          <w:szCs w:val="22"/>
          <w:shd w:val="clear" w:color="auto" w:fill="FFFFFF"/>
        </w:rPr>
      </w:pPr>
      <w:r w:rsidRPr="001C2D09">
        <w:rPr>
          <w:sz w:val="22"/>
          <w:szCs w:val="22"/>
          <w:shd w:val="clear" w:color="auto" w:fill="FFFFFF"/>
        </w:rPr>
        <w:tab/>
      </w:r>
      <w:r w:rsidRPr="001C2D09" w:rsidR="009F7A8B">
        <w:rPr>
          <w:sz w:val="22"/>
          <w:szCs w:val="22"/>
          <w:shd w:val="clear" w:color="auto" w:fill="FFFFFF"/>
        </w:rPr>
        <w:t>(3)</w:t>
      </w:r>
      <w:r w:rsidRPr="001C2D09" w:rsidR="009F7A8B">
        <w:rPr>
          <w:sz w:val="22"/>
          <w:szCs w:val="22"/>
          <w:shd w:val="clear" w:color="auto" w:fill="FFFFFF"/>
        </w:rPr>
        <w:tab/>
        <w:t>Total Number of Responses Annually:</w:t>
      </w:r>
      <w:r w:rsidRPr="001C2D09" w:rsidR="000D7587">
        <w:rPr>
          <w:sz w:val="22"/>
          <w:szCs w:val="22"/>
          <w:shd w:val="clear" w:color="auto" w:fill="FFFFFF"/>
        </w:rPr>
        <w:t xml:space="preserve"> </w:t>
      </w:r>
      <w:r w:rsidRPr="001C2D09" w:rsidR="009F7A8B">
        <w:rPr>
          <w:sz w:val="22"/>
          <w:szCs w:val="22"/>
          <w:shd w:val="clear" w:color="auto" w:fill="FFFFFF"/>
        </w:rPr>
        <w:t xml:space="preserve"> </w:t>
      </w:r>
      <w:r w:rsidRPr="001C2D09" w:rsidR="006A4732">
        <w:rPr>
          <w:sz w:val="22"/>
          <w:szCs w:val="22"/>
        </w:rPr>
        <w:t>147</w:t>
      </w:r>
      <w:r w:rsidRPr="001C2D09" w:rsidR="009F2C8C">
        <w:rPr>
          <w:sz w:val="22"/>
          <w:szCs w:val="22"/>
        </w:rPr>
        <w:t xml:space="preserve"> </w:t>
      </w:r>
      <w:r w:rsidRPr="001C2D09" w:rsidR="006F7B83">
        <w:rPr>
          <w:sz w:val="22"/>
          <w:szCs w:val="22"/>
          <w:shd w:val="clear" w:color="auto" w:fill="FFFFFF"/>
        </w:rPr>
        <w:t xml:space="preserve">responses (recordkeeping and </w:t>
      </w:r>
      <w:r w:rsidRPr="001C2D09">
        <w:rPr>
          <w:sz w:val="22"/>
          <w:szCs w:val="22"/>
          <w:shd w:val="clear" w:color="auto" w:fill="FFFFFF"/>
        </w:rPr>
        <w:tab/>
      </w:r>
      <w:r w:rsidRPr="001C2D09">
        <w:rPr>
          <w:sz w:val="22"/>
          <w:szCs w:val="22"/>
          <w:shd w:val="clear" w:color="auto" w:fill="FFFFFF"/>
        </w:rPr>
        <w:tab/>
      </w:r>
      <w:r w:rsidRPr="001C2D09">
        <w:rPr>
          <w:sz w:val="22"/>
          <w:szCs w:val="22"/>
          <w:shd w:val="clear" w:color="auto" w:fill="FFFFFF"/>
        </w:rPr>
        <w:tab/>
      </w:r>
      <w:r w:rsidRPr="001C2D09" w:rsidR="006F7B83">
        <w:rPr>
          <w:sz w:val="22"/>
          <w:szCs w:val="22"/>
          <w:shd w:val="clear" w:color="auto" w:fill="FFFFFF"/>
        </w:rPr>
        <w:t>reporting)</w:t>
      </w:r>
    </w:p>
    <w:p w:rsidR="00A01646" w:rsidRPr="001C2D09" w:rsidP="00A01646" w14:paraId="0F5A3136" w14:textId="686B3BD3">
      <w:pPr>
        <w:spacing w:after="120"/>
        <w:rPr>
          <w:spacing w:val="-3"/>
          <w:sz w:val="22"/>
          <w:szCs w:val="22"/>
          <w:shd w:val="clear" w:color="auto" w:fill="FFFFFF"/>
        </w:rPr>
      </w:pPr>
      <w:r w:rsidRPr="001C2D09">
        <w:rPr>
          <w:spacing w:val="-3"/>
          <w:sz w:val="22"/>
          <w:szCs w:val="22"/>
          <w:shd w:val="clear" w:color="auto" w:fill="FFFFFF"/>
        </w:rPr>
        <w:t>The Commission believes that most respondent</w:t>
      </w:r>
      <w:r w:rsidRPr="001C2D09" w:rsidR="00B01EF8">
        <w:rPr>
          <w:spacing w:val="-3"/>
          <w:sz w:val="22"/>
          <w:szCs w:val="22"/>
          <w:shd w:val="clear" w:color="auto" w:fill="FFFFFF"/>
        </w:rPr>
        <w:t>s</w:t>
      </w:r>
      <w:r w:rsidRPr="001C2D09">
        <w:rPr>
          <w:spacing w:val="-3"/>
          <w:sz w:val="22"/>
          <w:szCs w:val="22"/>
          <w:shd w:val="clear" w:color="auto" w:fill="FFFFFF"/>
        </w:rPr>
        <w:t xml:space="preserve"> use a digital internal system to manage customer passwords, including to deal wit</w:t>
      </w:r>
      <w:r w:rsidRPr="001C2D09" w:rsidR="00DF6D5E">
        <w:rPr>
          <w:spacing w:val="-3"/>
          <w:sz w:val="22"/>
          <w:szCs w:val="22"/>
          <w:shd w:val="clear" w:color="auto" w:fill="FFFFFF"/>
        </w:rPr>
        <w:t xml:space="preserve">h forgotten and new passwords. </w:t>
      </w:r>
      <w:r w:rsidRPr="001C2D09">
        <w:rPr>
          <w:spacing w:val="-3"/>
          <w:sz w:val="22"/>
          <w:szCs w:val="22"/>
          <w:shd w:val="clear" w:color="auto" w:fill="FFFFFF"/>
        </w:rPr>
        <w:t xml:space="preserve">The </w:t>
      </w:r>
      <w:r w:rsidRPr="001C2D09" w:rsidR="00060627">
        <w:rPr>
          <w:spacing w:val="-3"/>
          <w:sz w:val="22"/>
          <w:szCs w:val="22"/>
          <w:shd w:val="clear" w:color="auto" w:fill="FFFFFF"/>
        </w:rPr>
        <w:t xml:space="preserve">annual </w:t>
      </w:r>
      <w:r w:rsidRPr="001C2D09">
        <w:rPr>
          <w:spacing w:val="-3"/>
          <w:sz w:val="22"/>
          <w:szCs w:val="22"/>
          <w:shd w:val="clear" w:color="auto" w:fill="FFFFFF"/>
        </w:rPr>
        <w:t xml:space="preserve">burden for </w:t>
      </w:r>
      <w:r w:rsidRPr="001C2D09" w:rsidR="00060627">
        <w:rPr>
          <w:spacing w:val="-3"/>
          <w:sz w:val="22"/>
          <w:szCs w:val="22"/>
          <w:shd w:val="clear" w:color="auto" w:fill="FFFFFF"/>
        </w:rPr>
        <w:t>password and back-up authentication methods</w:t>
      </w:r>
      <w:r w:rsidRPr="001C2D09">
        <w:rPr>
          <w:spacing w:val="-3"/>
          <w:sz w:val="22"/>
          <w:szCs w:val="22"/>
          <w:shd w:val="clear" w:color="auto" w:fill="FFFFFF"/>
        </w:rPr>
        <w:t xml:space="preserve">, therefore, should be limited to new entrants.  </w:t>
      </w:r>
    </w:p>
    <w:p w:rsidR="00DC799A" w:rsidRPr="001C2D09" w:rsidP="00A01646" w14:paraId="12CBDB60" w14:textId="11AF405D">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6A33C6">
        <w:rPr>
          <w:sz w:val="22"/>
          <w:szCs w:val="22"/>
          <w:shd w:val="clear" w:color="auto" w:fill="FFFFFF"/>
        </w:rPr>
        <w:tab/>
      </w:r>
    </w:p>
    <w:p w:rsidR="006D0E37" w:rsidRPr="001C2D09" w:rsidP="00E54AB2" w14:paraId="2046C721" w14:textId="0B44E5D0">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F139E8">
        <w:rPr>
          <w:sz w:val="22"/>
          <w:szCs w:val="22"/>
          <w:shd w:val="clear" w:color="auto" w:fill="FFFFFF"/>
        </w:rPr>
        <w:t>(4)</w:t>
      </w:r>
      <w:r w:rsidRPr="001C2D09" w:rsidR="00F139E8">
        <w:rPr>
          <w:sz w:val="22"/>
          <w:szCs w:val="22"/>
          <w:shd w:val="clear" w:color="auto" w:fill="FFFFFF"/>
        </w:rPr>
        <w:tab/>
      </w:r>
      <w:r w:rsidRPr="001C2D09" w:rsidR="00B04742">
        <w:rPr>
          <w:sz w:val="22"/>
          <w:szCs w:val="22"/>
          <w:shd w:val="clear" w:color="auto" w:fill="FFFFFF"/>
        </w:rPr>
        <w:t xml:space="preserve">Total </w:t>
      </w:r>
      <w:r w:rsidRPr="001C2D09" w:rsidR="00FD4AB9">
        <w:rPr>
          <w:sz w:val="22"/>
          <w:szCs w:val="22"/>
          <w:shd w:val="clear" w:color="auto" w:fill="FFFFFF"/>
        </w:rPr>
        <w:t xml:space="preserve">Annual </w:t>
      </w:r>
      <w:r w:rsidRPr="001C2D09" w:rsidR="00B04742">
        <w:rPr>
          <w:sz w:val="22"/>
          <w:szCs w:val="22"/>
          <w:shd w:val="clear" w:color="auto" w:fill="FFFFFF"/>
        </w:rPr>
        <w:t>H</w:t>
      </w:r>
      <w:r w:rsidRPr="001C2D09" w:rsidR="00FD4AB9">
        <w:rPr>
          <w:sz w:val="22"/>
          <w:szCs w:val="22"/>
          <w:shd w:val="clear" w:color="auto" w:fill="FFFFFF"/>
        </w:rPr>
        <w:t>our</w:t>
      </w:r>
      <w:r w:rsidRPr="001C2D09" w:rsidR="00B04742">
        <w:rPr>
          <w:sz w:val="22"/>
          <w:szCs w:val="22"/>
          <w:shd w:val="clear" w:color="auto" w:fill="FFFFFF"/>
        </w:rPr>
        <w:t>ly B</w:t>
      </w:r>
      <w:r w:rsidRPr="001C2D09" w:rsidR="00FD4AB9">
        <w:rPr>
          <w:sz w:val="22"/>
          <w:szCs w:val="22"/>
          <w:shd w:val="clear" w:color="auto" w:fill="FFFFFF"/>
        </w:rPr>
        <w:t>urden:</w:t>
      </w:r>
      <w:r w:rsidRPr="001C2D09" w:rsidR="00113DF1">
        <w:rPr>
          <w:sz w:val="22"/>
          <w:szCs w:val="22"/>
          <w:shd w:val="clear" w:color="auto" w:fill="FFFFFF"/>
        </w:rPr>
        <w:t xml:space="preserve">  </w:t>
      </w:r>
      <w:r w:rsidRPr="001C2D09" w:rsidR="00970755">
        <w:rPr>
          <w:sz w:val="22"/>
          <w:szCs w:val="22"/>
          <w:shd w:val="clear" w:color="auto" w:fill="FFFFFF"/>
        </w:rPr>
        <w:t xml:space="preserve"> </w:t>
      </w:r>
      <w:r w:rsidRPr="001C2D09" w:rsidR="00276266">
        <w:rPr>
          <w:sz w:val="22"/>
          <w:szCs w:val="22"/>
          <w:shd w:val="clear" w:color="auto" w:fill="FFFFFF"/>
        </w:rPr>
        <w:t>1,470</w:t>
      </w:r>
      <w:r w:rsidRPr="001C2D09" w:rsidR="00857202">
        <w:rPr>
          <w:sz w:val="22"/>
          <w:szCs w:val="22"/>
          <w:shd w:val="clear" w:color="auto" w:fill="FFFFFF"/>
        </w:rPr>
        <w:t xml:space="preserve"> </w:t>
      </w:r>
      <w:r w:rsidRPr="001C2D09">
        <w:rPr>
          <w:sz w:val="22"/>
          <w:szCs w:val="22"/>
          <w:shd w:val="clear" w:color="auto" w:fill="FFFFFF"/>
        </w:rPr>
        <w:t xml:space="preserve">hours </w:t>
      </w:r>
    </w:p>
    <w:p w:rsidR="003B5077" w:rsidRPr="001C2D09" w:rsidP="003B5077" w14:paraId="35EC3E66" w14:textId="18BFD0B1">
      <w:pPr>
        <w:spacing w:after="120"/>
        <w:rPr>
          <w:spacing w:val="-3"/>
          <w:sz w:val="22"/>
          <w:szCs w:val="22"/>
          <w:shd w:val="clear" w:color="auto" w:fill="FFFFFF"/>
        </w:rPr>
      </w:pPr>
      <w:r w:rsidRPr="001C2D09">
        <w:rPr>
          <w:spacing w:val="-3"/>
          <w:sz w:val="22"/>
          <w:szCs w:val="22"/>
          <w:shd w:val="clear" w:color="auto" w:fill="FFFFFF"/>
        </w:rPr>
        <w:t>The Commission believes that most respondent</w:t>
      </w:r>
      <w:r w:rsidRPr="001C2D09" w:rsidR="00B01EF8">
        <w:rPr>
          <w:spacing w:val="-3"/>
          <w:sz w:val="22"/>
          <w:szCs w:val="22"/>
          <w:shd w:val="clear" w:color="auto" w:fill="FFFFFF"/>
        </w:rPr>
        <w:t>s</w:t>
      </w:r>
      <w:r w:rsidRPr="001C2D09">
        <w:rPr>
          <w:spacing w:val="-3"/>
          <w:sz w:val="22"/>
          <w:szCs w:val="22"/>
          <w:shd w:val="clear" w:color="auto" w:fill="FFFFFF"/>
        </w:rPr>
        <w:t xml:space="preserve"> use a digital internal system to </w:t>
      </w:r>
      <w:r w:rsidRPr="001C2D09" w:rsidR="00326C86">
        <w:rPr>
          <w:spacing w:val="-3"/>
          <w:sz w:val="22"/>
          <w:szCs w:val="22"/>
          <w:shd w:val="clear" w:color="auto" w:fill="FFFFFF"/>
        </w:rPr>
        <w:t>manage customer passwords, including back-up and authentication methods.</w:t>
      </w:r>
      <w:r w:rsidRPr="001C2D09">
        <w:rPr>
          <w:spacing w:val="-3"/>
          <w:sz w:val="22"/>
          <w:szCs w:val="22"/>
          <w:shd w:val="clear" w:color="auto" w:fill="FFFFFF"/>
        </w:rPr>
        <w:t xml:space="preserve">  Therefore, the burden of complying with th</w:t>
      </w:r>
      <w:r w:rsidRPr="001C2D09" w:rsidR="00326C86">
        <w:rPr>
          <w:spacing w:val="-3"/>
          <w:sz w:val="22"/>
          <w:szCs w:val="22"/>
          <w:shd w:val="clear" w:color="auto" w:fill="FFFFFF"/>
        </w:rPr>
        <w:t>is rule</w:t>
      </w:r>
      <w:r w:rsidRPr="001C2D09">
        <w:rPr>
          <w:spacing w:val="-3"/>
          <w:sz w:val="22"/>
          <w:szCs w:val="22"/>
          <w:shd w:val="clear" w:color="auto" w:fill="FFFFFF"/>
        </w:rPr>
        <w:t xml:space="preserve"> i</w:t>
      </w:r>
      <w:r w:rsidRPr="001C2D09" w:rsidR="0036066F">
        <w:rPr>
          <w:spacing w:val="-3"/>
          <w:sz w:val="22"/>
          <w:szCs w:val="22"/>
          <w:shd w:val="clear" w:color="auto" w:fill="FFFFFF"/>
        </w:rPr>
        <w:t>s</w:t>
      </w:r>
      <w:r w:rsidRPr="001C2D09">
        <w:rPr>
          <w:spacing w:val="-3"/>
          <w:sz w:val="22"/>
          <w:szCs w:val="22"/>
          <w:shd w:val="clear" w:color="auto" w:fill="FFFFFF"/>
        </w:rPr>
        <w:t xml:space="preserve"> the design of a digital platform that the respondent can use to automatically </w:t>
      </w:r>
      <w:r w:rsidRPr="001C2D09" w:rsidR="0036066F">
        <w:rPr>
          <w:spacing w:val="-3"/>
          <w:sz w:val="22"/>
          <w:szCs w:val="22"/>
          <w:shd w:val="clear" w:color="auto" w:fill="FFFFFF"/>
        </w:rPr>
        <w:t>manage</w:t>
      </w:r>
      <w:r w:rsidRPr="001C2D09">
        <w:rPr>
          <w:spacing w:val="-3"/>
          <w:sz w:val="22"/>
          <w:szCs w:val="22"/>
          <w:shd w:val="clear" w:color="auto" w:fill="FFFFFF"/>
        </w:rPr>
        <w:t xml:space="preserve"> customer</w:t>
      </w:r>
      <w:r w:rsidRPr="001C2D09" w:rsidR="0036066F">
        <w:rPr>
          <w:spacing w:val="-3"/>
          <w:sz w:val="22"/>
          <w:szCs w:val="22"/>
          <w:shd w:val="clear" w:color="auto" w:fill="FFFFFF"/>
        </w:rPr>
        <w:t xml:space="preserve"> passwords</w:t>
      </w:r>
      <w:r w:rsidRPr="001C2D09">
        <w:rPr>
          <w:spacing w:val="-3"/>
          <w:sz w:val="22"/>
          <w:szCs w:val="22"/>
          <w:shd w:val="clear" w:color="auto" w:fill="FFFFFF"/>
        </w:rPr>
        <w:t>. The design of th</w:t>
      </w:r>
      <w:r w:rsidRPr="001C2D09" w:rsidR="0036066F">
        <w:rPr>
          <w:spacing w:val="-3"/>
          <w:sz w:val="22"/>
          <w:szCs w:val="22"/>
          <w:shd w:val="clear" w:color="auto" w:fill="FFFFFF"/>
        </w:rPr>
        <w:t>is</w:t>
      </w:r>
      <w:r w:rsidRPr="001C2D09">
        <w:rPr>
          <w:spacing w:val="-3"/>
          <w:sz w:val="22"/>
          <w:szCs w:val="22"/>
          <w:shd w:val="clear" w:color="auto" w:fill="FFFFFF"/>
        </w:rPr>
        <w:t xml:space="preserve"> is an annual burden to new entrants only, as providers who entered the market in the past are believed to have both components already developed.  </w:t>
      </w:r>
    </w:p>
    <w:p w:rsidR="003B5077" w:rsidRPr="001C2D09" w:rsidP="003B5077" w14:paraId="43229C9B" w14:textId="11B5C296">
      <w:pPr>
        <w:spacing w:after="120"/>
        <w:rPr>
          <w:spacing w:val="-3"/>
          <w:sz w:val="22"/>
          <w:szCs w:val="22"/>
          <w:shd w:val="clear" w:color="auto" w:fill="FFFFFF"/>
        </w:rPr>
      </w:pPr>
      <w:r w:rsidRPr="7F2667BC">
        <w:rPr>
          <w:sz w:val="22"/>
          <w:szCs w:val="22"/>
        </w:rPr>
        <w:t>The Commission estimates that the respondents will require approximately ten hours to design a digital platform that</w:t>
      </w:r>
      <w:r w:rsidRPr="7F2667BC" w:rsidR="0036066F">
        <w:rPr>
          <w:sz w:val="22"/>
          <w:szCs w:val="22"/>
        </w:rPr>
        <w:t xml:space="preserve"> manages </w:t>
      </w:r>
      <w:r w:rsidRPr="7F2667BC" w:rsidR="6EFE8EAB">
        <w:rPr>
          <w:sz w:val="22"/>
          <w:szCs w:val="22"/>
        </w:rPr>
        <w:t>their</w:t>
      </w:r>
      <w:r w:rsidRPr="7F2667BC" w:rsidR="0036066F">
        <w:rPr>
          <w:sz w:val="22"/>
          <w:szCs w:val="22"/>
        </w:rPr>
        <w:t xml:space="preserve"> customers’ passwords</w:t>
      </w:r>
      <w:r w:rsidRPr="7F2667BC">
        <w:rPr>
          <w:sz w:val="22"/>
          <w:szCs w:val="22"/>
        </w:rPr>
        <w:t xml:space="preserve">. </w:t>
      </w:r>
    </w:p>
    <w:p w:rsidR="003B5077" w:rsidRPr="001C2D09" w:rsidP="003B5077" w14:paraId="21DEC013" w14:textId="77777777">
      <w:pPr>
        <w:spacing w:after="120"/>
        <w:ind w:left="720" w:firstLine="720"/>
        <w:rPr>
          <w:spacing w:val="-3"/>
          <w:sz w:val="22"/>
          <w:szCs w:val="22"/>
          <w:shd w:val="clear" w:color="auto" w:fill="FFFFFF"/>
        </w:rPr>
      </w:pPr>
      <w:r w:rsidRPr="001C2D09">
        <w:rPr>
          <w:spacing w:val="-3"/>
          <w:sz w:val="22"/>
          <w:szCs w:val="22"/>
          <w:shd w:val="clear" w:color="auto" w:fill="FFFFFF"/>
        </w:rPr>
        <w:t>147 respondents x 10 hours/digital platform design = 1,470 hours for digital platform</w:t>
      </w:r>
    </w:p>
    <w:p w:rsidR="003B5077" w:rsidRPr="001C2D09" w:rsidP="00E54AB2" w14:paraId="0B5F08AD" w14:textId="77777777">
      <w:pPr>
        <w:tabs>
          <w:tab w:val="left" w:pos="-720"/>
        </w:tabs>
        <w:suppressAutoHyphens/>
        <w:spacing w:after="120"/>
        <w:rPr>
          <w:sz w:val="22"/>
          <w:szCs w:val="22"/>
          <w:shd w:val="clear" w:color="auto" w:fill="FFFFFF"/>
        </w:rPr>
      </w:pPr>
    </w:p>
    <w:p w:rsidR="00B33E25" w:rsidRPr="001C2D09" w:rsidP="00121ED3" w14:paraId="57D89051" w14:textId="02F42DA6">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9F7A8B">
        <w:rPr>
          <w:sz w:val="22"/>
          <w:szCs w:val="22"/>
          <w:shd w:val="clear" w:color="auto" w:fill="FFFFFF"/>
        </w:rPr>
        <w:t>(5)</w:t>
      </w:r>
      <w:r w:rsidRPr="001C2D09">
        <w:rPr>
          <w:sz w:val="22"/>
          <w:szCs w:val="22"/>
          <w:shd w:val="clear" w:color="auto" w:fill="FFFFFF"/>
        </w:rPr>
        <w:tab/>
      </w:r>
      <w:r w:rsidRPr="001C2D09" w:rsidR="009F7A8B">
        <w:rPr>
          <w:spacing w:val="-3"/>
          <w:sz w:val="22"/>
          <w:szCs w:val="22"/>
          <w:shd w:val="clear" w:color="auto" w:fill="FFFFFF"/>
        </w:rPr>
        <w:t>Total “In House” Costs</w:t>
      </w:r>
      <w:r w:rsidRPr="001C2D09" w:rsidR="009F7A8B">
        <w:rPr>
          <w:sz w:val="22"/>
          <w:szCs w:val="22"/>
          <w:shd w:val="clear" w:color="auto" w:fill="FFFFFF"/>
        </w:rPr>
        <w:t xml:space="preserve">: </w:t>
      </w:r>
      <w:r w:rsidRPr="001C2D09" w:rsidR="002F202D">
        <w:rPr>
          <w:spacing w:val="-3"/>
          <w:sz w:val="22"/>
          <w:szCs w:val="22"/>
          <w:shd w:val="clear" w:color="auto" w:fill="FFFFFF"/>
        </w:rPr>
        <w:t xml:space="preserve"> $</w:t>
      </w:r>
      <w:r w:rsidRPr="001C2D09" w:rsidR="00050D22">
        <w:rPr>
          <w:spacing w:val="-3"/>
          <w:sz w:val="22"/>
          <w:szCs w:val="22"/>
          <w:shd w:val="clear" w:color="auto" w:fill="FFFFFF"/>
        </w:rPr>
        <w:t>102,946</w:t>
      </w:r>
    </w:p>
    <w:p w:rsidR="0094339B" w:rsidRPr="001C2D09" w:rsidP="0094339B" w14:paraId="68FC43CB" w14:textId="33D31A82">
      <w:pPr>
        <w:spacing w:after="120"/>
        <w:rPr>
          <w:spacing w:val="-3"/>
          <w:sz w:val="22"/>
          <w:szCs w:val="22"/>
          <w:shd w:val="clear" w:color="auto" w:fill="FFFFFF"/>
        </w:rPr>
      </w:pPr>
      <w:r w:rsidRPr="001C2D09">
        <w:rPr>
          <w:spacing w:val="-3"/>
          <w:sz w:val="22"/>
          <w:szCs w:val="22"/>
          <w:shd w:val="clear" w:color="auto" w:fill="FFFFFF"/>
        </w:rPr>
        <w:t xml:space="preserve">The Commission assumes that respondents will use personnel comparable in pay to a GS-12/Step </w:t>
      </w:r>
      <w:r w:rsidRPr="001C2D09" w:rsidR="00AD2FCE">
        <w:rPr>
          <w:spacing w:val="-3"/>
          <w:sz w:val="22"/>
          <w:szCs w:val="22"/>
          <w:shd w:val="clear" w:color="auto" w:fill="FFFFFF"/>
        </w:rPr>
        <w:t>5</w:t>
      </w:r>
      <w:r w:rsidRPr="001C2D09">
        <w:rPr>
          <w:spacing w:val="-3"/>
          <w:sz w:val="22"/>
          <w:szCs w:val="22"/>
          <w:shd w:val="clear" w:color="auto" w:fill="FFFFFF"/>
        </w:rPr>
        <w:t xml:space="preserve"> ($</w:t>
      </w:r>
      <w:r w:rsidRPr="001C2D09" w:rsidR="00AD2FCE">
        <w:rPr>
          <w:spacing w:val="-3"/>
          <w:sz w:val="22"/>
          <w:szCs w:val="22"/>
          <w:shd w:val="clear" w:color="auto" w:fill="FFFFFF"/>
        </w:rPr>
        <w:t>53.87</w:t>
      </w:r>
      <w:r w:rsidRPr="001C2D09">
        <w:rPr>
          <w:spacing w:val="-3"/>
          <w:sz w:val="22"/>
          <w:szCs w:val="22"/>
          <w:shd w:val="clear" w:color="auto" w:fill="FFFFFF"/>
        </w:rPr>
        <w:t xml:space="preserve">/hour) Federal employee, plus 30% overhead, to design the </w:t>
      </w:r>
      <w:r w:rsidRPr="001C2D09" w:rsidR="00022883">
        <w:rPr>
          <w:spacing w:val="-3"/>
          <w:sz w:val="22"/>
          <w:szCs w:val="22"/>
          <w:shd w:val="clear" w:color="auto" w:fill="FFFFFF"/>
        </w:rPr>
        <w:t>customer password management</w:t>
      </w:r>
      <w:r w:rsidRPr="001C2D09">
        <w:rPr>
          <w:spacing w:val="-3"/>
          <w:sz w:val="22"/>
          <w:szCs w:val="22"/>
          <w:shd w:val="clear" w:color="auto" w:fill="FFFFFF"/>
        </w:rPr>
        <w:t xml:space="preserve"> platform.  The rules have been in place since 2007, and we believe that only new entrants to the market will need to create the notification.  </w:t>
      </w:r>
      <w:r w:rsidRPr="001C2D09" w:rsidR="00022883">
        <w:rPr>
          <w:spacing w:val="-3"/>
          <w:sz w:val="22"/>
          <w:szCs w:val="22"/>
          <w:shd w:val="clear" w:color="auto" w:fill="FFFFFF"/>
        </w:rPr>
        <w:t>T</w:t>
      </w:r>
      <w:r w:rsidRPr="001C2D09">
        <w:rPr>
          <w:spacing w:val="-3"/>
          <w:sz w:val="22"/>
          <w:szCs w:val="22"/>
          <w:shd w:val="clear" w:color="auto" w:fill="FFFFFF"/>
        </w:rPr>
        <w:t xml:space="preserve">his gives a burden of: </w:t>
      </w:r>
    </w:p>
    <w:p w:rsidR="0094339B" w:rsidRPr="001C2D09" w:rsidP="0094339B" w14:paraId="4F9A612E" w14:textId="2F9D940B">
      <w:pPr>
        <w:tabs>
          <w:tab w:val="left" w:pos="-720"/>
        </w:tabs>
        <w:suppressAutoHyphens/>
        <w:spacing w:after="120"/>
        <w:rPr>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147 respondents x 10 hours/digital platform design x $</w:t>
      </w:r>
      <w:r w:rsidRPr="001C2D09" w:rsidR="00050D22">
        <w:rPr>
          <w:spacing w:val="-3"/>
          <w:sz w:val="22"/>
          <w:szCs w:val="22"/>
          <w:shd w:val="clear" w:color="auto" w:fill="FFFFFF"/>
        </w:rPr>
        <w:t>53.87</w:t>
      </w:r>
      <w:r w:rsidRPr="001C2D09">
        <w:rPr>
          <w:spacing w:val="-3"/>
          <w:sz w:val="22"/>
          <w:szCs w:val="22"/>
          <w:shd w:val="clear" w:color="auto" w:fill="FFFFFF"/>
        </w:rPr>
        <w:t>/hour = $</w:t>
      </w:r>
      <w:r w:rsidRPr="001C2D09" w:rsidR="005115C8">
        <w:rPr>
          <w:spacing w:val="-3"/>
          <w:sz w:val="22"/>
          <w:szCs w:val="22"/>
          <w:shd w:val="clear" w:color="auto" w:fill="FFFFFF"/>
        </w:rPr>
        <w:t>79,189</w:t>
      </w:r>
    </w:p>
    <w:p w:rsidR="006B6A75" w:rsidRPr="001C2D09" w:rsidP="0077092A" w14:paraId="03E573E8" w14:textId="4B453EBD">
      <w:pPr>
        <w:tabs>
          <w:tab w:val="left" w:pos="-720"/>
        </w:tabs>
        <w:suppressAutoHyphens/>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sidR="003B04A8">
        <w:rPr>
          <w:spacing w:val="-3"/>
          <w:sz w:val="22"/>
          <w:szCs w:val="22"/>
          <w:shd w:val="clear" w:color="auto" w:fill="FFFFFF"/>
        </w:rPr>
        <w:tab/>
      </w:r>
      <w:r w:rsidRPr="001C2D09" w:rsidR="003B04A8">
        <w:rPr>
          <w:spacing w:val="-3"/>
          <w:sz w:val="22"/>
          <w:szCs w:val="22"/>
          <w:shd w:val="clear" w:color="auto" w:fill="FFFFFF"/>
        </w:rPr>
        <w:tab/>
      </w:r>
      <w:r w:rsidRPr="001C2D09" w:rsidR="005B5BFB">
        <w:rPr>
          <w:spacing w:val="-3"/>
          <w:sz w:val="22"/>
          <w:szCs w:val="22"/>
          <w:shd w:val="clear" w:color="auto" w:fill="FFFFFF"/>
        </w:rPr>
        <w:t xml:space="preserve">     </w:t>
      </w:r>
      <w:r w:rsidRPr="001C2D09" w:rsidR="00540C71">
        <w:rPr>
          <w:spacing w:val="-3"/>
          <w:sz w:val="22"/>
          <w:szCs w:val="22"/>
          <w:shd w:val="clear" w:color="auto" w:fill="FFFFFF"/>
        </w:rPr>
        <w:t>$</w:t>
      </w:r>
      <w:r w:rsidRPr="001C2D09" w:rsidR="005115C8">
        <w:rPr>
          <w:spacing w:val="-3"/>
          <w:sz w:val="22"/>
          <w:szCs w:val="22"/>
          <w:shd w:val="clear" w:color="auto" w:fill="FFFFFF"/>
        </w:rPr>
        <w:t>79,189</w:t>
      </w:r>
    </w:p>
    <w:p w:rsidR="006B6A75" w:rsidRPr="001C2D09" w:rsidP="0077092A" w14:paraId="149C3CF6" w14:textId="3A84C335">
      <w:pPr>
        <w:tabs>
          <w:tab w:val="left" w:pos="-720"/>
        </w:tabs>
        <w:suppressAutoHyphens/>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t xml:space="preserve"> </w:t>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sidR="0098336B">
        <w:rPr>
          <w:spacing w:val="-3"/>
          <w:sz w:val="22"/>
          <w:szCs w:val="22"/>
          <w:shd w:val="clear" w:color="auto" w:fill="FFFFFF"/>
        </w:rPr>
        <w:t xml:space="preserve">     </w:t>
      </w:r>
      <w:r w:rsidRPr="001C2D09">
        <w:rPr>
          <w:spacing w:val="-3"/>
          <w:sz w:val="22"/>
          <w:szCs w:val="22"/>
          <w:shd w:val="clear" w:color="auto" w:fill="FFFFFF"/>
        </w:rPr>
        <w:t xml:space="preserve">30% overhead = </w:t>
      </w:r>
      <w:r w:rsidRPr="001C2D09">
        <w:rPr>
          <w:spacing w:val="-3"/>
          <w:sz w:val="22"/>
          <w:szCs w:val="22"/>
          <w:u w:val="single"/>
          <w:shd w:val="clear" w:color="auto" w:fill="FFFFFF"/>
        </w:rPr>
        <w:t>$</w:t>
      </w:r>
      <w:r w:rsidRPr="001C2D09" w:rsidR="007D5332">
        <w:rPr>
          <w:spacing w:val="-3"/>
          <w:sz w:val="22"/>
          <w:szCs w:val="22"/>
          <w:u w:val="single"/>
          <w:shd w:val="clear" w:color="auto" w:fill="FFFFFF"/>
        </w:rPr>
        <w:t>2</w:t>
      </w:r>
      <w:r w:rsidRPr="001C2D09" w:rsidR="003006DB">
        <w:rPr>
          <w:spacing w:val="-3"/>
          <w:sz w:val="22"/>
          <w:szCs w:val="22"/>
          <w:u w:val="single"/>
          <w:shd w:val="clear" w:color="auto" w:fill="FFFFFF"/>
        </w:rPr>
        <w:t>3,757</w:t>
      </w:r>
      <w:r w:rsidRPr="001C2D09" w:rsidR="00DD2D4C">
        <w:rPr>
          <w:spacing w:val="-3"/>
          <w:sz w:val="22"/>
          <w:szCs w:val="22"/>
          <w:u w:val="single"/>
          <w:shd w:val="clear" w:color="auto" w:fill="FFFFFF"/>
        </w:rPr>
        <w:t xml:space="preserve"> </w:t>
      </w:r>
      <w:r w:rsidRPr="001C2D09" w:rsidR="0093027D">
        <w:rPr>
          <w:spacing w:val="-3"/>
          <w:sz w:val="22"/>
          <w:szCs w:val="22"/>
          <w:u w:val="single"/>
          <w:shd w:val="clear" w:color="auto" w:fill="FFFFFF"/>
        </w:rPr>
        <w:t xml:space="preserve">  </w:t>
      </w:r>
    </w:p>
    <w:p w:rsidR="005A1BA6" w:rsidRPr="001C2D09" w:rsidP="000B0440" w14:paraId="48DB6D41" w14:textId="25329552">
      <w:pPr>
        <w:tabs>
          <w:tab w:val="left" w:pos="-720"/>
        </w:tabs>
        <w:suppressAutoHyphens/>
        <w:spacing w:after="24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r w:rsidRPr="001C2D09" w:rsidR="002B3BFC">
        <w:rPr>
          <w:spacing w:val="-3"/>
          <w:sz w:val="22"/>
          <w:szCs w:val="22"/>
          <w:shd w:val="clear" w:color="auto" w:fill="FFFFFF"/>
        </w:rPr>
        <w:tab/>
      </w:r>
      <w:r w:rsidRPr="001C2D09" w:rsidR="002B3BFC">
        <w:rPr>
          <w:spacing w:val="-3"/>
          <w:sz w:val="22"/>
          <w:szCs w:val="22"/>
          <w:shd w:val="clear" w:color="auto" w:fill="FFFFFF"/>
        </w:rPr>
        <w:tab/>
        <w:t xml:space="preserve">  </w:t>
      </w:r>
      <w:r w:rsidRPr="001C2D09" w:rsidR="005B5BFB">
        <w:rPr>
          <w:spacing w:val="-3"/>
          <w:sz w:val="22"/>
          <w:szCs w:val="22"/>
          <w:shd w:val="clear" w:color="auto" w:fill="FFFFFF"/>
        </w:rPr>
        <w:t xml:space="preserve">    </w:t>
      </w:r>
      <w:r w:rsidRPr="001C2D09">
        <w:rPr>
          <w:spacing w:val="-3"/>
          <w:sz w:val="22"/>
          <w:szCs w:val="22"/>
          <w:shd w:val="clear" w:color="auto" w:fill="FFFFFF"/>
        </w:rPr>
        <w:t>Total: $</w:t>
      </w:r>
      <w:r w:rsidRPr="001C2D09" w:rsidR="00A612DF">
        <w:rPr>
          <w:spacing w:val="-3"/>
          <w:sz w:val="22"/>
          <w:szCs w:val="22"/>
          <w:shd w:val="clear" w:color="auto" w:fill="FFFFFF"/>
        </w:rPr>
        <w:t>102,946</w:t>
      </w:r>
    </w:p>
    <w:p w:rsidR="00FD4AB9" w:rsidRPr="00C929FE" w:rsidP="00C929FE" w14:paraId="51008086" w14:textId="3AA14C1B">
      <w:pPr>
        <w:spacing w:after="120"/>
        <w:rPr>
          <w:b/>
          <w:bCs/>
          <w:spacing w:val="-3"/>
          <w:sz w:val="22"/>
          <w:szCs w:val="22"/>
          <w:shd w:val="clear" w:color="auto" w:fill="FFFFFF"/>
        </w:rPr>
      </w:pPr>
      <w:r>
        <w:rPr>
          <w:b/>
          <w:bCs/>
          <w:spacing w:val="-3"/>
          <w:sz w:val="22"/>
          <w:szCs w:val="22"/>
          <w:shd w:val="clear" w:color="auto" w:fill="FFFFFF"/>
        </w:rPr>
        <w:t xml:space="preserve">(n) </w:t>
      </w:r>
      <w:r>
        <w:rPr>
          <w:b/>
          <w:bCs/>
          <w:spacing w:val="-3"/>
          <w:sz w:val="22"/>
          <w:szCs w:val="22"/>
          <w:shd w:val="clear" w:color="auto" w:fill="FFFFFF"/>
        </w:rPr>
        <w:tab/>
      </w:r>
      <w:r w:rsidRPr="00C929FE" w:rsidR="001D25CE">
        <w:rPr>
          <w:b/>
          <w:bCs/>
          <w:spacing w:val="-3"/>
          <w:sz w:val="22"/>
          <w:szCs w:val="22"/>
          <w:shd w:val="clear" w:color="auto" w:fill="FFFFFF"/>
        </w:rPr>
        <w:t xml:space="preserve">Notification of Account Changes.  </w:t>
      </w:r>
    </w:p>
    <w:p w:rsidR="00FD4AB9" w:rsidRPr="001C2D09" w:rsidP="0077092A" w14:paraId="505E40DA" w14:textId="37A001D8">
      <w:pPr>
        <w:tabs>
          <w:tab w:val="left" w:pos="-720"/>
        </w:tabs>
        <w:suppressAutoHyphens/>
        <w:rPr>
          <w:sz w:val="22"/>
          <w:szCs w:val="22"/>
          <w:shd w:val="clear" w:color="auto" w:fill="FFFFFF"/>
        </w:rPr>
      </w:pPr>
      <w:r w:rsidRPr="001C2D09">
        <w:rPr>
          <w:sz w:val="22"/>
          <w:szCs w:val="22"/>
          <w:shd w:val="clear" w:color="auto" w:fill="FFFFFF"/>
        </w:rPr>
        <w:tab/>
      </w:r>
      <w:r w:rsidRPr="001C2D09" w:rsidR="009F7A8B">
        <w:rPr>
          <w:sz w:val="22"/>
          <w:szCs w:val="22"/>
          <w:shd w:val="clear" w:color="auto" w:fill="FFFFFF"/>
        </w:rPr>
        <w:t>(1)</w:t>
      </w:r>
      <w:r w:rsidRPr="001C2D09">
        <w:rPr>
          <w:sz w:val="22"/>
          <w:szCs w:val="22"/>
          <w:shd w:val="clear" w:color="auto" w:fill="FFFFFF"/>
        </w:rPr>
        <w:tab/>
      </w:r>
      <w:r w:rsidRPr="001C2D09" w:rsidR="009F7A8B">
        <w:rPr>
          <w:sz w:val="22"/>
          <w:szCs w:val="22"/>
          <w:shd w:val="clear" w:color="auto" w:fill="FFFFFF"/>
        </w:rPr>
        <w:t xml:space="preserve">Number of Respondents:  </w:t>
      </w:r>
      <w:r w:rsidRPr="001C2D09" w:rsidR="00B97768">
        <w:rPr>
          <w:sz w:val="22"/>
          <w:szCs w:val="22"/>
          <w:shd w:val="clear" w:color="auto" w:fill="FFFFFF"/>
        </w:rPr>
        <w:t>2,935</w:t>
      </w:r>
    </w:p>
    <w:p w:rsidR="00FD4AB9" w:rsidRPr="001C2D09" w:rsidP="0077092A" w14:paraId="2BA6FB2B" w14:textId="5C5CDE62">
      <w:pPr>
        <w:tabs>
          <w:tab w:val="left" w:pos="-720"/>
        </w:tabs>
        <w:suppressAutoHyphens/>
        <w:rPr>
          <w:sz w:val="22"/>
          <w:szCs w:val="22"/>
          <w:shd w:val="clear" w:color="auto" w:fill="FFFFFF"/>
        </w:rPr>
      </w:pPr>
      <w:r w:rsidRPr="001C2D09">
        <w:rPr>
          <w:sz w:val="22"/>
          <w:szCs w:val="22"/>
          <w:shd w:val="clear" w:color="auto" w:fill="FFFFFF"/>
        </w:rPr>
        <w:tab/>
      </w:r>
      <w:r w:rsidRPr="001C2D09" w:rsidR="009F7A8B">
        <w:rPr>
          <w:sz w:val="22"/>
          <w:szCs w:val="22"/>
          <w:shd w:val="clear" w:color="auto" w:fill="FFFFFF"/>
        </w:rPr>
        <w:t>(2)</w:t>
      </w:r>
      <w:r w:rsidRPr="001C2D09">
        <w:rPr>
          <w:sz w:val="22"/>
          <w:szCs w:val="22"/>
          <w:shd w:val="clear" w:color="auto" w:fill="FFFFFF"/>
        </w:rPr>
        <w:tab/>
      </w:r>
      <w:r w:rsidRPr="001C2D09" w:rsidR="009F7A8B">
        <w:rPr>
          <w:sz w:val="22"/>
          <w:szCs w:val="22"/>
          <w:shd w:val="clear" w:color="auto" w:fill="FFFFFF"/>
        </w:rPr>
        <w:t>Frequency of Response:</w:t>
      </w:r>
      <w:r w:rsidRPr="001C2D09" w:rsidR="005B5BFB">
        <w:rPr>
          <w:sz w:val="22"/>
          <w:szCs w:val="22"/>
          <w:shd w:val="clear" w:color="auto" w:fill="FFFFFF"/>
        </w:rPr>
        <w:t xml:space="preserve"> </w:t>
      </w:r>
      <w:r w:rsidRPr="001C2D09" w:rsidR="009F7A8B">
        <w:rPr>
          <w:sz w:val="22"/>
          <w:szCs w:val="22"/>
          <w:shd w:val="clear" w:color="auto" w:fill="FFFFFF"/>
        </w:rPr>
        <w:t xml:space="preserve"> On occasion reporting requirement; recordkeeping</w:t>
      </w:r>
      <w:r w:rsidRPr="001C2D09" w:rsidR="004B09A8">
        <w:rPr>
          <w:sz w:val="22"/>
          <w:szCs w:val="22"/>
          <w:shd w:val="clear" w:color="auto" w:fill="FFFFFF"/>
        </w:rPr>
        <w:t xml:space="preserve"> requirement</w:t>
      </w:r>
      <w:r w:rsidRPr="001C2D09" w:rsidR="009F7A8B">
        <w:rPr>
          <w:sz w:val="22"/>
          <w:szCs w:val="22"/>
          <w:shd w:val="clear" w:color="auto" w:fill="FFFFFF"/>
        </w:rPr>
        <w:t>.</w:t>
      </w:r>
    </w:p>
    <w:p w:rsidR="00654827" w:rsidRPr="001C2D09" w:rsidP="005B5BFB" w14:paraId="1CE6FDFF" w14:textId="265F129E">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9F7A8B">
        <w:rPr>
          <w:sz w:val="22"/>
          <w:szCs w:val="22"/>
          <w:shd w:val="clear" w:color="auto" w:fill="FFFFFF"/>
        </w:rPr>
        <w:t>(3)</w:t>
      </w:r>
      <w:r w:rsidRPr="001C2D09" w:rsidR="009F7A8B">
        <w:rPr>
          <w:sz w:val="22"/>
          <w:szCs w:val="22"/>
          <w:shd w:val="clear" w:color="auto" w:fill="FFFFFF"/>
        </w:rPr>
        <w:tab/>
        <w:t>Total Number of Responses Annually:</w:t>
      </w:r>
      <w:r w:rsidRPr="001C2D09" w:rsidR="000D7587">
        <w:rPr>
          <w:sz w:val="22"/>
          <w:szCs w:val="22"/>
          <w:shd w:val="clear" w:color="auto" w:fill="FFFFFF"/>
        </w:rPr>
        <w:t xml:space="preserve"> </w:t>
      </w:r>
      <w:r w:rsidRPr="001C2D09" w:rsidR="009F7A8B">
        <w:rPr>
          <w:sz w:val="22"/>
          <w:szCs w:val="22"/>
          <w:shd w:val="clear" w:color="auto" w:fill="FFFFFF"/>
        </w:rPr>
        <w:t xml:space="preserve"> </w:t>
      </w:r>
      <w:r w:rsidRPr="001C2D09" w:rsidR="007D6456">
        <w:rPr>
          <w:sz w:val="22"/>
          <w:szCs w:val="22"/>
          <w:shd w:val="clear" w:color="auto" w:fill="FFFFFF"/>
        </w:rPr>
        <w:t xml:space="preserve"> </w:t>
      </w:r>
      <w:r w:rsidRPr="001C2D09" w:rsidR="00B97768">
        <w:rPr>
          <w:sz w:val="22"/>
          <w:szCs w:val="22"/>
          <w:shd w:val="clear" w:color="auto" w:fill="FFFFFF"/>
        </w:rPr>
        <w:t xml:space="preserve">147 </w:t>
      </w:r>
      <w:r w:rsidRPr="001C2D09" w:rsidR="009F7A8B">
        <w:rPr>
          <w:sz w:val="22"/>
          <w:szCs w:val="22"/>
          <w:shd w:val="clear" w:color="auto" w:fill="FFFFFF"/>
        </w:rPr>
        <w:t>responses</w:t>
      </w:r>
      <w:r w:rsidRPr="001C2D09" w:rsidR="00410F51">
        <w:rPr>
          <w:sz w:val="22"/>
          <w:szCs w:val="22"/>
          <w:shd w:val="clear" w:color="auto" w:fill="FFFFFF"/>
        </w:rPr>
        <w:t xml:space="preserve"> (reporting and </w:t>
      </w:r>
      <w:r w:rsidRPr="001C2D09">
        <w:rPr>
          <w:sz w:val="22"/>
          <w:szCs w:val="22"/>
          <w:shd w:val="clear" w:color="auto" w:fill="FFFFFF"/>
        </w:rPr>
        <w:tab/>
      </w:r>
      <w:r w:rsidRPr="001C2D09">
        <w:rPr>
          <w:sz w:val="22"/>
          <w:szCs w:val="22"/>
          <w:shd w:val="clear" w:color="auto" w:fill="FFFFFF"/>
        </w:rPr>
        <w:tab/>
      </w:r>
      <w:r w:rsidRPr="001C2D09">
        <w:rPr>
          <w:sz w:val="22"/>
          <w:szCs w:val="22"/>
          <w:shd w:val="clear" w:color="auto" w:fill="FFFFFF"/>
        </w:rPr>
        <w:tab/>
      </w:r>
      <w:r w:rsidRPr="001C2D09">
        <w:rPr>
          <w:sz w:val="22"/>
          <w:szCs w:val="22"/>
          <w:shd w:val="clear" w:color="auto" w:fill="FFFFFF"/>
        </w:rPr>
        <w:tab/>
      </w:r>
      <w:r w:rsidRPr="001C2D09" w:rsidR="00410F51">
        <w:rPr>
          <w:sz w:val="22"/>
          <w:szCs w:val="22"/>
          <w:shd w:val="clear" w:color="auto" w:fill="FFFFFF"/>
        </w:rPr>
        <w:t>recordkeeping)</w:t>
      </w:r>
    </w:p>
    <w:p w:rsidR="00B97768" w:rsidRPr="001C2D09" w:rsidP="00B97768" w14:paraId="44BF521D" w14:textId="001D70ED">
      <w:pPr>
        <w:spacing w:after="120"/>
        <w:rPr>
          <w:spacing w:val="-3"/>
          <w:sz w:val="22"/>
          <w:szCs w:val="22"/>
          <w:shd w:val="clear" w:color="auto" w:fill="FFFFFF"/>
        </w:rPr>
      </w:pPr>
      <w:r w:rsidRPr="001C2D09">
        <w:rPr>
          <w:spacing w:val="-3"/>
          <w:sz w:val="22"/>
          <w:szCs w:val="22"/>
          <w:shd w:val="clear" w:color="auto" w:fill="FFFFFF"/>
        </w:rPr>
        <w:t>Again, as in (</w:t>
      </w:r>
      <w:r w:rsidRPr="001C2D09" w:rsidR="00C474EC">
        <w:rPr>
          <w:spacing w:val="-3"/>
          <w:sz w:val="22"/>
          <w:szCs w:val="22"/>
          <w:shd w:val="clear" w:color="auto" w:fill="FFFFFF"/>
        </w:rPr>
        <w:t>m</w:t>
      </w:r>
      <w:r w:rsidRPr="001C2D09">
        <w:rPr>
          <w:spacing w:val="-3"/>
          <w:sz w:val="22"/>
          <w:szCs w:val="22"/>
          <w:shd w:val="clear" w:color="auto" w:fill="FFFFFF"/>
        </w:rPr>
        <w:t>)</w:t>
      </w:r>
      <w:r w:rsidRPr="001C2D09" w:rsidR="21A354FD">
        <w:rPr>
          <w:spacing w:val="-3"/>
          <w:sz w:val="22"/>
          <w:szCs w:val="22"/>
          <w:shd w:val="clear" w:color="auto" w:fill="FFFFFF"/>
        </w:rPr>
        <w:t>,</w:t>
      </w:r>
      <w:r w:rsidRPr="001C2D09">
        <w:rPr>
          <w:spacing w:val="-3"/>
          <w:sz w:val="22"/>
          <w:szCs w:val="22"/>
          <w:shd w:val="clear" w:color="auto" w:fill="FFFFFF"/>
        </w:rPr>
        <w:t xml:space="preserve"> </w:t>
      </w:r>
      <w:r w:rsidRPr="001C2D09" w:rsidR="00C86E49">
        <w:rPr>
          <w:spacing w:val="-3"/>
          <w:sz w:val="22"/>
          <w:szCs w:val="22"/>
          <w:shd w:val="clear" w:color="auto" w:fill="FFFFFF"/>
        </w:rPr>
        <w:t>Password and Back-up Authentication</w:t>
      </w:r>
      <w:r w:rsidRPr="001C2D09">
        <w:rPr>
          <w:spacing w:val="-3"/>
          <w:sz w:val="22"/>
          <w:szCs w:val="22"/>
          <w:shd w:val="clear" w:color="auto" w:fill="FFFFFF"/>
        </w:rPr>
        <w:t>, the Commission believes that most respondent</w:t>
      </w:r>
      <w:r w:rsidRPr="001C2D09" w:rsidR="00C474EC">
        <w:rPr>
          <w:spacing w:val="-3"/>
          <w:sz w:val="22"/>
          <w:szCs w:val="22"/>
          <w:shd w:val="clear" w:color="auto" w:fill="FFFFFF"/>
        </w:rPr>
        <w:t>s</w:t>
      </w:r>
      <w:r w:rsidRPr="001C2D09">
        <w:rPr>
          <w:spacing w:val="-3"/>
          <w:sz w:val="22"/>
          <w:szCs w:val="22"/>
          <w:shd w:val="clear" w:color="auto" w:fill="FFFFFF"/>
        </w:rPr>
        <w:t xml:space="preserve"> use a digital internal system to </w:t>
      </w:r>
      <w:r w:rsidRPr="001C2D09" w:rsidR="00C86E49">
        <w:rPr>
          <w:spacing w:val="-3"/>
          <w:sz w:val="22"/>
          <w:szCs w:val="22"/>
          <w:shd w:val="clear" w:color="auto" w:fill="FFFFFF"/>
        </w:rPr>
        <w:t xml:space="preserve">manage </w:t>
      </w:r>
      <w:r w:rsidRPr="001C2D09" w:rsidR="01CA37E3">
        <w:rPr>
          <w:spacing w:val="-3"/>
          <w:sz w:val="22"/>
          <w:szCs w:val="22"/>
          <w:shd w:val="clear" w:color="auto" w:fill="FFFFFF"/>
        </w:rPr>
        <w:t>their</w:t>
      </w:r>
      <w:r w:rsidRPr="001C2D09">
        <w:rPr>
          <w:spacing w:val="-3"/>
          <w:sz w:val="22"/>
          <w:szCs w:val="22"/>
          <w:shd w:val="clear" w:color="auto" w:fill="FFFFFF"/>
        </w:rPr>
        <w:t xml:space="preserve"> customer</w:t>
      </w:r>
      <w:r w:rsidRPr="001C2D09" w:rsidR="00C86E49">
        <w:rPr>
          <w:spacing w:val="-3"/>
          <w:sz w:val="22"/>
          <w:szCs w:val="22"/>
          <w:shd w:val="clear" w:color="auto" w:fill="FFFFFF"/>
        </w:rPr>
        <w:t>s’ passwords.</w:t>
      </w:r>
      <w:r w:rsidRPr="001C2D09">
        <w:rPr>
          <w:spacing w:val="-3"/>
          <w:sz w:val="22"/>
          <w:szCs w:val="22"/>
          <w:shd w:val="clear" w:color="auto" w:fill="FFFFFF"/>
        </w:rPr>
        <w:t xml:space="preserve">  Furthermore, the Commission believes that it is </w:t>
      </w:r>
      <w:r w:rsidRPr="001C2D09" w:rsidR="00C474EC">
        <w:rPr>
          <w:spacing w:val="-3"/>
          <w:sz w:val="22"/>
          <w:szCs w:val="22"/>
          <w:shd w:val="clear" w:color="auto" w:fill="FFFFFF"/>
        </w:rPr>
        <w:t>reasonable to assume that</w:t>
      </w:r>
      <w:r w:rsidRPr="001C2D09">
        <w:rPr>
          <w:spacing w:val="-3"/>
          <w:sz w:val="22"/>
          <w:szCs w:val="22"/>
          <w:shd w:val="clear" w:color="auto" w:fill="FFFFFF"/>
        </w:rPr>
        <w:t xml:space="preserve"> the digital system developed in (</w:t>
      </w:r>
      <w:r w:rsidRPr="001C2D09" w:rsidR="00C474EC">
        <w:rPr>
          <w:spacing w:val="-3"/>
          <w:sz w:val="22"/>
          <w:szCs w:val="22"/>
          <w:shd w:val="clear" w:color="auto" w:fill="FFFFFF"/>
        </w:rPr>
        <w:t>m</w:t>
      </w:r>
      <w:r w:rsidRPr="001C2D09">
        <w:rPr>
          <w:spacing w:val="-3"/>
          <w:sz w:val="22"/>
          <w:szCs w:val="22"/>
          <w:shd w:val="clear" w:color="auto" w:fill="FFFFFF"/>
        </w:rPr>
        <w:t xml:space="preserve">) to </w:t>
      </w:r>
      <w:r w:rsidRPr="001C2D09" w:rsidR="002313FB">
        <w:rPr>
          <w:spacing w:val="-3"/>
          <w:sz w:val="22"/>
          <w:szCs w:val="22"/>
          <w:shd w:val="clear" w:color="auto" w:fill="FFFFFF"/>
        </w:rPr>
        <w:t>manage</w:t>
      </w:r>
      <w:r w:rsidRPr="001C2D09">
        <w:rPr>
          <w:spacing w:val="-3"/>
          <w:sz w:val="22"/>
          <w:szCs w:val="22"/>
          <w:shd w:val="clear" w:color="auto" w:fill="FFFFFF"/>
        </w:rPr>
        <w:t xml:space="preserve"> customer</w:t>
      </w:r>
      <w:r w:rsidRPr="001C2D09" w:rsidR="002313FB">
        <w:rPr>
          <w:spacing w:val="-3"/>
          <w:sz w:val="22"/>
          <w:szCs w:val="22"/>
          <w:shd w:val="clear" w:color="auto" w:fill="FFFFFF"/>
        </w:rPr>
        <w:t xml:space="preserve"> passwords</w:t>
      </w:r>
      <w:r w:rsidRPr="001C2D09" w:rsidR="00C474EC">
        <w:rPr>
          <w:spacing w:val="-3"/>
          <w:sz w:val="22"/>
          <w:szCs w:val="22"/>
          <w:shd w:val="clear" w:color="auto" w:fill="FFFFFF"/>
        </w:rPr>
        <w:t xml:space="preserve"> is also used to </w:t>
      </w:r>
      <w:r w:rsidRPr="001C2D09" w:rsidR="00C410E9">
        <w:rPr>
          <w:spacing w:val="-3"/>
          <w:sz w:val="22"/>
          <w:szCs w:val="22"/>
          <w:shd w:val="clear" w:color="auto" w:fill="FFFFFF"/>
        </w:rPr>
        <w:t>provide the notifications of account changes covered by (</w:t>
      </w:r>
      <w:r w:rsidRPr="001C2D09" w:rsidR="00C474EC">
        <w:rPr>
          <w:spacing w:val="-3"/>
          <w:sz w:val="22"/>
          <w:szCs w:val="22"/>
          <w:shd w:val="clear" w:color="auto" w:fill="FFFFFF"/>
        </w:rPr>
        <w:t>n</w:t>
      </w:r>
      <w:r w:rsidRPr="001C2D09" w:rsidR="00C410E9">
        <w:rPr>
          <w:spacing w:val="-3"/>
          <w:sz w:val="22"/>
          <w:szCs w:val="22"/>
          <w:shd w:val="clear" w:color="auto" w:fill="FFFFFF"/>
        </w:rPr>
        <w:t>).</w:t>
      </w:r>
      <w:r w:rsidRPr="001C2D09">
        <w:rPr>
          <w:spacing w:val="-3"/>
          <w:sz w:val="22"/>
          <w:szCs w:val="22"/>
          <w:shd w:val="clear" w:color="auto" w:fill="FFFFFF"/>
        </w:rPr>
        <w:t xml:space="preserve"> </w:t>
      </w:r>
    </w:p>
    <w:p w:rsidR="00B97768" w:rsidRPr="001C2D09" w:rsidP="00B97768" w14:paraId="7ABE0849" w14:textId="624B8BAD">
      <w:pPr>
        <w:spacing w:after="120"/>
        <w:rPr>
          <w:spacing w:val="-3"/>
          <w:sz w:val="22"/>
          <w:szCs w:val="22"/>
          <w:shd w:val="clear" w:color="auto" w:fill="FFFFFF"/>
        </w:rPr>
      </w:pPr>
      <w:r w:rsidRPr="001C2D09">
        <w:rPr>
          <w:spacing w:val="-3"/>
          <w:sz w:val="22"/>
          <w:szCs w:val="22"/>
          <w:shd w:val="clear" w:color="auto" w:fill="FFFFFF"/>
        </w:rPr>
        <w:t xml:space="preserve">The burden for </w:t>
      </w:r>
      <w:r w:rsidRPr="001C2D09" w:rsidR="005F17D8">
        <w:rPr>
          <w:spacing w:val="-3"/>
          <w:sz w:val="22"/>
          <w:szCs w:val="22"/>
          <w:shd w:val="clear" w:color="auto" w:fill="FFFFFF"/>
        </w:rPr>
        <w:t>notifying customers of account changes</w:t>
      </w:r>
      <w:r w:rsidRPr="001C2D09">
        <w:rPr>
          <w:spacing w:val="-3"/>
          <w:sz w:val="22"/>
          <w:szCs w:val="22"/>
          <w:shd w:val="clear" w:color="auto" w:fill="FFFFFF"/>
        </w:rPr>
        <w:t xml:space="preserve">, therefore, should be limited to new entrants, and should only consider the burden of adding </w:t>
      </w:r>
      <w:r w:rsidRPr="001C2D09" w:rsidR="00C410E9">
        <w:rPr>
          <w:spacing w:val="-3"/>
          <w:sz w:val="22"/>
          <w:szCs w:val="22"/>
          <w:shd w:val="clear" w:color="auto" w:fill="FFFFFF"/>
        </w:rPr>
        <w:t xml:space="preserve">the </w:t>
      </w:r>
      <w:r w:rsidRPr="001C2D09">
        <w:rPr>
          <w:spacing w:val="-3"/>
          <w:sz w:val="22"/>
          <w:szCs w:val="22"/>
          <w:shd w:val="clear" w:color="auto" w:fill="FFFFFF"/>
        </w:rPr>
        <w:t>additional feature</w:t>
      </w:r>
      <w:r w:rsidRPr="001C2D09" w:rsidR="00C410E9">
        <w:rPr>
          <w:spacing w:val="-3"/>
          <w:sz w:val="22"/>
          <w:szCs w:val="22"/>
          <w:shd w:val="clear" w:color="auto" w:fill="FFFFFF"/>
        </w:rPr>
        <w:t>s</w:t>
      </w:r>
      <w:r w:rsidRPr="001C2D09">
        <w:rPr>
          <w:spacing w:val="-3"/>
          <w:sz w:val="22"/>
          <w:szCs w:val="22"/>
          <w:shd w:val="clear" w:color="auto" w:fill="FFFFFF"/>
        </w:rPr>
        <w:t xml:space="preserve"> </w:t>
      </w:r>
      <w:r w:rsidRPr="001C2D09" w:rsidR="005F17D8">
        <w:rPr>
          <w:spacing w:val="-3"/>
          <w:sz w:val="22"/>
          <w:szCs w:val="22"/>
          <w:shd w:val="clear" w:color="auto" w:fill="FFFFFF"/>
        </w:rPr>
        <w:t>described in (</w:t>
      </w:r>
      <w:r w:rsidRPr="001C2D09" w:rsidR="00C474EC">
        <w:rPr>
          <w:spacing w:val="-3"/>
          <w:sz w:val="22"/>
          <w:szCs w:val="22"/>
          <w:shd w:val="clear" w:color="auto" w:fill="FFFFFF"/>
        </w:rPr>
        <w:t>n</w:t>
      </w:r>
      <w:r w:rsidRPr="001C2D09" w:rsidR="005F17D8">
        <w:rPr>
          <w:spacing w:val="-3"/>
          <w:sz w:val="22"/>
          <w:szCs w:val="22"/>
          <w:shd w:val="clear" w:color="auto" w:fill="FFFFFF"/>
        </w:rPr>
        <w:t>)</w:t>
      </w:r>
      <w:r w:rsidRPr="001C2D09">
        <w:rPr>
          <w:spacing w:val="-3"/>
          <w:sz w:val="22"/>
          <w:szCs w:val="22"/>
          <w:shd w:val="clear" w:color="auto" w:fill="FFFFFF"/>
        </w:rPr>
        <w:t xml:space="preserve"> to the digital </w:t>
      </w:r>
      <w:r w:rsidRPr="001C2D09" w:rsidR="005F17D8">
        <w:rPr>
          <w:spacing w:val="-3"/>
          <w:sz w:val="22"/>
          <w:szCs w:val="22"/>
          <w:shd w:val="clear" w:color="auto" w:fill="FFFFFF"/>
        </w:rPr>
        <w:t xml:space="preserve">password management </w:t>
      </w:r>
      <w:r w:rsidRPr="001C2D09">
        <w:rPr>
          <w:spacing w:val="-3"/>
          <w:sz w:val="22"/>
          <w:szCs w:val="22"/>
          <w:shd w:val="clear" w:color="auto" w:fill="FFFFFF"/>
        </w:rPr>
        <w:t>system developed by new entrants in (</w:t>
      </w:r>
      <w:r w:rsidRPr="001C2D09" w:rsidR="00C474EC">
        <w:rPr>
          <w:spacing w:val="-3"/>
          <w:sz w:val="22"/>
          <w:szCs w:val="22"/>
          <w:shd w:val="clear" w:color="auto" w:fill="FFFFFF"/>
        </w:rPr>
        <w:t>m</w:t>
      </w:r>
      <w:r w:rsidRPr="001C2D09">
        <w:rPr>
          <w:spacing w:val="-3"/>
          <w:sz w:val="22"/>
          <w:szCs w:val="22"/>
          <w:shd w:val="clear" w:color="auto" w:fill="FFFFFF"/>
        </w:rPr>
        <w:t xml:space="preserve">).  </w:t>
      </w:r>
    </w:p>
    <w:p w:rsidR="00B97768" w:rsidRPr="001C2D09" w:rsidP="005B5BFB" w14:paraId="0F279B97" w14:textId="77777777">
      <w:pPr>
        <w:tabs>
          <w:tab w:val="left" w:pos="-720"/>
        </w:tabs>
        <w:suppressAutoHyphens/>
        <w:spacing w:after="120"/>
        <w:rPr>
          <w:sz w:val="22"/>
          <w:szCs w:val="22"/>
          <w:shd w:val="clear" w:color="auto" w:fill="FFFFFF"/>
        </w:rPr>
      </w:pPr>
    </w:p>
    <w:p w:rsidR="00A33F2B" w:rsidRPr="001C2D09" w:rsidP="005B5BFB" w14:paraId="4B3EA9DF" w14:textId="68C00009">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9F7A8B">
        <w:rPr>
          <w:sz w:val="22"/>
          <w:szCs w:val="22"/>
          <w:shd w:val="clear" w:color="auto" w:fill="FFFFFF"/>
        </w:rPr>
        <w:t>(4)</w:t>
      </w:r>
      <w:r w:rsidRPr="001C2D09">
        <w:rPr>
          <w:sz w:val="22"/>
          <w:szCs w:val="22"/>
          <w:shd w:val="clear" w:color="auto" w:fill="FFFFFF"/>
        </w:rPr>
        <w:tab/>
      </w:r>
      <w:r w:rsidRPr="001C2D09" w:rsidR="009F7A8B">
        <w:rPr>
          <w:sz w:val="22"/>
          <w:szCs w:val="22"/>
          <w:shd w:val="clear" w:color="auto" w:fill="FFFFFF"/>
        </w:rPr>
        <w:t xml:space="preserve">Total Annual Hourly Burden: </w:t>
      </w:r>
      <w:r w:rsidRPr="001C2D09" w:rsidR="000D7587">
        <w:rPr>
          <w:sz w:val="22"/>
          <w:szCs w:val="22"/>
          <w:shd w:val="clear" w:color="auto" w:fill="FFFFFF"/>
        </w:rPr>
        <w:t xml:space="preserve"> </w:t>
      </w:r>
      <w:r w:rsidRPr="001C2D09" w:rsidR="00B03259">
        <w:rPr>
          <w:sz w:val="22"/>
          <w:szCs w:val="22"/>
          <w:shd w:val="clear" w:color="auto" w:fill="FFFFFF"/>
        </w:rPr>
        <w:t>4,410</w:t>
      </w:r>
      <w:r w:rsidRPr="001C2D09" w:rsidR="00E221F8">
        <w:rPr>
          <w:sz w:val="22"/>
          <w:szCs w:val="22"/>
          <w:shd w:val="clear" w:color="auto" w:fill="FFFFFF"/>
        </w:rPr>
        <w:t xml:space="preserve"> </w:t>
      </w:r>
      <w:r w:rsidRPr="001C2D09" w:rsidR="009F7A8B">
        <w:rPr>
          <w:sz w:val="22"/>
          <w:szCs w:val="22"/>
          <w:shd w:val="clear" w:color="auto" w:fill="FFFFFF"/>
        </w:rPr>
        <w:t>hours</w:t>
      </w:r>
    </w:p>
    <w:p w:rsidR="005F17D8" w:rsidRPr="001C2D09" w:rsidP="005F17D8" w14:paraId="0B456D8F" w14:textId="0AF3C4AB">
      <w:pPr>
        <w:spacing w:after="120"/>
        <w:rPr>
          <w:spacing w:val="-3"/>
          <w:sz w:val="22"/>
          <w:szCs w:val="22"/>
          <w:shd w:val="clear" w:color="auto" w:fill="FFFFFF"/>
        </w:rPr>
      </w:pPr>
      <w:r w:rsidRPr="001C2D09">
        <w:rPr>
          <w:spacing w:val="-3"/>
          <w:sz w:val="22"/>
          <w:szCs w:val="22"/>
          <w:shd w:val="clear" w:color="auto" w:fill="FFFFFF"/>
        </w:rPr>
        <w:t>Having already developed the digital password management system in (</w:t>
      </w:r>
      <w:r w:rsidRPr="001C2D09" w:rsidR="00B54CF1">
        <w:rPr>
          <w:spacing w:val="-3"/>
          <w:sz w:val="22"/>
          <w:szCs w:val="22"/>
          <w:shd w:val="clear" w:color="auto" w:fill="FFFFFF"/>
        </w:rPr>
        <w:t>m</w:t>
      </w:r>
      <w:r w:rsidRPr="001C2D09">
        <w:rPr>
          <w:spacing w:val="-3"/>
          <w:sz w:val="22"/>
          <w:szCs w:val="22"/>
          <w:shd w:val="clear" w:color="auto" w:fill="FFFFFF"/>
        </w:rPr>
        <w:t xml:space="preserve">), the Commission estimates that new entrants will require an additional thirty hours to add all of the necessary </w:t>
      </w:r>
      <w:r w:rsidRPr="001C2D09" w:rsidR="00566C0B">
        <w:rPr>
          <w:spacing w:val="-3"/>
          <w:sz w:val="22"/>
          <w:szCs w:val="22"/>
          <w:shd w:val="clear" w:color="auto" w:fill="FFFFFF"/>
        </w:rPr>
        <w:t>notifications of account changes required by (</w:t>
      </w:r>
      <w:r w:rsidRPr="001C2D09" w:rsidR="00B54CF1">
        <w:rPr>
          <w:spacing w:val="-3"/>
          <w:sz w:val="22"/>
          <w:szCs w:val="22"/>
          <w:shd w:val="clear" w:color="auto" w:fill="FFFFFF"/>
        </w:rPr>
        <w:t>n</w:t>
      </w:r>
      <w:r w:rsidRPr="001C2D09" w:rsidR="00566C0B">
        <w:rPr>
          <w:spacing w:val="-3"/>
          <w:sz w:val="22"/>
          <w:szCs w:val="22"/>
          <w:shd w:val="clear" w:color="auto" w:fill="FFFFFF"/>
        </w:rPr>
        <w:t xml:space="preserve">) </w:t>
      </w:r>
      <w:r w:rsidRPr="001C2D09">
        <w:rPr>
          <w:spacing w:val="-3"/>
          <w:sz w:val="22"/>
          <w:szCs w:val="22"/>
          <w:shd w:val="clear" w:color="auto" w:fill="FFFFFF"/>
        </w:rPr>
        <w:t xml:space="preserve">to the digital system. </w:t>
      </w:r>
    </w:p>
    <w:p w:rsidR="00475053" w:rsidRPr="001C2D09" w:rsidP="009F2C8C" w14:paraId="4BF47AAE" w14:textId="221BFFEE">
      <w:pPr>
        <w:spacing w:after="120"/>
        <w:ind w:left="720"/>
        <w:rPr>
          <w:spacing w:val="-3"/>
          <w:sz w:val="22"/>
          <w:szCs w:val="22"/>
          <w:shd w:val="clear" w:color="auto" w:fill="FFFFFF"/>
        </w:rPr>
      </w:pPr>
      <w:r w:rsidRPr="001C2D09">
        <w:rPr>
          <w:spacing w:val="-3"/>
          <w:sz w:val="22"/>
          <w:szCs w:val="22"/>
          <w:shd w:val="clear" w:color="auto" w:fill="FFFFFF"/>
        </w:rPr>
        <w:t xml:space="preserve">147 respondents x 30 hours/digital platform design = </w:t>
      </w:r>
      <w:r w:rsidRPr="001C2D09" w:rsidR="00B03259">
        <w:rPr>
          <w:spacing w:val="-3"/>
          <w:sz w:val="22"/>
          <w:szCs w:val="22"/>
          <w:shd w:val="clear" w:color="auto" w:fill="FFFFFF"/>
        </w:rPr>
        <w:t>4,410</w:t>
      </w:r>
      <w:r w:rsidRPr="001C2D09">
        <w:rPr>
          <w:spacing w:val="-3"/>
          <w:sz w:val="22"/>
          <w:szCs w:val="22"/>
          <w:shd w:val="clear" w:color="auto" w:fill="FFFFFF"/>
        </w:rPr>
        <w:t xml:space="preserve"> hours </w:t>
      </w:r>
      <w:r w:rsidRPr="001C2D09" w:rsidR="00B03259">
        <w:rPr>
          <w:spacing w:val="-3"/>
          <w:sz w:val="22"/>
          <w:szCs w:val="22"/>
          <w:shd w:val="clear" w:color="auto" w:fill="FFFFFF"/>
        </w:rPr>
        <w:t>to enhance</w:t>
      </w:r>
      <w:r w:rsidRPr="001C2D09">
        <w:rPr>
          <w:spacing w:val="-3"/>
          <w:sz w:val="22"/>
          <w:szCs w:val="22"/>
          <w:shd w:val="clear" w:color="auto" w:fill="FFFFFF"/>
        </w:rPr>
        <w:t xml:space="preserve"> digital</w:t>
      </w:r>
      <w:r w:rsidRPr="001C2D09" w:rsidR="00B03259">
        <w:rPr>
          <w:spacing w:val="-3"/>
          <w:sz w:val="22"/>
          <w:szCs w:val="22"/>
          <w:shd w:val="clear" w:color="auto" w:fill="FFFFFF"/>
        </w:rPr>
        <w:t xml:space="preserve"> password</w:t>
      </w:r>
      <w:r w:rsidRPr="001C2D09">
        <w:rPr>
          <w:spacing w:val="-3"/>
          <w:sz w:val="22"/>
          <w:szCs w:val="22"/>
          <w:shd w:val="clear" w:color="auto" w:fill="FFFFFF"/>
        </w:rPr>
        <w:t xml:space="preserve"> </w:t>
      </w:r>
      <w:r w:rsidRPr="001C2D09" w:rsidR="00B03259">
        <w:rPr>
          <w:spacing w:val="-3"/>
          <w:sz w:val="22"/>
          <w:szCs w:val="22"/>
          <w:shd w:val="clear" w:color="auto" w:fill="FFFFFF"/>
        </w:rPr>
        <w:t>system</w:t>
      </w:r>
    </w:p>
    <w:p w:rsidR="002445F9" w:rsidRPr="001C2D09" w:rsidP="588F5F93" w14:paraId="4781BC91" w14:textId="3834175F">
      <w:pPr>
        <w:suppressAutoHyphens/>
        <w:spacing w:after="120"/>
        <w:rPr>
          <w:sz w:val="22"/>
          <w:szCs w:val="22"/>
          <w:shd w:val="clear" w:color="auto" w:fill="FFFFFF"/>
        </w:rPr>
      </w:pPr>
      <w:r w:rsidRPr="001C2D09">
        <w:rPr>
          <w:sz w:val="22"/>
          <w:szCs w:val="22"/>
          <w:shd w:val="clear" w:color="auto" w:fill="FFFFFF"/>
        </w:rPr>
        <w:t>The Commission estimates that respondents will require approximately one hour to design the notification</w:t>
      </w:r>
      <w:r w:rsidRPr="001C2D09" w:rsidR="006F7B83">
        <w:rPr>
          <w:sz w:val="22"/>
          <w:szCs w:val="22"/>
          <w:shd w:val="clear" w:color="auto" w:fill="FFFFFF"/>
        </w:rPr>
        <w:t xml:space="preserve">.  </w:t>
      </w:r>
      <w:r w:rsidRPr="001C2D09" w:rsidR="006F7B83">
        <w:rPr>
          <w:spacing w:val="-3"/>
          <w:sz w:val="22"/>
          <w:szCs w:val="22"/>
          <w:shd w:val="clear" w:color="auto" w:fill="FFFFFF"/>
        </w:rPr>
        <w:t>The rules have been in place since 2007</w:t>
      </w:r>
      <w:r w:rsidRPr="001C2D09" w:rsidR="000D7587">
        <w:rPr>
          <w:spacing w:val="-3"/>
          <w:sz w:val="22"/>
          <w:szCs w:val="22"/>
          <w:shd w:val="clear" w:color="auto" w:fill="FFFFFF"/>
        </w:rPr>
        <w:t>,</w:t>
      </w:r>
      <w:r w:rsidRPr="001C2D09" w:rsidR="006F7B83">
        <w:rPr>
          <w:spacing w:val="-3"/>
          <w:sz w:val="22"/>
          <w:szCs w:val="22"/>
          <w:shd w:val="clear" w:color="auto" w:fill="FFFFFF"/>
        </w:rPr>
        <w:t xml:space="preserve"> and we believe that most carrie</w:t>
      </w:r>
      <w:r w:rsidRPr="001C2D09" w:rsidR="00873705">
        <w:rPr>
          <w:spacing w:val="-3"/>
          <w:sz w:val="22"/>
          <w:szCs w:val="22"/>
          <w:shd w:val="clear" w:color="auto" w:fill="FFFFFF"/>
        </w:rPr>
        <w:t>r</w:t>
      </w:r>
      <w:r w:rsidRPr="001C2D09" w:rsidR="006F7B83">
        <w:rPr>
          <w:spacing w:val="-3"/>
          <w:sz w:val="22"/>
          <w:szCs w:val="22"/>
          <w:shd w:val="clear" w:color="auto" w:fill="FFFFFF"/>
        </w:rPr>
        <w:t xml:space="preserve">s have designed the notification and only new entrants to the market will need to create </w:t>
      </w:r>
      <w:r w:rsidRPr="001C2D09" w:rsidR="00890E61">
        <w:rPr>
          <w:spacing w:val="-3"/>
          <w:sz w:val="22"/>
          <w:szCs w:val="22"/>
          <w:shd w:val="clear" w:color="auto" w:fill="FFFFFF"/>
        </w:rPr>
        <w:t>it</w:t>
      </w:r>
      <w:r w:rsidRPr="001C2D09" w:rsidR="006F7B83">
        <w:rPr>
          <w:spacing w:val="-3"/>
          <w:sz w:val="22"/>
          <w:szCs w:val="22"/>
          <w:shd w:val="clear" w:color="auto" w:fill="FFFFFF"/>
        </w:rPr>
        <w:t xml:space="preserve">.  We estimate approximately 10% of the </w:t>
      </w:r>
      <w:r w:rsidRPr="001C2D09" w:rsidR="00A738B8">
        <w:rPr>
          <w:spacing w:val="-3"/>
          <w:sz w:val="22"/>
          <w:szCs w:val="22"/>
          <w:shd w:val="clear" w:color="auto" w:fill="FFFFFF"/>
        </w:rPr>
        <w:t>2,800</w:t>
      </w:r>
      <w:r w:rsidRPr="001C2D09" w:rsidR="006F7B83">
        <w:rPr>
          <w:spacing w:val="-3"/>
          <w:sz w:val="22"/>
          <w:szCs w:val="22"/>
          <w:shd w:val="clear" w:color="auto" w:fill="FFFFFF"/>
        </w:rPr>
        <w:t xml:space="preserve"> respondents are new entrants (</w:t>
      </w:r>
      <w:r w:rsidRPr="001C2D09" w:rsidR="00A738B8">
        <w:rPr>
          <w:spacing w:val="-3"/>
          <w:sz w:val="22"/>
          <w:szCs w:val="22"/>
          <w:shd w:val="clear" w:color="auto" w:fill="FFFFFF"/>
        </w:rPr>
        <w:t>2,800</w:t>
      </w:r>
      <w:r w:rsidRPr="001C2D09" w:rsidR="006F7B83">
        <w:rPr>
          <w:spacing w:val="-3"/>
          <w:sz w:val="22"/>
          <w:szCs w:val="22"/>
          <w:shd w:val="clear" w:color="auto" w:fill="FFFFFF"/>
        </w:rPr>
        <w:t xml:space="preserve"> x 10% = </w:t>
      </w:r>
      <w:r w:rsidRPr="001C2D09" w:rsidR="00A738B8">
        <w:rPr>
          <w:spacing w:val="-3"/>
          <w:sz w:val="22"/>
          <w:szCs w:val="22"/>
          <w:shd w:val="clear" w:color="auto" w:fill="FFFFFF"/>
        </w:rPr>
        <w:t>280</w:t>
      </w:r>
      <w:r w:rsidRPr="001C2D09" w:rsidR="006F7B83">
        <w:rPr>
          <w:spacing w:val="-3"/>
          <w:sz w:val="22"/>
          <w:szCs w:val="22"/>
          <w:shd w:val="clear" w:color="auto" w:fill="FFFFFF"/>
        </w:rPr>
        <w:t xml:space="preserve">).    </w:t>
      </w:r>
    </w:p>
    <w:p w:rsidR="0038157E" w:rsidRPr="001C2D09" w:rsidP="00C929FE" w14:paraId="46ECB52C" w14:textId="768BDDF7">
      <w:pPr>
        <w:suppressAutoHyphens/>
        <w:spacing w:after="120"/>
        <w:ind w:firstLine="720"/>
        <w:rPr>
          <w:sz w:val="22"/>
          <w:szCs w:val="22"/>
          <w:shd w:val="clear" w:color="auto" w:fill="FFFFFF"/>
        </w:rPr>
      </w:pPr>
      <w:r w:rsidRPr="001C2D09">
        <w:rPr>
          <w:sz w:val="22"/>
          <w:szCs w:val="22"/>
          <w:shd w:val="clear" w:color="auto" w:fill="FFFFFF"/>
        </w:rPr>
        <w:t>280</w:t>
      </w:r>
      <w:r w:rsidRPr="001C2D09" w:rsidR="001D25CE">
        <w:rPr>
          <w:sz w:val="22"/>
          <w:szCs w:val="22"/>
          <w:shd w:val="clear" w:color="auto" w:fill="FFFFFF"/>
        </w:rPr>
        <w:t xml:space="preserve"> respondents x 1</w:t>
      </w:r>
      <w:r w:rsidRPr="001C2D09" w:rsidR="004349EC">
        <w:rPr>
          <w:sz w:val="22"/>
          <w:szCs w:val="22"/>
          <w:shd w:val="clear" w:color="auto" w:fill="FFFFFF"/>
        </w:rPr>
        <w:t xml:space="preserve"> </w:t>
      </w:r>
      <w:r w:rsidRPr="001C2D09" w:rsidR="001D25CE">
        <w:rPr>
          <w:sz w:val="22"/>
          <w:szCs w:val="22"/>
          <w:shd w:val="clear" w:color="auto" w:fill="FFFFFF"/>
        </w:rPr>
        <w:t xml:space="preserve">hour/notification design = </w:t>
      </w:r>
      <w:r w:rsidRPr="001C2D09">
        <w:rPr>
          <w:sz w:val="22"/>
          <w:szCs w:val="22"/>
          <w:shd w:val="clear" w:color="auto" w:fill="FFFFFF"/>
        </w:rPr>
        <w:t xml:space="preserve">280 </w:t>
      </w:r>
      <w:r w:rsidRPr="001C2D09" w:rsidR="001D25CE">
        <w:rPr>
          <w:sz w:val="22"/>
          <w:szCs w:val="22"/>
          <w:shd w:val="clear" w:color="auto" w:fill="FFFFFF"/>
        </w:rPr>
        <w:t>hours</w:t>
      </w:r>
    </w:p>
    <w:p w:rsidR="00A33F2B" w:rsidRPr="001C2D09" w:rsidP="588F5F93" w14:paraId="4FBD02FD" w14:textId="5FBD2FE2">
      <w:pPr>
        <w:suppressAutoHyphens/>
        <w:spacing w:after="120"/>
        <w:rPr>
          <w:sz w:val="22"/>
          <w:szCs w:val="22"/>
          <w:shd w:val="clear" w:color="auto" w:fill="FFFFFF"/>
        </w:rPr>
      </w:pPr>
      <w:r w:rsidRPr="001C2D09">
        <w:rPr>
          <w:sz w:val="22"/>
          <w:szCs w:val="22"/>
          <w:shd w:val="clear" w:color="auto" w:fill="FFFFFF"/>
        </w:rPr>
        <w:t xml:space="preserve">It is difficult to estimate the time involved because the Commission does not know how many of the respondents’ customers change their account information annually.  We estimate that the respondents’ </w:t>
      </w:r>
      <w:r w:rsidRPr="001C2D09" w:rsidR="00BF03D7">
        <w:rPr>
          <w:sz w:val="22"/>
          <w:szCs w:val="22"/>
          <w:shd w:val="clear" w:color="auto" w:fill="FFFFFF"/>
        </w:rPr>
        <w:t>47,200,000</w:t>
      </w:r>
      <w:r w:rsidRPr="001C2D09" w:rsidR="002F202D">
        <w:rPr>
          <w:sz w:val="22"/>
          <w:szCs w:val="22"/>
          <w:shd w:val="clear" w:color="auto" w:fill="FFFFFF"/>
        </w:rPr>
        <w:t xml:space="preserve"> </w:t>
      </w:r>
      <w:r w:rsidRPr="001C2D09">
        <w:rPr>
          <w:sz w:val="22"/>
          <w:szCs w:val="22"/>
          <w:shd w:val="clear" w:color="auto" w:fill="FFFFFF"/>
        </w:rPr>
        <w:t>customers may change their account information once annually, which will require approximately 6 seconds (0.002 hours) for the respondents to transmit this notification to these customers:</w:t>
      </w:r>
    </w:p>
    <w:p w:rsidR="00FD4AB9" w:rsidRPr="001C2D09" w:rsidP="588F5F93" w14:paraId="2A7E2B24" w14:textId="20882CDA">
      <w:pPr>
        <w:suppressAutoHyphens/>
        <w:rPr>
          <w:sz w:val="22"/>
          <w:szCs w:val="22"/>
          <w:shd w:val="clear" w:color="auto" w:fill="FFFFFF"/>
        </w:rPr>
      </w:pPr>
      <w:r w:rsidRPr="001C2D09">
        <w:rPr>
          <w:sz w:val="22"/>
          <w:szCs w:val="22"/>
          <w:shd w:val="clear" w:color="auto" w:fill="FFFFFF"/>
        </w:rPr>
        <w:t>47,200,000</w:t>
      </w:r>
      <w:r w:rsidRPr="001C2D09" w:rsidR="002F202D">
        <w:rPr>
          <w:sz w:val="22"/>
          <w:szCs w:val="22"/>
          <w:shd w:val="clear" w:color="auto" w:fill="FFFFFF"/>
        </w:rPr>
        <w:t xml:space="preserve"> </w:t>
      </w:r>
      <w:r w:rsidRPr="001C2D09" w:rsidR="001D25CE">
        <w:rPr>
          <w:sz w:val="22"/>
          <w:szCs w:val="22"/>
          <w:shd w:val="clear" w:color="auto" w:fill="FFFFFF"/>
        </w:rPr>
        <w:t xml:space="preserve">customers x 0.002 hours/notification transmission = </w:t>
      </w:r>
      <w:r w:rsidRPr="001C2D09">
        <w:rPr>
          <w:sz w:val="22"/>
          <w:szCs w:val="22"/>
          <w:shd w:val="clear" w:color="auto" w:fill="FFFFFF"/>
        </w:rPr>
        <w:t>94,400</w:t>
      </w:r>
      <w:r w:rsidRPr="001C2D09" w:rsidR="006973FC">
        <w:rPr>
          <w:sz w:val="22"/>
          <w:szCs w:val="22"/>
          <w:shd w:val="clear" w:color="auto" w:fill="FFFFFF"/>
        </w:rPr>
        <w:t xml:space="preserve"> </w:t>
      </w:r>
      <w:r w:rsidRPr="001C2D09" w:rsidR="001D25CE">
        <w:rPr>
          <w:sz w:val="22"/>
          <w:szCs w:val="22"/>
          <w:shd w:val="clear" w:color="auto" w:fill="FFFFFF"/>
        </w:rPr>
        <w:t xml:space="preserve">hours    </w:t>
      </w:r>
    </w:p>
    <w:p w:rsidR="00A9692B" w:rsidRPr="001C2D09" w:rsidP="588F5F93" w14:paraId="3B38700C" w14:textId="233D8DA2">
      <w:pPr>
        <w:suppressAutoHyphens/>
        <w:spacing w:after="120"/>
        <w:rPr>
          <w:sz w:val="22"/>
          <w:szCs w:val="22"/>
          <w:shd w:val="clear" w:color="auto" w:fill="FFFFFF"/>
        </w:rPr>
      </w:pPr>
      <w:r w:rsidRPr="001C2D09">
        <w:rPr>
          <w:sz w:val="22"/>
          <w:szCs w:val="22"/>
          <w:shd w:val="clear" w:color="auto" w:fill="FFFFFF"/>
        </w:rPr>
        <w:t xml:space="preserve">Total: </w:t>
      </w:r>
      <w:r w:rsidRPr="001C2D09" w:rsidR="000D7587">
        <w:rPr>
          <w:sz w:val="22"/>
          <w:szCs w:val="22"/>
          <w:shd w:val="clear" w:color="auto" w:fill="FFFFFF"/>
        </w:rPr>
        <w:t xml:space="preserve"> </w:t>
      </w:r>
      <w:r w:rsidRPr="001C2D09">
        <w:rPr>
          <w:sz w:val="22"/>
          <w:szCs w:val="22"/>
          <w:shd w:val="clear" w:color="auto" w:fill="FFFFFF"/>
        </w:rPr>
        <w:t xml:space="preserve"> </w:t>
      </w:r>
      <w:r w:rsidRPr="001C2D09" w:rsidR="00BF03D7">
        <w:rPr>
          <w:sz w:val="22"/>
          <w:szCs w:val="22"/>
          <w:shd w:val="clear" w:color="auto" w:fill="FFFFFF"/>
        </w:rPr>
        <w:t xml:space="preserve">280 </w:t>
      </w:r>
      <w:r w:rsidRPr="001C2D09">
        <w:rPr>
          <w:sz w:val="22"/>
          <w:szCs w:val="22"/>
          <w:shd w:val="clear" w:color="auto" w:fill="FFFFFF"/>
        </w:rPr>
        <w:t xml:space="preserve">hours + </w:t>
      </w:r>
      <w:r w:rsidRPr="001C2D09" w:rsidR="00012642">
        <w:rPr>
          <w:sz w:val="22"/>
          <w:szCs w:val="22"/>
          <w:shd w:val="clear" w:color="auto" w:fill="FFFFFF"/>
        </w:rPr>
        <w:t xml:space="preserve"> </w:t>
      </w:r>
      <w:r w:rsidRPr="001C2D09" w:rsidR="00BF03D7">
        <w:rPr>
          <w:sz w:val="22"/>
          <w:szCs w:val="22"/>
          <w:shd w:val="clear" w:color="auto" w:fill="FFFFFF"/>
        </w:rPr>
        <w:t xml:space="preserve">94,400 </w:t>
      </w:r>
      <w:r w:rsidRPr="001C2D09">
        <w:rPr>
          <w:sz w:val="22"/>
          <w:szCs w:val="22"/>
          <w:shd w:val="clear" w:color="auto" w:fill="FFFFFF"/>
        </w:rPr>
        <w:t xml:space="preserve">hours = </w:t>
      </w:r>
      <w:r w:rsidRPr="001C2D09" w:rsidR="00BF03D7">
        <w:rPr>
          <w:sz w:val="22"/>
          <w:szCs w:val="22"/>
          <w:shd w:val="clear" w:color="auto" w:fill="FFFFFF"/>
        </w:rPr>
        <w:t xml:space="preserve">94,680 </w:t>
      </w:r>
      <w:r w:rsidRPr="001C2D09">
        <w:rPr>
          <w:sz w:val="22"/>
          <w:szCs w:val="22"/>
          <w:shd w:val="clear" w:color="auto" w:fill="FFFFFF"/>
        </w:rPr>
        <w:t>hours</w:t>
      </w:r>
    </w:p>
    <w:p w:rsidR="00C30783" w:rsidRPr="001C2D09" w:rsidP="00DE34A8" w14:paraId="2308DAF3" w14:textId="1B2513C9">
      <w:pPr>
        <w:tabs>
          <w:tab w:val="left" w:pos="-720"/>
        </w:tabs>
        <w:suppressAutoHyphens/>
        <w:spacing w:after="120"/>
        <w:rPr>
          <w:sz w:val="22"/>
          <w:szCs w:val="22"/>
          <w:shd w:val="clear" w:color="auto" w:fill="FFFFFF"/>
        </w:rPr>
      </w:pPr>
      <w:r w:rsidRPr="001C2D09">
        <w:rPr>
          <w:sz w:val="22"/>
          <w:szCs w:val="22"/>
          <w:shd w:val="clear" w:color="auto" w:fill="FFFFFF"/>
        </w:rPr>
        <w:tab/>
      </w:r>
      <w:r w:rsidRPr="001C2D09" w:rsidR="00FD4AB9">
        <w:rPr>
          <w:sz w:val="22"/>
          <w:szCs w:val="22"/>
          <w:shd w:val="clear" w:color="auto" w:fill="FFFFFF"/>
        </w:rPr>
        <w:t>(</w:t>
      </w:r>
      <w:r w:rsidRPr="001C2D09" w:rsidR="003B18E6">
        <w:rPr>
          <w:sz w:val="22"/>
          <w:szCs w:val="22"/>
          <w:shd w:val="clear" w:color="auto" w:fill="FFFFFF"/>
        </w:rPr>
        <w:t>5</w:t>
      </w:r>
      <w:r w:rsidRPr="001C2D09" w:rsidR="00FD4AB9">
        <w:rPr>
          <w:sz w:val="22"/>
          <w:szCs w:val="22"/>
          <w:shd w:val="clear" w:color="auto" w:fill="FFFFFF"/>
        </w:rPr>
        <w:t>)</w:t>
      </w:r>
      <w:r w:rsidRPr="001C2D09">
        <w:rPr>
          <w:sz w:val="22"/>
          <w:szCs w:val="22"/>
          <w:shd w:val="clear" w:color="auto" w:fill="FFFFFF"/>
        </w:rPr>
        <w:tab/>
      </w:r>
      <w:r w:rsidRPr="001C2D09" w:rsidR="00E54781">
        <w:rPr>
          <w:spacing w:val="-3"/>
          <w:sz w:val="22"/>
          <w:szCs w:val="22"/>
          <w:shd w:val="clear" w:color="auto" w:fill="FFFFFF"/>
        </w:rPr>
        <w:t>Total “In House” Costs</w:t>
      </w:r>
      <w:r w:rsidRPr="001C2D09" w:rsidR="003C242F">
        <w:rPr>
          <w:sz w:val="22"/>
          <w:szCs w:val="22"/>
          <w:shd w:val="clear" w:color="auto" w:fill="FFFFFF"/>
        </w:rPr>
        <w:t xml:space="preserve">: </w:t>
      </w:r>
      <w:r w:rsidRPr="001C2D09" w:rsidR="000D7587">
        <w:rPr>
          <w:sz w:val="22"/>
          <w:szCs w:val="22"/>
          <w:shd w:val="clear" w:color="auto" w:fill="FFFFFF"/>
        </w:rPr>
        <w:t xml:space="preserve"> </w:t>
      </w:r>
      <w:r w:rsidRPr="001C2D09" w:rsidR="006D0E37">
        <w:rPr>
          <w:spacing w:val="-3"/>
          <w:sz w:val="22"/>
          <w:szCs w:val="22"/>
          <w:shd w:val="clear" w:color="auto" w:fill="FFFFFF"/>
        </w:rPr>
        <w:t>$</w:t>
      </w:r>
      <w:r w:rsidRPr="001C2D09" w:rsidR="005948F1">
        <w:rPr>
          <w:spacing w:val="-3"/>
          <w:sz w:val="22"/>
          <w:szCs w:val="22"/>
          <w:shd w:val="clear" w:color="auto" w:fill="FFFFFF"/>
        </w:rPr>
        <w:t>308,837</w:t>
      </w:r>
    </w:p>
    <w:p w:rsidR="008333B8" w:rsidRPr="001C2D09" w:rsidP="008333B8" w14:paraId="6F4DB7E4" w14:textId="43212B73">
      <w:pPr>
        <w:spacing w:after="120"/>
        <w:rPr>
          <w:spacing w:val="-3"/>
          <w:sz w:val="22"/>
          <w:szCs w:val="22"/>
          <w:shd w:val="clear" w:color="auto" w:fill="FFFFFF"/>
        </w:rPr>
      </w:pPr>
      <w:r w:rsidRPr="001C2D09">
        <w:rPr>
          <w:spacing w:val="-3"/>
          <w:sz w:val="22"/>
          <w:szCs w:val="22"/>
          <w:shd w:val="clear" w:color="auto" w:fill="FFFFFF"/>
        </w:rPr>
        <w:t xml:space="preserve">The Commission assumes that the respondents use personnel comparable in pay to a GS-12/Step </w:t>
      </w:r>
      <w:r w:rsidRPr="001C2D09" w:rsidR="005948F1">
        <w:rPr>
          <w:spacing w:val="-3"/>
          <w:sz w:val="22"/>
          <w:szCs w:val="22"/>
          <w:shd w:val="clear" w:color="auto" w:fill="FFFFFF"/>
        </w:rPr>
        <w:t>5</w:t>
      </w:r>
      <w:r w:rsidRPr="001C2D09">
        <w:rPr>
          <w:spacing w:val="-3"/>
          <w:sz w:val="22"/>
          <w:szCs w:val="22"/>
          <w:shd w:val="clear" w:color="auto" w:fill="FFFFFF"/>
        </w:rPr>
        <w:t xml:space="preserve"> ($</w:t>
      </w:r>
      <w:r w:rsidRPr="001C2D09" w:rsidR="005948F1">
        <w:rPr>
          <w:spacing w:val="-3"/>
          <w:sz w:val="22"/>
          <w:szCs w:val="22"/>
          <w:shd w:val="clear" w:color="auto" w:fill="FFFFFF"/>
        </w:rPr>
        <w:t>53.87</w:t>
      </w:r>
      <w:r w:rsidRPr="001C2D09">
        <w:rPr>
          <w:spacing w:val="-3"/>
          <w:sz w:val="22"/>
          <w:szCs w:val="22"/>
          <w:shd w:val="clear" w:color="auto" w:fill="FFFFFF"/>
        </w:rPr>
        <w:t xml:space="preserve">/hour) Federal employee, plus 30% for overhead, to comply with the recordkeeping requirement: </w:t>
      </w:r>
    </w:p>
    <w:p w:rsidR="00CF642F" w:rsidRPr="001C2D09" w:rsidP="0077092A" w14:paraId="5C405C1F" w14:textId="7E6F5B5D">
      <w:pPr>
        <w:tabs>
          <w:tab w:val="left" w:pos="-720"/>
        </w:tabs>
        <w:suppressAutoHyphens/>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C30783">
        <w:rPr>
          <w:spacing w:val="-3"/>
          <w:sz w:val="22"/>
          <w:szCs w:val="22"/>
          <w:shd w:val="clear" w:color="auto" w:fill="FFFFFF"/>
        </w:rPr>
        <w:tab/>
      </w:r>
      <w:r w:rsidRPr="001C2D09" w:rsidR="00BF03D7">
        <w:rPr>
          <w:spacing w:val="-3"/>
          <w:sz w:val="22"/>
          <w:szCs w:val="22"/>
          <w:shd w:val="clear" w:color="auto" w:fill="FFFFFF"/>
        </w:rPr>
        <w:t xml:space="preserve">      </w:t>
      </w:r>
      <w:r w:rsidRPr="001C2D09" w:rsidR="003A2E33">
        <w:rPr>
          <w:spacing w:val="-3"/>
          <w:sz w:val="22"/>
          <w:szCs w:val="22"/>
          <w:shd w:val="clear" w:color="auto" w:fill="FFFFFF"/>
        </w:rPr>
        <w:t xml:space="preserve">4,410 </w:t>
      </w:r>
      <w:r w:rsidRPr="001C2D09" w:rsidR="00EF6184">
        <w:rPr>
          <w:spacing w:val="-3"/>
          <w:sz w:val="22"/>
          <w:szCs w:val="22"/>
          <w:shd w:val="clear" w:color="auto" w:fill="FFFFFF"/>
        </w:rPr>
        <w:t>hour</w:t>
      </w:r>
      <w:r w:rsidRPr="001C2D09">
        <w:rPr>
          <w:spacing w:val="-3"/>
          <w:sz w:val="22"/>
          <w:szCs w:val="22"/>
          <w:shd w:val="clear" w:color="auto" w:fill="FFFFFF"/>
        </w:rPr>
        <w:t xml:space="preserve">s </w:t>
      </w:r>
      <w:r w:rsidRPr="001C2D09" w:rsidR="00EF6184">
        <w:rPr>
          <w:spacing w:val="-3"/>
          <w:sz w:val="22"/>
          <w:szCs w:val="22"/>
          <w:shd w:val="clear" w:color="auto" w:fill="FFFFFF"/>
        </w:rPr>
        <w:t>x $</w:t>
      </w:r>
      <w:r w:rsidRPr="001C2D09" w:rsidR="00287A79">
        <w:rPr>
          <w:spacing w:val="-3"/>
          <w:sz w:val="22"/>
          <w:szCs w:val="22"/>
          <w:shd w:val="clear" w:color="auto" w:fill="FFFFFF"/>
        </w:rPr>
        <w:t>53.87</w:t>
      </w:r>
      <w:r w:rsidRPr="001C2D09">
        <w:rPr>
          <w:spacing w:val="-3"/>
          <w:sz w:val="22"/>
          <w:szCs w:val="22"/>
          <w:shd w:val="clear" w:color="auto" w:fill="FFFFFF"/>
        </w:rPr>
        <w:t>/</w:t>
      </w:r>
      <w:r w:rsidRPr="001C2D09" w:rsidR="00EF6184">
        <w:rPr>
          <w:spacing w:val="-3"/>
          <w:sz w:val="22"/>
          <w:szCs w:val="22"/>
          <w:shd w:val="clear" w:color="auto" w:fill="FFFFFF"/>
        </w:rPr>
        <w:t xml:space="preserve">hour = </w:t>
      </w:r>
      <w:r w:rsidRPr="001C2D09" w:rsidR="00441C97">
        <w:rPr>
          <w:spacing w:val="-3"/>
          <w:sz w:val="22"/>
          <w:szCs w:val="22"/>
          <w:shd w:val="clear" w:color="auto" w:fill="FFFFFF"/>
        </w:rPr>
        <w:t xml:space="preserve">  </w:t>
      </w:r>
      <w:r w:rsidRPr="001C2D09" w:rsidR="00EF6184">
        <w:rPr>
          <w:spacing w:val="-3"/>
          <w:sz w:val="22"/>
          <w:szCs w:val="22"/>
          <w:shd w:val="clear" w:color="auto" w:fill="FFFFFF"/>
        </w:rPr>
        <w:t>$</w:t>
      </w:r>
      <w:r w:rsidRPr="001C2D09" w:rsidR="003A2E33">
        <w:rPr>
          <w:spacing w:val="-3"/>
          <w:sz w:val="22"/>
          <w:szCs w:val="22"/>
          <w:shd w:val="clear" w:color="auto" w:fill="FFFFFF"/>
        </w:rPr>
        <w:t>2</w:t>
      </w:r>
      <w:r w:rsidRPr="001C2D09" w:rsidR="00287A79">
        <w:rPr>
          <w:spacing w:val="-3"/>
          <w:sz w:val="22"/>
          <w:szCs w:val="22"/>
          <w:shd w:val="clear" w:color="auto" w:fill="FFFFFF"/>
        </w:rPr>
        <w:t>37,567</w:t>
      </w:r>
      <w:r w:rsidRPr="001C2D09" w:rsidR="00DD2D4C">
        <w:rPr>
          <w:spacing w:val="-3"/>
          <w:sz w:val="22"/>
          <w:szCs w:val="22"/>
          <w:shd w:val="clear" w:color="auto" w:fill="FFFFFF"/>
        </w:rPr>
        <w:t xml:space="preserve"> </w:t>
      </w:r>
      <w:r w:rsidRPr="001C2D09" w:rsidR="00BF03D7">
        <w:rPr>
          <w:spacing w:val="-3"/>
          <w:sz w:val="22"/>
          <w:szCs w:val="22"/>
          <w:shd w:val="clear" w:color="auto" w:fill="FFFFFF"/>
        </w:rPr>
        <w:t xml:space="preserve">   </w:t>
      </w:r>
      <w:r w:rsidRPr="001C2D09" w:rsidR="00DD2D4C">
        <w:rPr>
          <w:spacing w:val="-3"/>
          <w:sz w:val="22"/>
          <w:szCs w:val="22"/>
          <w:shd w:val="clear" w:color="auto" w:fill="FFFFFF"/>
        </w:rPr>
        <w:t xml:space="preserve">   </w:t>
      </w:r>
      <w:r w:rsidRPr="001C2D09" w:rsidR="006D1E96">
        <w:rPr>
          <w:spacing w:val="-3"/>
          <w:sz w:val="22"/>
          <w:szCs w:val="22"/>
          <w:shd w:val="clear" w:color="auto" w:fill="FFFFFF"/>
        </w:rPr>
        <w:t xml:space="preserve">      </w:t>
      </w:r>
    </w:p>
    <w:p w:rsidR="00DF30E5" w:rsidRPr="001C2D09" w:rsidP="0077092A" w14:paraId="2C1AEA21" w14:textId="1FDC02FB">
      <w:pPr>
        <w:tabs>
          <w:tab w:val="left" w:pos="-720"/>
        </w:tabs>
        <w:suppressAutoHyphens/>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B10C1E">
        <w:rPr>
          <w:spacing w:val="-3"/>
          <w:sz w:val="22"/>
          <w:szCs w:val="22"/>
          <w:shd w:val="clear" w:color="auto" w:fill="FFFFFF"/>
        </w:rPr>
        <w:tab/>
      </w:r>
    </w:p>
    <w:p w:rsidR="00881FA5" w:rsidRPr="001C2D09" w:rsidP="0077092A" w14:paraId="1F94B7CD" w14:textId="1110F1E1">
      <w:pPr>
        <w:tabs>
          <w:tab w:val="left" w:pos="-720"/>
        </w:tabs>
        <w:suppressAutoHyphens/>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9F7A8B">
        <w:rPr>
          <w:spacing w:val="-3"/>
          <w:sz w:val="22"/>
          <w:szCs w:val="22"/>
          <w:shd w:val="clear" w:color="auto" w:fill="FFFFFF"/>
        </w:rPr>
        <w:tab/>
      </w:r>
      <w:r w:rsidRPr="001C2D09" w:rsidR="009F7A8B">
        <w:rPr>
          <w:spacing w:val="-3"/>
          <w:sz w:val="22"/>
          <w:szCs w:val="22"/>
          <w:shd w:val="clear" w:color="auto" w:fill="FFFFFF"/>
        </w:rPr>
        <w:tab/>
      </w:r>
      <w:r w:rsidRPr="001C2D09" w:rsidR="009F7A8B">
        <w:rPr>
          <w:spacing w:val="-3"/>
          <w:sz w:val="22"/>
          <w:szCs w:val="22"/>
          <w:shd w:val="clear" w:color="auto" w:fill="FFFFFF"/>
        </w:rPr>
        <w:tab/>
      </w:r>
      <w:r w:rsidRPr="001C2D09" w:rsidR="009F7A8B">
        <w:rPr>
          <w:spacing w:val="-3"/>
          <w:sz w:val="22"/>
          <w:szCs w:val="22"/>
          <w:shd w:val="clear" w:color="auto" w:fill="FFFFFF"/>
        </w:rPr>
        <w:tab/>
      </w:r>
      <w:r w:rsidRPr="001C2D09" w:rsidR="006D1E96">
        <w:rPr>
          <w:spacing w:val="-3"/>
          <w:sz w:val="22"/>
          <w:szCs w:val="22"/>
          <w:shd w:val="clear" w:color="auto" w:fill="FFFFFF"/>
        </w:rPr>
        <w:t xml:space="preserve">           </w:t>
      </w:r>
      <w:r w:rsidRPr="001C2D09" w:rsidR="009F7A8B">
        <w:rPr>
          <w:spacing w:val="-3"/>
          <w:sz w:val="22"/>
          <w:szCs w:val="22"/>
          <w:shd w:val="clear" w:color="auto" w:fill="FFFFFF"/>
        </w:rPr>
        <w:t>$</w:t>
      </w:r>
      <w:r w:rsidRPr="001C2D09" w:rsidR="008B19CA">
        <w:rPr>
          <w:spacing w:val="-3"/>
          <w:sz w:val="22"/>
          <w:szCs w:val="22"/>
          <w:shd w:val="clear" w:color="auto" w:fill="FFFFFF"/>
        </w:rPr>
        <w:t>2</w:t>
      </w:r>
      <w:r w:rsidRPr="001C2D09" w:rsidR="00287A79">
        <w:rPr>
          <w:spacing w:val="-3"/>
          <w:sz w:val="22"/>
          <w:szCs w:val="22"/>
          <w:shd w:val="clear" w:color="auto" w:fill="FFFFFF"/>
        </w:rPr>
        <w:t>37,567</w:t>
      </w:r>
    </w:p>
    <w:p w:rsidR="00A25A50" w:rsidRPr="001C2D09" w:rsidP="0077092A" w14:paraId="275BF5B6" w14:textId="160E27A8">
      <w:pPr>
        <w:tabs>
          <w:tab w:val="left" w:pos="-720"/>
        </w:tabs>
        <w:suppressAutoHyphens/>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9F7A8B">
        <w:rPr>
          <w:spacing w:val="-3"/>
          <w:sz w:val="22"/>
          <w:szCs w:val="22"/>
          <w:shd w:val="clear" w:color="auto" w:fill="FFFFFF"/>
        </w:rPr>
        <w:tab/>
      </w:r>
      <w:r w:rsidRPr="001C2D09" w:rsidR="009F7A8B">
        <w:rPr>
          <w:spacing w:val="-3"/>
          <w:sz w:val="22"/>
          <w:szCs w:val="22"/>
          <w:shd w:val="clear" w:color="auto" w:fill="FFFFFF"/>
        </w:rPr>
        <w:tab/>
      </w:r>
      <w:r w:rsidRPr="001C2D09" w:rsidR="006D1E96">
        <w:rPr>
          <w:spacing w:val="-3"/>
          <w:sz w:val="22"/>
          <w:szCs w:val="22"/>
          <w:shd w:val="clear" w:color="auto" w:fill="FFFFFF"/>
        </w:rPr>
        <w:t xml:space="preserve">           </w:t>
      </w:r>
      <w:r w:rsidRPr="001C2D09" w:rsidR="009F7A8B">
        <w:rPr>
          <w:spacing w:val="-3"/>
          <w:sz w:val="22"/>
          <w:szCs w:val="22"/>
          <w:shd w:val="clear" w:color="auto" w:fill="FFFFFF"/>
        </w:rPr>
        <w:t xml:space="preserve">30% overhead = </w:t>
      </w:r>
      <w:r w:rsidRPr="001C2D09" w:rsidR="009F7A8B">
        <w:rPr>
          <w:spacing w:val="-3"/>
          <w:sz w:val="22"/>
          <w:szCs w:val="22"/>
          <w:u w:val="single"/>
          <w:shd w:val="clear" w:color="auto" w:fill="FFFFFF"/>
        </w:rPr>
        <w:t>$</w:t>
      </w:r>
      <w:r w:rsidRPr="001C2D09" w:rsidR="005F45A9">
        <w:rPr>
          <w:spacing w:val="-3"/>
          <w:sz w:val="22"/>
          <w:szCs w:val="22"/>
          <w:u w:val="single"/>
          <w:shd w:val="clear" w:color="auto" w:fill="FFFFFF"/>
        </w:rPr>
        <w:t xml:space="preserve">  71,270</w:t>
      </w:r>
      <w:r w:rsidRPr="001C2D09">
        <w:rPr>
          <w:spacing w:val="-3"/>
          <w:sz w:val="22"/>
          <w:szCs w:val="22"/>
          <w:u w:val="single"/>
          <w:shd w:val="clear" w:color="auto" w:fill="FFFFFF"/>
        </w:rPr>
        <w:t xml:space="preserve">  </w:t>
      </w:r>
    </w:p>
    <w:p w:rsidR="00A25A50" w:rsidRPr="001C2D09" w:rsidP="000B0440" w14:paraId="0DEE107A" w14:textId="38140B0F">
      <w:pPr>
        <w:tabs>
          <w:tab w:val="left" w:pos="-720"/>
        </w:tabs>
        <w:suppressAutoHyphens/>
        <w:spacing w:after="240"/>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9F7A8B">
        <w:rPr>
          <w:spacing w:val="-3"/>
          <w:sz w:val="22"/>
          <w:szCs w:val="22"/>
          <w:shd w:val="clear" w:color="auto" w:fill="FFFFFF"/>
        </w:rPr>
        <w:tab/>
      </w:r>
      <w:r w:rsidRPr="001C2D09" w:rsidR="009F7A8B">
        <w:rPr>
          <w:spacing w:val="-3"/>
          <w:sz w:val="22"/>
          <w:szCs w:val="22"/>
          <w:shd w:val="clear" w:color="auto" w:fill="FFFFFF"/>
        </w:rPr>
        <w:tab/>
      </w:r>
      <w:r w:rsidRPr="001C2D09" w:rsidR="009F7A8B">
        <w:rPr>
          <w:spacing w:val="-3"/>
          <w:sz w:val="22"/>
          <w:szCs w:val="22"/>
          <w:shd w:val="clear" w:color="auto" w:fill="FFFFFF"/>
        </w:rPr>
        <w:tab/>
      </w:r>
      <w:r w:rsidRPr="001C2D09" w:rsidR="006D1E96">
        <w:rPr>
          <w:spacing w:val="-3"/>
          <w:sz w:val="22"/>
          <w:szCs w:val="22"/>
          <w:shd w:val="clear" w:color="auto" w:fill="FFFFFF"/>
        </w:rPr>
        <w:tab/>
      </w:r>
      <w:r w:rsidRPr="001C2D09" w:rsidR="009F7A8B">
        <w:rPr>
          <w:spacing w:val="-3"/>
          <w:sz w:val="22"/>
          <w:szCs w:val="22"/>
          <w:shd w:val="clear" w:color="auto" w:fill="FFFFFF"/>
        </w:rPr>
        <w:t>Total:  $</w:t>
      </w:r>
      <w:r w:rsidRPr="001C2D09" w:rsidR="004E2279">
        <w:rPr>
          <w:sz w:val="22"/>
          <w:szCs w:val="22"/>
        </w:rPr>
        <w:t>308,837</w:t>
      </w:r>
    </w:p>
    <w:p w:rsidR="49EC1084" w:rsidRPr="00C929FE" w:rsidP="00C929FE" w14:paraId="3F75ABD7" w14:textId="18D1C931">
      <w:pPr>
        <w:spacing w:after="120"/>
        <w:rPr>
          <w:b/>
          <w:bCs/>
          <w:sz w:val="22"/>
          <w:szCs w:val="22"/>
        </w:rPr>
      </w:pPr>
      <w:r w:rsidRPr="00C929FE">
        <w:rPr>
          <w:b/>
          <w:bCs/>
          <w:sz w:val="22"/>
          <w:szCs w:val="22"/>
        </w:rPr>
        <w:t>(o)</w:t>
      </w:r>
      <w:r w:rsidRPr="00C929FE">
        <w:rPr>
          <w:b/>
          <w:bCs/>
          <w:sz w:val="22"/>
          <w:szCs w:val="22"/>
        </w:rPr>
        <w:tab/>
      </w:r>
      <w:r w:rsidRPr="00C929FE" w:rsidR="00F93F5D">
        <w:rPr>
          <w:b/>
          <w:bCs/>
          <w:sz w:val="22"/>
          <w:szCs w:val="22"/>
        </w:rPr>
        <w:t>Customer notification of SIM c</w:t>
      </w:r>
      <w:r w:rsidRPr="00C929FE">
        <w:rPr>
          <w:b/>
          <w:bCs/>
          <w:sz w:val="22"/>
          <w:szCs w:val="22"/>
        </w:rPr>
        <w:t>hange</w:t>
      </w:r>
      <w:r w:rsidRPr="00C929FE" w:rsidR="00F93F5D">
        <w:rPr>
          <w:b/>
          <w:bCs/>
          <w:sz w:val="22"/>
          <w:szCs w:val="22"/>
        </w:rPr>
        <w:t xml:space="preserve"> requests</w:t>
      </w:r>
      <w:r w:rsidRPr="00C929FE">
        <w:rPr>
          <w:b/>
          <w:bCs/>
          <w:sz w:val="22"/>
          <w:szCs w:val="22"/>
        </w:rPr>
        <w:t>.</w:t>
      </w:r>
    </w:p>
    <w:p w:rsidR="372DC1D4" w:rsidRPr="001C2D09" w:rsidP="009F2C8C" w14:paraId="009E8200" w14:textId="02EBAFEF">
      <w:pPr>
        <w:spacing w:after="160" w:line="257" w:lineRule="auto"/>
        <w:rPr>
          <w:sz w:val="22"/>
          <w:szCs w:val="22"/>
        </w:rPr>
      </w:pPr>
      <w:r w:rsidRPr="7F2667BC">
        <w:rPr>
          <w:sz w:val="22"/>
          <w:szCs w:val="22"/>
        </w:rPr>
        <w:t>To provide customers with an early warning that their account may be subject to fraudulent activity, CMRS providers are required to provide immediate notification to a customer that a SIM change request associated with the customer’s account was made</w:t>
      </w:r>
      <w:r w:rsidRPr="7F2667BC" w:rsidR="2D37A3B8">
        <w:rPr>
          <w:sz w:val="22"/>
          <w:szCs w:val="22"/>
        </w:rPr>
        <w:t xml:space="preserve"> and</w:t>
      </w:r>
      <w:r w:rsidRPr="7F2667BC">
        <w:rPr>
          <w:sz w:val="22"/>
          <w:szCs w:val="22"/>
        </w:rPr>
        <w:t xml:space="preserve"> sent in accordance with customer preferences, if indicated</w:t>
      </w:r>
      <w:r w:rsidRPr="7F2667BC" w:rsidR="7B1B5B2D">
        <w:rPr>
          <w:sz w:val="22"/>
          <w:szCs w:val="22"/>
        </w:rPr>
        <w:t>.</w:t>
      </w:r>
      <w:r w:rsidRPr="7F2667BC" w:rsidR="7B337DA9">
        <w:rPr>
          <w:sz w:val="22"/>
          <w:szCs w:val="22"/>
        </w:rPr>
        <w:t xml:space="preserve">  T</w:t>
      </w:r>
      <w:r w:rsidRPr="7F2667BC">
        <w:rPr>
          <w:sz w:val="22"/>
          <w:szCs w:val="22"/>
        </w:rPr>
        <w:t>he notification must be sent before the SIM change is effectuated, except to the extent otherwise required by the S</w:t>
      </w:r>
      <w:r w:rsidRPr="7F2667BC" w:rsidR="008A69E1">
        <w:rPr>
          <w:sz w:val="22"/>
          <w:szCs w:val="22"/>
        </w:rPr>
        <w:t xml:space="preserve">afe </w:t>
      </w:r>
      <w:r w:rsidRPr="7F2667BC">
        <w:rPr>
          <w:sz w:val="22"/>
          <w:szCs w:val="22"/>
        </w:rPr>
        <w:t>C</w:t>
      </w:r>
      <w:r w:rsidRPr="7F2667BC" w:rsidR="008A69E1">
        <w:rPr>
          <w:sz w:val="22"/>
          <w:szCs w:val="22"/>
        </w:rPr>
        <w:t xml:space="preserve">onnections </w:t>
      </w:r>
      <w:r w:rsidRPr="7F2667BC">
        <w:rPr>
          <w:sz w:val="22"/>
          <w:szCs w:val="22"/>
        </w:rPr>
        <w:t>A</w:t>
      </w:r>
      <w:r w:rsidRPr="7F2667BC" w:rsidR="008A69E1">
        <w:rPr>
          <w:sz w:val="22"/>
          <w:szCs w:val="22"/>
        </w:rPr>
        <w:t>ct</w:t>
      </w:r>
      <w:r w:rsidRPr="7F2667BC">
        <w:rPr>
          <w:sz w:val="22"/>
          <w:szCs w:val="22"/>
        </w:rPr>
        <w:t xml:space="preserve">.  This would include delivering a notification in the language of the customer’s choosing, if the CMRS provider permits communications preferences in other languages and the customer has previously indicated such choice.  Compliance also may require system upgrades to handle increased customer notification volumes and development for pre-paid notifications.  Providers have flexibility to determine the most appropriate methods to provide the required notifications, so that providers can account for the complexities of notifications in various contexts as well as the technical capabilities, accessibility needs, or broadband access of individual customers. </w:t>
      </w:r>
      <w:r w:rsidRPr="7F2667BC" w:rsidR="008A69E1">
        <w:rPr>
          <w:sz w:val="22"/>
          <w:szCs w:val="22"/>
        </w:rPr>
        <w:t xml:space="preserve"> </w:t>
      </w:r>
      <w:r w:rsidRPr="7F2667BC">
        <w:rPr>
          <w:sz w:val="22"/>
          <w:szCs w:val="22"/>
        </w:rPr>
        <w:t>Providers are permitted to use existing methods of notification that are reasonably designed to reach the customer associated with the account.</w:t>
      </w:r>
    </w:p>
    <w:p w:rsidR="372DC1D4" w:rsidRPr="001C2D09" w:rsidP="009F2C8C" w14:paraId="430915A2" w14:textId="249D5601">
      <w:pPr>
        <w:spacing w:after="160" w:line="257" w:lineRule="auto"/>
        <w:rPr>
          <w:sz w:val="22"/>
          <w:szCs w:val="22"/>
        </w:rPr>
      </w:pPr>
      <w:r w:rsidRPr="7F2667BC">
        <w:rPr>
          <w:sz w:val="22"/>
          <w:szCs w:val="22"/>
          <w:u w:val="single"/>
        </w:rPr>
        <w:t>Immediate customer notification of SIM change requests</w:t>
      </w:r>
      <w:r w:rsidRPr="7F2667BC">
        <w:rPr>
          <w:sz w:val="22"/>
          <w:szCs w:val="22"/>
        </w:rPr>
        <w:t>:</w:t>
      </w:r>
    </w:p>
    <w:p w:rsidR="372DC1D4" w:rsidRPr="001C2D09" w:rsidP="009F2C8C" w14:paraId="05B57206" w14:textId="5E98D3FE">
      <w:pPr>
        <w:pStyle w:val="ListParagraph"/>
        <w:numPr>
          <w:ilvl w:val="0"/>
          <w:numId w:val="24"/>
        </w:numPr>
        <w:spacing w:line="257" w:lineRule="auto"/>
        <w:ind w:left="1080"/>
        <w:rPr>
          <w:sz w:val="22"/>
          <w:szCs w:val="22"/>
        </w:rPr>
      </w:pPr>
      <w:r w:rsidRPr="001C2D09">
        <w:rPr>
          <w:sz w:val="22"/>
          <w:szCs w:val="22"/>
        </w:rPr>
        <w:t>Total Number of Respondents (CMRS Providers):  600</w:t>
      </w:r>
    </w:p>
    <w:p w:rsidR="372DC1D4" w:rsidRPr="001C2D09" w:rsidP="009F2C8C" w14:paraId="11A8EBBB" w14:textId="197F1E1E">
      <w:pPr>
        <w:pStyle w:val="ListParagraph"/>
        <w:numPr>
          <w:ilvl w:val="0"/>
          <w:numId w:val="24"/>
        </w:numPr>
        <w:spacing w:line="257" w:lineRule="auto"/>
        <w:ind w:left="1080"/>
        <w:rPr>
          <w:sz w:val="22"/>
          <w:szCs w:val="22"/>
        </w:rPr>
      </w:pPr>
      <w:r w:rsidRPr="7F2667BC">
        <w:rPr>
          <w:sz w:val="22"/>
          <w:szCs w:val="22"/>
        </w:rPr>
        <w:t xml:space="preserve">Frequency of Response:  </w:t>
      </w:r>
      <w:r w:rsidRPr="7F2667BC" w:rsidR="024C87ED">
        <w:rPr>
          <w:sz w:val="22"/>
          <w:szCs w:val="22"/>
        </w:rPr>
        <w:t>Third-party disclosure; d</w:t>
      </w:r>
      <w:r w:rsidRPr="7F2667BC">
        <w:rPr>
          <w:sz w:val="22"/>
          <w:szCs w:val="22"/>
        </w:rPr>
        <w:t>esign, development, and implementation of procedures.</w:t>
      </w:r>
    </w:p>
    <w:p w:rsidR="372DC1D4" w14:paraId="09255658" w14:textId="68A5A339">
      <w:pPr>
        <w:pStyle w:val="ListParagraph"/>
        <w:spacing w:after="160" w:line="257" w:lineRule="auto"/>
        <w:rPr>
          <w:sz w:val="22"/>
          <w:szCs w:val="22"/>
        </w:rPr>
      </w:pPr>
      <w:r>
        <w:rPr>
          <w:sz w:val="22"/>
          <w:szCs w:val="22"/>
        </w:rPr>
        <w:t>(3) Total Number of Responses Annually:</w:t>
      </w:r>
      <w:r w:rsidR="004D51D7">
        <w:rPr>
          <w:sz w:val="22"/>
          <w:szCs w:val="22"/>
        </w:rPr>
        <w:t xml:space="preserve"> 91,250,000 responses</w:t>
      </w:r>
    </w:p>
    <w:p w:rsidR="00137DAC" w:rsidP="00137DAC" w14:paraId="17FD3B09" w14:textId="77777777">
      <w:pPr>
        <w:pStyle w:val="ListParagraph"/>
        <w:spacing w:after="160" w:line="257" w:lineRule="auto"/>
        <w:rPr>
          <w:sz w:val="22"/>
          <w:szCs w:val="22"/>
        </w:rPr>
      </w:pPr>
    </w:p>
    <w:p w:rsidR="00137DAC" w:rsidRPr="003B570D" w:rsidP="00137DAC" w14:paraId="65934403" w14:textId="59C05CD0">
      <w:pPr>
        <w:pStyle w:val="ListParagraph"/>
        <w:spacing w:after="160" w:line="257" w:lineRule="auto"/>
        <w:rPr>
          <w:sz w:val="22"/>
          <w:szCs w:val="22"/>
        </w:rPr>
      </w:pPr>
      <w:r>
        <w:rPr>
          <w:sz w:val="22"/>
          <w:szCs w:val="22"/>
        </w:rPr>
        <w:t xml:space="preserve">We conservatively estimate that approximately </w:t>
      </w:r>
      <w:r w:rsidR="00E91269">
        <w:rPr>
          <w:sz w:val="22"/>
          <w:szCs w:val="22"/>
        </w:rPr>
        <w:t>one quarter of wireless customers will request a SIM change</w:t>
      </w:r>
      <w:r w:rsidR="00867F00">
        <w:rPr>
          <w:sz w:val="22"/>
          <w:szCs w:val="22"/>
        </w:rPr>
        <w:t xml:space="preserve"> each year.  Assuming approximately 365,000,000 wireless customers</w:t>
      </w:r>
      <w:r w:rsidR="00D756FA">
        <w:rPr>
          <w:sz w:val="22"/>
          <w:szCs w:val="22"/>
        </w:rPr>
        <w:t xml:space="preserve"> x 0.25 = </w:t>
      </w:r>
      <w:r w:rsidR="004505A1">
        <w:rPr>
          <w:sz w:val="22"/>
          <w:szCs w:val="22"/>
        </w:rPr>
        <w:t>9</w:t>
      </w:r>
      <w:r w:rsidR="004D51D7">
        <w:rPr>
          <w:sz w:val="22"/>
          <w:szCs w:val="22"/>
        </w:rPr>
        <w:t>1,250,000 responses</w:t>
      </w:r>
    </w:p>
    <w:p w:rsidR="00C60F65" w:rsidP="00120336" w14:paraId="192FC1C9" w14:textId="77777777">
      <w:pPr>
        <w:spacing w:after="160" w:line="257" w:lineRule="auto"/>
        <w:ind w:firstLine="720"/>
        <w:rPr>
          <w:sz w:val="22"/>
          <w:szCs w:val="22"/>
        </w:rPr>
      </w:pPr>
      <w:r>
        <w:rPr>
          <w:sz w:val="22"/>
          <w:szCs w:val="22"/>
        </w:rPr>
        <w:t xml:space="preserve">(4) Total Hourly Burden: </w:t>
      </w:r>
      <w:r>
        <w:rPr>
          <w:sz w:val="22"/>
          <w:szCs w:val="22"/>
        </w:rPr>
        <w:t>48,000 hours.</w:t>
      </w:r>
    </w:p>
    <w:p w:rsidR="372DC1D4" w:rsidRPr="001C2D09" w:rsidP="00594BE8" w14:paraId="2BBB48C9" w14:textId="77B0A872">
      <w:pPr>
        <w:spacing w:after="160" w:line="257" w:lineRule="auto"/>
        <w:ind w:firstLine="720"/>
        <w:rPr>
          <w:sz w:val="22"/>
          <w:szCs w:val="22"/>
        </w:rPr>
      </w:pPr>
      <w:r w:rsidRPr="001C2D09">
        <w:rPr>
          <w:sz w:val="22"/>
          <w:szCs w:val="22"/>
        </w:rPr>
        <w:t xml:space="preserve">CMRS providers should already have processes in place to immediately notify customers of certain account changes involving CPNI in accordance with existing rules, which should enable them to build on these processes to provide immediate notification regarding SIM change requests, thereby minimizing potential burdens associated with this new rule.  The record demonstrates that some providers already notify customers of SIM change requests in most instances and therefore will only need to update their processes to notify customers in all cases.  </w:t>
      </w:r>
      <w:r w:rsidR="00C426F7">
        <w:rPr>
          <w:sz w:val="22"/>
          <w:szCs w:val="22"/>
        </w:rPr>
        <w:t>Further, since we</w:t>
      </w:r>
      <w:r w:rsidRPr="00C426F7" w:rsidR="00C426F7">
        <w:rPr>
          <w:sz w:val="22"/>
          <w:szCs w:val="22"/>
        </w:rPr>
        <w:t xml:space="preserve"> expect these notifications to be automated, the only cost is in designing and implementing the system.</w:t>
      </w:r>
    </w:p>
    <w:p w:rsidR="372DC1D4" w:rsidRPr="001C2D09" w:rsidP="00594BE8" w14:paraId="2E9230C6" w14:textId="5020926C">
      <w:pPr>
        <w:spacing w:after="160" w:line="257" w:lineRule="auto"/>
        <w:ind w:firstLine="720"/>
        <w:rPr>
          <w:sz w:val="22"/>
          <w:szCs w:val="22"/>
        </w:rPr>
      </w:pPr>
      <w:r w:rsidRPr="7F2667BC">
        <w:rPr>
          <w:sz w:val="22"/>
          <w:szCs w:val="22"/>
        </w:rPr>
        <w:t>For these reasons, the Commission estimates that respondents in the aggregate (i.e., certain respondents will require significantly more hours and many other respondents will require significantly less hours) will require</w:t>
      </w:r>
      <w:r w:rsidRPr="7F2667BC" w:rsidR="217888A1">
        <w:rPr>
          <w:sz w:val="22"/>
          <w:szCs w:val="22"/>
        </w:rPr>
        <w:t xml:space="preserve"> an average of</w:t>
      </w:r>
      <w:r w:rsidRPr="7F2667BC">
        <w:rPr>
          <w:sz w:val="22"/>
          <w:szCs w:val="22"/>
        </w:rPr>
        <w:t xml:space="preserve"> approximately </w:t>
      </w:r>
      <w:r w:rsidRPr="7F2667BC" w:rsidR="00191AF3">
        <w:rPr>
          <w:sz w:val="22"/>
          <w:szCs w:val="22"/>
        </w:rPr>
        <w:t xml:space="preserve">80 </w:t>
      </w:r>
      <w:r w:rsidRPr="7F2667BC">
        <w:rPr>
          <w:sz w:val="22"/>
          <w:szCs w:val="22"/>
        </w:rPr>
        <w:t xml:space="preserve">hours to build on existing processes to provide </w:t>
      </w:r>
      <w:r w:rsidRPr="7F2667BC">
        <w:rPr>
          <w:sz w:val="22"/>
          <w:szCs w:val="22"/>
        </w:rPr>
        <w:t>immediate notification to a customer that a SIM change request associated with the customer’s account was made, including employee training.  Our burden estimate takes into consideration that respondents will be able to leverage the resources utilized while simultaneously preparing to come into compliance with the similar immediate customer notification requirement for port-out requests adopted in this proceeding and to come into compliance with the S</w:t>
      </w:r>
      <w:r w:rsidRPr="7F2667BC" w:rsidR="0058453C">
        <w:rPr>
          <w:sz w:val="22"/>
          <w:szCs w:val="22"/>
        </w:rPr>
        <w:t xml:space="preserve">afe </w:t>
      </w:r>
      <w:r w:rsidRPr="7F2667BC">
        <w:rPr>
          <w:sz w:val="22"/>
          <w:szCs w:val="22"/>
        </w:rPr>
        <w:t>C</w:t>
      </w:r>
      <w:r w:rsidRPr="7F2667BC" w:rsidR="0058453C">
        <w:rPr>
          <w:sz w:val="22"/>
          <w:szCs w:val="22"/>
        </w:rPr>
        <w:t xml:space="preserve">onnections </w:t>
      </w:r>
      <w:r w:rsidRPr="7F2667BC">
        <w:rPr>
          <w:sz w:val="22"/>
          <w:szCs w:val="22"/>
        </w:rPr>
        <w:t>A</w:t>
      </w:r>
      <w:r w:rsidRPr="7F2667BC" w:rsidR="0058453C">
        <w:rPr>
          <w:sz w:val="22"/>
          <w:szCs w:val="22"/>
        </w:rPr>
        <w:t>ct</w:t>
      </w:r>
      <w:r w:rsidRPr="7F2667BC">
        <w:rPr>
          <w:sz w:val="22"/>
          <w:szCs w:val="22"/>
        </w:rPr>
        <w:t xml:space="preserve"> and its implementing regulations.</w:t>
      </w:r>
    </w:p>
    <w:p w:rsidR="372DC1D4" w:rsidRPr="001C2D09" w:rsidP="009F2C8C" w14:paraId="463384D0" w14:textId="1AC73E36">
      <w:pPr>
        <w:spacing w:after="160" w:line="257" w:lineRule="auto"/>
        <w:rPr>
          <w:sz w:val="22"/>
          <w:szCs w:val="22"/>
        </w:rPr>
      </w:pPr>
      <w:r w:rsidRPr="001C2D09">
        <w:rPr>
          <w:b/>
          <w:bCs/>
          <w:sz w:val="22"/>
          <w:szCs w:val="22"/>
        </w:rPr>
        <w:t>Total Cumulative Burden Hours</w:t>
      </w:r>
      <w:r w:rsidRPr="001C2D09">
        <w:rPr>
          <w:sz w:val="22"/>
          <w:szCs w:val="22"/>
        </w:rPr>
        <w:t xml:space="preserve">:  600 respondents x </w:t>
      </w:r>
      <w:r w:rsidRPr="001C2D09" w:rsidR="00191AF3">
        <w:rPr>
          <w:sz w:val="22"/>
          <w:szCs w:val="22"/>
        </w:rPr>
        <w:t>8</w:t>
      </w:r>
      <w:r w:rsidRPr="001C2D09">
        <w:rPr>
          <w:sz w:val="22"/>
          <w:szCs w:val="22"/>
        </w:rPr>
        <w:t xml:space="preserve">0 hours = </w:t>
      </w:r>
      <w:r w:rsidRPr="001C2D09" w:rsidR="00FD02A1">
        <w:rPr>
          <w:sz w:val="22"/>
          <w:szCs w:val="22"/>
        </w:rPr>
        <w:t>48</w:t>
      </w:r>
      <w:r w:rsidRPr="001C2D09">
        <w:rPr>
          <w:sz w:val="22"/>
          <w:szCs w:val="22"/>
        </w:rPr>
        <w:t>,000 hours</w:t>
      </w:r>
    </w:p>
    <w:p w:rsidR="00C60F65" w:rsidP="009F2C8C" w14:paraId="2605E36C" w14:textId="7082EB0B">
      <w:pPr>
        <w:spacing w:after="160" w:line="257" w:lineRule="auto"/>
        <w:rPr>
          <w:sz w:val="22"/>
          <w:szCs w:val="22"/>
        </w:rPr>
      </w:pPr>
      <w:r>
        <w:rPr>
          <w:sz w:val="22"/>
          <w:szCs w:val="22"/>
        </w:rPr>
        <w:tab/>
        <w:t xml:space="preserve">(5) Total “In House” Cost: </w:t>
      </w:r>
      <w:r w:rsidRPr="001C2D09">
        <w:rPr>
          <w:sz w:val="22"/>
          <w:szCs w:val="22"/>
        </w:rPr>
        <w:t>$4,723,680</w:t>
      </w:r>
    </w:p>
    <w:p w:rsidR="00E337F6" w:rsidRPr="00382238" w:rsidP="009F2C8C" w14:paraId="592B0172" w14:textId="3335F8B1">
      <w:pPr>
        <w:spacing w:after="160" w:line="257" w:lineRule="auto"/>
        <w:rPr>
          <w:sz w:val="22"/>
          <w:szCs w:val="22"/>
        </w:rPr>
      </w:pPr>
      <w:r w:rsidRPr="001C2D09">
        <w:rPr>
          <w:sz w:val="22"/>
          <w:szCs w:val="22"/>
        </w:rPr>
        <w:t xml:space="preserve">The Commission assumes that respondents will use personnel comparable in pay to a GS-14/Step 5 ($75.70/hour) Federal employee, plus 30% overhead, to develop, test, and implement procedures to provide immediate notification that a SIM change request was made.  </w:t>
      </w:r>
    </w:p>
    <w:p w:rsidR="372DC1D4" w:rsidRPr="001C2D09" w:rsidP="009F2C8C" w14:paraId="62DC1E02" w14:textId="64E0A11C">
      <w:pPr>
        <w:spacing w:after="160" w:line="257" w:lineRule="auto"/>
        <w:rPr>
          <w:sz w:val="22"/>
          <w:szCs w:val="22"/>
        </w:rPr>
      </w:pPr>
      <w:r w:rsidRPr="001C2D09">
        <w:rPr>
          <w:b/>
          <w:bCs/>
          <w:sz w:val="22"/>
          <w:szCs w:val="22"/>
        </w:rPr>
        <w:t xml:space="preserve">Estimated Cumulative In-House Cost to Respondents: </w:t>
      </w:r>
      <w:r w:rsidRPr="001C2D09">
        <w:tab/>
      </w:r>
      <w:r w:rsidRPr="001C2D09">
        <w:tab/>
      </w:r>
      <w:r w:rsidRPr="001C2D09" w:rsidR="00474D2C">
        <w:rPr>
          <w:sz w:val="22"/>
          <w:szCs w:val="22"/>
        </w:rPr>
        <w:t>48</w:t>
      </w:r>
      <w:r w:rsidRPr="001C2D09">
        <w:rPr>
          <w:sz w:val="22"/>
          <w:szCs w:val="22"/>
        </w:rPr>
        <w:t>,000 x $75.70 = $</w:t>
      </w:r>
      <w:r w:rsidRPr="001C2D09" w:rsidR="00FD02A1">
        <w:rPr>
          <w:sz w:val="22"/>
          <w:szCs w:val="22"/>
        </w:rPr>
        <w:t>3,633,600</w:t>
      </w:r>
    </w:p>
    <w:p w:rsidR="372DC1D4" w:rsidRPr="001C2D09" w:rsidP="009F2C8C" w14:paraId="15E452C2" w14:textId="22EE8201">
      <w:pPr>
        <w:spacing w:after="160" w:line="257" w:lineRule="auto"/>
        <w:rPr>
          <w:sz w:val="22"/>
          <w:szCs w:val="22"/>
          <w:u w:val="single"/>
        </w:rPr>
      </w:pPr>
      <w:r w:rsidRPr="001C2D09">
        <w:rPr>
          <w:sz w:val="22"/>
          <w:szCs w:val="22"/>
        </w:rPr>
        <w:t xml:space="preserve">      </w:t>
      </w:r>
      <w:r w:rsidRPr="001C2D09" w:rsidR="00BB2553">
        <w:rPr>
          <w:sz w:val="22"/>
          <w:szCs w:val="22"/>
        </w:rPr>
        <w:tab/>
      </w:r>
      <w:r w:rsidRPr="001C2D09" w:rsidR="00BB2553">
        <w:rPr>
          <w:sz w:val="22"/>
          <w:szCs w:val="22"/>
        </w:rPr>
        <w:tab/>
      </w:r>
      <w:r w:rsidRPr="001C2D09" w:rsidR="00BB2553">
        <w:rPr>
          <w:sz w:val="22"/>
          <w:szCs w:val="22"/>
        </w:rPr>
        <w:tab/>
      </w:r>
      <w:r w:rsidRPr="001C2D09" w:rsidR="00BB2553">
        <w:rPr>
          <w:sz w:val="22"/>
          <w:szCs w:val="22"/>
        </w:rPr>
        <w:tab/>
      </w:r>
      <w:r w:rsidRPr="001C2D09" w:rsidR="00BB2553">
        <w:rPr>
          <w:sz w:val="22"/>
          <w:szCs w:val="22"/>
        </w:rPr>
        <w:tab/>
      </w:r>
      <w:r w:rsidRPr="001C2D09" w:rsidR="00BB2553">
        <w:rPr>
          <w:sz w:val="22"/>
          <w:szCs w:val="22"/>
        </w:rPr>
        <w:tab/>
      </w:r>
      <w:r w:rsidRPr="001C2D09" w:rsidR="00BB2553">
        <w:rPr>
          <w:sz w:val="22"/>
          <w:szCs w:val="22"/>
        </w:rPr>
        <w:tab/>
      </w:r>
      <w:r w:rsidRPr="001C2D09" w:rsidR="00BB2553">
        <w:rPr>
          <w:sz w:val="22"/>
          <w:szCs w:val="22"/>
        </w:rPr>
        <w:tab/>
      </w:r>
      <w:r w:rsidRPr="001C2D09" w:rsidR="00BB2553">
        <w:rPr>
          <w:sz w:val="22"/>
          <w:szCs w:val="22"/>
        </w:rPr>
        <w:tab/>
        <w:t xml:space="preserve">      </w:t>
      </w:r>
      <w:r w:rsidRPr="001C2D09">
        <w:rPr>
          <w:sz w:val="22"/>
          <w:szCs w:val="22"/>
        </w:rPr>
        <w:t xml:space="preserve">30% overhead = </w:t>
      </w:r>
      <w:r w:rsidRPr="001C2D09">
        <w:rPr>
          <w:sz w:val="22"/>
          <w:szCs w:val="22"/>
          <w:u w:val="single"/>
        </w:rPr>
        <w:t>$</w:t>
      </w:r>
      <w:r w:rsidRPr="001C2D09" w:rsidR="00774FF3">
        <w:rPr>
          <w:sz w:val="22"/>
          <w:szCs w:val="22"/>
          <w:u w:val="single"/>
        </w:rPr>
        <w:t>1,090,080</w:t>
      </w:r>
    </w:p>
    <w:p w:rsidR="372DC1D4" w:rsidRPr="001C2D09" w:rsidP="009F2C8C" w14:paraId="772CE392" w14:textId="5B6B0CD3">
      <w:pPr>
        <w:spacing w:after="160" w:line="257" w:lineRule="auto"/>
        <w:rPr>
          <w:sz w:val="22"/>
          <w:szCs w:val="22"/>
        </w:rPr>
      </w:pPr>
      <w:r w:rsidRPr="001C2D09">
        <w:rPr>
          <w:b/>
          <w:bCs/>
          <w:sz w:val="22"/>
          <w:szCs w:val="22"/>
        </w:rPr>
        <w:t>Estimated Total Cumulative In-House Cost to Respondents:</w:t>
      </w:r>
      <w:r w:rsidRPr="001C2D09">
        <w:tab/>
      </w:r>
      <w:r w:rsidRPr="001C2D09">
        <w:tab/>
      </w:r>
      <w:r w:rsidRPr="001C2D09">
        <w:tab/>
      </w:r>
      <w:r w:rsidRPr="001C2D09">
        <w:tab/>
      </w:r>
      <w:r w:rsidRPr="001C2D09">
        <w:rPr>
          <w:sz w:val="22"/>
          <w:szCs w:val="22"/>
        </w:rPr>
        <w:t xml:space="preserve"> =</w:t>
      </w:r>
      <w:r w:rsidRPr="001C2D09" w:rsidR="00BB2553">
        <w:rPr>
          <w:sz w:val="22"/>
          <w:szCs w:val="22"/>
        </w:rPr>
        <w:t xml:space="preserve"> </w:t>
      </w:r>
      <w:r w:rsidRPr="001C2D09">
        <w:rPr>
          <w:sz w:val="22"/>
          <w:szCs w:val="22"/>
        </w:rPr>
        <w:t>$</w:t>
      </w:r>
      <w:r w:rsidRPr="001C2D09" w:rsidR="00774FF3">
        <w:rPr>
          <w:sz w:val="22"/>
          <w:szCs w:val="22"/>
        </w:rPr>
        <w:t>4,723,</w:t>
      </w:r>
      <w:r w:rsidRPr="001C2D09" w:rsidR="00792FE5">
        <w:rPr>
          <w:sz w:val="22"/>
          <w:szCs w:val="22"/>
        </w:rPr>
        <w:t>680</w:t>
      </w:r>
    </w:p>
    <w:p w:rsidR="00594BE8" w:rsidP="00594BE8" w14:paraId="7F56277A" w14:textId="77777777">
      <w:pPr>
        <w:spacing w:after="160" w:line="257" w:lineRule="auto"/>
        <w:rPr>
          <w:sz w:val="22"/>
          <w:szCs w:val="22"/>
        </w:rPr>
      </w:pPr>
      <w:r w:rsidRPr="001C2D09">
        <w:rPr>
          <w:b/>
          <w:bCs/>
          <w:sz w:val="22"/>
          <w:szCs w:val="22"/>
        </w:rPr>
        <w:t>Average Cost per Respondent to Design, Develop, and Implement:</w:t>
      </w:r>
      <w:r w:rsidRPr="001C2D09">
        <w:tab/>
      </w:r>
      <w:r w:rsidRPr="001C2D09">
        <w:rPr>
          <w:sz w:val="22"/>
          <w:szCs w:val="22"/>
        </w:rPr>
        <w:t xml:space="preserve">        $</w:t>
      </w:r>
      <w:r w:rsidRPr="001C2D09" w:rsidR="00792FE5">
        <w:rPr>
          <w:sz w:val="22"/>
          <w:szCs w:val="22"/>
        </w:rPr>
        <w:t>4,723,680</w:t>
      </w:r>
      <w:r w:rsidRPr="001C2D09">
        <w:rPr>
          <w:sz w:val="22"/>
          <w:szCs w:val="22"/>
        </w:rPr>
        <w:t>/600 = $</w:t>
      </w:r>
      <w:r w:rsidRPr="001C2D09" w:rsidR="00792FE5">
        <w:rPr>
          <w:sz w:val="22"/>
          <w:szCs w:val="22"/>
        </w:rPr>
        <w:t>7,873</w:t>
      </w:r>
    </w:p>
    <w:p w:rsidR="372DC1D4" w:rsidRPr="00A47E88" w:rsidP="00594BE8" w14:paraId="39ED4FF5" w14:textId="540E6FF3">
      <w:pPr>
        <w:spacing w:after="160" w:line="257" w:lineRule="auto"/>
        <w:rPr>
          <w:sz w:val="22"/>
          <w:szCs w:val="22"/>
        </w:rPr>
      </w:pPr>
      <w:r w:rsidRPr="004E600D">
        <w:rPr>
          <w:b/>
          <w:bCs/>
          <w:sz w:val="22"/>
          <w:szCs w:val="22"/>
        </w:rPr>
        <w:t>(p)</w:t>
      </w:r>
      <w:r>
        <w:rPr>
          <w:sz w:val="22"/>
          <w:szCs w:val="22"/>
        </w:rPr>
        <w:tab/>
      </w:r>
      <w:r w:rsidRPr="004E600D">
        <w:rPr>
          <w:b/>
          <w:bCs/>
          <w:sz w:val="22"/>
          <w:szCs w:val="22"/>
        </w:rPr>
        <w:t>Notice of account protection measures</w:t>
      </w:r>
      <w:r>
        <w:rPr>
          <w:b/>
          <w:bCs/>
          <w:sz w:val="22"/>
          <w:szCs w:val="22"/>
        </w:rPr>
        <w:t>.</w:t>
      </w:r>
      <w:r w:rsidRPr="004E600D">
        <w:rPr>
          <w:sz w:val="22"/>
          <w:szCs w:val="22"/>
        </w:rPr>
        <w:t xml:space="preserve"> </w:t>
      </w:r>
    </w:p>
    <w:p w:rsidR="372DC1D4" w:rsidRPr="001C2D09" w:rsidP="00674745" w14:paraId="6F2FD25B" w14:textId="1C742D47">
      <w:pPr>
        <w:spacing w:after="160" w:line="257" w:lineRule="auto"/>
        <w:rPr>
          <w:sz w:val="22"/>
          <w:szCs w:val="22"/>
        </w:rPr>
      </w:pPr>
      <w:r w:rsidRPr="001C2D09">
        <w:rPr>
          <w:sz w:val="22"/>
          <w:szCs w:val="22"/>
        </w:rPr>
        <w:t>CMRS providers are required to provide customers with notice of any account protection measures offered, including those to prevent SIM fraud.  Providers have flexibility to design the format and content of the required notice, but must use clear and concise language and make the notice easily accessible via provider websites and applications. The record demonstrates that some wireless providers have already developed content to educate customers about some account protection measures.</w:t>
      </w:r>
    </w:p>
    <w:p w:rsidR="372DC1D4" w:rsidRPr="001C2D09" w:rsidP="009F2C8C" w14:paraId="5B6C8D43" w14:textId="70636DF8">
      <w:pPr>
        <w:pStyle w:val="ListParagraph"/>
        <w:numPr>
          <w:ilvl w:val="0"/>
          <w:numId w:val="18"/>
        </w:numPr>
        <w:spacing w:line="257" w:lineRule="auto"/>
        <w:ind w:left="1080"/>
        <w:rPr>
          <w:sz w:val="22"/>
          <w:szCs w:val="22"/>
        </w:rPr>
      </w:pPr>
      <w:r w:rsidRPr="001C2D09">
        <w:rPr>
          <w:sz w:val="22"/>
          <w:szCs w:val="22"/>
        </w:rPr>
        <w:t>Total Number of Respondents (CMRS Providers):  600</w:t>
      </w:r>
    </w:p>
    <w:p w:rsidR="372DC1D4" w:rsidP="009F2C8C" w14:paraId="0D3F55B5" w14:textId="5D5004A3">
      <w:pPr>
        <w:pStyle w:val="ListParagraph"/>
        <w:numPr>
          <w:ilvl w:val="0"/>
          <w:numId w:val="18"/>
        </w:numPr>
        <w:spacing w:line="257" w:lineRule="auto"/>
        <w:ind w:left="1080"/>
        <w:rPr>
          <w:sz w:val="22"/>
          <w:szCs w:val="22"/>
        </w:rPr>
      </w:pPr>
      <w:r w:rsidRPr="7F2667BC">
        <w:rPr>
          <w:sz w:val="22"/>
          <w:szCs w:val="22"/>
        </w:rPr>
        <w:t xml:space="preserve">Frequency of Response:  </w:t>
      </w:r>
      <w:r w:rsidRPr="7F2667BC" w:rsidR="501BFDF4">
        <w:rPr>
          <w:sz w:val="22"/>
          <w:szCs w:val="22"/>
        </w:rPr>
        <w:t>Third-party disclosure; d</w:t>
      </w:r>
      <w:r w:rsidRPr="7F2667BC">
        <w:rPr>
          <w:sz w:val="22"/>
          <w:szCs w:val="22"/>
        </w:rPr>
        <w:t>evelopment and implementation of procedures.</w:t>
      </w:r>
    </w:p>
    <w:p w:rsidR="00E2505F" w:rsidP="009F2C8C" w14:paraId="1CC494A0" w14:textId="180875E4">
      <w:pPr>
        <w:pStyle w:val="ListParagraph"/>
        <w:numPr>
          <w:ilvl w:val="0"/>
          <w:numId w:val="18"/>
        </w:numPr>
        <w:spacing w:line="257" w:lineRule="auto"/>
        <w:ind w:left="1080"/>
        <w:rPr>
          <w:sz w:val="22"/>
          <w:szCs w:val="22"/>
        </w:rPr>
      </w:pPr>
      <w:r>
        <w:rPr>
          <w:sz w:val="22"/>
          <w:szCs w:val="22"/>
        </w:rPr>
        <w:t>Total Number of Responses:</w:t>
      </w:r>
      <w:r w:rsidR="00A80F92">
        <w:rPr>
          <w:sz w:val="22"/>
          <w:szCs w:val="22"/>
        </w:rPr>
        <w:t xml:space="preserve"> 600</w:t>
      </w:r>
    </w:p>
    <w:p w:rsidR="00EB4545" w:rsidP="009F2C8C" w14:paraId="3F20C574" w14:textId="5A6F600F">
      <w:pPr>
        <w:pStyle w:val="ListParagraph"/>
        <w:numPr>
          <w:ilvl w:val="0"/>
          <w:numId w:val="18"/>
        </w:numPr>
        <w:spacing w:line="257" w:lineRule="auto"/>
        <w:ind w:left="1080"/>
        <w:rPr>
          <w:sz w:val="22"/>
          <w:szCs w:val="22"/>
        </w:rPr>
      </w:pPr>
      <w:r>
        <w:rPr>
          <w:sz w:val="22"/>
          <w:szCs w:val="22"/>
        </w:rPr>
        <w:t>Total Hourly Burden: 3,000 hours</w:t>
      </w:r>
    </w:p>
    <w:p w:rsidR="00EB4545" w:rsidRPr="00674745" w:rsidP="00674745" w14:paraId="1AAA90BC" w14:textId="77777777">
      <w:pPr>
        <w:spacing w:line="257" w:lineRule="auto"/>
        <w:rPr>
          <w:sz w:val="22"/>
          <w:szCs w:val="22"/>
        </w:rPr>
      </w:pPr>
    </w:p>
    <w:p w:rsidR="372DC1D4" w:rsidRPr="001C2D09" w:rsidP="009F2C8C" w14:paraId="06BA39C0" w14:textId="3C9BA750">
      <w:pPr>
        <w:spacing w:after="160" w:line="257" w:lineRule="auto"/>
        <w:rPr>
          <w:sz w:val="22"/>
          <w:szCs w:val="22"/>
        </w:rPr>
      </w:pPr>
      <w:r w:rsidRPr="001C2D09">
        <w:rPr>
          <w:sz w:val="22"/>
          <w:szCs w:val="22"/>
        </w:rPr>
        <w:t xml:space="preserve">Given that providers already develop content to educate customers about their product and service offerings and display such content on their websites and applications, the Commission believes that compliance with this requirement will have a negligible impact.  Our burden estimate takes into consideration that respondents will be able to leverage the resources utilized while simultaneously preparing to come into compliance with the similar account protection measures to prevent port-out fraud adopted </w:t>
      </w:r>
      <w:r>
        <w:rPr>
          <w:sz w:val="22"/>
          <w:szCs w:val="22"/>
        </w:rPr>
        <w:t xml:space="preserve">in the </w:t>
      </w:r>
      <w:r w:rsidRPr="001C2D09">
        <w:rPr>
          <w:sz w:val="22"/>
          <w:szCs w:val="22"/>
        </w:rPr>
        <w:t xml:space="preserve">same </w:t>
      </w:r>
      <w:r w:rsidRPr="001C2D09">
        <w:rPr>
          <w:i/>
          <w:iCs/>
          <w:sz w:val="22"/>
          <w:szCs w:val="22"/>
        </w:rPr>
        <w:t>SIM Swap/Port-Out Fraud</w:t>
      </w:r>
      <w:r w:rsidRPr="001C2D09">
        <w:rPr>
          <w:sz w:val="22"/>
          <w:szCs w:val="22"/>
        </w:rPr>
        <w:t xml:space="preserve"> proceeding.</w:t>
      </w:r>
      <w:r>
        <w:rPr>
          <w:sz w:val="22"/>
          <w:szCs w:val="22"/>
        </w:rPr>
        <w:t xml:space="preserve">  </w:t>
      </w:r>
      <w:r w:rsidRPr="001C2D09" w:rsidR="204CB52A">
        <w:rPr>
          <w:sz w:val="22"/>
          <w:szCs w:val="22"/>
        </w:rPr>
        <w:t>The Commission estimates that respondents will require approximately 5 hours to develop and implement this measure. Our burden estimate takes into consideration that respondents will be able to leverage the resources utilized while simultaneously preparing to come into compliance with the similar account protection measures to prevent port-out fraud.</w:t>
      </w:r>
    </w:p>
    <w:p w:rsidR="372DC1D4" w:rsidRPr="001C2D09" w:rsidP="009F2C8C" w14:paraId="4F7A18BC" w14:textId="797FE028">
      <w:pPr>
        <w:spacing w:after="160" w:line="257" w:lineRule="auto"/>
        <w:rPr>
          <w:sz w:val="22"/>
          <w:szCs w:val="22"/>
        </w:rPr>
      </w:pPr>
      <w:r w:rsidRPr="001C2D09">
        <w:rPr>
          <w:b/>
          <w:bCs/>
          <w:sz w:val="22"/>
          <w:szCs w:val="22"/>
        </w:rPr>
        <w:t>Total Cumulative Burden Hours</w:t>
      </w:r>
      <w:r w:rsidRPr="001C2D09">
        <w:rPr>
          <w:sz w:val="22"/>
          <w:szCs w:val="22"/>
        </w:rPr>
        <w:t>:  600 respondents x 5 hours = 3,000 hours</w:t>
      </w:r>
    </w:p>
    <w:p w:rsidR="00B779D5" w:rsidRPr="00674745" w:rsidP="00674745" w14:paraId="12622522" w14:textId="1FBA043E">
      <w:pPr>
        <w:pStyle w:val="ListParagraph"/>
        <w:numPr>
          <w:ilvl w:val="0"/>
          <w:numId w:val="18"/>
        </w:numPr>
        <w:rPr>
          <w:sz w:val="22"/>
          <w:szCs w:val="22"/>
        </w:rPr>
      </w:pPr>
      <w:r w:rsidRPr="00674745">
        <w:rPr>
          <w:sz w:val="22"/>
          <w:szCs w:val="22"/>
        </w:rPr>
        <w:t>Total “In House” Cost: $210,093</w:t>
      </w:r>
    </w:p>
    <w:p w:rsidR="00B779D5" w:rsidP="00B779D5" w14:paraId="7D5A67BC" w14:textId="77777777">
      <w:pPr>
        <w:spacing w:after="160" w:line="257" w:lineRule="auto"/>
        <w:rPr>
          <w:sz w:val="22"/>
          <w:szCs w:val="22"/>
        </w:rPr>
      </w:pPr>
    </w:p>
    <w:p w:rsidR="372DC1D4" w:rsidRPr="00674745" w:rsidP="00B779D5" w14:paraId="218466BE" w14:textId="2C70C5A0">
      <w:pPr>
        <w:spacing w:after="160" w:line="257" w:lineRule="auto"/>
        <w:rPr>
          <w:sz w:val="22"/>
          <w:szCs w:val="22"/>
        </w:rPr>
      </w:pPr>
      <w:r w:rsidRPr="00674745">
        <w:rPr>
          <w:sz w:val="22"/>
          <w:szCs w:val="22"/>
        </w:rPr>
        <w:t xml:space="preserve">The Commission assumes that respondents will use personnel comparable in pay to a GS-12/Step </w:t>
      </w:r>
      <w:r w:rsidRPr="00674745" w:rsidR="000B03DC">
        <w:rPr>
          <w:sz w:val="22"/>
          <w:szCs w:val="22"/>
        </w:rPr>
        <w:t>5</w:t>
      </w:r>
      <w:r w:rsidRPr="00674745">
        <w:rPr>
          <w:sz w:val="22"/>
          <w:szCs w:val="22"/>
        </w:rPr>
        <w:t xml:space="preserve"> ($</w:t>
      </w:r>
      <w:r w:rsidRPr="00674745" w:rsidR="00C261CD">
        <w:rPr>
          <w:sz w:val="22"/>
          <w:szCs w:val="22"/>
        </w:rPr>
        <w:t>53.87</w:t>
      </w:r>
      <w:r w:rsidRPr="00674745">
        <w:rPr>
          <w:sz w:val="22"/>
          <w:szCs w:val="22"/>
        </w:rPr>
        <w:t xml:space="preserve">/hour) Federal employee to develop content to provide customers with notice of any account protection measures offered, including to prevent SIM fraud.  </w:t>
      </w:r>
    </w:p>
    <w:p w:rsidR="00F93F5D" w14:paraId="1441959C" w14:textId="77777777">
      <w:pPr>
        <w:rPr>
          <w:b/>
          <w:bCs/>
          <w:sz w:val="22"/>
          <w:szCs w:val="22"/>
        </w:rPr>
      </w:pPr>
    </w:p>
    <w:p w:rsidR="372DC1D4" w:rsidRPr="001C2D09" w14:paraId="4BA05BDD" w14:textId="79A3996B">
      <w:pPr>
        <w:rPr>
          <w:sz w:val="22"/>
          <w:szCs w:val="22"/>
        </w:rPr>
      </w:pPr>
      <w:r w:rsidRPr="001C2D09">
        <w:rPr>
          <w:b/>
          <w:bCs/>
          <w:sz w:val="22"/>
          <w:szCs w:val="22"/>
        </w:rPr>
        <w:t xml:space="preserve">Estimated Total Cumulative In-House Cost to Respondents: </w:t>
      </w:r>
      <w:r w:rsidRPr="001C2D09">
        <w:tab/>
      </w:r>
      <w:r w:rsidRPr="001C2D09">
        <w:tab/>
      </w:r>
      <w:r w:rsidRPr="001C2D09">
        <w:rPr>
          <w:b/>
          <w:bCs/>
          <w:sz w:val="22"/>
          <w:szCs w:val="22"/>
        </w:rPr>
        <w:t xml:space="preserve">    </w:t>
      </w:r>
      <w:r w:rsidRPr="001C2D09">
        <w:rPr>
          <w:sz w:val="22"/>
          <w:szCs w:val="22"/>
        </w:rPr>
        <w:t>3,000 x $</w:t>
      </w:r>
      <w:r w:rsidRPr="001C2D09" w:rsidR="00C261CD">
        <w:rPr>
          <w:sz w:val="22"/>
          <w:szCs w:val="22"/>
        </w:rPr>
        <w:t>53.87</w:t>
      </w:r>
      <w:r w:rsidRPr="001C2D09">
        <w:rPr>
          <w:sz w:val="22"/>
          <w:szCs w:val="22"/>
        </w:rPr>
        <w:t>= $</w:t>
      </w:r>
      <w:r w:rsidRPr="001C2D09" w:rsidR="00C261CD">
        <w:rPr>
          <w:sz w:val="22"/>
          <w:szCs w:val="22"/>
        </w:rPr>
        <w:t>161,610</w:t>
      </w:r>
    </w:p>
    <w:p w:rsidR="372DC1D4" w:rsidRPr="001C2D09" w:rsidP="009F2C8C" w14:paraId="5DCFCB35" w14:textId="1F1A40CF">
      <w:pPr>
        <w:ind w:left="5760" w:firstLine="720"/>
        <w:rPr>
          <w:sz w:val="22"/>
          <w:szCs w:val="22"/>
          <w:u w:val="single"/>
        </w:rPr>
      </w:pPr>
      <w:r w:rsidRPr="001C2D09">
        <w:rPr>
          <w:sz w:val="22"/>
          <w:szCs w:val="22"/>
        </w:rPr>
        <w:t xml:space="preserve">     30% overhead = </w:t>
      </w:r>
      <w:r w:rsidRPr="001C2D09">
        <w:rPr>
          <w:sz w:val="22"/>
          <w:szCs w:val="22"/>
          <w:u w:val="single"/>
        </w:rPr>
        <w:t xml:space="preserve">$ </w:t>
      </w:r>
      <w:r w:rsidRPr="001C2D09" w:rsidR="00545767">
        <w:rPr>
          <w:sz w:val="22"/>
          <w:szCs w:val="22"/>
          <w:u w:val="single"/>
        </w:rPr>
        <w:t>48,483</w:t>
      </w:r>
    </w:p>
    <w:p w:rsidR="372DC1D4" w:rsidRPr="001C2D09" w:rsidP="009F2C8C" w14:paraId="01C5ABC7" w14:textId="4D351A2B">
      <w:pPr>
        <w:ind w:left="7200" w:firstLine="720"/>
        <w:rPr>
          <w:sz w:val="22"/>
          <w:szCs w:val="22"/>
        </w:rPr>
      </w:pPr>
      <w:r w:rsidRPr="001C2D09">
        <w:rPr>
          <w:sz w:val="22"/>
          <w:szCs w:val="22"/>
        </w:rPr>
        <w:t xml:space="preserve">   = $</w:t>
      </w:r>
      <w:r w:rsidRPr="001C2D09" w:rsidR="00545767">
        <w:rPr>
          <w:sz w:val="22"/>
          <w:szCs w:val="22"/>
        </w:rPr>
        <w:t>210,093</w:t>
      </w:r>
    </w:p>
    <w:p w:rsidR="372DC1D4" w:rsidRPr="001C2D09" w14:paraId="50F7903E" w14:textId="426A963F">
      <w:pPr>
        <w:rPr>
          <w:sz w:val="22"/>
          <w:szCs w:val="22"/>
        </w:rPr>
      </w:pPr>
      <w:r w:rsidRPr="001C2D09">
        <w:rPr>
          <w:sz w:val="22"/>
          <w:szCs w:val="22"/>
        </w:rPr>
        <w:t xml:space="preserve"> </w:t>
      </w:r>
    </w:p>
    <w:p w:rsidR="372DC1D4" w:rsidRPr="001C2D09" w:rsidP="009F2C8C" w14:paraId="6EA252E0" w14:textId="7A83949F">
      <w:pPr>
        <w:spacing w:after="160" w:line="257" w:lineRule="auto"/>
        <w:rPr>
          <w:sz w:val="22"/>
          <w:szCs w:val="22"/>
        </w:rPr>
      </w:pPr>
      <w:r w:rsidRPr="001C2D09">
        <w:rPr>
          <w:b/>
          <w:bCs/>
          <w:sz w:val="22"/>
          <w:szCs w:val="22"/>
        </w:rPr>
        <w:t>Average Cost per Respondent to Develop and Implement:</w:t>
      </w:r>
      <w:r w:rsidRPr="001C2D09">
        <w:tab/>
      </w:r>
      <w:r w:rsidRPr="001C2D09">
        <w:rPr>
          <w:sz w:val="22"/>
          <w:szCs w:val="22"/>
        </w:rPr>
        <w:t xml:space="preserve">     </w:t>
      </w:r>
      <w:r w:rsidRPr="001C2D09">
        <w:tab/>
      </w:r>
      <w:r w:rsidRPr="001C2D09">
        <w:rPr>
          <w:sz w:val="22"/>
          <w:szCs w:val="22"/>
        </w:rPr>
        <w:t xml:space="preserve">            $</w:t>
      </w:r>
      <w:r w:rsidRPr="001C2D09" w:rsidR="00545767">
        <w:rPr>
          <w:sz w:val="22"/>
          <w:szCs w:val="22"/>
        </w:rPr>
        <w:t>210</w:t>
      </w:r>
      <w:r w:rsidR="001F5497">
        <w:rPr>
          <w:sz w:val="22"/>
          <w:szCs w:val="22"/>
        </w:rPr>
        <w:t>,</w:t>
      </w:r>
      <w:r w:rsidRPr="001C2D09" w:rsidR="007C29F9">
        <w:rPr>
          <w:sz w:val="22"/>
          <w:szCs w:val="22"/>
        </w:rPr>
        <w:t>093</w:t>
      </w:r>
      <w:r w:rsidRPr="001C2D09">
        <w:rPr>
          <w:sz w:val="22"/>
          <w:szCs w:val="22"/>
        </w:rPr>
        <w:t>/600 = $3</w:t>
      </w:r>
      <w:r w:rsidRPr="001C2D09" w:rsidR="00545767">
        <w:rPr>
          <w:sz w:val="22"/>
          <w:szCs w:val="22"/>
        </w:rPr>
        <w:t>50</w:t>
      </w:r>
    </w:p>
    <w:p w:rsidR="372DC1D4" w:rsidRPr="00FA288C" w:rsidP="00FA288C" w14:paraId="6A27E11C" w14:textId="760B6F34">
      <w:pPr>
        <w:spacing w:after="160" w:line="257" w:lineRule="auto"/>
        <w:rPr>
          <w:sz w:val="22"/>
          <w:szCs w:val="22"/>
        </w:rPr>
      </w:pPr>
      <w:r w:rsidRPr="001C2D09">
        <w:rPr>
          <w:sz w:val="22"/>
          <w:szCs w:val="22"/>
        </w:rPr>
        <w:t xml:space="preserve"> </w:t>
      </w:r>
      <w:r w:rsidR="00FA288C">
        <w:rPr>
          <w:b/>
          <w:bCs/>
          <w:sz w:val="22"/>
          <w:szCs w:val="22"/>
        </w:rPr>
        <w:t>(</w:t>
      </w:r>
      <w:r w:rsidRPr="00FA288C" w:rsidR="00B779D5">
        <w:rPr>
          <w:b/>
          <w:bCs/>
          <w:sz w:val="22"/>
          <w:szCs w:val="22"/>
        </w:rPr>
        <w:t>q</w:t>
      </w:r>
      <w:r w:rsidR="00FA288C">
        <w:rPr>
          <w:b/>
          <w:bCs/>
          <w:sz w:val="22"/>
          <w:szCs w:val="22"/>
        </w:rPr>
        <w:t>)</w:t>
      </w:r>
      <w:r w:rsidRPr="00FA288C">
        <w:rPr>
          <w:b/>
          <w:bCs/>
          <w:sz w:val="22"/>
          <w:szCs w:val="22"/>
        </w:rPr>
        <w:t xml:space="preserve"> </w:t>
      </w:r>
      <w:r w:rsidR="00FA288C">
        <w:rPr>
          <w:b/>
          <w:bCs/>
          <w:sz w:val="22"/>
          <w:szCs w:val="22"/>
        </w:rPr>
        <w:tab/>
      </w:r>
      <w:r w:rsidRPr="00FA288C" w:rsidR="0093107C">
        <w:rPr>
          <w:b/>
          <w:bCs/>
          <w:sz w:val="22"/>
          <w:szCs w:val="22"/>
        </w:rPr>
        <w:t>Processes for receiving SIM fraud reports</w:t>
      </w:r>
      <w:r w:rsidRPr="00FA288C">
        <w:rPr>
          <w:sz w:val="22"/>
          <w:szCs w:val="22"/>
        </w:rPr>
        <w:t xml:space="preserve">. </w:t>
      </w:r>
    </w:p>
    <w:p w:rsidR="372DC1D4" w:rsidRPr="001C2D09" w:rsidP="009F2C8C" w14:paraId="27381906" w14:textId="79479E8F">
      <w:pPr>
        <w:spacing w:after="160" w:line="257" w:lineRule="auto"/>
        <w:rPr>
          <w:sz w:val="22"/>
          <w:szCs w:val="22"/>
        </w:rPr>
      </w:pPr>
      <w:r w:rsidRPr="001C2D09">
        <w:rPr>
          <w:sz w:val="22"/>
          <w:szCs w:val="22"/>
        </w:rPr>
        <w:t xml:space="preserve">CMRS providers are required to maintain a clearly disclosed, easy-to-use and transparent process for reporting SIM swap fraud, and promptly provide customers, at no cost, with documentation of fraud involving their accounts upon request.  Providers have flexibility to determine the form and content of such documentation.  </w:t>
      </w:r>
    </w:p>
    <w:p w:rsidR="372DC1D4" w:rsidRPr="001C2D09" w:rsidP="009F2C8C" w14:paraId="39CB4C8A" w14:textId="6DAA69C6">
      <w:pPr>
        <w:pStyle w:val="ListParagraph"/>
        <w:numPr>
          <w:ilvl w:val="0"/>
          <w:numId w:val="15"/>
        </w:numPr>
        <w:spacing w:line="257" w:lineRule="auto"/>
        <w:ind w:left="1080"/>
        <w:rPr>
          <w:sz w:val="22"/>
          <w:szCs w:val="22"/>
        </w:rPr>
      </w:pPr>
      <w:r w:rsidRPr="001C2D09">
        <w:rPr>
          <w:sz w:val="22"/>
          <w:szCs w:val="22"/>
        </w:rPr>
        <w:t>Total Number of Respondents (CMRS Providers):  600</w:t>
      </w:r>
    </w:p>
    <w:p w:rsidR="372DC1D4" w:rsidRPr="001C2D09" w:rsidP="009F2C8C" w14:paraId="66A8B6E5" w14:textId="69EA36C3">
      <w:pPr>
        <w:pStyle w:val="ListParagraph"/>
        <w:numPr>
          <w:ilvl w:val="0"/>
          <w:numId w:val="15"/>
        </w:numPr>
        <w:spacing w:line="257" w:lineRule="auto"/>
        <w:ind w:left="1080"/>
        <w:rPr>
          <w:sz w:val="22"/>
          <w:szCs w:val="22"/>
        </w:rPr>
      </w:pPr>
      <w:r w:rsidRPr="001C2D09">
        <w:rPr>
          <w:sz w:val="22"/>
          <w:szCs w:val="22"/>
        </w:rPr>
        <w:t xml:space="preserve">Frequency of Response:  Development and implementation of </w:t>
      </w:r>
      <w:r w:rsidRPr="001C2D09" w:rsidR="002E5E80">
        <w:rPr>
          <w:sz w:val="22"/>
          <w:szCs w:val="22"/>
        </w:rPr>
        <w:t xml:space="preserve">reporting </w:t>
      </w:r>
      <w:r w:rsidR="00255BBE">
        <w:rPr>
          <w:sz w:val="22"/>
          <w:szCs w:val="22"/>
        </w:rPr>
        <w:t>procedures</w:t>
      </w:r>
      <w:r w:rsidR="00E614AE">
        <w:rPr>
          <w:sz w:val="22"/>
          <w:szCs w:val="22"/>
        </w:rPr>
        <w:t xml:space="preserve">; </w:t>
      </w:r>
      <w:r w:rsidR="00D937F5">
        <w:rPr>
          <w:sz w:val="22"/>
          <w:szCs w:val="22"/>
        </w:rPr>
        <w:t>third party disclosure</w:t>
      </w:r>
      <w:r w:rsidR="00D26D9D">
        <w:rPr>
          <w:sz w:val="22"/>
          <w:szCs w:val="22"/>
        </w:rPr>
        <w:t xml:space="preserve">                                                                                                                                                                                                                                                                                                                                                                                                                                                                                                                                                                                                                                                                                                 </w:t>
      </w:r>
      <w:r w:rsidR="00BF1921">
        <w:rPr>
          <w:sz w:val="22"/>
          <w:szCs w:val="22"/>
        </w:rPr>
        <w:t xml:space="preserve">                    </w:t>
      </w:r>
    </w:p>
    <w:p w:rsidR="00D10210" w:rsidP="00D10210" w14:paraId="5CA95BEC" w14:textId="1C0577E4">
      <w:pPr>
        <w:spacing w:after="160" w:line="257" w:lineRule="auto"/>
        <w:ind w:left="720"/>
        <w:rPr>
          <w:sz w:val="22"/>
          <w:szCs w:val="22"/>
        </w:rPr>
      </w:pPr>
      <w:r>
        <w:rPr>
          <w:sz w:val="22"/>
          <w:szCs w:val="22"/>
        </w:rPr>
        <w:t>(3) Total Number of Responses Annually:</w:t>
      </w:r>
      <w:r w:rsidR="00A024FA">
        <w:rPr>
          <w:sz w:val="22"/>
          <w:szCs w:val="22"/>
        </w:rPr>
        <w:t xml:space="preserve"> </w:t>
      </w:r>
      <w:r w:rsidR="00836C4A">
        <w:rPr>
          <w:sz w:val="22"/>
          <w:szCs w:val="22"/>
        </w:rPr>
        <w:t>457,450 responses</w:t>
      </w:r>
    </w:p>
    <w:p w:rsidR="007C0319" w:rsidP="00D10210" w14:paraId="38DBD4E0" w14:textId="5A8B21FE">
      <w:pPr>
        <w:spacing w:after="160" w:line="257" w:lineRule="auto"/>
        <w:ind w:left="720"/>
        <w:rPr>
          <w:sz w:val="22"/>
          <w:szCs w:val="22"/>
        </w:rPr>
      </w:pPr>
      <w:r>
        <w:rPr>
          <w:sz w:val="22"/>
          <w:szCs w:val="22"/>
        </w:rPr>
        <w:t xml:space="preserve">Development of process for reporting fraud (600) + </w:t>
      </w:r>
      <w:r w:rsidR="00E51C98">
        <w:rPr>
          <w:sz w:val="22"/>
          <w:szCs w:val="22"/>
        </w:rPr>
        <w:t>disclosure of fraud reporting process (600) + documentation of fraud upon customer request</w:t>
      </w:r>
      <w:r w:rsidR="000B1DED">
        <w:rPr>
          <w:sz w:val="22"/>
          <w:szCs w:val="22"/>
        </w:rPr>
        <w:t xml:space="preserve"> </w:t>
      </w:r>
      <w:r w:rsidR="00D40481">
        <w:rPr>
          <w:sz w:val="22"/>
          <w:szCs w:val="22"/>
        </w:rPr>
        <w:t>(0.5%</w:t>
      </w:r>
      <w:r>
        <w:rPr>
          <w:rStyle w:val="FootnoteReference"/>
          <w:sz w:val="22"/>
          <w:szCs w:val="22"/>
        </w:rPr>
        <w:footnoteReference w:id="41"/>
      </w:r>
      <w:r w:rsidR="00D40481">
        <w:rPr>
          <w:sz w:val="22"/>
          <w:szCs w:val="22"/>
        </w:rPr>
        <w:t xml:space="preserve"> </w:t>
      </w:r>
      <w:r w:rsidR="00565D1F">
        <w:rPr>
          <w:sz w:val="22"/>
          <w:szCs w:val="22"/>
        </w:rPr>
        <w:t>of 91,250,000 SIM change requests</w:t>
      </w:r>
      <w:r w:rsidR="00977BA1">
        <w:rPr>
          <w:sz w:val="22"/>
          <w:szCs w:val="22"/>
        </w:rPr>
        <w:t xml:space="preserve">=  456,250) = </w:t>
      </w:r>
      <w:r w:rsidR="00BE659B">
        <w:rPr>
          <w:sz w:val="22"/>
          <w:szCs w:val="22"/>
        </w:rPr>
        <w:t>457,450 responses</w:t>
      </w:r>
    </w:p>
    <w:p w:rsidR="00D10210" w:rsidP="00D542B5" w14:paraId="76EADA67" w14:textId="0E9A58A5">
      <w:pPr>
        <w:spacing w:after="160" w:line="257" w:lineRule="auto"/>
        <w:ind w:left="720"/>
        <w:rPr>
          <w:sz w:val="22"/>
          <w:szCs w:val="22"/>
        </w:rPr>
      </w:pPr>
      <w:r>
        <w:rPr>
          <w:sz w:val="22"/>
          <w:szCs w:val="22"/>
        </w:rPr>
        <w:t xml:space="preserve">(4) Total Hourly Burden: </w:t>
      </w:r>
      <w:r w:rsidR="00C05DFE">
        <w:rPr>
          <w:sz w:val="22"/>
          <w:szCs w:val="22"/>
        </w:rPr>
        <w:t>111,625</w:t>
      </w:r>
      <w:r w:rsidR="00FF4853">
        <w:rPr>
          <w:sz w:val="22"/>
          <w:szCs w:val="22"/>
        </w:rPr>
        <w:t xml:space="preserve"> </w:t>
      </w:r>
      <w:r>
        <w:rPr>
          <w:sz w:val="22"/>
          <w:szCs w:val="22"/>
        </w:rPr>
        <w:t>hours</w:t>
      </w:r>
    </w:p>
    <w:p w:rsidR="372DC1D4" w:rsidP="009F2C8C" w14:paraId="5A02A68E" w14:textId="48815F09">
      <w:pPr>
        <w:spacing w:after="160" w:line="257" w:lineRule="auto"/>
        <w:rPr>
          <w:sz w:val="22"/>
          <w:szCs w:val="22"/>
        </w:rPr>
      </w:pPr>
      <w:r>
        <w:rPr>
          <w:sz w:val="22"/>
          <w:szCs w:val="22"/>
        </w:rPr>
        <w:t>While we expect that most wireless carriers already have a method for customers to report fraud, t</w:t>
      </w:r>
      <w:r w:rsidRPr="001C2D09" w:rsidR="204CB52A">
        <w:rPr>
          <w:sz w:val="22"/>
          <w:szCs w:val="22"/>
        </w:rPr>
        <w:t xml:space="preserve">he Commission estimates that respondents will require approximately 60 hours to </w:t>
      </w:r>
      <w:r w:rsidR="005952DA">
        <w:rPr>
          <w:sz w:val="22"/>
          <w:szCs w:val="22"/>
        </w:rPr>
        <w:t xml:space="preserve">modify their systems to </w:t>
      </w:r>
      <w:r w:rsidRPr="001C2D09" w:rsidR="204CB52A">
        <w:rPr>
          <w:sz w:val="22"/>
          <w:szCs w:val="22"/>
        </w:rPr>
        <w:t xml:space="preserve">develop </w:t>
      </w:r>
      <w:r w:rsidR="005952DA">
        <w:rPr>
          <w:sz w:val="22"/>
          <w:szCs w:val="22"/>
        </w:rPr>
        <w:t xml:space="preserve">an </w:t>
      </w:r>
      <w:r w:rsidRPr="001C2D09" w:rsidR="005952DA">
        <w:rPr>
          <w:sz w:val="22"/>
          <w:szCs w:val="22"/>
        </w:rPr>
        <w:t>easy-to-use and transparent process for reporting SIM swap fraud</w:t>
      </w:r>
      <w:r w:rsidR="003473D1">
        <w:rPr>
          <w:sz w:val="22"/>
          <w:szCs w:val="22"/>
        </w:rPr>
        <w:t xml:space="preserve"> and an additional 10 hours to </w:t>
      </w:r>
      <w:r w:rsidR="00F6756E">
        <w:rPr>
          <w:sz w:val="22"/>
          <w:szCs w:val="22"/>
        </w:rPr>
        <w:t>disclose and maintain that process</w:t>
      </w:r>
      <w:r w:rsidRPr="001C2D09" w:rsidR="204CB52A">
        <w:rPr>
          <w:sz w:val="22"/>
          <w:szCs w:val="22"/>
        </w:rPr>
        <w:t xml:space="preserve">. Our burden estimate takes into consideration that respondents will be able to leverage the resources utilized while simultaneously preparing to come into compliance with the similar </w:t>
      </w:r>
      <w:r w:rsidRPr="001C2D09" w:rsidR="00060C85">
        <w:rPr>
          <w:sz w:val="22"/>
          <w:szCs w:val="22"/>
        </w:rPr>
        <w:t xml:space="preserve">requirement to make available </w:t>
      </w:r>
      <w:r w:rsidRPr="001C2D09" w:rsidR="00857AA9">
        <w:rPr>
          <w:sz w:val="22"/>
          <w:szCs w:val="22"/>
        </w:rPr>
        <w:t>a process for</w:t>
      </w:r>
      <w:r w:rsidRPr="001C2D09" w:rsidR="204CB52A">
        <w:rPr>
          <w:sz w:val="22"/>
          <w:szCs w:val="22"/>
        </w:rPr>
        <w:t xml:space="preserve"> re</w:t>
      </w:r>
      <w:r w:rsidRPr="001C2D09" w:rsidR="00857AA9">
        <w:rPr>
          <w:sz w:val="22"/>
          <w:szCs w:val="22"/>
        </w:rPr>
        <w:t>porting</w:t>
      </w:r>
      <w:r w:rsidRPr="001C2D09" w:rsidR="204CB52A">
        <w:rPr>
          <w:sz w:val="22"/>
          <w:szCs w:val="22"/>
        </w:rPr>
        <w:t xml:space="preserve"> fraudulent ports.</w:t>
      </w:r>
      <w:r w:rsidR="00BE44A2">
        <w:rPr>
          <w:sz w:val="22"/>
          <w:szCs w:val="22"/>
        </w:rPr>
        <w:t xml:space="preserve">  In addition, </w:t>
      </w:r>
      <w:r w:rsidR="00821350">
        <w:rPr>
          <w:sz w:val="22"/>
          <w:szCs w:val="22"/>
        </w:rPr>
        <w:t>we expect that provision of documentation of SIM fraud will be automated</w:t>
      </w:r>
      <w:r w:rsidR="00BA25F3">
        <w:rPr>
          <w:sz w:val="22"/>
          <w:szCs w:val="22"/>
        </w:rPr>
        <w:t xml:space="preserve"> and integrated into the fraud reporting process</w:t>
      </w:r>
      <w:r w:rsidR="00B159E6">
        <w:rPr>
          <w:sz w:val="22"/>
          <w:szCs w:val="22"/>
        </w:rPr>
        <w:t xml:space="preserve"> in most cases,</w:t>
      </w:r>
      <w:r w:rsidR="00BA25F3">
        <w:rPr>
          <w:sz w:val="22"/>
          <w:szCs w:val="22"/>
        </w:rPr>
        <w:t xml:space="preserve"> imposing minimal burden hours (0.1 hours per request) for most providers once the reporting system has been implemented</w:t>
      </w:r>
      <w:r w:rsidR="00F97762">
        <w:rPr>
          <w:sz w:val="22"/>
          <w:szCs w:val="22"/>
        </w:rPr>
        <w:t>.</w:t>
      </w:r>
    </w:p>
    <w:p w:rsidR="00F97762" w:rsidP="00FF4853" w14:paraId="5F78FFB3" w14:textId="6AC325BC">
      <w:pPr>
        <w:spacing w:after="160" w:line="257" w:lineRule="auto"/>
        <w:ind w:left="720"/>
        <w:rPr>
          <w:sz w:val="22"/>
          <w:szCs w:val="22"/>
        </w:rPr>
      </w:pPr>
      <w:r>
        <w:rPr>
          <w:sz w:val="22"/>
          <w:szCs w:val="22"/>
        </w:rPr>
        <w:t xml:space="preserve">Modification and development of systems for reporting fraud: </w:t>
      </w:r>
      <w:r w:rsidR="002B160E">
        <w:rPr>
          <w:sz w:val="22"/>
          <w:szCs w:val="22"/>
        </w:rPr>
        <w:t>100</w:t>
      </w:r>
      <w:r w:rsidR="001444BE">
        <w:rPr>
          <w:sz w:val="22"/>
          <w:szCs w:val="22"/>
        </w:rPr>
        <w:t xml:space="preserve"> hours x 600 respon</w:t>
      </w:r>
      <w:r w:rsidR="007C2C9A">
        <w:rPr>
          <w:sz w:val="22"/>
          <w:szCs w:val="22"/>
        </w:rPr>
        <w:t>ses</w:t>
      </w:r>
      <w:r w:rsidR="001444BE">
        <w:rPr>
          <w:sz w:val="22"/>
          <w:szCs w:val="22"/>
        </w:rPr>
        <w:t xml:space="preserve"> =</w:t>
      </w:r>
      <w:r w:rsidR="00C67BCE">
        <w:rPr>
          <w:sz w:val="22"/>
          <w:szCs w:val="22"/>
        </w:rPr>
        <w:t xml:space="preserve"> </w:t>
      </w:r>
      <w:r w:rsidR="002B160E">
        <w:rPr>
          <w:sz w:val="22"/>
          <w:szCs w:val="22"/>
        </w:rPr>
        <w:t>60</w:t>
      </w:r>
      <w:r w:rsidR="00C67BCE">
        <w:rPr>
          <w:sz w:val="22"/>
          <w:szCs w:val="22"/>
        </w:rPr>
        <w:t>,000 hours</w:t>
      </w:r>
    </w:p>
    <w:p w:rsidR="001444BE" w:rsidP="00FF4853" w14:paraId="23D85A13" w14:textId="47E129F2">
      <w:pPr>
        <w:spacing w:after="160" w:line="257" w:lineRule="auto"/>
        <w:ind w:left="720"/>
        <w:rPr>
          <w:sz w:val="22"/>
          <w:szCs w:val="22"/>
        </w:rPr>
      </w:pPr>
      <w:r>
        <w:rPr>
          <w:sz w:val="22"/>
          <w:szCs w:val="22"/>
        </w:rPr>
        <w:t xml:space="preserve">Maintenance and disclosure of </w:t>
      </w:r>
      <w:r w:rsidR="00997050">
        <w:rPr>
          <w:sz w:val="22"/>
          <w:szCs w:val="22"/>
        </w:rPr>
        <w:t>SIM fraud reporting process: 10 hours x 600 respon</w:t>
      </w:r>
      <w:r w:rsidR="007C2C9A">
        <w:rPr>
          <w:sz w:val="22"/>
          <w:szCs w:val="22"/>
        </w:rPr>
        <w:t>ses</w:t>
      </w:r>
      <w:r w:rsidR="00997050">
        <w:rPr>
          <w:sz w:val="22"/>
          <w:szCs w:val="22"/>
        </w:rPr>
        <w:t xml:space="preserve"> =</w:t>
      </w:r>
      <w:r w:rsidR="00C67BCE">
        <w:rPr>
          <w:sz w:val="22"/>
          <w:szCs w:val="22"/>
        </w:rPr>
        <w:t xml:space="preserve"> 6,000 hours </w:t>
      </w:r>
    </w:p>
    <w:p w:rsidR="00997050" w:rsidP="009F2C8C" w14:paraId="0C259031" w14:textId="0D560768">
      <w:pPr>
        <w:spacing w:after="160" w:line="257" w:lineRule="auto"/>
        <w:rPr>
          <w:sz w:val="22"/>
          <w:szCs w:val="22"/>
        </w:rPr>
      </w:pPr>
      <w:r>
        <w:rPr>
          <w:sz w:val="22"/>
          <w:szCs w:val="22"/>
        </w:rPr>
        <w:tab/>
        <w:t xml:space="preserve">Providing documentation </w:t>
      </w:r>
      <w:r w:rsidR="009D764D">
        <w:rPr>
          <w:sz w:val="22"/>
          <w:szCs w:val="22"/>
        </w:rPr>
        <w:t xml:space="preserve">of fraud upon request: 0.1 hours x </w:t>
      </w:r>
      <w:r w:rsidR="003162E5">
        <w:rPr>
          <w:sz w:val="22"/>
          <w:szCs w:val="22"/>
        </w:rPr>
        <w:t>456</w:t>
      </w:r>
      <w:r w:rsidR="009D764D">
        <w:rPr>
          <w:sz w:val="22"/>
          <w:szCs w:val="22"/>
        </w:rPr>
        <w:t>,</w:t>
      </w:r>
      <w:r w:rsidR="003162E5">
        <w:rPr>
          <w:sz w:val="22"/>
          <w:szCs w:val="22"/>
        </w:rPr>
        <w:t>25</w:t>
      </w:r>
      <w:r w:rsidR="009D764D">
        <w:rPr>
          <w:sz w:val="22"/>
          <w:szCs w:val="22"/>
        </w:rPr>
        <w:t>0</w:t>
      </w:r>
      <w:r w:rsidR="007C2C9A">
        <w:rPr>
          <w:sz w:val="22"/>
          <w:szCs w:val="22"/>
        </w:rPr>
        <w:t xml:space="preserve"> r</w:t>
      </w:r>
      <w:r w:rsidR="003162E5">
        <w:rPr>
          <w:sz w:val="22"/>
          <w:szCs w:val="22"/>
        </w:rPr>
        <w:t xml:space="preserve">esponses = </w:t>
      </w:r>
      <w:r w:rsidR="00D51A32">
        <w:rPr>
          <w:sz w:val="22"/>
          <w:szCs w:val="22"/>
        </w:rPr>
        <w:t>45,625 hours</w:t>
      </w:r>
    </w:p>
    <w:p w:rsidR="00436A5C" w:rsidRPr="001C2D09" w:rsidP="009F2C8C" w14:paraId="5A635DB1" w14:textId="13334744">
      <w:pPr>
        <w:spacing w:after="160" w:line="257" w:lineRule="auto"/>
        <w:rPr>
          <w:sz w:val="22"/>
          <w:szCs w:val="22"/>
        </w:rPr>
      </w:pPr>
    </w:p>
    <w:p w:rsidR="372DC1D4" w:rsidRPr="001C2D09" w:rsidP="009F2C8C" w14:paraId="7CA09CCD" w14:textId="430B4832">
      <w:pPr>
        <w:spacing w:after="160" w:line="257" w:lineRule="auto"/>
        <w:rPr>
          <w:sz w:val="22"/>
          <w:szCs w:val="22"/>
        </w:rPr>
      </w:pPr>
      <w:r w:rsidRPr="001C2D09">
        <w:rPr>
          <w:b/>
          <w:bCs/>
          <w:sz w:val="22"/>
          <w:szCs w:val="22"/>
        </w:rPr>
        <w:t>Total Cumulative Burden Hours</w:t>
      </w:r>
      <w:r w:rsidRPr="001C2D09">
        <w:rPr>
          <w:sz w:val="22"/>
          <w:szCs w:val="22"/>
        </w:rPr>
        <w:t xml:space="preserve">:  </w:t>
      </w:r>
      <w:r w:rsidR="00C05DFE">
        <w:rPr>
          <w:sz w:val="22"/>
          <w:szCs w:val="22"/>
        </w:rPr>
        <w:t>60</w:t>
      </w:r>
      <w:r w:rsidR="00FF4853">
        <w:rPr>
          <w:sz w:val="22"/>
          <w:szCs w:val="22"/>
        </w:rPr>
        <w:t xml:space="preserve">,000 hours + 6,000 hours + 45,625 hours = </w:t>
      </w:r>
      <w:r w:rsidR="00C05DFE">
        <w:rPr>
          <w:sz w:val="22"/>
          <w:szCs w:val="22"/>
        </w:rPr>
        <w:t>111</w:t>
      </w:r>
      <w:r w:rsidR="00FF4853">
        <w:rPr>
          <w:sz w:val="22"/>
          <w:szCs w:val="22"/>
        </w:rPr>
        <w:t>,625 hours</w:t>
      </w:r>
    </w:p>
    <w:p w:rsidR="00D10210" w:rsidRPr="00FF4853" w:rsidP="00FF4853" w14:paraId="216E82EB" w14:textId="7369C305">
      <w:pPr>
        <w:pStyle w:val="ListParagraph"/>
        <w:numPr>
          <w:ilvl w:val="0"/>
          <w:numId w:val="108"/>
        </w:numPr>
        <w:spacing w:after="160" w:line="257" w:lineRule="auto"/>
        <w:rPr>
          <w:sz w:val="22"/>
          <w:szCs w:val="22"/>
        </w:rPr>
      </w:pPr>
      <w:r w:rsidRPr="00FF4853">
        <w:rPr>
          <w:sz w:val="22"/>
          <w:szCs w:val="22"/>
        </w:rPr>
        <w:t>Total “In House” Costs:</w:t>
      </w:r>
      <w:r w:rsidRPr="00FF4853" w:rsidR="000D6451">
        <w:rPr>
          <w:sz w:val="22"/>
          <w:szCs w:val="22"/>
        </w:rPr>
        <w:t xml:space="preserve"> $ </w:t>
      </w:r>
      <w:r w:rsidR="00F02050">
        <w:rPr>
          <w:sz w:val="22"/>
          <w:szCs w:val="22"/>
        </w:rPr>
        <w:t>7,817,21</w:t>
      </w:r>
      <w:r w:rsidR="00C46D39">
        <w:rPr>
          <w:sz w:val="22"/>
          <w:szCs w:val="22"/>
        </w:rPr>
        <w:t>2</w:t>
      </w:r>
    </w:p>
    <w:p w:rsidR="372DC1D4" w:rsidRPr="001C2D09" w:rsidP="009F2C8C" w14:paraId="629D5726" w14:textId="0CDF8F3D">
      <w:pPr>
        <w:spacing w:after="160" w:line="257" w:lineRule="auto"/>
        <w:rPr>
          <w:sz w:val="22"/>
          <w:szCs w:val="22"/>
        </w:rPr>
      </w:pPr>
      <w:r w:rsidRPr="7F2667BC">
        <w:rPr>
          <w:sz w:val="22"/>
          <w:szCs w:val="22"/>
        </w:rPr>
        <w:t xml:space="preserve">The Commission assumes that respondents will use personnel comparable in pay to a GS-12/Step </w:t>
      </w:r>
      <w:r w:rsidRPr="7F2667BC" w:rsidR="00837284">
        <w:rPr>
          <w:sz w:val="22"/>
          <w:szCs w:val="22"/>
        </w:rPr>
        <w:t>5</w:t>
      </w:r>
      <w:r w:rsidRPr="7F2667BC">
        <w:rPr>
          <w:sz w:val="22"/>
          <w:szCs w:val="22"/>
        </w:rPr>
        <w:t xml:space="preserve"> ($</w:t>
      </w:r>
      <w:r w:rsidRPr="7F2667BC" w:rsidR="00837284">
        <w:rPr>
          <w:sz w:val="22"/>
          <w:szCs w:val="22"/>
        </w:rPr>
        <w:t>53.87</w:t>
      </w:r>
      <w:r w:rsidRPr="7F2667BC">
        <w:rPr>
          <w:sz w:val="22"/>
          <w:szCs w:val="22"/>
        </w:rPr>
        <w:t xml:space="preserve">/hour) Federal employee to develop </w:t>
      </w:r>
      <w:r w:rsidR="006F6124">
        <w:rPr>
          <w:sz w:val="22"/>
          <w:szCs w:val="22"/>
        </w:rPr>
        <w:t>and implement a fraud reporting process, disclose their process for reporting fraud, and provide documentation to</w:t>
      </w:r>
      <w:r w:rsidR="0024250C">
        <w:rPr>
          <w:sz w:val="22"/>
          <w:szCs w:val="22"/>
        </w:rPr>
        <w:t xml:space="preserve"> customers upon request.</w:t>
      </w:r>
      <w:r w:rsidR="00C629D6">
        <w:rPr>
          <w:sz w:val="22"/>
          <w:szCs w:val="22"/>
        </w:rPr>
        <w:t xml:space="preserve"> </w:t>
      </w:r>
    </w:p>
    <w:p w:rsidR="372DC1D4" w:rsidRPr="001C2D09" w14:paraId="513DE83F" w14:textId="6FC94247">
      <w:pPr>
        <w:rPr>
          <w:sz w:val="22"/>
          <w:szCs w:val="22"/>
        </w:rPr>
      </w:pPr>
      <w:r w:rsidRPr="001C2D09">
        <w:rPr>
          <w:b/>
          <w:bCs/>
          <w:sz w:val="22"/>
          <w:szCs w:val="22"/>
        </w:rPr>
        <w:t xml:space="preserve">Estimated Total Cumulative In-House Cost to Respondents: </w:t>
      </w:r>
      <w:r w:rsidRPr="001C2D09">
        <w:tab/>
      </w:r>
      <w:r w:rsidRPr="001C2D09">
        <w:tab/>
      </w:r>
      <w:r w:rsidRPr="001C2D09">
        <w:rPr>
          <w:b/>
          <w:bCs/>
          <w:sz w:val="22"/>
          <w:szCs w:val="22"/>
        </w:rPr>
        <w:t xml:space="preserve"> </w:t>
      </w:r>
      <w:r w:rsidR="005E7CD5">
        <w:rPr>
          <w:sz w:val="22"/>
          <w:szCs w:val="22"/>
        </w:rPr>
        <w:t>111</w:t>
      </w:r>
      <w:r w:rsidR="008A2DCA">
        <w:rPr>
          <w:sz w:val="22"/>
          <w:szCs w:val="22"/>
        </w:rPr>
        <w:t>,625</w:t>
      </w:r>
      <w:r w:rsidRPr="001C2D09">
        <w:rPr>
          <w:sz w:val="22"/>
          <w:szCs w:val="22"/>
        </w:rPr>
        <w:t xml:space="preserve"> x $</w:t>
      </w:r>
      <w:r w:rsidRPr="001C2D09" w:rsidR="00837284">
        <w:rPr>
          <w:sz w:val="22"/>
          <w:szCs w:val="22"/>
        </w:rPr>
        <w:t xml:space="preserve">53.87 </w:t>
      </w:r>
      <w:r w:rsidRPr="001C2D09">
        <w:rPr>
          <w:sz w:val="22"/>
          <w:szCs w:val="22"/>
        </w:rPr>
        <w:t>= $</w:t>
      </w:r>
      <w:r w:rsidR="00B11E16">
        <w:rPr>
          <w:sz w:val="22"/>
          <w:szCs w:val="22"/>
        </w:rPr>
        <w:t>6,013</w:t>
      </w:r>
      <w:r w:rsidR="0007403C">
        <w:rPr>
          <w:sz w:val="22"/>
          <w:szCs w:val="22"/>
        </w:rPr>
        <w:t>,</w:t>
      </w:r>
      <w:r w:rsidR="00B11E16">
        <w:rPr>
          <w:sz w:val="22"/>
          <w:szCs w:val="22"/>
        </w:rPr>
        <w:t>2</w:t>
      </w:r>
      <w:r w:rsidR="00F3127E">
        <w:rPr>
          <w:sz w:val="22"/>
          <w:szCs w:val="22"/>
        </w:rPr>
        <w:t>40</w:t>
      </w:r>
    </w:p>
    <w:p w:rsidR="372DC1D4" w:rsidRPr="001C2D09" w:rsidP="009F2C8C" w14:paraId="232E465E" w14:textId="3B3A6B43">
      <w:pPr>
        <w:ind w:left="5760" w:firstLine="720"/>
        <w:rPr>
          <w:sz w:val="22"/>
          <w:szCs w:val="22"/>
          <w:u w:val="single"/>
        </w:rPr>
      </w:pPr>
      <w:r w:rsidRPr="001C2D09">
        <w:rPr>
          <w:sz w:val="22"/>
          <w:szCs w:val="22"/>
        </w:rPr>
        <w:t xml:space="preserve">     30% overhead = </w:t>
      </w:r>
      <w:r w:rsidRPr="001C2D09">
        <w:rPr>
          <w:sz w:val="22"/>
          <w:szCs w:val="22"/>
          <w:u w:val="single"/>
        </w:rPr>
        <w:t>$</w:t>
      </w:r>
      <w:r w:rsidR="003B65C8">
        <w:rPr>
          <w:sz w:val="22"/>
          <w:szCs w:val="22"/>
          <w:u w:val="single"/>
        </w:rPr>
        <w:t>1,</w:t>
      </w:r>
      <w:r w:rsidR="000E320E">
        <w:rPr>
          <w:sz w:val="22"/>
          <w:szCs w:val="22"/>
          <w:u w:val="single"/>
        </w:rPr>
        <w:t>803,97</w:t>
      </w:r>
      <w:r w:rsidR="00F3127E">
        <w:rPr>
          <w:sz w:val="22"/>
          <w:szCs w:val="22"/>
          <w:u w:val="single"/>
        </w:rPr>
        <w:t>2</w:t>
      </w:r>
    </w:p>
    <w:p w:rsidR="372DC1D4" w:rsidRPr="001C2D09" w:rsidP="009F2C8C" w14:paraId="75BBBFB9" w14:textId="13C10629">
      <w:pPr>
        <w:ind w:left="7200" w:firstLine="720"/>
        <w:rPr>
          <w:sz w:val="22"/>
          <w:szCs w:val="22"/>
        </w:rPr>
      </w:pPr>
      <w:r w:rsidRPr="001C2D09">
        <w:rPr>
          <w:sz w:val="22"/>
          <w:szCs w:val="22"/>
        </w:rPr>
        <w:t xml:space="preserve">      $</w:t>
      </w:r>
      <w:r w:rsidR="0007403C">
        <w:rPr>
          <w:sz w:val="22"/>
          <w:szCs w:val="22"/>
        </w:rPr>
        <w:t>7,817,21</w:t>
      </w:r>
      <w:r w:rsidR="00C46D39">
        <w:rPr>
          <w:sz w:val="22"/>
          <w:szCs w:val="22"/>
        </w:rPr>
        <w:t>2</w:t>
      </w:r>
    </w:p>
    <w:p w:rsidR="372DC1D4" w:rsidRPr="001C2D09" w14:paraId="030E8B2B" w14:textId="4B5430C9">
      <w:pPr>
        <w:rPr>
          <w:sz w:val="22"/>
          <w:szCs w:val="22"/>
        </w:rPr>
      </w:pPr>
      <w:r w:rsidRPr="001C2D09">
        <w:rPr>
          <w:sz w:val="22"/>
          <w:szCs w:val="22"/>
        </w:rPr>
        <w:t xml:space="preserve"> </w:t>
      </w:r>
    </w:p>
    <w:p w:rsidR="372DC1D4" w:rsidRPr="001C2D09" w14:paraId="537A8561" w14:textId="6DAA42B1">
      <w:pPr>
        <w:rPr>
          <w:sz w:val="22"/>
          <w:szCs w:val="22"/>
        </w:rPr>
      </w:pPr>
      <w:r w:rsidRPr="001C2D09">
        <w:rPr>
          <w:b/>
          <w:bCs/>
          <w:sz w:val="22"/>
          <w:szCs w:val="22"/>
        </w:rPr>
        <w:t>Average Cost per Respondent to Develop and Implement:</w:t>
      </w:r>
      <w:r w:rsidRPr="001C2D09">
        <w:tab/>
      </w:r>
      <w:r w:rsidRPr="001C2D09">
        <w:rPr>
          <w:sz w:val="22"/>
          <w:szCs w:val="22"/>
        </w:rPr>
        <w:t xml:space="preserve">            </w:t>
      </w:r>
      <w:r w:rsidRPr="001C2D09">
        <w:tab/>
      </w:r>
      <w:r w:rsidRPr="001C2D09">
        <w:rPr>
          <w:sz w:val="22"/>
          <w:szCs w:val="22"/>
        </w:rPr>
        <w:t xml:space="preserve">         $</w:t>
      </w:r>
      <w:r w:rsidR="00F02050">
        <w:rPr>
          <w:sz w:val="22"/>
          <w:szCs w:val="22"/>
        </w:rPr>
        <w:t>7,817,21</w:t>
      </w:r>
      <w:r w:rsidR="00C46D39">
        <w:rPr>
          <w:sz w:val="22"/>
          <w:szCs w:val="22"/>
        </w:rPr>
        <w:t>2</w:t>
      </w:r>
      <w:r w:rsidRPr="001C2D09">
        <w:rPr>
          <w:sz w:val="22"/>
          <w:szCs w:val="22"/>
        </w:rPr>
        <w:t>/600 = $</w:t>
      </w:r>
      <w:r w:rsidR="00F02050">
        <w:rPr>
          <w:sz w:val="22"/>
          <w:szCs w:val="22"/>
        </w:rPr>
        <w:t>13,029</w:t>
      </w:r>
    </w:p>
    <w:p w:rsidR="372DC1D4" w:rsidRPr="001C2D09" w:rsidP="009F2C8C" w14:paraId="6D2DEBF9" w14:textId="24E2BE4F">
      <w:pPr>
        <w:spacing w:after="160" w:line="257" w:lineRule="auto"/>
        <w:rPr>
          <w:sz w:val="22"/>
          <w:szCs w:val="22"/>
        </w:rPr>
      </w:pPr>
      <w:r w:rsidRPr="001C2D09">
        <w:rPr>
          <w:sz w:val="22"/>
          <w:szCs w:val="22"/>
        </w:rPr>
        <w:t xml:space="preserve"> </w:t>
      </w:r>
    </w:p>
    <w:p w:rsidR="372DC1D4" w:rsidP="00F62F3D" w14:paraId="4205BB97" w14:textId="22335D3A">
      <w:pPr>
        <w:spacing w:line="257" w:lineRule="auto"/>
        <w:rPr>
          <w:b/>
          <w:bCs/>
          <w:sz w:val="22"/>
          <w:szCs w:val="22"/>
        </w:rPr>
      </w:pPr>
      <w:r>
        <w:rPr>
          <w:b/>
          <w:bCs/>
          <w:sz w:val="22"/>
          <w:szCs w:val="22"/>
        </w:rPr>
        <w:t>(</w:t>
      </w:r>
      <w:r w:rsidRPr="00F62F3D" w:rsidR="00CC43BD">
        <w:rPr>
          <w:b/>
          <w:bCs/>
          <w:sz w:val="22"/>
          <w:szCs w:val="22"/>
        </w:rPr>
        <w:t>r</w:t>
      </w:r>
      <w:r>
        <w:rPr>
          <w:b/>
          <w:bCs/>
          <w:sz w:val="22"/>
          <w:szCs w:val="22"/>
        </w:rPr>
        <w:t>)</w:t>
      </w:r>
      <w:r w:rsidRPr="00F62F3D" w:rsidR="00A10D83">
        <w:rPr>
          <w:b/>
          <w:bCs/>
          <w:sz w:val="22"/>
          <w:szCs w:val="22"/>
        </w:rPr>
        <w:t xml:space="preserve"> </w:t>
      </w:r>
      <w:r>
        <w:rPr>
          <w:b/>
          <w:bCs/>
          <w:sz w:val="22"/>
          <w:szCs w:val="22"/>
        </w:rPr>
        <w:tab/>
      </w:r>
      <w:r w:rsidRPr="00F62F3D" w:rsidR="00A10D83">
        <w:rPr>
          <w:b/>
          <w:bCs/>
          <w:sz w:val="22"/>
          <w:szCs w:val="22"/>
        </w:rPr>
        <w:t xml:space="preserve">SIM </w:t>
      </w:r>
      <w:r w:rsidRPr="00F62F3D">
        <w:rPr>
          <w:b/>
          <w:bCs/>
          <w:sz w:val="22"/>
          <w:szCs w:val="22"/>
        </w:rPr>
        <w:t xml:space="preserve">change recordkeeping. </w:t>
      </w:r>
    </w:p>
    <w:p w:rsidR="00F62F3D" w:rsidRPr="00F62F3D" w:rsidP="00F62F3D" w14:paraId="4876FD20" w14:textId="77777777">
      <w:pPr>
        <w:spacing w:line="257" w:lineRule="auto"/>
        <w:rPr>
          <w:b/>
          <w:bCs/>
          <w:sz w:val="22"/>
          <w:szCs w:val="22"/>
        </w:rPr>
      </w:pPr>
    </w:p>
    <w:p w:rsidR="372DC1D4" w:rsidRPr="001C2D09" w:rsidP="009F2C8C" w14:paraId="3747D69E" w14:textId="55FB1C06">
      <w:pPr>
        <w:spacing w:after="160" w:line="257" w:lineRule="auto"/>
        <w:rPr>
          <w:sz w:val="22"/>
          <w:szCs w:val="22"/>
        </w:rPr>
      </w:pPr>
      <w:r w:rsidRPr="7F2667BC">
        <w:rPr>
          <w:sz w:val="22"/>
          <w:szCs w:val="22"/>
        </w:rPr>
        <w:t xml:space="preserve">CMRS providers are required to track and maintain on a prospective basis for a minimum of three years, the total number of SIM change requests </w:t>
      </w:r>
      <w:r w:rsidRPr="7F2667BC" w:rsidR="44018961">
        <w:rPr>
          <w:sz w:val="22"/>
          <w:szCs w:val="22"/>
        </w:rPr>
        <w:t>they</w:t>
      </w:r>
      <w:r w:rsidRPr="7F2667BC">
        <w:rPr>
          <w:sz w:val="22"/>
          <w:szCs w:val="22"/>
        </w:rPr>
        <w:t xml:space="preserve"> received, the number of successful SIM change requests, the number of failed SIM change requests; the number of successful fraudulent SIM change requests, the average time to remediate a fraudulent SIM change, the total number of complaints received regarding fraudulent SIM change requests, the authentication measures the CMRS provider has implemented, and when those authentication measures change.  Such data and information shall be provided to the Commission upon request.  Although CMRS providers already collect some information about SIM change requests, the record indicates they do not collect all of the data required to meet the recordkeeping obligations.  CMRS providers will therefore need to undertake system updates to gather and retain each data point. </w:t>
      </w:r>
    </w:p>
    <w:p w:rsidR="372DC1D4" w:rsidRPr="001C2D09" w:rsidP="009F2C8C" w14:paraId="4AAB74E6" w14:textId="7B6B56AE">
      <w:pPr>
        <w:spacing w:after="160" w:line="257" w:lineRule="auto"/>
        <w:ind w:firstLine="720"/>
        <w:rPr>
          <w:sz w:val="22"/>
          <w:szCs w:val="22"/>
        </w:rPr>
      </w:pPr>
      <w:r w:rsidRPr="7F2667BC">
        <w:rPr>
          <w:sz w:val="22"/>
          <w:szCs w:val="22"/>
          <w:u w:val="single"/>
        </w:rPr>
        <w:t>SIM change recordkeeping procedures</w:t>
      </w:r>
      <w:r w:rsidRPr="7F2667BC">
        <w:rPr>
          <w:sz w:val="22"/>
          <w:szCs w:val="22"/>
        </w:rPr>
        <w:t>:</w:t>
      </w:r>
    </w:p>
    <w:p w:rsidR="372DC1D4" w:rsidRPr="001C2D09" w:rsidP="009F2C8C" w14:paraId="5F15E4C1" w14:textId="63655299">
      <w:pPr>
        <w:pStyle w:val="ListParagraph"/>
        <w:numPr>
          <w:ilvl w:val="0"/>
          <w:numId w:val="12"/>
        </w:numPr>
        <w:spacing w:line="257" w:lineRule="auto"/>
        <w:ind w:left="1080"/>
        <w:rPr>
          <w:sz w:val="22"/>
          <w:szCs w:val="22"/>
        </w:rPr>
      </w:pPr>
      <w:r w:rsidRPr="001C2D09">
        <w:rPr>
          <w:sz w:val="22"/>
          <w:szCs w:val="22"/>
        </w:rPr>
        <w:t>Total Number of Respondents (CMRS Providers):  600</w:t>
      </w:r>
    </w:p>
    <w:p w:rsidR="372DC1D4" w:rsidP="009F2C8C" w14:paraId="23A1196A" w14:textId="6D3DE4A4">
      <w:pPr>
        <w:pStyle w:val="ListParagraph"/>
        <w:numPr>
          <w:ilvl w:val="0"/>
          <w:numId w:val="12"/>
        </w:numPr>
        <w:spacing w:line="257" w:lineRule="auto"/>
        <w:ind w:left="1080"/>
        <w:rPr>
          <w:sz w:val="22"/>
          <w:szCs w:val="22"/>
        </w:rPr>
      </w:pPr>
      <w:r w:rsidRPr="7F2667BC">
        <w:rPr>
          <w:sz w:val="22"/>
          <w:szCs w:val="22"/>
        </w:rPr>
        <w:t xml:space="preserve">Frequency of Response:  </w:t>
      </w:r>
      <w:r w:rsidRPr="7F2667BC" w:rsidR="66BC3340">
        <w:rPr>
          <w:sz w:val="22"/>
          <w:szCs w:val="22"/>
        </w:rPr>
        <w:t>Recordkeeping requirement; d</w:t>
      </w:r>
      <w:r w:rsidRPr="7F2667BC">
        <w:rPr>
          <w:sz w:val="22"/>
          <w:szCs w:val="22"/>
        </w:rPr>
        <w:t>evelopment and implementation of procedures.</w:t>
      </w:r>
    </w:p>
    <w:p w:rsidR="009D765D" w:rsidP="009F2C8C" w14:paraId="2D76090E" w14:textId="4F315224">
      <w:pPr>
        <w:pStyle w:val="ListParagraph"/>
        <w:numPr>
          <w:ilvl w:val="0"/>
          <w:numId w:val="12"/>
        </w:numPr>
        <w:spacing w:line="257" w:lineRule="auto"/>
        <w:ind w:left="1080"/>
        <w:rPr>
          <w:sz w:val="22"/>
          <w:szCs w:val="22"/>
        </w:rPr>
      </w:pPr>
      <w:r>
        <w:rPr>
          <w:sz w:val="22"/>
          <w:szCs w:val="22"/>
        </w:rPr>
        <w:t>Total Number of Responses Annually: 600</w:t>
      </w:r>
    </w:p>
    <w:p w:rsidR="009D765D" w:rsidRPr="001C2D09" w:rsidP="009F2C8C" w14:paraId="4E275E33" w14:textId="05AD9645">
      <w:pPr>
        <w:pStyle w:val="ListParagraph"/>
        <w:numPr>
          <w:ilvl w:val="0"/>
          <w:numId w:val="12"/>
        </w:numPr>
        <w:spacing w:line="257" w:lineRule="auto"/>
        <w:ind w:left="1080"/>
        <w:rPr>
          <w:sz w:val="22"/>
          <w:szCs w:val="22"/>
        </w:rPr>
      </w:pPr>
      <w:r>
        <w:rPr>
          <w:sz w:val="22"/>
          <w:szCs w:val="22"/>
        </w:rPr>
        <w:t>Total Hourly Burden: 72,000 hours</w:t>
      </w:r>
    </w:p>
    <w:p w:rsidR="372DC1D4" w:rsidRPr="001C2D09" w:rsidP="009F2C8C" w14:paraId="4A1CAA87" w14:textId="6E4C856D">
      <w:pPr>
        <w:spacing w:after="160" w:line="257" w:lineRule="auto"/>
        <w:rPr>
          <w:sz w:val="22"/>
          <w:szCs w:val="22"/>
        </w:rPr>
      </w:pPr>
      <w:r w:rsidRPr="001C2D09">
        <w:rPr>
          <w:sz w:val="22"/>
          <w:szCs w:val="22"/>
        </w:rPr>
        <w:t xml:space="preserve">The Commission estimates that respondents will require approximately </w:t>
      </w:r>
      <w:r w:rsidRPr="001C2D09" w:rsidR="00DA00AF">
        <w:rPr>
          <w:sz w:val="22"/>
          <w:szCs w:val="22"/>
        </w:rPr>
        <w:t>120</w:t>
      </w:r>
      <w:r w:rsidRPr="001C2D09">
        <w:rPr>
          <w:sz w:val="22"/>
          <w:szCs w:val="22"/>
        </w:rPr>
        <w:t xml:space="preserve"> hours to develop and implement this measure. Our burden estimate takes into consideration that respondents will be able to leverage the resources utilized while simultaneously preparing to come into compliance with the similar procedures to resolve fraudulent ports in the Local Number Portability rules part of this proceeding.</w:t>
      </w:r>
    </w:p>
    <w:p w:rsidR="372DC1D4" w:rsidRPr="001C2D09" w:rsidP="009F2C8C" w14:paraId="5CEE6850" w14:textId="1E5E6A32">
      <w:pPr>
        <w:spacing w:after="160" w:line="257" w:lineRule="auto"/>
        <w:rPr>
          <w:sz w:val="22"/>
          <w:szCs w:val="22"/>
        </w:rPr>
      </w:pPr>
      <w:r w:rsidRPr="001C2D09">
        <w:rPr>
          <w:b/>
          <w:bCs/>
          <w:sz w:val="22"/>
          <w:szCs w:val="22"/>
        </w:rPr>
        <w:t>Total Cumulative Burden Hours</w:t>
      </w:r>
      <w:r w:rsidRPr="001C2D09">
        <w:rPr>
          <w:sz w:val="22"/>
          <w:szCs w:val="22"/>
        </w:rPr>
        <w:t xml:space="preserve">:  600 respondents x </w:t>
      </w:r>
      <w:r w:rsidRPr="001C2D09" w:rsidR="00DA00AF">
        <w:rPr>
          <w:sz w:val="22"/>
          <w:szCs w:val="22"/>
        </w:rPr>
        <w:t>12</w:t>
      </w:r>
      <w:r w:rsidRPr="001C2D09">
        <w:rPr>
          <w:sz w:val="22"/>
          <w:szCs w:val="22"/>
        </w:rPr>
        <w:t xml:space="preserve">0 hours = </w:t>
      </w:r>
      <w:r w:rsidRPr="001C2D09" w:rsidR="00D5647B">
        <w:rPr>
          <w:sz w:val="22"/>
          <w:szCs w:val="22"/>
        </w:rPr>
        <w:t>72</w:t>
      </w:r>
      <w:r w:rsidRPr="001C2D09">
        <w:rPr>
          <w:sz w:val="22"/>
          <w:szCs w:val="22"/>
        </w:rPr>
        <w:t>,000 hours</w:t>
      </w:r>
    </w:p>
    <w:p w:rsidR="004E3A4E" w:rsidRPr="00F9656A" w:rsidP="00F9656A" w14:paraId="25F7E20B" w14:textId="5CF5A2F4">
      <w:pPr>
        <w:pStyle w:val="ListParagraph"/>
        <w:numPr>
          <w:ilvl w:val="0"/>
          <w:numId w:val="12"/>
        </w:numPr>
        <w:spacing w:after="160" w:line="257" w:lineRule="auto"/>
        <w:rPr>
          <w:sz w:val="22"/>
          <w:szCs w:val="22"/>
        </w:rPr>
      </w:pPr>
      <w:r w:rsidRPr="00F9656A">
        <w:rPr>
          <w:sz w:val="22"/>
          <w:szCs w:val="22"/>
        </w:rPr>
        <w:t xml:space="preserve"> Cost: $5,042,232</w:t>
      </w:r>
    </w:p>
    <w:p w:rsidR="372DC1D4" w:rsidRPr="00F9656A" w:rsidP="004E3A4E" w14:paraId="18C1D69F" w14:textId="09FF65FA">
      <w:pPr>
        <w:spacing w:after="160" w:line="257" w:lineRule="auto"/>
        <w:rPr>
          <w:sz w:val="22"/>
          <w:szCs w:val="22"/>
        </w:rPr>
      </w:pPr>
      <w:r w:rsidRPr="00F9656A">
        <w:rPr>
          <w:sz w:val="22"/>
          <w:szCs w:val="22"/>
        </w:rPr>
        <w:t xml:space="preserve">The Commission assumes that respondents will use personnel comparable in pay to a GS-12/Step </w:t>
      </w:r>
      <w:r w:rsidRPr="00F9656A" w:rsidR="00B06A1F">
        <w:rPr>
          <w:sz w:val="22"/>
          <w:szCs w:val="22"/>
        </w:rPr>
        <w:t>5</w:t>
      </w:r>
      <w:r w:rsidRPr="00F9656A">
        <w:rPr>
          <w:sz w:val="22"/>
          <w:szCs w:val="22"/>
        </w:rPr>
        <w:t xml:space="preserve"> ($</w:t>
      </w:r>
      <w:r w:rsidRPr="00F9656A" w:rsidR="00B06A1F">
        <w:rPr>
          <w:sz w:val="22"/>
          <w:szCs w:val="22"/>
        </w:rPr>
        <w:t>53.87</w:t>
      </w:r>
      <w:r w:rsidRPr="00F9656A">
        <w:rPr>
          <w:sz w:val="22"/>
          <w:szCs w:val="22"/>
        </w:rPr>
        <w:t xml:space="preserve">/hour) Federal employee to develop procedures to track and maintain certain information about SIM change requests and the authentication methods used to complete such requests. </w:t>
      </w:r>
    </w:p>
    <w:p w:rsidR="372DC1D4" w:rsidRPr="001C2D09" w14:paraId="6C278685" w14:textId="78CEC7FE">
      <w:pPr>
        <w:rPr>
          <w:sz w:val="22"/>
          <w:szCs w:val="22"/>
        </w:rPr>
      </w:pPr>
      <w:r w:rsidRPr="001C2D09">
        <w:rPr>
          <w:b/>
          <w:bCs/>
          <w:sz w:val="22"/>
          <w:szCs w:val="22"/>
        </w:rPr>
        <w:t xml:space="preserve">Estimated Total Cumulative In-House Cost to Respondents: </w:t>
      </w:r>
      <w:r w:rsidRPr="001C2D09">
        <w:tab/>
      </w:r>
      <w:r w:rsidRPr="001C2D09">
        <w:tab/>
      </w:r>
      <w:r w:rsidRPr="001C2D09">
        <w:rPr>
          <w:b/>
          <w:bCs/>
          <w:sz w:val="22"/>
          <w:szCs w:val="22"/>
        </w:rPr>
        <w:t xml:space="preserve"> </w:t>
      </w:r>
      <w:r w:rsidRPr="001C2D09" w:rsidR="00D5647B">
        <w:rPr>
          <w:sz w:val="22"/>
          <w:szCs w:val="22"/>
        </w:rPr>
        <w:t>72</w:t>
      </w:r>
      <w:r w:rsidRPr="001C2D09">
        <w:rPr>
          <w:sz w:val="22"/>
          <w:szCs w:val="22"/>
        </w:rPr>
        <w:t>,000 x $</w:t>
      </w:r>
      <w:r w:rsidRPr="001C2D09" w:rsidR="00B06A1F">
        <w:rPr>
          <w:sz w:val="22"/>
          <w:szCs w:val="22"/>
        </w:rPr>
        <w:t>53.87</w:t>
      </w:r>
      <w:r w:rsidRPr="001C2D09">
        <w:rPr>
          <w:sz w:val="22"/>
          <w:szCs w:val="22"/>
        </w:rPr>
        <w:t>= $</w:t>
      </w:r>
      <w:r w:rsidRPr="001C2D09" w:rsidR="005F08D4">
        <w:rPr>
          <w:sz w:val="22"/>
          <w:szCs w:val="22"/>
        </w:rPr>
        <w:t>3,878,640</w:t>
      </w:r>
    </w:p>
    <w:p w:rsidR="372DC1D4" w:rsidRPr="001C2D09" w:rsidP="009F2C8C" w14:paraId="492F7FC4" w14:textId="666605F3">
      <w:pPr>
        <w:ind w:left="5760" w:firstLine="720"/>
        <w:rPr>
          <w:sz w:val="22"/>
          <w:szCs w:val="22"/>
          <w:u w:val="single"/>
        </w:rPr>
      </w:pPr>
      <w:r w:rsidRPr="001C2D09">
        <w:rPr>
          <w:sz w:val="22"/>
          <w:szCs w:val="22"/>
        </w:rPr>
        <w:t xml:space="preserve">    30% overhead=</w:t>
      </w:r>
      <w:r w:rsidR="00D542B5">
        <w:rPr>
          <w:sz w:val="22"/>
          <w:szCs w:val="22"/>
        </w:rPr>
        <w:t xml:space="preserve"> </w:t>
      </w:r>
      <w:r w:rsidRPr="001C2D09">
        <w:rPr>
          <w:sz w:val="22"/>
          <w:szCs w:val="22"/>
          <w:u w:val="single"/>
        </w:rPr>
        <w:t>$</w:t>
      </w:r>
      <w:r w:rsidRPr="001C2D09" w:rsidR="00EC2996">
        <w:rPr>
          <w:sz w:val="22"/>
          <w:szCs w:val="22"/>
          <w:u w:val="single"/>
        </w:rPr>
        <w:t>1,163,592</w:t>
      </w:r>
    </w:p>
    <w:p w:rsidR="372DC1D4" w:rsidRPr="001C2D09" w:rsidP="009F2C8C" w14:paraId="4CDA87B8" w14:textId="4F53206B">
      <w:pPr>
        <w:ind w:left="7200" w:firstLine="720"/>
        <w:rPr>
          <w:sz w:val="22"/>
          <w:szCs w:val="22"/>
        </w:rPr>
      </w:pPr>
      <w:r w:rsidRPr="001C2D09">
        <w:rPr>
          <w:sz w:val="22"/>
          <w:szCs w:val="22"/>
        </w:rPr>
        <w:t xml:space="preserve">    $</w:t>
      </w:r>
      <w:r w:rsidRPr="001C2D09" w:rsidR="00AD30DA">
        <w:rPr>
          <w:sz w:val="22"/>
          <w:szCs w:val="22"/>
        </w:rPr>
        <w:t>5</w:t>
      </w:r>
      <w:r w:rsidRPr="001C2D09" w:rsidR="00F35142">
        <w:rPr>
          <w:sz w:val="22"/>
          <w:szCs w:val="22"/>
        </w:rPr>
        <w:t>,042,232</w:t>
      </w:r>
    </w:p>
    <w:p w:rsidR="372DC1D4" w:rsidRPr="001C2D09" w14:paraId="52E7C53B" w14:textId="291F7BF4">
      <w:pPr>
        <w:rPr>
          <w:sz w:val="22"/>
          <w:szCs w:val="22"/>
        </w:rPr>
      </w:pPr>
      <w:r w:rsidRPr="001C2D09">
        <w:rPr>
          <w:sz w:val="22"/>
          <w:szCs w:val="22"/>
        </w:rPr>
        <w:t xml:space="preserve"> </w:t>
      </w:r>
    </w:p>
    <w:p w:rsidR="372DC1D4" w:rsidRPr="001C2D09" w:rsidP="009F2C8C" w14:paraId="22336F9C" w14:textId="52487BB1">
      <w:pPr>
        <w:spacing w:after="160" w:line="257" w:lineRule="auto"/>
        <w:rPr>
          <w:sz w:val="22"/>
          <w:szCs w:val="22"/>
        </w:rPr>
      </w:pPr>
      <w:r w:rsidRPr="001C2D09">
        <w:rPr>
          <w:b/>
          <w:bCs/>
          <w:sz w:val="22"/>
          <w:szCs w:val="22"/>
        </w:rPr>
        <w:t>Average Cost per Respondent to Develop and Implement:</w:t>
      </w:r>
      <w:r w:rsidRPr="001C2D09">
        <w:tab/>
      </w:r>
      <w:r w:rsidRPr="001C2D09">
        <w:rPr>
          <w:sz w:val="22"/>
          <w:szCs w:val="22"/>
        </w:rPr>
        <w:t xml:space="preserve">                      $</w:t>
      </w:r>
      <w:r w:rsidRPr="001C2D09" w:rsidR="00EC22CF">
        <w:rPr>
          <w:sz w:val="22"/>
          <w:szCs w:val="22"/>
        </w:rPr>
        <w:t>5,042,232</w:t>
      </w:r>
      <w:r w:rsidRPr="001C2D09">
        <w:rPr>
          <w:sz w:val="22"/>
          <w:szCs w:val="22"/>
        </w:rPr>
        <w:t>/600 = $</w:t>
      </w:r>
      <w:r w:rsidRPr="001C2D09" w:rsidR="0060714A">
        <w:rPr>
          <w:sz w:val="22"/>
          <w:szCs w:val="22"/>
        </w:rPr>
        <w:t>8,40</w:t>
      </w:r>
      <w:r w:rsidRPr="001C2D09" w:rsidR="00AD30DA">
        <w:rPr>
          <w:sz w:val="22"/>
          <w:szCs w:val="22"/>
        </w:rPr>
        <w:t>4</w:t>
      </w:r>
    </w:p>
    <w:p w:rsidR="00F9656A" w:rsidP="00F9656A" w14:paraId="1F13AF05" w14:textId="77777777">
      <w:pPr>
        <w:spacing w:after="120"/>
        <w:rPr>
          <w:b/>
          <w:bCs/>
          <w:spacing w:val="-3"/>
          <w:sz w:val="22"/>
          <w:szCs w:val="22"/>
          <w:shd w:val="clear" w:color="auto" w:fill="FFFFFF"/>
        </w:rPr>
      </w:pPr>
    </w:p>
    <w:p w:rsidR="00FD4AB9" w:rsidRPr="00DF05B6" w:rsidP="00DF05B6" w14:paraId="2C7CA600" w14:textId="68D3F515">
      <w:pPr>
        <w:spacing w:after="120"/>
        <w:rPr>
          <w:b/>
          <w:bCs/>
          <w:spacing w:val="-3"/>
          <w:sz w:val="22"/>
          <w:szCs w:val="22"/>
          <w:shd w:val="clear" w:color="auto" w:fill="FFFFFF"/>
        </w:rPr>
      </w:pPr>
      <w:r>
        <w:rPr>
          <w:b/>
          <w:bCs/>
          <w:spacing w:val="-3"/>
          <w:sz w:val="22"/>
          <w:szCs w:val="22"/>
          <w:shd w:val="clear" w:color="auto" w:fill="FFFFFF"/>
        </w:rPr>
        <w:t>(s)</w:t>
      </w:r>
      <w:r>
        <w:rPr>
          <w:b/>
          <w:bCs/>
          <w:spacing w:val="-3"/>
          <w:sz w:val="22"/>
          <w:szCs w:val="22"/>
          <w:shd w:val="clear" w:color="auto" w:fill="FFFFFF"/>
        </w:rPr>
        <w:tab/>
      </w:r>
      <w:r w:rsidRPr="00DF05B6" w:rsidR="040B1C79">
        <w:rPr>
          <w:b/>
          <w:bCs/>
          <w:spacing w:val="-3"/>
          <w:sz w:val="22"/>
          <w:szCs w:val="22"/>
          <w:shd w:val="clear" w:color="auto" w:fill="FFFFFF"/>
        </w:rPr>
        <w:t xml:space="preserve">Notification of </w:t>
      </w:r>
      <w:r w:rsidRPr="00DF05B6" w:rsidR="22CBD279">
        <w:rPr>
          <w:b/>
          <w:bCs/>
          <w:sz w:val="22"/>
          <w:szCs w:val="22"/>
        </w:rPr>
        <w:t>Data</w:t>
      </w:r>
      <w:r w:rsidRPr="00DF05B6" w:rsidR="040B1C79">
        <w:rPr>
          <w:b/>
          <w:bCs/>
          <w:spacing w:val="-3"/>
          <w:sz w:val="22"/>
          <w:szCs w:val="22"/>
          <w:shd w:val="clear" w:color="auto" w:fill="FFFFFF"/>
        </w:rPr>
        <w:t xml:space="preserve"> Breaches.</w:t>
      </w:r>
    </w:p>
    <w:p w:rsidR="00FD4AB9" w:rsidRPr="001C2D09" w:rsidP="5D3F303B" w14:paraId="2ACAD40B" w14:textId="0A045EDC">
      <w:pPr>
        <w:spacing w:after="120"/>
        <w:rPr>
          <w:b/>
          <w:bCs/>
          <w:spacing w:val="-3"/>
          <w:sz w:val="22"/>
          <w:szCs w:val="22"/>
          <w:shd w:val="clear" w:color="auto" w:fill="FFFFFF"/>
        </w:rPr>
      </w:pPr>
    </w:p>
    <w:p w:rsidR="00FD4AB9" w:rsidRPr="001C2D09" w:rsidP="009F2C8C" w14:paraId="7063240C" w14:textId="5EBEA4DF">
      <w:pPr>
        <w:pStyle w:val="ListParagraph"/>
        <w:numPr>
          <w:ilvl w:val="0"/>
          <w:numId w:val="10"/>
        </w:numPr>
        <w:spacing w:line="257" w:lineRule="auto"/>
        <w:ind w:left="1080"/>
        <w:rPr>
          <w:spacing w:val="-3"/>
          <w:sz w:val="22"/>
          <w:szCs w:val="22"/>
          <w:shd w:val="clear" w:color="auto" w:fill="FFFFFF"/>
        </w:rPr>
      </w:pPr>
      <w:r w:rsidRPr="5CDF7D9B">
        <w:rPr>
          <w:sz w:val="22"/>
          <w:szCs w:val="22"/>
        </w:rPr>
        <w:t>Total Number of Respon</w:t>
      </w:r>
      <w:r w:rsidRPr="5CDF7D9B" w:rsidR="0DF7CF05">
        <w:rPr>
          <w:sz w:val="22"/>
          <w:szCs w:val="22"/>
        </w:rPr>
        <w:t>dent</w:t>
      </w:r>
      <w:r w:rsidRPr="5CDF7D9B">
        <w:rPr>
          <w:sz w:val="22"/>
          <w:szCs w:val="22"/>
        </w:rPr>
        <w:t>s:  1</w:t>
      </w:r>
      <w:r w:rsidRPr="5CDF7D9B" w:rsidR="003B2429">
        <w:rPr>
          <w:sz w:val="22"/>
          <w:szCs w:val="22"/>
        </w:rPr>
        <w:t>,</w:t>
      </w:r>
      <w:r w:rsidRPr="5CDF7D9B">
        <w:rPr>
          <w:sz w:val="22"/>
          <w:szCs w:val="22"/>
        </w:rPr>
        <w:t>623</w:t>
      </w:r>
    </w:p>
    <w:p w:rsidR="00FD4AB9" w:rsidRPr="001C2D09" w:rsidP="009F2C8C" w14:paraId="47B238B5" w14:textId="4DF554C0">
      <w:pPr>
        <w:pStyle w:val="ListParagraph"/>
        <w:numPr>
          <w:ilvl w:val="0"/>
          <w:numId w:val="10"/>
        </w:numPr>
        <w:spacing w:line="257" w:lineRule="auto"/>
        <w:ind w:left="1080"/>
        <w:rPr>
          <w:spacing w:val="-3"/>
          <w:sz w:val="22"/>
          <w:szCs w:val="22"/>
          <w:shd w:val="clear" w:color="auto" w:fill="FFFFFF"/>
        </w:rPr>
      </w:pPr>
      <w:r w:rsidRPr="001C2D09">
        <w:rPr>
          <w:sz w:val="22"/>
          <w:szCs w:val="22"/>
        </w:rPr>
        <w:t>Frequency of Response:  On occasion reporting requirements; third party disclosure.</w:t>
      </w:r>
    </w:p>
    <w:p w:rsidR="00FD4AB9" w:rsidRPr="001C2D09" w:rsidP="009F2C8C" w14:paraId="3982ECF3" w14:textId="5B188F5C">
      <w:pPr>
        <w:pStyle w:val="ListParagraph"/>
        <w:numPr>
          <w:ilvl w:val="0"/>
          <w:numId w:val="10"/>
        </w:numPr>
        <w:spacing w:line="257" w:lineRule="auto"/>
        <w:ind w:left="1080"/>
        <w:rPr>
          <w:spacing w:val="-3"/>
          <w:sz w:val="22"/>
          <w:szCs w:val="22"/>
          <w:shd w:val="clear" w:color="auto" w:fill="FFFFFF"/>
        </w:rPr>
      </w:pPr>
      <w:r w:rsidRPr="5CDF7D9B">
        <w:rPr>
          <w:sz w:val="22"/>
          <w:szCs w:val="22"/>
        </w:rPr>
        <w:t>Total Number of Responses Annually:  3</w:t>
      </w:r>
      <w:r w:rsidRPr="5CDF7D9B" w:rsidR="00EC7A30">
        <w:rPr>
          <w:sz w:val="22"/>
          <w:szCs w:val="22"/>
        </w:rPr>
        <w:t>,</w:t>
      </w:r>
      <w:r w:rsidRPr="5CDF7D9B">
        <w:rPr>
          <w:sz w:val="22"/>
          <w:szCs w:val="22"/>
        </w:rPr>
        <w:t>246 responses (reporting and customer notification)</w:t>
      </w:r>
      <w:r>
        <w:br/>
      </w:r>
      <w:r>
        <w:br/>
      </w:r>
      <w:r w:rsidRPr="5CDF7D9B">
        <w:rPr>
          <w:sz w:val="22"/>
          <w:szCs w:val="22"/>
        </w:rPr>
        <w:t>1</w:t>
      </w:r>
      <w:r w:rsidRPr="5CDF7D9B" w:rsidR="00FC55D0">
        <w:rPr>
          <w:sz w:val="22"/>
          <w:szCs w:val="22"/>
        </w:rPr>
        <w:t>,</w:t>
      </w:r>
      <w:r w:rsidRPr="5CDF7D9B">
        <w:rPr>
          <w:sz w:val="22"/>
          <w:szCs w:val="22"/>
        </w:rPr>
        <w:t xml:space="preserve">623 </w:t>
      </w:r>
      <w:r w:rsidRPr="5CDF7D9B" w:rsidR="33541EC8">
        <w:rPr>
          <w:sz w:val="22"/>
          <w:szCs w:val="22"/>
        </w:rPr>
        <w:t>incidents</w:t>
      </w:r>
      <w:r w:rsidRPr="5CDF7D9B">
        <w:rPr>
          <w:sz w:val="22"/>
          <w:szCs w:val="22"/>
        </w:rPr>
        <w:t xml:space="preserve"> x 1 notification to online breach reporting facility    = 1,623 responses</w:t>
      </w:r>
      <w:r>
        <w:br/>
      </w:r>
      <w:r>
        <w:br/>
      </w:r>
      <w:r w:rsidRPr="5CDF7D9B">
        <w:rPr>
          <w:sz w:val="22"/>
          <w:szCs w:val="22"/>
        </w:rPr>
        <w:t>1</w:t>
      </w:r>
      <w:r w:rsidRPr="5CDF7D9B" w:rsidR="00FC55D0">
        <w:rPr>
          <w:sz w:val="22"/>
          <w:szCs w:val="22"/>
        </w:rPr>
        <w:t>,</w:t>
      </w:r>
      <w:r w:rsidRPr="5CDF7D9B">
        <w:rPr>
          <w:sz w:val="22"/>
          <w:szCs w:val="22"/>
        </w:rPr>
        <w:t xml:space="preserve">623 </w:t>
      </w:r>
      <w:r w:rsidRPr="5CDF7D9B" w:rsidR="446D5041">
        <w:rPr>
          <w:sz w:val="22"/>
          <w:szCs w:val="22"/>
        </w:rPr>
        <w:t>incidents</w:t>
      </w:r>
      <w:r w:rsidRPr="5CDF7D9B">
        <w:rPr>
          <w:sz w:val="22"/>
          <w:szCs w:val="22"/>
        </w:rPr>
        <w:t xml:space="preserve"> x 1 customer notification </w:t>
      </w:r>
      <w:r>
        <w:tab/>
      </w:r>
      <w:r>
        <w:tab/>
      </w:r>
      <w:r>
        <w:tab/>
      </w:r>
      <w:r w:rsidRPr="5CDF7D9B">
        <w:rPr>
          <w:sz w:val="22"/>
          <w:szCs w:val="22"/>
        </w:rPr>
        <w:t xml:space="preserve">           = </w:t>
      </w:r>
      <w:r w:rsidRPr="5CDF7D9B">
        <w:rPr>
          <w:sz w:val="22"/>
          <w:szCs w:val="22"/>
          <w:u w:val="single"/>
        </w:rPr>
        <w:t>1,623 responses</w:t>
      </w:r>
      <w:r>
        <w:br/>
      </w:r>
      <w:r>
        <w:br/>
      </w:r>
      <w:r w:rsidRPr="5CDF7D9B">
        <w:rPr>
          <w:sz w:val="22"/>
          <w:szCs w:val="22"/>
        </w:rPr>
        <w:t xml:space="preserve">                                                                              </w:t>
      </w:r>
      <w:r>
        <w:tab/>
      </w:r>
      <w:r w:rsidRPr="5CDF7D9B">
        <w:rPr>
          <w:sz w:val="22"/>
          <w:szCs w:val="22"/>
        </w:rPr>
        <w:t>Total   = 3,246 responses</w:t>
      </w:r>
    </w:p>
    <w:p w:rsidR="00FD4AB9" w:rsidRPr="001C2D09" w:rsidP="009F2C8C" w14:paraId="0A2B272D" w14:textId="5176EAE8">
      <w:pPr>
        <w:pStyle w:val="ListParagraph"/>
        <w:numPr>
          <w:ilvl w:val="0"/>
          <w:numId w:val="10"/>
        </w:numPr>
        <w:spacing w:line="257" w:lineRule="auto"/>
        <w:ind w:left="1080"/>
        <w:rPr>
          <w:spacing w:val="-3"/>
          <w:sz w:val="22"/>
          <w:szCs w:val="22"/>
          <w:shd w:val="clear" w:color="auto" w:fill="FFFFFF"/>
        </w:rPr>
      </w:pPr>
      <w:r w:rsidRPr="001C2D09">
        <w:rPr>
          <w:sz w:val="22"/>
          <w:szCs w:val="22"/>
        </w:rPr>
        <w:t xml:space="preserve"> Total Cumulative Annual Hourly Burden:  </w:t>
      </w:r>
    </w:p>
    <w:p w:rsidR="00FD4AB9" w:rsidRPr="001C2D09" w:rsidP="69496AC6" w14:paraId="4153B594" w14:textId="266E233D">
      <w:pPr>
        <w:spacing w:after="160" w:line="257" w:lineRule="auto"/>
        <w:ind w:firstLine="720"/>
        <w:rPr>
          <w:sz w:val="22"/>
          <w:szCs w:val="22"/>
        </w:rPr>
      </w:pPr>
      <w:r w:rsidRPr="7F2667BC">
        <w:rPr>
          <w:sz w:val="22"/>
          <w:szCs w:val="22"/>
        </w:rPr>
        <w:t>It is difficult to estimate the time involved because this reporting requirement only exists in the event of a data breach.  The Data Breach Order expanded the definitions of “breach” and “covered data.”  While the rules previously covered only CPNI, the rules now also apply to a broader set of personally identifiable information (PII)</w:t>
      </w:r>
      <w:r w:rsidRPr="7F2667BC" w:rsidR="66CA7DD9">
        <w:rPr>
          <w:sz w:val="22"/>
          <w:szCs w:val="22"/>
        </w:rPr>
        <w:t>.</w:t>
      </w:r>
      <w:r w:rsidRPr="7F2667BC">
        <w:rPr>
          <w:sz w:val="22"/>
          <w:szCs w:val="22"/>
        </w:rPr>
        <w:t xml:space="preserve"> </w:t>
      </w:r>
      <w:r w:rsidRPr="7F2667BC" w:rsidR="66CA7DD9">
        <w:rPr>
          <w:sz w:val="22"/>
          <w:szCs w:val="22"/>
        </w:rPr>
        <w:t xml:space="preserve"> </w:t>
      </w:r>
      <w:r w:rsidRPr="7F2667BC" w:rsidR="76E26ED1">
        <w:rPr>
          <w:sz w:val="22"/>
          <w:szCs w:val="22"/>
        </w:rPr>
        <w:t>For the purposes of the Commission’s breach notification rules, PII is defined as</w:t>
      </w:r>
      <w:r w:rsidRPr="7F2667BC" w:rsidR="0C34E3CA">
        <w:rPr>
          <w:sz w:val="22"/>
          <w:szCs w:val="22"/>
        </w:rPr>
        <w:t>:</w:t>
      </w:r>
      <w:r w:rsidRPr="7F2667BC" w:rsidR="76E26ED1">
        <w:rPr>
          <w:sz w:val="22"/>
          <w:szCs w:val="22"/>
        </w:rPr>
        <w:t xml:space="preserve"> </w:t>
      </w:r>
      <w:r w:rsidRPr="7F2667BC" w:rsidR="0C34E3CA">
        <w:rPr>
          <w:sz w:val="22"/>
          <w:szCs w:val="22"/>
        </w:rPr>
        <w:t xml:space="preserve">(i) An individual’s first name or first initial, and last name, in combination with any government-issued identification numbers or information issued on a government document used to verify the identity of a specific individual, or other unique identification number used for authentication purposes; (ii) An individual’s user name or e-mail address, in combination with a password or security question and answer, or any other authentication method or information necessary to permit access to an account; or (iii) Unique biometric, genetic, or medical data. </w:t>
      </w:r>
      <w:r w:rsidRPr="7F2667BC" w:rsidR="76E26ED1">
        <w:rPr>
          <w:sz w:val="22"/>
          <w:szCs w:val="22"/>
        </w:rPr>
        <w:t xml:space="preserve"> </w:t>
      </w:r>
      <w:r w:rsidRPr="7F2667BC" w:rsidR="08A01445">
        <w:rPr>
          <w:sz w:val="22"/>
          <w:szCs w:val="22"/>
        </w:rPr>
        <w:t xml:space="preserve">As used in the Commission’s rules, </w:t>
      </w:r>
      <w:r w:rsidRPr="7F2667BC" w:rsidR="10C74170">
        <w:rPr>
          <w:sz w:val="22"/>
          <w:szCs w:val="22"/>
        </w:rPr>
        <w:t>“personally identifiable information” does not include information about an individual that is lawfully made available to the general public from federal, state, or local government records or widely distributed media.</w:t>
      </w:r>
      <w:r w:rsidRPr="7F2667BC" w:rsidR="08A01445">
        <w:rPr>
          <w:sz w:val="22"/>
          <w:szCs w:val="22"/>
        </w:rPr>
        <w:t xml:space="preserve">  </w:t>
      </w:r>
      <w:r w:rsidRPr="7F2667BC">
        <w:rPr>
          <w:sz w:val="22"/>
          <w:szCs w:val="22"/>
        </w:rPr>
        <w:t>“Breach” is defined to include access to, use, or disclosure of “covered data” that is not authorized or that exceeds authorization.  This definition also includes inadvertent unauthorized access to, use, or disclosure of covered data.  However, this expansion is paired with an important limitation.  A breach does not include good faith acquisition of covered data by an employee or agent of a covered provider, as long as the information is not further disclosed or improperly used.  It is no longer necessary to report breaches affecting fewer tha</w:t>
      </w:r>
      <w:r w:rsidRPr="7F2667BC" w:rsidR="6422DDDD">
        <w:rPr>
          <w:sz w:val="22"/>
          <w:szCs w:val="22"/>
        </w:rPr>
        <w:t>n</w:t>
      </w:r>
      <w:r w:rsidRPr="7F2667BC">
        <w:rPr>
          <w:sz w:val="22"/>
          <w:szCs w:val="22"/>
        </w:rPr>
        <w:t xml:space="preserve"> 500 customers</w:t>
      </w:r>
      <w:r w:rsidRPr="7F2667BC" w:rsidR="28A2B4A0">
        <w:rPr>
          <w:sz w:val="22"/>
          <w:szCs w:val="22"/>
        </w:rPr>
        <w:t xml:space="preserve"> where the breach is not reasonably likely to harm customers</w:t>
      </w:r>
      <w:r w:rsidRPr="7F2667BC">
        <w:rPr>
          <w:sz w:val="22"/>
          <w:szCs w:val="22"/>
        </w:rPr>
        <w:t xml:space="preserve">.  If it can be reasonably determined that a breach has affected fewer than 500 customers and is not reasonably likely to harm those customers, there is not a reporting obligation, except that covered providers must file an annual summary of such breaches in the central online breach reporting facility.  The estimate of breaches is based on information regarding the number of breaches reported to the central online breach reporting facility, which has been increased by twenty percent.  The Commission estimates that respondents will require approximately </w:t>
      </w:r>
      <w:r w:rsidRPr="7F2667BC" w:rsidR="3246A33C">
        <w:rPr>
          <w:sz w:val="22"/>
          <w:szCs w:val="22"/>
        </w:rPr>
        <w:t>48 minutes (0.8) hours) to compile information related to a breach and notify law enforcement officials and the FCC of their customer’</w:t>
      </w:r>
      <w:r w:rsidRPr="7F2667BC" w:rsidR="11C63450">
        <w:rPr>
          <w:sz w:val="22"/>
          <w:szCs w:val="22"/>
        </w:rPr>
        <w:t>s data breach via the central online reporting facility.  The Commission estimates that these same respondents will also require approximately 6 minutes (0.10 hours) to notify a customer whose data has been breached.</w:t>
      </w:r>
    </w:p>
    <w:p w:rsidR="7C6BDEE9" w:rsidRPr="001C2D09" w:rsidP="009F2C8C" w14:paraId="74137642" w14:textId="465497E3">
      <w:pPr>
        <w:spacing w:line="257" w:lineRule="auto"/>
        <w:ind w:firstLine="720"/>
        <w:rPr>
          <w:sz w:val="22"/>
          <w:szCs w:val="22"/>
        </w:rPr>
      </w:pPr>
      <w:r w:rsidRPr="001C2D09">
        <w:rPr>
          <w:sz w:val="22"/>
          <w:szCs w:val="22"/>
        </w:rPr>
        <w:t>1,623 responses x 0.8 hours/data breach compile and notify to online re</w:t>
      </w:r>
      <w:r w:rsidRPr="001C2D09" w:rsidR="33FDEC42">
        <w:rPr>
          <w:sz w:val="22"/>
          <w:szCs w:val="22"/>
        </w:rPr>
        <w:t>porting = 1,298 hours</w:t>
      </w:r>
    </w:p>
    <w:p w:rsidR="616010A2" w:rsidRPr="001C2D09" w:rsidP="009F2C8C" w14:paraId="1BBE7518" w14:textId="7836901D">
      <w:pPr>
        <w:spacing w:after="160" w:line="257" w:lineRule="auto"/>
        <w:ind w:left="1440"/>
        <w:rPr>
          <w:sz w:val="22"/>
          <w:szCs w:val="22"/>
        </w:rPr>
      </w:pPr>
      <w:r w:rsidRPr="001C2D09">
        <w:rPr>
          <w:sz w:val="22"/>
          <w:szCs w:val="22"/>
        </w:rPr>
        <w:t xml:space="preserve">         </w:t>
      </w:r>
      <w:r w:rsidRPr="001C2D09" w:rsidR="33FDEC42">
        <w:rPr>
          <w:sz w:val="22"/>
          <w:szCs w:val="22"/>
        </w:rPr>
        <w:t>1,623 responses x 0.1 hours/data breach notification to customer</w:t>
      </w:r>
      <w:r w:rsidRPr="001C2D09" w:rsidR="5ECC35E8">
        <w:rPr>
          <w:sz w:val="22"/>
          <w:szCs w:val="22"/>
        </w:rPr>
        <w:t xml:space="preserve">  = </w:t>
      </w:r>
      <w:r w:rsidRPr="001C2D09" w:rsidR="498ADFF2">
        <w:rPr>
          <w:sz w:val="22"/>
          <w:szCs w:val="22"/>
        </w:rPr>
        <w:t xml:space="preserve">   </w:t>
      </w:r>
      <w:r w:rsidRPr="001C2D09" w:rsidR="5ECC35E8">
        <w:rPr>
          <w:sz w:val="22"/>
          <w:szCs w:val="22"/>
        </w:rPr>
        <w:t>162 hours</w:t>
      </w:r>
    </w:p>
    <w:p w:rsidR="01F35617" w:rsidRPr="001C2D09" w:rsidP="69496AC6" w14:paraId="3FE0C06A" w14:textId="66722595">
      <w:pPr>
        <w:spacing w:after="160" w:line="257" w:lineRule="auto"/>
        <w:ind w:left="1440"/>
        <w:rPr>
          <w:sz w:val="22"/>
          <w:szCs w:val="22"/>
        </w:rPr>
      </w:pPr>
      <w:r w:rsidRPr="001C2D09">
        <w:tab/>
      </w:r>
      <w:r w:rsidRPr="001C2D09">
        <w:tab/>
      </w:r>
      <w:r w:rsidRPr="001C2D09">
        <w:tab/>
      </w:r>
      <w:r w:rsidRPr="001C2D09">
        <w:tab/>
      </w:r>
      <w:r w:rsidRPr="001C2D09">
        <w:tab/>
      </w:r>
      <w:r w:rsidRPr="001C2D09">
        <w:rPr>
          <w:sz w:val="22"/>
          <w:szCs w:val="22"/>
        </w:rPr>
        <w:t xml:space="preserve">Total cumulative annual hours = </w:t>
      </w:r>
      <w:r w:rsidRPr="001C2D09" w:rsidR="087D5AA2">
        <w:rPr>
          <w:sz w:val="22"/>
          <w:szCs w:val="22"/>
        </w:rPr>
        <w:t>1,460 hours</w:t>
      </w:r>
    </w:p>
    <w:p w:rsidR="5E335768" w:rsidP="001D7DDF" w14:paraId="7E2AC419" w14:textId="548E9932">
      <w:pPr>
        <w:pStyle w:val="ListParagraph"/>
        <w:numPr>
          <w:ilvl w:val="0"/>
          <w:numId w:val="10"/>
        </w:numPr>
        <w:spacing w:after="160" w:line="257" w:lineRule="auto"/>
        <w:rPr>
          <w:sz w:val="22"/>
          <w:szCs w:val="22"/>
        </w:rPr>
      </w:pPr>
      <w:r w:rsidRPr="7F2667BC">
        <w:rPr>
          <w:sz w:val="22"/>
          <w:szCs w:val="22"/>
        </w:rPr>
        <w:t>Total "In-House" Costs: $143,748</w:t>
      </w:r>
    </w:p>
    <w:p w:rsidR="32C2E070" w:rsidRPr="001C2D09" w:rsidP="009F2C8C" w14:paraId="0806A281" w14:textId="133518D6">
      <w:pPr>
        <w:spacing w:line="257" w:lineRule="auto"/>
        <w:ind w:left="1440"/>
        <w:rPr>
          <w:sz w:val="22"/>
          <w:szCs w:val="22"/>
        </w:rPr>
      </w:pPr>
      <w:r w:rsidRPr="001C2D09">
        <w:rPr>
          <w:sz w:val="22"/>
          <w:szCs w:val="22"/>
        </w:rPr>
        <w:t>The Commission believes that respondents will use personnel comparable in pay to a GS-14/Step 5 ($75.70) Federal employee to co</w:t>
      </w:r>
      <w:r w:rsidRPr="001C2D09" w:rsidR="4E433D51">
        <w:rPr>
          <w:sz w:val="22"/>
          <w:szCs w:val="22"/>
        </w:rPr>
        <w:t>mply with the two notification requirements</w:t>
      </w:r>
      <w:r w:rsidRPr="001C2D09" w:rsidR="060AE8E0">
        <w:rPr>
          <w:sz w:val="22"/>
          <w:szCs w:val="22"/>
        </w:rPr>
        <w:t>:</w:t>
      </w:r>
    </w:p>
    <w:p w:rsidR="69496AC6" w:rsidRPr="001C2D09" w:rsidP="69496AC6" w14:paraId="52F115D8" w14:textId="2ADD3208">
      <w:pPr>
        <w:spacing w:line="257" w:lineRule="auto"/>
        <w:ind w:left="1440"/>
        <w:rPr>
          <w:sz w:val="22"/>
          <w:szCs w:val="22"/>
        </w:rPr>
      </w:pPr>
    </w:p>
    <w:p w:rsidR="39A959E4" w:rsidRPr="001C2D09" w:rsidP="69496AC6" w14:paraId="31924DBB" w14:textId="7026F29A">
      <w:pPr>
        <w:spacing w:line="257" w:lineRule="auto"/>
        <w:ind w:left="1440"/>
        <w:rPr>
          <w:sz w:val="22"/>
          <w:szCs w:val="22"/>
        </w:rPr>
      </w:pPr>
      <w:r w:rsidRPr="001C2D09">
        <w:rPr>
          <w:sz w:val="22"/>
          <w:szCs w:val="22"/>
        </w:rPr>
        <w:t xml:space="preserve">     </w:t>
      </w:r>
      <w:r w:rsidRPr="001C2D09" w:rsidR="4E433D51">
        <w:rPr>
          <w:sz w:val="22"/>
          <w:szCs w:val="22"/>
        </w:rPr>
        <w:t xml:space="preserve">1,623 responses x </w:t>
      </w:r>
      <w:r w:rsidRPr="001C2D09" w:rsidR="4F843B7A">
        <w:rPr>
          <w:sz w:val="22"/>
          <w:szCs w:val="22"/>
        </w:rPr>
        <w:t>0</w:t>
      </w:r>
      <w:r w:rsidRPr="001C2D09" w:rsidR="4E433D51">
        <w:rPr>
          <w:sz w:val="22"/>
          <w:szCs w:val="22"/>
        </w:rPr>
        <w:t>.8 hours</w:t>
      </w:r>
      <w:r w:rsidRPr="001C2D09" w:rsidR="0D991F5E">
        <w:rPr>
          <w:sz w:val="22"/>
          <w:szCs w:val="22"/>
        </w:rPr>
        <w:t xml:space="preserve"> </w:t>
      </w:r>
      <w:r w:rsidRPr="001C2D09" w:rsidR="0C29AADF">
        <w:rPr>
          <w:sz w:val="22"/>
          <w:szCs w:val="22"/>
        </w:rPr>
        <w:t>(</w:t>
      </w:r>
      <w:r w:rsidRPr="001C2D09" w:rsidR="451AD364">
        <w:rPr>
          <w:sz w:val="22"/>
          <w:szCs w:val="22"/>
        </w:rPr>
        <w:t xml:space="preserve">compile and </w:t>
      </w:r>
      <w:r w:rsidRPr="001C2D09" w:rsidR="4E433D51">
        <w:rPr>
          <w:sz w:val="22"/>
          <w:szCs w:val="22"/>
        </w:rPr>
        <w:t>notif</w:t>
      </w:r>
      <w:r w:rsidRPr="001C2D09" w:rsidR="32494F0B">
        <w:rPr>
          <w:sz w:val="22"/>
          <w:szCs w:val="22"/>
        </w:rPr>
        <w:t>y</w:t>
      </w:r>
      <w:r w:rsidRPr="001C2D09" w:rsidR="3C794715">
        <w:rPr>
          <w:sz w:val="22"/>
          <w:szCs w:val="22"/>
        </w:rPr>
        <w:t xml:space="preserve"> </w:t>
      </w:r>
      <w:r w:rsidRPr="001C2D09" w:rsidR="7A4D2B1A">
        <w:rPr>
          <w:sz w:val="22"/>
          <w:szCs w:val="22"/>
        </w:rPr>
        <w:t>reporting facility</w:t>
      </w:r>
      <w:r w:rsidRPr="001C2D09" w:rsidR="30419A74">
        <w:rPr>
          <w:sz w:val="22"/>
          <w:szCs w:val="22"/>
        </w:rPr>
        <w:t>)</w:t>
      </w:r>
      <w:r w:rsidRPr="001C2D09" w:rsidR="4E433D51">
        <w:rPr>
          <w:sz w:val="22"/>
          <w:szCs w:val="22"/>
        </w:rPr>
        <w:t xml:space="preserve"> x $75.70 = $98</w:t>
      </w:r>
      <w:r w:rsidRPr="001C2D09" w:rsidR="20D3F037">
        <w:rPr>
          <w:sz w:val="22"/>
          <w:szCs w:val="22"/>
        </w:rPr>
        <w:t>,28</w:t>
      </w:r>
      <w:r w:rsidRPr="001C2D09" w:rsidR="4E433D51">
        <w:rPr>
          <w:sz w:val="22"/>
          <w:szCs w:val="22"/>
        </w:rPr>
        <w:t>9</w:t>
      </w:r>
    </w:p>
    <w:p w:rsidR="21235B2D" w:rsidRPr="001C2D09" w:rsidP="69496AC6" w14:paraId="36874E4F" w14:textId="1521BAB7">
      <w:pPr>
        <w:spacing w:line="257" w:lineRule="auto"/>
        <w:ind w:left="1440"/>
        <w:rPr>
          <w:sz w:val="22"/>
          <w:szCs w:val="22"/>
          <w:u w:val="single"/>
        </w:rPr>
      </w:pPr>
      <w:r w:rsidRPr="001C2D09">
        <w:rPr>
          <w:sz w:val="22"/>
          <w:szCs w:val="22"/>
        </w:rPr>
        <w:t xml:space="preserve">                                </w:t>
      </w:r>
      <w:r w:rsidRPr="001C2D09" w:rsidR="7EB69F51">
        <w:rPr>
          <w:sz w:val="22"/>
          <w:szCs w:val="22"/>
        </w:rPr>
        <w:t xml:space="preserve">     </w:t>
      </w:r>
      <w:r w:rsidRPr="001C2D09" w:rsidR="1390F376">
        <w:rPr>
          <w:sz w:val="22"/>
          <w:szCs w:val="22"/>
        </w:rPr>
        <w:t xml:space="preserve">1,623 responses x </w:t>
      </w:r>
      <w:r w:rsidRPr="001C2D09" w:rsidR="6CBF1169">
        <w:rPr>
          <w:sz w:val="22"/>
          <w:szCs w:val="22"/>
        </w:rPr>
        <w:t>0.1 hours</w:t>
      </w:r>
      <w:r w:rsidRPr="001C2D09" w:rsidR="30A0C158">
        <w:rPr>
          <w:sz w:val="22"/>
          <w:szCs w:val="22"/>
        </w:rPr>
        <w:t xml:space="preserve"> </w:t>
      </w:r>
      <w:r w:rsidRPr="001C2D09" w:rsidR="313CEEBD">
        <w:rPr>
          <w:sz w:val="22"/>
          <w:szCs w:val="22"/>
        </w:rPr>
        <w:t>(notify customer</w:t>
      </w:r>
      <w:r w:rsidRPr="001C2D09" w:rsidR="111EE58A">
        <w:rPr>
          <w:sz w:val="22"/>
          <w:szCs w:val="22"/>
        </w:rPr>
        <w:t xml:space="preserve">) x $75.70 = </w:t>
      </w:r>
      <w:r w:rsidRPr="001C2D09" w:rsidR="29BCB7A9">
        <w:rPr>
          <w:sz w:val="22"/>
          <w:szCs w:val="22"/>
        </w:rPr>
        <w:t xml:space="preserve"> </w:t>
      </w:r>
      <w:r w:rsidRPr="001C2D09" w:rsidR="29BCB7A9">
        <w:rPr>
          <w:sz w:val="22"/>
          <w:szCs w:val="22"/>
          <w:u w:val="single"/>
        </w:rPr>
        <w:t>$12,286</w:t>
      </w:r>
    </w:p>
    <w:p w:rsidR="29BCB7A9" w:rsidRPr="001C2D09" w:rsidP="69496AC6" w14:paraId="3E5C1047" w14:textId="67FEA82D">
      <w:pPr>
        <w:spacing w:line="257" w:lineRule="auto"/>
        <w:ind w:left="1440"/>
        <w:rPr>
          <w:sz w:val="22"/>
          <w:szCs w:val="22"/>
        </w:rPr>
      </w:pPr>
      <w:r w:rsidRPr="001C2D09">
        <w:tab/>
      </w:r>
      <w:r w:rsidRPr="001C2D09">
        <w:tab/>
      </w:r>
      <w:r w:rsidRPr="001C2D09">
        <w:tab/>
      </w:r>
      <w:r w:rsidRPr="001C2D09">
        <w:tab/>
      </w:r>
      <w:r w:rsidRPr="001C2D09">
        <w:tab/>
      </w:r>
      <w:r w:rsidRPr="001C2D09">
        <w:tab/>
      </w:r>
      <w:r w:rsidRPr="001C2D09">
        <w:tab/>
      </w:r>
      <w:r w:rsidRPr="001C2D09">
        <w:tab/>
      </w:r>
      <w:r w:rsidRPr="001C2D09">
        <w:tab/>
      </w:r>
      <w:r w:rsidRPr="001C2D09">
        <w:rPr>
          <w:sz w:val="22"/>
          <w:szCs w:val="22"/>
        </w:rPr>
        <w:t xml:space="preserve">        = $110,575</w:t>
      </w:r>
    </w:p>
    <w:p w:rsidR="29BCB7A9" w:rsidRPr="001C2D09" w:rsidP="69496AC6" w14:paraId="2043EB29" w14:textId="4234C14E">
      <w:pPr>
        <w:spacing w:line="257" w:lineRule="auto"/>
        <w:ind w:left="1440"/>
        <w:rPr>
          <w:sz w:val="22"/>
          <w:szCs w:val="22"/>
          <w:u w:val="single"/>
        </w:rPr>
      </w:pPr>
      <w:r w:rsidRPr="001C2D09">
        <w:tab/>
      </w:r>
      <w:r w:rsidRPr="001C2D09">
        <w:tab/>
      </w:r>
      <w:r w:rsidRPr="001C2D09">
        <w:tab/>
      </w:r>
      <w:r w:rsidRPr="001C2D09">
        <w:tab/>
      </w:r>
      <w:r w:rsidRPr="001C2D09">
        <w:tab/>
      </w:r>
      <w:r w:rsidRPr="001C2D09">
        <w:tab/>
      </w:r>
      <w:r w:rsidRPr="001C2D09">
        <w:tab/>
      </w:r>
      <w:r w:rsidRPr="001C2D09">
        <w:rPr>
          <w:sz w:val="22"/>
          <w:szCs w:val="22"/>
        </w:rPr>
        <w:t xml:space="preserve">           30% overhead = </w:t>
      </w:r>
      <w:r w:rsidRPr="001C2D09">
        <w:rPr>
          <w:sz w:val="22"/>
          <w:szCs w:val="22"/>
          <w:u w:val="single"/>
        </w:rPr>
        <w:t>$ 33,173</w:t>
      </w:r>
    </w:p>
    <w:p w:rsidR="69496AC6" w:rsidRPr="001C2D09" w:rsidP="00FD33A4" w14:paraId="7DA19A7F" w14:textId="021215AA">
      <w:pPr>
        <w:spacing w:line="257" w:lineRule="auto"/>
        <w:ind w:left="1440"/>
        <w:rPr>
          <w:sz w:val="22"/>
          <w:szCs w:val="22"/>
        </w:rPr>
      </w:pPr>
      <w:r w:rsidRPr="001C2D09">
        <w:tab/>
      </w:r>
      <w:r w:rsidRPr="001C2D09">
        <w:tab/>
      </w:r>
      <w:r w:rsidRPr="001C2D09">
        <w:tab/>
      </w:r>
      <w:r w:rsidRPr="001C2D09">
        <w:tab/>
      </w:r>
      <w:r w:rsidRPr="001C2D09">
        <w:rPr>
          <w:sz w:val="22"/>
          <w:szCs w:val="22"/>
        </w:rPr>
        <w:t xml:space="preserve">          Total cumulative estimated annual cost =</w:t>
      </w:r>
      <w:r w:rsidRPr="001C2D09" w:rsidR="001B3631">
        <w:rPr>
          <w:sz w:val="22"/>
          <w:szCs w:val="22"/>
        </w:rPr>
        <w:t xml:space="preserve"> </w:t>
      </w:r>
      <w:r w:rsidRPr="001C2D09">
        <w:rPr>
          <w:sz w:val="22"/>
          <w:szCs w:val="22"/>
        </w:rPr>
        <w:t>$</w:t>
      </w:r>
      <w:r w:rsidRPr="001C2D09" w:rsidR="4EED15E2">
        <w:rPr>
          <w:sz w:val="22"/>
          <w:szCs w:val="22"/>
        </w:rPr>
        <w:t>143,748</w:t>
      </w:r>
    </w:p>
    <w:p w:rsidR="00FD33A4" w:rsidRPr="001C2D09" w:rsidP="00FD33A4" w14:paraId="09ABAD31" w14:textId="77777777">
      <w:pPr>
        <w:spacing w:line="257" w:lineRule="auto"/>
        <w:ind w:left="1440"/>
        <w:rPr>
          <w:sz w:val="22"/>
          <w:szCs w:val="22"/>
        </w:rPr>
      </w:pPr>
    </w:p>
    <w:p w:rsidR="00FD4AB9" w:rsidRPr="001C2D09" w:rsidP="00DF05B6" w14:paraId="3CE0807C" w14:textId="36950395">
      <w:pPr>
        <w:spacing w:after="120"/>
        <w:rPr>
          <w:b/>
          <w:spacing w:val="-3"/>
          <w:sz w:val="22"/>
          <w:szCs w:val="22"/>
          <w:shd w:val="clear" w:color="auto" w:fill="FFFFFF"/>
        </w:rPr>
      </w:pPr>
      <w:r>
        <w:rPr>
          <w:b/>
          <w:bCs/>
          <w:spacing w:val="-3"/>
          <w:sz w:val="22"/>
          <w:szCs w:val="22"/>
          <w:shd w:val="clear" w:color="auto" w:fill="FFFFFF"/>
        </w:rPr>
        <w:t>(</w:t>
      </w:r>
      <w:r w:rsidR="00575785">
        <w:rPr>
          <w:b/>
          <w:bCs/>
          <w:spacing w:val="-3"/>
          <w:sz w:val="22"/>
          <w:szCs w:val="22"/>
          <w:shd w:val="clear" w:color="auto" w:fill="FFFFFF"/>
        </w:rPr>
        <w:t>t</w:t>
      </w:r>
      <w:r>
        <w:rPr>
          <w:b/>
          <w:bCs/>
          <w:spacing w:val="-3"/>
          <w:sz w:val="22"/>
          <w:szCs w:val="22"/>
          <w:shd w:val="clear" w:color="auto" w:fill="FFFFFF"/>
        </w:rPr>
        <w:t>)</w:t>
      </w:r>
      <w:r w:rsidR="00575785">
        <w:rPr>
          <w:b/>
          <w:bCs/>
          <w:spacing w:val="-3"/>
          <w:sz w:val="22"/>
          <w:szCs w:val="22"/>
          <w:shd w:val="clear" w:color="auto" w:fill="FFFFFF"/>
        </w:rPr>
        <w:t xml:space="preserve"> </w:t>
      </w:r>
      <w:r w:rsidR="00575785">
        <w:rPr>
          <w:b/>
          <w:bCs/>
          <w:spacing w:val="-3"/>
          <w:sz w:val="22"/>
          <w:szCs w:val="22"/>
          <w:shd w:val="clear" w:color="auto" w:fill="FFFFFF"/>
        </w:rPr>
        <w:tab/>
      </w:r>
      <w:r w:rsidRPr="001C2D09" w:rsidR="040B1C79">
        <w:rPr>
          <w:b/>
          <w:bCs/>
          <w:spacing w:val="-3"/>
          <w:sz w:val="22"/>
          <w:szCs w:val="22"/>
          <w:shd w:val="clear" w:color="auto" w:fill="FFFFFF"/>
        </w:rPr>
        <w:t>Breach Notification Recordkeeping.</w:t>
      </w:r>
      <w:r w:rsidRPr="001C2D09" w:rsidR="040B1C79">
        <w:rPr>
          <w:b/>
          <w:bCs/>
          <w:sz w:val="22"/>
          <w:szCs w:val="22"/>
          <w:shd w:val="clear" w:color="auto" w:fill="FFFFFF"/>
        </w:rPr>
        <w:t xml:space="preserve">  </w:t>
      </w:r>
    </w:p>
    <w:p w:rsidR="0098103C" w:rsidRPr="001C2D09" w:rsidP="009F2C8C" w14:paraId="54B8C502" w14:textId="48E2EBDC">
      <w:pPr>
        <w:suppressAutoHyphens/>
        <w:spacing w:after="160" w:line="257" w:lineRule="auto"/>
        <w:rPr>
          <w:sz w:val="22"/>
          <w:szCs w:val="22"/>
        </w:rPr>
      </w:pPr>
      <w:r w:rsidRPr="001C2D09">
        <w:rPr>
          <w:sz w:val="22"/>
          <w:szCs w:val="22"/>
        </w:rPr>
        <w:t>All carriers are required to maintain a record of any breaches discovered, notifications made to the central reporting facility, and notifications made to customers.  The record shall include, if available, dates of discovery and notification, a detailed description of the covered data that was the subject of the breach, the circumstances of the breach, and the bases of any determinations regarding the number of affected customers or likelihood of harm as a result of the breach.  Records shall be maintained for a minimum of two years.</w:t>
      </w:r>
    </w:p>
    <w:p w:rsidR="0098103C" w:rsidRPr="001C2D09" w:rsidP="009F2C8C" w14:paraId="75EAC4CB" w14:textId="785E0234">
      <w:pPr>
        <w:pStyle w:val="ListParagraph"/>
        <w:numPr>
          <w:ilvl w:val="0"/>
          <w:numId w:val="6"/>
        </w:numPr>
        <w:suppressAutoHyphens/>
        <w:spacing w:line="257" w:lineRule="auto"/>
        <w:ind w:left="1080"/>
        <w:rPr>
          <w:sz w:val="22"/>
          <w:szCs w:val="22"/>
        </w:rPr>
      </w:pPr>
      <w:r w:rsidRPr="001C2D09">
        <w:rPr>
          <w:sz w:val="22"/>
          <w:szCs w:val="22"/>
        </w:rPr>
        <w:t>Total Number of Respondents:  2,935</w:t>
      </w:r>
    </w:p>
    <w:p w:rsidR="0098103C" w:rsidRPr="001C2D09" w:rsidP="009F2C8C" w14:paraId="45595613" w14:textId="6A4A9142">
      <w:pPr>
        <w:pStyle w:val="ListParagraph"/>
        <w:numPr>
          <w:ilvl w:val="0"/>
          <w:numId w:val="6"/>
        </w:numPr>
        <w:suppressAutoHyphens/>
        <w:spacing w:line="257" w:lineRule="auto"/>
        <w:ind w:left="1080"/>
        <w:rPr>
          <w:sz w:val="22"/>
          <w:szCs w:val="22"/>
        </w:rPr>
      </w:pPr>
      <w:r w:rsidRPr="001C2D09">
        <w:rPr>
          <w:sz w:val="22"/>
          <w:szCs w:val="22"/>
        </w:rPr>
        <w:t xml:space="preserve">Frequency of Response:  </w:t>
      </w:r>
      <w:r w:rsidR="006E4421">
        <w:rPr>
          <w:sz w:val="22"/>
          <w:szCs w:val="22"/>
        </w:rPr>
        <w:t>R</w:t>
      </w:r>
      <w:r w:rsidRPr="001C2D09">
        <w:rPr>
          <w:sz w:val="22"/>
          <w:szCs w:val="22"/>
        </w:rPr>
        <w:t>ecordkeeping requirement.</w:t>
      </w:r>
    </w:p>
    <w:p w:rsidR="0098103C" w:rsidRPr="001C2D09" w:rsidP="009F2C8C" w14:paraId="4C2D3135" w14:textId="49C443C7">
      <w:pPr>
        <w:pStyle w:val="ListParagraph"/>
        <w:numPr>
          <w:ilvl w:val="0"/>
          <w:numId w:val="6"/>
        </w:numPr>
        <w:suppressAutoHyphens/>
        <w:spacing w:line="257" w:lineRule="auto"/>
        <w:ind w:left="1080"/>
        <w:rPr>
          <w:sz w:val="22"/>
          <w:szCs w:val="22"/>
        </w:rPr>
      </w:pPr>
      <w:r w:rsidRPr="001C2D09">
        <w:rPr>
          <w:sz w:val="22"/>
          <w:szCs w:val="22"/>
        </w:rPr>
        <w:t>Total Number of Responses Annually:  2,935 responses (recordkeeping)</w:t>
      </w:r>
    </w:p>
    <w:p w:rsidR="0098103C" w:rsidRPr="001C2D09" w:rsidP="009F2C8C" w14:paraId="44CAEE7C" w14:textId="68F54EA9">
      <w:pPr>
        <w:suppressAutoHyphens/>
        <w:spacing w:after="160" w:line="257" w:lineRule="auto"/>
        <w:rPr>
          <w:sz w:val="22"/>
          <w:szCs w:val="22"/>
        </w:rPr>
      </w:pPr>
      <w:r w:rsidRPr="7F2667BC">
        <w:rPr>
          <w:sz w:val="22"/>
          <w:szCs w:val="22"/>
        </w:rPr>
        <w:t xml:space="preserve"> It is difficult to estimate how many providers will actually experience a data breach, and whether certain providers will experience multiple breaches.  We believe it is likely that most providers will not experience any data breach.  However, all providers are required to maintain records.  If a provider does not experience a data breach, we assume it will take less than 2 hours to maintain a record.  It may take a provider experiencing a single or multiple data breaches significantly more time to maintain records.  For those reasons, for purposes of this estimate, we assume that on average it will take respondents approximately two hours to maintain records to comply with this requirement.  The Commission assumes that respondents will use personnel comparable in pay to a GS-12/Step 5 ($53.87/hour) Federal employee, to maintain this recordkeeping requirement.</w:t>
      </w:r>
    </w:p>
    <w:p w:rsidR="0098103C" w:rsidRPr="001C2D09" w:rsidP="009F2C8C" w14:paraId="129B93F3" w14:textId="3B0B18E5">
      <w:pPr>
        <w:pStyle w:val="ListParagraph"/>
        <w:numPr>
          <w:ilvl w:val="0"/>
          <w:numId w:val="6"/>
        </w:numPr>
        <w:suppressAutoHyphens/>
        <w:spacing w:line="257" w:lineRule="auto"/>
        <w:ind w:left="1080"/>
        <w:rPr>
          <w:sz w:val="22"/>
          <w:szCs w:val="22"/>
        </w:rPr>
      </w:pPr>
      <w:r w:rsidRPr="001C2D09">
        <w:rPr>
          <w:sz w:val="22"/>
          <w:szCs w:val="22"/>
        </w:rPr>
        <w:t>Total Cumulative Annual Hourly Burden:  2,935 respondents x 2 hour</w:t>
      </w:r>
      <w:r w:rsidRPr="001C2D09" w:rsidR="00D62AF9">
        <w:rPr>
          <w:sz w:val="22"/>
          <w:szCs w:val="22"/>
        </w:rPr>
        <w:t>s</w:t>
      </w:r>
      <w:r w:rsidRPr="001C2D09">
        <w:rPr>
          <w:sz w:val="22"/>
          <w:szCs w:val="22"/>
        </w:rPr>
        <w:t xml:space="preserve"> = 5,870 hours</w:t>
      </w:r>
    </w:p>
    <w:p w:rsidR="0098103C" w:rsidRPr="001C2D09" w:rsidP="009F2C8C" w14:paraId="46F64EC5" w14:textId="7FD05AE5">
      <w:pPr>
        <w:pStyle w:val="ListParagraph"/>
        <w:numPr>
          <w:ilvl w:val="0"/>
          <w:numId w:val="6"/>
        </w:numPr>
        <w:suppressAutoHyphens/>
        <w:spacing w:line="257" w:lineRule="auto"/>
        <w:ind w:left="1080"/>
        <w:rPr>
          <w:sz w:val="22"/>
          <w:szCs w:val="22"/>
          <w:shd w:val="clear" w:color="auto" w:fill="FFFFFF"/>
        </w:rPr>
      </w:pPr>
      <w:r w:rsidRPr="001C2D09">
        <w:rPr>
          <w:sz w:val="22"/>
          <w:szCs w:val="22"/>
        </w:rPr>
        <w:t xml:space="preserve">Total Cumulative In House Costs to Maintain Data Breach Records: </w:t>
      </w:r>
    </w:p>
    <w:p w:rsidR="000B0440" w:rsidRPr="001C2D09" w:rsidP="009F2C8C" w14:paraId="324D3AC5" w14:textId="084A8652">
      <w:pPr>
        <w:suppressAutoHyphens/>
        <w:spacing w:line="257" w:lineRule="auto"/>
        <w:ind w:left="1800" w:firstLine="360"/>
        <w:rPr>
          <w:sz w:val="22"/>
          <w:szCs w:val="22"/>
        </w:rPr>
      </w:pPr>
      <w:r w:rsidRPr="001C2D09">
        <w:rPr>
          <w:sz w:val="22"/>
          <w:szCs w:val="22"/>
        </w:rPr>
        <w:t>5,870 recordkeeping hours/annum x $53.87/hour = $316,217</w:t>
      </w:r>
    </w:p>
    <w:p w:rsidR="000B0440" w:rsidRPr="001C2D09" w:rsidP="009F2C8C" w14:paraId="14963E99" w14:textId="140FEBFD">
      <w:pPr>
        <w:suppressAutoHyphens/>
        <w:ind w:left="4320" w:firstLine="720"/>
        <w:rPr>
          <w:sz w:val="22"/>
          <w:szCs w:val="22"/>
          <w:u w:val="single"/>
        </w:rPr>
      </w:pPr>
      <w:r w:rsidRPr="001C2D09">
        <w:rPr>
          <w:sz w:val="22"/>
          <w:szCs w:val="22"/>
        </w:rPr>
        <w:t xml:space="preserve">    30% overhead = </w:t>
      </w:r>
      <w:r w:rsidRPr="001C2D09">
        <w:rPr>
          <w:sz w:val="22"/>
          <w:szCs w:val="22"/>
          <w:u w:val="single"/>
        </w:rPr>
        <w:t>$ 94,865</w:t>
      </w:r>
    </w:p>
    <w:p w:rsidR="000B0440" w:rsidRPr="001C2D09" w:rsidP="009F2C8C" w14:paraId="567C5C32" w14:textId="1F92F8A0">
      <w:pPr>
        <w:suppressAutoHyphens/>
        <w:ind w:left="1800" w:firstLine="360"/>
        <w:rPr>
          <w:sz w:val="22"/>
          <w:szCs w:val="22"/>
        </w:rPr>
      </w:pPr>
      <w:r w:rsidRPr="001C2D09">
        <w:rPr>
          <w:sz w:val="22"/>
          <w:szCs w:val="22"/>
        </w:rPr>
        <w:t xml:space="preserve">            Estimated Total Cumulative In House Costs $411,082</w:t>
      </w:r>
    </w:p>
    <w:p w:rsidR="000B0440" w:rsidRPr="001C2D09" w:rsidP="5D3F303B" w14:paraId="4B755522" w14:textId="43AE2F34">
      <w:pPr>
        <w:suppressAutoHyphens/>
        <w:spacing w:line="257" w:lineRule="auto"/>
        <w:rPr>
          <w:sz w:val="22"/>
          <w:szCs w:val="22"/>
          <w:shd w:val="clear" w:color="auto" w:fill="FFFFFF"/>
        </w:rPr>
      </w:pPr>
    </w:p>
    <w:p w:rsidR="00881FA5" w:rsidRPr="001C2D09" w:rsidP="003A3E9D" w14:paraId="6C03B5DA" w14:textId="77777777">
      <w:pPr>
        <w:ind w:left="720"/>
        <w:rPr>
          <w:sz w:val="22"/>
          <w:szCs w:val="22"/>
          <w:shd w:val="clear" w:color="auto" w:fill="FFFFFF"/>
        </w:rPr>
      </w:pPr>
      <w:r w:rsidRPr="001C2D09">
        <w:rPr>
          <w:sz w:val="22"/>
          <w:szCs w:val="22"/>
          <w:shd w:val="clear" w:color="auto" w:fill="FFFFFF"/>
        </w:rPr>
        <w:br w:type="page"/>
      </w:r>
    </w:p>
    <w:p w:rsidR="002E0B66" w:rsidRPr="001C2D09" w:rsidP="003A3E9D" w14:paraId="656460A2" w14:textId="42B67547">
      <w:pPr>
        <w:tabs>
          <w:tab w:val="left" w:pos="-720"/>
        </w:tabs>
        <w:suppressAutoHyphens/>
        <w:spacing w:after="120"/>
        <w:ind w:left="720" w:hanging="360"/>
        <w:jc w:val="center"/>
        <w:rPr>
          <w:b/>
          <w:sz w:val="22"/>
          <w:szCs w:val="22"/>
          <w:shd w:val="clear" w:color="auto" w:fill="FFFFFF"/>
        </w:rPr>
      </w:pPr>
      <w:r w:rsidRPr="001C2D09">
        <w:rPr>
          <w:b/>
          <w:sz w:val="22"/>
          <w:szCs w:val="22"/>
          <w:shd w:val="clear" w:color="auto" w:fill="FFFFFF"/>
        </w:rPr>
        <w:t>INFORMATION COLLECTION BURDEN ESTIMATES</w:t>
      </w:r>
      <w:r>
        <w:rPr>
          <w:rStyle w:val="FootnoteReference"/>
          <w:b/>
          <w:sz w:val="22"/>
          <w:szCs w:val="22"/>
          <w:shd w:val="clear" w:color="auto" w:fill="FFFFFF"/>
        </w:rPr>
        <w:footnoteReference w:id="42"/>
      </w:r>
    </w:p>
    <w:tbl>
      <w:tblPr>
        <w:tblpPr w:leftFromText="180" w:rightFromText="180" w:vertAnchor="text" w:tblpX="-545"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615"/>
        <w:gridCol w:w="1260"/>
        <w:gridCol w:w="1260"/>
        <w:gridCol w:w="990"/>
        <w:gridCol w:w="990"/>
        <w:gridCol w:w="1260"/>
        <w:gridCol w:w="1445"/>
      </w:tblGrid>
      <w:tr w14:paraId="6B867859" w14:textId="77777777" w:rsidTr="005B4C61">
        <w:tblPrEx>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blHeader/>
        </w:trPr>
        <w:tc>
          <w:tcPr>
            <w:tcW w:w="1890" w:type="dxa"/>
            <w:shd w:val="clear" w:color="auto" w:fill="auto"/>
            <w:vAlign w:val="center"/>
          </w:tcPr>
          <w:p w:rsidR="005D45B8" w:rsidRPr="001C2D09" w:rsidP="00D92EE8" w14:paraId="56DC0B2E" w14:textId="0151E076">
            <w:pPr>
              <w:jc w:val="center"/>
              <w:rPr>
                <w:b/>
                <w:bCs/>
                <w:spacing w:val="-3"/>
                <w:sz w:val="18"/>
                <w:szCs w:val="18"/>
                <w:shd w:val="clear" w:color="auto" w:fill="FFFFFF"/>
              </w:rPr>
            </w:pPr>
            <w:r w:rsidRPr="001C2D09">
              <w:rPr>
                <w:b/>
                <w:bCs/>
                <w:sz w:val="22"/>
                <w:szCs w:val="22"/>
              </w:rPr>
              <w:br w:type="page"/>
            </w:r>
            <w:r w:rsidRPr="001C2D09">
              <w:rPr>
                <w:b/>
                <w:bCs/>
                <w:sz w:val="18"/>
                <w:szCs w:val="18"/>
              </w:rPr>
              <w:t>Information Collection</w:t>
            </w:r>
          </w:p>
        </w:tc>
        <w:tc>
          <w:tcPr>
            <w:tcW w:w="1615" w:type="dxa"/>
            <w:shd w:val="clear" w:color="auto" w:fill="auto"/>
            <w:vAlign w:val="center"/>
          </w:tcPr>
          <w:p w:rsidR="005D45B8" w:rsidRPr="001C2D09" w:rsidP="00D92EE8" w14:paraId="3CA4AD8A" w14:textId="77777777">
            <w:pPr>
              <w:jc w:val="center"/>
              <w:rPr>
                <w:b/>
                <w:bCs/>
                <w:spacing w:val="-3"/>
                <w:sz w:val="22"/>
                <w:szCs w:val="22"/>
                <w:shd w:val="clear" w:color="auto" w:fill="FFFFFF"/>
              </w:rPr>
            </w:pPr>
          </w:p>
        </w:tc>
        <w:tc>
          <w:tcPr>
            <w:tcW w:w="1260" w:type="dxa"/>
            <w:shd w:val="clear" w:color="auto" w:fill="auto"/>
            <w:vAlign w:val="center"/>
          </w:tcPr>
          <w:p w:rsidR="005D45B8" w:rsidRPr="001C2D09" w:rsidP="00D92EE8" w14:paraId="14A26373" w14:textId="13E8DFB7">
            <w:pPr>
              <w:jc w:val="center"/>
              <w:rPr>
                <w:b/>
                <w:bCs/>
                <w:spacing w:val="-3"/>
                <w:sz w:val="18"/>
                <w:szCs w:val="18"/>
                <w:shd w:val="clear" w:color="auto" w:fill="FFFFFF"/>
              </w:rPr>
            </w:pPr>
            <w:r w:rsidRPr="001C2D09">
              <w:rPr>
                <w:b/>
                <w:bCs/>
                <w:sz w:val="18"/>
                <w:szCs w:val="18"/>
              </w:rPr>
              <w:t>Number of Respondents</w:t>
            </w:r>
          </w:p>
        </w:tc>
        <w:tc>
          <w:tcPr>
            <w:tcW w:w="1260" w:type="dxa"/>
            <w:vAlign w:val="center"/>
          </w:tcPr>
          <w:p w:rsidR="005D45B8" w:rsidRPr="001C2D09" w:rsidP="00D92EE8" w14:paraId="34CDDDDD" w14:textId="3D91C156">
            <w:pPr>
              <w:jc w:val="center"/>
              <w:rPr>
                <w:b/>
                <w:bCs/>
                <w:spacing w:val="-3"/>
                <w:sz w:val="18"/>
                <w:szCs w:val="18"/>
                <w:shd w:val="clear" w:color="auto" w:fill="FFFFFF"/>
              </w:rPr>
            </w:pPr>
            <w:r w:rsidRPr="001C2D09">
              <w:rPr>
                <w:b/>
                <w:bCs/>
                <w:sz w:val="18"/>
                <w:szCs w:val="18"/>
              </w:rPr>
              <w:t>Number of Responses</w:t>
            </w:r>
          </w:p>
        </w:tc>
        <w:tc>
          <w:tcPr>
            <w:tcW w:w="990" w:type="dxa"/>
            <w:shd w:val="clear" w:color="auto" w:fill="auto"/>
            <w:vAlign w:val="center"/>
          </w:tcPr>
          <w:p w:rsidR="005D45B8" w:rsidRPr="001C2D09" w:rsidP="00D92EE8" w14:paraId="1F2CFF28" w14:textId="0B6FD2A2">
            <w:pPr>
              <w:jc w:val="center"/>
              <w:rPr>
                <w:b/>
                <w:bCs/>
                <w:spacing w:val="-3"/>
                <w:sz w:val="18"/>
                <w:szCs w:val="18"/>
                <w:shd w:val="clear" w:color="auto" w:fill="FFFFFF"/>
              </w:rPr>
            </w:pPr>
            <w:r w:rsidRPr="001C2D09">
              <w:rPr>
                <w:b/>
                <w:bCs/>
                <w:sz w:val="18"/>
                <w:szCs w:val="18"/>
              </w:rPr>
              <w:t>Time per Response(Hours)</w:t>
            </w:r>
          </w:p>
        </w:tc>
        <w:tc>
          <w:tcPr>
            <w:tcW w:w="990" w:type="dxa"/>
            <w:shd w:val="clear" w:color="auto" w:fill="auto"/>
            <w:vAlign w:val="center"/>
          </w:tcPr>
          <w:p w:rsidR="005D45B8" w:rsidRPr="001C2D09" w:rsidP="00D92EE8" w14:paraId="2E533770" w14:textId="5C8AE34E">
            <w:pPr>
              <w:jc w:val="center"/>
              <w:rPr>
                <w:b/>
                <w:bCs/>
                <w:spacing w:val="-3"/>
                <w:sz w:val="18"/>
                <w:szCs w:val="18"/>
                <w:shd w:val="clear" w:color="auto" w:fill="FFFFFF"/>
              </w:rPr>
            </w:pPr>
            <w:r w:rsidRPr="001C2D09">
              <w:rPr>
                <w:b/>
                <w:bCs/>
                <w:sz w:val="18"/>
                <w:szCs w:val="18"/>
              </w:rPr>
              <w:t>Total Hourly</w:t>
            </w:r>
            <w:r w:rsidRPr="001C2D09" w:rsidR="0006000D">
              <w:rPr>
                <w:b/>
                <w:bCs/>
                <w:sz w:val="18"/>
                <w:szCs w:val="18"/>
              </w:rPr>
              <w:t xml:space="preserve"> </w:t>
            </w:r>
            <w:r w:rsidRPr="001C2D09">
              <w:rPr>
                <w:b/>
                <w:bCs/>
                <w:sz w:val="18"/>
                <w:szCs w:val="18"/>
              </w:rPr>
              <w:t>Burden</w:t>
            </w:r>
          </w:p>
        </w:tc>
        <w:tc>
          <w:tcPr>
            <w:tcW w:w="1260" w:type="dxa"/>
            <w:shd w:val="clear" w:color="auto" w:fill="auto"/>
            <w:vAlign w:val="center"/>
          </w:tcPr>
          <w:p w:rsidR="005D45B8" w:rsidRPr="001C2D09" w:rsidP="00D92EE8" w14:paraId="498295A9" w14:textId="58F3AC70">
            <w:pPr>
              <w:jc w:val="center"/>
              <w:rPr>
                <w:b/>
                <w:bCs/>
                <w:spacing w:val="-3"/>
                <w:sz w:val="18"/>
                <w:szCs w:val="18"/>
                <w:shd w:val="clear" w:color="auto" w:fill="FFFFFF"/>
              </w:rPr>
            </w:pPr>
            <w:r w:rsidRPr="001C2D09">
              <w:rPr>
                <w:b/>
                <w:bCs/>
                <w:sz w:val="18"/>
                <w:szCs w:val="18"/>
              </w:rPr>
              <w:t>“In House” Cost</w:t>
            </w:r>
          </w:p>
        </w:tc>
        <w:tc>
          <w:tcPr>
            <w:tcW w:w="1445" w:type="dxa"/>
            <w:vAlign w:val="center"/>
          </w:tcPr>
          <w:p w:rsidR="005D45B8" w:rsidRPr="001C2D09" w:rsidP="00D92EE8" w14:paraId="31B4434C" w14:textId="072DCE9F">
            <w:pPr>
              <w:jc w:val="center"/>
              <w:rPr>
                <w:b/>
                <w:bCs/>
                <w:spacing w:val="-3"/>
                <w:sz w:val="18"/>
                <w:szCs w:val="18"/>
                <w:shd w:val="clear" w:color="auto" w:fill="FFFFFF"/>
              </w:rPr>
            </w:pPr>
            <w:r w:rsidRPr="001C2D09">
              <w:rPr>
                <w:b/>
                <w:bCs/>
                <w:sz w:val="18"/>
                <w:szCs w:val="18"/>
              </w:rPr>
              <w:t xml:space="preserve">Total </w:t>
            </w:r>
            <w:r w:rsidRPr="001C2D09">
              <w:br/>
            </w:r>
            <w:r w:rsidRPr="001C2D09">
              <w:rPr>
                <w:b/>
                <w:bCs/>
                <w:sz w:val="18"/>
                <w:szCs w:val="18"/>
              </w:rPr>
              <w:t>“In House” Plus 30% Overhead</w:t>
            </w:r>
          </w:p>
        </w:tc>
      </w:tr>
      <w:tr w14:paraId="6897D4D7" w14:textId="77777777" w:rsidTr="005B4C61">
        <w:tblPrEx>
          <w:tblW w:w="10710" w:type="dxa"/>
          <w:tblLayout w:type="fixed"/>
          <w:tblLook w:val="01E0"/>
        </w:tblPrEx>
        <w:trPr>
          <w:trHeight w:val="242"/>
        </w:trPr>
        <w:tc>
          <w:tcPr>
            <w:tcW w:w="1890" w:type="dxa"/>
            <w:vMerge w:val="restart"/>
            <w:shd w:val="clear" w:color="auto" w:fill="auto"/>
            <w:vAlign w:val="center"/>
          </w:tcPr>
          <w:p w:rsidR="005D45B8" w:rsidRPr="001C2D09" w:rsidP="00D92EE8" w14:paraId="15BFE53F" w14:textId="3D8DE9C5">
            <w:pPr>
              <w:rPr>
                <w:spacing w:val="-3"/>
                <w:sz w:val="22"/>
                <w:szCs w:val="22"/>
                <w:shd w:val="clear" w:color="auto" w:fill="FFFFFF"/>
              </w:rPr>
            </w:pPr>
            <w:r w:rsidRPr="001C2D09">
              <w:rPr>
                <w:sz w:val="22"/>
                <w:szCs w:val="22"/>
              </w:rPr>
              <w:t>a. Customer Approval</w:t>
            </w:r>
          </w:p>
        </w:tc>
        <w:tc>
          <w:tcPr>
            <w:tcW w:w="1615" w:type="dxa"/>
            <w:shd w:val="clear" w:color="auto" w:fill="auto"/>
            <w:vAlign w:val="bottom"/>
          </w:tcPr>
          <w:p w:rsidR="005D45B8" w:rsidRPr="001C2D09" w:rsidP="00D92EE8" w14:paraId="5778B41A" w14:textId="52CEAE22">
            <w:pPr>
              <w:rPr>
                <w:spacing w:val="-3"/>
                <w:sz w:val="22"/>
                <w:szCs w:val="22"/>
                <w:shd w:val="clear" w:color="auto" w:fill="FFFFFF"/>
              </w:rPr>
            </w:pPr>
            <w:r w:rsidRPr="001C2D09">
              <w:rPr>
                <w:sz w:val="22"/>
                <w:szCs w:val="22"/>
              </w:rPr>
              <w:t>Notification Design</w:t>
            </w:r>
          </w:p>
        </w:tc>
        <w:tc>
          <w:tcPr>
            <w:tcW w:w="1260" w:type="dxa"/>
            <w:shd w:val="clear" w:color="auto" w:fill="auto"/>
            <w:vAlign w:val="bottom"/>
          </w:tcPr>
          <w:p w:rsidR="005D45B8" w:rsidRPr="001C2D09" w:rsidP="00D92EE8" w14:paraId="039234CC" w14:textId="20313C96">
            <w:pPr>
              <w:spacing w:line="259" w:lineRule="auto"/>
              <w:jc w:val="right"/>
              <w:rPr>
                <w:sz w:val="22"/>
                <w:szCs w:val="22"/>
              </w:rPr>
            </w:pPr>
            <w:r>
              <w:rPr>
                <w:sz w:val="22"/>
                <w:szCs w:val="22"/>
              </w:rPr>
              <w:t>2</w:t>
            </w:r>
            <w:r w:rsidR="0050102F">
              <w:rPr>
                <w:sz w:val="22"/>
                <w:szCs w:val="22"/>
              </w:rPr>
              <w:t>,</w:t>
            </w:r>
            <w:r>
              <w:rPr>
                <w:sz w:val="22"/>
                <w:szCs w:val="22"/>
              </w:rPr>
              <w:t>935</w:t>
            </w:r>
          </w:p>
        </w:tc>
        <w:tc>
          <w:tcPr>
            <w:tcW w:w="1260" w:type="dxa"/>
            <w:vAlign w:val="bottom"/>
          </w:tcPr>
          <w:p w:rsidR="005D45B8" w:rsidRPr="001C2D09" w:rsidP="00D92EE8" w14:paraId="72369AEB" w14:textId="391FDD1F">
            <w:pPr>
              <w:spacing w:line="259" w:lineRule="auto"/>
              <w:jc w:val="center"/>
              <w:rPr>
                <w:sz w:val="22"/>
                <w:szCs w:val="22"/>
              </w:rPr>
            </w:pPr>
            <w:r w:rsidRPr="001C2D09">
              <w:rPr>
                <w:sz w:val="22"/>
                <w:szCs w:val="22"/>
              </w:rPr>
              <w:t>147</w:t>
            </w:r>
          </w:p>
        </w:tc>
        <w:tc>
          <w:tcPr>
            <w:tcW w:w="990" w:type="dxa"/>
            <w:shd w:val="clear" w:color="auto" w:fill="auto"/>
            <w:vAlign w:val="bottom"/>
          </w:tcPr>
          <w:p w:rsidR="005D45B8" w:rsidRPr="001C2D09" w:rsidP="00D92EE8" w14:paraId="03931E7C" w14:textId="49FDE2D7">
            <w:pPr>
              <w:jc w:val="right"/>
              <w:rPr>
                <w:spacing w:val="-3"/>
                <w:sz w:val="22"/>
                <w:szCs w:val="22"/>
                <w:shd w:val="clear" w:color="auto" w:fill="FFFFFF"/>
              </w:rPr>
            </w:pPr>
            <w:r w:rsidRPr="001C2D09">
              <w:rPr>
                <w:sz w:val="22"/>
                <w:szCs w:val="22"/>
              </w:rPr>
              <w:t>2</w:t>
            </w:r>
          </w:p>
        </w:tc>
        <w:tc>
          <w:tcPr>
            <w:tcW w:w="990" w:type="dxa"/>
            <w:shd w:val="clear" w:color="auto" w:fill="auto"/>
            <w:vAlign w:val="bottom"/>
          </w:tcPr>
          <w:p w:rsidR="005D45B8" w:rsidRPr="001C2D09" w:rsidP="00D92EE8" w14:paraId="67FBFAAB" w14:textId="01A7ED15">
            <w:pPr>
              <w:spacing w:line="259" w:lineRule="auto"/>
              <w:jc w:val="right"/>
              <w:rPr>
                <w:sz w:val="22"/>
                <w:szCs w:val="22"/>
              </w:rPr>
            </w:pPr>
            <w:r w:rsidRPr="001C2D09">
              <w:rPr>
                <w:sz w:val="22"/>
                <w:szCs w:val="22"/>
              </w:rPr>
              <w:t>294</w:t>
            </w:r>
          </w:p>
        </w:tc>
        <w:tc>
          <w:tcPr>
            <w:tcW w:w="1260" w:type="dxa"/>
            <w:shd w:val="clear" w:color="auto" w:fill="auto"/>
            <w:vAlign w:val="bottom"/>
          </w:tcPr>
          <w:p w:rsidR="005D45B8" w:rsidRPr="001C2D09" w:rsidP="00D92EE8" w14:paraId="356F7251" w14:textId="2BF4216B">
            <w:pPr>
              <w:jc w:val="right"/>
              <w:rPr>
                <w:sz w:val="22"/>
                <w:szCs w:val="22"/>
              </w:rPr>
            </w:pPr>
          </w:p>
          <w:p w:rsidR="005D45B8" w:rsidRPr="001C2D09" w:rsidP="00D92EE8" w14:paraId="63F1E6DA" w14:textId="3AFA5D36">
            <w:pPr>
              <w:jc w:val="right"/>
              <w:rPr>
                <w:spacing w:val="-3"/>
                <w:sz w:val="22"/>
                <w:szCs w:val="22"/>
                <w:shd w:val="clear" w:color="auto" w:fill="FFFFFF"/>
              </w:rPr>
            </w:pPr>
            <w:r w:rsidRPr="001C2D09">
              <w:rPr>
                <w:sz w:val="22"/>
                <w:szCs w:val="22"/>
              </w:rPr>
              <w:t>$</w:t>
            </w:r>
            <w:r w:rsidRPr="001C2D09" w:rsidR="30171A67">
              <w:rPr>
                <w:sz w:val="22"/>
                <w:szCs w:val="22"/>
              </w:rPr>
              <w:t>22,256</w:t>
            </w:r>
          </w:p>
        </w:tc>
        <w:tc>
          <w:tcPr>
            <w:tcW w:w="1445" w:type="dxa"/>
            <w:vMerge w:val="restart"/>
            <w:vAlign w:val="center"/>
          </w:tcPr>
          <w:p w:rsidR="005D45B8" w:rsidRPr="001C2D09" w:rsidP="00D92EE8" w14:paraId="523223E4" w14:textId="4FB2BFCA">
            <w:pPr>
              <w:spacing w:line="259" w:lineRule="auto"/>
              <w:jc w:val="center"/>
              <w:rPr>
                <w:sz w:val="22"/>
                <w:szCs w:val="22"/>
              </w:rPr>
            </w:pPr>
            <w:r w:rsidRPr="001C2D09">
              <w:rPr>
                <w:sz w:val="22"/>
                <w:szCs w:val="22"/>
              </w:rPr>
              <w:t>$</w:t>
            </w:r>
            <w:r w:rsidRPr="001C2D09" w:rsidR="45F0BB3C">
              <w:rPr>
                <w:sz w:val="22"/>
                <w:szCs w:val="22"/>
              </w:rPr>
              <w:t xml:space="preserve"> 1</w:t>
            </w:r>
            <w:r w:rsidRPr="001C2D09" w:rsidR="00AB58B0">
              <w:rPr>
                <w:sz w:val="22"/>
                <w:szCs w:val="22"/>
              </w:rPr>
              <w:t>31,879</w:t>
            </w:r>
          </w:p>
        </w:tc>
      </w:tr>
      <w:tr w14:paraId="2F745A31" w14:textId="77777777" w:rsidTr="005B4C61">
        <w:tblPrEx>
          <w:tblW w:w="10710" w:type="dxa"/>
          <w:tblLayout w:type="fixed"/>
          <w:tblLook w:val="01E0"/>
        </w:tblPrEx>
        <w:trPr>
          <w:trHeight w:val="350"/>
        </w:trPr>
        <w:tc>
          <w:tcPr>
            <w:tcW w:w="1890" w:type="dxa"/>
            <w:vMerge/>
            <w:vAlign w:val="center"/>
          </w:tcPr>
          <w:p w:rsidR="005D45B8" w:rsidRPr="001C2D09" w:rsidP="00D92EE8" w14:paraId="23CD3557" w14:textId="77777777">
            <w:pPr>
              <w:ind w:hanging="180"/>
              <w:rPr>
                <w:spacing w:val="-3"/>
                <w:sz w:val="22"/>
                <w:szCs w:val="22"/>
                <w:shd w:val="clear" w:color="auto" w:fill="FFFFFF"/>
              </w:rPr>
            </w:pPr>
          </w:p>
        </w:tc>
        <w:tc>
          <w:tcPr>
            <w:tcW w:w="1615" w:type="dxa"/>
            <w:shd w:val="clear" w:color="auto" w:fill="auto"/>
            <w:vAlign w:val="bottom"/>
          </w:tcPr>
          <w:p w:rsidR="005D45B8" w:rsidRPr="001C2D09" w:rsidP="00D92EE8" w14:paraId="71DBC211" w14:textId="2D866926">
            <w:pPr>
              <w:rPr>
                <w:spacing w:val="-3"/>
                <w:sz w:val="22"/>
                <w:szCs w:val="22"/>
                <w:shd w:val="clear" w:color="auto" w:fill="FFFFFF"/>
              </w:rPr>
            </w:pPr>
            <w:r w:rsidRPr="001C2D09">
              <w:rPr>
                <w:sz w:val="22"/>
                <w:szCs w:val="22"/>
              </w:rPr>
              <w:t>Digital Platform Design</w:t>
            </w:r>
          </w:p>
        </w:tc>
        <w:tc>
          <w:tcPr>
            <w:tcW w:w="1260" w:type="dxa"/>
            <w:shd w:val="clear" w:color="auto" w:fill="auto"/>
            <w:vAlign w:val="bottom"/>
          </w:tcPr>
          <w:p w:rsidR="005D45B8" w:rsidRPr="001C2D09" w:rsidP="00D92EE8" w14:paraId="1F1816F4" w14:textId="1F4FE04F">
            <w:pPr>
              <w:spacing w:line="259" w:lineRule="auto"/>
              <w:jc w:val="right"/>
              <w:rPr>
                <w:sz w:val="22"/>
                <w:szCs w:val="22"/>
              </w:rPr>
            </w:pPr>
            <w:r>
              <w:rPr>
                <w:sz w:val="22"/>
                <w:szCs w:val="22"/>
              </w:rPr>
              <w:t>2</w:t>
            </w:r>
            <w:r w:rsidR="0050102F">
              <w:rPr>
                <w:sz w:val="22"/>
                <w:szCs w:val="22"/>
              </w:rPr>
              <w:t>,</w:t>
            </w:r>
            <w:r>
              <w:rPr>
                <w:sz w:val="22"/>
                <w:szCs w:val="22"/>
              </w:rPr>
              <w:t>935</w:t>
            </w:r>
          </w:p>
        </w:tc>
        <w:tc>
          <w:tcPr>
            <w:tcW w:w="1260" w:type="dxa"/>
          </w:tcPr>
          <w:p w:rsidR="00AB58B0" w:rsidRPr="001C2D09" w:rsidP="00D92EE8" w14:paraId="55384162" w14:textId="77777777">
            <w:pPr>
              <w:jc w:val="center"/>
              <w:rPr>
                <w:sz w:val="22"/>
                <w:szCs w:val="22"/>
              </w:rPr>
            </w:pPr>
            <w:r w:rsidRPr="001C2D09">
              <w:rPr>
                <w:sz w:val="22"/>
                <w:szCs w:val="22"/>
              </w:rPr>
              <w:t xml:space="preserve"> </w:t>
            </w:r>
          </w:p>
          <w:p w:rsidR="00AB58B0" w:rsidRPr="001C2D09" w:rsidP="00D92EE8" w14:paraId="7164AA10" w14:textId="77777777">
            <w:pPr>
              <w:jc w:val="center"/>
              <w:rPr>
                <w:sz w:val="22"/>
                <w:szCs w:val="22"/>
              </w:rPr>
            </w:pPr>
          </w:p>
          <w:p w:rsidR="003C5B6D" w:rsidRPr="001C2D09" w:rsidP="00D92EE8" w14:paraId="6CA5B77C" w14:textId="5F9BA70E">
            <w:pPr>
              <w:jc w:val="center"/>
              <w:rPr>
                <w:spacing w:val="-3"/>
                <w:sz w:val="22"/>
                <w:szCs w:val="22"/>
                <w:shd w:val="clear" w:color="auto" w:fill="FFFFFF"/>
              </w:rPr>
            </w:pPr>
            <w:r w:rsidRPr="001C2D09">
              <w:rPr>
                <w:sz w:val="22"/>
                <w:szCs w:val="22"/>
              </w:rPr>
              <w:t>147</w:t>
            </w:r>
          </w:p>
        </w:tc>
        <w:tc>
          <w:tcPr>
            <w:tcW w:w="990" w:type="dxa"/>
            <w:shd w:val="clear" w:color="auto" w:fill="auto"/>
            <w:vAlign w:val="bottom"/>
          </w:tcPr>
          <w:p w:rsidR="005D45B8" w:rsidRPr="001C2D09" w:rsidP="00D92EE8" w14:paraId="525B9639" w14:textId="6B9DCBA5">
            <w:pPr>
              <w:spacing w:line="259" w:lineRule="auto"/>
              <w:jc w:val="right"/>
              <w:rPr>
                <w:sz w:val="22"/>
                <w:szCs w:val="22"/>
              </w:rPr>
            </w:pPr>
            <w:r w:rsidRPr="001C2D09">
              <w:rPr>
                <w:sz w:val="22"/>
                <w:szCs w:val="22"/>
              </w:rPr>
              <w:t>10</w:t>
            </w:r>
          </w:p>
        </w:tc>
        <w:tc>
          <w:tcPr>
            <w:tcW w:w="990" w:type="dxa"/>
            <w:shd w:val="clear" w:color="auto" w:fill="auto"/>
            <w:vAlign w:val="bottom"/>
          </w:tcPr>
          <w:p w:rsidR="005D45B8" w:rsidRPr="001C2D09" w:rsidP="00D92EE8" w14:paraId="52F828EA" w14:textId="1F9A6D4F">
            <w:pPr>
              <w:spacing w:line="259" w:lineRule="auto"/>
              <w:jc w:val="right"/>
              <w:rPr>
                <w:sz w:val="22"/>
                <w:szCs w:val="22"/>
              </w:rPr>
            </w:pPr>
            <w:r w:rsidRPr="001C2D09">
              <w:rPr>
                <w:sz w:val="22"/>
                <w:szCs w:val="22"/>
              </w:rPr>
              <w:t xml:space="preserve"> 1,470</w:t>
            </w:r>
          </w:p>
        </w:tc>
        <w:tc>
          <w:tcPr>
            <w:tcW w:w="1260" w:type="dxa"/>
            <w:shd w:val="clear" w:color="auto" w:fill="auto"/>
            <w:vAlign w:val="bottom"/>
          </w:tcPr>
          <w:p w:rsidR="005D45B8" w:rsidRPr="001C2D09" w:rsidP="00D92EE8" w14:paraId="4CECC6C4" w14:textId="57023597">
            <w:pPr>
              <w:jc w:val="right"/>
              <w:rPr>
                <w:spacing w:val="-3"/>
                <w:sz w:val="22"/>
                <w:szCs w:val="22"/>
                <w:shd w:val="clear" w:color="auto" w:fill="FFFFFF"/>
              </w:rPr>
            </w:pPr>
            <w:r w:rsidRPr="001C2D09">
              <w:rPr>
                <w:sz w:val="22"/>
                <w:szCs w:val="22"/>
              </w:rPr>
              <w:t xml:space="preserve">$ </w:t>
            </w:r>
            <w:r w:rsidRPr="001C2D09" w:rsidR="00AB58B0">
              <w:rPr>
                <w:sz w:val="22"/>
                <w:szCs w:val="22"/>
              </w:rPr>
              <w:t>79,189</w:t>
            </w:r>
          </w:p>
        </w:tc>
        <w:tc>
          <w:tcPr>
            <w:tcW w:w="1445" w:type="dxa"/>
            <w:vMerge/>
            <w:vAlign w:val="center"/>
          </w:tcPr>
          <w:p w:rsidR="005D45B8" w:rsidRPr="001C2D09" w:rsidP="00D92EE8" w14:paraId="32923E7F" w14:textId="77777777">
            <w:pPr>
              <w:jc w:val="center"/>
              <w:rPr>
                <w:spacing w:val="-3"/>
                <w:sz w:val="22"/>
                <w:szCs w:val="22"/>
                <w:shd w:val="clear" w:color="auto" w:fill="FFFFFF"/>
              </w:rPr>
            </w:pPr>
          </w:p>
        </w:tc>
      </w:tr>
      <w:tr w14:paraId="240929F2" w14:textId="77777777" w:rsidTr="005B4C61">
        <w:tblPrEx>
          <w:tblW w:w="10710" w:type="dxa"/>
          <w:tblLayout w:type="fixed"/>
          <w:tblLook w:val="01E0"/>
        </w:tblPrEx>
        <w:trPr>
          <w:trHeight w:val="413"/>
        </w:trPr>
        <w:tc>
          <w:tcPr>
            <w:tcW w:w="1890" w:type="dxa"/>
            <w:shd w:val="clear" w:color="auto" w:fill="auto"/>
            <w:vAlign w:val="center"/>
          </w:tcPr>
          <w:p w:rsidR="005D45B8" w:rsidRPr="001C2D09" w:rsidP="00D92EE8" w14:paraId="1DB4CB4A" w14:textId="58F40164">
            <w:pPr>
              <w:rPr>
                <w:spacing w:val="-3"/>
                <w:sz w:val="22"/>
                <w:szCs w:val="22"/>
                <w:shd w:val="clear" w:color="auto" w:fill="FFFFFF"/>
              </w:rPr>
            </w:pPr>
            <w:r w:rsidRPr="001C2D09">
              <w:rPr>
                <w:sz w:val="22"/>
                <w:szCs w:val="22"/>
              </w:rPr>
              <w:t>b. Customer Approval Documentation and Recordkeeping</w:t>
            </w:r>
          </w:p>
        </w:tc>
        <w:tc>
          <w:tcPr>
            <w:tcW w:w="1615" w:type="dxa"/>
            <w:shd w:val="clear" w:color="auto" w:fill="auto"/>
            <w:vAlign w:val="bottom"/>
          </w:tcPr>
          <w:p w:rsidR="005D45B8" w:rsidRPr="001C2D09" w:rsidP="00D92EE8" w14:paraId="3BE7A648" w14:textId="0FD526FB">
            <w:pPr>
              <w:rPr>
                <w:spacing w:val="-3"/>
                <w:sz w:val="22"/>
                <w:szCs w:val="22"/>
                <w:shd w:val="clear" w:color="auto" w:fill="FFFFFF"/>
              </w:rPr>
            </w:pPr>
            <w:r w:rsidRPr="001C2D09">
              <w:rPr>
                <w:sz w:val="22"/>
                <w:szCs w:val="22"/>
              </w:rPr>
              <w:t>Recordkeeping</w:t>
            </w:r>
          </w:p>
        </w:tc>
        <w:tc>
          <w:tcPr>
            <w:tcW w:w="1260" w:type="dxa"/>
            <w:shd w:val="clear" w:color="auto" w:fill="auto"/>
            <w:vAlign w:val="bottom"/>
          </w:tcPr>
          <w:p w:rsidR="005D45B8" w:rsidRPr="001C2D09" w:rsidP="00D92EE8" w14:paraId="40E2EE2D" w14:textId="1F79ED6E">
            <w:pPr>
              <w:jc w:val="right"/>
              <w:rPr>
                <w:spacing w:val="-3"/>
                <w:sz w:val="22"/>
                <w:szCs w:val="22"/>
                <w:shd w:val="clear" w:color="auto" w:fill="FFFFFF"/>
              </w:rPr>
            </w:pPr>
            <w:r w:rsidRPr="001C2D09">
              <w:rPr>
                <w:sz w:val="22"/>
                <w:szCs w:val="22"/>
              </w:rPr>
              <w:t xml:space="preserve"> </w:t>
            </w:r>
            <w:r w:rsidR="003B29D7">
              <w:rPr>
                <w:sz w:val="22"/>
                <w:szCs w:val="22"/>
              </w:rPr>
              <w:t>2</w:t>
            </w:r>
            <w:r w:rsidR="0050102F">
              <w:rPr>
                <w:sz w:val="22"/>
                <w:szCs w:val="22"/>
              </w:rPr>
              <w:t>,</w:t>
            </w:r>
            <w:r w:rsidR="003B29D7">
              <w:rPr>
                <w:sz w:val="22"/>
                <w:szCs w:val="22"/>
              </w:rPr>
              <w:t>935</w:t>
            </w:r>
          </w:p>
        </w:tc>
        <w:tc>
          <w:tcPr>
            <w:tcW w:w="1260" w:type="dxa"/>
            <w:vAlign w:val="bottom"/>
          </w:tcPr>
          <w:p w:rsidR="003C5B6D" w:rsidRPr="001C2D09" w:rsidP="00D92EE8" w14:paraId="28A4333E" w14:textId="386ABCFF">
            <w:pPr>
              <w:spacing w:line="259" w:lineRule="auto"/>
              <w:jc w:val="center"/>
              <w:rPr>
                <w:sz w:val="22"/>
                <w:szCs w:val="22"/>
              </w:rPr>
            </w:pPr>
            <w:r w:rsidRPr="001C2D09">
              <w:rPr>
                <w:sz w:val="22"/>
                <w:szCs w:val="22"/>
              </w:rPr>
              <w:t xml:space="preserve"> 147</w:t>
            </w:r>
          </w:p>
        </w:tc>
        <w:tc>
          <w:tcPr>
            <w:tcW w:w="990" w:type="dxa"/>
            <w:shd w:val="clear" w:color="auto" w:fill="auto"/>
            <w:vAlign w:val="bottom"/>
          </w:tcPr>
          <w:p w:rsidR="005D45B8" w:rsidRPr="001C2D09" w:rsidP="00D92EE8" w14:paraId="3E4E9110" w14:textId="71E14BD7">
            <w:pPr>
              <w:jc w:val="right"/>
              <w:rPr>
                <w:spacing w:val="-3"/>
                <w:sz w:val="22"/>
                <w:szCs w:val="22"/>
                <w:shd w:val="clear" w:color="auto" w:fill="FFFFFF"/>
              </w:rPr>
            </w:pPr>
            <w:r w:rsidRPr="001C2D09">
              <w:rPr>
                <w:sz w:val="22"/>
                <w:szCs w:val="22"/>
              </w:rPr>
              <w:t xml:space="preserve"> </w:t>
            </w:r>
            <w:r w:rsidRPr="001C2D09" w:rsidR="75F9D7EA">
              <w:rPr>
                <w:sz w:val="22"/>
                <w:szCs w:val="22"/>
              </w:rPr>
              <w:t xml:space="preserve"> 2</w:t>
            </w:r>
          </w:p>
        </w:tc>
        <w:tc>
          <w:tcPr>
            <w:tcW w:w="990" w:type="dxa"/>
            <w:shd w:val="clear" w:color="auto" w:fill="auto"/>
            <w:vAlign w:val="bottom"/>
          </w:tcPr>
          <w:p w:rsidR="005D45B8" w:rsidRPr="001C2D09" w:rsidP="00D92EE8" w14:paraId="671FEDD9" w14:textId="6B2762B3">
            <w:pPr>
              <w:jc w:val="right"/>
              <w:rPr>
                <w:spacing w:val="-3"/>
                <w:sz w:val="22"/>
                <w:szCs w:val="22"/>
                <w:shd w:val="clear" w:color="auto" w:fill="FFFFFF"/>
              </w:rPr>
            </w:pPr>
            <w:r w:rsidRPr="001C2D09">
              <w:rPr>
                <w:sz w:val="22"/>
                <w:szCs w:val="22"/>
              </w:rPr>
              <w:t xml:space="preserve"> 294</w:t>
            </w:r>
          </w:p>
        </w:tc>
        <w:tc>
          <w:tcPr>
            <w:tcW w:w="1260" w:type="dxa"/>
            <w:shd w:val="clear" w:color="auto" w:fill="auto"/>
            <w:vAlign w:val="bottom"/>
          </w:tcPr>
          <w:p w:rsidR="005D45B8" w:rsidRPr="001C2D09" w:rsidP="00D92EE8" w14:paraId="4EF49245" w14:textId="320D92FC">
            <w:pPr>
              <w:jc w:val="right"/>
              <w:rPr>
                <w:spacing w:val="-3"/>
                <w:sz w:val="22"/>
                <w:szCs w:val="22"/>
                <w:shd w:val="clear" w:color="auto" w:fill="FFFFFF"/>
              </w:rPr>
            </w:pPr>
            <w:r w:rsidRPr="001C2D09">
              <w:rPr>
                <w:sz w:val="22"/>
                <w:szCs w:val="22"/>
              </w:rPr>
              <w:t xml:space="preserve"> $1</w:t>
            </w:r>
            <w:r w:rsidRPr="001C2D09" w:rsidR="00B957B8">
              <w:rPr>
                <w:sz w:val="22"/>
                <w:szCs w:val="22"/>
              </w:rPr>
              <w:t>5,838</w:t>
            </w:r>
          </w:p>
        </w:tc>
        <w:tc>
          <w:tcPr>
            <w:tcW w:w="1445" w:type="dxa"/>
            <w:vAlign w:val="center"/>
          </w:tcPr>
          <w:p w:rsidR="009F6A82" w:rsidRPr="001C2D09" w:rsidP="00B957B8" w14:paraId="00F26E98" w14:textId="77777777">
            <w:pPr>
              <w:spacing w:line="259" w:lineRule="auto"/>
              <w:rPr>
                <w:sz w:val="22"/>
                <w:szCs w:val="22"/>
              </w:rPr>
            </w:pPr>
          </w:p>
          <w:p w:rsidR="009F6A82" w:rsidRPr="001C2D09" w:rsidP="00B957B8" w14:paraId="66ECE52C" w14:textId="77777777">
            <w:pPr>
              <w:spacing w:line="259" w:lineRule="auto"/>
              <w:rPr>
                <w:sz w:val="22"/>
                <w:szCs w:val="22"/>
              </w:rPr>
            </w:pPr>
          </w:p>
          <w:p w:rsidR="009F6A82" w:rsidRPr="001C2D09" w:rsidP="00B957B8" w14:paraId="695A4D8A" w14:textId="77777777">
            <w:pPr>
              <w:spacing w:line="259" w:lineRule="auto"/>
              <w:rPr>
                <w:sz w:val="22"/>
                <w:szCs w:val="22"/>
              </w:rPr>
            </w:pPr>
          </w:p>
          <w:p w:rsidR="009F6A82" w:rsidRPr="001C2D09" w:rsidP="00B957B8" w14:paraId="6B42DAF2" w14:textId="77777777">
            <w:pPr>
              <w:spacing w:line="259" w:lineRule="auto"/>
              <w:rPr>
                <w:sz w:val="22"/>
                <w:szCs w:val="22"/>
              </w:rPr>
            </w:pPr>
          </w:p>
          <w:p w:rsidR="005D45B8" w:rsidRPr="001C2D09" w:rsidP="003F75BB" w14:paraId="6119561B" w14:textId="6E58C9C7">
            <w:pPr>
              <w:spacing w:line="259" w:lineRule="auto"/>
              <w:rPr>
                <w:sz w:val="22"/>
                <w:szCs w:val="22"/>
              </w:rPr>
            </w:pPr>
            <w:r w:rsidRPr="001C2D09">
              <w:rPr>
                <w:sz w:val="22"/>
                <w:szCs w:val="22"/>
              </w:rPr>
              <w:t xml:space="preserve">       </w:t>
            </w:r>
            <w:r w:rsidRPr="001C2D09" w:rsidR="0EAC05E5">
              <w:rPr>
                <w:sz w:val="22"/>
                <w:szCs w:val="22"/>
              </w:rPr>
              <w:t>$</w:t>
            </w:r>
            <w:r w:rsidRPr="001C2D09">
              <w:rPr>
                <w:sz w:val="22"/>
                <w:szCs w:val="22"/>
              </w:rPr>
              <w:t>20,589</w:t>
            </w:r>
          </w:p>
        </w:tc>
      </w:tr>
      <w:tr w14:paraId="4B08F358" w14:textId="77777777" w:rsidTr="005B4C61">
        <w:tblPrEx>
          <w:tblW w:w="10710" w:type="dxa"/>
          <w:tblLayout w:type="fixed"/>
          <w:tblLook w:val="01E0"/>
        </w:tblPrEx>
        <w:trPr>
          <w:trHeight w:val="242"/>
        </w:trPr>
        <w:tc>
          <w:tcPr>
            <w:tcW w:w="1890" w:type="dxa"/>
            <w:shd w:val="clear" w:color="auto" w:fill="auto"/>
            <w:vAlign w:val="center"/>
          </w:tcPr>
          <w:p w:rsidR="005D45B8" w:rsidRPr="001C2D09" w:rsidP="00D92EE8" w14:paraId="6647D706" w14:textId="08D05A7C">
            <w:pPr>
              <w:rPr>
                <w:spacing w:val="-3"/>
                <w:sz w:val="22"/>
                <w:szCs w:val="22"/>
                <w:shd w:val="clear" w:color="auto" w:fill="FFFFFF"/>
              </w:rPr>
            </w:pPr>
            <w:r w:rsidRPr="001C2D09">
              <w:rPr>
                <w:sz w:val="22"/>
                <w:szCs w:val="22"/>
              </w:rPr>
              <w:t>c. Notification of CPNI Rights Requirement</w:t>
            </w:r>
            <w:r>
              <w:rPr>
                <w:rStyle w:val="FootnoteReference"/>
                <w:sz w:val="22"/>
                <w:szCs w:val="22"/>
              </w:rPr>
              <w:footnoteReference w:id="43"/>
            </w:r>
          </w:p>
        </w:tc>
        <w:tc>
          <w:tcPr>
            <w:tcW w:w="1615" w:type="dxa"/>
            <w:shd w:val="clear" w:color="auto" w:fill="auto"/>
            <w:vAlign w:val="bottom"/>
          </w:tcPr>
          <w:p w:rsidR="005D45B8" w:rsidRPr="001C2D09" w:rsidP="00D92EE8" w14:paraId="6D10EEDF" w14:textId="3922768D">
            <w:pPr>
              <w:rPr>
                <w:spacing w:val="-3"/>
                <w:sz w:val="22"/>
                <w:szCs w:val="22"/>
                <w:shd w:val="clear" w:color="auto" w:fill="FFFFFF"/>
              </w:rPr>
            </w:pPr>
            <w:r w:rsidRPr="001C2D09">
              <w:rPr>
                <w:sz w:val="22"/>
                <w:szCs w:val="22"/>
              </w:rPr>
              <w:t>Automatic Notification Design</w:t>
            </w:r>
          </w:p>
        </w:tc>
        <w:tc>
          <w:tcPr>
            <w:tcW w:w="1260" w:type="dxa"/>
            <w:shd w:val="clear" w:color="auto" w:fill="auto"/>
            <w:vAlign w:val="bottom"/>
          </w:tcPr>
          <w:p w:rsidR="005D45B8" w:rsidRPr="001C2D09" w:rsidP="00D92EE8" w14:paraId="3DA8DE38" w14:textId="424E0041">
            <w:pPr>
              <w:jc w:val="right"/>
              <w:rPr>
                <w:spacing w:val="-3"/>
                <w:sz w:val="22"/>
                <w:szCs w:val="22"/>
                <w:shd w:val="clear" w:color="auto" w:fill="FFFFFF"/>
              </w:rPr>
            </w:pPr>
            <w:r w:rsidRPr="001C2D09">
              <w:rPr>
                <w:sz w:val="22"/>
                <w:szCs w:val="22"/>
              </w:rPr>
              <w:t xml:space="preserve"> 2,935</w:t>
            </w:r>
          </w:p>
        </w:tc>
        <w:tc>
          <w:tcPr>
            <w:tcW w:w="1260" w:type="dxa"/>
            <w:vAlign w:val="bottom"/>
          </w:tcPr>
          <w:p w:rsidR="003C5B6D" w:rsidRPr="001C2D09" w:rsidP="00D92EE8" w14:paraId="1261D1E7" w14:textId="77004F15">
            <w:pPr>
              <w:jc w:val="center"/>
              <w:rPr>
                <w:spacing w:val="-3"/>
                <w:sz w:val="22"/>
                <w:szCs w:val="22"/>
                <w:shd w:val="clear" w:color="auto" w:fill="FFFFFF"/>
              </w:rPr>
            </w:pPr>
            <w:r w:rsidRPr="001C2D09">
              <w:rPr>
                <w:sz w:val="22"/>
                <w:szCs w:val="22"/>
              </w:rPr>
              <w:t xml:space="preserve"> </w:t>
            </w:r>
            <w:r w:rsidR="003B29D7">
              <w:rPr>
                <w:sz w:val="22"/>
                <w:szCs w:val="22"/>
              </w:rPr>
              <w:t>2935</w:t>
            </w:r>
          </w:p>
        </w:tc>
        <w:tc>
          <w:tcPr>
            <w:tcW w:w="990" w:type="dxa"/>
            <w:shd w:val="clear" w:color="auto" w:fill="auto"/>
            <w:vAlign w:val="bottom"/>
          </w:tcPr>
          <w:p w:rsidR="005D45B8" w:rsidRPr="001C2D09" w:rsidP="00D92EE8" w14:paraId="4DBE504D" w14:textId="70A7DE12">
            <w:pPr>
              <w:jc w:val="right"/>
              <w:rPr>
                <w:spacing w:val="-3"/>
                <w:sz w:val="22"/>
                <w:szCs w:val="22"/>
                <w:shd w:val="clear" w:color="auto" w:fill="FFFFFF"/>
              </w:rPr>
            </w:pPr>
            <w:r w:rsidRPr="001C2D09">
              <w:rPr>
                <w:sz w:val="22"/>
                <w:szCs w:val="22"/>
              </w:rPr>
              <w:t xml:space="preserve"> 0</w:t>
            </w:r>
          </w:p>
        </w:tc>
        <w:tc>
          <w:tcPr>
            <w:tcW w:w="990" w:type="dxa"/>
            <w:shd w:val="clear" w:color="auto" w:fill="auto"/>
            <w:vAlign w:val="bottom"/>
          </w:tcPr>
          <w:p w:rsidR="005D45B8" w:rsidRPr="001C2D09" w:rsidP="00D92EE8" w14:paraId="191B7B75" w14:textId="72FF4BDA">
            <w:pPr>
              <w:jc w:val="right"/>
              <w:rPr>
                <w:spacing w:val="-3"/>
                <w:sz w:val="22"/>
                <w:szCs w:val="22"/>
                <w:shd w:val="clear" w:color="auto" w:fill="FFFFFF"/>
              </w:rPr>
            </w:pPr>
            <w:r w:rsidRPr="001C2D09">
              <w:rPr>
                <w:sz w:val="22"/>
                <w:szCs w:val="22"/>
              </w:rPr>
              <w:t xml:space="preserve"> 0</w:t>
            </w:r>
          </w:p>
        </w:tc>
        <w:tc>
          <w:tcPr>
            <w:tcW w:w="1260" w:type="dxa"/>
            <w:shd w:val="clear" w:color="auto" w:fill="auto"/>
            <w:vAlign w:val="bottom"/>
          </w:tcPr>
          <w:p w:rsidR="005D45B8" w:rsidRPr="001C2D09" w:rsidP="00D92EE8" w14:paraId="4E5BF70B" w14:textId="470DD904">
            <w:pPr>
              <w:jc w:val="right"/>
              <w:rPr>
                <w:spacing w:val="-3"/>
                <w:sz w:val="22"/>
                <w:szCs w:val="22"/>
                <w:shd w:val="clear" w:color="auto" w:fill="FFFFFF"/>
              </w:rPr>
            </w:pPr>
            <w:r w:rsidRPr="001C2D09">
              <w:rPr>
                <w:sz w:val="22"/>
                <w:szCs w:val="22"/>
              </w:rPr>
              <w:t>$</w:t>
            </w:r>
            <w:r w:rsidRPr="001C2D09" w:rsidR="1D5AEA91">
              <w:rPr>
                <w:sz w:val="22"/>
                <w:szCs w:val="22"/>
              </w:rPr>
              <w:t xml:space="preserve"> 0</w:t>
            </w:r>
          </w:p>
        </w:tc>
        <w:tc>
          <w:tcPr>
            <w:tcW w:w="1445" w:type="dxa"/>
            <w:vAlign w:val="center"/>
          </w:tcPr>
          <w:p w:rsidR="005D45B8" w:rsidRPr="001C2D09" w:rsidP="00D92EE8" w14:paraId="39213C09" w14:textId="794B3ACD">
            <w:pPr>
              <w:jc w:val="center"/>
              <w:rPr>
                <w:spacing w:val="-3"/>
                <w:sz w:val="22"/>
                <w:szCs w:val="22"/>
                <w:shd w:val="clear" w:color="auto" w:fill="FFFFFF"/>
              </w:rPr>
            </w:pPr>
            <w:r w:rsidRPr="001C2D09">
              <w:rPr>
                <w:sz w:val="22"/>
                <w:szCs w:val="22"/>
              </w:rPr>
              <w:t>$</w:t>
            </w:r>
            <w:r w:rsidRPr="001C2D09" w:rsidR="53B3FD1C">
              <w:rPr>
                <w:sz w:val="22"/>
                <w:szCs w:val="22"/>
              </w:rPr>
              <w:t xml:space="preserve"> 0</w:t>
            </w:r>
          </w:p>
        </w:tc>
      </w:tr>
      <w:tr w14:paraId="61618A12" w14:textId="77777777" w:rsidTr="005B4C61">
        <w:tblPrEx>
          <w:tblW w:w="10710" w:type="dxa"/>
          <w:tblLayout w:type="fixed"/>
          <w:tblLook w:val="01E0"/>
        </w:tblPrEx>
        <w:trPr>
          <w:trHeight w:val="260"/>
        </w:trPr>
        <w:tc>
          <w:tcPr>
            <w:tcW w:w="1890" w:type="dxa"/>
            <w:shd w:val="clear" w:color="auto" w:fill="auto"/>
            <w:vAlign w:val="center"/>
          </w:tcPr>
          <w:p w:rsidR="005D45B8" w:rsidRPr="001C2D09" w:rsidP="00D92EE8" w14:paraId="33AF6807" w14:textId="079DE0A2">
            <w:pPr>
              <w:rPr>
                <w:spacing w:val="-3"/>
                <w:sz w:val="22"/>
                <w:szCs w:val="22"/>
                <w:shd w:val="clear" w:color="auto" w:fill="FFFFFF"/>
              </w:rPr>
            </w:pPr>
            <w:r w:rsidRPr="001C2D09">
              <w:rPr>
                <w:sz w:val="22"/>
                <w:szCs w:val="22"/>
              </w:rPr>
              <w:t>d. Notification Recordkeeping</w:t>
            </w:r>
            <w:r>
              <w:rPr>
                <w:rStyle w:val="FootnoteReference"/>
                <w:sz w:val="22"/>
                <w:szCs w:val="22"/>
              </w:rPr>
              <w:footnoteReference w:id="44"/>
            </w:r>
          </w:p>
        </w:tc>
        <w:tc>
          <w:tcPr>
            <w:tcW w:w="1615" w:type="dxa"/>
            <w:shd w:val="clear" w:color="auto" w:fill="auto"/>
            <w:vAlign w:val="bottom"/>
          </w:tcPr>
          <w:p w:rsidR="005D45B8" w:rsidRPr="001C2D09" w:rsidP="00D92EE8" w14:paraId="6B36AAC8" w14:textId="2BF796B1">
            <w:pPr>
              <w:rPr>
                <w:spacing w:val="-3"/>
                <w:sz w:val="22"/>
                <w:szCs w:val="22"/>
                <w:shd w:val="clear" w:color="auto" w:fill="FFFFFF"/>
              </w:rPr>
            </w:pPr>
            <w:r w:rsidRPr="001C2D09">
              <w:rPr>
                <w:sz w:val="22"/>
                <w:szCs w:val="22"/>
              </w:rPr>
              <w:t>Recordkeeping</w:t>
            </w:r>
          </w:p>
        </w:tc>
        <w:tc>
          <w:tcPr>
            <w:tcW w:w="1260" w:type="dxa"/>
            <w:shd w:val="clear" w:color="auto" w:fill="auto"/>
            <w:vAlign w:val="bottom"/>
          </w:tcPr>
          <w:p w:rsidR="005D45B8" w:rsidRPr="001C2D09" w:rsidP="00D92EE8" w14:paraId="2B42BD7C" w14:textId="561BCE32">
            <w:pPr>
              <w:jc w:val="right"/>
              <w:rPr>
                <w:spacing w:val="-3"/>
                <w:sz w:val="22"/>
                <w:szCs w:val="22"/>
                <w:shd w:val="clear" w:color="auto" w:fill="FFFFFF"/>
              </w:rPr>
            </w:pPr>
            <w:r w:rsidRPr="001C2D09">
              <w:rPr>
                <w:sz w:val="22"/>
                <w:szCs w:val="22"/>
              </w:rPr>
              <w:t xml:space="preserve"> 2,935</w:t>
            </w:r>
          </w:p>
        </w:tc>
        <w:tc>
          <w:tcPr>
            <w:tcW w:w="1260" w:type="dxa"/>
          </w:tcPr>
          <w:p w:rsidR="4524E519" w:rsidRPr="001C2D09" w:rsidP="00D92EE8" w14:paraId="57A211D0" w14:textId="05031BCD">
            <w:pPr>
              <w:jc w:val="center"/>
              <w:rPr>
                <w:sz w:val="22"/>
                <w:szCs w:val="22"/>
              </w:rPr>
            </w:pPr>
          </w:p>
          <w:p w:rsidR="003C5B6D" w:rsidRPr="001C2D09" w:rsidP="00D92EE8" w14:paraId="5AF7E985" w14:textId="6AEA443B">
            <w:pPr>
              <w:jc w:val="center"/>
              <w:rPr>
                <w:spacing w:val="-3"/>
                <w:sz w:val="22"/>
                <w:szCs w:val="22"/>
                <w:shd w:val="clear" w:color="auto" w:fill="FFFFFF"/>
              </w:rPr>
            </w:pPr>
            <w:r w:rsidRPr="001C2D09">
              <w:rPr>
                <w:sz w:val="22"/>
                <w:szCs w:val="22"/>
              </w:rPr>
              <w:t xml:space="preserve"> </w:t>
            </w:r>
            <w:r w:rsidR="003B29D7">
              <w:rPr>
                <w:sz w:val="22"/>
                <w:szCs w:val="22"/>
              </w:rPr>
              <w:t>2935</w:t>
            </w:r>
          </w:p>
        </w:tc>
        <w:tc>
          <w:tcPr>
            <w:tcW w:w="990" w:type="dxa"/>
            <w:shd w:val="clear" w:color="auto" w:fill="auto"/>
            <w:vAlign w:val="bottom"/>
          </w:tcPr>
          <w:p w:rsidR="005D45B8" w:rsidRPr="001C2D09" w:rsidP="00D92EE8" w14:paraId="73C68CC6" w14:textId="4D4E984F">
            <w:pPr>
              <w:jc w:val="right"/>
              <w:rPr>
                <w:spacing w:val="-3"/>
                <w:sz w:val="22"/>
                <w:szCs w:val="22"/>
                <w:shd w:val="clear" w:color="auto" w:fill="FFFFFF"/>
              </w:rPr>
            </w:pPr>
            <w:r w:rsidRPr="001C2D09">
              <w:rPr>
                <w:sz w:val="22"/>
                <w:szCs w:val="22"/>
              </w:rPr>
              <w:t xml:space="preserve"> 0</w:t>
            </w:r>
          </w:p>
        </w:tc>
        <w:tc>
          <w:tcPr>
            <w:tcW w:w="990" w:type="dxa"/>
            <w:shd w:val="clear" w:color="auto" w:fill="auto"/>
            <w:vAlign w:val="bottom"/>
          </w:tcPr>
          <w:p w:rsidR="005D45B8" w:rsidRPr="001C2D09" w:rsidP="00D92EE8" w14:paraId="231372A1" w14:textId="5B35E64A">
            <w:pPr>
              <w:jc w:val="right"/>
              <w:rPr>
                <w:spacing w:val="-3"/>
                <w:sz w:val="22"/>
                <w:szCs w:val="22"/>
                <w:shd w:val="clear" w:color="auto" w:fill="FFFFFF"/>
              </w:rPr>
            </w:pPr>
            <w:r w:rsidRPr="001C2D09">
              <w:rPr>
                <w:sz w:val="22"/>
                <w:szCs w:val="22"/>
              </w:rPr>
              <w:t xml:space="preserve"> 0</w:t>
            </w:r>
          </w:p>
        </w:tc>
        <w:tc>
          <w:tcPr>
            <w:tcW w:w="1260" w:type="dxa"/>
            <w:shd w:val="clear" w:color="auto" w:fill="auto"/>
            <w:vAlign w:val="bottom"/>
          </w:tcPr>
          <w:p w:rsidR="005D45B8" w:rsidRPr="001C2D09" w:rsidP="00D92EE8" w14:paraId="3C215724" w14:textId="3DD08BAF">
            <w:pPr>
              <w:jc w:val="right"/>
              <w:rPr>
                <w:spacing w:val="-3"/>
                <w:sz w:val="22"/>
                <w:szCs w:val="22"/>
                <w:shd w:val="clear" w:color="auto" w:fill="FFFFFF"/>
              </w:rPr>
            </w:pPr>
            <w:r w:rsidRPr="001C2D09">
              <w:rPr>
                <w:sz w:val="22"/>
                <w:szCs w:val="22"/>
              </w:rPr>
              <w:t>$</w:t>
            </w:r>
            <w:r w:rsidRPr="001C2D09" w:rsidR="2D533691">
              <w:rPr>
                <w:sz w:val="22"/>
                <w:szCs w:val="22"/>
              </w:rPr>
              <w:t xml:space="preserve"> 0</w:t>
            </w:r>
          </w:p>
        </w:tc>
        <w:tc>
          <w:tcPr>
            <w:tcW w:w="1445" w:type="dxa"/>
            <w:vAlign w:val="center"/>
          </w:tcPr>
          <w:p w:rsidR="005D45B8" w:rsidRPr="001C2D09" w:rsidP="00D92EE8" w14:paraId="6618D2F2" w14:textId="048B9A82">
            <w:pPr>
              <w:jc w:val="center"/>
              <w:rPr>
                <w:spacing w:val="-3"/>
                <w:sz w:val="22"/>
                <w:szCs w:val="22"/>
                <w:shd w:val="clear" w:color="auto" w:fill="FFFFFF"/>
              </w:rPr>
            </w:pPr>
            <w:r w:rsidRPr="001C2D09">
              <w:rPr>
                <w:sz w:val="22"/>
                <w:szCs w:val="22"/>
              </w:rPr>
              <w:t>$</w:t>
            </w:r>
            <w:r w:rsidRPr="001C2D09" w:rsidR="0CF9A0C1">
              <w:rPr>
                <w:sz w:val="22"/>
                <w:szCs w:val="22"/>
              </w:rPr>
              <w:t xml:space="preserve"> 0</w:t>
            </w:r>
          </w:p>
        </w:tc>
      </w:tr>
      <w:tr w14:paraId="4198041E" w14:textId="77777777" w:rsidTr="005B4C61">
        <w:tblPrEx>
          <w:tblW w:w="10710" w:type="dxa"/>
          <w:tblLayout w:type="fixed"/>
          <w:tblLook w:val="01E0"/>
        </w:tblPrEx>
        <w:trPr>
          <w:trHeight w:val="260"/>
        </w:trPr>
        <w:tc>
          <w:tcPr>
            <w:tcW w:w="1890" w:type="dxa"/>
            <w:shd w:val="clear" w:color="auto" w:fill="auto"/>
            <w:vAlign w:val="center"/>
          </w:tcPr>
          <w:p w:rsidR="00EC3C71" w:rsidRPr="001C2D09" w:rsidP="00D92EE8" w14:paraId="75FAAD8D" w14:textId="07A28810">
            <w:pPr>
              <w:rPr>
                <w:spacing w:val="-3"/>
                <w:sz w:val="22"/>
                <w:szCs w:val="22"/>
                <w:shd w:val="clear" w:color="auto" w:fill="FFFFFF"/>
              </w:rPr>
            </w:pPr>
            <w:r w:rsidRPr="001C2D09">
              <w:rPr>
                <w:sz w:val="22"/>
                <w:szCs w:val="22"/>
              </w:rPr>
              <w:t>e. Event Histories Recordkeeping</w:t>
            </w:r>
          </w:p>
        </w:tc>
        <w:tc>
          <w:tcPr>
            <w:tcW w:w="1615" w:type="dxa"/>
            <w:shd w:val="clear" w:color="auto" w:fill="auto"/>
            <w:vAlign w:val="bottom"/>
          </w:tcPr>
          <w:p w:rsidR="00EC3C71" w:rsidRPr="001C2D09" w:rsidP="00D92EE8" w14:paraId="2CE0F256" w14:textId="2AE2BEE5">
            <w:pPr>
              <w:rPr>
                <w:spacing w:val="-3"/>
                <w:sz w:val="22"/>
                <w:szCs w:val="22"/>
                <w:shd w:val="clear" w:color="auto" w:fill="FFFFFF"/>
              </w:rPr>
            </w:pPr>
            <w:r w:rsidRPr="001C2D09">
              <w:rPr>
                <w:sz w:val="22"/>
                <w:szCs w:val="22"/>
              </w:rPr>
              <w:t>Recordkeeping</w:t>
            </w:r>
          </w:p>
        </w:tc>
        <w:tc>
          <w:tcPr>
            <w:tcW w:w="1260" w:type="dxa"/>
            <w:shd w:val="clear" w:color="auto" w:fill="auto"/>
            <w:vAlign w:val="bottom"/>
          </w:tcPr>
          <w:p w:rsidR="00EC3C71" w:rsidRPr="001C2D09" w:rsidP="00D92EE8" w14:paraId="4CBD8750" w14:textId="7AB33036">
            <w:pPr>
              <w:jc w:val="right"/>
              <w:rPr>
                <w:spacing w:val="-3"/>
                <w:sz w:val="22"/>
                <w:szCs w:val="22"/>
                <w:shd w:val="clear" w:color="auto" w:fill="FFFFFF"/>
              </w:rPr>
            </w:pPr>
            <w:r w:rsidRPr="001C2D09">
              <w:rPr>
                <w:sz w:val="22"/>
                <w:szCs w:val="22"/>
              </w:rPr>
              <w:t xml:space="preserve"> 2,935</w:t>
            </w:r>
          </w:p>
        </w:tc>
        <w:tc>
          <w:tcPr>
            <w:tcW w:w="1260" w:type="dxa"/>
          </w:tcPr>
          <w:p w:rsidR="4524E519" w:rsidRPr="001C2D09" w:rsidP="00D92EE8" w14:paraId="65C1E67F" w14:textId="71752375">
            <w:pPr>
              <w:jc w:val="center"/>
              <w:rPr>
                <w:sz w:val="22"/>
                <w:szCs w:val="22"/>
              </w:rPr>
            </w:pPr>
          </w:p>
          <w:p w:rsidR="00EC3C71" w:rsidRPr="001C2D09" w:rsidP="00D92EE8" w14:paraId="0822DBBA" w14:textId="474D704B">
            <w:pPr>
              <w:jc w:val="center"/>
              <w:rPr>
                <w:spacing w:val="-3"/>
                <w:sz w:val="22"/>
                <w:szCs w:val="22"/>
                <w:shd w:val="clear" w:color="auto" w:fill="FFFFFF"/>
              </w:rPr>
            </w:pPr>
            <w:r w:rsidRPr="001C2D09">
              <w:rPr>
                <w:sz w:val="22"/>
                <w:szCs w:val="22"/>
              </w:rPr>
              <w:t xml:space="preserve"> 978</w:t>
            </w:r>
          </w:p>
        </w:tc>
        <w:tc>
          <w:tcPr>
            <w:tcW w:w="990" w:type="dxa"/>
            <w:shd w:val="clear" w:color="auto" w:fill="auto"/>
            <w:vAlign w:val="bottom"/>
          </w:tcPr>
          <w:p w:rsidR="00EC3C71" w:rsidRPr="001C2D09" w:rsidP="00D92EE8" w14:paraId="3C54110A" w14:textId="573426F5">
            <w:pPr>
              <w:jc w:val="right"/>
              <w:rPr>
                <w:spacing w:val="-3"/>
                <w:sz w:val="22"/>
                <w:szCs w:val="22"/>
                <w:shd w:val="clear" w:color="auto" w:fill="FFFFFF"/>
              </w:rPr>
            </w:pPr>
            <w:r w:rsidRPr="001C2D09">
              <w:rPr>
                <w:sz w:val="22"/>
                <w:szCs w:val="22"/>
              </w:rPr>
              <w:t>0.5</w:t>
            </w:r>
          </w:p>
        </w:tc>
        <w:tc>
          <w:tcPr>
            <w:tcW w:w="990" w:type="dxa"/>
            <w:shd w:val="clear" w:color="auto" w:fill="auto"/>
            <w:vAlign w:val="bottom"/>
          </w:tcPr>
          <w:p w:rsidR="00EC3C71" w:rsidRPr="001C2D09" w:rsidP="00D92EE8" w14:paraId="001E7564" w14:textId="00D9BDA6">
            <w:pPr>
              <w:jc w:val="right"/>
              <w:rPr>
                <w:spacing w:val="-3"/>
                <w:sz w:val="22"/>
                <w:szCs w:val="22"/>
                <w:shd w:val="clear" w:color="auto" w:fill="FFFFFF"/>
              </w:rPr>
            </w:pPr>
            <w:r w:rsidRPr="001C2D09">
              <w:rPr>
                <w:sz w:val="22"/>
                <w:szCs w:val="22"/>
              </w:rPr>
              <w:t xml:space="preserve"> 489</w:t>
            </w:r>
          </w:p>
        </w:tc>
        <w:tc>
          <w:tcPr>
            <w:tcW w:w="1260" w:type="dxa"/>
            <w:shd w:val="clear" w:color="auto" w:fill="auto"/>
            <w:vAlign w:val="bottom"/>
          </w:tcPr>
          <w:p w:rsidR="00EC3C71" w:rsidRPr="001C2D09" w:rsidP="00D92EE8" w14:paraId="2B8A3F1E" w14:textId="3C4D38F6">
            <w:pPr>
              <w:jc w:val="right"/>
              <w:rPr>
                <w:spacing w:val="-3"/>
                <w:sz w:val="22"/>
                <w:szCs w:val="22"/>
                <w:shd w:val="clear" w:color="auto" w:fill="FFFFFF"/>
              </w:rPr>
            </w:pPr>
            <w:r w:rsidRPr="001C2D09">
              <w:rPr>
                <w:sz w:val="22"/>
                <w:szCs w:val="22"/>
              </w:rPr>
              <w:t>$</w:t>
            </w:r>
            <w:r w:rsidRPr="001C2D09" w:rsidR="6F94227E">
              <w:rPr>
                <w:sz w:val="22"/>
                <w:szCs w:val="22"/>
              </w:rPr>
              <w:t xml:space="preserve"> 14,851</w:t>
            </w:r>
          </w:p>
        </w:tc>
        <w:tc>
          <w:tcPr>
            <w:tcW w:w="1445" w:type="dxa"/>
            <w:vAlign w:val="center"/>
          </w:tcPr>
          <w:p w:rsidR="00EC3C71" w:rsidRPr="001C2D09" w:rsidP="00D92EE8" w14:paraId="71A427CE" w14:textId="2986572E">
            <w:pPr>
              <w:jc w:val="center"/>
              <w:rPr>
                <w:spacing w:val="-3"/>
                <w:sz w:val="22"/>
                <w:szCs w:val="22"/>
                <w:shd w:val="clear" w:color="auto" w:fill="FFFFFF"/>
              </w:rPr>
            </w:pPr>
            <w:r w:rsidRPr="001C2D09">
              <w:rPr>
                <w:sz w:val="22"/>
                <w:szCs w:val="22"/>
              </w:rPr>
              <w:t>$</w:t>
            </w:r>
            <w:r w:rsidRPr="001C2D09" w:rsidR="6C3FF919">
              <w:rPr>
                <w:sz w:val="22"/>
                <w:szCs w:val="22"/>
              </w:rPr>
              <w:t xml:space="preserve"> </w:t>
            </w:r>
            <w:r w:rsidR="00B9514B">
              <w:rPr>
                <w:sz w:val="22"/>
                <w:szCs w:val="22"/>
              </w:rPr>
              <w:t>19,307</w:t>
            </w:r>
          </w:p>
        </w:tc>
      </w:tr>
      <w:tr w14:paraId="2EBDC94D" w14:textId="77777777" w:rsidTr="005B4C61">
        <w:tblPrEx>
          <w:tblW w:w="10710" w:type="dxa"/>
          <w:tblLayout w:type="fixed"/>
          <w:tblLook w:val="01E0"/>
        </w:tblPrEx>
        <w:trPr>
          <w:trHeight w:val="242"/>
        </w:trPr>
        <w:tc>
          <w:tcPr>
            <w:tcW w:w="1890" w:type="dxa"/>
            <w:shd w:val="clear" w:color="auto" w:fill="auto"/>
            <w:vAlign w:val="center"/>
          </w:tcPr>
          <w:p w:rsidR="005D45B8" w:rsidRPr="001C2D09" w:rsidP="00D92EE8" w14:paraId="7FE2DD85" w14:textId="1F343FC0">
            <w:pPr>
              <w:rPr>
                <w:spacing w:val="-3"/>
                <w:sz w:val="22"/>
                <w:szCs w:val="22"/>
                <w:shd w:val="clear" w:color="auto" w:fill="FFFFFF"/>
              </w:rPr>
            </w:pPr>
            <w:r w:rsidRPr="001C2D09">
              <w:rPr>
                <w:sz w:val="22"/>
                <w:szCs w:val="22"/>
              </w:rPr>
              <w:t>f. Compliance Guidance</w:t>
            </w:r>
          </w:p>
        </w:tc>
        <w:tc>
          <w:tcPr>
            <w:tcW w:w="1615" w:type="dxa"/>
            <w:shd w:val="clear" w:color="auto" w:fill="auto"/>
            <w:vAlign w:val="bottom"/>
          </w:tcPr>
          <w:p w:rsidR="005D45B8" w:rsidRPr="001C2D09" w:rsidP="00D92EE8" w14:paraId="3D59235D" w14:textId="1AE68807">
            <w:pPr>
              <w:rPr>
                <w:spacing w:val="-3"/>
                <w:sz w:val="22"/>
                <w:szCs w:val="22"/>
                <w:shd w:val="clear" w:color="auto" w:fill="FFFFFF"/>
              </w:rPr>
            </w:pPr>
            <w:r w:rsidRPr="001C2D09">
              <w:rPr>
                <w:sz w:val="22"/>
                <w:szCs w:val="22"/>
              </w:rPr>
              <w:t>Certificate</w:t>
            </w:r>
          </w:p>
        </w:tc>
        <w:tc>
          <w:tcPr>
            <w:tcW w:w="1260" w:type="dxa"/>
            <w:shd w:val="clear" w:color="auto" w:fill="auto"/>
            <w:vAlign w:val="bottom"/>
          </w:tcPr>
          <w:p w:rsidR="005D45B8" w:rsidRPr="001C2D09" w:rsidP="00D92EE8" w14:paraId="1FAE7DEE" w14:textId="7D89E0F1">
            <w:pPr>
              <w:jc w:val="right"/>
              <w:rPr>
                <w:spacing w:val="-3"/>
                <w:sz w:val="22"/>
                <w:szCs w:val="22"/>
                <w:shd w:val="clear" w:color="auto" w:fill="FFFFFF"/>
              </w:rPr>
            </w:pPr>
            <w:r w:rsidRPr="001C2D09">
              <w:rPr>
                <w:sz w:val="22"/>
                <w:szCs w:val="22"/>
              </w:rPr>
              <w:t xml:space="preserve"> 2,935</w:t>
            </w:r>
          </w:p>
        </w:tc>
        <w:tc>
          <w:tcPr>
            <w:tcW w:w="1260" w:type="dxa"/>
          </w:tcPr>
          <w:p w:rsidR="003C5B6D" w:rsidRPr="001C2D09" w:rsidP="00D92EE8" w14:paraId="52B2E021" w14:textId="74759E00">
            <w:pPr>
              <w:jc w:val="center"/>
              <w:rPr>
                <w:sz w:val="22"/>
                <w:szCs w:val="22"/>
              </w:rPr>
            </w:pPr>
          </w:p>
          <w:p w:rsidR="003C5B6D" w:rsidRPr="001C2D09" w:rsidP="00D92EE8" w14:paraId="2046C670" w14:textId="2D877D74">
            <w:pPr>
              <w:jc w:val="center"/>
              <w:rPr>
                <w:spacing w:val="-3"/>
                <w:sz w:val="22"/>
                <w:szCs w:val="22"/>
                <w:shd w:val="clear" w:color="auto" w:fill="FFFFFF"/>
              </w:rPr>
            </w:pPr>
            <w:r w:rsidRPr="001C2D09">
              <w:rPr>
                <w:sz w:val="22"/>
                <w:szCs w:val="22"/>
              </w:rPr>
              <w:t xml:space="preserve"> 2,935</w:t>
            </w:r>
          </w:p>
        </w:tc>
        <w:tc>
          <w:tcPr>
            <w:tcW w:w="990" w:type="dxa"/>
            <w:shd w:val="clear" w:color="auto" w:fill="auto"/>
            <w:vAlign w:val="bottom"/>
          </w:tcPr>
          <w:p w:rsidR="005D45B8" w:rsidRPr="001C2D09" w:rsidP="00D92EE8" w14:paraId="5637776D" w14:textId="41E4A761">
            <w:pPr>
              <w:jc w:val="right"/>
              <w:rPr>
                <w:spacing w:val="-3"/>
                <w:sz w:val="22"/>
                <w:szCs w:val="22"/>
                <w:shd w:val="clear" w:color="auto" w:fill="FFFFFF"/>
              </w:rPr>
            </w:pPr>
            <w:r w:rsidRPr="001C2D09">
              <w:rPr>
                <w:sz w:val="22"/>
                <w:szCs w:val="22"/>
              </w:rPr>
              <w:t xml:space="preserve"> 1</w:t>
            </w:r>
          </w:p>
        </w:tc>
        <w:tc>
          <w:tcPr>
            <w:tcW w:w="990" w:type="dxa"/>
            <w:shd w:val="clear" w:color="auto" w:fill="auto"/>
            <w:vAlign w:val="bottom"/>
          </w:tcPr>
          <w:p w:rsidR="005D45B8" w:rsidRPr="001C2D09" w:rsidP="00D92EE8" w14:paraId="28ED680A" w14:textId="7BF5FEB7">
            <w:pPr>
              <w:jc w:val="right"/>
              <w:rPr>
                <w:spacing w:val="-3"/>
                <w:sz w:val="22"/>
                <w:szCs w:val="22"/>
                <w:shd w:val="clear" w:color="auto" w:fill="FFFFFF"/>
              </w:rPr>
            </w:pPr>
            <w:r w:rsidRPr="001C2D09">
              <w:rPr>
                <w:sz w:val="22"/>
                <w:szCs w:val="22"/>
              </w:rPr>
              <w:t xml:space="preserve"> 2,935</w:t>
            </w:r>
          </w:p>
        </w:tc>
        <w:tc>
          <w:tcPr>
            <w:tcW w:w="1260" w:type="dxa"/>
            <w:shd w:val="clear" w:color="auto" w:fill="auto"/>
            <w:vAlign w:val="bottom"/>
          </w:tcPr>
          <w:p w:rsidR="005D45B8" w:rsidRPr="001C2D09" w:rsidP="00D92EE8" w14:paraId="36BD2080" w14:textId="2739A173">
            <w:pPr>
              <w:jc w:val="right"/>
              <w:rPr>
                <w:spacing w:val="-3"/>
                <w:sz w:val="22"/>
                <w:szCs w:val="22"/>
                <w:shd w:val="clear" w:color="auto" w:fill="FFFFFF"/>
              </w:rPr>
            </w:pPr>
            <w:r w:rsidRPr="001C2D09">
              <w:rPr>
                <w:sz w:val="22"/>
                <w:szCs w:val="22"/>
              </w:rPr>
              <w:t xml:space="preserve"> $261,332</w:t>
            </w:r>
          </w:p>
        </w:tc>
        <w:tc>
          <w:tcPr>
            <w:tcW w:w="1445" w:type="dxa"/>
            <w:vAlign w:val="center"/>
          </w:tcPr>
          <w:p w:rsidR="00CD7216" w:rsidRPr="001C2D09" w:rsidP="00D92EE8" w14:paraId="6984754D" w14:textId="77777777">
            <w:pPr>
              <w:jc w:val="center"/>
              <w:rPr>
                <w:sz w:val="22"/>
                <w:szCs w:val="22"/>
              </w:rPr>
            </w:pPr>
            <w:r w:rsidRPr="001C2D09">
              <w:rPr>
                <w:sz w:val="22"/>
                <w:szCs w:val="22"/>
              </w:rPr>
              <w:t xml:space="preserve"> </w:t>
            </w:r>
          </w:p>
          <w:p w:rsidR="005D45B8" w:rsidRPr="001C2D09" w:rsidP="00D92EE8" w14:paraId="10949250" w14:textId="7BD9B1BC">
            <w:pPr>
              <w:jc w:val="center"/>
              <w:rPr>
                <w:spacing w:val="-3"/>
                <w:sz w:val="22"/>
                <w:szCs w:val="22"/>
                <w:shd w:val="clear" w:color="auto" w:fill="FFFFFF"/>
              </w:rPr>
            </w:pPr>
            <w:r w:rsidRPr="001C2D09">
              <w:rPr>
                <w:sz w:val="22"/>
                <w:szCs w:val="22"/>
              </w:rPr>
              <w:t>$339,732</w:t>
            </w:r>
          </w:p>
        </w:tc>
      </w:tr>
      <w:tr w14:paraId="68892C02" w14:textId="77777777" w:rsidTr="005B4C61">
        <w:tblPrEx>
          <w:tblW w:w="10710" w:type="dxa"/>
          <w:tblLayout w:type="fixed"/>
          <w:tblLook w:val="01E0"/>
        </w:tblPrEx>
        <w:trPr>
          <w:trHeight w:val="242"/>
        </w:trPr>
        <w:tc>
          <w:tcPr>
            <w:tcW w:w="1890" w:type="dxa"/>
            <w:shd w:val="clear" w:color="auto" w:fill="auto"/>
            <w:vAlign w:val="center"/>
          </w:tcPr>
          <w:p w:rsidR="00426B11" w:rsidRPr="001C2D09" w:rsidP="00D92EE8" w14:paraId="41E05854" w14:textId="2726DDB6">
            <w:pPr>
              <w:rPr>
                <w:spacing w:val="-3"/>
                <w:sz w:val="22"/>
                <w:szCs w:val="22"/>
                <w:shd w:val="clear" w:color="auto" w:fill="FFFFFF"/>
              </w:rPr>
            </w:pPr>
            <w:r w:rsidRPr="001C2D09">
              <w:rPr>
                <w:sz w:val="22"/>
                <w:szCs w:val="22"/>
              </w:rPr>
              <w:t>g. Aggregate Customer Information Disclosure Requirements</w:t>
            </w:r>
          </w:p>
        </w:tc>
        <w:tc>
          <w:tcPr>
            <w:tcW w:w="1615" w:type="dxa"/>
            <w:shd w:val="clear" w:color="auto" w:fill="auto"/>
            <w:vAlign w:val="bottom"/>
          </w:tcPr>
          <w:p w:rsidR="00426B11" w:rsidRPr="001C2D09" w:rsidP="00D92EE8" w14:paraId="56A961AF" w14:textId="22D2F202">
            <w:pPr>
              <w:rPr>
                <w:spacing w:val="-3"/>
                <w:sz w:val="22"/>
                <w:szCs w:val="22"/>
                <w:shd w:val="clear" w:color="auto" w:fill="FFFFFF"/>
              </w:rPr>
            </w:pPr>
            <w:r w:rsidRPr="001C2D09">
              <w:rPr>
                <w:sz w:val="22"/>
                <w:szCs w:val="22"/>
              </w:rPr>
              <w:t>Recordkeeping</w:t>
            </w:r>
          </w:p>
        </w:tc>
        <w:tc>
          <w:tcPr>
            <w:tcW w:w="1260" w:type="dxa"/>
            <w:shd w:val="clear" w:color="auto" w:fill="auto"/>
            <w:vAlign w:val="bottom"/>
          </w:tcPr>
          <w:p w:rsidR="00426B11" w:rsidRPr="001C2D09" w:rsidP="00D92EE8" w14:paraId="3B15683E" w14:textId="635DC84B">
            <w:pPr>
              <w:jc w:val="right"/>
              <w:rPr>
                <w:spacing w:val="-3"/>
                <w:sz w:val="22"/>
                <w:szCs w:val="22"/>
                <w:shd w:val="clear" w:color="auto" w:fill="FFFFFF"/>
              </w:rPr>
            </w:pPr>
            <w:r w:rsidRPr="001C2D09">
              <w:rPr>
                <w:sz w:val="22"/>
                <w:szCs w:val="22"/>
              </w:rPr>
              <w:t xml:space="preserve"> 978</w:t>
            </w:r>
          </w:p>
        </w:tc>
        <w:tc>
          <w:tcPr>
            <w:tcW w:w="1260" w:type="dxa"/>
            <w:vAlign w:val="bottom"/>
          </w:tcPr>
          <w:p w:rsidR="00426B11" w:rsidRPr="001C2D09" w:rsidP="00D92EE8" w14:paraId="3F4CDB0E" w14:textId="1FD9CC46">
            <w:pPr>
              <w:jc w:val="center"/>
              <w:rPr>
                <w:spacing w:val="-3"/>
                <w:sz w:val="22"/>
                <w:szCs w:val="22"/>
                <w:shd w:val="clear" w:color="auto" w:fill="FFFFFF"/>
              </w:rPr>
            </w:pPr>
            <w:r w:rsidRPr="001C2D09">
              <w:rPr>
                <w:sz w:val="22"/>
                <w:szCs w:val="22"/>
              </w:rPr>
              <w:t xml:space="preserve"> 978</w:t>
            </w:r>
          </w:p>
        </w:tc>
        <w:tc>
          <w:tcPr>
            <w:tcW w:w="990" w:type="dxa"/>
            <w:shd w:val="clear" w:color="auto" w:fill="auto"/>
            <w:vAlign w:val="bottom"/>
          </w:tcPr>
          <w:p w:rsidR="00426B11" w:rsidRPr="001C2D09" w:rsidP="00D92EE8" w14:paraId="027C7B56" w14:textId="0ACC94FA">
            <w:pPr>
              <w:jc w:val="right"/>
              <w:rPr>
                <w:spacing w:val="-3"/>
                <w:sz w:val="22"/>
                <w:szCs w:val="22"/>
                <w:shd w:val="clear" w:color="auto" w:fill="FFFFFF"/>
              </w:rPr>
            </w:pPr>
            <w:r w:rsidRPr="001C2D09">
              <w:rPr>
                <w:sz w:val="22"/>
                <w:szCs w:val="22"/>
              </w:rPr>
              <w:t>2</w:t>
            </w:r>
          </w:p>
        </w:tc>
        <w:tc>
          <w:tcPr>
            <w:tcW w:w="990" w:type="dxa"/>
            <w:shd w:val="clear" w:color="auto" w:fill="auto"/>
            <w:vAlign w:val="bottom"/>
          </w:tcPr>
          <w:p w:rsidR="00426B11" w:rsidRPr="001C2D09" w:rsidP="00D92EE8" w14:paraId="7C943E26" w14:textId="017E69E8">
            <w:pPr>
              <w:jc w:val="right"/>
              <w:rPr>
                <w:spacing w:val="-3"/>
                <w:sz w:val="22"/>
                <w:szCs w:val="22"/>
                <w:shd w:val="clear" w:color="auto" w:fill="FFFFFF"/>
              </w:rPr>
            </w:pPr>
            <w:r w:rsidRPr="001C2D09">
              <w:rPr>
                <w:sz w:val="22"/>
                <w:szCs w:val="22"/>
              </w:rPr>
              <w:t xml:space="preserve"> 1,956</w:t>
            </w:r>
          </w:p>
        </w:tc>
        <w:tc>
          <w:tcPr>
            <w:tcW w:w="1260" w:type="dxa"/>
            <w:shd w:val="clear" w:color="auto" w:fill="auto"/>
            <w:vAlign w:val="bottom"/>
          </w:tcPr>
          <w:p w:rsidR="00426B11" w:rsidRPr="001C2D09" w:rsidP="00D92EE8" w14:paraId="5E212294" w14:textId="69B19FE7">
            <w:pPr>
              <w:jc w:val="right"/>
              <w:rPr>
                <w:spacing w:val="-3"/>
                <w:sz w:val="22"/>
                <w:szCs w:val="22"/>
                <w:shd w:val="clear" w:color="auto" w:fill="FFFFFF"/>
              </w:rPr>
            </w:pPr>
            <w:r w:rsidRPr="001C2D09">
              <w:rPr>
                <w:sz w:val="22"/>
                <w:szCs w:val="22"/>
              </w:rPr>
              <w:t xml:space="preserve"> $59,403</w:t>
            </w:r>
          </w:p>
        </w:tc>
        <w:tc>
          <w:tcPr>
            <w:tcW w:w="1445" w:type="dxa"/>
            <w:vAlign w:val="center"/>
          </w:tcPr>
          <w:p w:rsidR="00CD5CB3" w:rsidRPr="001C2D09" w:rsidP="00D92EE8" w14:paraId="7D99894E" w14:textId="77777777">
            <w:pPr>
              <w:jc w:val="center"/>
              <w:rPr>
                <w:sz w:val="22"/>
                <w:szCs w:val="22"/>
              </w:rPr>
            </w:pPr>
          </w:p>
          <w:p w:rsidR="00CD5CB3" w:rsidRPr="001C2D09" w:rsidP="00D92EE8" w14:paraId="495B9E5E" w14:textId="77777777">
            <w:pPr>
              <w:jc w:val="center"/>
              <w:rPr>
                <w:sz w:val="22"/>
                <w:szCs w:val="22"/>
              </w:rPr>
            </w:pPr>
          </w:p>
          <w:p w:rsidR="00CD5CB3" w:rsidRPr="001C2D09" w:rsidP="00D92EE8" w14:paraId="101952F5" w14:textId="77777777">
            <w:pPr>
              <w:jc w:val="center"/>
              <w:rPr>
                <w:sz w:val="22"/>
                <w:szCs w:val="22"/>
              </w:rPr>
            </w:pPr>
          </w:p>
          <w:p w:rsidR="00CD5CB3" w:rsidRPr="001C2D09" w:rsidP="00D92EE8" w14:paraId="58845E76" w14:textId="77777777">
            <w:pPr>
              <w:jc w:val="center"/>
              <w:rPr>
                <w:sz w:val="22"/>
                <w:szCs w:val="22"/>
              </w:rPr>
            </w:pPr>
          </w:p>
          <w:p w:rsidR="00426B11" w:rsidRPr="001C2D09" w:rsidP="00D92EE8" w14:paraId="38387264" w14:textId="1971D23D">
            <w:pPr>
              <w:jc w:val="center"/>
              <w:rPr>
                <w:spacing w:val="-3"/>
                <w:sz w:val="22"/>
                <w:szCs w:val="22"/>
                <w:shd w:val="clear" w:color="auto" w:fill="FFFFFF"/>
              </w:rPr>
            </w:pPr>
            <w:r w:rsidRPr="001C2D09">
              <w:rPr>
                <w:sz w:val="22"/>
                <w:szCs w:val="22"/>
              </w:rPr>
              <w:t xml:space="preserve"> $77,22</w:t>
            </w:r>
            <w:r w:rsidRPr="001C2D09" w:rsidR="00CD5CB3">
              <w:rPr>
                <w:sz w:val="22"/>
                <w:szCs w:val="22"/>
              </w:rPr>
              <w:t>4</w:t>
            </w:r>
          </w:p>
        </w:tc>
      </w:tr>
      <w:tr w14:paraId="7E5F55C8" w14:textId="77777777" w:rsidTr="005B4C61">
        <w:tblPrEx>
          <w:tblW w:w="10710" w:type="dxa"/>
          <w:tblLayout w:type="fixed"/>
          <w:tblLook w:val="01E0"/>
        </w:tblPrEx>
        <w:trPr>
          <w:trHeight w:val="242"/>
        </w:trPr>
        <w:tc>
          <w:tcPr>
            <w:tcW w:w="1890" w:type="dxa"/>
            <w:shd w:val="clear" w:color="auto" w:fill="auto"/>
            <w:vAlign w:val="center"/>
          </w:tcPr>
          <w:p w:rsidR="00426B11" w:rsidRPr="001C2D09" w:rsidP="00D92EE8" w14:paraId="716A4614" w14:textId="23BD64D4">
            <w:pPr>
              <w:rPr>
                <w:spacing w:val="-3"/>
                <w:sz w:val="22"/>
                <w:szCs w:val="22"/>
                <w:shd w:val="clear" w:color="auto" w:fill="FFFFFF"/>
              </w:rPr>
            </w:pPr>
            <w:r w:rsidRPr="001C2D09">
              <w:rPr>
                <w:sz w:val="22"/>
                <w:szCs w:val="22"/>
              </w:rPr>
              <w:t>h. CPNI Disclosure to Third Parties</w:t>
            </w:r>
          </w:p>
        </w:tc>
        <w:tc>
          <w:tcPr>
            <w:tcW w:w="1615" w:type="dxa"/>
            <w:shd w:val="clear" w:color="auto" w:fill="auto"/>
            <w:vAlign w:val="bottom"/>
          </w:tcPr>
          <w:p w:rsidR="00426B11" w:rsidRPr="001C2D09" w:rsidP="00D92EE8" w14:paraId="150F690D" w14:textId="06414ACD">
            <w:pPr>
              <w:rPr>
                <w:spacing w:val="-3"/>
                <w:sz w:val="22"/>
                <w:szCs w:val="22"/>
                <w:shd w:val="clear" w:color="auto" w:fill="FFFFFF"/>
              </w:rPr>
            </w:pPr>
            <w:r w:rsidRPr="001C2D09">
              <w:rPr>
                <w:sz w:val="22"/>
                <w:szCs w:val="22"/>
              </w:rPr>
              <w:t>Disclosure</w:t>
            </w:r>
          </w:p>
        </w:tc>
        <w:tc>
          <w:tcPr>
            <w:tcW w:w="1260" w:type="dxa"/>
            <w:shd w:val="clear" w:color="auto" w:fill="auto"/>
            <w:vAlign w:val="bottom"/>
          </w:tcPr>
          <w:p w:rsidR="00426B11" w:rsidRPr="001C2D09" w:rsidP="00D92EE8" w14:paraId="0B3DCDE6" w14:textId="3E8C8DB5">
            <w:pPr>
              <w:jc w:val="right"/>
              <w:rPr>
                <w:spacing w:val="-3"/>
                <w:sz w:val="22"/>
                <w:szCs w:val="22"/>
                <w:shd w:val="clear" w:color="auto" w:fill="FFFFFF"/>
              </w:rPr>
            </w:pPr>
            <w:r w:rsidRPr="001C2D09">
              <w:rPr>
                <w:sz w:val="22"/>
                <w:szCs w:val="22"/>
              </w:rPr>
              <w:t>500</w:t>
            </w:r>
          </w:p>
        </w:tc>
        <w:tc>
          <w:tcPr>
            <w:tcW w:w="1260" w:type="dxa"/>
            <w:vAlign w:val="bottom"/>
          </w:tcPr>
          <w:p w:rsidR="00426B11" w:rsidRPr="001C2D09" w:rsidP="00D92EE8" w14:paraId="5D10B08B" w14:textId="0B8EACE8">
            <w:pPr>
              <w:spacing w:line="259" w:lineRule="auto"/>
              <w:jc w:val="center"/>
            </w:pPr>
            <w:r w:rsidRPr="001C2D09">
              <w:rPr>
                <w:sz w:val="22"/>
                <w:szCs w:val="22"/>
              </w:rPr>
              <w:t>500</w:t>
            </w:r>
          </w:p>
        </w:tc>
        <w:tc>
          <w:tcPr>
            <w:tcW w:w="990" w:type="dxa"/>
            <w:shd w:val="clear" w:color="auto" w:fill="auto"/>
            <w:vAlign w:val="bottom"/>
          </w:tcPr>
          <w:p w:rsidR="00426B11" w:rsidRPr="001C2D09" w:rsidP="00D92EE8" w14:paraId="6451A2FB" w14:textId="494F4611">
            <w:pPr>
              <w:spacing w:line="259" w:lineRule="auto"/>
              <w:jc w:val="right"/>
              <w:rPr>
                <w:sz w:val="22"/>
                <w:szCs w:val="22"/>
              </w:rPr>
            </w:pPr>
            <w:r w:rsidRPr="001C2D09">
              <w:rPr>
                <w:sz w:val="22"/>
                <w:szCs w:val="22"/>
              </w:rPr>
              <w:t xml:space="preserve"> 1</w:t>
            </w:r>
          </w:p>
        </w:tc>
        <w:tc>
          <w:tcPr>
            <w:tcW w:w="990" w:type="dxa"/>
            <w:shd w:val="clear" w:color="auto" w:fill="auto"/>
            <w:vAlign w:val="bottom"/>
          </w:tcPr>
          <w:p w:rsidR="00426B11" w:rsidRPr="001C2D09" w:rsidP="00D92EE8" w14:paraId="2AE652E6" w14:textId="013FD01F">
            <w:pPr>
              <w:spacing w:line="259" w:lineRule="auto"/>
              <w:jc w:val="right"/>
              <w:rPr>
                <w:sz w:val="22"/>
                <w:szCs w:val="22"/>
              </w:rPr>
            </w:pPr>
            <w:r w:rsidRPr="001C2D09">
              <w:rPr>
                <w:sz w:val="22"/>
                <w:szCs w:val="22"/>
              </w:rPr>
              <w:t xml:space="preserve"> 500</w:t>
            </w:r>
          </w:p>
        </w:tc>
        <w:tc>
          <w:tcPr>
            <w:tcW w:w="1260" w:type="dxa"/>
            <w:shd w:val="clear" w:color="auto" w:fill="auto"/>
            <w:vAlign w:val="bottom"/>
          </w:tcPr>
          <w:p w:rsidR="00426B11" w:rsidRPr="001C2D09" w:rsidP="00D92EE8" w14:paraId="6107019E" w14:textId="081FF5DB">
            <w:pPr>
              <w:spacing w:line="259" w:lineRule="auto"/>
              <w:jc w:val="right"/>
              <w:rPr>
                <w:sz w:val="22"/>
                <w:szCs w:val="22"/>
              </w:rPr>
            </w:pPr>
            <w:r w:rsidRPr="001C2D09">
              <w:rPr>
                <w:sz w:val="22"/>
                <w:szCs w:val="22"/>
              </w:rPr>
              <w:t xml:space="preserve"> $15,185</w:t>
            </w:r>
          </w:p>
        </w:tc>
        <w:tc>
          <w:tcPr>
            <w:tcW w:w="1445" w:type="dxa"/>
            <w:vAlign w:val="center"/>
          </w:tcPr>
          <w:p w:rsidR="006D30A3" w:rsidRPr="001C2D09" w:rsidP="00D92EE8" w14:paraId="1BDE2B77" w14:textId="77777777">
            <w:pPr>
              <w:spacing w:line="259" w:lineRule="auto"/>
              <w:jc w:val="center"/>
              <w:rPr>
                <w:sz w:val="22"/>
                <w:szCs w:val="22"/>
              </w:rPr>
            </w:pPr>
            <w:r w:rsidRPr="001C2D09">
              <w:rPr>
                <w:sz w:val="22"/>
                <w:szCs w:val="22"/>
              </w:rPr>
              <w:t xml:space="preserve"> </w:t>
            </w:r>
          </w:p>
          <w:p w:rsidR="006D30A3" w:rsidRPr="001C2D09" w:rsidP="00D92EE8" w14:paraId="7BA66504" w14:textId="77777777">
            <w:pPr>
              <w:spacing w:line="259" w:lineRule="auto"/>
              <w:jc w:val="center"/>
              <w:rPr>
                <w:sz w:val="22"/>
                <w:szCs w:val="22"/>
              </w:rPr>
            </w:pPr>
          </w:p>
          <w:p w:rsidR="00426B11" w:rsidRPr="001C2D09" w:rsidP="00D92EE8" w14:paraId="64D5EFD9" w14:textId="35363545">
            <w:pPr>
              <w:spacing w:line="259" w:lineRule="auto"/>
              <w:jc w:val="center"/>
              <w:rPr>
                <w:sz w:val="22"/>
                <w:szCs w:val="22"/>
              </w:rPr>
            </w:pPr>
            <w:r w:rsidRPr="001C2D09">
              <w:rPr>
                <w:sz w:val="22"/>
                <w:szCs w:val="22"/>
              </w:rPr>
              <w:t>$</w:t>
            </w:r>
            <w:r w:rsidRPr="001C2D09" w:rsidR="6EB6B8CC">
              <w:rPr>
                <w:sz w:val="22"/>
                <w:szCs w:val="22"/>
              </w:rPr>
              <w:t>19,741</w:t>
            </w:r>
          </w:p>
        </w:tc>
      </w:tr>
      <w:tr w14:paraId="2B2F5720" w14:textId="77777777" w:rsidTr="005B4C61">
        <w:tblPrEx>
          <w:tblW w:w="10710" w:type="dxa"/>
          <w:tblLayout w:type="fixed"/>
          <w:tblLook w:val="01E0"/>
        </w:tblPrEx>
        <w:trPr>
          <w:trHeight w:val="260"/>
        </w:trPr>
        <w:tc>
          <w:tcPr>
            <w:tcW w:w="1890" w:type="dxa"/>
            <w:shd w:val="clear" w:color="auto" w:fill="auto"/>
            <w:vAlign w:val="center"/>
          </w:tcPr>
          <w:p w:rsidR="005D45B8" w:rsidRPr="001C2D09" w:rsidP="00D92EE8" w14:paraId="2A6AE6D3" w14:textId="0D8EEF12">
            <w:pPr>
              <w:rPr>
                <w:spacing w:val="-3"/>
                <w:sz w:val="22"/>
                <w:szCs w:val="22"/>
                <w:shd w:val="clear" w:color="auto" w:fill="FFFFFF"/>
              </w:rPr>
            </w:pPr>
            <w:r w:rsidRPr="001C2D09">
              <w:rPr>
                <w:sz w:val="22"/>
                <w:szCs w:val="22"/>
              </w:rPr>
              <w:t>i. Safeguards Required for Use of CPNI</w:t>
            </w:r>
          </w:p>
        </w:tc>
        <w:tc>
          <w:tcPr>
            <w:tcW w:w="1615" w:type="dxa"/>
            <w:shd w:val="clear" w:color="auto" w:fill="auto"/>
            <w:vAlign w:val="bottom"/>
          </w:tcPr>
          <w:p w:rsidR="005D45B8" w:rsidRPr="001C2D09" w:rsidP="00D92EE8" w14:paraId="6225E838" w14:textId="4C62E578">
            <w:pPr>
              <w:rPr>
                <w:spacing w:val="-3"/>
                <w:sz w:val="22"/>
                <w:szCs w:val="22"/>
                <w:shd w:val="clear" w:color="auto" w:fill="FFFFFF"/>
              </w:rPr>
            </w:pPr>
            <w:r w:rsidRPr="001C2D09">
              <w:rPr>
                <w:sz w:val="22"/>
                <w:szCs w:val="22"/>
              </w:rPr>
              <w:t>Safeguards</w:t>
            </w:r>
          </w:p>
        </w:tc>
        <w:tc>
          <w:tcPr>
            <w:tcW w:w="1260" w:type="dxa"/>
            <w:shd w:val="clear" w:color="auto" w:fill="auto"/>
            <w:vAlign w:val="bottom"/>
          </w:tcPr>
          <w:p w:rsidR="005D45B8" w:rsidRPr="001C2D09" w:rsidP="00D92EE8" w14:paraId="634A95B1" w14:textId="6517024A">
            <w:pPr>
              <w:jc w:val="right"/>
              <w:rPr>
                <w:rFonts w:eastAsia="MS Gothic"/>
                <w:b/>
                <w:bCs/>
                <w:i/>
                <w:iCs/>
                <w:spacing w:val="-3"/>
                <w:sz w:val="22"/>
                <w:szCs w:val="22"/>
                <w:shd w:val="clear" w:color="auto" w:fill="FFFFFF"/>
              </w:rPr>
            </w:pPr>
            <w:r w:rsidRPr="001C2D09">
              <w:rPr>
                <w:sz w:val="22"/>
                <w:szCs w:val="22"/>
              </w:rPr>
              <w:t>5</w:t>
            </w:r>
          </w:p>
        </w:tc>
        <w:tc>
          <w:tcPr>
            <w:tcW w:w="1260" w:type="dxa"/>
            <w:vAlign w:val="bottom"/>
          </w:tcPr>
          <w:p w:rsidR="00577884" w:rsidRPr="001C2D09" w:rsidP="00D92EE8" w14:paraId="03693A26" w14:textId="0B49B1AD">
            <w:pPr>
              <w:jc w:val="center"/>
              <w:rPr>
                <w:spacing w:val="-3"/>
                <w:sz w:val="22"/>
                <w:szCs w:val="22"/>
                <w:shd w:val="clear" w:color="auto" w:fill="FFFFFF"/>
              </w:rPr>
            </w:pPr>
            <w:r w:rsidRPr="001C2D09">
              <w:rPr>
                <w:sz w:val="22"/>
                <w:szCs w:val="22"/>
              </w:rPr>
              <w:t>5</w:t>
            </w:r>
          </w:p>
        </w:tc>
        <w:tc>
          <w:tcPr>
            <w:tcW w:w="990" w:type="dxa"/>
            <w:shd w:val="clear" w:color="auto" w:fill="auto"/>
            <w:vAlign w:val="bottom"/>
          </w:tcPr>
          <w:p w:rsidR="005D45B8" w:rsidRPr="001C2D09" w:rsidP="00D92EE8" w14:paraId="76E86C7D" w14:textId="33BDE933">
            <w:pPr>
              <w:jc w:val="right"/>
              <w:rPr>
                <w:rFonts w:eastAsia="MS Gothic"/>
                <w:b/>
                <w:bCs/>
                <w:i/>
                <w:iCs/>
                <w:spacing w:val="-3"/>
                <w:sz w:val="22"/>
                <w:szCs w:val="22"/>
                <w:shd w:val="clear" w:color="auto" w:fill="FFFFFF"/>
              </w:rPr>
            </w:pPr>
            <w:r w:rsidRPr="001C2D09">
              <w:rPr>
                <w:sz w:val="22"/>
                <w:szCs w:val="22"/>
              </w:rPr>
              <w:t>5</w:t>
            </w:r>
          </w:p>
        </w:tc>
        <w:tc>
          <w:tcPr>
            <w:tcW w:w="990" w:type="dxa"/>
            <w:shd w:val="clear" w:color="auto" w:fill="auto"/>
            <w:vAlign w:val="bottom"/>
          </w:tcPr>
          <w:p w:rsidR="005D45B8" w:rsidRPr="001C2D09" w:rsidP="00D92EE8" w14:paraId="4D96E973" w14:textId="16E87754">
            <w:pPr>
              <w:jc w:val="right"/>
              <w:rPr>
                <w:rFonts w:eastAsia="MS Gothic"/>
                <w:b/>
                <w:bCs/>
                <w:i/>
                <w:iCs/>
                <w:spacing w:val="-3"/>
                <w:sz w:val="22"/>
                <w:szCs w:val="22"/>
                <w:shd w:val="clear" w:color="auto" w:fill="FFFFFF"/>
              </w:rPr>
            </w:pPr>
            <w:r w:rsidRPr="001C2D09">
              <w:rPr>
                <w:sz w:val="22"/>
                <w:szCs w:val="22"/>
              </w:rPr>
              <w:t>25</w:t>
            </w:r>
          </w:p>
        </w:tc>
        <w:tc>
          <w:tcPr>
            <w:tcW w:w="1260" w:type="dxa"/>
            <w:shd w:val="clear" w:color="auto" w:fill="auto"/>
            <w:vAlign w:val="bottom"/>
          </w:tcPr>
          <w:p w:rsidR="005D45B8" w:rsidRPr="001C2D09" w:rsidP="00D92EE8" w14:paraId="3186CC4D" w14:textId="566A3C61">
            <w:pPr>
              <w:jc w:val="right"/>
              <w:rPr>
                <w:spacing w:val="-3"/>
                <w:sz w:val="22"/>
                <w:szCs w:val="22"/>
                <w:shd w:val="clear" w:color="auto" w:fill="FFFFFF"/>
              </w:rPr>
            </w:pPr>
            <w:r w:rsidRPr="001C2D09">
              <w:rPr>
                <w:sz w:val="22"/>
                <w:szCs w:val="22"/>
              </w:rPr>
              <w:t>$ 1,893</w:t>
            </w:r>
          </w:p>
        </w:tc>
        <w:tc>
          <w:tcPr>
            <w:tcW w:w="1445" w:type="dxa"/>
            <w:vAlign w:val="center"/>
          </w:tcPr>
          <w:p w:rsidR="006D30A3" w:rsidRPr="001C2D09" w:rsidP="00D92EE8" w14:paraId="6E44E6B7" w14:textId="77777777">
            <w:pPr>
              <w:spacing w:line="259" w:lineRule="auto"/>
              <w:jc w:val="center"/>
              <w:rPr>
                <w:sz w:val="22"/>
                <w:szCs w:val="22"/>
              </w:rPr>
            </w:pPr>
          </w:p>
          <w:p w:rsidR="006D30A3" w:rsidRPr="001C2D09" w:rsidP="00D92EE8" w14:paraId="5BCC680A" w14:textId="77777777">
            <w:pPr>
              <w:spacing w:line="259" w:lineRule="auto"/>
              <w:jc w:val="center"/>
              <w:rPr>
                <w:sz w:val="22"/>
                <w:szCs w:val="22"/>
              </w:rPr>
            </w:pPr>
          </w:p>
          <w:p w:rsidR="005D45B8" w:rsidRPr="001C2D09" w:rsidP="00D92EE8" w14:paraId="1B58728D" w14:textId="0E12E3ED">
            <w:pPr>
              <w:spacing w:line="259" w:lineRule="auto"/>
              <w:jc w:val="center"/>
              <w:rPr>
                <w:sz w:val="22"/>
                <w:szCs w:val="22"/>
              </w:rPr>
            </w:pPr>
            <w:r w:rsidRPr="001C2D09">
              <w:rPr>
                <w:sz w:val="22"/>
                <w:szCs w:val="22"/>
              </w:rPr>
              <w:t xml:space="preserve"> $2,46</w:t>
            </w:r>
            <w:r w:rsidRPr="001C2D09" w:rsidR="006D30A3">
              <w:rPr>
                <w:sz w:val="22"/>
                <w:szCs w:val="22"/>
              </w:rPr>
              <w:t>1</w:t>
            </w:r>
          </w:p>
        </w:tc>
      </w:tr>
      <w:tr w14:paraId="2C48E103" w14:textId="77777777" w:rsidTr="005B4C61">
        <w:tblPrEx>
          <w:tblW w:w="10710" w:type="dxa"/>
          <w:tblLayout w:type="fixed"/>
          <w:tblLook w:val="01E0"/>
        </w:tblPrEx>
        <w:tc>
          <w:tcPr>
            <w:tcW w:w="1890" w:type="dxa"/>
            <w:shd w:val="clear" w:color="auto" w:fill="auto"/>
            <w:vAlign w:val="center"/>
          </w:tcPr>
          <w:p w:rsidR="005D45B8" w:rsidRPr="001C2D09" w:rsidP="00D92EE8" w14:paraId="522E408A" w14:textId="220954B3">
            <w:pPr>
              <w:rPr>
                <w:spacing w:val="-3"/>
                <w:sz w:val="22"/>
                <w:szCs w:val="22"/>
                <w:shd w:val="clear" w:color="auto" w:fill="FFFFFF"/>
              </w:rPr>
            </w:pPr>
            <w:r w:rsidRPr="001C2D09">
              <w:rPr>
                <w:sz w:val="22"/>
                <w:szCs w:val="22"/>
              </w:rPr>
              <w:t>j. Subscriber List Information Disclosure Requirement for Providers of Telephone Exchange Service</w:t>
            </w:r>
          </w:p>
        </w:tc>
        <w:tc>
          <w:tcPr>
            <w:tcW w:w="1615" w:type="dxa"/>
            <w:shd w:val="clear" w:color="auto" w:fill="auto"/>
            <w:vAlign w:val="bottom"/>
          </w:tcPr>
          <w:p w:rsidR="005D45B8" w:rsidRPr="001C2D09" w:rsidP="00D92EE8" w14:paraId="5BCC6F32" w14:textId="33C4AF96">
            <w:pPr>
              <w:rPr>
                <w:spacing w:val="-3"/>
                <w:sz w:val="22"/>
                <w:szCs w:val="22"/>
                <w:shd w:val="clear" w:color="auto" w:fill="FFFFFF"/>
              </w:rPr>
            </w:pPr>
            <w:r w:rsidRPr="001C2D09">
              <w:rPr>
                <w:sz w:val="22"/>
                <w:szCs w:val="22"/>
              </w:rPr>
              <w:t>Disclosure</w:t>
            </w:r>
          </w:p>
        </w:tc>
        <w:tc>
          <w:tcPr>
            <w:tcW w:w="1260" w:type="dxa"/>
            <w:shd w:val="clear" w:color="auto" w:fill="auto"/>
            <w:vAlign w:val="bottom"/>
          </w:tcPr>
          <w:p w:rsidR="005D45B8" w:rsidRPr="001C2D09" w:rsidP="00D92EE8" w14:paraId="4D07A838" w14:textId="7D3E5911">
            <w:pPr>
              <w:jc w:val="right"/>
              <w:rPr>
                <w:spacing w:val="-3"/>
                <w:sz w:val="22"/>
                <w:szCs w:val="22"/>
                <w:shd w:val="clear" w:color="auto" w:fill="FFFFFF"/>
              </w:rPr>
            </w:pPr>
            <w:r w:rsidRPr="001C2D09">
              <w:rPr>
                <w:sz w:val="22"/>
                <w:szCs w:val="22"/>
              </w:rPr>
              <w:t xml:space="preserve"> 978</w:t>
            </w:r>
          </w:p>
        </w:tc>
        <w:tc>
          <w:tcPr>
            <w:tcW w:w="1260" w:type="dxa"/>
            <w:vAlign w:val="bottom"/>
          </w:tcPr>
          <w:p w:rsidR="00577884" w:rsidRPr="001C2D09" w:rsidP="00D92EE8" w14:paraId="0E419D11" w14:textId="5BEBD52A">
            <w:pPr>
              <w:jc w:val="center"/>
              <w:rPr>
                <w:spacing w:val="-3"/>
                <w:sz w:val="22"/>
                <w:szCs w:val="22"/>
                <w:shd w:val="clear" w:color="auto" w:fill="FFFFFF"/>
              </w:rPr>
            </w:pPr>
            <w:r w:rsidRPr="001C2D09">
              <w:rPr>
                <w:sz w:val="22"/>
                <w:szCs w:val="22"/>
              </w:rPr>
              <w:t xml:space="preserve"> 5,868</w:t>
            </w:r>
          </w:p>
        </w:tc>
        <w:tc>
          <w:tcPr>
            <w:tcW w:w="990" w:type="dxa"/>
            <w:shd w:val="clear" w:color="auto" w:fill="auto"/>
            <w:vAlign w:val="bottom"/>
          </w:tcPr>
          <w:p w:rsidR="005D45B8" w:rsidRPr="001C2D09" w:rsidP="00D92EE8" w14:paraId="77A809A6" w14:textId="135D3146">
            <w:pPr>
              <w:jc w:val="right"/>
              <w:rPr>
                <w:spacing w:val="-3"/>
                <w:sz w:val="22"/>
                <w:szCs w:val="22"/>
                <w:shd w:val="clear" w:color="auto" w:fill="FFFFFF"/>
              </w:rPr>
            </w:pPr>
            <w:r w:rsidRPr="001C2D09">
              <w:rPr>
                <w:sz w:val="22"/>
                <w:szCs w:val="22"/>
              </w:rPr>
              <w:t>2</w:t>
            </w:r>
          </w:p>
        </w:tc>
        <w:tc>
          <w:tcPr>
            <w:tcW w:w="990" w:type="dxa"/>
            <w:shd w:val="clear" w:color="auto" w:fill="auto"/>
            <w:vAlign w:val="bottom"/>
          </w:tcPr>
          <w:p w:rsidR="005D45B8" w:rsidRPr="001C2D09" w:rsidP="00D92EE8" w14:paraId="4E1E9056" w14:textId="015D8CFF">
            <w:pPr>
              <w:jc w:val="right"/>
              <w:rPr>
                <w:spacing w:val="-3"/>
                <w:sz w:val="22"/>
                <w:szCs w:val="22"/>
                <w:shd w:val="clear" w:color="auto" w:fill="FFFFFF"/>
              </w:rPr>
            </w:pPr>
            <w:r w:rsidRPr="001C2D09">
              <w:rPr>
                <w:sz w:val="22"/>
                <w:szCs w:val="22"/>
              </w:rPr>
              <w:t xml:space="preserve"> 11,736</w:t>
            </w:r>
          </w:p>
        </w:tc>
        <w:tc>
          <w:tcPr>
            <w:tcW w:w="1260" w:type="dxa"/>
            <w:shd w:val="clear" w:color="auto" w:fill="auto"/>
            <w:vAlign w:val="bottom"/>
          </w:tcPr>
          <w:p w:rsidR="005D45B8" w:rsidRPr="001C2D09" w:rsidP="00D92EE8" w14:paraId="1E36743D" w14:textId="7CF6B2DA">
            <w:pPr>
              <w:jc w:val="right"/>
              <w:rPr>
                <w:spacing w:val="-3"/>
                <w:sz w:val="22"/>
                <w:szCs w:val="22"/>
                <w:shd w:val="clear" w:color="auto" w:fill="FFFFFF"/>
              </w:rPr>
            </w:pPr>
            <w:r w:rsidRPr="001C2D09">
              <w:rPr>
                <w:sz w:val="22"/>
                <w:szCs w:val="22"/>
              </w:rPr>
              <w:t xml:space="preserve"> $632,218</w:t>
            </w:r>
          </w:p>
        </w:tc>
        <w:tc>
          <w:tcPr>
            <w:tcW w:w="1445" w:type="dxa"/>
            <w:vAlign w:val="center"/>
          </w:tcPr>
          <w:p w:rsidR="00F071C2" w:rsidRPr="001C2D09" w:rsidP="00D92EE8" w14:paraId="5A856E31" w14:textId="77777777">
            <w:pPr>
              <w:jc w:val="center"/>
              <w:rPr>
                <w:sz w:val="22"/>
                <w:szCs w:val="22"/>
              </w:rPr>
            </w:pPr>
            <w:r w:rsidRPr="001C2D09">
              <w:rPr>
                <w:sz w:val="22"/>
                <w:szCs w:val="22"/>
              </w:rPr>
              <w:t xml:space="preserve"> </w:t>
            </w:r>
          </w:p>
          <w:p w:rsidR="00F071C2" w:rsidRPr="001C2D09" w:rsidP="00D92EE8" w14:paraId="18CE83D6" w14:textId="77777777">
            <w:pPr>
              <w:jc w:val="center"/>
              <w:rPr>
                <w:sz w:val="22"/>
                <w:szCs w:val="22"/>
              </w:rPr>
            </w:pPr>
          </w:p>
          <w:p w:rsidR="00F071C2" w:rsidRPr="001C2D09" w:rsidP="00D92EE8" w14:paraId="62CE3E6D" w14:textId="77777777">
            <w:pPr>
              <w:jc w:val="center"/>
              <w:rPr>
                <w:sz w:val="22"/>
                <w:szCs w:val="22"/>
              </w:rPr>
            </w:pPr>
          </w:p>
          <w:p w:rsidR="00F071C2" w:rsidRPr="001C2D09" w:rsidP="00D92EE8" w14:paraId="664BF9FE" w14:textId="77777777">
            <w:pPr>
              <w:jc w:val="center"/>
              <w:rPr>
                <w:sz w:val="22"/>
                <w:szCs w:val="22"/>
              </w:rPr>
            </w:pPr>
          </w:p>
          <w:p w:rsidR="00F071C2" w:rsidRPr="001C2D09" w:rsidP="00D92EE8" w14:paraId="3C5A1B1A" w14:textId="77777777">
            <w:pPr>
              <w:jc w:val="center"/>
              <w:rPr>
                <w:sz w:val="22"/>
                <w:szCs w:val="22"/>
              </w:rPr>
            </w:pPr>
          </w:p>
          <w:p w:rsidR="00F071C2" w:rsidRPr="001C2D09" w:rsidP="00D92EE8" w14:paraId="79EA9B8D" w14:textId="77777777">
            <w:pPr>
              <w:jc w:val="center"/>
              <w:rPr>
                <w:sz w:val="22"/>
                <w:szCs w:val="22"/>
              </w:rPr>
            </w:pPr>
          </w:p>
          <w:p w:rsidR="005D45B8" w:rsidRPr="001C2D09" w:rsidP="00D92EE8" w14:paraId="2A1615A3" w14:textId="407CAB05">
            <w:pPr>
              <w:jc w:val="center"/>
              <w:rPr>
                <w:spacing w:val="-3"/>
                <w:sz w:val="22"/>
                <w:szCs w:val="22"/>
                <w:shd w:val="clear" w:color="auto" w:fill="FFFFFF"/>
              </w:rPr>
            </w:pPr>
            <w:r w:rsidRPr="001C2D09">
              <w:rPr>
                <w:sz w:val="22"/>
                <w:szCs w:val="22"/>
              </w:rPr>
              <w:t>$821,88</w:t>
            </w:r>
            <w:r w:rsidRPr="001C2D09" w:rsidR="00E815DC">
              <w:rPr>
                <w:sz w:val="22"/>
                <w:szCs w:val="22"/>
              </w:rPr>
              <w:t>3</w:t>
            </w:r>
          </w:p>
        </w:tc>
      </w:tr>
      <w:tr w14:paraId="286DED50" w14:textId="77777777" w:rsidTr="005B4C61">
        <w:tblPrEx>
          <w:tblW w:w="10710" w:type="dxa"/>
          <w:tblLayout w:type="fixed"/>
          <w:tblLook w:val="01E0"/>
        </w:tblPrEx>
        <w:trPr>
          <w:trHeight w:val="305"/>
        </w:trPr>
        <w:tc>
          <w:tcPr>
            <w:tcW w:w="1890" w:type="dxa"/>
            <w:shd w:val="clear" w:color="auto" w:fill="auto"/>
            <w:vAlign w:val="center"/>
          </w:tcPr>
          <w:p w:rsidR="005D45B8" w:rsidRPr="001C2D09" w:rsidP="00D92EE8" w14:paraId="02ECFEEB" w14:textId="0480144E">
            <w:pPr>
              <w:rPr>
                <w:spacing w:val="-3"/>
                <w:sz w:val="22"/>
                <w:szCs w:val="22"/>
                <w:shd w:val="clear" w:color="auto" w:fill="FFFFFF"/>
              </w:rPr>
            </w:pPr>
            <w:r w:rsidRPr="001C2D09">
              <w:rPr>
                <w:sz w:val="22"/>
                <w:szCs w:val="22"/>
              </w:rPr>
              <w:t>k. Notifications</w:t>
            </w:r>
          </w:p>
        </w:tc>
        <w:tc>
          <w:tcPr>
            <w:tcW w:w="1615" w:type="dxa"/>
            <w:shd w:val="clear" w:color="auto" w:fill="auto"/>
            <w:vAlign w:val="bottom"/>
          </w:tcPr>
          <w:p w:rsidR="005D45B8" w:rsidRPr="001C2D09" w:rsidP="00D92EE8" w14:paraId="58FC3424" w14:textId="6BD902B8">
            <w:pPr>
              <w:rPr>
                <w:spacing w:val="-3"/>
                <w:sz w:val="22"/>
                <w:szCs w:val="22"/>
                <w:shd w:val="clear" w:color="auto" w:fill="FFFFFF"/>
              </w:rPr>
            </w:pPr>
            <w:r w:rsidRPr="001C2D09">
              <w:rPr>
                <w:sz w:val="22"/>
                <w:szCs w:val="22"/>
              </w:rPr>
              <w:t>Notifications</w:t>
            </w:r>
          </w:p>
        </w:tc>
        <w:tc>
          <w:tcPr>
            <w:tcW w:w="1260" w:type="dxa"/>
            <w:shd w:val="clear" w:color="auto" w:fill="auto"/>
            <w:vAlign w:val="bottom"/>
          </w:tcPr>
          <w:p w:rsidR="005D45B8" w:rsidRPr="001C2D09" w:rsidP="00D92EE8" w14:paraId="5E6940D0" w14:textId="4FCC405B">
            <w:pPr>
              <w:jc w:val="right"/>
              <w:rPr>
                <w:spacing w:val="-3"/>
                <w:sz w:val="22"/>
                <w:szCs w:val="22"/>
                <w:shd w:val="clear" w:color="auto" w:fill="FFFFFF"/>
              </w:rPr>
            </w:pPr>
            <w:r w:rsidRPr="001C2D09">
              <w:rPr>
                <w:sz w:val="22"/>
                <w:szCs w:val="22"/>
              </w:rPr>
              <w:t xml:space="preserve"> 500</w:t>
            </w:r>
          </w:p>
        </w:tc>
        <w:tc>
          <w:tcPr>
            <w:tcW w:w="1260" w:type="dxa"/>
          </w:tcPr>
          <w:p w:rsidR="4524E519" w:rsidRPr="001C2D09" w:rsidP="00D92EE8" w14:paraId="3F5794DB" w14:textId="2C626CF1">
            <w:pPr>
              <w:jc w:val="center"/>
              <w:rPr>
                <w:sz w:val="22"/>
                <w:szCs w:val="22"/>
              </w:rPr>
            </w:pPr>
          </w:p>
          <w:p w:rsidR="00577884" w:rsidRPr="001C2D09" w:rsidP="00D92EE8" w14:paraId="1CAEF90F" w14:textId="69CDCA02">
            <w:pPr>
              <w:jc w:val="center"/>
              <w:rPr>
                <w:spacing w:val="-3"/>
                <w:sz w:val="22"/>
                <w:szCs w:val="22"/>
                <w:shd w:val="clear" w:color="auto" w:fill="FFFFFF"/>
              </w:rPr>
            </w:pPr>
            <w:r w:rsidRPr="001C2D09">
              <w:rPr>
                <w:sz w:val="22"/>
                <w:szCs w:val="22"/>
              </w:rPr>
              <w:t xml:space="preserve"> 500</w:t>
            </w:r>
          </w:p>
        </w:tc>
        <w:tc>
          <w:tcPr>
            <w:tcW w:w="990" w:type="dxa"/>
            <w:shd w:val="clear" w:color="auto" w:fill="auto"/>
            <w:vAlign w:val="bottom"/>
          </w:tcPr>
          <w:p w:rsidR="005D45B8" w:rsidRPr="001C2D09" w:rsidP="00D92EE8" w14:paraId="7F957F86" w14:textId="36C1EAAB">
            <w:pPr>
              <w:jc w:val="right"/>
              <w:rPr>
                <w:spacing w:val="-3"/>
                <w:sz w:val="22"/>
                <w:szCs w:val="22"/>
                <w:shd w:val="clear" w:color="auto" w:fill="FFFFFF"/>
              </w:rPr>
            </w:pPr>
            <w:r w:rsidRPr="001C2D09">
              <w:rPr>
                <w:sz w:val="22"/>
                <w:szCs w:val="22"/>
              </w:rPr>
              <w:t>1</w:t>
            </w:r>
          </w:p>
        </w:tc>
        <w:tc>
          <w:tcPr>
            <w:tcW w:w="990" w:type="dxa"/>
            <w:shd w:val="clear" w:color="auto" w:fill="auto"/>
            <w:vAlign w:val="bottom"/>
          </w:tcPr>
          <w:p w:rsidR="005D45B8" w:rsidRPr="001C2D09" w:rsidP="00D92EE8" w14:paraId="254A3809" w14:textId="16CB9E99">
            <w:pPr>
              <w:jc w:val="right"/>
              <w:rPr>
                <w:spacing w:val="-3"/>
                <w:sz w:val="22"/>
                <w:szCs w:val="22"/>
                <w:shd w:val="clear" w:color="auto" w:fill="FFFFFF"/>
              </w:rPr>
            </w:pPr>
            <w:r w:rsidRPr="001C2D09">
              <w:rPr>
                <w:sz w:val="22"/>
                <w:szCs w:val="22"/>
              </w:rPr>
              <w:t xml:space="preserve"> 500</w:t>
            </w:r>
          </w:p>
        </w:tc>
        <w:tc>
          <w:tcPr>
            <w:tcW w:w="1260" w:type="dxa"/>
            <w:shd w:val="clear" w:color="auto" w:fill="auto"/>
            <w:vAlign w:val="bottom"/>
          </w:tcPr>
          <w:p w:rsidR="005D45B8" w:rsidRPr="001C2D09" w:rsidP="00D92EE8" w14:paraId="2B546A97" w14:textId="1C900E54">
            <w:pPr>
              <w:jc w:val="right"/>
              <w:rPr>
                <w:spacing w:val="-3"/>
                <w:sz w:val="22"/>
                <w:szCs w:val="22"/>
                <w:shd w:val="clear" w:color="auto" w:fill="FFFFFF"/>
              </w:rPr>
            </w:pPr>
            <w:r w:rsidRPr="001C2D09">
              <w:rPr>
                <w:sz w:val="22"/>
                <w:szCs w:val="22"/>
              </w:rPr>
              <w:t xml:space="preserve"> $</w:t>
            </w:r>
            <w:r w:rsidRPr="001C2D09" w:rsidR="1A374AFB">
              <w:rPr>
                <w:sz w:val="22"/>
                <w:szCs w:val="22"/>
              </w:rPr>
              <w:t>26,935</w:t>
            </w:r>
          </w:p>
        </w:tc>
        <w:tc>
          <w:tcPr>
            <w:tcW w:w="1445" w:type="dxa"/>
            <w:vAlign w:val="center"/>
          </w:tcPr>
          <w:p w:rsidR="002006BC" w:rsidRPr="001C2D09" w:rsidP="00D92EE8" w14:paraId="0F7EC620" w14:textId="77777777">
            <w:pPr>
              <w:jc w:val="center"/>
              <w:rPr>
                <w:sz w:val="22"/>
                <w:szCs w:val="22"/>
              </w:rPr>
            </w:pPr>
          </w:p>
          <w:p w:rsidR="005D45B8" w:rsidRPr="001C2D09" w:rsidP="00D92EE8" w14:paraId="6089FAF8" w14:textId="080A5580">
            <w:pPr>
              <w:jc w:val="center"/>
              <w:rPr>
                <w:spacing w:val="-3"/>
                <w:sz w:val="22"/>
                <w:szCs w:val="22"/>
                <w:shd w:val="clear" w:color="auto" w:fill="FFFFFF"/>
              </w:rPr>
            </w:pPr>
            <w:r w:rsidRPr="001C2D09">
              <w:rPr>
                <w:sz w:val="22"/>
                <w:szCs w:val="22"/>
              </w:rPr>
              <w:t xml:space="preserve"> $35,016</w:t>
            </w:r>
          </w:p>
        </w:tc>
      </w:tr>
      <w:tr w14:paraId="0AC37056" w14:textId="77777777" w:rsidTr="005B4C61">
        <w:tblPrEx>
          <w:tblW w:w="10710" w:type="dxa"/>
          <w:tblLayout w:type="fixed"/>
          <w:tblLook w:val="01E0"/>
        </w:tblPrEx>
        <w:trPr>
          <w:trHeight w:val="242"/>
        </w:trPr>
        <w:tc>
          <w:tcPr>
            <w:tcW w:w="1890" w:type="dxa"/>
            <w:vMerge w:val="restart"/>
            <w:shd w:val="clear" w:color="auto" w:fill="auto"/>
            <w:vAlign w:val="center"/>
          </w:tcPr>
          <w:p w:rsidR="005D45B8" w:rsidRPr="001C2D09" w:rsidP="00D92EE8" w14:paraId="53A8464C" w14:textId="0B40B16F">
            <w:pPr>
              <w:rPr>
                <w:spacing w:val="-3"/>
                <w:sz w:val="22"/>
                <w:szCs w:val="22"/>
                <w:shd w:val="clear" w:color="auto" w:fill="FFFFFF"/>
              </w:rPr>
            </w:pPr>
            <w:r w:rsidRPr="001C2D09">
              <w:rPr>
                <w:sz w:val="22"/>
                <w:szCs w:val="22"/>
              </w:rPr>
              <w:t>l</w:t>
            </w:r>
            <w:r w:rsidRPr="001C2D09" w:rsidR="001D25CE">
              <w:rPr>
                <w:sz w:val="22"/>
                <w:szCs w:val="22"/>
              </w:rPr>
              <w:t>. Disclosure of Contract Rates, Terms, and Conditions and Recordkeeping</w:t>
            </w:r>
          </w:p>
        </w:tc>
        <w:tc>
          <w:tcPr>
            <w:tcW w:w="1615" w:type="dxa"/>
            <w:shd w:val="clear" w:color="auto" w:fill="auto"/>
            <w:vAlign w:val="bottom"/>
          </w:tcPr>
          <w:p w:rsidR="005D45B8" w:rsidRPr="001C2D09" w:rsidP="00D92EE8" w14:paraId="799DC333" w14:textId="4D67C079">
            <w:pPr>
              <w:rPr>
                <w:spacing w:val="-3"/>
                <w:sz w:val="22"/>
                <w:szCs w:val="22"/>
                <w:shd w:val="clear" w:color="auto" w:fill="FFFFFF"/>
              </w:rPr>
            </w:pPr>
            <w:r w:rsidRPr="001C2D09">
              <w:rPr>
                <w:sz w:val="22"/>
                <w:szCs w:val="22"/>
              </w:rPr>
              <w:t>Recordkeeping</w:t>
            </w:r>
          </w:p>
        </w:tc>
        <w:tc>
          <w:tcPr>
            <w:tcW w:w="1260" w:type="dxa"/>
            <w:shd w:val="clear" w:color="auto" w:fill="auto"/>
            <w:vAlign w:val="bottom"/>
          </w:tcPr>
          <w:p w:rsidR="005D45B8" w:rsidRPr="001C2D09" w:rsidP="00D92EE8" w14:paraId="34566374" w14:textId="4BE39E27">
            <w:pPr>
              <w:jc w:val="right"/>
              <w:rPr>
                <w:spacing w:val="-3"/>
                <w:sz w:val="22"/>
                <w:szCs w:val="22"/>
                <w:shd w:val="clear" w:color="auto" w:fill="FFFFFF"/>
              </w:rPr>
            </w:pPr>
            <w:r w:rsidRPr="001C2D09">
              <w:rPr>
                <w:sz w:val="22"/>
                <w:szCs w:val="22"/>
              </w:rPr>
              <w:t xml:space="preserve"> </w:t>
            </w:r>
            <w:r w:rsidRPr="001C2D09" w:rsidR="14B22D88">
              <w:rPr>
                <w:sz w:val="22"/>
                <w:szCs w:val="22"/>
              </w:rPr>
              <w:t>500</w:t>
            </w:r>
          </w:p>
        </w:tc>
        <w:tc>
          <w:tcPr>
            <w:tcW w:w="1260" w:type="dxa"/>
          </w:tcPr>
          <w:p w:rsidR="4524E519" w:rsidRPr="001C2D09" w:rsidP="00D92EE8" w14:paraId="4D02998C" w14:textId="3446FD8E">
            <w:pPr>
              <w:jc w:val="center"/>
              <w:rPr>
                <w:sz w:val="22"/>
                <w:szCs w:val="22"/>
              </w:rPr>
            </w:pPr>
          </w:p>
          <w:p w:rsidR="00E0297A" w:rsidRPr="001C2D09" w:rsidP="00D92EE8" w14:paraId="2D7E9CFF" w14:textId="76372C29">
            <w:pPr>
              <w:jc w:val="center"/>
              <w:rPr>
                <w:spacing w:val="-3"/>
                <w:sz w:val="22"/>
                <w:szCs w:val="22"/>
                <w:shd w:val="clear" w:color="auto" w:fill="FFFFFF"/>
              </w:rPr>
            </w:pPr>
            <w:r w:rsidRPr="001C2D09">
              <w:rPr>
                <w:sz w:val="22"/>
                <w:szCs w:val="22"/>
              </w:rPr>
              <w:t xml:space="preserve"> 500</w:t>
            </w:r>
          </w:p>
        </w:tc>
        <w:tc>
          <w:tcPr>
            <w:tcW w:w="990" w:type="dxa"/>
            <w:shd w:val="clear" w:color="auto" w:fill="auto"/>
            <w:vAlign w:val="bottom"/>
          </w:tcPr>
          <w:p w:rsidR="005D45B8" w:rsidRPr="001C2D09" w:rsidP="00D92EE8" w14:paraId="6D59A698" w14:textId="6EC81FE0">
            <w:pPr>
              <w:jc w:val="right"/>
              <w:rPr>
                <w:spacing w:val="-3"/>
                <w:sz w:val="22"/>
                <w:szCs w:val="22"/>
                <w:shd w:val="clear" w:color="auto" w:fill="FFFFFF"/>
              </w:rPr>
            </w:pPr>
            <w:r w:rsidRPr="001C2D09">
              <w:rPr>
                <w:sz w:val="22"/>
                <w:szCs w:val="22"/>
              </w:rPr>
              <w:t>0.5</w:t>
            </w:r>
          </w:p>
        </w:tc>
        <w:tc>
          <w:tcPr>
            <w:tcW w:w="990" w:type="dxa"/>
            <w:shd w:val="clear" w:color="auto" w:fill="auto"/>
            <w:vAlign w:val="bottom"/>
          </w:tcPr>
          <w:p w:rsidR="005D45B8" w:rsidRPr="001C2D09" w:rsidP="00D92EE8" w14:paraId="23590BC2" w14:textId="3DA6139C">
            <w:pPr>
              <w:jc w:val="right"/>
              <w:rPr>
                <w:spacing w:val="-3"/>
                <w:sz w:val="22"/>
                <w:szCs w:val="22"/>
                <w:shd w:val="clear" w:color="auto" w:fill="FFFFFF"/>
              </w:rPr>
            </w:pPr>
            <w:r w:rsidRPr="001C2D09">
              <w:rPr>
                <w:sz w:val="22"/>
                <w:szCs w:val="22"/>
              </w:rPr>
              <w:t xml:space="preserve"> 250</w:t>
            </w:r>
          </w:p>
        </w:tc>
        <w:tc>
          <w:tcPr>
            <w:tcW w:w="1260" w:type="dxa"/>
            <w:shd w:val="clear" w:color="auto" w:fill="auto"/>
            <w:vAlign w:val="bottom"/>
          </w:tcPr>
          <w:p w:rsidR="005D45B8" w:rsidRPr="001C2D09" w:rsidP="00D92EE8" w14:paraId="2A24D2BE" w14:textId="274B251C">
            <w:pPr>
              <w:jc w:val="right"/>
              <w:rPr>
                <w:spacing w:val="-3"/>
                <w:sz w:val="22"/>
                <w:szCs w:val="22"/>
                <w:shd w:val="clear" w:color="auto" w:fill="FFFFFF"/>
              </w:rPr>
            </w:pPr>
            <w:r w:rsidRPr="001C2D09">
              <w:rPr>
                <w:sz w:val="22"/>
                <w:szCs w:val="22"/>
              </w:rPr>
              <w:t xml:space="preserve"> $13,468</w:t>
            </w:r>
          </w:p>
        </w:tc>
        <w:tc>
          <w:tcPr>
            <w:tcW w:w="1445" w:type="dxa"/>
            <w:vMerge w:val="restart"/>
            <w:vAlign w:val="center"/>
          </w:tcPr>
          <w:p w:rsidR="002006BC" w:rsidRPr="001C2D09" w:rsidP="00D92EE8" w14:paraId="10B1EC87" w14:textId="77777777">
            <w:pPr>
              <w:jc w:val="center"/>
              <w:rPr>
                <w:sz w:val="22"/>
                <w:szCs w:val="22"/>
              </w:rPr>
            </w:pPr>
            <w:r w:rsidRPr="001C2D09">
              <w:rPr>
                <w:sz w:val="22"/>
                <w:szCs w:val="22"/>
              </w:rPr>
              <w:t xml:space="preserve"> </w:t>
            </w:r>
          </w:p>
          <w:p w:rsidR="005D45B8" w:rsidRPr="001C2D09" w:rsidP="00D92EE8" w14:paraId="61B57E84" w14:textId="00EB01D3">
            <w:pPr>
              <w:jc w:val="center"/>
              <w:rPr>
                <w:spacing w:val="-3"/>
                <w:sz w:val="22"/>
                <w:szCs w:val="22"/>
                <w:shd w:val="clear" w:color="auto" w:fill="FFFFFF"/>
              </w:rPr>
            </w:pPr>
            <w:r w:rsidRPr="001C2D09">
              <w:rPr>
                <w:sz w:val="22"/>
                <w:szCs w:val="22"/>
              </w:rPr>
              <w:t>$105,04</w:t>
            </w:r>
            <w:r w:rsidRPr="001C2D09" w:rsidR="002006BC">
              <w:rPr>
                <w:sz w:val="22"/>
                <w:szCs w:val="22"/>
              </w:rPr>
              <w:t>8</w:t>
            </w:r>
          </w:p>
        </w:tc>
      </w:tr>
      <w:tr w14:paraId="51410494" w14:textId="77777777" w:rsidTr="005B4C61">
        <w:tblPrEx>
          <w:tblW w:w="10710" w:type="dxa"/>
          <w:tblLayout w:type="fixed"/>
          <w:tblLook w:val="01E0"/>
        </w:tblPrEx>
        <w:trPr>
          <w:trHeight w:val="278"/>
        </w:trPr>
        <w:tc>
          <w:tcPr>
            <w:tcW w:w="1890" w:type="dxa"/>
            <w:vMerge/>
            <w:vAlign w:val="center"/>
          </w:tcPr>
          <w:p w:rsidR="005D45B8" w:rsidRPr="001C2D09" w:rsidP="00D92EE8" w14:paraId="06B959AE" w14:textId="77777777">
            <w:pPr>
              <w:rPr>
                <w:spacing w:val="-3"/>
                <w:sz w:val="22"/>
                <w:szCs w:val="22"/>
                <w:shd w:val="clear" w:color="auto" w:fill="FFFFFF"/>
              </w:rPr>
            </w:pPr>
          </w:p>
        </w:tc>
        <w:tc>
          <w:tcPr>
            <w:tcW w:w="1615" w:type="dxa"/>
            <w:shd w:val="clear" w:color="auto" w:fill="auto"/>
            <w:vAlign w:val="bottom"/>
          </w:tcPr>
          <w:p w:rsidR="005D45B8" w:rsidRPr="001C2D09" w:rsidP="00D92EE8" w14:paraId="0FB211CD" w14:textId="191D3106">
            <w:pPr>
              <w:rPr>
                <w:spacing w:val="-3"/>
                <w:sz w:val="22"/>
                <w:szCs w:val="22"/>
                <w:shd w:val="clear" w:color="auto" w:fill="FFFFFF"/>
              </w:rPr>
            </w:pPr>
            <w:r w:rsidRPr="001C2D09">
              <w:rPr>
                <w:sz w:val="22"/>
                <w:szCs w:val="22"/>
              </w:rPr>
              <w:t>Records and Contracts</w:t>
            </w:r>
          </w:p>
        </w:tc>
        <w:tc>
          <w:tcPr>
            <w:tcW w:w="1260" w:type="dxa"/>
            <w:shd w:val="clear" w:color="auto" w:fill="auto"/>
            <w:vAlign w:val="bottom"/>
          </w:tcPr>
          <w:p w:rsidR="005D45B8" w:rsidRPr="001C2D09" w:rsidP="00D92EE8" w14:paraId="3D6191AE" w14:textId="64806E7B">
            <w:pPr>
              <w:jc w:val="right"/>
              <w:rPr>
                <w:spacing w:val="-3"/>
                <w:sz w:val="22"/>
                <w:szCs w:val="22"/>
                <w:shd w:val="clear" w:color="auto" w:fill="FFFFFF"/>
              </w:rPr>
            </w:pPr>
            <w:r w:rsidRPr="001C2D09">
              <w:rPr>
                <w:sz w:val="22"/>
                <w:szCs w:val="22"/>
              </w:rPr>
              <w:t xml:space="preserve"> 500</w:t>
            </w:r>
          </w:p>
        </w:tc>
        <w:tc>
          <w:tcPr>
            <w:tcW w:w="1260" w:type="dxa"/>
          </w:tcPr>
          <w:p w:rsidR="004731C3" w:rsidRPr="001C2D09" w:rsidP="00D92EE8" w14:paraId="28956A45" w14:textId="70ABF743">
            <w:pPr>
              <w:jc w:val="center"/>
              <w:rPr>
                <w:sz w:val="22"/>
                <w:szCs w:val="22"/>
              </w:rPr>
            </w:pPr>
          </w:p>
          <w:p w:rsidR="004731C3" w:rsidRPr="001C2D09" w:rsidP="00D92EE8" w14:paraId="28FFEB46" w14:textId="2E1B44E5">
            <w:pPr>
              <w:jc w:val="center"/>
              <w:rPr>
                <w:spacing w:val="-3"/>
                <w:sz w:val="22"/>
                <w:szCs w:val="22"/>
                <w:shd w:val="clear" w:color="auto" w:fill="FFFFFF"/>
              </w:rPr>
            </w:pPr>
            <w:r w:rsidRPr="001C2D09">
              <w:rPr>
                <w:sz w:val="22"/>
                <w:szCs w:val="22"/>
              </w:rPr>
              <w:t xml:space="preserve"> 500</w:t>
            </w:r>
          </w:p>
        </w:tc>
        <w:tc>
          <w:tcPr>
            <w:tcW w:w="990" w:type="dxa"/>
            <w:shd w:val="clear" w:color="auto" w:fill="auto"/>
            <w:vAlign w:val="bottom"/>
          </w:tcPr>
          <w:p w:rsidR="005D45B8" w:rsidRPr="001C2D09" w:rsidP="00D92EE8" w14:paraId="7CF1ACAD" w14:textId="657568E5">
            <w:pPr>
              <w:jc w:val="right"/>
              <w:rPr>
                <w:spacing w:val="-3"/>
                <w:sz w:val="22"/>
                <w:szCs w:val="22"/>
                <w:shd w:val="clear" w:color="auto" w:fill="FFFFFF"/>
              </w:rPr>
            </w:pPr>
            <w:r w:rsidRPr="001C2D09">
              <w:rPr>
                <w:sz w:val="22"/>
                <w:szCs w:val="22"/>
              </w:rPr>
              <w:t>0.5</w:t>
            </w:r>
          </w:p>
        </w:tc>
        <w:tc>
          <w:tcPr>
            <w:tcW w:w="990" w:type="dxa"/>
            <w:shd w:val="clear" w:color="auto" w:fill="auto"/>
            <w:vAlign w:val="bottom"/>
          </w:tcPr>
          <w:p w:rsidR="005D45B8" w:rsidRPr="001C2D09" w:rsidP="00D92EE8" w14:paraId="5E7A574A" w14:textId="672EC15B">
            <w:pPr>
              <w:jc w:val="right"/>
              <w:rPr>
                <w:spacing w:val="-3"/>
                <w:sz w:val="22"/>
                <w:szCs w:val="22"/>
                <w:shd w:val="clear" w:color="auto" w:fill="FFFFFF"/>
              </w:rPr>
            </w:pPr>
            <w:r w:rsidRPr="001C2D09">
              <w:rPr>
                <w:sz w:val="22"/>
                <w:szCs w:val="22"/>
              </w:rPr>
              <w:t xml:space="preserve"> 250</w:t>
            </w:r>
          </w:p>
        </w:tc>
        <w:tc>
          <w:tcPr>
            <w:tcW w:w="1260" w:type="dxa"/>
            <w:shd w:val="clear" w:color="auto" w:fill="auto"/>
            <w:vAlign w:val="bottom"/>
          </w:tcPr>
          <w:p w:rsidR="005D45B8" w:rsidRPr="001C2D09" w:rsidP="00D92EE8" w14:paraId="1673A833" w14:textId="07BCBACB">
            <w:pPr>
              <w:jc w:val="right"/>
              <w:rPr>
                <w:spacing w:val="-3"/>
                <w:sz w:val="22"/>
                <w:szCs w:val="22"/>
                <w:shd w:val="clear" w:color="auto" w:fill="FFFFFF"/>
              </w:rPr>
            </w:pPr>
            <w:r w:rsidRPr="001C2D09">
              <w:rPr>
                <w:sz w:val="22"/>
                <w:szCs w:val="22"/>
              </w:rPr>
              <w:t xml:space="preserve"> $13,468</w:t>
            </w:r>
          </w:p>
        </w:tc>
        <w:tc>
          <w:tcPr>
            <w:tcW w:w="1445" w:type="dxa"/>
            <w:vMerge/>
            <w:vAlign w:val="center"/>
          </w:tcPr>
          <w:p w:rsidR="005D45B8" w:rsidRPr="001C2D09" w:rsidP="00D92EE8" w14:paraId="6E0858BC" w14:textId="77777777">
            <w:pPr>
              <w:jc w:val="center"/>
              <w:rPr>
                <w:spacing w:val="-3"/>
                <w:sz w:val="22"/>
                <w:szCs w:val="22"/>
                <w:shd w:val="clear" w:color="auto" w:fill="FFFFFF"/>
              </w:rPr>
            </w:pPr>
          </w:p>
        </w:tc>
      </w:tr>
      <w:tr w14:paraId="33624D6E" w14:textId="77777777" w:rsidTr="005B4C61">
        <w:tblPrEx>
          <w:tblW w:w="10710" w:type="dxa"/>
          <w:tblLayout w:type="fixed"/>
          <w:tblLook w:val="01E0"/>
        </w:tblPrEx>
        <w:trPr>
          <w:trHeight w:val="314"/>
        </w:trPr>
        <w:tc>
          <w:tcPr>
            <w:tcW w:w="1890" w:type="dxa"/>
            <w:vMerge/>
            <w:vAlign w:val="center"/>
          </w:tcPr>
          <w:p w:rsidR="005D45B8" w:rsidRPr="001C2D09" w:rsidP="00D92EE8" w14:paraId="46598B57" w14:textId="77777777">
            <w:pPr>
              <w:rPr>
                <w:b/>
                <w:spacing w:val="-3"/>
                <w:sz w:val="22"/>
                <w:szCs w:val="22"/>
                <w:shd w:val="clear" w:color="auto" w:fill="FFFFFF"/>
              </w:rPr>
            </w:pPr>
          </w:p>
        </w:tc>
        <w:tc>
          <w:tcPr>
            <w:tcW w:w="1615" w:type="dxa"/>
            <w:shd w:val="clear" w:color="auto" w:fill="auto"/>
            <w:vAlign w:val="bottom"/>
          </w:tcPr>
          <w:p w:rsidR="005D45B8" w:rsidRPr="001C2D09" w:rsidP="00D92EE8" w14:paraId="74435FD2" w14:textId="367BBAAF">
            <w:pPr>
              <w:rPr>
                <w:spacing w:val="-3"/>
                <w:sz w:val="22"/>
                <w:szCs w:val="22"/>
                <w:shd w:val="clear" w:color="auto" w:fill="FFFFFF"/>
              </w:rPr>
            </w:pPr>
            <w:r w:rsidRPr="001C2D09">
              <w:rPr>
                <w:sz w:val="22"/>
                <w:szCs w:val="22"/>
              </w:rPr>
              <w:t>Disclosures to Publishers</w:t>
            </w:r>
          </w:p>
        </w:tc>
        <w:tc>
          <w:tcPr>
            <w:tcW w:w="1260" w:type="dxa"/>
            <w:shd w:val="clear" w:color="auto" w:fill="auto"/>
            <w:vAlign w:val="bottom"/>
          </w:tcPr>
          <w:p w:rsidR="005D45B8" w:rsidRPr="001C2D09" w:rsidP="00D92EE8" w14:paraId="77D88848" w14:textId="6E56C573">
            <w:pPr>
              <w:jc w:val="right"/>
              <w:rPr>
                <w:spacing w:val="-3"/>
                <w:sz w:val="22"/>
                <w:szCs w:val="22"/>
                <w:shd w:val="clear" w:color="auto" w:fill="FFFFFF"/>
              </w:rPr>
            </w:pPr>
            <w:r w:rsidRPr="001C2D09">
              <w:rPr>
                <w:sz w:val="22"/>
                <w:szCs w:val="22"/>
              </w:rPr>
              <w:t xml:space="preserve"> 500</w:t>
            </w:r>
          </w:p>
        </w:tc>
        <w:tc>
          <w:tcPr>
            <w:tcW w:w="1260" w:type="dxa"/>
            <w:vAlign w:val="bottom"/>
          </w:tcPr>
          <w:p w:rsidR="004731C3" w:rsidRPr="001C2D09" w:rsidP="00D92EE8" w14:paraId="657C83E4" w14:textId="11E1C677">
            <w:pPr>
              <w:jc w:val="center"/>
              <w:rPr>
                <w:spacing w:val="-3"/>
                <w:sz w:val="22"/>
                <w:szCs w:val="22"/>
                <w:shd w:val="clear" w:color="auto" w:fill="FFFFFF"/>
              </w:rPr>
            </w:pPr>
            <w:r w:rsidRPr="001C2D09">
              <w:rPr>
                <w:sz w:val="22"/>
                <w:szCs w:val="22"/>
              </w:rPr>
              <w:t xml:space="preserve"> 1,000</w:t>
            </w:r>
          </w:p>
        </w:tc>
        <w:tc>
          <w:tcPr>
            <w:tcW w:w="990" w:type="dxa"/>
            <w:shd w:val="clear" w:color="auto" w:fill="auto"/>
            <w:vAlign w:val="bottom"/>
          </w:tcPr>
          <w:p w:rsidR="005D45B8" w:rsidRPr="001C2D09" w:rsidP="00D92EE8" w14:paraId="52F5AB1F" w14:textId="65D8150F">
            <w:pPr>
              <w:jc w:val="right"/>
              <w:rPr>
                <w:spacing w:val="-3"/>
                <w:sz w:val="22"/>
                <w:szCs w:val="22"/>
                <w:shd w:val="clear" w:color="auto" w:fill="FFFFFF"/>
              </w:rPr>
            </w:pPr>
            <w:r w:rsidRPr="001C2D09">
              <w:rPr>
                <w:sz w:val="22"/>
                <w:szCs w:val="22"/>
              </w:rPr>
              <w:t>1</w:t>
            </w:r>
          </w:p>
        </w:tc>
        <w:tc>
          <w:tcPr>
            <w:tcW w:w="990" w:type="dxa"/>
            <w:shd w:val="clear" w:color="auto" w:fill="auto"/>
            <w:vAlign w:val="bottom"/>
          </w:tcPr>
          <w:p w:rsidR="005D45B8" w:rsidRPr="001C2D09" w:rsidP="00D92EE8" w14:paraId="22C3C1F6" w14:textId="1D87761C">
            <w:pPr>
              <w:jc w:val="right"/>
              <w:rPr>
                <w:spacing w:val="-3"/>
                <w:sz w:val="22"/>
                <w:szCs w:val="22"/>
                <w:shd w:val="clear" w:color="auto" w:fill="FFFFFF"/>
              </w:rPr>
            </w:pPr>
            <w:r w:rsidRPr="001C2D09">
              <w:rPr>
                <w:sz w:val="22"/>
                <w:szCs w:val="22"/>
              </w:rPr>
              <w:t xml:space="preserve"> 1,000</w:t>
            </w:r>
          </w:p>
        </w:tc>
        <w:tc>
          <w:tcPr>
            <w:tcW w:w="1260" w:type="dxa"/>
            <w:shd w:val="clear" w:color="auto" w:fill="auto"/>
            <w:vAlign w:val="bottom"/>
          </w:tcPr>
          <w:p w:rsidR="005D45B8" w:rsidRPr="001C2D09" w:rsidP="00D92EE8" w14:paraId="2A366CB1" w14:textId="45981483">
            <w:pPr>
              <w:jc w:val="right"/>
              <w:rPr>
                <w:spacing w:val="-3"/>
                <w:sz w:val="22"/>
                <w:szCs w:val="22"/>
                <w:shd w:val="clear" w:color="auto" w:fill="FFFFFF"/>
              </w:rPr>
            </w:pPr>
            <w:r w:rsidRPr="001C2D09">
              <w:rPr>
                <w:sz w:val="22"/>
                <w:szCs w:val="22"/>
              </w:rPr>
              <w:t xml:space="preserve"> $53,87</w:t>
            </w:r>
            <w:r w:rsidRPr="001C2D09" w:rsidR="00A34902">
              <w:rPr>
                <w:sz w:val="22"/>
                <w:szCs w:val="22"/>
              </w:rPr>
              <w:t>0</w:t>
            </w:r>
          </w:p>
        </w:tc>
        <w:tc>
          <w:tcPr>
            <w:tcW w:w="1445" w:type="dxa"/>
            <w:vMerge/>
            <w:vAlign w:val="center"/>
          </w:tcPr>
          <w:p w:rsidR="005D45B8" w:rsidRPr="001C2D09" w:rsidP="00D92EE8" w14:paraId="04F4836B" w14:textId="77777777">
            <w:pPr>
              <w:jc w:val="center"/>
              <w:rPr>
                <w:spacing w:val="-3"/>
                <w:sz w:val="22"/>
                <w:szCs w:val="22"/>
                <w:shd w:val="clear" w:color="auto" w:fill="FFFFFF"/>
              </w:rPr>
            </w:pPr>
          </w:p>
        </w:tc>
      </w:tr>
      <w:tr w14:paraId="1B84B3B2" w14:textId="77777777" w:rsidTr="005B4C61">
        <w:tblPrEx>
          <w:tblW w:w="10710" w:type="dxa"/>
          <w:tblLayout w:type="fixed"/>
          <w:tblLook w:val="01E0"/>
        </w:tblPrEx>
        <w:trPr>
          <w:trHeight w:val="881"/>
        </w:trPr>
        <w:tc>
          <w:tcPr>
            <w:tcW w:w="1890" w:type="dxa"/>
            <w:shd w:val="clear" w:color="auto" w:fill="auto"/>
            <w:vAlign w:val="center"/>
          </w:tcPr>
          <w:p w:rsidR="00F2227F" w:rsidRPr="001C2D09" w:rsidP="00D92EE8" w14:paraId="2A3D0564" w14:textId="68CF41B1">
            <w:pPr>
              <w:rPr>
                <w:spacing w:val="-3"/>
                <w:sz w:val="22"/>
                <w:szCs w:val="22"/>
                <w:shd w:val="clear" w:color="auto" w:fill="FFFFFF"/>
              </w:rPr>
            </w:pPr>
            <w:r w:rsidRPr="001C2D09">
              <w:rPr>
                <w:sz w:val="22"/>
                <w:szCs w:val="22"/>
              </w:rPr>
              <w:t>m. Password and Back-up Authentication Methods for Lost or Forgotten Passwords for Call Detail Telephone Access and Online Access</w:t>
            </w:r>
          </w:p>
        </w:tc>
        <w:tc>
          <w:tcPr>
            <w:tcW w:w="1615" w:type="dxa"/>
            <w:shd w:val="clear" w:color="auto" w:fill="auto"/>
            <w:vAlign w:val="bottom"/>
          </w:tcPr>
          <w:p w:rsidR="00F2227F" w:rsidRPr="001C2D09" w:rsidP="00D92EE8" w14:paraId="0C87D4CC" w14:textId="1514CBF9">
            <w:pPr>
              <w:rPr>
                <w:spacing w:val="-3"/>
                <w:sz w:val="22"/>
                <w:szCs w:val="22"/>
                <w:shd w:val="clear" w:color="auto" w:fill="FFFFFF"/>
              </w:rPr>
            </w:pPr>
            <w:r w:rsidRPr="001C2D09">
              <w:rPr>
                <w:sz w:val="22"/>
                <w:szCs w:val="22"/>
              </w:rPr>
              <w:t>Recordkeeping</w:t>
            </w:r>
          </w:p>
        </w:tc>
        <w:tc>
          <w:tcPr>
            <w:tcW w:w="1260" w:type="dxa"/>
            <w:shd w:val="clear" w:color="auto" w:fill="auto"/>
            <w:vAlign w:val="bottom"/>
          </w:tcPr>
          <w:p w:rsidR="00F2227F" w:rsidRPr="001C2D09" w:rsidP="00D92EE8" w14:paraId="22228C94" w14:textId="312FFEE4">
            <w:pPr>
              <w:jc w:val="right"/>
              <w:rPr>
                <w:spacing w:val="-3"/>
                <w:sz w:val="22"/>
                <w:szCs w:val="22"/>
                <w:shd w:val="clear" w:color="auto" w:fill="FFFFFF"/>
              </w:rPr>
            </w:pPr>
            <w:r w:rsidRPr="001C2D09">
              <w:rPr>
                <w:sz w:val="22"/>
                <w:szCs w:val="22"/>
              </w:rPr>
              <w:t xml:space="preserve"> 2,935</w:t>
            </w:r>
          </w:p>
        </w:tc>
        <w:tc>
          <w:tcPr>
            <w:tcW w:w="1260" w:type="dxa"/>
          </w:tcPr>
          <w:p w:rsidR="00F2227F" w:rsidRPr="001C2D09" w:rsidP="00D92EE8" w14:paraId="04A7419D" w14:textId="79744221">
            <w:pPr>
              <w:jc w:val="center"/>
              <w:rPr>
                <w:sz w:val="22"/>
                <w:szCs w:val="22"/>
              </w:rPr>
            </w:pPr>
          </w:p>
          <w:p w:rsidR="00F2227F" w:rsidRPr="001C2D09" w:rsidP="00D92EE8" w14:paraId="1F6B9F61" w14:textId="7A5BD507">
            <w:pPr>
              <w:jc w:val="center"/>
              <w:rPr>
                <w:sz w:val="22"/>
                <w:szCs w:val="22"/>
              </w:rPr>
            </w:pPr>
          </w:p>
          <w:p w:rsidR="00F2227F" w:rsidRPr="001C2D09" w:rsidP="00D92EE8" w14:paraId="24F28837" w14:textId="51C1985B">
            <w:pPr>
              <w:jc w:val="center"/>
              <w:rPr>
                <w:sz w:val="22"/>
                <w:szCs w:val="22"/>
              </w:rPr>
            </w:pPr>
          </w:p>
          <w:p w:rsidR="00F2227F" w:rsidRPr="001C2D09" w:rsidP="00D92EE8" w14:paraId="0055C9E9" w14:textId="43233AB7">
            <w:pPr>
              <w:jc w:val="center"/>
              <w:rPr>
                <w:sz w:val="22"/>
                <w:szCs w:val="22"/>
              </w:rPr>
            </w:pPr>
          </w:p>
          <w:p w:rsidR="00F2227F" w:rsidRPr="001C2D09" w:rsidP="00D92EE8" w14:paraId="0432FDC2" w14:textId="22D10AF9">
            <w:pPr>
              <w:jc w:val="center"/>
              <w:rPr>
                <w:sz w:val="22"/>
                <w:szCs w:val="22"/>
              </w:rPr>
            </w:pPr>
          </w:p>
          <w:p w:rsidR="00F2227F" w:rsidRPr="001C2D09" w:rsidP="00D92EE8" w14:paraId="7C311293" w14:textId="10B2A9E1">
            <w:pPr>
              <w:jc w:val="center"/>
              <w:rPr>
                <w:sz w:val="22"/>
                <w:szCs w:val="22"/>
              </w:rPr>
            </w:pPr>
          </w:p>
          <w:p w:rsidR="00F2227F" w:rsidRPr="001C2D09" w:rsidP="00D92EE8" w14:paraId="04803AA4" w14:textId="525C6CF1">
            <w:pPr>
              <w:jc w:val="center"/>
              <w:rPr>
                <w:sz w:val="22"/>
                <w:szCs w:val="22"/>
              </w:rPr>
            </w:pPr>
          </w:p>
          <w:p w:rsidR="00767103" w:rsidRPr="001C2D09" w:rsidP="00D92EE8" w14:paraId="66E392CE" w14:textId="77777777">
            <w:pPr>
              <w:jc w:val="center"/>
              <w:rPr>
                <w:sz w:val="22"/>
                <w:szCs w:val="22"/>
              </w:rPr>
            </w:pPr>
          </w:p>
          <w:p w:rsidR="00F2227F" w:rsidRPr="001C2D09" w:rsidP="00D92EE8" w14:paraId="7B99A861" w14:textId="49413D90">
            <w:pPr>
              <w:jc w:val="center"/>
              <w:rPr>
                <w:spacing w:val="-3"/>
                <w:sz w:val="22"/>
                <w:szCs w:val="22"/>
                <w:shd w:val="clear" w:color="auto" w:fill="FFFFFF"/>
              </w:rPr>
            </w:pPr>
            <w:r w:rsidRPr="001C2D09">
              <w:rPr>
                <w:sz w:val="22"/>
                <w:szCs w:val="22"/>
              </w:rPr>
              <w:t xml:space="preserve"> 147</w:t>
            </w:r>
          </w:p>
        </w:tc>
        <w:tc>
          <w:tcPr>
            <w:tcW w:w="990" w:type="dxa"/>
            <w:shd w:val="clear" w:color="auto" w:fill="auto"/>
            <w:vAlign w:val="bottom"/>
          </w:tcPr>
          <w:p w:rsidR="00F2227F" w:rsidRPr="001C2D09" w:rsidP="00D92EE8" w14:paraId="1B23D6BA" w14:textId="01D6F887">
            <w:pPr>
              <w:jc w:val="right"/>
              <w:rPr>
                <w:spacing w:val="-3"/>
                <w:sz w:val="22"/>
                <w:szCs w:val="22"/>
                <w:shd w:val="clear" w:color="auto" w:fill="FFFFFF"/>
              </w:rPr>
            </w:pPr>
            <w:r w:rsidRPr="001C2D09">
              <w:rPr>
                <w:sz w:val="22"/>
                <w:szCs w:val="22"/>
              </w:rPr>
              <w:t xml:space="preserve"> 10</w:t>
            </w:r>
          </w:p>
        </w:tc>
        <w:tc>
          <w:tcPr>
            <w:tcW w:w="990" w:type="dxa"/>
            <w:shd w:val="clear" w:color="auto" w:fill="auto"/>
            <w:vAlign w:val="bottom"/>
          </w:tcPr>
          <w:p w:rsidR="00F2227F" w:rsidRPr="001C2D09" w:rsidP="00D92EE8" w14:paraId="4C0F65F7" w14:textId="2F08F330">
            <w:pPr>
              <w:jc w:val="right"/>
              <w:rPr>
                <w:spacing w:val="-3"/>
                <w:sz w:val="22"/>
                <w:szCs w:val="22"/>
                <w:shd w:val="clear" w:color="auto" w:fill="FFFFFF"/>
              </w:rPr>
            </w:pPr>
            <w:r w:rsidRPr="001C2D09">
              <w:rPr>
                <w:sz w:val="22"/>
                <w:szCs w:val="22"/>
              </w:rPr>
              <w:t xml:space="preserve"> 1,470</w:t>
            </w:r>
          </w:p>
        </w:tc>
        <w:tc>
          <w:tcPr>
            <w:tcW w:w="1260" w:type="dxa"/>
            <w:shd w:val="clear" w:color="auto" w:fill="auto"/>
            <w:vAlign w:val="bottom"/>
          </w:tcPr>
          <w:p w:rsidR="00F2227F" w:rsidRPr="001C2D09" w:rsidP="00D92EE8" w14:paraId="13B601A4" w14:textId="4FBD106A">
            <w:pPr>
              <w:jc w:val="right"/>
              <w:rPr>
                <w:spacing w:val="-3"/>
                <w:sz w:val="22"/>
                <w:szCs w:val="22"/>
                <w:shd w:val="clear" w:color="auto" w:fill="FFFFFF"/>
              </w:rPr>
            </w:pPr>
            <w:r w:rsidRPr="001C2D09">
              <w:rPr>
                <w:sz w:val="22"/>
                <w:szCs w:val="22"/>
              </w:rPr>
              <w:t xml:space="preserve"> $</w:t>
            </w:r>
            <w:r w:rsidRPr="001C2D09" w:rsidR="007C13FA">
              <w:rPr>
                <w:sz w:val="22"/>
                <w:szCs w:val="22"/>
              </w:rPr>
              <w:t>79,189</w:t>
            </w:r>
          </w:p>
        </w:tc>
        <w:tc>
          <w:tcPr>
            <w:tcW w:w="1445" w:type="dxa"/>
            <w:vAlign w:val="center"/>
          </w:tcPr>
          <w:p w:rsidR="00767103" w:rsidRPr="001C2D09" w:rsidP="00D92EE8" w14:paraId="11996D95" w14:textId="77777777">
            <w:pPr>
              <w:jc w:val="center"/>
              <w:rPr>
                <w:sz w:val="22"/>
                <w:szCs w:val="22"/>
              </w:rPr>
            </w:pPr>
            <w:r w:rsidRPr="001C2D09">
              <w:rPr>
                <w:sz w:val="22"/>
                <w:szCs w:val="22"/>
              </w:rPr>
              <w:t xml:space="preserve"> </w:t>
            </w:r>
          </w:p>
          <w:p w:rsidR="00767103" w:rsidRPr="001C2D09" w:rsidP="00D92EE8" w14:paraId="162BCC3B" w14:textId="77777777">
            <w:pPr>
              <w:jc w:val="center"/>
              <w:rPr>
                <w:sz w:val="22"/>
                <w:szCs w:val="22"/>
              </w:rPr>
            </w:pPr>
          </w:p>
          <w:p w:rsidR="00767103" w:rsidRPr="001C2D09" w:rsidP="00D92EE8" w14:paraId="2E1547C9" w14:textId="77777777">
            <w:pPr>
              <w:jc w:val="center"/>
              <w:rPr>
                <w:sz w:val="22"/>
                <w:szCs w:val="22"/>
              </w:rPr>
            </w:pPr>
          </w:p>
          <w:p w:rsidR="00767103" w:rsidRPr="001C2D09" w:rsidP="00D92EE8" w14:paraId="4832B2B5" w14:textId="77777777">
            <w:pPr>
              <w:jc w:val="center"/>
              <w:rPr>
                <w:sz w:val="22"/>
                <w:szCs w:val="22"/>
              </w:rPr>
            </w:pPr>
          </w:p>
          <w:p w:rsidR="00767103" w:rsidRPr="001C2D09" w:rsidP="00D92EE8" w14:paraId="55663267" w14:textId="77777777">
            <w:pPr>
              <w:jc w:val="center"/>
              <w:rPr>
                <w:sz w:val="22"/>
                <w:szCs w:val="22"/>
              </w:rPr>
            </w:pPr>
          </w:p>
          <w:p w:rsidR="00767103" w:rsidRPr="001C2D09" w:rsidP="00D92EE8" w14:paraId="78349BCC" w14:textId="77777777">
            <w:pPr>
              <w:jc w:val="center"/>
              <w:rPr>
                <w:sz w:val="22"/>
                <w:szCs w:val="22"/>
              </w:rPr>
            </w:pPr>
          </w:p>
          <w:p w:rsidR="00767103" w:rsidRPr="001C2D09" w:rsidP="00D92EE8" w14:paraId="4CA09F77" w14:textId="77777777">
            <w:pPr>
              <w:jc w:val="center"/>
              <w:rPr>
                <w:sz w:val="22"/>
                <w:szCs w:val="22"/>
              </w:rPr>
            </w:pPr>
          </w:p>
          <w:p w:rsidR="00767103" w:rsidRPr="001C2D09" w:rsidP="00D92EE8" w14:paraId="668BED3B" w14:textId="77777777">
            <w:pPr>
              <w:jc w:val="center"/>
              <w:rPr>
                <w:sz w:val="22"/>
                <w:szCs w:val="22"/>
              </w:rPr>
            </w:pPr>
          </w:p>
          <w:p w:rsidR="00F2227F" w:rsidRPr="001C2D09" w:rsidP="00D92EE8" w14:paraId="4869BD01" w14:textId="61C66EF8">
            <w:pPr>
              <w:jc w:val="center"/>
              <w:rPr>
                <w:spacing w:val="-3"/>
                <w:sz w:val="22"/>
                <w:szCs w:val="22"/>
                <w:shd w:val="clear" w:color="auto" w:fill="FFFFFF"/>
              </w:rPr>
            </w:pPr>
            <w:r w:rsidRPr="001C2D09">
              <w:rPr>
                <w:sz w:val="22"/>
                <w:szCs w:val="22"/>
              </w:rPr>
              <w:t>$</w:t>
            </w:r>
            <w:r w:rsidRPr="001C2D09" w:rsidR="005C0893">
              <w:rPr>
                <w:sz w:val="22"/>
                <w:szCs w:val="22"/>
              </w:rPr>
              <w:t>102,946</w:t>
            </w:r>
          </w:p>
        </w:tc>
      </w:tr>
      <w:tr w14:paraId="080B3508" w14:textId="77777777" w:rsidTr="005B4C61">
        <w:tblPrEx>
          <w:tblW w:w="10710" w:type="dxa"/>
          <w:tblLayout w:type="fixed"/>
          <w:tblLook w:val="01E0"/>
        </w:tblPrEx>
        <w:trPr>
          <w:trHeight w:val="251"/>
        </w:trPr>
        <w:tc>
          <w:tcPr>
            <w:tcW w:w="1890" w:type="dxa"/>
            <w:shd w:val="clear" w:color="auto" w:fill="auto"/>
            <w:vAlign w:val="center"/>
          </w:tcPr>
          <w:p w:rsidR="005D45B8" w:rsidRPr="001C2D09" w:rsidP="00D92EE8" w14:paraId="4B06A97A" w14:textId="1A9AE82F">
            <w:pPr>
              <w:rPr>
                <w:spacing w:val="-3"/>
                <w:sz w:val="22"/>
                <w:szCs w:val="22"/>
                <w:shd w:val="clear" w:color="auto" w:fill="FFFFFF"/>
              </w:rPr>
            </w:pPr>
            <w:r w:rsidRPr="001C2D09">
              <w:rPr>
                <w:sz w:val="22"/>
                <w:szCs w:val="22"/>
              </w:rPr>
              <w:t>n</w:t>
            </w:r>
            <w:r w:rsidRPr="001C2D09" w:rsidR="001D25CE">
              <w:rPr>
                <w:sz w:val="22"/>
                <w:szCs w:val="22"/>
              </w:rPr>
              <w:t>.  Notification of Account Changes</w:t>
            </w:r>
          </w:p>
        </w:tc>
        <w:tc>
          <w:tcPr>
            <w:tcW w:w="1615" w:type="dxa"/>
            <w:shd w:val="clear" w:color="auto" w:fill="auto"/>
            <w:vAlign w:val="bottom"/>
          </w:tcPr>
          <w:p w:rsidR="005D45B8" w:rsidRPr="001C2D09" w:rsidP="00D92EE8" w14:paraId="59A08955" w14:textId="21A2D798">
            <w:pPr>
              <w:rPr>
                <w:spacing w:val="-3"/>
                <w:sz w:val="22"/>
                <w:szCs w:val="22"/>
                <w:shd w:val="clear" w:color="auto" w:fill="FFFFFF"/>
              </w:rPr>
            </w:pPr>
            <w:r w:rsidRPr="001C2D09">
              <w:rPr>
                <w:sz w:val="22"/>
                <w:szCs w:val="22"/>
              </w:rPr>
              <w:t>Notification Design</w:t>
            </w:r>
          </w:p>
        </w:tc>
        <w:tc>
          <w:tcPr>
            <w:tcW w:w="1260" w:type="dxa"/>
            <w:shd w:val="clear" w:color="auto" w:fill="auto"/>
            <w:vAlign w:val="bottom"/>
          </w:tcPr>
          <w:p w:rsidR="005D45B8" w:rsidRPr="001C2D09" w:rsidP="00D92EE8" w14:paraId="5B38EFE5" w14:textId="43CA1383">
            <w:pPr>
              <w:jc w:val="right"/>
              <w:rPr>
                <w:spacing w:val="-3"/>
                <w:sz w:val="22"/>
                <w:szCs w:val="22"/>
                <w:shd w:val="clear" w:color="auto" w:fill="FFFFFF"/>
              </w:rPr>
            </w:pPr>
            <w:r w:rsidRPr="001C2D09">
              <w:rPr>
                <w:sz w:val="22"/>
                <w:szCs w:val="22"/>
              </w:rPr>
              <w:t xml:space="preserve"> 2,935</w:t>
            </w:r>
          </w:p>
        </w:tc>
        <w:tc>
          <w:tcPr>
            <w:tcW w:w="1260" w:type="dxa"/>
            <w:vAlign w:val="bottom"/>
          </w:tcPr>
          <w:p w:rsidR="006B132F" w:rsidRPr="001C2D09" w:rsidP="00D92EE8" w14:paraId="74A24B9C" w14:textId="3A5B6A86">
            <w:pPr>
              <w:jc w:val="center"/>
              <w:rPr>
                <w:spacing w:val="-3"/>
                <w:sz w:val="22"/>
                <w:szCs w:val="22"/>
                <w:shd w:val="clear" w:color="auto" w:fill="FFFFFF"/>
              </w:rPr>
            </w:pPr>
            <w:r w:rsidRPr="001C2D09">
              <w:rPr>
                <w:sz w:val="22"/>
                <w:szCs w:val="22"/>
              </w:rPr>
              <w:t xml:space="preserve"> 147</w:t>
            </w:r>
          </w:p>
        </w:tc>
        <w:tc>
          <w:tcPr>
            <w:tcW w:w="990" w:type="dxa"/>
            <w:shd w:val="clear" w:color="auto" w:fill="auto"/>
            <w:vAlign w:val="bottom"/>
          </w:tcPr>
          <w:p w:rsidR="005D45B8" w:rsidRPr="001C2D09" w:rsidP="00D92EE8" w14:paraId="3690F036" w14:textId="601259AA">
            <w:pPr>
              <w:jc w:val="right"/>
              <w:rPr>
                <w:spacing w:val="-3"/>
                <w:sz w:val="22"/>
                <w:szCs w:val="22"/>
                <w:shd w:val="clear" w:color="auto" w:fill="FFFFFF"/>
              </w:rPr>
            </w:pPr>
            <w:r w:rsidRPr="001C2D09">
              <w:rPr>
                <w:sz w:val="22"/>
                <w:szCs w:val="22"/>
              </w:rPr>
              <w:t xml:space="preserve"> 30</w:t>
            </w:r>
          </w:p>
        </w:tc>
        <w:tc>
          <w:tcPr>
            <w:tcW w:w="990" w:type="dxa"/>
            <w:shd w:val="clear" w:color="auto" w:fill="auto"/>
            <w:vAlign w:val="bottom"/>
          </w:tcPr>
          <w:p w:rsidR="005D45B8" w:rsidRPr="001C2D09" w:rsidP="00D92EE8" w14:paraId="73E4550C" w14:textId="3B06B76F">
            <w:pPr>
              <w:jc w:val="right"/>
              <w:rPr>
                <w:spacing w:val="-3"/>
                <w:sz w:val="22"/>
                <w:szCs w:val="22"/>
                <w:shd w:val="clear" w:color="auto" w:fill="FFFFFF"/>
              </w:rPr>
            </w:pPr>
            <w:r w:rsidRPr="001C2D09">
              <w:rPr>
                <w:sz w:val="22"/>
                <w:szCs w:val="22"/>
              </w:rPr>
              <w:t xml:space="preserve"> 4,410</w:t>
            </w:r>
          </w:p>
        </w:tc>
        <w:tc>
          <w:tcPr>
            <w:tcW w:w="1260" w:type="dxa"/>
            <w:shd w:val="clear" w:color="auto" w:fill="auto"/>
            <w:vAlign w:val="bottom"/>
          </w:tcPr>
          <w:p w:rsidR="005D45B8" w:rsidRPr="001C2D09" w:rsidP="00D92EE8" w14:paraId="1CB2CBFF" w14:textId="53BC0239">
            <w:pPr>
              <w:jc w:val="right"/>
              <w:rPr>
                <w:spacing w:val="-3"/>
                <w:sz w:val="22"/>
                <w:szCs w:val="22"/>
                <w:shd w:val="clear" w:color="auto" w:fill="FFFFFF"/>
              </w:rPr>
            </w:pPr>
            <w:r w:rsidRPr="001C2D09">
              <w:rPr>
                <w:sz w:val="22"/>
                <w:szCs w:val="22"/>
              </w:rPr>
              <w:t xml:space="preserve"> $2</w:t>
            </w:r>
            <w:r w:rsidRPr="001C2D09" w:rsidR="002F1A1F">
              <w:rPr>
                <w:sz w:val="22"/>
                <w:szCs w:val="22"/>
              </w:rPr>
              <w:t>37,567</w:t>
            </w:r>
          </w:p>
        </w:tc>
        <w:tc>
          <w:tcPr>
            <w:tcW w:w="1445" w:type="dxa"/>
            <w:vAlign w:val="center"/>
          </w:tcPr>
          <w:p w:rsidR="005D45B8" w:rsidRPr="001C2D09" w:rsidP="00D92EE8" w14:paraId="1248A5BE" w14:textId="438FD08F">
            <w:pPr>
              <w:keepNext/>
              <w:keepLines/>
              <w:spacing w:before="200"/>
              <w:jc w:val="center"/>
              <w:outlineLvl w:val="4"/>
              <w:rPr>
                <w:spacing w:val="-3"/>
                <w:sz w:val="22"/>
                <w:szCs w:val="22"/>
                <w:shd w:val="clear" w:color="auto" w:fill="FFFFFF"/>
              </w:rPr>
            </w:pPr>
            <w:r w:rsidRPr="001C2D09">
              <w:rPr>
                <w:sz w:val="22"/>
                <w:szCs w:val="22"/>
              </w:rPr>
              <w:t xml:space="preserve"> $</w:t>
            </w:r>
            <w:r w:rsidRPr="001C2D09" w:rsidR="008B75BF">
              <w:rPr>
                <w:sz w:val="22"/>
                <w:szCs w:val="22"/>
              </w:rPr>
              <w:t>308,837</w:t>
            </w:r>
          </w:p>
        </w:tc>
      </w:tr>
      <w:tr w14:paraId="5F73649B" w14:textId="77777777" w:rsidTr="005B4C61">
        <w:tblPrEx>
          <w:tblW w:w="10710" w:type="dxa"/>
          <w:tblLayout w:type="fixed"/>
          <w:tblLook w:val="01E0"/>
        </w:tblPrEx>
        <w:trPr>
          <w:trHeight w:val="251"/>
        </w:trPr>
        <w:tc>
          <w:tcPr>
            <w:tcW w:w="1890" w:type="dxa"/>
            <w:shd w:val="clear" w:color="auto" w:fill="auto"/>
            <w:vAlign w:val="center"/>
          </w:tcPr>
          <w:p w:rsidR="72B7527F" w:rsidRPr="001C2D09" w:rsidP="00D92EE8" w14:paraId="095BB6F4" w14:textId="71C3D91A">
            <w:pPr>
              <w:rPr>
                <w:sz w:val="22"/>
                <w:szCs w:val="22"/>
              </w:rPr>
            </w:pPr>
            <w:r w:rsidRPr="001C2D09">
              <w:rPr>
                <w:sz w:val="22"/>
                <w:szCs w:val="22"/>
              </w:rPr>
              <w:t xml:space="preserve">   </w:t>
            </w:r>
            <w:r w:rsidR="0038352C">
              <w:rPr>
                <w:sz w:val="22"/>
                <w:szCs w:val="22"/>
              </w:rPr>
              <w:t>o.</w:t>
            </w:r>
            <w:r w:rsidRPr="001C2D09">
              <w:rPr>
                <w:sz w:val="22"/>
                <w:szCs w:val="22"/>
              </w:rPr>
              <w:t xml:space="preserve"> Customer notification of SIM change requests</w:t>
            </w:r>
          </w:p>
        </w:tc>
        <w:tc>
          <w:tcPr>
            <w:tcW w:w="1615" w:type="dxa"/>
            <w:shd w:val="clear" w:color="auto" w:fill="auto"/>
            <w:vAlign w:val="bottom"/>
          </w:tcPr>
          <w:p w:rsidR="4524E519" w:rsidRPr="001C2D09" w:rsidP="00D92EE8" w14:paraId="07A76FFB" w14:textId="0B2867B7">
            <w:pPr>
              <w:rPr>
                <w:sz w:val="22"/>
                <w:szCs w:val="22"/>
              </w:rPr>
            </w:pPr>
            <w:r w:rsidRPr="001C2D09">
              <w:rPr>
                <w:sz w:val="22"/>
                <w:szCs w:val="22"/>
              </w:rPr>
              <w:t>Notifications</w:t>
            </w:r>
          </w:p>
        </w:tc>
        <w:tc>
          <w:tcPr>
            <w:tcW w:w="1260" w:type="dxa"/>
            <w:shd w:val="clear" w:color="auto" w:fill="auto"/>
            <w:vAlign w:val="bottom"/>
          </w:tcPr>
          <w:p w:rsidR="4524E519" w:rsidRPr="001C2D09" w:rsidP="00D92EE8" w14:paraId="40951027" w14:textId="7F6B7332">
            <w:pPr>
              <w:jc w:val="right"/>
              <w:rPr>
                <w:sz w:val="22"/>
                <w:szCs w:val="22"/>
              </w:rPr>
            </w:pPr>
            <w:r w:rsidRPr="001C2D09">
              <w:rPr>
                <w:sz w:val="22"/>
                <w:szCs w:val="22"/>
              </w:rPr>
              <w:t>600</w:t>
            </w:r>
          </w:p>
        </w:tc>
        <w:tc>
          <w:tcPr>
            <w:tcW w:w="1260" w:type="dxa"/>
            <w:vAlign w:val="bottom"/>
          </w:tcPr>
          <w:p w:rsidR="4524E519" w:rsidRPr="001C2D09" w:rsidP="00D92EE8" w14:paraId="32F7D3B8" w14:textId="7C40D79F">
            <w:pPr>
              <w:jc w:val="center"/>
              <w:rPr>
                <w:sz w:val="22"/>
                <w:szCs w:val="22"/>
              </w:rPr>
            </w:pPr>
            <w:r>
              <w:rPr>
                <w:sz w:val="22"/>
                <w:szCs w:val="22"/>
              </w:rPr>
              <w:t>91,250,000</w:t>
            </w:r>
          </w:p>
        </w:tc>
        <w:tc>
          <w:tcPr>
            <w:tcW w:w="990" w:type="dxa"/>
            <w:shd w:val="clear" w:color="auto" w:fill="auto"/>
            <w:vAlign w:val="bottom"/>
          </w:tcPr>
          <w:p w:rsidR="4524E519" w:rsidRPr="001C2D09" w:rsidP="00D92EE8" w14:paraId="45AA3180" w14:textId="6C7B48E9">
            <w:pPr>
              <w:jc w:val="right"/>
              <w:rPr>
                <w:sz w:val="22"/>
                <w:szCs w:val="22"/>
              </w:rPr>
            </w:pPr>
            <w:r w:rsidRPr="001C2D09">
              <w:rPr>
                <w:sz w:val="22"/>
                <w:szCs w:val="22"/>
              </w:rPr>
              <w:t>8</w:t>
            </w:r>
            <w:r w:rsidRPr="001C2D09" w:rsidR="4A10282E">
              <w:rPr>
                <w:sz w:val="22"/>
                <w:szCs w:val="22"/>
              </w:rPr>
              <w:t>0</w:t>
            </w:r>
          </w:p>
        </w:tc>
        <w:tc>
          <w:tcPr>
            <w:tcW w:w="990" w:type="dxa"/>
            <w:shd w:val="clear" w:color="auto" w:fill="auto"/>
            <w:vAlign w:val="bottom"/>
          </w:tcPr>
          <w:p w:rsidR="4524E519" w:rsidRPr="001C2D09" w:rsidP="00D92EE8" w14:paraId="10DB88D9" w14:textId="1EB3A6BF">
            <w:pPr>
              <w:jc w:val="right"/>
              <w:rPr>
                <w:sz w:val="22"/>
                <w:szCs w:val="22"/>
              </w:rPr>
            </w:pPr>
            <w:r w:rsidRPr="001C2D09">
              <w:rPr>
                <w:sz w:val="22"/>
                <w:szCs w:val="22"/>
              </w:rPr>
              <w:t>48</w:t>
            </w:r>
            <w:r w:rsidRPr="001C2D09" w:rsidR="4A10282E">
              <w:rPr>
                <w:sz w:val="22"/>
                <w:szCs w:val="22"/>
              </w:rPr>
              <w:t>,000</w:t>
            </w:r>
          </w:p>
        </w:tc>
        <w:tc>
          <w:tcPr>
            <w:tcW w:w="1260" w:type="dxa"/>
            <w:shd w:val="clear" w:color="auto" w:fill="auto"/>
            <w:vAlign w:val="bottom"/>
          </w:tcPr>
          <w:p w:rsidR="4524E519" w:rsidRPr="001C2D09" w:rsidP="00D92EE8" w14:paraId="474AB78E" w14:textId="46E5A1D8">
            <w:pPr>
              <w:jc w:val="right"/>
              <w:rPr>
                <w:sz w:val="22"/>
                <w:szCs w:val="22"/>
              </w:rPr>
            </w:pPr>
            <w:r w:rsidRPr="001C2D09">
              <w:rPr>
                <w:sz w:val="22"/>
                <w:szCs w:val="22"/>
              </w:rPr>
              <w:t>$</w:t>
            </w:r>
            <w:r w:rsidRPr="001C2D09" w:rsidR="0078512D">
              <w:rPr>
                <w:sz w:val="22"/>
                <w:szCs w:val="22"/>
              </w:rPr>
              <w:t>3,</w:t>
            </w:r>
            <w:r w:rsidRPr="001C2D09" w:rsidR="00EF7ECC">
              <w:rPr>
                <w:sz w:val="22"/>
                <w:szCs w:val="22"/>
              </w:rPr>
              <w:t>633,600</w:t>
            </w:r>
          </w:p>
        </w:tc>
        <w:tc>
          <w:tcPr>
            <w:tcW w:w="1445" w:type="dxa"/>
            <w:vAlign w:val="center"/>
          </w:tcPr>
          <w:p w:rsidR="004E19E9" w:rsidRPr="001C2D09" w:rsidP="00D92EE8" w14:paraId="4A9E1C2D" w14:textId="77777777">
            <w:pPr>
              <w:jc w:val="center"/>
              <w:rPr>
                <w:sz w:val="22"/>
                <w:szCs w:val="22"/>
              </w:rPr>
            </w:pPr>
          </w:p>
          <w:p w:rsidR="004E19E9" w:rsidRPr="001C2D09" w:rsidP="00D92EE8" w14:paraId="1127595E" w14:textId="77777777">
            <w:pPr>
              <w:jc w:val="center"/>
              <w:rPr>
                <w:sz w:val="22"/>
                <w:szCs w:val="22"/>
              </w:rPr>
            </w:pPr>
          </w:p>
          <w:p w:rsidR="004E19E9" w:rsidRPr="001C2D09" w:rsidP="00D92EE8" w14:paraId="10CC0A38" w14:textId="77777777">
            <w:pPr>
              <w:jc w:val="center"/>
              <w:rPr>
                <w:sz w:val="22"/>
                <w:szCs w:val="22"/>
              </w:rPr>
            </w:pPr>
          </w:p>
          <w:p w:rsidR="4524E519" w:rsidRPr="001C2D09" w:rsidP="00D92EE8" w14:paraId="0282651E" w14:textId="0AB38FBF">
            <w:pPr>
              <w:jc w:val="center"/>
              <w:rPr>
                <w:sz w:val="22"/>
                <w:szCs w:val="22"/>
              </w:rPr>
            </w:pPr>
            <w:r w:rsidRPr="001C2D09">
              <w:rPr>
                <w:sz w:val="22"/>
                <w:szCs w:val="22"/>
              </w:rPr>
              <w:t>$</w:t>
            </w:r>
            <w:r w:rsidRPr="001C2D09" w:rsidR="00EF7ECC">
              <w:rPr>
                <w:sz w:val="22"/>
                <w:szCs w:val="22"/>
              </w:rPr>
              <w:t>4,723,680</w:t>
            </w:r>
          </w:p>
        </w:tc>
      </w:tr>
      <w:tr w14:paraId="2A6AA090" w14:textId="77777777" w:rsidTr="005B4C61">
        <w:tblPrEx>
          <w:tblW w:w="10710" w:type="dxa"/>
          <w:tblLayout w:type="fixed"/>
          <w:tblLook w:val="01E0"/>
        </w:tblPrEx>
        <w:trPr>
          <w:trHeight w:val="251"/>
        </w:trPr>
        <w:tc>
          <w:tcPr>
            <w:tcW w:w="1890" w:type="dxa"/>
            <w:shd w:val="clear" w:color="auto" w:fill="auto"/>
            <w:vAlign w:val="center"/>
          </w:tcPr>
          <w:p w:rsidR="62409F37" w:rsidRPr="001C2D09" w:rsidP="00D92EE8" w14:paraId="4751F75A" w14:textId="1B9E8F8A">
            <w:pPr>
              <w:rPr>
                <w:sz w:val="22"/>
                <w:szCs w:val="22"/>
              </w:rPr>
            </w:pPr>
            <w:r w:rsidRPr="001C2D09">
              <w:rPr>
                <w:sz w:val="22"/>
                <w:szCs w:val="22"/>
              </w:rPr>
              <w:t xml:space="preserve">  </w:t>
            </w:r>
            <w:r w:rsidR="0038352C">
              <w:rPr>
                <w:sz w:val="22"/>
                <w:szCs w:val="22"/>
              </w:rPr>
              <w:t xml:space="preserve">p. </w:t>
            </w:r>
            <w:r w:rsidRPr="001C2D09">
              <w:rPr>
                <w:sz w:val="22"/>
                <w:szCs w:val="22"/>
              </w:rPr>
              <w:t>Notice of account protection measures.</w:t>
            </w:r>
          </w:p>
        </w:tc>
        <w:tc>
          <w:tcPr>
            <w:tcW w:w="1615" w:type="dxa"/>
            <w:shd w:val="clear" w:color="auto" w:fill="auto"/>
            <w:vAlign w:val="bottom"/>
          </w:tcPr>
          <w:p w:rsidR="4524E519" w:rsidRPr="001C2D09" w:rsidP="00D92EE8" w14:paraId="3200437C" w14:textId="1220DBAC">
            <w:pPr>
              <w:rPr>
                <w:sz w:val="22"/>
                <w:szCs w:val="22"/>
              </w:rPr>
            </w:pPr>
            <w:r w:rsidRPr="001C2D09">
              <w:rPr>
                <w:sz w:val="22"/>
                <w:szCs w:val="22"/>
              </w:rPr>
              <w:t>Notice</w:t>
            </w:r>
          </w:p>
        </w:tc>
        <w:tc>
          <w:tcPr>
            <w:tcW w:w="1260" w:type="dxa"/>
            <w:shd w:val="clear" w:color="auto" w:fill="auto"/>
            <w:vAlign w:val="bottom"/>
          </w:tcPr>
          <w:p w:rsidR="4524E519" w:rsidRPr="001C2D09" w:rsidP="00D92EE8" w14:paraId="64497613" w14:textId="2B1CAEC3">
            <w:pPr>
              <w:jc w:val="right"/>
              <w:rPr>
                <w:sz w:val="22"/>
                <w:szCs w:val="22"/>
              </w:rPr>
            </w:pPr>
            <w:r w:rsidRPr="001C2D09">
              <w:rPr>
                <w:sz w:val="22"/>
                <w:szCs w:val="22"/>
              </w:rPr>
              <w:t>600</w:t>
            </w:r>
          </w:p>
        </w:tc>
        <w:tc>
          <w:tcPr>
            <w:tcW w:w="1260" w:type="dxa"/>
            <w:vAlign w:val="bottom"/>
          </w:tcPr>
          <w:p w:rsidR="4524E519" w:rsidRPr="001C2D09" w:rsidP="00D92EE8" w14:paraId="4030BEFA" w14:textId="209A1AC2">
            <w:pPr>
              <w:jc w:val="center"/>
              <w:rPr>
                <w:sz w:val="22"/>
                <w:szCs w:val="22"/>
              </w:rPr>
            </w:pPr>
            <w:r w:rsidRPr="001C2D09">
              <w:rPr>
                <w:sz w:val="22"/>
                <w:szCs w:val="22"/>
              </w:rPr>
              <w:t>60</w:t>
            </w:r>
            <w:r w:rsidRPr="001C2D09" w:rsidR="3B10F7EB">
              <w:rPr>
                <w:sz w:val="22"/>
                <w:szCs w:val="22"/>
              </w:rPr>
              <w:t>0</w:t>
            </w:r>
          </w:p>
        </w:tc>
        <w:tc>
          <w:tcPr>
            <w:tcW w:w="990" w:type="dxa"/>
            <w:shd w:val="clear" w:color="auto" w:fill="auto"/>
            <w:vAlign w:val="bottom"/>
          </w:tcPr>
          <w:p w:rsidR="4524E519" w:rsidRPr="001C2D09" w:rsidP="00D92EE8" w14:paraId="7CFA72EA" w14:textId="5DB5D532">
            <w:pPr>
              <w:jc w:val="right"/>
              <w:rPr>
                <w:sz w:val="22"/>
                <w:szCs w:val="22"/>
              </w:rPr>
            </w:pPr>
            <w:r w:rsidRPr="001C2D09">
              <w:rPr>
                <w:sz w:val="22"/>
                <w:szCs w:val="22"/>
              </w:rPr>
              <w:t>5</w:t>
            </w:r>
          </w:p>
        </w:tc>
        <w:tc>
          <w:tcPr>
            <w:tcW w:w="990" w:type="dxa"/>
            <w:shd w:val="clear" w:color="auto" w:fill="auto"/>
            <w:vAlign w:val="bottom"/>
          </w:tcPr>
          <w:p w:rsidR="4524E519" w:rsidRPr="001C2D09" w:rsidP="00D92EE8" w14:paraId="711CB6BE" w14:textId="5D2F1C98">
            <w:pPr>
              <w:jc w:val="right"/>
              <w:rPr>
                <w:sz w:val="22"/>
                <w:szCs w:val="22"/>
              </w:rPr>
            </w:pPr>
            <w:r w:rsidRPr="001C2D09">
              <w:rPr>
                <w:sz w:val="22"/>
                <w:szCs w:val="22"/>
              </w:rPr>
              <w:t>3,000</w:t>
            </w:r>
          </w:p>
        </w:tc>
        <w:tc>
          <w:tcPr>
            <w:tcW w:w="1260" w:type="dxa"/>
            <w:shd w:val="clear" w:color="auto" w:fill="auto"/>
            <w:vAlign w:val="bottom"/>
          </w:tcPr>
          <w:p w:rsidR="4524E519" w:rsidRPr="001C2D09" w:rsidP="00D92EE8" w14:paraId="5C6AD59B" w14:textId="5ED474A6">
            <w:pPr>
              <w:jc w:val="right"/>
              <w:rPr>
                <w:sz w:val="22"/>
                <w:szCs w:val="22"/>
              </w:rPr>
            </w:pPr>
            <w:r w:rsidRPr="001C2D09">
              <w:rPr>
                <w:sz w:val="22"/>
                <w:szCs w:val="22"/>
              </w:rPr>
              <w:t>$</w:t>
            </w:r>
            <w:r w:rsidRPr="001C2D09" w:rsidR="3B10F7EB">
              <w:rPr>
                <w:sz w:val="22"/>
                <w:szCs w:val="22"/>
              </w:rPr>
              <w:t>1</w:t>
            </w:r>
            <w:r w:rsidRPr="001C2D09" w:rsidR="00CD4A96">
              <w:rPr>
                <w:sz w:val="22"/>
                <w:szCs w:val="22"/>
              </w:rPr>
              <w:t>61,610</w:t>
            </w:r>
          </w:p>
        </w:tc>
        <w:tc>
          <w:tcPr>
            <w:tcW w:w="1445" w:type="dxa"/>
            <w:vAlign w:val="center"/>
          </w:tcPr>
          <w:p w:rsidR="00AF00FA" w:rsidRPr="001C2D09" w:rsidP="00D92EE8" w14:paraId="50F5DC15" w14:textId="77777777">
            <w:pPr>
              <w:jc w:val="center"/>
              <w:rPr>
                <w:sz w:val="22"/>
                <w:szCs w:val="22"/>
              </w:rPr>
            </w:pPr>
          </w:p>
          <w:p w:rsidR="00AF00FA" w:rsidRPr="001C2D09" w:rsidP="00D92EE8" w14:paraId="07624633" w14:textId="77777777">
            <w:pPr>
              <w:jc w:val="center"/>
              <w:rPr>
                <w:sz w:val="22"/>
                <w:szCs w:val="22"/>
              </w:rPr>
            </w:pPr>
          </w:p>
          <w:p w:rsidR="4524E519" w:rsidRPr="001C2D09" w:rsidP="00D92EE8" w14:paraId="1D44317B" w14:textId="03FD75BD">
            <w:pPr>
              <w:jc w:val="center"/>
              <w:rPr>
                <w:sz w:val="22"/>
                <w:szCs w:val="22"/>
              </w:rPr>
            </w:pPr>
            <w:r w:rsidRPr="001C2D09">
              <w:rPr>
                <w:sz w:val="22"/>
                <w:szCs w:val="22"/>
              </w:rPr>
              <w:t>$</w:t>
            </w:r>
            <w:r w:rsidRPr="001C2D09" w:rsidR="00CD4A96">
              <w:rPr>
                <w:sz w:val="22"/>
                <w:szCs w:val="22"/>
              </w:rPr>
              <w:t>210,093</w:t>
            </w:r>
          </w:p>
        </w:tc>
      </w:tr>
      <w:tr w14:paraId="4489C766" w14:textId="77777777" w:rsidTr="005B4C61">
        <w:tblPrEx>
          <w:tblW w:w="10710" w:type="dxa"/>
          <w:tblLayout w:type="fixed"/>
          <w:tblLook w:val="01E0"/>
        </w:tblPrEx>
        <w:trPr>
          <w:trHeight w:val="254"/>
        </w:trPr>
        <w:tc>
          <w:tcPr>
            <w:tcW w:w="1890" w:type="dxa"/>
            <w:vMerge w:val="restart"/>
            <w:shd w:val="clear" w:color="auto" w:fill="auto"/>
            <w:vAlign w:val="center"/>
          </w:tcPr>
          <w:p w:rsidR="00F31B2F" w:rsidRPr="001C2D09" w:rsidP="00D92EE8" w14:paraId="0653DDBB" w14:textId="74C75004">
            <w:pPr>
              <w:rPr>
                <w:sz w:val="22"/>
                <w:szCs w:val="22"/>
              </w:rPr>
            </w:pPr>
            <w:r w:rsidRPr="001C2D09">
              <w:rPr>
                <w:sz w:val="22"/>
                <w:szCs w:val="22"/>
              </w:rPr>
              <w:t xml:space="preserve"> </w:t>
            </w:r>
            <w:r>
              <w:rPr>
                <w:sz w:val="22"/>
                <w:szCs w:val="22"/>
              </w:rPr>
              <w:t>q.</w:t>
            </w:r>
            <w:r w:rsidRPr="001C2D09">
              <w:rPr>
                <w:sz w:val="22"/>
                <w:szCs w:val="22"/>
              </w:rPr>
              <w:t xml:space="preserve">  Procedures to resolve fraudulent SIM changes</w:t>
            </w:r>
          </w:p>
        </w:tc>
        <w:tc>
          <w:tcPr>
            <w:tcW w:w="1615" w:type="dxa"/>
            <w:shd w:val="clear" w:color="auto" w:fill="auto"/>
            <w:vAlign w:val="bottom"/>
          </w:tcPr>
          <w:p w:rsidR="00F31B2F" w:rsidRPr="001C2D09" w:rsidP="00D92EE8" w14:paraId="728E090E" w14:textId="0C08659B">
            <w:pPr>
              <w:rPr>
                <w:sz w:val="22"/>
                <w:szCs w:val="22"/>
              </w:rPr>
            </w:pPr>
            <w:r w:rsidRPr="001C2D09">
              <w:rPr>
                <w:sz w:val="22"/>
                <w:szCs w:val="22"/>
              </w:rPr>
              <w:t>Process</w:t>
            </w:r>
            <w:r>
              <w:rPr>
                <w:sz w:val="22"/>
                <w:szCs w:val="22"/>
              </w:rPr>
              <w:t xml:space="preserve"> Design</w:t>
            </w:r>
          </w:p>
        </w:tc>
        <w:tc>
          <w:tcPr>
            <w:tcW w:w="1260" w:type="dxa"/>
            <w:shd w:val="clear" w:color="auto" w:fill="auto"/>
            <w:vAlign w:val="bottom"/>
          </w:tcPr>
          <w:p w:rsidR="00F31B2F" w:rsidRPr="001C2D09" w:rsidP="00D92EE8" w14:paraId="6DCFADA1" w14:textId="7B3C53AB">
            <w:pPr>
              <w:jc w:val="right"/>
              <w:rPr>
                <w:sz w:val="22"/>
                <w:szCs w:val="22"/>
              </w:rPr>
            </w:pPr>
            <w:r w:rsidRPr="001C2D09">
              <w:rPr>
                <w:sz w:val="22"/>
                <w:szCs w:val="22"/>
              </w:rPr>
              <w:t>600</w:t>
            </w:r>
          </w:p>
        </w:tc>
        <w:tc>
          <w:tcPr>
            <w:tcW w:w="1260" w:type="dxa"/>
            <w:vAlign w:val="bottom"/>
          </w:tcPr>
          <w:p w:rsidR="00F31B2F" w:rsidRPr="001C2D09" w:rsidP="00D92EE8" w14:paraId="415F5210" w14:textId="4BDBB5A7">
            <w:pPr>
              <w:jc w:val="center"/>
              <w:rPr>
                <w:sz w:val="22"/>
                <w:szCs w:val="22"/>
              </w:rPr>
            </w:pPr>
            <w:r w:rsidRPr="001C2D09">
              <w:rPr>
                <w:sz w:val="22"/>
                <w:szCs w:val="22"/>
              </w:rPr>
              <w:t>600</w:t>
            </w:r>
          </w:p>
        </w:tc>
        <w:tc>
          <w:tcPr>
            <w:tcW w:w="990" w:type="dxa"/>
            <w:shd w:val="clear" w:color="auto" w:fill="auto"/>
            <w:vAlign w:val="bottom"/>
          </w:tcPr>
          <w:p w:rsidR="00F31B2F" w:rsidRPr="001C2D09" w:rsidP="00D92EE8" w14:paraId="4A1E0509" w14:textId="70291AC7">
            <w:pPr>
              <w:jc w:val="right"/>
              <w:rPr>
                <w:sz w:val="22"/>
                <w:szCs w:val="22"/>
              </w:rPr>
            </w:pPr>
            <w:r>
              <w:rPr>
                <w:sz w:val="22"/>
                <w:szCs w:val="22"/>
              </w:rPr>
              <w:t>100</w:t>
            </w:r>
          </w:p>
        </w:tc>
        <w:tc>
          <w:tcPr>
            <w:tcW w:w="990" w:type="dxa"/>
            <w:shd w:val="clear" w:color="auto" w:fill="auto"/>
            <w:vAlign w:val="bottom"/>
          </w:tcPr>
          <w:p w:rsidR="00F31B2F" w:rsidRPr="001C2D09" w:rsidP="00D92EE8" w14:paraId="5E33DA6F" w14:textId="395D7E3D">
            <w:pPr>
              <w:jc w:val="right"/>
              <w:rPr>
                <w:sz w:val="22"/>
                <w:szCs w:val="22"/>
              </w:rPr>
            </w:pPr>
            <w:r w:rsidRPr="001C2D09">
              <w:rPr>
                <w:sz w:val="22"/>
                <w:szCs w:val="22"/>
              </w:rPr>
              <w:t>60,000</w:t>
            </w:r>
          </w:p>
        </w:tc>
        <w:tc>
          <w:tcPr>
            <w:tcW w:w="1260" w:type="dxa"/>
            <w:vMerge w:val="restart"/>
            <w:shd w:val="clear" w:color="auto" w:fill="auto"/>
            <w:vAlign w:val="bottom"/>
          </w:tcPr>
          <w:p w:rsidR="00F31B2F" w:rsidRPr="001C2D09" w:rsidP="00D92EE8" w14:paraId="12F1419A" w14:textId="47EFCA14">
            <w:pPr>
              <w:jc w:val="right"/>
              <w:rPr>
                <w:sz w:val="22"/>
                <w:szCs w:val="22"/>
              </w:rPr>
            </w:pPr>
            <w:r w:rsidRPr="001C2D09">
              <w:rPr>
                <w:sz w:val="22"/>
                <w:szCs w:val="22"/>
              </w:rPr>
              <w:t>$</w:t>
            </w:r>
            <w:r w:rsidR="00D235F9">
              <w:rPr>
                <w:sz w:val="22"/>
                <w:szCs w:val="22"/>
              </w:rPr>
              <w:t>6,013,240</w:t>
            </w:r>
          </w:p>
        </w:tc>
        <w:tc>
          <w:tcPr>
            <w:tcW w:w="1445" w:type="dxa"/>
            <w:vMerge w:val="restart"/>
            <w:vAlign w:val="center"/>
          </w:tcPr>
          <w:p w:rsidR="00F31B2F" w:rsidRPr="001C2D09" w:rsidP="00D92EE8" w14:paraId="13BD856B" w14:textId="77777777">
            <w:pPr>
              <w:jc w:val="center"/>
              <w:rPr>
                <w:sz w:val="22"/>
                <w:szCs w:val="22"/>
              </w:rPr>
            </w:pPr>
          </w:p>
          <w:p w:rsidR="00F31B2F" w:rsidRPr="001C2D09" w:rsidP="00D92EE8" w14:paraId="5E963F52" w14:textId="77777777">
            <w:pPr>
              <w:jc w:val="center"/>
              <w:rPr>
                <w:sz w:val="22"/>
                <w:szCs w:val="22"/>
              </w:rPr>
            </w:pPr>
          </w:p>
          <w:p w:rsidR="00F31B2F" w:rsidRPr="001C2D09" w:rsidP="00D92EE8" w14:paraId="4387D1E5" w14:textId="70328DFB">
            <w:pPr>
              <w:jc w:val="center"/>
              <w:rPr>
                <w:sz w:val="22"/>
                <w:szCs w:val="22"/>
              </w:rPr>
            </w:pPr>
            <w:r w:rsidRPr="001C2D09">
              <w:rPr>
                <w:sz w:val="22"/>
                <w:szCs w:val="22"/>
              </w:rPr>
              <w:t>$</w:t>
            </w:r>
            <w:r w:rsidR="00D235F9">
              <w:rPr>
                <w:sz w:val="22"/>
                <w:szCs w:val="22"/>
              </w:rPr>
              <w:t>7,817,21</w:t>
            </w:r>
            <w:r w:rsidR="000678A1">
              <w:rPr>
                <w:sz w:val="22"/>
                <w:szCs w:val="22"/>
              </w:rPr>
              <w:t>2</w:t>
            </w:r>
          </w:p>
        </w:tc>
      </w:tr>
      <w:tr w14:paraId="6CEBD11D" w14:textId="77777777" w:rsidTr="005B4C61">
        <w:tblPrEx>
          <w:tblW w:w="10710" w:type="dxa"/>
          <w:tblLayout w:type="fixed"/>
          <w:tblLook w:val="01E0"/>
        </w:tblPrEx>
        <w:trPr>
          <w:trHeight w:val="253"/>
        </w:trPr>
        <w:tc>
          <w:tcPr>
            <w:tcW w:w="1890" w:type="dxa"/>
            <w:vMerge/>
            <w:shd w:val="clear" w:color="auto" w:fill="auto"/>
            <w:vAlign w:val="center"/>
          </w:tcPr>
          <w:p w:rsidR="00F31B2F" w:rsidRPr="001C2D09" w:rsidP="00D92EE8" w14:paraId="2C25037A" w14:textId="77777777">
            <w:pPr>
              <w:rPr>
                <w:sz w:val="22"/>
                <w:szCs w:val="22"/>
              </w:rPr>
            </w:pPr>
          </w:p>
        </w:tc>
        <w:tc>
          <w:tcPr>
            <w:tcW w:w="1615" w:type="dxa"/>
            <w:shd w:val="clear" w:color="auto" w:fill="auto"/>
            <w:vAlign w:val="bottom"/>
          </w:tcPr>
          <w:p w:rsidR="00F31B2F" w:rsidRPr="001C2D09" w:rsidP="00D92EE8" w14:paraId="2303272E" w14:textId="7A389796">
            <w:pPr>
              <w:rPr>
                <w:sz w:val="22"/>
                <w:szCs w:val="22"/>
              </w:rPr>
            </w:pPr>
            <w:r>
              <w:rPr>
                <w:sz w:val="22"/>
                <w:szCs w:val="22"/>
              </w:rPr>
              <w:t>Disclosure of Process</w:t>
            </w:r>
          </w:p>
        </w:tc>
        <w:tc>
          <w:tcPr>
            <w:tcW w:w="1260" w:type="dxa"/>
            <w:shd w:val="clear" w:color="auto" w:fill="auto"/>
            <w:vAlign w:val="bottom"/>
          </w:tcPr>
          <w:p w:rsidR="00F31B2F" w:rsidRPr="001C2D09" w:rsidP="00D92EE8" w14:paraId="4B02CA9B" w14:textId="46C5218D">
            <w:pPr>
              <w:jc w:val="right"/>
              <w:rPr>
                <w:sz w:val="22"/>
                <w:szCs w:val="22"/>
              </w:rPr>
            </w:pPr>
            <w:r>
              <w:rPr>
                <w:sz w:val="22"/>
                <w:szCs w:val="22"/>
              </w:rPr>
              <w:t>600</w:t>
            </w:r>
          </w:p>
        </w:tc>
        <w:tc>
          <w:tcPr>
            <w:tcW w:w="1260" w:type="dxa"/>
            <w:vAlign w:val="bottom"/>
          </w:tcPr>
          <w:p w:rsidR="00F31B2F" w:rsidRPr="001C2D09" w:rsidP="00D92EE8" w14:paraId="45236D4E" w14:textId="57063FC9">
            <w:pPr>
              <w:jc w:val="center"/>
              <w:rPr>
                <w:sz w:val="22"/>
                <w:szCs w:val="22"/>
              </w:rPr>
            </w:pPr>
            <w:r>
              <w:rPr>
                <w:sz w:val="22"/>
                <w:szCs w:val="22"/>
              </w:rPr>
              <w:t>600</w:t>
            </w:r>
          </w:p>
        </w:tc>
        <w:tc>
          <w:tcPr>
            <w:tcW w:w="990" w:type="dxa"/>
            <w:shd w:val="clear" w:color="auto" w:fill="auto"/>
            <w:vAlign w:val="bottom"/>
          </w:tcPr>
          <w:p w:rsidR="00F31B2F" w:rsidRPr="001C2D09" w:rsidP="00D92EE8" w14:paraId="7B2530BC" w14:textId="397ECBE3">
            <w:pPr>
              <w:jc w:val="right"/>
              <w:rPr>
                <w:sz w:val="22"/>
                <w:szCs w:val="22"/>
              </w:rPr>
            </w:pPr>
            <w:r>
              <w:rPr>
                <w:sz w:val="22"/>
                <w:szCs w:val="22"/>
              </w:rPr>
              <w:t>10</w:t>
            </w:r>
          </w:p>
        </w:tc>
        <w:tc>
          <w:tcPr>
            <w:tcW w:w="990" w:type="dxa"/>
            <w:shd w:val="clear" w:color="auto" w:fill="auto"/>
            <w:vAlign w:val="bottom"/>
          </w:tcPr>
          <w:p w:rsidR="00F31B2F" w:rsidRPr="001C2D09" w:rsidP="00D92EE8" w14:paraId="5CCB8F9C" w14:textId="73005CF5">
            <w:pPr>
              <w:jc w:val="right"/>
              <w:rPr>
                <w:sz w:val="22"/>
                <w:szCs w:val="22"/>
              </w:rPr>
            </w:pPr>
            <w:r>
              <w:rPr>
                <w:sz w:val="22"/>
                <w:szCs w:val="22"/>
              </w:rPr>
              <w:t>6,000</w:t>
            </w:r>
          </w:p>
        </w:tc>
        <w:tc>
          <w:tcPr>
            <w:tcW w:w="1260" w:type="dxa"/>
            <w:vMerge/>
            <w:shd w:val="clear" w:color="auto" w:fill="auto"/>
            <w:vAlign w:val="bottom"/>
          </w:tcPr>
          <w:p w:rsidR="00F31B2F" w:rsidRPr="001C2D09" w:rsidP="00D92EE8" w14:paraId="0851427F" w14:textId="77777777">
            <w:pPr>
              <w:jc w:val="right"/>
              <w:rPr>
                <w:sz w:val="22"/>
                <w:szCs w:val="22"/>
              </w:rPr>
            </w:pPr>
          </w:p>
        </w:tc>
        <w:tc>
          <w:tcPr>
            <w:tcW w:w="1445" w:type="dxa"/>
            <w:vMerge/>
            <w:vAlign w:val="center"/>
          </w:tcPr>
          <w:p w:rsidR="00F31B2F" w:rsidRPr="001C2D09" w:rsidP="00D92EE8" w14:paraId="3070A80D" w14:textId="77777777">
            <w:pPr>
              <w:jc w:val="center"/>
              <w:rPr>
                <w:sz w:val="22"/>
                <w:szCs w:val="22"/>
              </w:rPr>
            </w:pPr>
          </w:p>
        </w:tc>
      </w:tr>
      <w:tr w14:paraId="7E752AF4" w14:textId="77777777" w:rsidTr="005B4C61">
        <w:tblPrEx>
          <w:tblW w:w="10710" w:type="dxa"/>
          <w:tblLayout w:type="fixed"/>
          <w:tblLook w:val="01E0"/>
        </w:tblPrEx>
        <w:trPr>
          <w:trHeight w:val="253"/>
        </w:trPr>
        <w:tc>
          <w:tcPr>
            <w:tcW w:w="1890" w:type="dxa"/>
            <w:vMerge/>
            <w:shd w:val="clear" w:color="auto" w:fill="auto"/>
            <w:vAlign w:val="center"/>
          </w:tcPr>
          <w:p w:rsidR="00F31B2F" w:rsidRPr="001C2D09" w:rsidP="00D92EE8" w14:paraId="2DC22FEF" w14:textId="77777777">
            <w:pPr>
              <w:rPr>
                <w:sz w:val="22"/>
                <w:szCs w:val="22"/>
              </w:rPr>
            </w:pPr>
          </w:p>
        </w:tc>
        <w:tc>
          <w:tcPr>
            <w:tcW w:w="1615" w:type="dxa"/>
            <w:shd w:val="clear" w:color="auto" w:fill="auto"/>
            <w:vAlign w:val="bottom"/>
          </w:tcPr>
          <w:p w:rsidR="00F31B2F" w:rsidRPr="001C2D09" w:rsidP="00D92EE8" w14:paraId="0DB5BAF8" w14:textId="3936BE91">
            <w:pPr>
              <w:rPr>
                <w:sz w:val="22"/>
                <w:szCs w:val="22"/>
              </w:rPr>
            </w:pPr>
            <w:r>
              <w:rPr>
                <w:sz w:val="22"/>
                <w:szCs w:val="22"/>
              </w:rPr>
              <w:t>Documentation disclosure upon request</w:t>
            </w:r>
          </w:p>
        </w:tc>
        <w:tc>
          <w:tcPr>
            <w:tcW w:w="1260" w:type="dxa"/>
            <w:shd w:val="clear" w:color="auto" w:fill="auto"/>
            <w:vAlign w:val="bottom"/>
          </w:tcPr>
          <w:p w:rsidR="00F31B2F" w:rsidRPr="001C2D09" w:rsidP="00D92EE8" w14:paraId="0FD27917" w14:textId="7FEEBDA6">
            <w:pPr>
              <w:jc w:val="right"/>
              <w:rPr>
                <w:sz w:val="22"/>
                <w:szCs w:val="22"/>
              </w:rPr>
            </w:pPr>
            <w:r>
              <w:rPr>
                <w:sz w:val="22"/>
                <w:szCs w:val="22"/>
              </w:rPr>
              <w:t>600</w:t>
            </w:r>
          </w:p>
        </w:tc>
        <w:tc>
          <w:tcPr>
            <w:tcW w:w="1260" w:type="dxa"/>
            <w:vAlign w:val="bottom"/>
          </w:tcPr>
          <w:p w:rsidR="00F31B2F" w:rsidRPr="001C2D09" w:rsidP="00D92EE8" w14:paraId="187C154A" w14:textId="6C5D9EBB">
            <w:pPr>
              <w:jc w:val="center"/>
              <w:rPr>
                <w:sz w:val="22"/>
                <w:szCs w:val="22"/>
              </w:rPr>
            </w:pPr>
            <w:r>
              <w:rPr>
                <w:sz w:val="22"/>
                <w:szCs w:val="22"/>
              </w:rPr>
              <w:t>456,250</w:t>
            </w:r>
          </w:p>
        </w:tc>
        <w:tc>
          <w:tcPr>
            <w:tcW w:w="990" w:type="dxa"/>
            <w:shd w:val="clear" w:color="auto" w:fill="auto"/>
            <w:vAlign w:val="bottom"/>
          </w:tcPr>
          <w:p w:rsidR="00F31B2F" w:rsidRPr="001C2D09" w:rsidP="00D92EE8" w14:paraId="6B49789E" w14:textId="204735A5">
            <w:pPr>
              <w:jc w:val="right"/>
              <w:rPr>
                <w:sz w:val="22"/>
                <w:szCs w:val="22"/>
              </w:rPr>
            </w:pPr>
            <w:r>
              <w:rPr>
                <w:sz w:val="22"/>
                <w:szCs w:val="22"/>
              </w:rPr>
              <w:t>0.1</w:t>
            </w:r>
          </w:p>
        </w:tc>
        <w:tc>
          <w:tcPr>
            <w:tcW w:w="990" w:type="dxa"/>
            <w:shd w:val="clear" w:color="auto" w:fill="auto"/>
            <w:vAlign w:val="bottom"/>
          </w:tcPr>
          <w:p w:rsidR="00F31B2F" w:rsidRPr="001C2D09" w:rsidP="00D92EE8" w14:paraId="7CA54333" w14:textId="287FDB02">
            <w:pPr>
              <w:jc w:val="right"/>
              <w:rPr>
                <w:sz w:val="22"/>
                <w:szCs w:val="22"/>
              </w:rPr>
            </w:pPr>
            <w:r>
              <w:rPr>
                <w:sz w:val="22"/>
                <w:szCs w:val="22"/>
              </w:rPr>
              <w:t>45,625</w:t>
            </w:r>
          </w:p>
        </w:tc>
        <w:tc>
          <w:tcPr>
            <w:tcW w:w="1260" w:type="dxa"/>
            <w:vMerge/>
            <w:shd w:val="clear" w:color="auto" w:fill="auto"/>
            <w:vAlign w:val="bottom"/>
          </w:tcPr>
          <w:p w:rsidR="00F31B2F" w:rsidRPr="001C2D09" w:rsidP="00D92EE8" w14:paraId="6B0FFAD4" w14:textId="77777777">
            <w:pPr>
              <w:jc w:val="right"/>
              <w:rPr>
                <w:sz w:val="22"/>
                <w:szCs w:val="22"/>
              </w:rPr>
            </w:pPr>
          </w:p>
        </w:tc>
        <w:tc>
          <w:tcPr>
            <w:tcW w:w="1445" w:type="dxa"/>
            <w:vMerge/>
            <w:vAlign w:val="center"/>
          </w:tcPr>
          <w:p w:rsidR="00F31B2F" w:rsidRPr="001C2D09" w:rsidP="00D92EE8" w14:paraId="5F16883B" w14:textId="77777777">
            <w:pPr>
              <w:jc w:val="center"/>
              <w:rPr>
                <w:sz w:val="22"/>
                <w:szCs w:val="22"/>
              </w:rPr>
            </w:pPr>
          </w:p>
        </w:tc>
      </w:tr>
      <w:tr w14:paraId="63E52257" w14:textId="77777777" w:rsidTr="005B4C61">
        <w:tblPrEx>
          <w:tblW w:w="10710" w:type="dxa"/>
          <w:tblLayout w:type="fixed"/>
          <w:tblLook w:val="01E0"/>
        </w:tblPrEx>
        <w:trPr>
          <w:trHeight w:val="251"/>
        </w:trPr>
        <w:tc>
          <w:tcPr>
            <w:tcW w:w="1890" w:type="dxa"/>
            <w:shd w:val="clear" w:color="auto" w:fill="auto"/>
            <w:vAlign w:val="center"/>
          </w:tcPr>
          <w:p w:rsidR="4D8F9B54" w:rsidRPr="001C2D09" w:rsidP="00D92EE8" w14:paraId="1676F02F" w14:textId="3FA33172">
            <w:pPr>
              <w:rPr>
                <w:sz w:val="22"/>
                <w:szCs w:val="22"/>
              </w:rPr>
            </w:pPr>
            <w:r w:rsidRPr="001C2D09">
              <w:rPr>
                <w:sz w:val="22"/>
                <w:szCs w:val="22"/>
              </w:rPr>
              <w:t xml:space="preserve">  </w:t>
            </w:r>
            <w:r w:rsidR="008C398A">
              <w:rPr>
                <w:sz w:val="22"/>
                <w:szCs w:val="22"/>
              </w:rPr>
              <w:t>r.</w:t>
            </w:r>
            <w:r w:rsidRPr="001C2D09">
              <w:rPr>
                <w:sz w:val="22"/>
                <w:szCs w:val="22"/>
              </w:rPr>
              <w:t xml:space="preserve">  SIM change recordkeeping</w:t>
            </w:r>
          </w:p>
        </w:tc>
        <w:tc>
          <w:tcPr>
            <w:tcW w:w="1615" w:type="dxa"/>
            <w:shd w:val="clear" w:color="auto" w:fill="auto"/>
            <w:vAlign w:val="bottom"/>
          </w:tcPr>
          <w:p w:rsidR="4524E519" w:rsidRPr="001C2D09" w:rsidP="00D92EE8" w14:paraId="709B62B8" w14:textId="03075D6F">
            <w:pPr>
              <w:rPr>
                <w:sz w:val="22"/>
                <w:szCs w:val="22"/>
              </w:rPr>
            </w:pPr>
            <w:r w:rsidRPr="001C2D09">
              <w:rPr>
                <w:sz w:val="22"/>
                <w:szCs w:val="22"/>
              </w:rPr>
              <w:t>Recordkeeping</w:t>
            </w:r>
          </w:p>
        </w:tc>
        <w:tc>
          <w:tcPr>
            <w:tcW w:w="1260" w:type="dxa"/>
            <w:shd w:val="clear" w:color="auto" w:fill="auto"/>
            <w:vAlign w:val="bottom"/>
          </w:tcPr>
          <w:p w:rsidR="4524E519" w:rsidRPr="001C2D09" w:rsidP="00D92EE8" w14:paraId="21CA8F61" w14:textId="4B84C1E7">
            <w:pPr>
              <w:jc w:val="right"/>
              <w:rPr>
                <w:sz w:val="22"/>
                <w:szCs w:val="22"/>
              </w:rPr>
            </w:pPr>
            <w:r w:rsidRPr="001C2D09">
              <w:rPr>
                <w:sz w:val="22"/>
                <w:szCs w:val="22"/>
              </w:rPr>
              <w:t>600</w:t>
            </w:r>
          </w:p>
        </w:tc>
        <w:tc>
          <w:tcPr>
            <w:tcW w:w="1260" w:type="dxa"/>
            <w:vAlign w:val="bottom"/>
          </w:tcPr>
          <w:p w:rsidR="4524E519" w:rsidRPr="001C2D09" w:rsidP="00D92EE8" w14:paraId="118CF6CA" w14:textId="04E08ADC">
            <w:pPr>
              <w:jc w:val="center"/>
              <w:rPr>
                <w:sz w:val="22"/>
                <w:szCs w:val="22"/>
              </w:rPr>
            </w:pPr>
            <w:r w:rsidRPr="001C2D09">
              <w:rPr>
                <w:sz w:val="22"/>
                <w:szCs w:val="22"/>
              </w:rPr>
              <w:t>600</w:t>
            </w:r>
          </w:p>
        </w:tc>
        <w:tc>
          <w:tcPr>
            <w:tcW w:w="990" w:type="dxa"/>
            <w:shd w:val="clear" w:color="auto" w:fill="auto"/>
            <w:vAlign w:val="bottom"/>
          </w:tcPr>
          <w:p w:rsidR="4524E519" w:rsidRPr="001C2D09" w:rsidP="00D92EE8" w14:paraId="2FDBC18C" w14:textId="5C4AF51D">
            <w:pPr>
              <w:jc w:val="right"/>
              <w:rPr>
                <w:sz w:val="22"/>
                <w:szCs w:val="22"/>
              </w:rPr>
            </w:pPr>
            <w:r w:rsidRPr="001C2D09">
              <w:rPr>
                <w:sz w:val="22"/>
                <w:szCs w:val="22"/>
              </w:rPr>
              <w:t>12</w:t>
            </w:r>
            <w:r w:rsidRPr="001C2D09" w:rsidR="44A3BCF4">
              <w:rPr>
                <w:sz w:val="22"/>
                <w:szCs w:val="22"/>
              </w:rPr>
              <w:t>0</w:t>
            </w:r>
          </w:p>
        </w:tc>
        <w:tc>
          <w:tcPr>
            <w:tcW w:w="990" w:type="dxa"/>
            <w:shd w:val="clear" w:color="auto" w:fill="auto"/>
            <w:vAlign w:val="bottom"/>
          </w:tcPr>
          <w:p w:rsidR="4524E519" w:rsidRPr="001C2D09" w:rsidP="00D92EE8" w14:paraId="2E408F64" w14:textId="5554579B">
            <w:pPr>
              <w:jc w:val="right"/>
              <w:rPr>
                <w:sz w:val="22"/>
                <w:szCs w:val="22"/>
              </w:rPr>
            </w:pPr>
            <w:r w:rsidRPr="001C2D09">
              <w:rPr>
                <w:sz w:val="22"/>
                <w:szCs w:val="22"/>
              </w:rPr>
              <w:t>7</w:t>
            </w:r>
            <w:r w:rsidRPr="001C2D09" w:rsidR="44A3BCF4">
              <w:rPr>
                <w:sz w:val="22"/>
                <w:szCs w:val="22"/>
              </w:rPr>
              <w:t>2,000</w:t>
            </w:r>
          </w:p>
        </w:tc>
        <w:tc>
          <w:tcPr>
            <w:tcW w:w="1260" w:type="dxa"/>
            <w:shd w:val="clear" w:color="auto" w:fill="auto"/>
            <w:vAlign w:val="bottom"/>
          </w:tcPr>
          <w:p w:rsidR="4524E519" w:rsidRPr="001C2D09" w:rsidP="00D92EE8" w14:paraId="239B066F" w14:textId="6A0093CA">
            <w:pPr>
              <w:jc w:val="right"/>
              <w:rPr>
                <w:sz w:val="22"/>
                <w:szCs w:val="22"/>
              </w:rPr>
            </w:pPr>
            <w:r w:rsidRPr="001C2D09">
              <w:rPr>
                <w:sz w:val="22"/>
                <w:szCs w:val="22"/>
              </w:rPr>
              <w:t>$</w:t>
            </w:r>
            <w:r w:rsidRPr="001C2D09" w:rsidR="00721457">
              <w:rPr>
                <w:sz w:val="22"/>
                <w:szCs w:val="22"/>
              </w:rPr>
              <w:t>3,878,640</w:t>
            </w:r>
          </w:p>
        </w:tc>
        <w:tc>
          <w:tcPr>
            <w:tcW w:w="1445" w:type="dxa"/>
            <w:vAlign w:val="center"/>
          </w:tcPr>
          <w:p w:rsidR="00851D83" w:rsidRPr="001C2D09" w:rsidP="00D92EE8" w14:paraId="1522FCF1" w14:textId="77777777">
            <w:pPr>
              <w:jc w:val="center"/>
              <w:rPr>
                <w:sz w:val="22"/>
                <w:szCs w:val="22"/>
              </w:rPr>
            </w:pPr>
          </w:p>
          <w:p w:rsidR="4524E519" w:rsidRPr="001C2D09" w:rsidP="00D92EE8" w14:paraId="6C674194" w14:textId="10A6C449">
            <w:pPr>
              <w:jc w:val="center"/>
              <w:rPr>
                <w:sz w:val="22"/>
                <w:szCs w:val="22"/>
              </w:rPr>
            </w:pPr>
            <w:r w:rsidRPr="001C2D09">
              <w:rPr>
                <w:sz w:val="22"/>
                <w:szCs w:val="22"/>
              </w:rPr>
              <w:t>$</w:t>
            </w:r>
            <w:r w:rsidRPr="001C2D09" w:rsidR="00721457">
              <w:rPr>
                <w:sz w:val="22"/>
                <w:szCs w:val="22"/>
              </w:rPr>
              <w:t>5,042,232</w:t>
            </w:r>
          </w:p>
        </w:tc>
      </w:tr>
      <w:tr w14:paraId="6F944844" w14:textId="77777777" w:rsidTr="005B4C61">
        <w:tblPrEx>
          <w:tblW w:w="10710" w:type="dxa"/>
          <w:tblLayout w:type="fixed"/>
          <w:tblLook w:val="01E0"/>
        </w:tblPrEx>
        <w:trPr>
          <w:trHeight w:val="323"/>
        </w:trPr>
        <w:tc>
          <w:tcPr>
            <w:tcW w:w="1890" w:type="dxa"/>
            <w:vMerge w:val="restart"/>
            <w:shd w:val="clear" w:color="auto" w:fill="auto"/>
            <w:vAlign w:val="center"/>
          </w:tcPr>
          <w:p w:rsidR="005D45B8" w:rsidRPr="001C2D09" w:rsidP="00D92EE8" w14:paraId="3532DFFA" w14:textId="73A3C82C">
            <w:pPr>
              <w:rPr>
                <w:spacing w:val="-3"/>
                <w:sz w:val="22"/>
                <w:szCs w:val="22"/>
                <w:shd w:val="clear" w:color="auto" w:fill="FFFFFF"/>
              </w:rPr>
            </w:pPr>
            <w:r>
              <w:rPr>
                <w:sz w:val="22"/>
                <w:szCs w:val="22"/>
              </w:rPr>
              <w:t>s</w:t>
            </w:r>
            <w:r w:rsidRPr="001C2D09" w:rsidR="56C58766">
              <w:rPr>
                <w:sz w:val="22"/>
                <w:szCs w:val="22"/>
              </w:rPr>
              <w:t>. Notification of CPNI Security Breaches</w:t>
            </w:r>
          </w:p>
        </w:tc>
        <w:tc>
          <w:tcPr>
            <w:tcW w:w="1615" w:type="dxa"/>
            <w:shd w:val="clear" w:color="auto" w:fill="auto"/>
            <w:vAlign w:val="bottom"/>
          </w:tcPr>
          <w:p w:rsidR="005D45B8" w:rsidRPr="001C2D09" w:rsidP="00D92EE8" w14:paraId="7BC73EC0" w14:textId="53FCE640">
            <w:pPr>
              <w:rPr>
                <w:spacing w:val="-3"/>
                <w:sz w:val="22"/>
                <w:szCs w:val="22"/>
                <w:shd w:val="clear" w:color="auto" w:fill="FFFFFF"/>
              </w:rPr>
            </w:pPr>
            <w:r w:rsidRPr="001C2D09">
              <w:rPr>
                <w:sz w:val="22"/>
                <w:szCs w:val="22"/>
              </w:rPr>
              <w:t>Disclosure</w:t>
            </w:r>
            <w:r w:rsidRPr="001C2D09" w:rsidR="67043A60">
              <w:rPr>
                <w:sz w:val="22"/>
                <w:szCs w:val="22"/>
              </w:rPr>
              <w:t xml:space="preserve"> </w:t>
            </w:r>
            <w:r w:rsidRPr="001C2D09" w:rsidR="515AF5C8">
              <w:rPr>
                <w:sz w:val="22"/>
                <w:szCs w:val="22"/>
              </w:rPr>
              <w:t xml:space="preserve"> to </w:t>
            </w:r>
            <w:r w:rsidRPr="001C2D09" w:rsidR="67043A60">
              <w:rPr>
                <w:sz w:val="22"/>
                <w:szCs w:val="22"/>
              </w:rPr>
              <w:t>online reporting</w:t>
            </w:r>
          </w:p>
        </w:tc>
        <w:tc>
          <w:tcPr>
            <w:tcW w:w="1260" w:type="dxa"/>
            <w:shd w:val="clear" w:color="auto" w:fill="auto"/>
            <w:vAlign w:val="bottom"/>
          </w:tcPr>
          <w:p w:rsidR="005D45B8" w:rsidRPr="001C2D09" w:rsidP="00D92EE8" w14:paraId="25BF5026" w14:textId="56A015AB">
            <w:pPr>
              <w:jc w:val="right"/>
              <w:rPr>
                <w:rFonts w:eastAsia="MS Gothic"/>
                <w:b/>
                <w:bCs/>
                <w:spacing w:val="-3"/>
                <w:sz w:val="22"/>
                <w:szCs w:val="22"/>
                <w:shd w:val="clear" w:color="auto" w:fill="FFFFFF"/>
              </w:rPr>
            </w:pPr>
            <w:r w:rsidRPr="001C2D09">
              <w:rPr>
                <w:sz w:val="22"/>
                <w:szCs w:val="22"/>
              </w:rPr>
              <w:t>1,623</w:t>
            </w:r>
          </w:p>
        </w:tc>
        <w:tc>
          <w:tcPr>
            <w:tcW w:w="1260" w:type="dxa"/>
          </w:tcPr>
          <w:p w:rsidR="00E41FA2" w:rsidRPr="001C2D09" w:rsidP="00D92EE8" w14:paraId="73E993EE" w14:textId="77777777">
            <w:pPr>
              <w:jc w:val="center"/>
              <w:rPr>
                <w:sz w:val="22"/>
                <w:szCs w:val="22"/>
              </w:rPr>
            </w:pPr>
          </w:p>
          <w:p w:rsidR="00E41FA2" w:rsidRPr="001C2D09" w:rsidP="00D92EE8" w14:paraId="54606AEC" w14:textId="77777777">
            <w:pPr>
              <w:jc w:val="center"/>
              <w:rPr>
                <w:sz w:val="22"/>
                <w:szCs w:val="22"/>
              </w:rPr>
            </w:pPr>
          </w:p>
          <w:p w:rsidR="00FC27D4" w:rsidP="00D92EE8" w14:paraId="49227C75" w14:textId="77777777">
            <w:pPr>
              <w:jc w:val="center"/>
              <w:rPr>
                <w:sz w:val="22"/>
                <w:szCs w:val="22"/>
              </w:rPr>
            </w:pPr>
          </w:p>
          <w:p w:rsidR="006B132F" w:rsidRPr="001C2D09" w:rsidP="00D92EE8" w14:paraId="42905D33" w14:textId="258DB9ED">
            <w:pPr>
              <w:jc w:val="center"/>
              <w:rPr>
                <w:spacing w:val="-3"/>
                <w:sz w:val="22"/>
                <w:szCs w:val="22"/>
                <w:shd w:val="clear" w:color="auto" w:fill="FFFFFF"/>
              </w:rPr>
            </w:pPr>
            <w:r w:rsidRPr="001C2D09">
              <w:rPr>
                <w:sz w:val="22"/>
                <w:szCs w:val="22"/>
              </w:rPr>
              <w:t>1,623</w:t>
            </w:r>
            <w:r w:rsidRPr="001C2D09" w:rsidR="184C13AB">
              <w:rPr>
                <w:sz w:val="22"/>
                <w:szCs w:val="22"/>
              </w:rPr>
              <w:t xml:space="preserve"> </w:t>
            </w:r>
          </w:p>
        </w:tc>
        <w:tc>
          <w:tcPr>
            <w:tcW w:w="990" w:type="dxa"/>
            <w:shd w:val="clear" w:color="auto" w:fill="auto"/>
            <w:vAlign w:val="bottom"/>
          </w:tcPr>
          <w:p w:rsidR="005D45B8" w:rsidRPr="001C2D09" w:rsidP="00D92EE8" w14:paraId="37544C9D" w14:textId="2786A09E">
            <w:pPr>
              <w:jc w:val="right"/>
              <w:rPr>
                <w:rFonts w:eastAsia="MS Gothic"/>
                <w:b/>
                <w:bCs/>
                <w:i/>
                <w:iCs/>
                <w:spacing w:val="-3"/>
                <w:sz w:val="22"/>
                <w:szCs w:val="22"/>
                <w:shd w:val="clear" w:color="auto" w:fill="FFFFFF"/>
              </w:rPr>
            </w:pPr>
            <w:r w:rsidRPr="001C2D09">
              <w:rPr>
                <w:sz w:val="22"/>
                <w:szCs w:val="22"/>
              </w:rPr>
              <w:t>0</w:t>
            </w:r>
            <w:r w:rsidRPr="001C2D09" w:rsidR="04C864F6">
              <w:rPr>
                <w:sz w:val="22"/>
                <w:szCs w:val="22"/>
              </w:rPr>
              <w:t>.8</w:t>
            </w:r>
          </w:p>
        </w:tc>
        <w:tc>
          <w:tcPr>
            <w:tcW w:w="990" w:type="dxa"/>
            <w:shd w:val="clear" w:color="auto" w:fill="auto"/>
            <w:vAlign w:val="bottom"/>
          </w:tcPr>
          <w:p w:rsidR="005D45B8" w:rsidRPr="001C2D09" w:rsidP="00D92EE8" w14:paraId="380BE9C5" w14:textId="72CCA583">
            <w:pPr>
              <w:jc w:val="right"/>
              <w:rPr>
                <w:rFonts w:eastAsia="MS Gothic"/>
                <w:b/>
                <w:bCs/>
                <w:i/>
                <w:iCs/>
                <w:spacing w:val="-3"/>
                <w:sz w:val="22"/>
                <w:szCs w:val="22"/>
                <w:shd w:val="clear" w:color="auto" w:fill="FFFFFF"/>
              </w:rPr>
            </w:pPr>
            <w:r w:rsidRPr="001C2D09">
              <w:rPr>
                <w:sz w:val="22"/>
                <w:szCs w:val="22"/>
              </w:rPr>
              <w:t>1,298</w:t>
            </w:r>
          </w:p>
        </w:tc>
        <w:tc>
          <w:tcPr>
            <w:tcW w:w="1260" w:type="dxa"/>
            <w:shd w:val="clear" w:color="auto" w:fill="auto"/>
            <w:vAlign w:val="bottom"/>
          </w:tcPr>
          <w:p w:rsidR="00E41FA2" w:rsidRPr="001C2D09" w:rsidP="00D92EE8" w14:paraId="5333542E" w14:textId="77777777">
            <w:pPr>
              <w:jc w:val="right"/>
              <w:rPr>
                <w:sz w:val="22"/>
                <w:szCs w:val="22"/>
              </w:rPr>
            </w:pPr>
          </w:p>
          <w:p w:rsidR="00FC27D4" w:rsidP="00722567" w14:paraId="5F01041C" w14:textId="77777777">
            <w:pPr>
              <w:rPr>
                <w:sz w:val="22"/>
                <w:szCs w:val="22"/>
              </w:rPr>
            </w:pPr>
            <w:r w:rsidRPr="001C2D09">
              <w:rPr>
                <w:sz w:val="22"/>
                <w:szCs w:val="22"/>
              </w:rPr>
              <w:t xml:space="preserve">          </w:t>
            </w:r>
            <w:r w:rsidR="008E04F9">
              <w:rPr>
                <w:sz w:val="22"/>
                <w:szCs w:val="22"/>
              </w:rPr>
              <w:t xml:space="preserve">  </w:t>
            </w:r>
          </w:p>
          <w:p w:rsidR="005D45B8" w:rsidRPr="001C2D09" w:rsidP="00FC27D4" w14:paraId="3D6C9A28" w14:textId="7D38CCBC">
            <w:pPr>
              <w:rPr>
                <w:rFonts w:eastAsia="MS Gothic"/>
                <w:b/>
                <w:bCs/>
                <w:i/>
                <w:iCs/>
                <w:sz w:val="22"/>
                <w:szCs w:val="22"/>
              </w:rPr>
            </w:pPr>
            <w:r w:rsidRPr="001C2D09">
              <w:rPr>
                <w:sz w:val="22"/>
                <w:szCs w:val="22"/>
              </w:rPr>
              <w:t>$98,289</w:t>
            </w:r>
          </w:p>
          <w:p w:rsidR="005D45B8" w:rsidRPr="001C2D09" w:rsidP="00D92EE8" w14:paraId="3C13F007" w14:textId="1F2B615C">
            <w:pPr>
              <w:jc w:val="right"/>
              <w:rPr>
                <w:rFonts w:eastAsia="MS Gothic"/>
                <w:b/>
                <w:bCs/>
                <w:i/>
                <w:iCs/>
                <w:spacing w:val="-3"/>
                <w:sz w:val="22"/>
                <w:szCs w:val="22"/>
                <w:shd w:val="clear" w:color="auto" w:fill="FFFFFF"/>
              </w:rPr>
            </w:pPr>
          </w:p>
        </w:tc>
        <w:tc>
          <w:tcPr>
            <w:tcW w:w="1445" w:type="dxa"/>
            <w:vMerge w:val="restart"/>
            <w:vAlign w:val="center"/>
          </w:tcPr>
          <w:p w:rsidR="005D45B8" w:rsidRPr="001C2D09" w:rsidP="00D92EE8" w14:paraId="5E3B1F35" w14:textId="1CD51AC2">
            <w:pPr>
              <w:jc w:val="center"/>
              <w:rPr>
                <w:sz w:val="22"/>
                <w:szCs w:val="22"/>
              </w:rPr>
            </w:pPr>
            <w:r w:rsidRPr="001C2D09">
              <w:rPr>
                <w:sz w:val="22"/>
                <w:szCs w:val="22"/>
              </w:rPr>
              <w:t>$143,748</w:t>
            </w:r>
          </w:p>
          <w:p w:rsidR="005D45B8" w:rsidRPr="001C2D09" w:rsidP="00D92EE8" w14:paraId="63EBFEA1" w14:textId="44A572E7">
            <w:pPr>
              <w:jc w:val="center"/>
              <w:rPr>
                <w:spacing w:val="-3"/>
                <w:sz w:val="22"/>
                <w:szCs w:val="22"/>
                <w:shd w:val="clear" w:color="auto" w:fill="FFFFFF"/>
              </w:rPr>
            </w:pPr>
          </w:p>
        </w:tc>
      </w:tr>
      <w:tr w14:paraId="074D837C" w14:textId="77777777" w:rsidTr="005B4C61">
        <w:tblPrEx>
          <w:tblW w:w="10710" w:type="dxa"/>
          <w:tblLayout w:type="fixed"/>
          <w:tblLook w:val="01E0"/>
        </w:tblPrEx>
        <w:trPr>
          <w:trHeight w:val="242"/>
        </w:trPr>
        <w:tc>
          <w:tcPr>
            <w:tcW w:w="1890" w:type="dxa"/>
            <w:vMerge/>
            <w:vAlign w:val="center"/>
          </w:tcPr>
          <w:p w:rsidR="005D45B8" w:rsidRPr="001C2D09" w:rsidP="00D92EE8" w14:paraId="26A55A7B" w14:textId="77777777">
            <w:pPr>
              <w:rPr>
                <w:spacing w:val="-3"/>
                <w:sz w:val="22"/>
                <w:szCs w:val="22"/>
                <w:shd w:val="clear" w:color="auto" w:fill="FFFFFF"/>
              </w:rPr>
            </w:pPr>
          </w:p>
        </w:tc>
        <w:tc>
          <w:tcPr>
            <w:tcW w:w="1615" w:type="dxa"/>
            <w:shd w:val="clear" w:color="auto" w:fill="auto"/>
            <w:vAlign w:val="bottom"/>
          </w:tcPr>
          <w:p w:rsidR="005D45B8" w:rsidRPr="001C2D09" w:rsidP="00D92EE8" w14:paraId="292952BC" w14:textId="751F56DA">
            <w:pPr>
              <w:rPr>
                <w:spacing w:val="-3"/>
                <w:sz w:val="22"/>
                <w:szCs w:val="22"/>
                <w:shd w:val="clear" w:color="auto" w:fill="FFFFFF"/>
              </w:rPr>
            </w:pPr>
            <w:r w:rsidRPr="001C2D09">
              <w:rPr>
                <w:sz w:val="22"/>
                <w:szCs w:val="22"/>
              </w:rPr>
              <w:t>Disclosure</w:t>
            </w:r>
            <w:r w:rsidRPr="001C2D09" w:rsidR="1E64FB9E">
              <w:rPr>
                <w:sz w:val="22"/>
                <w:szCs w:val="22"/>
              </w:rPr>
              <w:t xml:space="preserve"> to customer</w:t>
            </w:r>
          </w:p>
        </w:tc>
        <w:tc>
          <w:tcPr>
            <w:tcW w:w="1260" w:type="dxa"/>
            <w:shd w:val="clear" w:color="auto" w:fill="auto"/>
            <w:vAlign w:val="bottom"/>
          </w:tcPr>
          <w:p w:rsidR="005D45B8" w:rsidRPr="001C2D09" w:rsidP="00D92EE8" w14:paraId="1048E6DB" w14:textId="04078374">
            <w:pPr>
              <w:jc w:val="right"/>
              <w:rPr>
                <w:rFonts w:eastAsia="MS Gothic"/>
                <w:b/>
                <w:bCs/>
                <w:i/>
                <w:iCs/>
                <w:spacing w:val="-3"/>
                <w:sz w:val="22"/>
                <w:szCs w:val="22"/>
                <w:shd w:val="clear" w:color="auto" w:fill="FFFFFF"/>
              </w:rPr>
            </w:pPr>
            <w:r w:rsidRPr="001C2D09">
              <w:rPr>
                <w:sz w:val="22"/>
                <w:szCs w:val="22"/>
              </w:rPr>
              <w:t>1,623</w:t>
            </w:r>
          </w:p>
        </w:tc>
        <w:tc>
          <w:tcPr>
            <w:tcW w:w="1260" w:type="dxa"/>
          </w:tcPr>
          <w:p w:rsidR="00E41FA2" w:rsidRPr="001C2D09" w:rsidP="00D92EE8" w14:paraId="7CF8F5C9" w14:textId="77777777">
            <w:pPr>
              <w:jc w:val="center"/>
              <w:rPr>
                <w:sz w:val="22"/>
                <w:szCs w:val="22"/>
              </w:rPr>
            </w:pPr>
          </w:p>
          <w:p w:rsidR="006B132F" w:rsidRPr="001C2D09" w:rsidP="00D92EE8" w14:paraId="7370FA25" w14:textId="378ED11C">
            <w:pPr>
              <w:jc w:val="center"/>
              <w:rPr>
                <w:spacing w:val="-3"/>
                <w:sz w:val="22"/>
                <w:szCs w:val="22"/>
                <w:shd w:val="clear" w:color="auto" w:fill="FFFFFF"/>
              </w:rPr>
            </w:pPr>
            <w:r w:rsidRPr="001C2D09">
              <w:rPr>
                <w:sz w:val="22"/>
                <w:szCs w:val="22"/>
              </w:rPr>
              <w:t xml:space="preserve">1,623 </w:t>
            </w:r>
          </w:p>
        </w:tc>
        <w:tc>
          <w:tcPr>
            <w:tcW w:w="990" w:type="dxa"/>
            <w:shd w:val="clear" w:color="auto" w:fill="auto"/>
            <w:vAlign w:val="bottom"/>
          </w:tcPr>
          <w:p w:rsidR="005D45B8" w:rsidRPr="001C2D09" w:rsidP="00D92EE8" w14:paraId="3F524829" w14:textId="6F529AA9">
            <w:pPr>
              <w:jc w:val="right"/>
              <w:rPr>
                <w:rFonts w:eastAsia="MS Gothic"/>
                <w:b/>
                <w:bCs/>
                <w:i/>
                <w:iCs/>
                <w:spacing w:val="-3"/>
                <w:sz w:val="22"/>
                <w:szCs w:val="22"/>
                <w:shd w:val="clear" w:color="auto" w:fill="FFFFFF"/>
              </w:rPr>
            </w:pPr>
            <w:r w:rsidRPr="001C2D09">
              <w:rPr>
                <w:sz w:val="22"/>
                <w:szCs w:val="22"/>
              </w:rPr>
              <w:t>0.1</w:t>
            </w:r>
          </w:p>
        </w:tc>
        <w:tc>
          <w:tcPr>
            <w:tcW w:w="990" w:type="dxa"/>
            <w:shd w:val="clear" w:color="auto" w:fill="auto"/>
            <w:vAlign w:val="bottom"/>
          </w:tcPr>
          <w:p w:rsidR="005D45B8" w:rsidRPr="001C2D09" w:rsidP="00D92EE8" w14:paraId="7115B102" w14:textId="48BFA17B">
            <w:pPr>
              <w:jc w:val="right"/>
              <w:rPr>
                <w:rFonts w:eastAsia="MS Gothic"/>
                <w:b/>
                <w:bCs/>
                <w:i/>
                <w:iCs/>
                <w:spacing w:val="-3"/>
                <w:sz w:val="22"/>
                <w:szCs w:val="22"/>
                <w:shd w:val="clear" w:color="auto" w:fill="FFFFFF"/>
              </w:rPr>
            </w:pPr>
            <w:r w:rsidRPr="001C2D09">
              <w:rPr>
                <w:sz w:val="22"/>
                <w:szCs w:val="22"/>
              </w:rPr>
              <w:t>162</w:t>
            </w:r>
          </w:p>
        </w:tc>
        <w:tc>
          <w:tcPr>
            <w:tcW w:w="1260" w:type="dxa"/>
            <w:shd w:val="clear" w:color="auto" w:fill="auto"/>
            <w:vAlign w:val="bottom"/>
          </w:tcPr>
          <w:p w:rsidR="005D45B8" w:rsidRPr="001C2D09" w:rsidP="008E04F9" w14:paraId="4607A584" w14:textId="035B8836">
            <w:pPr>
              <w:rPr>
                <w:rFonts w:eastAsia="MS Gothic"/>
                <w:b/>
                <w:bCs/>
                <w:i/>
                <w:iCs/>
                <w:spacing w:val="-3"/>
                <w:sz w:val="22"/>
                <w:szCs w:val="22"/>
                <w:shd w:val="clear" w:color="auto" w:fill="FFFFFF"/>
              </w:rPr>
            </w:pPr>
            <w:r w:rsidRPr="001C2D09">
              <w:rPr>
                <w:sz w:val="22"/>
                <w:szCs w:val="22"/>
              </w:rPr>
              <w:t>$12,286</w:t>
            </w:r>
          </w:p>
        </w:tc>
        <w:tc>
          <w:tcPr>
            <w:tcW w:w="1445" w:type="dxa"/>
            <w:vMerge/>
            <w:vAlign w:val="center"/>
          </w:tcPr>
          <w:p w:rsidR="005D45B8" w:rsidRPr="001C2D09" w:rsidP="00D92EE8" w14:paraId="2E658289" w14:textId="77777777">
            <w:pPr>
              <w:jc w:val="center"/>
              <w:rPr>
                <w:spacing w:val="-3"/>
                <w:sz w:val="22"/>
                <w:szCs w:val="22"/>
                <w:shd w:val="clear" w:color="auto" w:fill="FFFFFF"/>
              </w:rPr>
            </w:pPr>
          </w:p>
        </w:tc>
      </w:tr>
      <w:tr w14:paraId="23838E0C" w14:textId="77777777" w:rsidTr="005B4C61">
        <w:tblPrEx>
          <w:tblW w:w="10710" w:type="dxa"/>
          <w:tblLayout w:type="fixed"/>
          <w:tblLook w:val="01E0"/>
        </w:tblPrEx>
        <w:trPr>
          <w:trHeight w:val="350"/>
        </w:trPr>
        <w:tc>
          <w:tcPr>
            <w:tcW w:w="1890" w:type="dxa"/>
            <w:shd w:val="clear" w:color="auto" w:fill="auto"/>
            <w:vAlign w:val="center"/>
          </w:tcPr>
          <w:p w:rsidR="005D45B8" w:rsidRPr="001C2D09" w:rsidP="00D92EE8" w14:paraId="43B9EAFD" w14:textId="0CD80445">
            <w:pPr>
              <w:rPr>
                <w:spacing w:val="-3"/>
                <w:sz w:val="22"/>
                <w:szCs w:val="22"/>
                <w:shd w:val="clear" w:color="auto" w:fill="FFFFFF"/>
              </w:rPr>
            </w:pPr>
            <w:r>
              <w:rPr>
                <w:sz w:val="22"/>
                <w:szCs w:val="22"/>
              </w:rPr>
              <w:t>t</w:t>
            </w:r>
            <w:r w:rsidRPr="001C2D09" w:rsidR="56C58766">
              <w:rPr>
                <w:sz w:val="22"/>
                <w:szCs w:val="22"/>
              </w:rPr>
              <w:t>. Breach Notification and Recordkeeping</w:t>
            </w:r>
          </w:p>
        </w:tc>
        <w:tc>
          <w:tcPr>
            <w:tcW w:w="1615" w:type="dxa"/>
            <w:shd w:val="clear" w:color="auto" w:fill="auto"/>
            <w:vAlign w:val="bottom"/>
          </w:tcPr>
          <w:p w:rsidR="005D45B8" w:rsidRPr="001C2D09" w:rsidP="00D92EE8" w14:paraId="4E78B590" w14:textId="51E35613">
            <w:pPr>
              <w:rPr>
                <w:spacing w:val="-3"/>
                <w:sz w:val="22"/>
                <w:szCs w:val="22"/>
                <w:shd w:val="clear" w:color="auto" w:fill="FFFFFF"/>
              </w:rPr>
            </w:pPr>
            <w:r w:rsidRPr="001C2D09">
              <w:rPr>
                <w:sz w:val="22"/>
                <w:szCs w:val="22"/>
              </w:rPr>
              <w:t>Recordkeeping</w:t>
            </w:r>
          </w:p>
        </w:tc>
        <w:tc>
          <w:tcPr>
            <w:tcW w:w="1260" w:type="dxa"/>
            <w:shd w:val="clear" w:color="auto" w:fill="auto"/>
            <w:vAlign w:val="bottom"/>
          </w:tcPr>
          <w:p w:rsidR="005D45B8" w:rsidRPr="001C2D09" w:rsidP="00941692" w14:paraId="07DA445C" w14:textId="13D01FDB">
            <w:pPr>
              <w:jc w:val="right"/>
              <w:rPr>
                <w:rFonts w:eastAsia="MS Gothic"/>
                <w:b/>
                <w:bCs/>
                <w:spacing w:val="-3"/>
                <w:sz w:val="22"/>
                <w:szCs w:val="22"/>
                <w:shd w:val="clear" w:color="auto" w:fill="FFFFFF"/>
              </w:rPr>
            </w:pPr>
            <w:r w:rsidRPr="001C2D09">
              <w:rPr>
                <w:sz w:val="22"/>
                <w:szCs w:val="22"/>
              </w:rPr>
              <w:t xml:space="preserve">                </w:t>
            </w:r>
            <w:r w:rsidRPr="001C2D09" w:rsidR="00941692">
              <w:rPr>
                <w:sz w:val="22"/>
                <w:szCs w:val="22"/>
              </w:rPr>
              <w:t xml:space="preserve">  </w:t>
            </w:r>
            <w:r w:rsidRPr="001C2D09">
              <w:rPr>
                <w:sz w:val="22"/>
                <w:szCs w:val="22"/>
              </w:rPr>
              <w:t>2,9</w:t>
            </w:r>
            <w:r w:rsidRPr="001C2D09" w:rsidR="00941692">
              <w:rPr>
                <w:sz w:val="22"/>
                <w:szCs w:val="22"/>
              </w:rPr>
              <w:t>35</w:t>
            </w:r>
            <w:r w:rsidRPr="001C2D09">
              <w:rPr>
                <w:sz w:val="22"/>
                <w:szCs w:val="22"/>
              </w:rPr>
              <w:t xml:space="preserve">    </w:t>
            </w:r>
          </w:p>
        </w:tc>
        <w:tc>
          <w:tcPr>
            <w:tcW w:w="1260" w:type="dxa"/>
            <w:vAlign w:val="bottom"/>
          </w:tcPr>
          <w:p w:rsidR="00622BA7" w:rsidRPr="001C2D09" w:rsidP="00D92EE8" w14:paraId="58C85D1D" w14:textId="77777777">
            <w:pPr>
              <w:jc w:val="center"/>
              <w:rPr>
                <w:sz w:val="22"/>
                <w:szCs w:val="22"/>
              </w:rPr>
            </w:pPr>
          </w:p>
          <w:p w:rsidR="006B132F" w:rsidRPr="001C2D09" w:rsidP="00722567" w14:paraId="34E220D2" w14:textId="4AE85646">
            <w:pPr>
              <w:rPr>
                <w:sz w:val="22"/>
                <w:szCs w:val="22"/>
              </w:rPr>
            </w:pPr>
            <w:r w:rsidRPr="001C2D09">
              <w:rPr>
                <w:sz w:val="22"/>
                <w:szCs w:val="22"/>
              </w:rPr>
              <w:t xml:space="preserve">    </w:t>
            </w:r>
          </w:p>
          <w:p w:rsidR="006B132F" w:rsidRPr="001C2D09" w:rsidP="00D92EE8" w14:paraId="6DE36C8D" w14:textId="386D1D05">
            <w:pPr>
              <w:jc w:val="center"/>
              <w:rPr>
                <w:spacing w:val="-3"/>
                <w:sz w:val="22"/>
                <w:szCs w:val="22"/>
                <w:shd w:val="clear" w:color="auto" w:fill="FFFFFF"/>
              </w:rPr>
            </w:pPr>
            <w:r w:rsidRPr="001C2D09">
              <w:rPr>
                <w:spacing w:val="-3"/>
                <w:sz w:val="22"/>
                <w:szCs w:val="22"/>
                <w:shd w:val="clear" w:color="auto" w:fill="FFFFFF"/>
              </w:rPr>
              <w:t>2,935</w:t>
            </w:r>
          </w:p>
        </w:tc>
        <w:tc>
          <w:tcPr>
            <w:tcW w:w="990" w:type="dxa"/>
            <w:shd w:val="clear" w:color="auto" w:fill="auto"/>
            <w:vAlign w:val="bottom"/>
          </w:tcPr>
          <w:p w:rsidR="005D45B8" w:rsidRPr="001C2D09" w:rsidP="00722567" w14:paraId="48C848BF" w14:textId="241E44E9">
            <w:pPr>
              <w:rPr>
                <w:rFonts w:eastAsia="MS Gothic"/>
                <w:b/>
                <w:bCs/>
                <w:i/>
                <w:iCs/>
                <w:spacing w:val="-3"/>
                <w:sz w:val="22"/>
                <w:szCs w:val="22"/>
                <w:shd w:val="clear" w:color="auto" w:fill="FFFFFF"/>
              </w:rPr>
            </w:pPr>
            <w:r w:rsidRPr="001C2D09">
              <w:rPr>
                <w:sz w:val="22"/>
                <w:szCs w:val="22"/>
              </w:rPr>
              <w:t xml:space="preserve">         2</w:t>
            </w:r>
            <w:r w:rsidRPr="001C2D09" w:rsidR="00FF7097">
              <w:rPr>
                <w:sz w:val="22"/>
                <w:szCs w:val="22"/>
              </w:rPr>
              <w:t xml:space="preserve">  </w:t>
            </w:r>
          </w:p>
        </w:tc>
        <w:tc>
          <w:tcPr>
            <w:tcW w:w="990" w:type="dxa"/>
            <w:shd w:val="clear" w:color="auto" w:fill="auto"/>
            <w:vAlign w:val="bottom"/>
          </w:tcPr>
          <w:p w:rsidR="005D45B8" w:rsidRPr="001C2D09" w:rsidP="00722567" w14:paraId="469B940A" w14:textId="1F20A132">
            <w:pPr>
              <w:rPr>
                <w:rFonts w:eastAsia="MS Gothic"/>
                <w:b/>
                <w:bCs/>
                <w:i/>
                <w:iCs/>
                <w:spacing w:val="-3"/>
                <w:sz w:val="22"/>
                <w:szCs w:val="22"/>
                <w:shd w:val="clear" w:color="auto" w:fill="FFFFFF"/>
              </w:rPr>
            </w:pPr>
            <w:r w:rsidRPr="001C2D09">
              <w:rPr>
                <w:sz w:val="22"/>
                <w:szCs w:val="22"/>
              </w:rPr>
              <w:t xml:space="preserve"> </w:t>
            </w:r>
            <w:r w:rsidRPr="001C2D09" w:rsidR="00E269CF">
              <w:rPr>
                <w:sz w:val="22"/>
                <w:szCs w:val="22"/>
              </w:rPr>
              <w:t xml:space="preserve">   </w:t>
            </w:r>
            <w:r w:rsidRPr="001C2D09" w:rsidR="1FD44DE7">
              <w:rPr>
                <w:sz w:val="22"/>
                <w:szCs w:val="22"/>
              </w:rPr>
              <w:t>5,870</w:t>
            </w:r>
          </w:p>
        </w:tc>
        <w:tc>
          <w:tcPr>
            <w:tcW w:w="1260" w:type="dxa"/>
            <w:shd w:val="clear" w:color="auto" w:fill="auto"/>
            <w:vAlign w:val="bottom"/>
          </w:tcPr>
          <w:p w:rsidR="00DA20F6" w:rsidRPr="001C2D09" w:rsidP="00D92EE8" w14:paraId="308FB705" w14:textId="77777777">
            <w:pPr>
              <w:jc w:val="right"/>
              <w:rPr>
                <w:sz w:val="22"/>
                <w:szCs w:val="22"/>
              </w:rPr>
            </w:pPr>
          </w:p>
          <w:p w:rsidR="005D45B8" w:rsidRPr="001C2D09" w:rsidP="00722567" w14:paraId="39409D11" w14:textId="10B7596B">
            <w:pPr>
              <w:rPr>
                <w:rFonts w:eastAsia="MS Gothic"/>
                <w:b/>
                <w:bCs/>
                <w:i/>
                <w:iCs/>
                <w:sz w:val="22"/>
                <w:szCs w:val="22"/>
              </w:rPr>
            </w:pPr>
            <w:r w:rsidRPr="001C2D09">
              <w:rPr>
                <w:sz w:val="22"/>
                <w:szCs w:val="22"/>
              </w:rPr>
              <w:t xml:space="preserve">        </w:t>
            </w:r>
            <w:r w:rsidRPr="001C2D09" w:rsidR="4F5C45AA">
              <w:rPr>
                <w:sz w:val="22"/>
                <w:szCs w:val="22"/>
              </w:rPr>
              <w:t>$316,217</w:t>
            </w:r>
          </w:p>
          <w:p w:rsidR="005D45B8" w:rsidRPr="001C2D09" w:rsidP="00D92EE8" w14:paraId="598B1681" w14:textId="1EAADFF7">
            <w:pPr>
              <w:jc w:val="right"/>
              <w:rPr>
                <w:rFonts w:eastAsia="MS Gothic"/>
                <w:b/>
                <w:bCs/>
                <w:i/>
                <w:iCs/>
                <w:spacing w:val="-3"/>
                <w:sz w:val="22"/>
                <w:szCs w:val="22"/>
                <w:shd w:val="clear" w:color="auto" w:fill="FFFFFF"/>
              </w:rPr>
            </w:pPr>
          </w:p>
        </w:tc>
        <w:tc>
          <w:tcPr>
            <w:tcW w:w="1445" w:type="dxa"/>
            <w:vAlign w:val="center"/>
          </w:tcPr>
          <w:p w:rsidR="005D45B8" w:rsidRPr="001C2D09" w:rsidP="00D92EE8" w14:paraId="0BC9F8F6" w14:textId="4BF9AAF6">
            <w:pPr>
              <w:jc w:val="center"/>
              <w:rPr>
                <w:sz w:val="22"/>
                <w:szCs w:val="22"/>
              </w:rPr>
            </w:pPr>
            <w:r w:rsidRPr="001C2D09">
              <w:rPr>
                <w:sz w:val="22"/>
                <w:szCs w:val="22"/>
              </w:rPr>
              <w:t>$411,082</w:t>
            </w:r>
          </w:p>
          <w:p w:rsidR="005D45B8" w:rsidRPr="001C2D09" w:rsidP="00D92EE8" w14:paraId="47EB28A8" w14:textId="7C1CB243">
            <w:pPr>
              <w:jc w:val="center"/>
              <w:rPr>
                <w:spacing w:val="-3"/>
                <w:sz w:val="22"/>
                <w:szCs w:val="22"/>
                <w:shd w:val="clear" w:color="auto" w:fill="FFFFFF"/>
              </w:rPr>
            </w:pPr>
          </w:p>
        </w:tc>
      </w:tr>
      <w:tr w14:paraId="2EBAF25E" w14:textId="77777777" w:rsidTr="005B4C61">
        <w:tblPrEx>
          <w:tblW w:w="10710" w:type="dxa"/>
          <w:tblLayout w:type="fixed"/>
          <w:tblLook w:val="01E0"/>
        </w:tblPrEx>
        <w:trPr>
          <w:trHeight w:val="350"/>
        </w:trPr>
        <w:tc>
          <w:tcPr>
            <w:tcW w:w="1890" w:type="dxa"/>
            <w:shd w:val="clear" w:color="auto" w:fill="auto"/>
          </w:tcPr>
          <w:p w:rsidR="004F10CB" w:rsidRPr="001C2D09" w:rsidP="00D92EE8" w14:paraId="08ED341C" w14:textId="2C1CE801">
            <w:pPr>
              <w:rPr>
                <w:b/>
                <w:bCs/>
                <w:spacing w:val="-3"/>
                <w:sz w:val="22"/>
                <w:szCs w:val="22"/>
                <w:shd w:val="clear" w:color="auto" w:fill="FFFFFF"/>
              </w:rPr>
            </w:pPr>
            <w:r w:rsidRPr="001C2D09">
              <w:rPr>
                <w:b/>
                <w:bCs/>
                <w:sz w:val="22"/>
                <w:szCs w:val="22"/>
              </w:rPr>
              <w:t>CUMULATIVE TOTALS</w:t>
            </w:r>
          </w:p>
        </w:tc>
        <w:tc>
          <w:tcPr>
            <w:tcW w:w="1615" w:type="dxa"/>
            <w:shd w:val="clear" w:color="auto" w:fill="auto"/>
            <w:vAlign w:val="bottom"/>
          </w:tcPr>
          <w:p w:rsidR="004F10CB" w:rsidRPr="001C2D09" w:rsidP="00D92EE8" w14:paraId="0EF4D02B" w14:textId="77777777">
            <w:pPr>
              <w:rPr>
                <w:spacing w:val="-3"/>
                <w:sz w:val="22"/>
                <w:szCs w:val="22"/>
                <w:shd w:val="clear" w:color="auto" w:fill="FFFFFF"/>
              </w:rPr>
            </w:pPr>
          </w:p>
        </w:tc>
        <w:tc>
          <w:tcPr>
            <w:tcW w:w="1260" w:type="dxa"/>
            <w:shd w:val="clear" w:color="auto" w:fill="auto"/>
            <w:vAlign w:val="bottom"/>
          </w:tcPr>
          <w:p w:rsidR="004F10CB" w:rsidRPr="001C2D09" w:rsidP="00902F9B" w14:paraId="60E2CBB9" w14:textId="7717230D">
            <w:pPr>
              <w:jc w:val="center"/>
              <w:rPr>
                <w:b/>
                <w:bCs/>
                <w:spacing w:val="-3"/>
                <w:sz w:val="22"/>
                <w:szCs w:val="22"/>
                <w:shd w:val="clear" w:color="auto" w:fill="FFFFFF"/>
              </w:rPr>
            </w:pPr>
            <w:r>
              <w:rPr>
                <w:b/>
                <w:bCs/>
                <w:spacing w:val="-3"/>
                <w:sz w:val="22"/>
                <w:szCs w:val="22"/>
                <w:shd w:val="clear" w:color="auto" w:fill="FFFFFF"/>
              </w:rPr>
              <w:t>2,935</w:t>
            </w:r>
          </w:p>
        </w:tc>
        <w:tc>
          <w:tcPr>
            <w:tcW w:w="1260" w:type="dxa"/>
          </w:tcPr>
          <w:p w:rsidR="00D71A80" w:rsidRPr="001C2D09" w:rsidP="00D92EE8" w14:paraId="6EACC686" w14:textId="77777777">
            <w:pPr>
              <w:jc w:val="center"/>
              <w:rPr>
                <w:b/>
                <w:bCs/>
                <w:sz w:val="22"/>
                <w:szCs w:val="22"/>
              </w:rPr>
            </w:pPr>
          </w:p>
          <w:p w:rsidR="004F10CB" w:rsidRPr="001C2D09" w:rsidP="00D92EE8" w14:paraId="79401D7B" w14:textId="5AF33630">
            <w:pPr>
              <w:jc w:val="center"/>
              <w:rPr>
                <w:b/>
                <w:bCs/>
                <w:spacing w:val="-3"/>
                <w:sz w:val="22"/>
                <w:szCs w:val="22"/>
                <w:shd w:val="clear" w:color="auto" w:fill="FFFFFF"/>
              </w:rPr>
            </w:pPr>
            <w:r>
              <w:rPr>
                <w:b/>
                <w:bCs/>
                <w:sz w:val="22"/>
                <w:szCs w:val="22"/>
              </w:rPr>
              <w:t xml:space="preserve">  </w:t>
            </w:r>
            <w:r w:rsidR="009B047F">
              <w:rPr>
                <w:b/>
                <w:bCs/>
                <w:sz w:val="22"/>
                <w:szCs w:val="22"/>
              </w:rPr>
              <w:t>91,735,</w:t>
            </w:r>
            <w:r w:rsidR="005F622D">
              <w:rPr>
                <w:b/>
                <w:bCs/>
                <w:sz w:val="22"/>
                <w:szCs w:val="22"/>
              </w:rPr>
              <w:t>200</w:t>
            </w:r>
            <w:r w:rsidRPr="001C2D09" w:rsidR="357BD81D">
              <w:rPr>
                <w:b/>
                <w:bCs/>
                <w:sz w:val="22"/>
                <w:szCs w:val="22"/>
              </w:rPr>
              <w:t xml:space="preserve"> </w:t>
            </w:r>
          </w:p>
        </w:tc>
        <w:tc>
          <w:tcPr>
            <w:tcW w:w="990" w:type="dxa"/>
            <w:shd w:val="clear" w:color="auto" w:fill="auto"/>
            <w:vAlign w:val="bottom"/>
          </w:tcPr>
          <w:p w:rsidR="004F10CB" w:rsidRPr="001C2D09" w:rsidP="00D92EE8" w14:paraId="2BB7EA66" w14:textId="4880E10E">
            <w:pPr>
              <w:jc w:val="right"/>
              <w:rPr>
                <w:b/>
                <w:bCs/>
                <w:spacing w:val="-3"/>
                <w:sz w:val="22"/>
                <w:szCs w:val="22"/>
                <w:shd w:val="clear" w:color="auto" w:fill="FFFFFF"/>
              </w:rPr>
            </w:pPr>
          </w:p>
        </w:tc>
        <w:tc>
          <w:tcPr>
            <w:tcW w:w="990" w:type="dxa"/>
            <w:shd w:val="clear" w:color="auto" w:fill="auto"/>
            <w:vAlign w:val="bottom"/>
          </w:tcPr>
          <w:p w:rsidR="00C66097" w:rsidP="00722567" w14:paraId="798EED73" w14:textId="77777777">
            <w:pPr>
              <w:rPr>
                <w:b/>
                <w:bCs/>
                <w:sz w:val="22"/>
                <w:szCs w:val="22"/>
              </w:rPr>
            </w:pPr>
            <w:r>
              <w:rPr>
                <w:b/>
                <w:bCs/>
                <w:sz w:val="22"/>
                <w:szCs w:val="22"/>
              </w:rPr>
              <w:t xml:space="preserve">   </w:t>
            </w:r>
            <w:r w:rsidR="00902F9B">
              <w:rPr>
                <w:b/>
                <w:bCs/>
                <w:sz w:val="22"/>
                <w:szCs w:val="22"/>
              </w:rPr>
              <w:t xml:space="preserve">  </w:t>
            </w:r>
            <w:r>
              <w:rPr>
                <w:b/>
                <w:bCs/>
                <w:sz w:val="22"/>
                <w:szCs w:val="22"/>
              </w:rPr>
              <w:t xml:space="preserve">   </w:t>
            </w:r>
          </w:p>
          <w:p w:rsidR="004F10CB" w:rsidRPr="001C2D09" w:rsidP="00722567" w14:paraId="5DF94347" w14:textId="7B384325">
            <w:pPr>
              <w:rPr>
                <w:b/>
                <w:bCs/>
                <w:sz w:val="22"/>
                <w:szCs w:val="22"/>
              </w:rPr>
            </w:pPr>
            <w:r>
              <w:rPr>
                <w:b/>
                <w:bCs/>
                <w:sz w:val="22"/>
                <w:szCs w:val="22"/>
              </w:rPr>
              <w:t>269,</w:t>
            </w:r>
            <w:r w:rsidR="00131CE6">
              <w:rPr>
                <w:b/>
                <w:bCs/>
                <w:sz w:val="22"/>
                <w:szCs w:val="22"/>
              </w:rPr>
              <w:t>534</w:t>
            </w:r>
          </w:p>
          <w:p w:rsidR="004F10CB" w:rsidRPr="001C2D09" w:rsidP="00D92EE8" w14:paraId="49A8287D" w14:textId="6E35E720">
            <w:pPr>
              <w:jc w:val="right"/>
              <w:rPr>
                <w:b/>
                <w:bCs/>
                <w:spacing w:val="-3"/>
                <w:sz w:val="22"/>
                <w:szCs w:val="22"/>
                <w:shd w:val="clear" w:color="auto" w:fill="FFFFFF"/>
              </w:rPr>
            </w:pPr>
            <w:r w:rsidRPr="001C2D09">
              <w:rPr>
                <w:b/>
                <w:bCs/>
                <w:sz w:val="22"/>
                <w:szCs w:val="22"/>
              </w:rPr>
              <w:t xml:space="preserve"> </w:t>
            </w:r>
          </w:p>
        </w:tc>
        <w:tc>
          <w:tcPr>
            <w:tcW w:w="1260" w:type="dxa"/>
            <w:shd w:val="clear" w:color="auto" w:fill="auto"/>
            <w:vAlign w:val="bottom"/>
          </w:tcPr>
          <w:p w:rsidR="004F10CB" w:rsidRPr="005D0E1D" w:rsidP="00722567" w14:paraId="532630A8" w14:textId="5420B25E">
            <w:pPr>
              <w:rPr>
                <w:b/>
                <w:bCs/>
                <w:spacing w:val="-3"/>
                <w:shd w:val="clear" w:color="auto" w:fill="FFFFFF"/>
              </w:rPr>
            </w:pPr>
            <w:r w:rsidRPr="005D0E1D">
              <w:rPr>
                <w:b/>
                <w:bCs/>
              </w:rPr>
              <w:t>$</w:t>
            </w:r>
            <w:r w:rsidRPr="005D0E1D" w:rsidR="00A80BB8">
              <w:rPr>
                <w:b/>
                <w:bCs/>
              </w:rPr>
              <w:t>15,6</w:t>
            </w:r>
            <w:r w:rsidRPr="005D0E1D" w:rsidR="00AD789C">
              <w:rPr>
                <w:b/>
                <w:bCs/>
              </w:rPr>
              <w:t>40</w:t>
            </w:r>
            <w:r w:rsidRPr="005D0E1D" w:rsidR="00A80BB8">
              <w:rPr>
                <w:b/>
                <w:bCs/>
              </w:rPr>
              <w:t>,</w:t>
            </w:r>
            <w:r w:rsidRPr="005D0E1D" w:rsidR="00AD789C">
              <w:rPr>
                <w:b/>
                <w:bCs/>
              </w:rPr>
              <w:t>5</w:t>
            </w:r>
            <w:r w:rsidRPr="005D0E1D" w:rsidR="007D41C6">
              <w:rPr>
                <w:b/>
                <w:bCs/>
              </w:rPr>
              <w:t>4</w:t>
            </w:r>
            <w:r w:rsidRPr="005D0E1D" w:rsidR="00C66097">
              <w:rPr>
                <w:b/>
                <w:bCs/>
              </w:rPr>
              <w:t>4</w:t>
            </w:r>
            <w:r w:rsidRPr="005D0E1D">
              <w:rPr>
                <w:b/>
                <w:bCs/>
              </w:rPr>
              <w:t xml:space="preserve"> </w:t>
            </w:r>
          </w:p>
        </w:tc>
        <w:tc>
          <w:tcPr>
            <w:tcW w:w="1445" w:type="dxa"/>
            <w:vAlign w:val="center"/>
          </w:tcPr>
          <w:p w:rsidR="004F10CB" w:rsidRPr="001C2D09" w:rsidP="00D92EE8" w14:paraId="6656E5CE" w14:textId="1B1B754C">
            <w:pPr>
              <w:jc w:val="center"/>
              <w:rPr>
                <w:b/>
                <w:bCs/>
                <w:sz w:val="22"/>
                <w:szCs w:val="22"/>
                <w:shd w:val="clear" w:color="auto" w:fill="FFFFFF"/>
              </w:rPr>
            </w:pPr>
            <w:r w:rsidRPr="001C2D09">
              <w:rPr>
                <w:b/>
                <w:bCs/>
                <w:sz w:val="22"/>
                <w:szCs w:val="22"/>
              </w:rPr>
              <w:t>$</w:t>
            </w:r>
            <w:r w:rsidR="007D41C6">
              <w:rPr>
                <w:b/>
                <w:bCs/>
                <w:sz w:val="22"/>
                <w:szCs w:val="22"/>
              </w:rPr>
              <w:t>20,332,7</w:t>
            </w:r>
            <w:r w:rsidR="00FE355A">
              <w:rPr>
                <w:b/>
                <w:bCs/>
                <w:sz w:val="22"/>
                <w:szCs w:val="22"/>
              </w:rPr>
              <w:t>10</w:t>
            </w:r>
          </w:p>
        </w:tc>
      </w:tr>
    </w:tbl>
    <w:p w:rsidR="0089411C" w:rsidRPr="001C2D09" w:rsidP="003A3E9D" w14:paraId="54F0D484" w14:textId="3B21CCC3">
      <w:pPr>
        <w:ind w:left="720"/>
        <w:rPr>
          <w:b/>
          <w:spacing w:val="-3"/>
          <w:sz w:val="22"/>
          <w:szCs w:val="22"/>
          <w:shd w:val="clear" w:color="auto" w:fill="FFFFFF"/>
        </w:rPr>
      </w:pPr>
      <w:r w:rsidRPr="001C2D09">
        <w:rPr>
          <w:b/>
          <w:spacing w:val="-3"/>
          <w:sz w:val="22"/>
          <w:szCs w:val="22"/>
          <w:shd w:val="clear" w:color="auto" w:fill="FFFFFF"/>
        </w:rPr>
        <w:br w:type="textWrapping" w:clear="all"/>
      </w:r>
    </w:p>
    <w:p w:rsidR="001F56EF" w:rsidRPr="001C2D09" w:rsidP="003A3E9D" w14:paraId="3615BA06" w14:textId="091EF7F5">
      <w:pPr>
        <w:keepNext/>
        <w:ind w:left="720"/>
        <w:rPr>
          <w:b/>
          <w:spacing w:val="-3"/>
          <w:sz w:val="22"/>
          <w:szCs w:val="22"/>
          <w:shd w:val="clear" w:color="auto" w:fill="FFFFFF"/>
        </w:rPr>
      </w:pPr>
      <w:r w:rsidRPr="001C2D09">
        <w:rPr>
          <w:b/>
          <w:spacing w:val="-3"/>
          <w:sz w:val="22"/>
          <w:szCs w:val="22"/>
          <w:shd w:val="clear" w:color="auto" w:fill="FFFFFF"/>
        </w:rPr>
        <w:t>Total Number of Respondents:</w:t>
      </w:r>
      <w:r w:rsidRPr="001C2D09" w:rsidR="003D6D6A">
        <w:rPr>
          <w:b/>
          <w:spacing w:val="-3"/>
          <w:sz w:val="22"/>
          <w:szCs w:val="22"/>
          <w:shd w:val="clear" w:color="auto" w:fill="FFFFFF"/>
        </w:rPr>
        <w:t xml:space="preserve"> </w:t>
      </w:r>
      <w:r w:rsidRPr="001C2D09" w:rsidR="00BE6B8C">
        <w:rPr>
          <w:b/>
          <w:spacing w:val="-3"/>
          <w:sz w:val="22"/>
          <w:szCs w:val="22"/>
          <w:shd w:val="clear" w:color="auto" w:fill="FFFFFF"/>
        </w:rPr>
        <w:t xml:space="preserve"> </w:t>
      </w:r>
      <w:r w:rsidRPr="001C2D09" w:rsidR="000D0F17">
        <w:rPr>
          <w:b/>
          <w:spacing w:val="-3"/>
          <w:sz w:val="22"/>
          <w:szCs w:val="22"/>
          <w:shd w:val="clear" w:color="auto" w:fill="FFFFFF"/>
        </w:rPr>
        <w:t>2,935</w:t>
      </w:r>
    </w:p>
    <w:p w:rsidR="00BE6B8C" w:rsidRPr="001C2D09" w:rsidP="1BBE697A" w14:paraId="7A8E4B7F" w14:textId="14694BCB">
      <w:pPr>
        <w:ind w:left="720"/>
        <w:rPr>
          <w:b/>
          <w:bCs/>
          <w:spacing w:val="-3"/>
          <w:sz w:val="22"/>
          <w:szCs w:val="22"/>
          <w:shd w:val="clear" w:color="auto" w:fill="FFFFFF"/>
        </w:rPr>
      </w:pPr>
      <w:r w:rsidRPr="001C2D09">
        <w:rPr>
          <w:b/>
          <w:bCs/>
          <w:spacing w:val="-3"/>
          <w:sz w:val="22"/>
          <w:szCs w:val="22"/>
          <w:shd w:val="clear" w:color="auto" w:fill="FFFFFF"/>
        </w:rPr>
        <w:t>Total Number of Responses Annually</w:t>
      </w:r>
      <w:r w:rsidRPr="001C2D09" w:rsidR="575164DA">
        <w:rPr>
          <w:b/>
          <w:bCs/>
          <w:spacing w:val="-3"/>
          <w:sz w:val="22"/>
          <w:szCs w:val="22"/>
          <w:shd w:val="clear" w:color="auto" w:fill="FFFFFF"/>
        </w:rPr>
        <w:t xml:space="preserve"> [Cumulative]</w:t>
      </w:r>
      <w:r w:rsidRPr="001C2D09" w:rsidR="57652578">
        <w:rPr>
          <w:b/>
          <w:bCs/>
          <w:spacing w:val="-3"/>
          <w:sz w:val="22"/>
          <w:szCs w:val="22"/>
          <w:shd w:val="clear" w:color="auto" w:fill="FFFFFF"/>
        </w:rPr>
        <w:t>:</w:t>
      </w:r>
      <w:r w:rsidRPr="001C2D09" w:rsidR="5CBA6524">
        <w:rPr>
          <w:sz w:val="22"/>
          <w:szCs w:val="22"/>
        </w:rPr>
        <w:t xml:space="preserve"> </w:t>
      </w:r>
      <w:r w:rsidRPr="001C2D09" w:rsidR="1A99CA02">
        <w:rPr>
          <w:sz w:val="22"/>
          <w:szCs w:val="22"/>
        </w:rPr>
        <w:t xml:space="preserve"> </w:t>
      </w:r>
      <w:r w:rsidRPr="001C2D09" w:rsidR="0C11509D">
        <w:rPr>
          <w:b/>
          <w:bCs/>
          <w:sz w:val="22"/>
          <w:szCs w:val="22"/>
        </w:rPr>
        <w:t xml:space="preserve"> </w:t>
      </w:r>
      <w:r w:rsidR="009B047F">
        <w:rPr>
          <w:b/>
          <w:bCs/>
          <w:sz w:val="22"/>
          <w:szCs w:val="22"/>
        </w:rPr>
        <w:t>91,735,</w:t>
      </w:r>
      <w:r w:rsidR="005F622D">
        <w:rPr>
          <w:b/>
          <w:bCs/>
          <w:sz w:val="22"/>
          <w:szCs w:val="22"/>
        </w:rPr>
        <w:t>200</w:t>
      </w:r>
    </w:p>
    <w:p w:rsidR="00904050" w:rsidRPr="001C2D09" w:rsidP="1BBE697A" w14:paraId="3FF346BD" w14:textId="754454F6">
      <w:pPr>
        <w:ind w:left="720"/>
        <w:rPr>
          <w:b/>
          <w:bCs/>
          <w:spacing w:val="-3"/>
          <w:sz w:val="22"/>
          <w:szCs w:val="22"/>
          <w:shd w:val="clear" w:color="auto" w:fill="FFFFFF"/>
        </w:rPr>
      </w:pPr>
      <w:r w:rsidRPr="001C2D09">
        <w:rPr>
          <w:b/>
          <w:bCs/>
          <w:spacing w:val="-3"/>
          <w:sz w:val="22"/>
          <w:szCs w:val="22"/>
          <w:shd w:val="clear" w:color="auto" w:fill="FFFFFF"/>
        </w:rPr>
        <w:t>Total Annual “In House” Costs [Cumulative]:</w:t>
      </w:r>
      <w:r w:rsidRPr="001C2D09">
        <w:rPr>
          <w:b/>
          <w:bCs/>
          <w:noProof/>
          <w:spacing w:val="-3"/>
          <w:sz w:val="22"/>
          <w:szCs w:val="22"/>
          <w:shd w:val="clear" w:color="auto" w:fill="FFFFFF"/>
        </w:rPr>
        <w:t xml:space="preserve"> </w:t>
      </w:r>
      <w:r w:rsidRPr="001C2D09" w:rsidR="6BD6B0E4">
        <w:rPr>
          <w:b/>
          <w:bCs/>
          <w:noProof/>
          <w:spacing w:val="-3"/>
          <w:sz w:val="22"/>
          <w:szCs w:val="22"/>
          <w:shd w:val="clear" w:color="auto" w:fill="FFFFFF"/>
        </w:rPr>
        <w:t xml:space="preserve"> </w:t>
      </w:r>
      <w:r w:rsidRPr="001C2D09" w:rsidR="5F2E7B28">
        <w:rPr>
          <w:b/>
          <w:bCs/>
          <w:sz w:val="22"/>
          <w:szCs w:val="22"/>
          <w:shd w:val="clear" w:color="auto" w:fill="FFFFFF"/>
        </w:rPr>
        <w:t>$</w:t>
      </w:r>
      <w:r w:rsidR="00A80BB8">
        <w:rPr>
          <w:b/>
          <w:bCs/>
          <w:sz w:val="22"/>
          <w:szCs w:val="22"/>
        </w:rPr>
        <w:t>20,3</w:t>
      </w:r>
      <w:r w:rsidR="00231A0B">
        <w:rPr>
          <w:b/>
          <w:bCs/>
          <w:sz w:val="22"/>
          <w:szCs w:val="22"/>
        </w:rPr>
        <w:t>32</w:t>
      </w:r>
      <w:r w:rsidR="00A80BB8">
        <w:rPr>
          <w:b/>
          <w:bCs/>
          <w:sz w:val="22"/>
          <w:szCs w:val="22"/>
        </w:rPr>
        <w:t>,</w:t>
      </w:r>
      <w:r w:rsidR="00145CF2">
        <w:rPr>
          <w:b/>
          <w:bCs/>
          <w:sz w:val="22"/>
          <w:szCs w:val="22"/>
        </w:rPr>
        <w:t>710</w:t>
      </w:r>
    </w:p>
    <w:p w:rsidR="005C5E02" w:rsidRPr="001C2D09" w:rsidP="1BBE697A" w14:paraId="5A4280B7" w14:textId="64852BF9">
      <w:pPr>
        <w:ind w:left="720"/>
        <w:rPr>
          <w:b/>
          <w:bCs/>
          <w:spacing w:val="-3"/>
          <w:sz w:val="22"/>
          <w:szCs w:val="22"/>
          <w:shd w:val="clear" w:color="auto" w:fill="FFFFFF"/>
        </w:rPr>
      </w:pPr>
      <w:r w:rsidRPr="001C2D09">
        <w:rPr>
          <w:b/>
          <w:bCs/>
          <w:spacing w:val="-3"/>
          <w:sz w:val="22"/>
          <w:szCs w:val="22"/>
          <w:shd w:val="clear" w:color="auto" w:fill="FFFFFF"/>
        </w:rPr>
        <w:t xml:space="preserve">Total </w:t>
      </w:r>
      <w:r w:rsidRPr="001C2D09" w:rsidR="0BC7F7CA">
        <w:rPr>
          <w:b/>
          <w:bCs/>
          <w:spacing w:val="-3"/>
          <w:sz w:val="22"/>
          <w:szCs w:val="22"/>
          <w:shd w:val="clear" w:color="auto" w:fill="FFFFFF"/>
        </w:rPr>
        <w:t>Annual Hourly Burden</w:t>
      </w:r>
      <w:r w:rsidRPr="001C2D09" w:rsidR="63901A31">
        <w:rPr>
          <w:b/>
          <w:bCs/>
          <w:spacing w:val="-3"/>
          <w:sz w:val="22"/>
          <w:szCs w:val="22"/>
          <w:shd w:val="clear" w:color="auto" w:fill="FFFFFF"/>
        </w:rPr>
        <w:t xml:space="preserve"> [Cumulative]</w:t>
      </w:r>
      <w:r w:rsidRPr="001C2D09" w:rsidR="0BC7F7CA">
        <w:rPr>
          <w:b/>
          <w:bCs/>
          <w:spacing w:val="-3"/>
          <w:sz w:val="22"/>
          <w:szCs w:val="22"/>
          <w:shd w:val="clear" w:color="auto" w:fill="FFFFFF"/>
        </w:rPr>
        <w:t>:</w:t>
      </w:r>
      <w:r w:rsidRPr="001C2D09" w:rsidR="092D95D4">
        <w:rPr>
          <w:b/>
          <w:bCs/>
          <w:spacing w:val="-3"/>
          <w:sz w:val="22"/>
          <w:szCs w:val="22"/>
          <w:shd w:val="clear" w:color="auto" w:fill="FFFFFF"/>
        </w:rPr>
        <w:t xml:space="preserve"> </w:t>
      </w:r>
      <w:r w:rsidRPr="001C2D09" w:rsidR="222C085B">
        <w:rPr>
          <w:b/>
          <w:bCs/>
          <w:spacing w:val="-3"/>
          <w:sz w:val="22"/>
          <w:szCs w:val="22"/>
          <w:shd w:val="clear" w:color="auto" w:fill="FFFFFF"/>
        </w:rPr>
        <w:t xml:space="preserve"> </w:t>
      </w:r>
      <w:r w:rsidRPr="001C2D09" w:rsidR="76066D04">
        <w:rPr>
          <w:b/>
          <w:bCs/>
          <w:spacing w:val="-3"/>
          <w:sz w:val="22"/>
          <w:szCs w:val="22"/>
          <w:shd w:val="clear" w:color="auto" w:fill="FFFFFF"/>
        </w:rPr>
        <w:t xml:space="preserve"> </w:t>
      </w:r>
      <w:r w:rsidR="00A80BB8">
        <w:rPr>
          <w:b/>
          <w:bCs/>
          <w:spacing w:val="-3"/>
          <w:sz w:val="22"/>
          <w:szCs w:val="22"/>
          <w:shd w:val="clear" w:color="auto" w:fill="FFFFFF"/>
        </w:rPr>
        <w:t>269,</w:t>
      </w:r>
      <w:r w:rsidR="00131CE6">
        <w:rPr>
          <w:b/>
          <w:bCs/>
          <w:spacing w:val="-3"/>
          <w:sz w:val="22"/>
          <w:szCs w:val="22"/>
          <w:shd w:val="clear" w:color="auto" w:fill="FFFFFF"/>
        </w:rPr>
        <w:t>534</w:t>
      </w:r>
      <w:r w:rsidRPr="001C2D09" w:rsidR="76066D04">
        <w:rPr>
          <w:b/>
          <w:bCs/>
          <w:spacing w:val="-3"/>
          <w:sz w:val="22"/>
          <w:szCs w:val="22"/>
          <w:shd w:val="clear" w:color="auto" w:fill="FFFFFF"/>
        </w:rPr>
        <w:t xml:space="preserve"> </w:t>
      </w:r>
      <w:r w:rsidRPr="001C2D09" w:rsidR="12035EFD">
        <w:rPr>
          <w:b/>
          <w:bCs/>
          <w:spacing w:val="-3"/>
          <w:sz w:val="22"/>
          <w:szCs w:val="22"/>
          <w:shd w:val="clear" w:color="auto" w:fill="FFFFFF"/>
        </w:rPr>
        <w:t>hours</w:t>
      </w:r>
    </w:p>
    <w:p w:rsidR="002C6A99" w:rsidRPr="001C2D09" w:rsidP="003A3E9D" w14:paraId="58D3A273" w14:textId="77777777">
      <w:pPr>
        <w:ind w:left="720"/>
        <w:rPr>
          <w:spacing w:val="-3"/>
          <w:sz w:val="22"/>
          <w:szCs w:val="22"/>
          <w:shd w:val="clear" w:color="auto" w:fill="FFFFFF"/>
        </w:rPr>
      </w:pPr>
    </w:p>
    <w:p w:rsidR="00005848" w:rsidRPr="001C2D09" w:rsidP="00B71DEE" w14:paraId="4A0BF769" w14:textId="247EF020">
      <w:pPr>
        <w:keepNext/>
        <w:spacing w:after="120"/>
        <w:rPr>
          <w:spacing w:val="-3"/>
          <w:sz w:val="22"/>
          <w:szCs w:val="22"/>
          <w:shd w:val="clear" w:color="auto" w:fill="FFFFFF"/>
        </w:rPr>
      </w:pPr>
      <w:r w:rsidRPr="001C2D09">
        <w:rPr>
          <w:spacing w:val="-3"/>
          <w:sz w:val="22"/>
          <w:szCs w:val="22"/>
          <w:shd w:val="clear" w:color="auto" w:fill="FFFFFF"/>
        </w:rPr>
        <w:t>13.</w:t>
      </w:r>
      <w:r w:rsidRPr="001C2D09">
        <w:rPr>
          <w:spacing w:val="-3"/>
          <w:sz w:val="22"/>
          <w:szCs w:val="22"/>
          <w:shd w:val="clear" w:color="auto" w:fill="FFFFFF"/>
        </w:rPr>
        <w:tab/>
      </w:r>
      <w:r w:rsidRPr="001C2D09" w:rsidR="000000FF">
        <w:rPr>
          <w:i/>
          <w:iCs/>
          <w:spacing w:val="-3"/>
          <w:sz w:val="22"/>
          <w:szCs w:val="22"/>
          <w:shd w:val="clear" w:color="auto" w:fill="FFFFFF"/>
        </w:rPr>
        <w:t xml:space="preserve">Estimates of the </w:t>
      </w:r>
      <w:r w:rsidRPr="001C2D09" w:rsidR="006B7872">
        <w:rPr>
          <w:i/>
          <w:iCs/>
          <w:spacing w:val="-3"/>
          <w:sz w:val="22"/>
          <w:szCs w:val="22"/>
          <w:shd w:val="clear" w:color="auto" w:fill="FFFFFF"/>
        </w:rPr>
        <w:t>c</w:t>
      </w:r>
      <w:r w:rsidRPr="001C2D09" w:rsidR="00902A88">
        <w:rPr>
          <w:i/>
          <w:iCs/>
          <w:spacing w:val="-3"/>
          <w:sz w:val="22"/>
          <w:szCs w:val="22"/>
          <w:shd w:val="clear" w:color="auto" w:fill="FFFFFF"/>
        </w:rPr>
        <w:t xml:space="preserve">ost burden </w:t>
      </w:r>
      <w:r w:rsidRPr="001C2D09" w:rsidR="00CC782A">
        <w:rPr>
          <w:i/>
          <w:iCs/>
          <w:spacing w:val="-3"/>
          <w:sz w:val="22"/>
          <w:szCs w:val="22"/>
          <w:shd w:val="clear" w:color="auto" w:fill="FFFFFF"/>
        </w:rPr>
        <w:t>of the collection to</w:t>
      </w:r>
      <w:r w:rsidRPr="001C2D09" w:rsidR="00902A88">
        <w:rPr>
          <w:i/>
          <w:iCs/>
          <w:spacing w:val="-3"/>
          <w:sz w:val="22"/>
          <w:szCs w:val="22"/>
          <w:shd w:val="clear" w:color="auto" w:fill="FFFFFF"/>
        </w:rPr>
        <w:t xml:space="preserve"> respondents</w:t>
      </w:r>
      <w:r w:rsidRPr="001C2D09" w:rsidR="00902A88">
        <w:rPr>
          <w:spacing w:val="-3"/>
          <w:sz w:val="22"/>
          <w:szCs w:val="22"/>
          <w:shd w:val="clear" w:color="auto" w:fill="FFFFFF"/>
        </w:rPr>
        <w:t xml:space="preserve">.  </w:t>
      </w:r>
      <w:r w:rsidRPr="001C2D09">
        <w:rPr>
          <w:spacing w:val="-3"/>
          <w:sz w:val="22"/>
          <w:szCs w:val="22"/>
          <w:shd w:val="clear" w:color="auto" w:fill="FFFFFF"/>
        </w:rPr>
        <w:t>Th</w:t>
      </w:r>
      <w:r w:rsidRPr="001C2D09" w:rsidR="000951D3">
        <w:rPr>
          <w:spacing w:val="-3"/>
          <w:sz w:val="22"/>
          <w:szCs w:val="22"/>
          <w:shd w:val="clear" w:color="auto" w:fill="FFFFFF"/>
        </w:rPr>
        <w:t>is is</w:t>
      </w:r>
      <w:r w:rsidRPr="001C2D09" w:rsidR="00701BAE">
        <w:rPr>
          <w:spacing w:val="-3"/>
          <w:sz w:val="22"/>
          <w:szCs w:val="22"/>
          <w:shd w:val="clear" w:color="auto" w:fill="FFFFFF"/>
        </w:rPr>
        <w:t xml:space="preserve"> the</w:t>
      </w:r>
      <w:r w:rsidRPr="001C2D09" w:rsidR="002C6A99">
        <w:rPr>
          <w:spacing w:val="-3"/>
          <w:sz w:val="22"/>
          <w:szCs w:val="22"/>
          <w:shd w:val="clear" w:color="auto" w:fill="FFFFFF"/>
        </w:rPr>
        <w:t xml:space="preserve"> Commission’</w:t>
      </w:r>
      <w:r w:rsidRPr="001C2D09">
        <w:rPr>
          <w:spacing w:val="-3"/>
          <w:sz w:val="22"/>
          <w:szCs w:val="22"/>
          <w:shd w:val="clear" w:color="auto" w:fill="FFFFFF"/>
        </w:rPr>
        <w:t xml:space="preserve">s estimate of the annual cost burden to respondents </w:t>
      </w:r>
      <w:r w:rsidRPr="001C2D09" w:rsidR="00701BAE">
        <w:rPr>
          <w:spacing w:val="-3"/>
          <w:sz w:val="22"/>
          <w:szCs w:val="22"/>
          <w:shd w:val="clear" w:color="auto" w:fill="FFFFFF"/>
        </w:rPr>
        <w:t>for t</w:t>
      </w:r>
      <w:r w:rsidRPr="001C2D09">
        <w:rPr>
          <w:spacing w:val="-3"/>
          <w:sz w:val="22"/>
          <w:szCs w:val="22"/>
          <w:shd w:val="clear" w:color="auto" w:fill="FFFFFF"/>
        </w:rPr>
        <w:t>he</w:t>
      </w:r>
      <w:r w:rsidRPr="001C2D09" w:rsidR="00701BAE">
        <w:rPr>
          <w:spacing w:val="-3"/>
          <w:sz w:val="22"/>
          <w:szCs w:val="22"/>
          <w:shd w:val="clear" w:color="auto" w:fill="FFFFFF"/>
        </w:rPr>
        <w:t xml:space="preserve"> information collection requirements</w:t>
      </w:r>
      <w:r w:rsidRPr="001C2D09" w:rsidR="00CC57B1">
        <w:rPr>
          <w:spacing w:val="-3"/>
          <w:sz w:val="22"/>
          <w:szCs w:val="22"/>
          <w:shd w:val="clear" w:color="auto" w:fill="FFFFFF"/>
        </w:rPr>
        <w:t>:</w:t>
      </w:r>
      <w:r w:rsidRPr="001C2D09">
        <w:rPr>
          <w:spacing w:val="-3"/>
          <w:sz w:val="22"/>
          <w:szCs w:val="22"/>
          <w:shd w:val="clear" w:color="auto" w:fill="FFFFFF"/>
        </w:rPr>
        <w:t xml:space="preserve">  </w:t>
      </w:r>
    </w:p>
    <w:p w:rsidR="00D60A93" w:rsidRPr="001C2D09" w:rsidP="003A3E9D" w14:paraId="59D6EEC6" w14:textId="083801B5">
      <w:pPr>
        <w:ind w:firstLine="720"/>
        <w:rPr>
          <w:spacing w:val="-3"/>
          <w:sz w:val="22"/>
          <w:szCs w:val="22"/>
          <w:shd w:val="clear" w:color="auto" w:fill="FFFFFF"/>
        </w:rPr>
      </w:pPr>
      <w:r w:rsidRPr="001C2D09">
        <w:rPr>
          <w:spacing w:val="-3"/>
          <w:sz w:val="22"/>
          <w:szCs w:val="22"/>
          <w:shd w:val="clear" w:color="auto" w:fill="FFFFFF"/>
        </w:rPr>
        <w:t>(a)</w:t>
      </w:r>
      <w:r w:rsidRPr="001C2D09" w:rsidR="003A3E9D">
        <w:rPr>
          <w:spacing w:val="-3"/>
          <w:sz w:val="22"/>
          <w:szCs w:val="22"/>
          <w:shd w:val="clear" w:color="auto" w:fill="FFFFFF"/>
        </w:rPr>
        <w:t xml:space="preserve"> </w:t>
      </w:r>
      <w:r w:rsidRPr="001C2D09">
        <w:rPr>
          <w:spacing w:val="-3"/>
          <w:sz w:val="22"/>
          <w:szCs w:val="22"/>
          <w:shd w:val="clear" w:color="auto" w:fill="FFFFFF"/>
        </w:rPr>
        <w:t>Total annualized capital/startup costs: $</w:t>
      </w:r>
      <w:r w:rsidRPr="001C2D09" w:rsidR="00953E91">
        <w:rPr>
          <w:spacing w:val="-3"/>
          <w:sz w:val="22"/>
          <w:szCs w:val="22"/>
          <w:shd w:val="clear" w:color="auto" w:fill="FFFFFF"/>
        </w:rPr>
        <w:t xml:space="preserve"> 0</w:t>
      </w:r>
    </w:p>
    <w:p w:rsidR="00C01F92" w:rsidRPr="001C2D09" w:rsidP="003A3E9D" w14:paraId="1350008D" w14:textId="6EBD2BC8">
      <w:pPr>
        <w:ind w:firstLine="720"/>
        <w:rPr>
          <w:spacing w:val="-3"/>
          <w:sz w:val="22"/>
          <w:szCs w:val="22"/>
          <w:shd w:val="clear" w:color="auto" w:fill="FFFFFF"/>
        </w:rPr>
      </w:pPr>
      <w:r w:rsidRPr="001C2D09">
        <w:rPr>
          <w:spacing w:val="-3"/>
          <w:sz w:val="22"/>
          <w:szCs w:val="22"/>
          <w:shd w:val="clear" w:color="auto" w:fill="FFFFFF"/>
        </w:rPr>
        <w:t>(b)</w:t>
      </w:r>
      <w:r w:rsidRPr="001C2D09" w:rsidR="003A3E9D">
        <w:rPr>
          <w:spacing w:val="-3"/>
          <w:sz w:val="22"/>
          <w:szCs w:val="22"/>
          <w:shd w:val="clear" w:color="auto" w:fill="FFFFFF"/>
        </w:rPr>
        <w:t xml:space="preserve"> </w:t>
      </w:r>
      <w:r w:rsidRPr="001C2D09">
        <w:rPr>
          <w:spacing w:val="-3"/>
          <w:sz w:val="22"/>
          <w:szCs w:val="22"/>
          <w:shd w:val="clear" w:color="auto" w:fill="FFFFFF"/>
        </w:rPr>
        <w:t xml:space="preserve">Total annualized costs (O&amp;M): </w:t>
      </w:r>
      <w:r w:rsidRPr="001C2D09" w:rsidR="001A1F67">
        <w:rPr>
          <w:spacing w:val="-3"/>
          <w:sz w:val="22"/>
          <w:szCs w:val="22"/>
          <w:shd w:val="clear" w:color="auto" w:fill="FFFFFF"/>
        </w:rPr>
        <w:t xml:space="preserve"> </w:t>
      </w:r>
      <w:r w:rsidRPr="001C2D09">
        <w:rPr>
          <w:spacing w:val="-3"/>
          <w:sz w:val="22"/>
          <w:szCs w:val="22"/>
          <w:shd w:val="clear" w:color="auto" w:fill="FFFFFF"/>
        </w:rPr>
        <w:t>$</w:t>
      </w:r>
      <w:r w:rsidRPr="001C2D09" w:rsidR="00953E91">
        <w:rPr>
          <w:spacing w:val="-3"/>
          <w:sz w:val="22"/>
          <w:szCs w:val="22"/>
          <w:shd w:val="clear" w:color="auto" w:fill="FFFFFF"/>
        </w:rPr>
        <w:t xml:space="preserve"> 0</w:t>
      </w:r>
    </w:p>
    <w:p w:rsidR="00C01F92" w:rsidRPr="001C2D09" w:rsidP="003A3E9D" w14:paraId="7F31DEBC" w14:textId="0A6F89A4">
      <w:pPr>
        <w:ind w:firstLine="720"/>
        <w:rPr>
          <w:spacing w:val="-3"/>
          <w:sz w:val="22"/>
          <w:szCs w:val="22"/>
          <w:shd w:val="clear" w:color="auto" w:fill="FFFFFF"/>
        </w:rPr>
      </w:pPr>
      <w:r w:rsidRPr="001C2D09">
        <w:rPr>
          <w:spacing w:val="-3"/>
          <w:sz w:val="22"/>
          <w:szCs w:val="22"/>
          <w:shd w:val="clear" w:color="auto" w:fill="FFFFFF"/>
        </w:rPr>
        <w:t>(c)</w:t>
      </w:r>
      <w:r w:rsidRPr="001C2D09" w:rsidR="003A3E9D">
        <w:rPr>
          <w:spacing w:val="-3"/>
          <w:sz w:val="22"/>
          <w:szCs w:val="22"/>
          <w:shd w:val="clear" w:color="auto" w:fill="FFFFFF"/>
        </w:rPr>
        <w:t xml:space="preserve"> </w:t>
      </w:r>
      <w:r w:rsidRPr="001C2D09">
        <w:rPr>
          <w:spacing w:val="-3"/>
          <w:sz w:val="22"/>
          <w:szCs w:val="22"/>
          <w:shd w:val="clear" w:color="auto" w:fill="FFFFFF"/>
        </w:rPr>
        <w:t xml:space="preserve">Total annualized cost requested: </w:t>
      </w:r>
      <w:r w:rsidRPr="001C2D09">
        <w:rPr>
          <w:b/>
          <w:spacing w:val="-3"/>
          <w:sz w:val="22"/>
          <w:szCs w:val="22"/>
          <w:shd w:val="clear" w:color="auto" w:fill="FFFFFF"/>
        </w:rPr>
        <w:t>$</w:t>
      </w:r>
      <w:r w:rsidRPr="001C2D09" w:rsidR="00953E91">
        <w:rPr>
          <w:b/>
          <w:spacing w:val="-3"/>
          <w:sz w:val="22"/>
          <w:szCs w:val="22"/>
          <w:shd w:val="clear" w:color="auto" w:fill="FFFFFF"/>
        </w:rPr>
        <w:t xml:space="preserve"> 0</w:t>
      </w:r>
    </w:p>
    <w:p w:rsidR="00D60A93" w:rsidRPr="001C2D09" w:rsidP="003A3E9D" w14:paraId="373AD75F" w14:textId="77777777">
      <w:pPr>
        <w:rPr>
          <w:spacing w:val="-3"/>
          <w:sz w:val="22"/>
          <w:szCs w:val="22"/>
          <w:shd w:val="clear" w:color="auto" w:fill="FFFFFF"/>
        </w:rPr>
      </w:pPr>
    </w:p>
    <w:p w:rsidR="00005848" w:rsidRPr="001C2D09" w:rsidP="003A3E9D" w14:paraId="7DC004DF" w14:textId="326E0F84">
      <w:pPr>
        <w:rPr>
          <w:spacing w:val="-3"/>
          <w:sz w:val="22"/>
          <w:szCs w:val="22"/>
          <w:shd w:val="clear" w:color="auto" w:fill="FFFFFF"/>
        </w:rPr>
      </w:pPr>
      <w:r w:rsidRPr="001C2D09">
        <w:rPr>
          <w:spacing w:val="-3"/>
          <w:sz w:val="22"/>
          <w:szCs w:val="22"/>
          <w:shd w:val="clear" w:color="auto" w:fill="FFFFFF"/>
        </w:rPr>
        <w:tab/>
      </w:r>
      <w:r w:rsidRPr="001C2D09">
        <w:rPr>
          <w:spacing w:val="-3"/>
          <w:sz w:val="22"/>
          <w:szCs w:val="22"/>
          <w:shd w:val="clear" w:color="auto" w:fill="FFFFFF"/>
        </w:rPr>
        <w:tab/>
      </w:r>
      <w:r w:rsidRPr="001C2D09" w:rsidR="00634B53">
        <w:rPr>
          <w:spacing w:val="-3"/>
          <w:sz w:val="22"/>
          <w:szCs w:val="22"/>
          <w:shd w:val="clear" w:color="auto" w:fill="FFFFFF"/>
        </w:rPr>
        <w:tab/>
      </w:r>
      <w:r w:rsidRPr="001C2D09">
        <w:rPr>
          <w:spacing w:val="-3"/>
          <w:sz w:val="22"/>
          <w:szCs w:val="22"/>
          <w:shd w:val="clear" w:color="auto" w:fill="FFFFFF"/>
        </w:rPr>
        <w:tab/>
      </w:r>
      <w:r w:rsidRPr="001C2D09" w:rsidR="00634B53">
        <w:rPr>
          <w:spacing w:val="-3"/>
          <w:sz w:val="22"/>
          <w:szCs w:val="22"/>
          <w:shd w:val="clear" w:color="auto" w:fill="FFFFFF"/>
        </w:rPr>
        <w:tab/>
      </w:r>
      <w:r w:rsidRPr="001C2D09">
        <w:rPr>
          <w:spacing w:val="-3"/>
          <w:sz w:val="22"/>
          <w:szCs w:val="22"/>
          <w:shd w:val="clear" w:color="auto" w:fill="FFFFFF"/>
        </w:rPr>
        <w:tab/>
      </w:r>
      <w:r w:rsidRPr="001C2D09" w:rsidR="00634B53">
        <w:rPr>
          <w:spacing w:val="-3"/>
          <w:sz w:val="22"/>
          <w:szCs w:val="22"/>
          <w:shd w:val="clear" w:color="auto" w:fill="FFFFFF"/>
        </w:rPr>
        <w:tab/>
      </w:r>
      <w:r w:rsidRPr="001C2D09">
        <w:rPr>
          <w:spacing w:val="-3"/>
          <w:sz w:val="22"/>
          <w:szCs w:val="22"/>
          <w:shd w:val="clear" w:color="auto" w:fill="FFFFFF"/>
        </w:rPr>
        <w:tab/>
      </w:r>
      <w:r w:rsidRPr="001C2D09" w:rsidR="00634B53">
        <w:rPr>
          <w:spacing w:val="-3"/>
          <w:sz w:val="22"/>
          <w:szCs w:val="22"/>
          <w:shd w:val="clear" w:color="auto" w:fill="FFFFFF"/>
        </w:rPr>
        <w:tab/>
      </w:r>
      <w:r w:rsidRPr="001C2D09">
        <w:rPr>
          <w:spacing w:val="-3"/>
          <w:sz w:val="22"/>
          <w:szCs w:val="22"/>
          <w:shd w:val="clear" w:color="auto" w:fill="FFFFFF"/>
        </w:rPr>
        <w:tab/>
      </w:r>
      <w:r w:rsidRPr="001C2D09">
        <w:rPr>
          <w:spacing w:val="-3"/>
          <w:sz w:val="22"/>
          <w:szCs w:val="22"/>
          <w:shd w:val="clear" w:color="auto" w:fill="FFFFFF"/>
        </w:rPr>
        <w:tab/>
      </w:r>
    </w:p>
    <w:p w:rsidR="00005848" w:rsidRPr="001C2D09" w:rsidP="003A3E9D" w14:paraId="4A87EC8D" w14:textId="2605B1F1">
      <w:pPr>
        <w:rPr>
          <w:spacing w:val="-3"/>
          <w:sz w:val="22"/>
          <w:szCs w:val="22"/>
          <w:shd w:val="clear" w:color="auto" w:fill="FFFFFF"/>
        </w:rPr>
      </w:pPr>
      <w:r w:rsidRPr="001C2D09">
        <w:rPr>
          <w:spacing w:val="-3"/>
          <w:sz w:val="22"/>
          <w:szCs w:val="22"/>
          <w:shd w:val="clear" w:color="auto" w:fill="FFFFFF"/>
        </w:rPr>
        <w:t>14.</w:t>
      </w:r>
      <w:r w:rsidRPr="001C2D09">
        <w:rPr>
          <w:spacing w:val="-3"/>
          <w:sz w:val="22"/>
          <w:szCs w:val="22"/>
          <w:shd w:val="clear" w:color="auto" w:fill="FFFFFF"/>
        </w:rPr>
        <w:tab/>
      </w:r>
      <w:r w:rsidRPr="001C2D09" w:rsidR="00824048">
        <w:rPr>
          <w:i/>
          <w:iCs/>
          <w:spacing w:val="-3"/>
          <w:sz w:val="22"/>
          <w:szCs w:val="22"/>
          <w:shd w:val="clear" w:color="auto" w:fill="FFFFFF"/>
        </w:rPr>
        <w:t>Estimates of the cost burden to the Commission</w:t>
      </w:r>
      <w:r w:rsidRPr="001C2D09" w:rsidR="00824048">
        <w:rPr>
          <w:spacing w:val="-3"/>
          <w:sz w:val="22"/>
          <w:szCs w:val="22"/>
          <w:shd w:val="clear" w:color="auto" w:fill="FFFFFF"/>
        </w:rPr>
        <w:t xml:space="preserve">.  </w:t>
      </w:r>
      <w:r w:rsidRPr="001C2D09">
        <w:rPr>
          <w:spacing w:val="-3"/>
          <w:sz w:val="22"/>
          <w:szCs w:val="22"/>
          <w:shd w:val="clear" w:color="auto" w:fill="FFFFFF"/>
        </w:rPr>
        <w:t xml:space="preserve">There will be few if any costs to the Commission because the </w:t>
      </w:r>
      <w:r w:rsidRPr="001C2D09" w:rsidR="002B08C0">
        <w:rPr>
          <w:spacing w:val="-3"/>
          <w:sz w:val="22"/>
          <w:szCs w:val="22"/>
          <w:shd w:val="clear" w:color="auto" w:fill="FFFFFF"/>
        </w:rPr>
        <w:t xml:space="preserve">information collection </w:t>
      </w:r>
      <w:r w:rsidRPr="001C2D09">
        <w:rPr>
          <w:spacing w:val="-3"/>
          <w:sz w:val="22"/>
          <w:szCs w:val="22"/>
          <w:shd w:val="clear" w:color="auto" w:fill="FFFFFF"/>
        </w:rPr>
        <w:t xml:space="preserve">requirements </w:t>
      </w:r>
      <w:r w:rsidRPr="001C2D09" w:rsidR="00257E6F">
        <w:rPr>
          <w:spacing w:val="-3"/>
          <w:sz w:val="22"/>
          <w:szCs w:val="22"/>
          <w:shd w:val="clear" w:color="auto" w:fill="FFFFFF"/>
        </w:rPr>
        <w:t xml:space="preserve">affect the respondents and </w:t>
      </w:r>
      <w:r w:rsidRPr="001C2D09">
        <w:rPr>
          <w:spacing w:val="-3"/>
          <w:sz w:val="22"/>
          <w:szCs w:val="22"/>
          <w:shd w:val="clear" w:color="auto" w:fill="FFFFFF"/>
        </w:rPr>
        <w:t>third part</w:t>
      </w:r>
      <w:r w:rsidRPr="001C2D09" w:rsidR="00257E6F">
        <w:rPr>
          <w:spacing w:val="-3"/>
          <w:sz w:val="22"/>
          <w:szCs w:val="22"/>
          <w:shd w:val="clear" w:color="auto" w:fill="FFFFFF"/>
        </w:rPr>
        <w:t xml:space="preserve">ies, </w:t>
      </w:r>
      <w:r w:rsidRPr="001C2D09" w:rsidR="00257E6F">
        <w:rPr>
          <w:i/>
          <w:spacing w:val="-3"/>
          <w:sz w:val="22"/>
          <w:szCs w:val="22"/>
          <w:shd w:val="clear" w:color="auto" w:fill="FFFFFF"/>
        </w:rPr>
        <w:t>e.g.,</w:t>
      </w:r>
      <w:r w:rsidRPr="001C2D09" w:rsidR="00257E6F">
        <w:rPr>
          <w:spacing w:val="-3"/>
          <w:sz w:val="22"/>
          <w:szCs w:val="22"/>
          <w:shd w:val="clear" w:color="auto" w:fill="FFFFFF"/>
        </w:rPr>
        <w:t xml:space="preserve"> subscriber list publishers, </w:t>
      </w:r>
      <w:r w:rsidRPr="001C2D09" w:rsidR="00257E6F">
        <w:rPr>
          <w:i/>
          <w:spacing w:val="-3"/>
          <w:sz w:val="22"/>
          <w:szCs w:val="22"/>
          <w:shd w:val="clear" w:color="auto" w:fill="FFFFFF"/>
        </w:rPr>
        <w:t>etc</w:t>
      </w:r>
      <w:r w:rsidRPr="001C2D09" w:rsidR="00257E6F">
        <w:rPr>
          <w:spacing w:val="-3"/>
          <w:sz w:val="22"/>
          <w:szCs w:val="22"/>
          <w:shd w:val="clear" w:color="auto" w:fill="FFFFFF"/>
        </w:rPr>
        <w:t xml:space="preserve">., </w:t>
      </w:r>
      <w:r w:rsidRPr="001C2D09" w:rsidR="002B08C0">
        <w:rPr>
          <w:spacing w:val="-3"/>
          <w:sz w:val="22"/>
          <w:szCs w:val="22"/>
          <w:shd w:val="clear" w:color="auto" w:fill="FFFFFF"/>
        </w:rPr>
        <w:t xml:space="preserve">and </w:t>
      </w:r>
      <w:r w:rsidRPr="001C2D09" w:rsidR="00257E6F">
        <w:rPr>
          <w:spacing w:val="-3"/>
          <w:sz w:val="22"/>
          <w:szCs w:val="22"/>
          <w:shd w:val="clear" w:color="auto" w:fill="FFFFFF"/>
        </w:rPr>
        <w:t>the Commission is not required to review the</w:t>
      </w:r>
      <w:r w:rsidRPr="001C2D09" w:rsidR="002B08C0">
        <w:rPr>
          <w:spacing w:val="-3"/>
          <w:sz w:val="22"/>
          <w:szCs w:val="22"/>
          <w:shd w:val="clear" w:color="auto" w:fill="FFFFFF"/>
        </w:rPr>
        <w:t>se</w:t>
      </w:r>
      <w:r w:rsidRPr="001C2D09" w:rsidR="00257E6F">
        <w:rPr>
          <w:spacing w:val="-3"/>
          <w:sz w:val="22"/>
          <w:szCs w:val="22"/>
          <w:shd w:val="clear" w:color="auto" w:fill="FFFFFF"/>
        </w:rPr>
        <w:t xml:space="preserve"> actions and activities, in most instanc</w:t>
      </w:r>
      <w:r w:rsidRPr="001C2D09">
        <w:rPr>
          <w:spacing w:val="-3"/>
          <w:sz w:val="22"/>
          <w:szCs w:val="22"/>
          <w:shd w:val="clear" w:color="auto" w:fill="FFFFFF"/>
        </w:rPr>
        <w:t xml:space="preserve">es. </w:t>
      </w:r>
    </w:p>
    <w:p w:rsidR="00005848" w:rsidRPr="001C2D09" w:rsidP="003A3E9D" w14:paraId="5B8ABBB5" w14:textId="77777777">
      <w:pPr>
        <w:rPr>
          <w:spacing w:val="-3"/>
          <w:sz w:val="22"/>
          <w:szCs w:val="22"/>
          <w:shd w:val="clear" w:color="auto" w:fill="FFFFFF"/>
        </w:rPr>
      </w:pPr>
    </w:p>
    <w:p w:rsidR="00B5707C" w:rsidRPr="001C2D09" w:rsidP="0077092A" w14:paraId="744FEA77" w14:textId="3E856911">
      <w:pPr>
        <w:keepNext/>
        <w:rPr>
          <w:spacing w:val="-3"/>
          <w:sz w:val="22"/>
          <w:szCs w:val="22"/>
          <w:shd w:val="clear" w:color="auto" w:fill="FFFFFF"/>
        </w:rPr>
      </w:pPr>
      <w:r w:rsidRPr="001C2D09">
        <w:rPr>
          <w:spacing w:val="-3"/>
          <w:sz w:val="22"/>
          <w:szCs w:val="22"/>
          <w:shd w:val="clear" w:color="auto" w:fill="FFFFFF"/>
        </w:rPr>
        <w:t>15.</w:t>
      </w:r>
      <w:r w:rsidRPr="001C2D09">
        <w:rPr>
          <w:spacing w:val="-3"/>
          <w:sz w:val="22"/>
          <w:szCs w:val="22"/>
          <w:shd w:val="clear" w:color="auto" w:fill="FFFFFF"/>
        </w:rPr>
        <w:tab/>
      </w:r>
      <w:r w:rsidRPr="001C2D09" w:rsidR="003E10EF">
        <w:rPr>
          <w:i/>
          <w:iCs/>
          <w:spacing w:val="-3"/>
          <w:sz w:val="22"/>
          <w:szCs w:val="22"/>
          <w:shd w:val="clear" w:color="auto" w:fill="FFFFFF"/>
        </w:rPr>
        <w:t>Program changes o</w:t>
      </w:r>
      <w:r w:rsidRPr="001C2D09" w:rsidR="00BE11A7">
        <w:rPr>
          <w:i/>
          <w:iCs/>
          <w:spacing w:val="-3"/>
          <w:sz w:val="22"/>
          <w:szCs w:val="22"/>
          <w:shd w:val="clear" w:color="auto" w:fill="FFFFFF"/>
        </w:rPr>
        <w:t>r</w:t>
      </w:r>
      <w:r w:rsidRPr="001C2D09" w:rsidR="003E10EF">
        <w:rPr>
          <w:i/>
          <w:iCs/>
          <w:spacing w:val="-3"/>
          <w:sz w:val="22"/>
          <w:szCs w:val="22"/>
          <w:shd w:val="clear" w:color="auto" w:fill="FFFFFF"/>
        </w:rPr>
        <w:t xml:space="preserve"> adjustments</w:t>
      </w:r>
      <w:r w:rsidRPr="001C2D09" w:rsidR="003E10EF">
        <w:rPr>
          <w:spacing w:val="-3"/>
          <w:sz w:val="22"/>
          <w:szCs w:val="22"/>
          <w:shd w:val="clear" w:color="auto" w:fill="FFFFFF"/>
        </w:rPr>
        <w:t xml:space="preserve">.  </w:t>
      </w:r>
      <w:r w:rsidRPr="001C2D09" w:rsidR="009C413F">
        <w:rPr>
          <w:spacing w:val="-3"/>
          <w:sz w:val="22"/>
          <w:szCs w:val="22"/>
          <w:shd w:val="clear" w:color="auto" w:fill="FFFFFF"/>
        </w:rPr>
        <w:t xml:space="preserve">The Commission made the following adjustments </w:t>
      </w:r>
      <w:r w:rsidRPr="001C2D09" w:rsidR="00C12EA6">
        <w:rPr>
          <w:spacing w:val="-3"/>
          <w:sz w:val="22"/>
          <w:szCs w:val="22"/>
          <w:shd w:val="clear" w:color="auto" w:fill="FFFFFF"/>
        </w:rPr>
        <w:t>to these estimates:</w:t>
      </w:r>
    </w:p>
    <w:p w:rsidR="00C12EA6" w:rsidRPr="001C2D09" w:rsidP="0077092A" w14:paraId="38E2BDA9" w14:textId="5C2055B6">
      <w:pPr>
        <w:keepNext/>
        <w:rPr>
          <w:spacing w:val="-3"/>
          <w:sz w:val="22"/>
          <w:szCs w:val="22"/>
          <w:shd w:val="clear" w:color="auto" w:fill="FFFFFF"/>
        </w:rPr>
      </w:pPr>
    </w:p>
    <w:p w:rsidR="004759ED" w:rsidRPr="001C2D09" w:rsidP="0059693A" w14:paraId="2CE64F74" w14:textId="51E8484C">
      <w:pPr>
        <w:rPr>
          <w:spacing w:val="-3"/>
          <w:sz w:val="22"/>
          <w:szCs w:val="22"/>
          <w:shd w:val="clear" w:color="auto" w:fill="FFFFFF"/>
        </w:rPr>
      </w:pPr>
      <w:r w:rsidRPr="001C2D09">
        <w:rPr>
          <w:spacing w:val="-3"/>
          <w:sz w:val="22"/>
          <w:szCs w:val="22"/>
          <w:shd w:val="clear" w:color="auto" w:fill="FFFFFF"/>
        </w:rPr>
        <w:t>As noted above, the Commission has updated the estimate of the total number of respondents to these information collections, based on</w:t>
      </w:r>
      <w:r w:rsidRPr="001C2D09">
        <w:rPr>
          <w:spacing w:val="-3"/>
          <w:sz w:val="22"/>
          <w:szCs w:val="22"/>
        </w:rPr>
        <w:t xml:space="preserve"> the total number of annual CPNI reports filed for calendar year 20</w:t>
      </w:r>
      <w:r w:rsidRPr="001C2D09" w:rsidR="7F7E043A">
        <w:rPr>
          <w:spacing w:val="-3"/>
          <w:sz w:val="22"/>
          <w:szCs w:val="22"/>
        </w:rPr>
        <w:t>2</w:t>
      </w:r>
      <w:r w:rsidRPr="001C2D09" w:rsidR="7E960F82">
        <w:rPr>
          <w:sz w:val="22"/>
          <w:szCs w:val="22"/>
        </w:rPr>
        <w:t>3</w:t>
      </w:r>
      <w:r w:rsidRPr="001C2D09">
        <w:rPr>
          <w:spacing w:val="-3"/>
          <w:sz w:val="22"/>
          <w:szCs w:val="22"/>
        </w:rPr>
        <w:t>, the most recent year for which we have such data.</w:t>
      </w:r>
      <w:r>
        <w:rPr>
          <w:rStyle w:val="FootnoteReference"/>
          <w:spacing w:val="-3"/>
          <w:sz w:val="22"/>
          <w:szCs w:val="22"/>
        </w:rPr>
        <w:footnoteReference w:id="45"/>
      </w:r>
      <w:r w:rsidRPr="001C2D09">
        <w:rPr>
          <w:spacing w:val="-3"/>
          <w:sz w:val="22"/>
          <w:szCs w:val="22"/>
        </w:rPr>
        <w:t xml:space="preserve">  This re-calculation brings the current estimated number of respondents to </w:t>
      </w:r>
      <w:r w:rsidRPr="001C2D09" w:rsidR="090B0EB9">
        <w:rPr>
          <w:sz w:val="22"/>
          <w:szCs w:val="22"/>
        </w:rPr>
        <w:t>2,935</w:t>
      </w:r>
      <w:r w:rsidRPr="001C2D09" w:rsidR="0FA29DB3">
        <w:rPr>
          <w:sz w:val="22"/>
          <w:szCs w:val="22"/>
        </w:rPr>
        <w:t xml:space="preserve">, up </w:t>
      </w:r>
      <w:r w:rsidRPr="001C2D09">
        <w:rPr>
          <w:spacing w:val="-3"/>
          <w:sz w:val="22"/>
          <w:szCs w:val="22"/>
        </w:rPr>
        <w:t xml:space="preserve">from the previous estimate of </w:t>
      </w:r>
      <w:r w:rsidRPr="001C2D09" w:rsidR="090B0EB9">
        <w:rPr>
          <w:sz w:val="22"/>
          <w:szCs w:val="22"/>
        </w:rPr>
        <w:t>2,800</w:t>
      </w:r>
      <w:r w:rsidRPr="001C2D09" w:rsidR="009D02A0">
        <w:rPr>
          <w:sz w:val="22"/>
          <w:szCs w:val="22"/>
        </w:rPr>
        <w:t xml:space="preserve"> </w:t>
      </w:r>
      <w:r w:rsidRPr="001C2D09" w:rsidR="7DECF7DD">
        <w:rPr>
          <w:spacing w:val="-3"/>
          <w:sz w:val="22"/>
          <w:szCs w:val="22"/>
        </w:rPr>
        <w:t>(</w:t>
      </w:r>
      <w:r w:rsidRPr="001C2D09" w:rsidR="00D33DB2">
        <w:rPr>
          <w:spacing w:val="-3"/>
          <w:sz w:val="22"/>
          <w:szCs w:val="22"/>
        </w:rPr>
        <w:t>+</w:t>
      </w:r>
      <w:r w:rsidRPr="001C2D09" w:rsidR="009D02A0">
        <w:rPr>
          <w:spacing w:val="-3"/>
          <w:sz w:val="22"/>
          <w:szCs w:val="22"/>
        </w:rPr>
        <w:t>135</w:t>
      </w:r>
      <w:r w:rsidRPr="001C2D09" w:rsidR="7DECF7DD">
        <w:rPr>
          <w:spacing w:val="-3"/>
          <w:sz w:val="22"/>
          <w:szCs w:val="22"/>
        </w:rPr>
        <w:t>)</w:t>
      </w:r>
      <w:r w:rsidRPr="001C2D09">
        <w:rPr>
          <w:spacing w:val="-3"/>
          <w:sz w:val="22"/>
          <w:szCs w:val="22"/>
        </w:rPr>
        <w:t xml:space="preserve">.  </w:t>
      </w:r>
      <w:r w:rsidRPr="001C2D09" w:rsidR="730164EE">
        <w:rPr>
          <w:sz w:val="22"/>
          <w:szCs w:val="22"/>
        </w:rPr>
        <w:t>As discussed in this Supporting Statement, w</w:t>
      </w:r>
      <w:r w:rsidRPr="001C2D09" w:rsidR="27BBB20A">
        <w:rPr>
          <w:sz w:val="22"/>
          <w:szCs w:val="22"/>
        </w:rPr>
        <w:t>e believe that most respondent</w:t>
      </w:r>
      <w:r w:rsidRPr="001C2D09" w:rsidR="1CB15E0C">
        <w:rPr>
          <w:sz w:val="22"/>
          <w:szCs w:val="22"/>
        </w:rPr>
        <w:t>s</w:t>
      </w:r>
      <w:r w:rsidRPr="001C2D09" w:rsidR="27BBB20A">
        <w:rPr>
          <w:sz w:val="22"/>
          <w:szCs w:val="22"/>
        </w:rPr>
        <w:t xml:space="preserve"> </w:t>
      </w:r>
      <w:r w:rsidRPr="001C2D09" w:rsidR="2425E981">
        <w:rPr>
          <w:sz w:val="22"/>
          <w:szCs w:val="22"/>
        </w:rPr>
        <w:t>ha</w:t>
      </w:r>
      <w:r w:rsidRPr="001C2D09" w:rsidR="1CB15E0C">
        <w:rPr>
          <w:sz w:val="22"/>
          <w:szCs w:val="22"/>
        </w:rPr>
        <w:t>ve</w:t>
      </w:r>
      <w:r w:rsidRPr="001C2D09" w:rsidR="2425E981">
        <w:rPr>
          <w:sz w:val="22"/>
          <w:szCs w:val="22"/>
        </w:rPr>
        <w:t xml:space="preserve"> previously developed and currently </w:t>
      </w:r>
      <w:r w:rsidRPr="001C2D09" w:rsidR="27BBB20A">
        <w:rPr>
          <w:sz w:val="22"/>
          <w:szCs w:val="22"/>
        </w:rPr>
        <w:t>use a digital internal system to manage</w:t>
      </w:r>
      <w:r w:rsidRPr="001C2D09" w:rsidR="44D4F43D">
        <w:rPr>
          <w:sz w:val="22"/>
          <w:szCs w:val="22"/>
        </w:rPr>
        <w:t xml:space="preserve"> </w:t>
      </w:r>
      <w:r w:rsidRPr="001C2D09" w:rsidR="2425E981">
        <w:rPr>
          <w:sz w:val="22"/>
          <w:szCs w:val="22"/>
        </w:rPr>
        <w:t xml:space="preserve">and respond to </w:t>
      </w:r>
      <w:r w:rsidRPr="001C2D09" w:rsidR="77C9469E">
        <w:rPr>
          <w:sz w:val="22"/>
          <w:szCs w:val="22"/>
        </w:rPr>
        <w:t xml:space="preserve">many </w:t>
      </w:r>
      <w:r w:rsidRPr="001C2D09" w:rsidR="730164EE">
        <w:rPr>
          <w:sz w:val="22"/>
          <w:szCs w:val="22"/>
        </w:rPr>
        <w:t>compliance</w:t>
      </w:r>
      <w:r w:rsidRPr="001C2D09" w:rsidR="44D4F43D">
        <w:rPr>
          <w:sz w:val="22"/>
          <w:szCs w:val="22"/>
        </w:rPr>
        <w:t xml:space="preserve"> obligations. </w:t>
      </w:r>
      <w:r w:rsidRPr="001C2D09" w:rsidR="0032BF40">
        <w:rPr>
          <w:sz w:val="22"/>
          <w:szCs w:val="22"/>
        </w:rPr>
        <w:t xml:space="preserve"> </w:t>
      </w:r>
      <w:r w:rsidRPr="001C2D09" w:rsidR="19E0D304">
        <w:rPr>
          <w:sz w:val="22"/>
          <w:szCs w:val="22"/>
        </w:rPr>
        <w:t>Because of this</w:t>
      </w:r>
      <w:r w:rsidRPr="001C2D09" w:rsidR="0032BF40">
        <w:rPr>
          <w:sz w:val="22"/>
          <w:szCs w:val="22"/>
        </w:rPr>
        <w:t xml:space="preserve">, the burden for many compliance obligations </w:t>
      </w:r>
      <w:r w:rsidRPr="001C2D09" w:rsidR="54E4BB8F">
        <w:rPr>
          <w:sz w:val="22"/>
          <w:szCs w:val="22"/>
        </w:rPr>
        <w:t>is now</w:t>
      </w:r>
      <w:r w:rsidRPr="001C2D09" w:rsidR="0032BF40">
        <w:rPr>
          <w:sz w:val="22"/>
          <w:szCs w:val="22"/>
        </w:rPr>
        <w:t xml:space="preserve"> limited to new entrants.</w:t>
      </w:r>
      <w:r w:rsidR="008934DA">
        <w:rPr>
          <w:sz w:val="22"/>
          <w:szCs w:val="22"/>
        </w:rPr>
        <w:t xml:space="preserve">  As a result of these adjustments, the </w:t>
      </w:r>
      <w:r w:rsidR="0048411D">
        <w:rPr>
          <w:sz w:val="22"/>
          <w:szCs w:val="22"/>
        </w:rPr>
        <w:t>total responses went from 94</w:t>
      </w:r>
      <w:r w:rsidR="000F2D48">
        <w:rPr>
          <w:sz w:val="22"/>
          <w:szCs w:val="22"/>
        </w:rPr>
        <w:t>,</w:t>
      </w:r>
      <w:r w:rsidR="0048411D">
        <w:rPr>
          <w:sz w:val="22"/>
          <w:szCs w:val="22"/>
        </w:rPr>
        <w:t>432</w:t>
      </w:r>
      <w:r w:rsidR="000F2D48">
        <w:rPr>
          <w:sz w:val="22"/>
          <w:szCs w:val="22"/>
        </w:rPr>
        <w:t>,</w:t>
      </w:r>
      <w:r w:rsidR="0048411D">
        <w:rPr>
          <w:sz w:val="22"/>
          <w:szCs w:val="22"/>
        </w:rPr>
        <w:t>333 to 20,369, resulting in a change in responses</w:t>
      </w:r>
      <w:r w:rsidR="00677FB0">
        <w:rPr>
          <w:sz w:val="22"/>
          <w:szCs w:val="22"/>
        </w:rPr>
        <w:t xml:space="preserve"> of </w:t>
      </w:r>
      <w:r w:rsidRPr="008B552C" w:rsidR="00677FB0">
        <w:rPr>
          <w:b/>
          <w:bCs/>
          <w:sz w:val="22"/>
          <w:szCs w:val="22"/>
        </w:rPr>
        <w:t>-</w:t>
      </w:r>
      <w:r w:rsidRPr="008B552C" w:rsidR="008B552C">
        <w:rPr>
          <w:b/>
          <w:bCs/>
          <w:sz w:val="22"/>
          <w:szCs w:val="22"/>
        </w:rPr>
        <w:t>9</w:t>
      </w:r>
      <w:r w:rsidRPr="008B552C" w:rsidR="00677FB0">
        <w:rPr>
          <w:b/>
          <w:bCs/>
          <w:sz w:val="22"/>
          <w:szCs w:val="22"/>
        </w:rPr>
        <w:t>4,411,964</w:t>
      </w:r>
      <w:r w:rsidR="008B552C">
        <w:rPr>
          <w:sz w:val="22"/>
          <w:szCs w:val="22"/>
        </w:rPr>
        <w:t xml:space="preserve">.  Similarly, as a result of </w:t>
      </w:r>
      <w:r w:rsidR="008B552C">
        <w:rPr>
          <w:sz w:val="22"/>
          <w:szCs w:val="22"/>
        </w:rPr>
        <w:t>these adjustments, the burden hours went from 228,981 to 27</w:t>
      </w:r>
      <w:r w:rsidR="00D77285">
        <w:rPr>
          <w:sz w:val="22"/>
          <w:szCs w:val="22"/>
        </w:rPr>
        <w:t>,</w:t>
      </w:r>
      <w:r w:rsidR="008B552C">
        <w:rPr>
          <w:sz w:val="22"/>
          <w:szCs w:val="22"/>
        </w:rPr>
        <w:t>579</w:t>
      </w:r>
      <w:r w:rsidR="000F2D48">
        <w:rPr>
          <w:sz w:val="22"/>
          <w:szCs w:val="22"/>
        </w:rPr>
        <w:t>, resulting in a change in burden hours of</w:t>
      </w:r>
      <w:r w:rsidR="00D77285">
        <w:rPr>
          <w:sz w:val="22"/>
          <w:szCs w:val="22"/>
        </w:rPr>
        <w:t xml:space="preserve"> </w:t>
      </w:r>
      <w:r w:rsidR="000F2D48">
        <w:rPr>
          <w:sz w:val="22"/>
          <w:szCs w:val="22"/>
        </w:rPr>
        <w:t xml:space="preserve"> </w:t>
      </w:r>
      <w:r w:rsidR="00D77285">
        <w:rPr>
          <w:b/>
          <w:bCs/>
          <w:sz w:val="22"/>
          <w:szCs w:val="22"/>
        </w:rPr>
        <w:t>-</w:t>
      </w:r>
      <w:r w:rsidR="000F2D48">
        <w:rPr>
          <w:b/>
          <w:bCs/>
          <w:sz w:val="22"/>
          <w:szCs w:val="22"/>
        </w:rPr>
        <w:t>201,402</w:t>
      </w:r>
      <w:r w:rsidR="000F2D48">
        <w:rPr>
          <w:sz w:val="22"/>
          <w:szCs w:val="22"/>
        </w:rPr>
        <w:t>.</w:t>
      </w:r>
      <w:r w:rsidRPr="001C2D09" w:rsidR="0032BF40">
        <w:rPr>
          <w:sz w:val="22"/>
          <w:szCs w:val="22"/>
        </w:rPr>
        <w:t xml:space="preserve"> </w:t>
      </w:r>
      <w:r w:rsidRPr="001C2D09" w:rsidR="44D4F43D">
        <w:rPr>
          <w:sz w:val="22"/>
          <w:szCs w:val="22"/>
        </w:rPr>
        <w:t xml:space="preserve"> </w:t>
      </w:r>
      <w:r w:rsidRPr="001C2D09" w:rsidR="1C405FAC">
        <w:rPr>
          <w:sz w:val="22"/>
          <w:szCs w:val="22"/>
        </w:rPr>
        <w:t>However, implement</w:t>
      </w:r>
      <w:r w:rsidRPr="001C2D09" w:rsidR="53664F20">
        <w:rPr>
          <w:sz w:val="22"/>
          <w:szCs w:val="22"/>
        </w:rPr>
        <w:t xml:space="preserve">ation of </w:t>
      </w:r>
      <w:r w:rsidRPr="7F2667BC" w:rsidR="00C11F91">
        <w:rPr>
          <w:sz w:val="22"/>
          <w:szCs w:val="22"/>
        </w:rPr>
        <w:t xml:space="preserve">program changes as a result of </w:t>
      </w:r>
      <w:r w:rsidRPr="001C2D09" w:rsidR="53664F20">
        <w:rPr>
          <w:sz w:val="22"/>
          <w:szCs w:val="22"/>
        </w:rPr>
        <w:t>new obligations in</w:t>
      </w:r>
      <w:r w:rsidRPr="001C2D09" w:rsidR="1C405FAC">
        <w:rPr>
          <w:sz w:val="22"/>
          <w:szCs w:val="22"/>
        </w:rPr>
        <w:t xml:space="preserve"> the </w:t>
      </w:r>
      <w:r w:rsidRPr="7F2667BC" w:rsidR="1C405FAC">
        <w:rPr>
          <w:i/>
          <w:iCs/>
          <w:sz w:val="22"/>
          <w:szCs w:val="22"/>
        </w:rPr>
        <w:t>SIM S</w:t>
      </w:r>
      <w:r w:rsidRPr="7F2667BC" w:rsidR="5CAD8AEC">
        <w:rPr>
          <w:i/>
          <w:iCs/>
          <w:sz w:val="22"/>
          <w:szCs w:val="22"/>
        </w:rPr>
        <w:t xml:space="preserve">wap </w:t>
      </w:r>
      <w:r w:rsidRPr="7F2667BC" w:rsidR="00184719">
        <w:rPr>
          <w:i/>
          <w:iCs/>
          <w:sz w:val="22"/>
          <w:szCs w:val="22"/>
        </w:rPr>
        <w:t>and Port-Out Fraud O</w:t>
      </w:r>
      <w:r w:rsidRPr="7F2667BC" w:rsidR="5CAD8AEC">
        <w:rPr>
          <w:i/>
          <w:iCs/>
          <w:sz w:val="22"/>
          <w:szCs w:val="22"/>
        </w:rPr>
        <w:t>rder</w:t>
      </w:r>
      <w:r w:rsidRPr="001C2D09" w:rsidR="7D241550">
        <w:rPr>
          <w:sz w:val="22"/>
          <w:szCs w:val="22"/>
        </w:rPr>
        <w:t xml:space="preserve"> </w:t>
      </w:r>
      <w:r w:rsidRPr="001C2D09" w:rsidR="1DB1326B">
        <w:rPr>
          <w:sz w:val="22"/>
          <w:szCs w:val="22"/>
        </w:rPr>
        <w:t xml:space="preserve">and the </w:t>
      </w:r>
      <w:r w:rsidRPr="7F2667BC" w:rsidR="1DB1326B">
        <w:rPr>
          <w:i/>
          <w:iCs/>
          <w:sz w:val="22"/>
          <w:szCs w:val="22"/>
        </w:rPr>
        <w:t xml:space="preserve">Data Breach </w:t>
      </w:r>
      <w:r w:rsidRPr="7F2667BC" w:rsidR="00184719">
        <w:rPr>
          <w:i/>
          <w:iCs/>
          <w:sz w:val="22"/>
          <w:szCs w:val="22"/>
        </w:rPr>
        <w:t>Reporting Requirements O</w:t>
      </w:r>
      <w:r w:rsidRPr="7F2667BC" w:rsidR="1DB1326B">
        <w:rPr>
          <w:i/>
          <w:iCs/>
          <w:sz w:val="22"/>
          <w:szCs w:val="22"/>
        </w:rPr>
        <w:t>rder</w:t>
      </w:r>
      <w:r w:rsidRPr="001C2D09" w:rsidR="1DB1326B">
        <w:rPr>
          <w:sz w:val="22"/>
          <w:szCs w:val="22"/>
        </w:rPr>
        <w:t xml:space="preserve"> </w:t>
      </w:r>
      <w:r w:rsidRPr="001C2D09" w:rsidR="5CAD8AEC">
        <w:rPr>
          <w:sz w:val="22"/>
          <w:szCs w:val="22"/>
        </w:rPr>
        <w:t xml:space="preserve">will </w:t>
      </w:r>
      <w:r w:rsidRPr="001C2D09" w:rsidR="63DAE02F">
        <w:rPr>
          <w:sz w:val="22"/>
          <w:szCs w:val="22"/>
        </w:rPr>
        <w:t xml:space="preserve">require </w:t>
      </w:r>
      <w:r w:rsidRPr="001C2D09" w:rsidR="4DFE3B42">
        <w:rPr>
          <w:sz w:val="22"/>
          <w:szCs w:val="22"/>
        </w:rPr>
        <w:t xml:space="preserve">additional </w:t>
      </w:r>
      <w:r w:rsidRPr="001C2D09" w:rsidR="5CAD8AEC">
        <w:rPr>
          <w:sz w:val="22"/>
          <w:szCs w:val="22"/>
        </w:rPr>
        <w:t>hours to design, develop, test, and impl</w:t>
      </w:r>
      <w:r w:rsidRPr="001C2D09" w:rsidR="2B755965">
        <w:rPr>
          <w:sz w:val="22"/>
          <w:szCs w:val="22"/>
        </w:rPr>
        <w:t>e</w:t>
      </w:r>
      <w:r w:rsidRPr="001C2D09" w:rsidR="5CAD8AEC">
        <w:rPr>
          <w:sz w:val="22"/>
          <w:szCs w:val="22"/>
        </w:rPr>
        <w:t>ment procedures</w:t>
      </w:r>
      <w:r w:rsidRPr="7F2667BC" w:rsidR="007E1384">
        <w:rPr>
          <w:sz w:val="22"/>
          <w:szCs w:val="22"/>
        </w:rPr>
        <w:t>, engage in recordkeeping, and provid</w:t>
      </w:r>
      <w:r w:rsidRPr="7F2667BC" w:rsidR="00C11F91">
        <w:rPr>
          <w:sz w:val="22"/>
          <w:szCs w:val="22"/>
        </w:rPr>
        <w:t>e</w:t>
      </w:r>
      <w:r w:rsidRPr="7F2667BC" w:rsidR="007E1384">
        <w:rPr>
          <w:sz w:val="22"/>
          <w:szCs w:val="22"/>
        </w:rPr>
        <w:t xml:space="preserve"> notices to customers</w:t>
      </w:r>
      <w:r w:rsidRPr="001C2D09" w:rsidR="21F60E4C">
        <w:rPr>
          <w:sz w:val="22"/>
          <w:szCs w:val="22"/>
        </w:rPr>
        <w:t xml:space="preserve">.  </w:t>
      </w:r>
      <w:r w:rsidRPr="7F2667BC" w:rsidR="00520E14">
        <w:rPr>
          <w:sz w:val="22"/>
          <w:szCs w:val="22"/>
        </w:rPr>
        <w:t>The Commission has also removed the “cost study” and “certification” burdens.  The Commission deleted the “cost study” section because it is not an information collection, but rather a procedure to help ensure rates for subscriber list information are reasonable</w:t>
      </w:r>
      <w:r w:rsidR="00520E14">
        <w:rPr>
          <w:sz w:val="22"/>
          <w:szCs w:val="22"/>
        </w:rPr>
        <w:t>.</w:t>
      </w:r>
      <w:r w:rsidRPr="7F2667BC" w:rsidR="00520E14">
        <w:rPr>
          <w:sz w:val="22"/>
          <w:szCs w:val="22"/>
        </w:rPr>
        <w:t xml:space="preserve">  </w:t>
      </w:r>
      <w:r w:rsidRPr="7F2667BC" w:rsidR="007D7340">
        <w:rPr>
          <w:sz w:val="22"/>
          <w:szCs w:val="22"/>
        </w:rPr>
        <w:t xml:space="preserve">The Commission also deleted the “certification” section because this type of certification is not an information collection.  </w:t>
      </w:r>
      <w:r w:rsidRPr="7F2667BC" w:rsidR="00096180">
        <w:rPr>
          <w:sz w:val="22"/>
          <w:szCs w:val="22"/>
        </w:rPr>
        <w:t>These</w:t>
      </w:r>
      <w:r w:rsidRPr="001C2D09" w:rsidR="00096180">
        <w:rPr>
          <w:spacing w:val="-3"/>
          <w:sz w:val="22"/>
          <w:szCs w:val="22"/>
        </w:rPr>
        <w:t xml:space="preserve"> </w:t>
      </w:r>
      <w:r w:rsidRPr="7F2667BC" w:rsidR="00096180">
        <w:rPr>
          <w:sz w:val="22"/>
          <w:szCs w:val="22"/>
        </w:rPr>
        <w:t xml:space="preserve">program </w:t>
      </w:r>
      <w:r w:rsidRPr="001C2D09" w:rsidR="00096180">
        <w:rPr>
          <w:spacing w:val="-3"/>
          <w:sz w:val="22"/>
          <w:szCs w:val="22"/>
        </w:rPr>
        <w:t xml:space="preserve">changes have resulted in corresponding </w:t>
      </w:r>
      <w:r w:rsidRPr="7F2667BC" w:rsidR="00096180">
        <w:rPr>
          <w:sz w:val="22"/>
          <w:szCs w:val="22"/>
        </w:rPr>
        <w:t xml:space="preserve">upward adjustments to the burden hours </w:t>
      </w:r>
      <w:r w:rsidR="00096180">
        <w:rPr>
          <w:sz w:val="22"/>
          <w:szCs w:val="22"/>
        </w:rPr>
        <w:t xml:space="preserve">of </w:t>
      </w:r>
      <w:r w:rsidR="00096180">
        <w:rPr>
          <w:b/>
          <w:bCs/>
          <w:sz w:val="22"/>
          <w:szCs w:val="22"/>
        </w:rPr>
        <w:t xml:space="preserve">+238,245 </w:t>
      </w:r>
      <w:r w:rsidR="00096180">
        <w:rPr>
          <w:sz w:val="22"/>
          <w:szCs w:val="22"/>
        </w:rPr>
        <w:t xml:space="preserve">(241,955-3,710) and an upward adjustment to the responses of </w:t>
      </w:r>
      <w:r w:rsidRPr="00096180" w:rsidR="00096180">
        <w:rPr>
          <w:b/>
          <w:bCs/>
          <w:sz w:val="22"/>
          <w:szCs w:val="22"/>
        </w:rPr>
        <w:t>+ 91,712,</w:t>
      </w:r>
      <w:r w:rsidR="00030C01">
        <w:rPr>
          <w:b/>
          <w:bCs/>
          <w:sz w:val="22"/>
          <w:szCs w:val="22"/>
        </w:rPr>
        <w:t>431</w:t>
      </w:r>
      <w:r w:rsidR="00096180">
        <w:rPr>
          <w:sz w:val="22"/>
          <w:szCs w:val="22"/>
        </w:rPr>
        <w:t xml:space="preserve"> </w:t>
      </w:r>
      <w:r w:rsidRPr="7F2667BC" w:rsidR="00096180">
        <w:rPr>
          <w:sz w:val="22"/>
          <w:szCs w:val="22"/>
        </w:rPr>
        <w:t>(</w:t>
      </w:r>
      <w:r w:rsidR="00096180">
        <w:rPr>
          <w:sz w:val="22"/>
          <w:szCs w:val="22"/>
        </w:rPr>
        <w:t>91,714,831-</w:t>
      </w:r>
      <w:r w:rsidR="00030C01">
        <w:rPr>
          <w:sz w:val="22"/>
          <w:szCs w:val="22"/>
        </w:rPr>
        <w:t xml:space="preserve"> </w:t>
      </w:r>
      <w:r w:rsidR="00096180">
        <w:rPr>
          <w:sz w:val="22"/>
          <w:szCs w:val="22"/>
        </w:rPr>
        <w:t>2</w:t>
      </w:r>
      <w:r w:rsidR="00030C01">
        <w:rPr>
          <w:sz w:val="22"/>
          <w:szCs w:val="22"/>
        </w:rPr>
        <w:t>,</w:t>
      </w:r>
      <w:r w:rsidR="00096180">
        <w:rPr>
          <w:sz w:val="22"/>
          <w:szCs w:val="22"/>
        </w:rPr>
        <w:t>400 responses</w:t>
      </w:r>
      <w:r w:rsidRPr="7F2667BC" w:rsidR="00096180">
        <w:rPr>
          <w:sz w:val="22"/>
          <w:szCs w:val="22"/>
        </w:rPr>
        <w:t xml:space="preserve">). </w:t>
      </w:r>
      <w:r w:rsidR="00096180">
        <w:rPr>
          <w:sz w:val="22"/>
          <w:szCs w:val="22"/>
        </w:rPr>
        <w:t xml:space="preserve"> In addition,</w:t>
      </w:r>
      <w:r w:rsidRPr="001C2D09" w:rsidR="007C5EEC">
        <w:rPr>
          <w:sz w:val="22"/>
          <w:szCs w:val="22"/>
        </w:rPr>
        <w:t xml:space="preserve"> the total annualized cost estimate has decreased from </w:t>
      </w:r>
      <w:r w:rsidRPr="00096180" w:rsidR="007C5EEC">
        <w:rPr>
          <w:sz w:val="22"/>
          <w:szCs w:val="22"/>
        </w:rPr>
        <w:t>$4,000,000 to $0 (-$4,000,000) as</w:t>
      </w:r>
      <w:r w:rsidRPr="001C2D09" w:rsidR="007C5EEC">
        <w:rPr>
          <w:sz w:val="22"/>
          <w:szCs w:val="22"/>
        </w:rPr>
        <w:t xml:space="preserve"> a result of the Commission’s determination that the “cost study” element of the collection is not a collection under the Paperwork Reduction Act.</w:t>
      </w:r>
      <w:r w:rsidR="007C5EEC">
        <w:rPr>
          <w:sz w:val="22"/>
          <w:szCs w:val="22"/>
        </w:rPr>
        <w:t xml:space="preserve">  </w:t>
      </w:r>
      <w:r w:rsidRPr="7F2667BC" w:rsidR="00C11F91">
        <w:rPr>
          <w:sz w:val="22"/>
          <w:szCs w:val="22"/>
        </w:rPr>
        <w:t xml:space="preserve">Taken together, the adjustments and program changes have resulted in </w:t>
      </w:r>
      <w:r w:rsidRPr="001C2D09" w:rsidR="019B2403">
        <w:rPr>
          <w:spacing w:val="-3"/>
          <w:sz w:val="22"/>
          <w:szCs w:val="22"/>
        </w:rPr>
        <w:t xml:space="preserve">downward </w:t>
      </w:r>
      <w:r w:rsidRPr="001C2D09">
        <w:rPr>
          <w:spacing w:val="-3"/>
          <w:sz w:val="22"/>
          <w:szCs w:val="22"/>
        </w:rPr>
        <w:t xml:space="preserve">adjustments to the total figures </w:t>
      </w:r>
      <w:r w:rsidRPr="001C2D09" w:rsidR="48854D46">
        <w:rPr>
          <w:spacing w:val="-3"/>
          <w:sz w:val="22"/>
          <w:szCs w:val="22"/>
        </w:rPr>
        <w:t xml:space="preserve">for </w:t>
      </w:r>
      <w:r w:rsidRPr="001C2D09" w:rsidR="3A366857">
        <w:rPr>
          <w:spacing w:val="-3"/>
          <w:sz w:val="22"/>
          <w:szCs w:val="22"/>
        </w:rPr>
        <w:t>the number of responses</w:t>
      </w:r>
      <w:r w:rsidRPr="001C2D09" w:rsidR="2599545F">
        <w:rPr>
          <w:spacing w:val="-3"/>
          <w:sz w:val="22"/>
          <w:szCs w:val="22"/>
        </w:rPr>
        <w:t xml:space="preserve"> </w:t>
      </w:r>
      <w:r w:rsidRPr="001C2D09" w:rsidR="452A2D76">
        <w:rPr>
          <w:sz w:val="22"/>
          <w:szCs w:val="22"/>
        </w:rPr>
        <w:t xml:space="preserve">from </w:t>
      </w:r>
      <w:r w:rsidRPr="00CA34D7" w:rsidR="004F01E1">
        <w:rPr>
          <w:b/>
          <w:bCs/>
          <w:sz w:val="22"/>
          <w:szCs w:val="22"/>
        </w:rPr>
        <w:t>(-</w:t>
      </w:r>
      <w:r w:rsidRPr="00CA34D7" w:rsidR="00537630">
        <w:rPr>
          <w:b/>
          <w:bCs/>
          <w:sz w:val="22"/>
          <w:szCs w:val="22"/>
        </w:rPr>
        <w:t>2,699,</w:t>
      </w:r>
      <w:r w:rsidR="00791A4A">
        <w:rPr>
          <w:b/>
          <w:bCs/>
          <w:sz w:val="22"/>
          <w:szCs w:val="22"/>
        </w:rPr>
        <w:t>533</w:t>
      </w:r>
      <w:r w:rsidRPr="7F2667BC" w:rsidR="004F01E1">
        <w:rPr>
          <w:sz w:val="22"/>
          <w:szCs w:val="22"/>
        </w:rPr>
        <w:t xml:space="preserve">) </w:t>
      </w:r>
      <w:r w:rsidRPr="001C2D09" w:rsidR="2C743677">
        <w:rPr>
          <w:sz w:val="22"/>
          <w:szCs w:val="22"/>
        </w:rPr>
        <w:t>and</w:t>
      </w:r>
      <w:r w:rsidR="00537630">
        <w:rPr>
          <w:sz w:val="22"/>
          <w:szCs w:val="22"/>
        </w:rPr>
        <w:t xml:space="preserve"> upward adjustment</w:t>
      </w:r>
      <w:r w:rsidR="00942481">
        <w:rPr>
          <w:sz w:val="22"/>
          <w:szCs w:val="22"/>
        </w:rPr>
        <w:t>s to the total burden hours</w:t>
      </w:r>
      <w:r w:rsidRPr="001C2D09" w:rsidR="599ED2CD">
        <w:rPr>
          <w:sz w:val="22"/>
          <w:szCs w:val="22"/>
        </w:rPr>
        <w:t xml:space="preserve"> </w:t>
      </w:r>
      <w:r w:rsidRPr="7F2667BC" w:rsidR="00FB391F">
        <w:rPr>
          <w:sz w:val="22"/>
          <w:szCs w:val="22"/>
        </w:rPr>
        <w:t xml:space="preserve">from </w:t>
      </w:r>
      <w:r w:rsidRPr="001C2D09" w:rsidR="255C591B">
        <w:rPr>
          <w:sz w:val="22"/>
          <w:szCs w:val="22"/>
        </w:rPr>
        <w:t>(</w:t>
      </w:r>
      <w:r w:rsidR="00ED29E5">
        <w:rPr>
          <w:sz w:val="22"/>
          <w:szCs w:val="22"/>
        </w:rPr>
        <w:t>+</w:t>
      </w:r>
      <w:r w:rsidRPr="00CA34D7" w:rsidR="00B87E5F">
        <w:rPr>
          <w:b/>
          <w:bCs/>
          <w:sz w:val="22"/>
          <w:szCs w:val="22"/>
        </w:rPr>
        <w:t>36,843</w:t>
      </w:r>
      <w:r w:rsidRPr="001C2D09" w:rsidR="255C591B">
        <w:rPr>
          <w:sz w:val="22"/>
          <w:szCs w:val="22"/>
        </w:rPr>
        <w:t>)</w:t>
      </w:r>
      <w:r w:rsidRPr="001C2D09" w:rsidR="599ED2CD">
        <w:rPr>
          <w:sz w:val="22"/>
          <w:szCs w:val="22"/>
        </w:rPr>
        <w:t xml:space="preserve"> </w:t>
      </w:r>
      <w:r w:rsidRPr="001C2D09">
        <w:rPr>
          <w:spacing w:val="-3"/>
          <w:sz w:val="22"/>
          <w:szCs w:val="22"/>
        </w:rPr>
        <w:t xml:space="preserve">for </w:t>
      </w:r>
      <w:r w:rsidRPr="001C2D09">
        <w:rPr>
          <w:spacing w:val="-3"/>
          <w:sz w:val="22"/>
          <w:szCs w:val="22"/>
          <w:shd w:val="clear" w:color="auto" w:fill="FFFFFF"/>
        </w:rPr>
        <w:t xml:space="preserve">the collections described in this supporting statement.  </w:t>
      </w:r>
    </w:p>
    <w:p w:rsidR="00145012" w:rsidRPr="001C2D09" w:rsidP="003A3E9D" w14:paraId="4CE7CECD" w14:textId="77777777">
      <w:pPr>
        <w:rPr>
          <w:spacing w:val="-3"/>
          <w:sz w:val="22"/>
          <w:szCs w:val="22"/>
          <w:shd w:val="clear" w:color="auto" w:fill="FFFFFF"/>
        </w:rPr>
      </w:pPr>
    </w:p>
    <w:p w:rsidR="00005848" w:rsidRPr="001C2D09" w:rsidP="003A3E9D" w14:paraId="53C8AE40" w14:textId="55754D0B">
      <w:pPr>
        <w:rPr>
          <w:spacing w:val="-3"/>
          <w:sz w:val="22"/>
          <w:szCs w:val="22"/>
          <w:shd w:val="clear" w:color="auto" w:fill="FFFFFF"/>
        </w:rPr>
      </w:pPr>
      <w:r w:rsidRPr="001C2D09">
        <w:rPr>
          <w:spacing w:val="-3"/>
          <w:sz w:val="22"/>
          <w:szCs w:val="22"/>
          <w:shd w:val="clear" w:color="auto" w:fill="FFFFFF"/>
        </w:rPr>
        <w:t>16.</w:t>
      </w:r>
      <w:r w:rsidRPr="001C2D09">
        <w:rPr>
          <w:spacing w:val="-3"/>
          <w:sz w:val="22"/>
          <w:szCs w:val="22"/>
          <w:shd w:val="clear" w:color="auto" w:fill="FFFFFF"/>
        </w:rPr>
        <w:tab/>
      </w:r>
      <w:r w:rsidRPr="001C2D09" w:rsidR="00C339D6">
        <w:rPr>
          <w:i/>
          <w:iCs/>
          <w:spacing w:val="-3"/>
          <w:sz w:val="22"/>
          <w:szCs w:val="22"/>
          <w:shd w:val="clear" w:color="auto" w:fill="FFFFFF"/>
        </w:rPr>
        <w:t>Collections of information whose results will be published</w:t>
      </w:r>
      <w:r w:rsidRPr="001C2D09" w:rsidR="00C339D6">
        <w:rPr>
          <w:spacing w:val="-3"/>
          <w:sz w:val="22"/>
          <w:szCs w:val="22"/>
          <w:shd w:val="clear" w:color="auto" w:fill="FFFFFF"/>
        </w:rPr>
        <w:t xml:space="preserve">.  </w:t>
      </w:r>
      <w:r w:rsidRPr="001C2D09">
        <w:rPr>
          <w:spacing w:val="-3"/>
          <w:sz w:val="22"/>
          <w:szCs w:val="22"/>
          <w:shd w:val="clear" w:color="auto" w:fill="FFFFFF"/>
        </w:rPr>
        <w:t>The Commission does not anticipate publishing any of the information collected.</w:t>
      </w:r>
    </w:p>
    <w:p w:rsidR="00005848" w:rsidRPr="001C2D09" w:rsidP="003A3E9D" w14:paraId="54D1B014" w14:textId="77777777">
      <w:pPr>
        <w:rPr>
          <w:spacing w:val="-3"/>
          <w:sz w:val="22"/>
          <w:szCs w:val="22"/>
          <w:shd w:val="clear" w:color="auto" w:fill="FFFFFF"/>
        </w:rPr>
      </w:pPr>
    </w:p>
    <w:p w:rsidR="00005848" w:rsidRPr="001C2D09" w:rsidP="003A3E9D" w14:paraId="0B5CDF83" w14:textId="0CF9301D">
      <w:pPr>
        <w:rPr>
          <w:spacing w:val="-3"/>
          <w:sz w:val="22"/>
          <w:szCs w:val="22"/>
          <w:shd w:val="clear" w:color="auto" w:fill="FFFFFF"/>
        </w:rPr>
      </w:pPr>
      <w:r w:rsidRPr="001C2D09">
        <w:rPr>
          <w:spacing w:val="-3"/>
          <w:sz w:val="22"/>
          <w:szCs w:val="22"/>
          <w:shd w:val="clear" w:color="auto" w:fill="FFFFFF"/>
        </w:rPr>
        <w:t>17.</w:t>
      </w:r>
      <w:r w:rsidRPr="001C2D09">
        <w:rPr>
          <w:spacing w:val="-3"/>
          <w:sz w:val="22"/>
          <w:szCs w:val="22"/>
          <w:shd w:val="clear" w:color="auto" w:fill="FFFFFF"/>
        </w:rPr>
        <w:tab/>
      </w:r>
      <w:r w:rsidRPr="001C2D09" w:rsidR="001A20F6">
        <w:rPr>
          <w:i/>
          <w:iCs/>
          <w:spacing w:val="-3"/>
          <w:sz w:val="22"/>
          <w:szCs w:val="22"/>
          <w:shd w:val="clear" w:color="auto" w:fill="FFFFFF"/>
        </w:rPr>
        <w:t>Display of expiration date for OMB approval of information collection</w:t>
      </w:r>
      <w:r w:rsidRPr="001C2D09" w:rsidR="001A20F6">
        <w:rPr>
          <w:spacing w:val="-3"/>
          <w:sz w:val="22"/>
          <w:szCs w:val="22"/>
          <w:shd w:val="clear" w:color="auto" w:fill="FFFFFF"/>
        </w:rPr>
        <w:t xml:space="preserve">.  </w:t>
      </w:r>
      <w:r w:rsidRPr="001C2D09" w:rsidR="00551497">
        <w:rPr>
          <w:spacing w:val="-3"/>
          <w:sz w:val="22"/>
          <w:szCs w:val="22"/>
          <w:shd w:val="clear" w:color="auto" w:fill="FFFFFF"/>
        </w:rPr>
        <w:t>The Commission is not seeking approval to not display the expiration date for Office of Management and Budget (OMB) approval of the information collection</w:t>
      </w:r>
      <w:r w:rsidRPr="001C2D09" w:rsidR="00BE3C8A">
        <w:rPr>
          <w:spacing w:val="-3"/>
          <w:sz w:val="22"/>
          <w:szCs w:val="22"/>
          <w:shd w:val="clear" w:color="auto" w:fill="FFFFFF"/>
        </w:rPr>
        <w:t xml:space="preserve">. </w:t>
      </w:r>
      <w:r w:rsidRPr="001C2D09" w:rsidR="00551497">
        <w:rPr>
          <w:spacing w:val="-3"/>
          <w:sz w:val="22"/>
          <w:szCs w:val="22"/>
          <w:shd w:val="clear" w:color="auto" w:fill="FFFFFF"/>
        </w:rPr>
        <w:t xml:space="preserve"> </w:t>
      </w:r>
      <w:r w:rsidRPr="001C2D09" w:rsidR="00BE3C8A">
        <w:rPr>
          <w:spacing w:val="-3"/>
          <w:sz w:val="22"/>
          <w:szCs w:val="22"/>
          <w:shd w:val="clear" w:color="auto" w:fill="FFFFFF"/>
        </w:rPr>
        <w:t>OMB will publish the OMB Control number, title, and expiration date at https://www.reginfo.gov/public/do/PRAMain.</w:t>
      </w:r>
    </w:p>
    <w:p w:rsidR="00005848" w:rsidRPr="001C2D09" w:rsidP="003A3E9D" w14:paraId="04F75BD1" w14:textId="77777777">
      <w:pPr>
        <w:rPr>
          <w:spacing w:val="-3"/>
          <w:sz w:val="22"/>
          <w:szCs w:val="22"/>
          <w:shd w:val="clear" w:color="auto" w:fill="FFFFFF"/>
        </w:rPr>
      </w:pPr>
    </w:p>
    <w:p w:rsidR="00CB3916" w:rsidRPr="007E5429" w:rsidP="003A3E9D" w14:paraId="208A0F62" w14:textId="1A5CF168">
      <w:pPr>
        <w:rPr>
          <w:sz w:val="22"/>
          <w:szCs w:val="22"/>
        </w:rPr>
      </w:pPr>
      <w:r w:rsidRPr="001C2D09">
        <w:rPr>
          <w:sz w:val="22"/>
          <w:szCs w:val="22"/>
        </w:rPr>
        <w:t>18.</w:t>
      </w:r>
      <w:r w:rsidRPr="001C2D09" w:rsidR="00770C00">
        <w:rPr>
          <w:sz w:val="22"/>
          <w:szCs w:val="22"/>
        </w:rPr>
        <w:tab/>
      </w:r>
      <w:r w:rsidRPr="001C2D09" w:rsidR="000E410C">
        <w:rPr>
          <w:i/>
          <w:iCs/>
          <w:sz w:val="22"/>
          <w:szCs w:val="22"/>
        </w:rPr>
        <w:t>Exceptions to certification for Paperwork Reduction Act submissions</w:t>
      </w:r>
      <w:r w:rsidRPr="001C2D09" w:rsidR="000E410C">
        <w:rPr>
          <w:sz w:val="22"/>
          <w:szCs w:val="22"/>
        </w:rPr>
        <w:t xml:space="preserve">.  </w:t>
      </w:r>
      <w:r w:rsidRPr="00D32F70" w:rsidR="00D279E9">
        <w:rPr>
          <w:sz w:val="22"/>
          <w:szCs w:val="22"/>
        </w:rPr>
        <w:t xml:space="preserve">The Commission is reporting an exception to the Certification Statement. </w:t>
      </w:r>
      <w:r w:rsidR="006D4EB6">
        <w:rPr>
          <w:sz w:val="22"/>
          <w:szCs w:val="22"/>
        </w:rPr>
        <w:t>In</w:t>
      </w:r>
      <w:r w:rsidRPr="00D32F70" w:rsidR="00D279E9">
        <w:rPr>
          <w:sz w:val="22"/>
          <w:szCs w:val="22"/>
        </w:rPr>
        <w:t xml:space="preserve"> the 60-day notice </w:t>
      </w:r>
      <w:r w:rsidR="006D4EB6">
        <w:rPr>
          <w:sz w:val="22"/>
          <w:szCs w:val="22"/>
        </w:rPr>
        <w:t>published</w:t>
      </w:r>
      <w:r w:rsidRPr="00D32F70" w:rsidR="00D279E9">
        <w:rPr>
          <w:sz w:val="22"/>
          <w:szCs w:val="22"/>
        </w:rPr>
        <w:t xml:space="preserve"> in the Federal Register on June 25, 2024 (89 FR 53079), the Commission stated the total annual responses as 24,427 and the total annual burden hours as 206,203. </w:t>
      </w:r>
      <w:r w:rsidRPr="00D32F70" w:rsidR="00F90493">
        <w:rPr>
          <w:sz w:val="22"/>
          <w:szCs w:val="22"/>
        </w:rPr>
        <w:t xml:space="preserve">In this Supporting Statement, the total annual responses </w:t>
      </w:r>
      <w:r w:rsidR="00E02BF9">
        <w:rPr>
          <w:sz w:val="22"/>
          <w:szCs w:val="22"/>
        </w:rPr>
        <w:t>increased</w:t>
      </w:r>
      <w:r w:rsidRPr="00D32F70" w:rsidR="00F90493">
        <w:rPr>
          <w:sz w:val="22"/>
          <w:szCs w:val="22"/>
        </w:rPr>
        <w:t xml:space="preserve"> from 24,427 to </w:t>
      </w:r>
      <w:r w:rsidR="001864C7">
        <w:rPr>
          <w:b/>
          <w:bCs/>
          <w:sz w:val="22"/>
          <w:szCs w:val="22"/>
        </w:rPr>
        <w:t>91,735,200</w:t>
      </w:r>
      <w:r w:rsidR="001864C7">
        <w:rPr>
          <w:sz w:val="22"/>
          <w:szCs w:val="22"/>
        </w:rPr>
        <w:t xml:space="preserve"> </w:t>
      </w:r>
      <w:r w:rsidRPr="00D32F70" w:rsidR="00F90493">
        <w:rPr>
          <w:sz w:val="22"/>
          <w:szCs w:val="22"/>
        </w:rPr>
        <w:t>(</w:t>
      </w:r>
      <w:r w:rsidR="00156A2A">
        <w:rPr>
          <w:sz w:val="22"/>
          <w:szCs w:val="22"/>
        </w:rPr>
        <w:t>+91,710,</w:t>
      </w:r>
      <w:r w:rsidR="00891520">
        <w:rPr>
          <w:sz w:val="22"/>
          <w:szCs w:val="22"/>
        </w:rPr>
        <w:t>773</w:t>
      </w:r>
      <w:r w:rsidRPr="00D32F70" w:rsidR="00F90493">
        <w:rPr>
          <w:sz w:val="22"/>
          <w:szCs w:val="22"/>
        </w:rPr>
        <w:t xml:space="preserve">) and the total annual burden hours increased from 206,203 to </w:t>
      </w:r>
      <w:r w:rsidR="001864C7">
        <w:rPr>
          <w:b/>
          <w:bCs/>
          <w:spacing w:val="-3"/>
          <w:sz w:val="22"/>
          <w:szCs w:val="22"/>
          <w:shd w:val="clear" w:color="auto" w:fill="FFFFFF"/>
        </w:rPr>
        <w:t>269,534</w:t>
      </w:r>
      <w:r w:rsidR="001864C7">
        <w:rPr>
          <w:sz w:val="22"/>
          <w:szCs w:val="22"/>
        </w:rPr>
        <w:t xml:space="preserve"> </w:t>
      </w:r>
      <w:r w:rsidRPr="00D32F70" w:rsidR="00F90493">
        <w:rPr>
          <w:sz w:val="22"/>
          <w:szCs w:val="22"/>
        </w:rPr>
        <w:t>(+</w:t>
      </w:r>
      <w:r w:rsidR="008228A0">
        <w:rPr>
          <w:sz w:val="22"/>
          <w:szCs w:val="22"/>
        </w:rPr>
        <w:t>63,</w:t>
      </w:r>
      <w:r w:rsidR="00785589">
        <w:rPr>
          <w:sz w:val="22"/>
          <w:szCs w:val="22"/>
        </w:rPr>
        <w:t>331</w:t>
      </w:r>
      <w:r w:rsidRPr="00D32F70" w:rsidR="00F90493">
        <w:rPr>
          <w:sz w:val="22"/>
          <w:szCs w:val="22"/>
        </w:rPr>
        <w:t xml:space="preserve">).  As explained above, </w:t>
      </w:r>
      <w:r w:rsidR="006D4EB6">
        <w:rPr>
          <w:sz w:val="22"/>
          <w:szCs w:val="22"/>
        </w:rPr>
        <w:t xml:space="preserve">the Commission </w:t>
      </w:r>
      <w:r w:rsidR="0098627C">
        <w:rPr>
          <w:sz w:val="22"/>
          <w:szCs w:val="22"/>
        </w:rPr>
        <w:t>has since determined that certain requirements are not information collections under the PRA</w:t>
      </w:r>
      <w:r w:rsidR="00810B0E">
        <w:rPr>
          <w:sz w:val="22"/>
          <w:szCs w:val="22"/>
        </w:rPr>
        <w:t xml:space="preserve">, and has also revised the </w:t>
      </w:r>
      <w:r w:rsidR="00D32F70">
        <w:rPr>
          <w:sz w:val="22"/>
          <w:szCs w:val="22"/>
        </w:rPr>
        <w:t>burden estimates upward in response to information provided in comments to the Federal Register notice.</w:t>
      </w:r>
      <w:r w:rsidR="008228A0">
        <w:rPr>
          <w:sz w:val="22"/>
          <w:szCs w:val="22"/>
        </w:rPr>
        <w:t xml:space="preserve">  Further, the Commission has since determined that </w:t>
      </w:r>
      <w:r w:rsidR="00474770">
        <w:rPr>
          <w:sz w:val="22"/>
          <w:szCs w:val="22"/>
        </w:rPr>
        <w:t>notices provided to customers regarding SIM changes and documentation of SIM fraud would be considered “responses” that need to be accounted for.</w:t>
      </w:r>
      <w:r w:rsidR="00D32F70">
        <w:rPr>
          <w:sz w:val="22"/>
          <w:szCs w:val="22"/>
        </w:rPr>
        <w:t xml:space="preserve"> </w:t>
      </w:r>
      <w:r w:rsidR="00810B0E">
        <w:rPr>
          <w:sz w:val="22"/>
          <w:szCs w:val="22"/>
        </w:rPr>
        <w:t xml:space="preserve"> </w:t>
      </w:r>
      <w:r w:rsidRPr="00D32F70" w:rsidR="00D279E9">
        <w:rPr>
          <w:sz w:val="22"/>
          <w:szCs w:val="22"/>
        </w:rPr>
        <w:t>These adjustments are reported in the 30-day notice and reflected in this submission to OMB.</w:t>
      </w:r>
      <w:r w:rsidR="00D32F70">
        <w:rPr>
          <w:sz w:val="22"/>
          <w:szCs w:val="22"/>
        </w:rPr>
        <w:t xml:space="preserve">  </w:t>
      </w:r>
      <w:r w:rsidRPr="008C398A">
        <w:rPr>
          <w:sz w:val="22"/>
          <w:szCs w:val="22"/>
        </w:rPr>
        <w:t xml:space="preserve">There are no </w:t>
      </w:r>
      <w:r w:rsidR="00D32F70">
        <w:rPr>
          <w:sz w:val="22"/>
          <w:szCs w:val="22"/>
        </w:rPr>
        <w:t xml:space="preserve">other </w:t>
      </w:r>
      <w:r w:rsidRPr="008C398A">
        <w:rPr>
          <w:sz w:val="22"/>
          <w:szCs w:val="22"/>
        </w:rPr>
        <w:t>exceptions to the Certification Statement</w:t>
      </w:r>
      <w:r w:rsidRPr="008C398A" w:rsidR="00A1375B">
        <w:rPr>
          <w:sz w:val="22"/>
          <w:szCs w:val="22"/>
        </w:rPr>
        <w:t>.</w:t>
      </w:r>
      <w:r w:rsidRPr="008C398A">
        <w:rPr>
          <w:sz w:val="22"/>
          <w:szCs w:val="22"/>
        </w:rPr>
        <w:t xml:space="preserve"> </w:t>
      </w:r>
    </w:p>
    <w:p w:rsidR="00E234D6" w:rsidRPr="001C2D09" w:rsidP="003A3E9D" w14:paraId="6B7CEDC1" w14:textId="77777777">
      <w:pPr>
        <w:tabs>
          <w:tab w:val="left" w:pos="720"/>
        </w:tabs>
        <w:rPr>
          <w:spacing w:val="-3"/>
          <w:sz w:val="22"/>
          <w:szCs w:val="22"/>
          <w:shd w:val="clear" w:color="auto" w:fill="FFFFFF"/>
        </w:rPr>
      </w:pPr>
    </w:p>
    <w:p w:rsidR="00005848" w:rsidRPr="001C2D09" w:rsidP="003A3E9D" w14:paraId="32B9E612" w14:textId="77777777">
      <w:pPr>
        <w:keepNext/>
        <w:tabs>
          <w:tab w:val="left" w:pos="-720"/>
        </w:tabs>
        <w:suppressAutoHyphens/>
        <w:outlineLvl w:val="0"/>
        <w:rPr>
          <w:spacing w:val="-3"/>
          <w:sz w:val="22"/>
          <w:szCs w:val="22"/>
          <w:shd w:val="clear" w:color="auto" w:fill="FFFFFF"/>
        </w:rPr>
      </w:pPr>
      <w:r w:rsidRPr="001C2D09">
        <w:rPr>
          <w:b/>
          <w:spacing w:val="-3"/>
          <w:sz w:val="22"/>
          <w:szCs w:val="22"/>
          <w:shd w:val="clear" w:color="auto" w:fill="FFFFFF"/>
        </w:rPr>
        <w:t>B.</w:t>
      </w:r>
      <w:r w:rsidRPr="001C2D09">
        <w:rPr>
          <w:b/>
          <w:spacing w:val="-3"/>
          <w:sz w:val="22"/>
          <w:szCs w:val="22"/>
          <w:shd w:val="clear" w:color="auto" w:fill="FFFFFF"/>
        </w:rPr>
        <w:tab/>
        <w:t>Collections of Information Employing Statistical Methods</w:t>
      </w:r>
      <w:r w:rsidRPr="001C2D09" w:rsidR="00BE4905">
        <w:rPr>
          <w:b/>
          <w:spacing w:val="-3"/>
          <w:sz w:val="22"/>
          <w:szCs w:val="22"/>
          <w:shd w:val="clear" w:color="auto" w:fill="FFFFFF"/>
        </w:rPr>
        <w:t>:</w:t>
      </w:r>
    </w:p>
    <w:p w:rsidR="00005848" w:rsidRPr="001C2D09" w:rsidP="003A3E9D" w14:paraId="20BC1C2E" w14:textId="77777777">
      <w:pPr>
        <w:keepNext/>
        <w:rPr>
          <w:spacing w:val="-3"/>
          <w:sz w:val="22"/>
          <w:szCs w:val="22"/>
          <w:shd w:val="clear" w:color="auto" w:fill="FFFFFF"/>
        </w:rPr>
      </w:pPr>
    </w:p>
    <w:p w:rsidR="00005848" w:rsidRPr="001F0DCE" w:rsidP="003A3E9D" w14:paraId="6B91C9CE" w14:textId="328E6ECA">
      <w:pPr>
        <w:rPr>
          <w:spacing w:val="-3"/>
          <w:sz w:val="22"/>
          <w:szCs w:val="22"/>
        </w:rPr>
      </w:pPr>
      <w:r w:rsidRPr="001C2D09">
        <w:rPr>
          <w:spacing w:val="-3"/>
          <w:sz w:val="22"/>
          <w:szCs w:val="22"/>
          <w:shd w:val="clear" w:color="auto" w:fill="FFFFFF"/>
        </w:rPr>
        <w:t>Th</w:t>
      </w:r>
      <w:r w:rsidRPr="001C2D09">
        <w:rPr>
          <w:spacing w:val="-3"/>
          <w:sz w:val="22"/>
          <w:szCs w:val="22"/>
        </w:rPr>
        <w:t>e Commission does not anticipate that the collection of information will employ statistical methods.</w:t>
      </w:r>
    </w:p>
    <w:p w:rsidR="008F55D0" w:rsidP="003A3E9D" w14:paraId="4E2683AA" w14:textId="3695F024">
      <w:pPr>
        <w:rPr>
          <w:sz w:val="22"/>
          <w:szCs w:val="22"/>
        </w:rPr>
      </w:pPr>
    </w:p>
    <w:p w:rsidR="00190CFF" w:rsidRPr="00E945E3" w:rsidP="003A3E9D" w14:paraId="4B6D32CD" w14:textId="5EF1F7E6">
      <w:pPr>
        <w:rPr>
          <w:sz w:val="22"/>
          <w:szCs w:val="22"/>
        </w:rPr>
      </w:pPr>
    </w:p>
    <w:sectPr w:rsidSect="007B23E6">
      <w:headerReference w:type="default" r:id="rId8"/>
      <w:footerReference w:type="even" r:id="rId9"/>
      <w:footerReference w:type="default" r:id="rId10"/>
      <w:headerReference w:type="first" r:id="rId11"/>
      <w:footerReference w:type="first" r:id="rId12"/>
      <w:pgSz w:w="12240" w:h="15840"/>
      <w:pgMar w:top="1152" w:right="1350" w:bottom="1008" w:left="13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39B4" w14:paraId="7B3DCB78" w14:textId="77777777">
      <w:r>
        <w:separator/>
      </w:r>
    </w:p>
    <w:p w:rsidR="009A39B4" w14:paraId="0CB3C67D" w14:textId="77777777"/>
  </w:endnote>
  <w:endnote w:type="continuationSeparator" w:id="1">
    <w:p w:rsidR="009A39B4" w14:paraId="0CFA39DD" w14:textId="77777777">
      <w:r>
        <w:continuationSeparator/>
      </w:r>
    </w:p>
    <w:p w:rsidR="009A39B4" w14:paraId="768A8B1B" w14:textId="77777777"/>
  </w:endnote>
  <w:endnote w:type="continuationNotice" w:id="2">
    <w:p w:rsidR="009A39B4" w14:paraId="048750A4" w14:textId="77777777"/>
    <w:p w:rsidR="009A39B4" w14:paraId="562D61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C05" w:rsidP="007936B3" w14:paraId="490491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B6C05" w14:paraId="4F3EEE1B" w14:textId="77777777">
    <w:pPr>
      <w:pStyle w:val="Footer"/>
    </w:pPr>
  </w:p>
  <w:p w:rsidR="001A1027" w14:paraId="1A9D188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C05" w:rsidRPr="00E641BB" w:rsidP="007936B3" w14:paraId="31D8E751" w14:textId="77777777">
    <w:pPr>
      <w:pStyle w:val="Footer"/>
      <w:framePr w:wrap="around" w:vAnchor="text" w:hAnchor="margin" w:xAlign="center" w:y="1"/>
      <w:rPr>
        <w:rStyle w:val="PageNumber"/>
      </w:rPr>
    </w:pPr>
    <w:r w:rsidRPr="00E641BB">
      <w:rPr>
        <w:rStyle w:val="PageNumber"/>
      </w:rPr>
      <w:fldChar w:fldCharType="begin"/>
    </w:r>
    <w:r w:rsidRPr="00E641BB">
      <w:rPr>
        <w:rStyle w:val="PageNumber"/>
      </w:rPr>
      <w:instrText xml:space="preserve">PAGE  </w:instrText>
    </w:r>
    <w:r w:rsidRPr="00E641BB">
      <w:rPr>
        <w:rStyle w:val="PageNumber"/>
      </w:rPr>
      <w:fldChar w:fldCharType="separate"/>
    </w:r>
    <w:r>
      <w:rPr>
        <w:rStyle w:val="PageNumber"/>
        <w:noProof/>
      </w:rPr>
      <w:t>20</w:t>
    </w:r>
    <w:r w:rsidRPr="00E641BB">
      <w:rPr>
        <w:rStyle w:val="PageNumber"/>
      </w:rPr>
      <w:fldChar w:fldCharType="end"/>
    </w:r>
  </w:p>
  <w:p w:rsidR="009B6C05" w14:paraId="692ECB91" w14:textId="77777777">
    <w:pPr>
      <w:pStyle w:val="Footer"/>
    </w:pPr>
  </w:p>
  <w:p w:rsidR="001A1027" w14:paraId="7D330EC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C05" w:rsidP="000F2214" w14:paraId="45677B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6C05" w14:paraId="2E05614F" w14:textId="77777777">
    <w:pPr>
      <w:pStyle w:val="Footer"/>
    </w:pPr>
  </w:p>
  <w:p w:rsidR="001A1027" w14:paraId="62B46E0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39B4" w14:paraId="7098D1E7" w14:textId="77777777">
      <w:r>
        <w:separator/>
      </w:r>
    </w:p>
    <w:p w:rsidR="009A39B4" w14:paraId="31B98BF2" w14:textId="77777777"/>
  </w:footnote>
  <w:footnote w:type="continuationSeparator" w:id="1">
    <w:p w:rsidR="009A39B4" w14:paraId="0065F7C2" w14:textId="77777777">
      <w:r>
        <w:continuationSeparator/>
      </w:r>
    </w:p>
    <w:p w:rsidR="009A39B4" w14:paraId="62DE7137" w14:textId="77777777"/>
  </w:footnote>
  <w:footnote w:type="continuationNotice" w:id="2">
    <w:p w:rsidR="009A39B4" w14:paraId="400521CD" w14:textId="77777777"/>
    <w:p w:rsidR="009A39B4" w14:paraId="1FEE7CF5" w14:textId="77777777"/>
  </w:footnote>
  <w:footnote w:id="3">
    <w:p w:rsidR="009B6C05" w:rsidRPr="008B0695" w:rsidP="000A137E" w14:paraId="549D1204" w14:textId="77777777">
      <w:pPr>
        <w:tabs>
          <w:tab w:val="left" w:pos="0"/>
        </w:tabs>
        <w:spacing w:before="120" w:after="120"/>
      </w:pPr>
      <w:r w:rsidRPr="008B0695">
        <w:rPr>
          <w:rStyle w:val="FootnoteReference"/>
        </w:rPr>
        <w:footnoteRef/>
      </w:r>
      <w:r w:rsidRPr="008B0695">
        <w:t xml:space="preserve"> </w:t>
      </w:r>
      <w:r w:rsidRPr="008B0695">
        <w:rPr>
          <w:spacing w:val="-3"/>
        </w:rPr>
        <w:t xml:space="preserve">The original CPNI rules were adopted on August 23, 1999 and released on September 9, 1999.  </w:t>
      </w:r>
      <w:r w:rsidRPr="008B0695">
        <w:rPr>
          <w:i/>
          <w:shd w:val="clear" w:color="auto" w:fill="FFFFFF"/>
        </w:rPr>
        <w:t>Implementation of the Telecommunications Act of 1996: Telecommunications Carriers’ Use of Customer Proprietary Network Information and Other Customer Information; Implementation of the Local Competition Provisions of the Telecommunications Act of 1996; and Provisions of Directory Listing Information under the Telecommunications Act of 1934, as amended</w:t>
      </w:r>
      <w:r w:rsidRPr="008B0695">
        <w:rPr>
          <w:shd w:val="clear" w:color="auto" w:fill="FFFFFF"/>
        </w:rPr>
        <w:t xml:space="preserve">, CC Docket Nos. 96-115, 96-98, 99-273, Third Report and Order, Second Order on Reconsideration, and Notice of Proposed Rulemaking, 14 FCC </w:t>
      </w:r>
      <w:r w:rsidRPr="008B0695">
        <w:rPr>
          <w:shd w:val="clear" w:color="auto" w:fill="FFFFFF"/>
        </w:rPr>
        <w:t>Rcd</w:t>
      </w:r>
      <w:r w:rsidRPr="008B0695">
        <w:rPr>
          <w:shd w:val="clear" w:color="auto" w:fill="FFFFFF"/>
        </w:rPr>
        <w:t xml:space="preserve"> 15550 (1999) (</w:t>
      </w:r>
      <w:r w:rsidRPr="00DE6C02">
        <w:rPr>
          <w:i/>
          <w:shd w:val="clear" w:color="auto" w:fill="FFFFFF"/>
        </w:rPr>
        <w:t>Third R&amp;O</w:t>
      </w:r>
      <w:r w:rsidRPr="008B0695">
        <w:rPr>
          <w:shd w:val="clear" w:color="auto" w:fill="FFFFFF"/>
        </w:rPr>
        <w:t>)</w:t>
      </w:r>
      <w:r w:rsidRPr="008B0695">
        <w:rPr>
          <w:spacing w:val="-3"/>
        </w:rPr>
        <w:t>.</w:t>
      </w:r>
    </w:p>
  </w:footnote>
  <w:footnote w:id="4">
    <w:p w:rsidR="002444E2" w:rsidRPr="00F4176E" w:rsidP="002444E2" w14:paraId="07E55EDA" w14:textId="77777777">
      <w:pPr>
        <w:pStyle w:val="FootnoteText"/>
        <w:spacing w:before="120" w:after="120"/>
        <w:rPr>
          <w:bCs/>
        </w:rPr>
      </w:pPr>
      <w:r>
        <w:rPr>
          <w:rStyle w:val="FootnoteReference"/>
        </w:rPr>
        <w:footnoteRef/>
      </w:r>
      <w:r>
        <w:t xml:space="preserve"> </w:t>
      </w:r>
      <w:r w:rsidRPr="00F4176E">
        <w:rPr>
          <w:bCs/>
        </w:rPr>
        <w:t>Other requirements adopted in the</w:t>
      </w:r>
      <w:r>
        <w:rPr>
          <w:bCs/>
        </w:rPr>
        <w:t>se orders</w:t>
      </w:r>
      <w:r w:rsidRPr="00F4176E">
        <w:rPr>
          <w:bCs/>
        </w:rPr>
        <w:t xml:space="preserve"> either do not include information collections or are part of other information collections for which the Commission </w:t>
      </w:r>
      <w:r>
        <w:rPr>
          <w:bCs/>
        </w:rPr>
        <w:t xml:space="preserve">will </w:t>
      </w:r>
      <w:r w:rsidRPr="00F4176E">
        <w:rPr>
          <w:bCs/>
        </w:rPr>
        <w:t>request separate approval.</w:t>
      </w:r>
    </w:p>
  </w:footnote>
  <w:footnote w:id="5">
    <w:p w:rsidR="007D52D5" w:rsidP="007D52D5" w14:paraId="696EB667" w14:textId="30BAA207">
      <w:pPr>
        <w:pStyle w:val="FootnoteText"/>
      </w:pPr>
      <w:r>
        <w:rPr>
          <w:rStyle w:val="FootnoteReference"/>
        </w:rPr>
        <w:footnoteRef/>
      </w:r>
      <w:r>
        <w:t xml:space="preserve"> </w:t>
      </w:r>
      <w:r w:rsidR="0098796D">
        <w:t>We</w:t>
      </w:r>
      <w:r>
        <w:t xml:space="preserve"> refer to the various information collection requirements by letter</w:t>
      </w:r>
      <w:r w:rsidR="0098796D">
        <w:t>, e.g., (a)</w:t>
      </w:r>
      <w:r w:rsidR="00E037F8">
        <w:t xml:space="preserve"> or (o), </w:t>
      </w:r>
      <w:r>
        <w:t>as a shorthand to promote cross referencing within the</w:t>
      </w:r>
      <w:r w:rsidR="00E037F8">
        <w:t xml:space="preserve"> supporting</w:t>
      </w:r>
      <w:r>
        <w:t xml:space="preserve"> statement.  </w:t>
      </w:r>
    </w:p>
  </w:footnote>
  <w:footnote w:id="6">
    <w:p w:rsidR="00DD2738" w14:paraId="14526CBA" w14:textId="01149681">
      <w:pPr>
        <w:pStyle w:val="FootnoteText"/>
      </w:pPr>
      <w:r>
        <w:rPr>
          <w:rStyle w:val="FootnoteReference"/>
        </w:rPr>
        <w:footnoteRef/>
      </w:r>
      <w:r w:rsidR="522AA3A9">
        <w:t xml:space="preserve"> Use of the term “wireless provider” is intended to encompass providers of commercial mobile radio service (CMRS) as defined in section 20.3 of the Commission’s rules. 47 CFR § 20.3 (defining commercial mobile radio service as a mobile service that is “(1) provided for profit, i.e. with the intent of receiving compensation or monetary gain; (2) an interconnected service; and (3) available to the public, or to such classes of eligible users as to be effectively available to a substantial portion of the public,” or the “functional equivalent of such a mobile service.”</w:t>
      </w:r>
    </w:p>
  </w:footnote>
  <w:footnote w:id="7">
    <w:p w:rsidR="00C417D0" w14:paraId="2BEC7AAB" w14:textId="61919C32">
      <w:pPr>
        <w:pStyle w:val="FootnoteText"/>
      </w:pPr>
      <w:r>
        <w:rPr>
          <w:rStyle w:val="FootnoteReference"/>
        </w:rPr>
        <w:footnoteRef/>
      </w:r>
      <w:r>
        <w:t xml:space="preserve"> The following information co</w:t>
      </w:r>
      <w:r w:rsidR="00B16181">
        <w:t>llection requirements are not being modified</w:t>
      </w:r>
      <w:r w:rsidR="00860BC4">
        <w:t>,</w:t>
      </w:r>
      <w:r w:rsidR="00B16181">
        <w:t xml:space="preserve"> but</w:t>
      </w:r>
      <w:r w:rsidR="0018439A">
        <w:t xml:space="preserve">, as explained in paragraph 12, in many cases </w:t>
      </w:r>
      <w:r w:rsidR="00F26F71">
        <w:t>the Commission is revising</w:t>
      </w:r>
      <w:r w:rsidR="00AB5314">
        <w:t xml:space="preserve"> </w:t>
      </w:r>
      <w:r w:rsidR="0018439A">
        <w:t>the burden estimates for these requirements</w:t>
      </w:r>
      <w:r w:rsidR="002945F9">
        <w:t xml:space="preserve">. </w:t>
      </w:r>
    </w:p>
  </w:footnote>
  <w:footnote w:id="8">
    <w:p w:rsidR="009B6C05" w:rsidRPr="008B0695" w:rsidP="00DE6C02" w14:paraId="41427C93" w14:textId="7B53ADB8">
      <w:pPr>
        <w:pStyle w:val="FootnoteText"/>
        <w:spacing w:after="120"/>
      </w:pPr>
      <w:r w:rsidRPr="008B0695">
        <w:rPr>
          <w:rStyle w:val="FootnoteReference"/>
        </w:rPr>
        <w:footnoteRef/>
      </w:r>
      <w:r w:rsidRPr="008B0695">
        <w:t xml:space="preserve"> </w:t>
      </w:r>
      <w:r w:rsidRPr="00DE6C02">
        <w:rPr>
          <w:i/>
        </w:rPr>
        <w:t>Implementation Of The Telecommunications Act Of 1996:Telecommunications Carriers' Use Of Customer Proprietary Network Information And Other Customer Information; CC Docket No. 96-115 Implementation Of The Non-Accounting Safeguards Of Sections 271 And 272 Of The Communications Act Of 1934, As Amended CC Docket No. 96-149, 2000 Biennial Regulatory Review</w:t>
      </w:r>
      <w:r w:rsidR="003679FF">
        <w:rPr>
          <w:i/>
        </w:rPr>
        <w:t>—</w:t>
      </w:r>
      <w:r w:rsidRPr="00DE6C02">
        <w:rPr>
          <w:i/>
        </w:rPr>
        <w:t>Review Of Policies And Rules Concerning Unauthorized Changes Of Consumers</w:t>
      </w:r>
      <w:r>
        <w:rPr>
          <w:i/>
        </w:rPr>
        <w:t>’</w:t>
      </w:r>
      <w:r w:rsidRPr="00DE6C02">
        <w:rPr>
          <w:i/>
        </w:rPr>
        <w:t xml:space="preserve"> Long Distance Carriers</w:t>
      </w:r>
      <w:r>
        <w:t>,</w:t>
      </w:r>
      <w:r w:rsidRPr="008B0695">
        <w:t xml:space="preserve"> CC </w:t>
      </w:r>
      <w:bookmarkStart w:id="0" w:name="SR;1795"/>
      <w:bookmarkStart w:id="1" w:name="SearchTerm"/>
      <w:bookmarkEnd w:id="0"/>
      <w:bookmarkEnd w:id="1"/>
      <w:r w:rsidRPr="008B0695">
        <w:t>Docket No</w:t>
      </w:r>
      <w:r>
        <w:t>s</w:t>
      </w:r>
      <w:r w:rsidRPr="008B0695">
        <w:t xml:space="preserve">. </w:t>
      </w:r>
      <w:r>
        <w:t xml:space="preserve">96-115, 96-149, </w:t>
      </w:r>
      <w:r w:rsidRPr="008B0695">
        <w:t>00-257</w:t>
      </w:r>
      <w:r>
        <w:t>,</w:t>
      </w:r>
      <w:r w:rsidRPr="008B0695">
        <w:t xml:space="preserve"> </w:t>
      </w:r>
      <w:hyperlink r:id="rId1" w:tgtFrame="_top" w:history="1">
        <w:r w:rsidRPr="00DE6C02">
          <w:rPr>
            <w:rStyle w:val="Hyperlink"/>
            <w:iCs/>
            <w:color w:val="auto"/>
            <w:u w:val="none"/>
          </w:rPr>
          <w:t>Third Report and Order and Third Further Notice of Proposed Rulemaking</w:t>
        </w:r>
        <w:r w:rsidRPr="00DE6C02">
          <w:rPr>
            <w:rStyle w:val="Hyperlink"/>
            <w:color w:val="auto"/>
            <w:u w:val="none"/>
          </w:rPr>
          <w:t xml:space="preserve">, 17 FCC </w:t>
        </w:r>
        <w:r w:rsidRPr="00DE6C02">
          <w:rPr>
            <w:rStyle w:val="Hyperlink"/>
            <w:color w:val="auto"/>
            <w:u w:val="none"/>
          </w:rPr>
          <w:t>Rcd</w:t>
        </w:r>
        <w:r w:rsidRPr="00DE6C02">
          <w:rPr>
            <w:rStyle w:val="Hyperlink"/>
            <w:color w:val="auto"/>
            <w:u w:val="none"/>
          </w:rPr>
          <w:t xml:space="preserve"> 14860 (2002)</w:t>
        </w:r>
      </w:hyperlink>
      <w:r>
        <w:t xml:space="preserve"> (</w:t>
      </w:r>
      <w:r w:rsidRPr="00DE6C02">
        <w:rPr>
          <w:i/>
        </w:rPr>
        <w:t xml:space="preserve">Third </w:t>
      </w:r>
      <w:r>
        <w:rPr>
          <w:i/>
        </w:rPr>
        <w:t>R&amp;O</w:t>
      </w:r>
      <w:r w:rsidRPr="00DE6C02">
        <w:rPr>
          <w:i/>
        </w:rPr>
        <w:t xml:space="preserve"> and Third </w:t>
      </w:r>
      <w:r>
        <w:rPr>
          <w:i/>
        </w:rPr>
        <w:t>FNPRM</w:t>
      </w:r>
      <w:r>
        <w:t>)</w:t>
      </w:r>
      <w:r w:rsidRPr="008B0695">
        <w:t>.</w:t>
      </w:r>
    </w:p>
  </w:footnote>
  <w:footnote w:id="9">
    <w:p w:rsidR="009B6C05" w:rsidRPr="008B0695" w:rsidP="00DE6C02" w14:paraId="2EB1E7B3" w14:textId="77777777">
      <w:pPr>
        <w:pStyle w:val="FootnoteText"/>
        <w:spacing w:after="120"/>
        <w:rPr>
          <w:shd w:val="clear" w:color="auto" w:fill="FFFFFF"/>
        </w:rPr>
      </w:pPr>
      <w:r w:rsidRPr="008B0695">
        <w:rPr>
          <w:rStyle w:val="FootnoteReference"/>
          <w:shd w:val="clear" w:color="auto" w:fill="FFFFFF"/>
        </w:rPr>
        <w:footnoteRef/>
      </w:r>
      <w:r w:rsidRPr="008B0695">
        <w:rPr>
          <w:shd w:val="clear" w:color="auto" w:fill="FFFFFF"/>
        </w:rPr>
        <w:t xml:space="preserve"> </w:t>
      </w:r>
      <w:r w:rsidRPr="00DE6C02">
        <w:rPr>
          <w:i/>
          <w:shd w:val="clear" w:color="auto" w:fill="FFFFFF"/>
        </w:rPr>
        <w:t>Third R&amp;O</w:t>
      </w:r>
      <w:r w:rsidRPr="008B0695">
        <w:rPr>
          <w:shd w:val="clear" w:color="auto" w:fill="FFFFFF"/>
        </w:rPr>
        <w:t>.</w:t>
      </w:r>
    </w:p>
  </w:footnote>
  <w:footnote w:id="10">
    <w:p w:rsidR="009B6C05" w:rsidRPr="008B0695" w:rsidP="00DE6C02" w14:paraId="7A127EC3" w14:textId="6297EAB9">
      <w:pPr>
        <w:pStyle w:val="FootnoteText"/>
        <w:spacing w:after="120"/>
      </w:pPr>
      <w:r w:rsidRPr="008B0695">
        <w:rPr>
          <w:rStyle w:val="FootnoteReference"/>
          <w:shd w:val="clear" w:color="auto" w:fill="FFFFFF"/>
        </w:rPr>
        <w:footnoteRef/>
      </w:r>
      <w:r w:rsidRPr="008B0695">
        <w:rPr>
          <w:shd w:val="clear" w:color="auto" w:fill="FFFFFF"/>
        </w:rPr>
        <w:t xml:space="preserve"> On September 13, 2004, the FCC modified the information collection requi</w:t>
      </w:r>
      <w:r>
        <w:rPr>
          <w:shd w:val="clear" w:color="auto" w:fill="FFFFFF"/>
        </w:rPr>
        <w:t>rement described in paragraph (l</w:t>
      </w:r>
      <w:r w:rsidRPr="008B0695">
        <w:rPr>
          <w:shd w:val="clear" w:color="auto" w:fill="FFFFFF"/>
        </w:rPr>
        <w:t xml:space="preserve">).  </w:t>
      </w:r>
      <w:r w:rsidRPr="00DE6C02">
        <w:rPr>
          <w:i/>
          <w:shd w:val="clear" w:color="auto" w:fill="FFFFFF"/>
        </w:rPr>
        <w:t>Implementation of the Telecommunications Act of 1996: Telecommunications Carriers’ Use of Customer Proprietary Network Information and Other Customer Information</w:t>
      </w:r>
      <w:r w:rsidRPr="00DE6C02">
        <w:rPr>
          <w:shd w:val="clear" w:color="auto" w:fill="FFFFFF"/>
        </w:rPr>
        <w:t xml:space="preserve">, CC Docket No. 96-115, Memorandum Opinion and Order on Reconsideration, 19 FCC </w:t>
      </w:r>
      <w:r w:rsidRPr="00DE6C02">
        <w:rPr>
          <w:shd w:val="clear" w:color="auto" w:fill="FFFFFF"/>
        </w:rPr>
        <w:t>Rcd</w:t>
      </w:r>
      <w:r w:rsidRPr="00DE6C02">
        <w:rPr>
          <w:shd w:val="clear" w:color="auto" w:fill="FFFFFF"/>
        </w:rPr>
        <w:t xml:space="preserve"> 18439 (2004)</w:t>
      </w:r>
      <w:r w:rsidR="002A4DFB">
        <w:rPr>
          <w:shd w:val="clear" w:color="auto" w:fill="FFFFFF"/>
        </w:rPr>
        <w:t xml:space="preserve"> (FCC 04-206)</w:t>
      </w:r>
      <w:r w:rsidRPr="00DE6C02">
        <w:rPr>
          <w:shd w:val="clear" w:color="auto" w:fill="FFFFFF"/>
        </w:rPr>
        <w:t>.</w:t>
      </w:r>
    </w:p>
  </w:footnote>
  <w:footnote w:id="11">
    <w:p w:rsidR="00765F25" w:rsidRPr="00512376" w14:paraId="1CA5229B" w14:textId="7187E8B8">
      <w:pPr>
        <w:pStyle w:val="FootnoteText"/>
      </w:pPr>
      <w:r>
        <w:rPr>
          <w:rStyle w:val="FootnoteReference"/>
        </w:rPr>
        <w:footnoteRef/>
      </w:r>
      <w:r>
        <w:t xml:space="preserve"> </w:t>
      </w:r>
      <w:r w:rsidRPr="00765F25">
        <w:rPr>
          <w:i/>
          <w:iCs/>
        </w:rPr>
        <w:t>See</w:t>
      </w:r>
      <w:r w:rsidRPr="00765F25">
        <w:t xml:space="preserve"> </w:t>
      </w:r>
      <w:r w:rsidRPr="00512376">
        <w:rPr>
          <w:i/>
          <w:iCs/>
        </w:rPr>
        <w:t>Supporting Survivors of Domestic and Sexual Violence et al.</w:t>
      </w:r>
      <w:r w:rsidRPr="00512376">
        <w:t>, WC Docket Nos. 22-238, 11-42, and 21-450, Report and Order, FCC 23-96 (2023) (</w:t>
      </w:r>
      <w:r w:rsidRPr="00512376">
        <w:rPr>
          <w:i/>
          <w:iCs/>
        </w:rPr>
        <w:t>Safe Connections Order</w:t>
      </w:r>
      <w:r w:rsidRPr="00512376">
        <w:t xml:space="preserve">).  </w:t>
      </w:r>
      <w:r w:rsidRPr="00512376" w:rsidR="00A308B1">
        <w:t xml:space="preserve">The </w:t>
      </w:r>
      <w:r w:rsidRPr="00512376" w:rsidR="00A308B1">
        <w:rPr>
          <w:i/>
          <w:iCs/>
        </w:rPr>
        <w:t>Safe Connections Report and Order</w:t>
      </w:r>
      <w:r w:rsidRPr="00512376" w:rsidR="00A308B1">
        <w:t xml:space="preserve"> implements the Safe Connections Act of 2022. </w:t>
      </w:r>
      <w:r w:rsidRPr="00512376">
        <w:t xml:space="preserve">The Safe Connections Act of 2022, Pub. L. No. 117-223, 136 Stat. 2280 (Safe Connections Act or SCA), which is codified at 47 U.S.C. § 345, requires wireless providers to separate lines from a multi-line account upon request of a survivor of domestic violence and other related crimes and abuses. 47 U.S.C. § 345(b)(1).  </w:t>
      </w:r>
    </w:p>
  </w:footnote>
  <w:footnote w:id="12">
    <w:p w:rsidR="001965F5" w:rsidRPr="008B0695" w:rsidP="001965F5" w14:paraId="0A2AC403" w14:textId="77777777">
      <w:pPr>
        <w:suppressAutoHyphens/>
        <w:spacing w:after="120"/>
      </w:pPr>
      <w:r w:rsidRPr="008B0695">
        <w:rPr>
          <w:rStyle w:val="FootnoteReference"/>
          <w:shd w:val="clear" w:color="auto" w:fill="FFFFFF"/>
        </w:rPr>
        <w:footnoteRef/>
      </w:r>
      <w:r w:rsidRPr="008B0695">
        <w:rPr>
          <w:shd w:val="clear" w:color="auto" w:fill="FFFFFF"/>
        </w:rPr>
        <w:t xml:space="preserve"> The FCC has no direct involvement in the collection of the information on individuals or households, </w:t>
      </w:r>
      <w:r w:rsidRPr="522AA3A9">
        <w:rPr>
          <w:i/>
          <w:iCs/>
          <w:shd w:val="clear" w:color="auto" w:fill="FFFFFF"/>
        </w:rPr>
        <w:t>i.e.</w:t>
      </w:r>
      <w:r w:rsidRPr="008B0695">
        <w:rPr>
          <w:shd w:val="clear" w:color="auto" w:fill="FFFFFF"/>
        </w:rPr>
        <w:t>, the information collection requirements affect the</w:t>
      </w:r>
      <w:r>
        <w:rPr>
          <w:shd w:val="clear" w:color="auto" w:fill="FFFFFF"/>
        </w:rPr>
        <w:t xml:space="preserve"> providers of</w:t>
      </w:r>
      <w:r w:rsidRPr="008B0695">
        <w:rPr>
          <w:shd w:val="clear" w:color="auto" w:fill="FFFFFF"/>
        </w:rPr>
        <w:t xml:space="preserve"> telecommunications</w:t>
      </w:r>
      <w:r>
        <w:rPr>
          <w:shd w:val="clear" w:color="auto" w:fill="FFFFFF"/>
        </w:rPr>
        <w:t>,</w:t>
      </w:r>
      <w:r w:rsidRPr="008B0695">
        <w:rPr>
          <w:shd w:val="clear" w:color="auto" w:fill="FFFFFF"/>
        </w:rPr>
        <w:t xml:space="preserve"> interconnected VoIP, </w:t>
      </w:r>
      <w:r>
        <w:rPr>
          <w:shd w:val="clear" w:color="auto" w:fill="FFFFFF"/>
        </w:rPr>
        <w:t xml:space="preserve">and TRS, who must </w:t>
      </w:r>
      <w:r w:rsidRPr="008B0695">
        <w:rPr>
          <w:shd w:val="clear" w:color="auto" w:fill="FFFFFF"/>
        </w:rPr>
        <w:t>abide by the requirements of 47 U.S.C. §</w:t>
      </w:r>
      <w:r>
        <w:rPr>
          <w:shd w:val="clear" w:color="auto" w:fill="FFFFFF"/>
        </w:rPr>
        <w:t> </w:t>
      </w:r>
      <w:r w:rsidRPr="008B0695">
        <w:rPr>
          <w:shd w:val="clear" w:color="auto" w:fill="FFFFFF"/>
        </w:rPr>
        <w:t xml:space="preserve">222 </w:t>
      </w:r>
      <w:r>
        <w:rPr>
          <w:shd w:val="clear" w:color="auto" w:fill="FFFFFF"/>
        </w:rPr>
        <w:t xml:space="preserve">and § 345 </w:t>
      </w:r>
      <w:r w:rsidRPr="008B0695">
        <w:rPr>
          <w:shd w:val="clear" w:color="auto" w:fill="FFFFFF"/>
        </w:rPr>
        <w:t xml:space="preserve">of the Act.  The Commission believes, therefore, that 47 U.S.C. </w:t>
      </w:r>
      <w:r w:rsidRPr="00DE6C02">
        <w:rPr>
          <w:shd w:val="clear" w:color="auto" w:fill="FFFFFF"/>
        </w:rPr>
        <w:t>§</w:t>
      </w:r>
      <w:r>
        <w:rPr>
          <w:shd w:val="clear" w:color="auto" w:fill="FFFFFF"/>
        </w:rPr>
        <w:t> </w:t>
      </w:r>
      <w:r w:rsidRPr="008B0695">
        <w:rPr>
          <w:shd w:val="clear" w:color="auto" w:fill="FFFFFF"/>
        </w:rPr>
        <w:t>222</w:t>
      </w:r>
      <w:r>
        <w:rPr>
          <w:shd w:val="clear" w:color="auto" w:fill="FFFFFF"/>
        </w:rPr>
        <w:t xml:space="preserve"> and § 345</w:t>
      </w:r>
      <w:r w:rsidRPr="008B0695">
        <w:rPr>
          <w:shd w:val="clear" w:color="auto" w:fill="FFFFFF"/>
        </w:rPr>
        <w:t xml:space="preserve"> provide sufficient safeguards to protect the information on individuals or households that these respondent providers collect or use.</w:t>
      </w:r>
      <w:r w:rsidRPr="008B0695">
        <w:rPr>
          <w:shd w:val="clear" w:color="auto" w:fill="FFFF99"/>
        </w:rPr>
        <w:t xml:space="preserve">  </w:t>
      </w:r>
    </w:p>
  </w:footnote>
  <w:footnote w:id="13">
    <w:p w:rsidR="004721F0" w14:paraId="48D1A2C9" w14:textId="05B124EA">
      <w:pPr>
        <w:pStyle w:val="FootnoteText"/>
      </w:pPr>
      <w:r>
        <w:rPr>
          <w:rStyle w:val="FootnoteReference"/>
        </w:rPr>
        <w:footnoteRef/>
      </w:r>
      <w:r>
        <w:t xml:space="preserve"> </w:t>
      </w:r>
      <w:r w:rsidR="002A24E1">
        <w:t xml:space="preserve">CCA SIM Swap </w:t>
      </w:r>
      <w:r w:rsidR="005600D8">
        <w:t xml:space="preserve">and </w:t>
      </w:r>
      <w:r w:rsidR="002A24E1">
        <w:t xml:space="preserve">Port-Out </w:t>
      </w:r>
      <w:r w:rsidR="00270B18">
        <w:t xml:space="preserve">Fraud </w:t>
      </w:r>
      <w:r w:rsidR="002A24E1">
        <w:t>PRA Comments at 2.</w:t>
      </w:r>
    </w:p>
  </w:footnote>
  <w:footnote w:id="14">
    <w:p w:rsidR="00D13974" w:rsidP="00D13974" w14:paraId="3B6AB733" w14:textId="77777777">
      <w:pPr>
        <w:pStyle w:val="FootnoteText"/>
      </w:pPr>
      <w:r>
        <w:rPr>
          <w:rStyle w:val="FootnoteReference"/>
        </w:rPr>
        <w:footnoteRef/>
      </w:r>
      <w:r>
        <w:t xml:space="preserve"> NCTA SIM Swap and Port-Out Fraud PRA Comments at 1.</w:t>
      </w:r>
    </w:p>
  </w:footnote>
  <w:footnote w:id="15">
    <w:p w:rsidR="00D13974" w:rsidRPr="00833144" w:rsidP="00D13974" w14:paraId="0802ECA2" w14:textId="77777777">
      <w:pPr>
        <w:pStyle w:val="FootnoteText"/>
      </w:pPr>
      <w:r>
        <w:rPr>
          <w:rStyle w:val="FootnoteReference"/>
        </w:rPr>
        <w:footnoteRef/>
      </w:r>
      <w:r>
        <w:t xml:space="preserve"> </w:t>
      </w:r>
      <w:r>
        <w:rPr>
          <w:i/>
          <w:iCs/>
        </w:rPr>
        <w:t xml:space="preserve">Id. </w:t>
      </w:r>
      <w:r>
        <w:t>at 3.</w:t>
      </w:r>
    </w:p>
  </w:footnote>
  <w:footnote w:id="16">
    <w:p w:rsidR="00D13974" w:rsidRPr="00AC0522" w:rsidP="00D13974" w14:paraId="733CC9CE" w14:textId="77777777">
      <w:pPr>
        <w:pStyle w:val="FootnoteText"/>
      </w:pPr>
      <w:r>
        <w:rPr>
          <w:rStyle w:val="FootnoteReference"/>
        </w:rPr>
        <w:footnoteRef/>
      </w:r>
      <w:r>
        <w:t xml:space="preserve"> </w:t>
      </w:r>
      <w:r>
        <w:rPr>
          <w:i/>
          <w:iCs/>
        </w:rPr>
        <w:t xml:space="preserve">Id. </w:t>
      </w:r>
      <w:r>
        <w:t>at 4.</w:t>
      </w:r>
    </w:p>
  </w:footnote>
  <w:footnote w:id="17">
    <w:p w:rsidR="00D13974" w:rsidP="00D13974" w14:paraId="7E16E48F" w14:textId="77777777">
      <w:pPr>
        <w:pStyle w:val="FootnoteText"/>
      </w:pPr>
      <w:r>
        <w:rPr>
          <w:rStyle w:val="FootnoteReference"/>
        </w:rPr>
        <w:footnoteRef/>
      </w:r>
      <w:r>
        <w:t xml:space="preserve"> CTIA SIM Swap and Port-Out Fraud PRA Comments at 2.</w:t>
      </w:r>
    </w:p>
  </w:footnote>
  <w:footnote w:id="18">
    <w:p w:rsidR="00D13974" w:rsidRPr="00941153" w:rsidP="00D13974" w14:paraId="4F4B448C" w14:textId="77777777">
      <w:pPr>
        <w:pStyle w:val="FootnoteText"/>
      </w:pPr>
      <w:r>
        <w:rPr>
          <w:rStyle w:val="FootnoteReference"/>
        </w:rPr>
        <w:footnoteRef/>
      </w:r>
      <w:r>
        <w:t xml:space="preserve"> </w:t>
      </w:r>
      <w:r>
        <w:rPr>
          <w:i/>
          <w:iCs/>
        </w:rPr>
        <w:t xml:space="preserve">Id. </w:t>
      </w:r>
      <w:r>
        <w:t>at 5.</w:t>
      </w:r>
    </w:p>
  </w:footnote>
  <w:footnote w:id="19">
    <w:p w:rsidR="00D13974" w:rsidRPr="004A1DAB" w:rsidP="00D13974" w14:paraId="15919FC7" w14:textId="77777777">
      <w:pPr>
        <w:pStyle w:val="FootnoteText"/>
      </w:pPr>
      <w:r>
        <w:rPr>
          <w:rStyle w:val="FootnoteReference"/>
        </w:rPr>
        <w:footnoteRef/>
      </w:r>
      <w:r>
        <w:t xml:space="preserve"> </w:t>
      </w:r>
      <w:r>
        <w:rPr>
          <w:i/>
          <w:iCs/>
        </w:rPr>
        <w:t xml:space="preserve">Id. </w:t>
      </w:r>
      <w:r>
        <w:t>at 8-9 (detailing the various internal steps required for providers to implement the new requirements).</w:t>
      </w:r>
    </w:p>
  </w:footnote>
  <w:footnote w:id="20">
    <w:p w:rsidR="00D13974" w:rsidRPr="000F3F33" w:rsidP="00D13974" w14:paraId="0EAB64DF" w14:textId="77777777">
      <w:pPr>
        <w:pStyle w:val="FootnoteText"/>
      </w:pPr>
      <w:r>
        <w:rPr>
          <w:rStyle w:val="FootnoteReference"/>
        </w:rPr>
        <w:footnoteRef/>
      </w:r>
      <w:r>
        <w:t xml:space="preserve"> </w:t>
      </w:r>
      <w:r>
        <w:rPr>
          <w:i/>
          <w:iCs/>
        </w:rPr>
        <w:t xml:space="preserve">See </w:t>
      </w:r>
      <w:r>
        <w:t>NCTA PRA Comments at 3; CTIA PRA Comments at 5.</w:t>
      </w:r>
    </w:p>
  </w:footnote>
  <w:footnote w:id="21">
    <w:p w:rsidR="00E67D13" w:rsidRPr="00E1155B" w:rsidP="00E67D13" w14:paraId="6D724038" w14:textId="77777777">
      <w:pPr>
        <w:pStyle w:val="FootnoteText"/>
        <w:rPr>
          <w:i/>
          <w:iCs/>
        </w:rPr>
      </w:pPr>
      <w:r>
        <w:rPr>
          <w:rStyle w:val="FootnoteReference"/>
        </w:rPr>
        <w:footnoteRef/>
      </w:r>
      <w:r>
        <w:t xml:space="preserve"> </w:t>
      </w:r>
      <w:r>
        <w:rPr>
          <w:i/>
          <w:iCs/>
        </w:rPr>
        <w:t xml:space="preserve">Id. </w:t>
      </w:r>
      <w:r>
        <w:t xml:space="preserve">at 3. CCA estimates that initial compliance with the account locking requirements is estimated to take at least between 750-800 hours of work at a cost of no less than between $80,000-$90,000 per carrier for vendor services and carrier resources required for implementation.  </w:t>
      </w:r>
      <w:r>
        <w:rPr>
          <w:i/>
          <w:iCs/>
        </w:rPr>
        <w:t xml:space="preserve">Id. </w:t>
      </w:r>
    </w:p>
  </w:footnote>
  <w:footnote w:id="22">
    <w:p w:rsidR="00E67D13" w:rsidRPr="00DE79F7" w:rsidP="00E67D13" w14:paraId="5316A931" w14:textId="77777777">
      <w:pPr>
        <w:pStyle w:val="FootnoteText"/>
      </w:pPr>
      <w:r>
        <w:rPr>
          <w:rStyle w:val="FootnoteReference"/>
        </w:rPr>
        <w:footnoteRef/>
      </w:r>
      <w:r>
        <w:t xml:space="preserve"> </w:t>
      </w:r>
      <w:r>
        <w:rPr>
          <w:i/>
          <w:iCs/>
        </w:rPr>
        <w:t xml:space="preserve">Id. </w:t>
      </w:r>
      <w:r>
        <w:t>at 4.</w:t>
      </w:r>
    </w:p>
  </w:footnote>
  <w:footnote w:id="23">
    <w:p w:rsidR="00E67D13" w:rsidRPr="00E1155B" w:rsidP="00E67D13" w14:paraId="27659897" w14:textId="77777777">
      <w:pPr>
        <w:pStyle w:val="FootnoteText"/>
        <w:rPr>
          <w:i/>
          <w:iCs/>
        </w:rPr>
      </w:pPr>
      <w:r>
        <w:rPr>
          <w:rStyle w:val="FootnoteReference"/>
        </w:rPr>
        <w:footnoteRef/>
      </w:r>
      <w:r>
        <w:t xml:space="preserve"> </w:t>
      </w:r>
      <w:r>
        <w:rPr>
          <w:i/>
          <w:iCs/>
        </w:rPr>
        <w:t>Id.</w:t>
      </w:r>
    </w:p>
  </w:footnote>
  <w:footnote w:id="24">
    <w:p w:rsidR="00E67D13" w:rsidRPr="00E1155B" w:rsidP="00E67D13" w14:paraId="7F9B9FE2" w14:textId="77777777">
      <w:pPr>
        <w:pStyle w:val="FootnoteText"/>
        <w:rPr>
          <w:i/>
          <w:iCs/>
        </w:rPr>
      </w:pPr>
      <w:r>
        <w:rPr>
          <w:rStyle w:val="FootnoteReference"/>
        </w:rPr>
        <w:footnoteRef/>
      </w:r>
      <w:r>
        <w:t xml:space="preserve"> </w:t>
      </w:r>
      <w:r>
        <w:rPr>
          <w:i/>
          <w:iCs/>
        </w:rPr>
        <w:t>Id.</w:t>
      </w:r>
    </w:p>
  </w:footnote>
  <w:footnote w:id="25">
    <w:p w:rsidR="00163F4C" w14:paraId="5CBE377F" w14:textId="423E6461">
      <w:pPr>
        <w:pStyle w:val="FootnoteText"/>
      </w:pPr>
      <w:r>
        <w:rPr>
          <w:rStyle w:val="FootnoteReference"/>
        </w:rPr>
        <w:footnoteRef/>
      </w:r>
      <w:r>
        <w:t xml:space="preserve"> </w:t>
      </w:r>
      <w:r w:rsidR="00DE3FAE">
        <w:t>CTIA SIM Swap and Port-Out Fraud PRA Comments</w:t>
      </w:r>
      <w:r w:rsidR="008F04C7">
        <w:t xml:space="preserve"> at 11-16.</w:t>
      </w:r>
    </w:p>
  </w:footnote>
  <w:footnote w:id="26">
    <w:p w:rsidR="003C638B" w:rsidRPr="003C638B" w14:paraId="769CC4E6" w14:textId="15FD79E2">
      <w:pPr>
        <w:pStyle w:val="FootnoteText"/>
      </w:pPr>
      <w:r>
        <w:rPr>
          <w:rStyle w:val="FootnoteReference"/>
        </w:rPr>
        <w:footnoteRef/>
      </w:r>
      <w:r>
        <w:t xml:space="preserve"> </w:t>
      </w:r>
      <w:r>
        <w:rPr>
          <w:i/>
          <w:iCs/>
        </w:rPr>
        <w:t>SIM Swap and Port Out Fraud Order</w:t>
      </w:r>
      <w:r>
        <w:t xml:space="preserve"> at para</w:t>
      </w:r>
      <w:r w:rsidR="003C0D79">
        <w:t>s. 67, 72.</w:t>
      </w:r>
    </w:p>
  </w:footnote>
  <w:footnote w:id="27">
    <w:p w:rsidR="006913BC" w14:paraId="7E3096FF" w14:textId="0088EC04">
      <w:pPr>
        <w:pStyle w:val="FootnoteText"/>
      </w:pPr>
      <w:r>
        <w:rPr>
          <w:rStyle w:val="FootnoteReference"/>
        </w:rPr>
        <w:footnoteRef/>
      </w:r>
      <w:r>
        <w:t xml:space="preserve"> CCA </w:t>
      </w:r>
      <w:r w:rsidR="00FA55A0">
        <w:t>SIM</w:t>
      </w:r>
      <w:r>
        <w:t xml:space="preserve"> Swap and Port-Out Fraud PRA Comments at </w:t>
      </w:r>
      <w:r w:rsidR="00547FE9">
        <w:t xml:space="preserve">4. </w:t>
      </w:r>
    </w:p>
  </w:footnote>
  <w:footnote w:id="28">
    <w:p w:rsidR="00261E36" w14:paraId="2F61C729" w14:textId="646B749A">
      <w:pPr>
        <w:pStyle w:val="FootnoteText"/>
      </w:pPr>
      <w:r>
        <w:rPr>
          <w:rStyle w:val="FootnoteReference"/>
        </w:rPr>
        <w:footnoteRef/>
      </w:r>
      <w:r w:rsidR="711756CC">
        <w:t xml:space="preserve"> CTIA SIM Swap and Port-Out Fraud PRA Comments at 14.  Although CTIA implicitly acknowledges a difference between rules that require providers to provide customers documentation of SIM fraud and rules that require providers to investigate and remediate fraud, </w:t>
      </w:r>
      <w:r w:rsidRPr="711756CC" w:rsidR="711756CC">
        <w:rPr>
          <w:i/>
          <w:iCs/>
        </w:rPr>
        <w:t>id.</w:t>
      </w:r>
      <w:r w:rsidR="711756CC">
        <w:t xml:space="preserve">, it nonetheless focuses on burden associated with the latter, despite any such burdens not being “information collection” burdens for PRA purposes because “investigation and mitigation” are not collections of information. </w:t>
      </w:r>
    </w:p>
  </w:footnote>
  <w:footnote w:id="29">
    <w:p w:rsidR="00FA55A0" w14:paraId="3C2EAB2D" w14:textId="788FF10F">
      <w:pPr>
        <w:pStyle w:val="FootnoteText"/>
      </w:pPr>
      <w:r>
        <w:rPr>
          <w:rStyle w:val="FootnoteReference"/>
        </w:rPr>
        <w:footnoteRef/>
      </w:r>
      <w:r>
        <w:t xml:space="preserve"> CCA SIM SWAP and Port-Out Fraud </w:t>
      </w:r>
      <w:r w:rsidR="005B2C41">
        <w:t xml:space="preserve">PRA </w:t>
      </w:r>
      <w:r>
        <w:t xml:space="preserve">Comments at 3. </w:t>
      </w:r>
    </w:p>
  </w:footnote>
  <w:footnote w:id="30">
    <w:p w:rsidR="00B944B6" w14:paraId="6C3EA1EB" w14:textId="36D88331">
      <w:pPr>
        <w:pStyle w:val="FootnoteText"/>
      </w:pPr>
      <w:r>
        <w:rPr>
          <w:rStyle w:val="FootnoteReference"/>
        </w:rPr>
        <w:footnoteRef/>
      </w:r>
      <w:r>
        <w:t xml:space="preserve"> </w:t>
      </w:r>
      <w:r>
        <w:rPr>
          <w:i/>
          <w:iCs/>
        </w:rPr>
        <w:t>SIM Swap and Port Out Fraud Order</w:t>
      </w:r>
      <w:r>
        <w:t xml:space="preserve"> at para</w:t>
      </w:r>
      <w:r w:rsidR="003C4E9A">
        <w:t>. 20.</w:t>
      </w:r>
    </w:p>
  </w:footnote>
  <w:footnote w:id="31">
    <w:p w:rsidR="00592F45" w14:paraId="7A58170F" w14:textId="63EA8AD7">
      <w:pPr>
        <w:pStyle w:val="FootnoteText"/>
      </w:pPr>
      <w:r>
        <w:rPr>
          <w:rStyle w:val="FootnoteReference"/>
        </w:rPr>
        <w:footnoteRef/>
      </w:r>
      <w:r>
        <w:t xml:space="preserve"> </w:t>
      </w:r>
      <w:r w:rsidR="00F00F1F">
        <w:t xml:space="preserve">NCTA SIM Swap and Port-Out Fraud PRA Comments at </w:t>
      </w:r>
      <w:r w:rsidR="00AF34B1">
        <w:t>4-5.</w:t>
      </w:r>
    </w:p>
  </w:footnote>
  <w:footnote w:id="32">
    <w:p w:rsidR="00592F45" w:rsidP="00592F45" w14:paraId="7F72B9AB" w14:textId="77777777">
      <w:pPr>
        <w:pStyle w:val="FootnoteText"/>
      </w:pPr>
      <w:r>
        <w:rPr>
          <w:rStyle w:val="FootnoteReference"/>
        </w:rPr>
        <w:footnoteRef/>
      </w:r>
      <w:r>
        <w:t xml:space="preserve"> CCA SIM Swap and Port-Out Fraud PRA Comments at 5.</w:t>
      </w:r>
    </w:p>
  </w:footnote>
  <w:footnote w:id="33">
    <w:p w:rsidR="00BB0EC1" w:rsidRPr="00BB0EC1" w14:paraId="2DCB7BE7" w14:textId="37C2581A">
      <w:pPr>
        <w:pStyle w:val="FootnoteText"/>
      </w:pPr>
      <w:r>
        <w:rPr>
          <w:rStyle w:val="FootnoteReference"/>
        </w:rPr>
        <w:footnoteRef/>
      </w:r>
      <w:r w:rsidR="711756CC">
        <w:t xml:space="preserve"> </w:t>
      </w:r>
      <w:r w:rsidRPr="711756CC" w:rsidR="711756CC">
        <w:rPr>
          <w:i/>
          <w:iCs/>
        </w:rPr>
        <w:t>See Protecting Consumers from SIM Swap and Port-Out Fraud</w:t>
      </w:r>
      <w:r w:rsidR="711756CC">
        <w:t xml:space="preserve">, WC Docket No. 21-341, Order, DA 24-649 (WCB July 5, 2024).  The Bureau also found that waiver of the rules until March 10, 2025 would not serve the public interest.  </w:t>
      </w:r>
    </w:p>
  </w:footnote>
  <w:footnote w:id="34">
    <w:p w:rsidR="00F43B14" w:rsidRPr="00D909A9" w:rsidP="00F43B14" w14:paraId="0FBF7B89" w14:textId="77777777">
      <w:pPr>
        <w:pStyle w:val="FootnoteText"/>
      </w:pPr>
      <w:r>
        <w:rPr>
          <w:rStyle w:val="FootnoteReference"/>
        </w:rPr>
        <w:footnoteRef/>
      </w:r>
      <w:r>
        <w:t xml:space="preserve"> </w:t>
      </w:r>
      <w:r>
        <w:rPr>
          <w:i/>
          <w:iCs/>
        </w:rPr>
        <w:t xml:space="preserve">Id. </w:t>
      </w:r>
      <w:r>
        <w:t>at 17.</w:t>
      </w:r>
    </w:p>
  </w:footnote>
  <w:footnote w:id="35">
    <w:p w:rsidR="003928CD" w:rsidRPr="00501AE9" w14:paraId="7D117FF2" w14:textId="519B5A05">
      <w:pPr>
        <w:pStyle w:val="FootnoteText"/>
        <w:rPr>
          <w:i/>
          <w:iCs/>
        </w:rPr>
      </w:pPr>
      <w:r>
        <w:rPr>
          <w:rStyle w:val="FootnoteReference"/>
        </w:rPr>
        <w:footnoteRef/>
      </w:r>
      <w:r>
        <w:t xml:space="preserve"> </w:t>
      </w:r>
      <w:r w:rsidR="001416F8">
        <w:rPr>
          <w:i/>
          <w:iCs/>
        </w:rPr>
        <w:t xml:space="preserve">See </w:t>
      </w:r>
      <w:r w:rsidR="001416F8">
        <w:t xml:space="preserve">CTIA PRA Comments at 18; CCA PRA Comments at </w:t>
      </w:r>
      <w:r w:rsidR="00860CE3">
        <w:t>3.</w:t>
      </w:r>
    </w:p>
  </w:footnote>
  <w:footnote w:id="36">
    <w:p w:rsidR="009B6C05" w:rsidRPr="00DE6C02" w:rsidP="00DE6C02" w14:paraId="3F0A1EE2" w14:textId="502E29A0">
      <w:pPr>
        <w:pStyle w:val="FootnoteText"/>
        <w:spacing w:after="120"/>
        <w:rPr>
          <w:spacing w:val="-3"/>
        </w:rPr>
      </w:pPr>
      <w:r w:rsidRPr="008B0695">
        <w:rPr>
          <w:rStyle w:val="FootnoteReference"/>
        </w:rPr>
        <w:footnoteRef/>
      </w:r>
      <w:r w:rsidRPr="008B0695">
        <w:t xml:space="preserve"> There</w:t>
      </w:r>
      <w:r w:rsidRPr="008B0695">
        <w:rPr>
          <w:spacing w:val="-3"/>
        </w:rPr>
        <w:t xml:space="preserve"> are approximately  </w:t>
      </w:r>
      <w:r w:rsidR="001A6718">
        <w:rPr>
          <w:spacing w:val="-3"/>
        </w:rPr>
        <w:t xml:space="preserve">2,935 </w:t>
      </w:r>
      <w:r w:rsidR="00AF2B05">
        <w:rPr>
          <w:spacing w:val="-3"/>
        </w:rPr>
        <w:t xml:space="preserve">providers of </w:t>
      </w:r>
      <w:r w:rsidRPr="008B0695">
        <w:rPr>
          <w:spacing w:val="-3"/>
        </w:rPr>
        <w:t>telecommunications</w:t>
      </w:r>
      <w:r w:rsidR="00AF2B05">
        <w:rPr>
          <w:spacing w:val="-3"/>
        </w:rPr>
        <w:t>,</w:t>
      </w:r>
      <w:r w:rsidRPr="008B0695">
        <w:rPr>
          <w:spacing w:val="-3"/>
        </w:rPr>
        <w:t xml:space="preserve"> interconnected VoIP</w:t>
      </w:r>
      <w:r w:rsidR="00AF2B05">
        <w:rPr>
          <w:spacing w:val="-3"/>
        </w:rPr>
        <w:t>, and TRS</w:t>
      </w:r>
      <w:r w:rsidRPr="008B0695">
        <w:rPr>
          <w:spacing w:val="-3"/>
        </w:rPr>
        <w:t xml:space="preserve"> that might be subject to our notification requirement; however, to the extent providers do not choose to use CPNI or do not want to market new service categories using CPNI, the information collection requirements would not apply to them. </w:t>
      </w:r>
    </w:p>
  </w:footnote>
  <w:footnote w:id="37">
    <w:p w:rsidR="5D3F303B" w:rsidRPr="001A7909" w:rsidP="5D3F303B" w14:paraId="3EC9ACF6" w14:textId="16A98FDA">
      <w:pPr>
        <w:spacing w:line="257" w:lineRule="auto"/>
      </w:pPr>
      <w:r w:rsidRPr="5D3F303B">
        <w:rPr>
          <w:rStyle w:val="FootnoteReference"/>
        </w:rPr>
        <w:footnoteRef/>
      </w:r>
      <w:r>
        <w:t xml:space="preserve"> </w:t>
      </w:r>
      <w:r w:rsidRPr="001A7909">
        <w:t xml:space="preserve">The August 2023 Voice Telephone Service Report, Table 2, states that as of June 2022, there were 59 facilities-based mobile providers in the United States.  </w:t>
      </w:r>
      <w:r w:rsidRPr="00B539DC">
        <w:rPr>
          <w:i/>
          <w:iCs/>
        </w:rPr>
        <w:t>See</w:t>
      </w:r>
      <w:r w:rsidRPr="001A7909">
        <w:t xml:space="preserve"> </w:t>
      </w:r>
      <w:hyperlink r:id="rId2" w:history="1">
        <w:r w:rsidRPr="001A7909">
          <w:rPr>
            <w:rStyle w:val="Hyperlink"/>
          </w:rPr>
          <w:t>https://www.fcc.gov/voice-telephone-services.report</w:t>
        </w:r>
      </w:hyperlink>
      <w:r w:rsidRPr="001A7909">
        <w:t>.  The most recent version is as of June 30, 2022.</w:t>
      </w:r>
    </w:p>
  </w:footnote>
  <w:footnote w:id="38">
    <w:p w:rsidR="5D3F303B" w:rsidRPr="001A7909" w:rsidP="00C44D00" w14:paraId="5A15C672" w14:textId="1DFCA8AD">
      <w:pPr>
        <w:spacing w:line="257" w:lineRule="auto"/>
      </w:pPr>
      <w:r w:rsidRPr="001A7909">
        <w:rPr>
          <w:rStyle w:val="FootnoteReference"/>
        </w:rPr>
        <w:footnoteRef/>
      </w:r>
      <w:r w:rsidRPr="001A7909">
        <w:t xml:space="preserve"> To get an estimate of 540 MVNOs, the Commission used Table 1.12 in the most recent Universal Services Monitoring Report, which lists 594 mobile providers that submitted Form 499 data (i.e.</w:t>
      </w:r>
      <w:r w:rsidRPr="001A7909">
        <w:rPr>
          <w:i/>
          <w:iCs/>
        </w:rPr>
        <w:t>,</w:t>
      </w:r>
      <w:r w:rsidRPr="001A7909">
        <w:t xml:space="preserve"> which paid into the Universal Service Fund).  From that number, the Commission subtracted the 59 facilities-based mobile providers facilities and rounded up to 540.</w:t>
      </w:r>
    </w:p>
  </w:footnote>
  <w:footnote w:id="39">
    <w:p w:rsidR="009B6C05" w:rsidRPr="008B0695" w:rsidP="00472170" w14:paraId="024F8EE2" w14:textId="18599133">
      <w:pPr>
        <w:autoSpaceDE w:val="0"/>
        <w:autoSpaceDN w:val="0"/>
        <w:adjustRightInd w:val="0"/>
        <w:spacing w:after="120"/>
      </w:pPr>
      <w:r w:rsidRPr="008077BF">
        <w:rPr>
          <w:rStyle w:val="FootnoteReference"/>
        </w:rPr>
        <w:footnoteRef/>
      </w:r>
      <w:r w:rsidRPr="008077BF">
        <w:t xml:space="preserve"> 47 C.F.R. § 2009(e).</w:t>
      </w:r>
      <w:r w:rsidRPr="008077BF">
        <w:rPr>
          <w:spacing w:val="-3"/>
        </w:rPr>
        <w:t xml:space="preserve">  The annual certification filing for each calendar year is due no sooner than January 1, but no later than March 1.  </w:t>
      </w:r>
      <w:r w:rsidRPr="008077BF">
        <w:rPr>
          <w:i/>
          <w:spacing w:val="-3"/>
        </w:rPr>
        <w:t xml:space="preserve">FCC Enforcement Advisory - Telecommunications Carriers and Interconnected VoIP Providers Must File Annual Reports Certifying Compliance with Commission Rules Protecting </w:t>
      </w:r>
      <w:r w:rsidRPr="00B539DC" w:rsidR="008C42CD">
        <w:rPr>
          <w:i/>
          <w:spacing w:val="-3"/>
        </w:rPr>
        <w:t>Annual CPNI Certifications Due March 1, 2024</w:t>
      </w:r>
      <w:r w:rsidRPr="008077BF">
        <w:rPr>
          <w:spacing w:val="-3"/>
        </w:rPr>
        <w:t xml:space="preserve">, EB Docket No. 06-36, Public Notice, </w:t>
      </w:r>
      <w:r w:rsidRPr="00B539DC" w:rsidR="008C42CD">
        <w:rPr>
          <w:spacing w:val="-3"/>
        </w:rPr>
        <w:t>DA 24-125</w:t>
      </w:r>
      <w:r w:rsidRPr="008077BF">
        <w:rPr>
          <w:spacing w:val="-3"/>
        </w:rPr>
        <w:t xml:space="preserve"> (</w:t>
      </w:r>
      <w:r w:rsidRPr="008077BF">
        <w:rPr>
          <w:spacing w:val="-3"/>
        </w:rPr>
        <w:t>Enf</w:t>
      </w:r>
      <w:r w:rsidRPr="008077BF">
        <w:rPr>
          <w:spacing w:val="-3"/>
        </w:rPr>
        <w:t>. Bur. 20</w:t>
      </w:r>
      <w:r w:rsidRPr="00B539DC" w:rsidR="008C42CD">
        <w:rPr>
          <w:spacing w:val="-3"/>
        </w:rPr>
        <w:t>24</w:t>
      </w:r>
      <w:r w:rsidRPr="008077BF">
        <w:rPr>
          <w:spacing w:val="-3"/>
        </w:rPr>
        <w:t xml:space="preserve">).  The annual CPNI certifications may be filed:  (1) using the Commission’s web-based application; (2) using the Commission’s Electronic Comment Filing System (ECFS); or (3) by filing paper copies.  The Commission’s web-based application can be found at </w:t>
      </w:r>
      <w:hyperlink r:id="rId3" w:history="1">
        <w:r w:rsidRPr="008077BF">
          <w:rPr>
            <w:spacing w:val="-3"/>
          </w:rPr>
          <w:t>http://apps.fcc.gov/eb/CPNI</w:t>
        </w:r>
      </w:hyperlink>
      <w:r w:rsidRPr="008077BF">
        <w:rPr>
          <w:spacing w:val="-3"/>
        </w:rPr>
        <w:t>.  Any paper filings submitted to the Commission are then added to the FCC’s ECFS Docket No. 06-36.</w:t>
      </w:r>
      <w:r w:rsidRPr="008B0695">
        <w:rPr>
          <w:spacing w:val="-3"/>
        </w:rPr>
        <w:t xml:space="preserve">  </w:t>
      </w:r>
    </w:p>
  </w:footnote>
  <w:footnote w:id="40">
    <w:p w:rsidR="00CC1A56" w:rsidP="00CC1A56" w14:paraId="0BD3280B" w14:textId="19261D43">
      <w:pPr>
        <w:pStyle w:val="FootnoteText"/>
      </w:pPr>
      <w:r w:rsidRPr="00645642">
        <w:rPr>
          <w:rStyle w:val="FootnoteReference"/>
        </w:rPr>
        <w:footnoteRef/>
      </w:r>
      <w:r w:rsidRPr="00645642">
        <w:t xml:space="preserve"> </w:t>
      </w:r>
      <w:r w:rsidR="0007123C">
        <w:t>In this supporting statement, t</w:t>
      </w:r>
      <w:r w:rsidRPr="00645642">
        <w:t>he Commission use</w:t>
      </w:r>
      <w:r w:rsidR="0007123C">
        <w:t>s</w:t>
      </w:r>
      <w:r w:rsidRPr="00645642">
        <w:t xml:space="preserve"> the General Schedule Salary Table for Washington-Baltimore-Arlington, DC-MD-VA-WV-PA, as of January 202</w:t>
      </w:r>
      <w:r w:rsidRPr="00AF587E">
        <w:t>4</w:t>
      </w:r>
      <w:r w:rsidRPr="00645642">
        <w:t>.</w:t>
      </w:r>
    </w:p>
  </w:footnote>
  <w:footnote w:id="41">
    <w:p w:rsidR="005C5428" w:rsidRPr="005C5428" w14:paraId="26A40037" w14:textId="3D91CECD">
      <w:pPr>
        <w:pStyle w:val="FootnoteText"/>
      </w:pPr>
      <w:r>
        <w:rPr>
          <w:rStyle w:val="FootnoteReference"/>
        </w:rPr>
        <w:footnoteRef/>
      </w:r>
      <w:r>
        <w:t xml:space="preserve"> The record in the </w:t>
      </w:r>
      <w:r>
        <w:rPr>
          <w:i/>
          <w:iCs/>
        </w:rPr>
        <w:t xml:space="preserve">SIM Swap and Port-Out Fraud </w:t>
      </w:r>
      <w:r>
        <w:t>proceeding indicates that over 99% of SIM change requests are legitimate.</w:t>
      </w:r>
    </w:p>
  </w:footnote>
  <w:footnote w:id="42">
    <w:p w:rsidR="00231A0B" w14:paraId="6CBE0CDE" w14:textId="285DA4B2">
      <w:pPr>
        <w:pStyle w:val="FootnoteText"/>
      </w:pPr>
      <w:r>
        <w:rPr>
          <w:rStyle w:val="FootnoteReference"/>
        </w:rPr>
        <w:footnoteRef/>
      </w:r>
      <w:r>
        <w:t xml:space="preserve"> See page 9 of this Supporting Statement discussing the removal of the Cost Study and Certifications portions of this information collection (previously discussed in sections “l” and “m” of this collection). </w:t>
      </w:r>
    </w:p>
  </w:footnote>
  <w:footnote w:id="43">
    <w:p w:rsidR="00B9514B" w:rsidRPr="009578F9" w:rsidP="009578F9" w14:paraId="3C2C0457" w14:textId="64672ACB">
      <w:pPr>
        <w:spacing w:after="120"/>
        <w:rPr>
          <w:spacing w:val="-3"/>
          <w:sz w:val="22"/>
          <w:szCs w:val="22"/>
          <w:shd w:val="clear" w:color="auto" w:fill="FFFFFF"/>
        </w:rPr>
      </w:pPr>
      <w:r>
        <w:rPr>
          <w:rStyle w:val="FootnoteReference"/>
        </w:rPr>
        <w:footnoteRef/>
      </w:r>
      <w:r>
        <w:t xml:space="preserve"> </w:t>
      </w:r>
      <w:r w:rsidRPr="00B9514B">
        <w:t xml:space="preserve">As discussed above, </w:t>
      </w:r>
      <w:r w:rsidRPr="009578F9">
        <w:rPr>
          <w:spacing w:val="-3"/>
          <w:shd w:val="clear" w:color="auto" w:fill="FFFFFF"/>
        </w:rPr>
        <w:t>the Commission believes a respondent will provide customers with their CPNI Rights at the same time at which the respondent solicits their CPNI approval.  As such, any burden from Notification of CPNI Rights is subsumed within the automated system and notification devised in part (a) Customer Approval.  This results in this subsection, Notification of CPNI Rights, having an annual hourly burden of zero.  With no hourly burden, the Commission does not anticipate any “In House” Costs.</w:t>
      </w:r>
      <w:r w:rsidRPr="001C2D09">
        <w:rPr>
          <w:spacing w:val="-3"/>
          <w:sz w:val="22"/>
          <w:szCs w:val="22"/>
          <w:shd w:val="clear" w:color="auto" w:fill="FFFFFF"/>
        </w:rPr>
        <w:t xml:space="preserve"> </w:t>
      </w:r>
    </w:p>
  </w:footnote>
  <w:footnote w:id="44">
    <w:p w:rsidR="00B9514B" w:rsidRPr="009578F9" w:rsidP="00B9514B" w14:paraId="160AA073" w14:textId="5385275A">
      <w:pPr>
        <w:spacing w:after="120"/>
        <w:rPr>
          <w:spacing w:val="-3"/>
          <w:shd w:val="clear" w:color="auto" w:fill="FFFFFF"/>
        </w:rPr>
      </w:pPr>
      <w:r>
        <w:rPr>
          <w:rStyle w:val="FootnoteReference"/>
        </w:rPr>
        <w:footnoteRef/>
      </w:r>
      <w:r>
        <w:t xml:space="preserve"> </w:t>
      </w:r>
      <w:r w:rsidRPr="00B9514B">
        <w:t xml:space="preserve">As explained above, </w:t>
      </w:r>
      <w:r w:rsidRPr="009578F9">
        <w:rPr>
          <w:spacing w:val="-3"/>
          <w:shd w:val="clear" w:color="auto" w:fill="FFFFFF"/>
        </w:rPr>
        <w:t xml:space="preserve">the Commission believes it is reasonable to assume that a respondent will keep records of its notifications to customers of their CPNI rights using the same internal digital system that the respondent uses to record customers’ CPNI approval.  The burden to respondents of modifying their internal digital systems to keep records of customer CPNI approval was already calculated in (b) Customer Approval Documentation and Recordkeeping. As such, the Commission sees no additional annual burden for Notification Recordkeeping.  With no hourly burden, the Commission does not anticipate any “In House” Costs.  </w:t>
      </w:r>
    </w:p>
    <w:p w:rsidR="00B9514B" w:rsidRPr="00B9514B" w14:paraId="4EBF4A11" w14:textId="30BA15B3">
      <w:pPr>
        <w:pStyle w:val="FootnoteText"/>
      </w:pPr>
    </w:p>
  </w:footnote>
  <w:footnote w:id="45">
    <w:p w:rsidR="00DD2450" w14:paraId="1C799CF0" w14:textId="6F246C6C">
      <w:pPr>
        <w:pStyle w:val="FootnoteText"/>
      </w:pPr>
    </w:p>
    <w:p w:rsidR="009B6C05" w14:paraId="070DE3E6" w14:textId="6B7E4291">
      <w:pPr>
        <w:pStyle w:val="FootnoteText"/>
      </w:pPr>
      <w:r>
        <w:rPr>
          <w:rStyle w:val="FootnoteReference"/>
        </w:rPr>
        <w:footnoteRef/>
      </w:r>
      <w:r>
        <w:t xml:space="preserve"> </w:t>
      </w:r>
      <w:r w:rsidRPr="00B31849">
        <w:rPr>
          <w:i/>
          <w:iCs/>
        </w:rPr>
        <w:t>See</w:t>
      </w:r>
      <w:r>
        <w:t xml:space="preserve"> section 12.a., </w:t>
      </w:r>
      <w:r w:rsidRPr="00B31849">
        <w:rPr>
          <w:i/>
          <w:iCs/>
        </w:rPr>
        <w:t>supra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280" w:rsidP="0068483E" w14:paraId="27D1C7DF" w14:textId="6E148DEE">
    <w:pPr>
      <w:pStyle w:val="Header"/>
      <w:tabs>
        <w:tab w:val="clear" w:pos="8640"/>
      </w:tabs>
      <w:rPr>
        <w:b/>
        <w:sz w:val="22"/>
        <w:szCs w:val="22"/>
      </w:rPr>
    </w:pPr>
    <w:r w:rsidRPr="006F4D5F">
      <w:rPr>
        <w:b/>
        <w:sz w:val="22"/>
        <w:szCs w:val="22"/>
      </w:rPr>
      <w:t xml:space="preserve">Telecommunications Carriers’ Use of Customer </w:t>
    </w:r>
    <w:r>
      <w:rPr>
        <w:b/>
        <w:sz w:val="22"/>
        <w:szCs w:val="22"/>
      </w:rPr>
      <w:tab/>
    </w:r>
    <w:r>
      <w:rPr>
        <w:b/>
        <w:sz w:val="22"/>
        <w:szCs w:val="22"/>
      </w:rPr>
      <w:tab/>
    </w:r>
    <w:r>
      <w:rPr>
        <w:b/>
        <w:sz w:val="22"/>
        <w:szCs w:val="22"/>
      </w:rPr>
      <w:tab/>
    </w:r>
    <w:r>
      <w:rPr>
        <w:b/>
        <w:sz w:val="22"/>
        <w:szCs w:val="22"/>
      </w:rPr>
      <w:tab/>
      <w:t xml:space="preserve">       </w:t>
    </w:r>
    <w:r w:rsidRPr="006F4D5F" w:rsidR="009B6C05">
      <w:rPr>
        <w:b/>
        <w:sz w:val="22"/>
        <w:szCs w:val="22"/>
      </w:rPr>
      <w:t>3060-0715</w:t>
    </w:r>
    <w:r w:rsidRPr="006F4D5F" w:rsidR="009B6C05">
      <w:rPr>
        <w:b/>
        <w:sz w:val="22"/>
        <w:szCs w:val="22"/>
      </w:rPr>
      <w:tab/>
    </w:r>
    <w:r w:rsidRPr="006F4D5F" w:rsidR="009B6C05">
      <w:rPr>
        <w:b/>
        <w:sz w:val="22"/>
        <w:szCs w:val="22"/>
      </w:rPr>
      <w:tab/>
    </w:r>
    <w:r w:rsidR="009B6C05">
      <w:rPr>
        <w:b/>
        <w:sz w:val="22"/>
        <w:szCs w:val="22"/>
      </w:rPr>
      <w:t xml:space="preserve">         </w:t>
    </w:r>
    <w:r w:rsidRPr="006F4D5F" w:rsidR="009B6C05">
      <w:rPr>
        <w:b/>
        <w:sz w:val="22"/>
        <w:szCs w:val="22"/>
      </w:rPr>
      <w:t xml:space="preserve">Proprietary Network Information and </w:t>
    </w:r>
    <w:r>
      <w:rPr>
        <w:b/>
        <w:sz w:val="22"/>
        <w:szCs w:val="22"/>
      </w:rPr>
      <w:tab/>
    </w:r>
    <w:r>
      <w:rPr>
        <w:b/>
        <w:sz w:val="22"/>
        <w:szCs w:val="22"/>
      </w:rPr>
      <w:tab/>
    </w:r>
    <w:r>
      <w:rPr>
        <w:b/>
        <w:sz w:val="22"/>
        <w:szCs w:val="22"/>
      </w:rPr>
      <w:tab/>
    </w:r>
    <w:r>
      <w:rPr>
        <w:b/>
        <w:sz w:val="22"/>
        <w:szCs w:val="22"/>
      </w:rPr>
      <w:tab/>
      <w:t xml:space="preserve">           </w:t>
    </w:r>
    <w:r w:rsidR="000873CE">
      <w:rPr>
        <w:b/>
        <w:sz w:val="22"/>
        <w:szCs w:val="22"/>
      </w:rPr>
      <w:tab/>
    </w:r>
    <w:r w:rsidR="00047012">
      <w:rPr>
        <w:b/>
        <w:sz w:val="22"/>
        <w:szCs w:val="22"/>
      </w:rPr>
      <w:t xml:space="preserve"> October </w:t>
    </w:r>
    <w:r>
      <w:rPr>
        <w:b/>
        <w:sz w:val="22"/>
        <w:szCs w:val="22"/>
      </w:rPr>
      <w:t>202</w:t>
    </w:r>
    <w:r w:rsidR="008351AD">
      <w:rPr>
        <w:b/>
        <w:sz w:val="22"/>
        <w:szCs w:val="22"/>
      </w:rPr>
      <w:t>4</w:t>
    </w:r>
  </w:p>
  <w:p w:rsidR="009B6C05" w:rsidRPr="006F4D5F" w:rsidP="003A3E9D" w14:paraId="7EAB5B89" w14:textId="032253B8">
    <w:pPr>
      <w:pStyle w:val="Header"/>
      <w:rPr>
        <w:b/>
        <w:sz w:val="22"/>
        <w:szCs w:val="22"/>
      </w:rPr>
    </w:pPr>
    <w:r w:rsidRPr="006F4D5F">
      <w:rPr>
        <w:b/>
        <w:sz w:val="22"/>
        <w:szCs w:val="22"/>
      </w:rPr>
      <w:t>Other Customer Information</w:t>
    </w:r>
  </w:p>
  <w:p w:rsidR="009B6C05" w14:paraId="0EE3903B" w14:textId="77777777">
    <w:pPr>
      <w:pStyle w:val="Header"/>
    </w:pPr>
  </w:p>
  <w:p w:rsidR="001A1027" w14:paraId="0C66AA5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C05" w:rsidRPr="006F4D5F" w14:paraId="3086B224" w14:textId="77777777">
    <w:pPr>
      <w:pStyle w:val="Header"/>
      <w:rPr>
        <w:b/>
        <w:sz w:val="22"/>
        <w:szCs w:val="22"/>
      </w:rPr>
    </w:pPr>
    <w:r w:rsidRPr="006F4D5F">
      <w:rPr>
        <w:b/>
        <w:sz w:val="22"/>
        <w:szCs w:val="22"/>
      </w:rPr>
      <w:t>3060-0715</w:t>
    </w:r>
    <w:r w:rsidRPr="006F4D5F">
      <w:rPr>
        <w:b/>
        <w:sz w:val="22"/>
        <w:szCs w:val="22"/>
      </w:rPr>
      <w:tab/>
    </w:r>
    <w:r w:rsidRPr="006F4D5F">
      <w:rPr>
        <w:b/>
        <w:sz w:val="22"/>
        <w:szCs w:val="22"/>
      </w:rPr>
      <w:tab/>
      <w:t>September 2007</w:t>
    </w:r>
  </w:p>
  <w:p w:rsidR="009B6C05" w:rsidRPr="006F4D5F" w14:paraId="3A6CE745" w14:textId="77777777">
    <w:pPr>
      <w:pStyle w:val="Header"/>
      <w:rPr>
        <w:b/>
        <w:sz w:val="22"/>
        <w:szCs w:val="22"/>
      </w:rPr>
    </w:pPr>
    <w:r w:rsidRPr="006F4D5F">
      <w:rPr>
        <w:b/>
        <w:sz w:val="22"/>
        <w:szCs w:val="22"/>
      </w:rPr>
      <w:t xml:space="preserve">Telecommunications Carriers’ Use of Customer Proprietary Network Information </w:t>
    </w:r>
  </w:p>
  <w:p w:rsidR="009B6C05" w:rsidRPr="006F4D5F" w14:paraId="7EF113E2" w14:textId="77777777">
    <w:pPr>
      <w:pStyle w:val="Header"/>
      <w:rPr>
        <w:b/>
        <w:sz w:val="22"/>
        <w:szCs w:val="22"/>
      </w:rPr>
    </w:pPr>
    <w:r w:rsidRPr="006F4D5F">
      <w:rPr>
        <w:b/>
        <w:sz w:val="22"/>
        <w:szCs w:val="22"/>
      </w:rPr>
      <w:t>(CPNI) and Other Customer Information, CC Docket No. 96-115</w:t>
    </w:r>
  </w:p>
  <w:p w:rsidR="001A1027" w14:paraId="5DC0ACD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451F8"/>
    <w:multiLevelType w:val="hybridMultilevel"/>
    <w:tmpl w:val="896C6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3B7821"/>
    <w:multiLevelType w:val="hybridMultilevel"/>
    <w:tmpl w:val="5148915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E30580"/>
    <w:multiLevelType w:val="hybridMultilevel"/>
    <w:tmpl w:val="368AA648"/>
    <w:lvl w:ilvl="0">
      <w:start w:val="2"/>
      <w:numFmt w:val="upp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07353645"/>
    <w:multiLevelType w:val="hybridMultilevel"/>
    <w:tmpl w:val="30709AC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77E28C2"/>
    <w:multiLevelType w:val="hybridMultilevel"/>
    <w:tmpl w:val="A8427D4E"/>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855E7F9"/>
    <w:multiLevelType w:val="hybridMultilevel"/>
    <w:tmpl w:val="081EC8E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8052BD"/>
    <w:multiLevelType w:val="hybridMultilevel"/>
    <w:tmpl w:val="14F0B0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96941F7"/>
    <w:multiLevelType w:val="hybridMultilevel"/>
    <w:tmpl w:val="67DCB88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AE93CBC"/>
    <w:multiLevelType w:val="hybridMultilevel"/>
    <w:tmpl w:val="AAD8BB5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AEE7DAA"/>
    <w:multiLevelType w:val="hybridMultilevel"/>
    <w:tmpl w:val="9F3AEE2A"/>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B9C7E64"/>
    <w:multiLevelType w:val="hybridMultilevel"/>
    <w:tmpl w:val="AFBAE8DC"/>
    <w:lvl w:ilvl="0">
      <w:start w:val="16"/>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BB3936"/>
    <w:multiLevelType w:val="hybridMultilevel"/>
    <w:tmpl w:val="17F221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436FF2"/>
    <w:multiLevelType w:val="hybridMultilevel"/>
    <w:tmpl w:val="E190E3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E15D23"/>
    <w:multiLevelType w:val="hybridMultilevel"/>
    <w:tmpl w:val="5BF66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F49695F"/>
    <w:multiLevelType w:val="hybridMultilevel"/>
    <w:tmpl w:val="1FB6E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FBD0AA8"/>
    <w:multiLevelType w:val="hybridMultilevel"/>
    <w:tmpl w:val="3CC26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16CA660"/>
    <w:multiLevelType w:val="hybridMultilevel"/>
    <w:tmpl w:val="0CAC8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1CDB082"/>
    <w:multiLevelType w:val="hybridMultilevel"/>
    <w:tmpl w:val="C038B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1E53188"/>
    <w:multiLevelType w:val="hybridMultilevel"/>
    <w:tmpl w:val="2CE806D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37A7439"/>
    <w:multiLevelType w:val="hybridMultilevel"/>
    <w:tmpl w:val="AF4206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4AA1106"/>
    <w:multiLevelType w:val="hybridMultilevel"/>
    <w:tmpl w:val="5EC63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611C8DA"/>
    <w:multiLevelType w:val="hybridMultilevel"/>
    <w:tmpl w:val="9A180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78A393C"/>
    <w:multiLevelType w:val="hybridMultilevel"/>
    <w:tmpl w:val="B6820F8E"/>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17F421E3"/>
    <w:multiLevelType w:val="hybridMultilevel"/>
    <w:tmpl w:val="CAD6E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7F973A8"/>
    <w:multiLevelType w:val="hybridMultilevel"/>
    <w:tmpl w:val="64826D02"/>
    <w:lvl w:ilvl="0">
      <w:start w:val="1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9D07569"/>
    <w:multiLevelType w:val="hybridMultilevel"/>
    <w:tmpl w:val="E4F2D63C"/>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9EA572A"/>
    <w:multiLevelType w:val="hybridMultilevel"/>
    <w:tmpl w:val="081EC5F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1A7D8D5A"/>
    <w:multiLevelType w:val="hybridMultilevel"/>
    <w:tmpl w:val="493C1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B6515E9"/>
    <w:multiLevelType w:val="hybridMultilevel"/>
    <w:tmpl w:val="1520CE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1BD71E82"/>
    <w:multiLevelType w:val="hybridMultilevel"/>
    <w:tmpl w:val="B782A57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C1595ED"/>
    <w:multiLevelType w:val="hybridMultilevel"/>
    <w:tmpl w:val="8EE0C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EE1616F"/>
    <w:multiLevelType w:val="hybridMultilevel"/>
    <w:tmpl w:val="0DCEEE04"/>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1F0D552A"/>
    <w:multiLevelType w:val="hybridMultilevel"/>
    <w:tmpl w:val="55CCE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FC2EF73"/>
    <w:multiLevelType w:val="hybridMultilevel"/>
    <w:tmpl w:val="D1506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0DAD5C3"/>
    <w:multiLevelType w:val="hybridMultilevel"/>
    <w:tmpl w:val="434C405C"/>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13CDCCB"/>
    <w:multiLevelType w:val="hybridMultilevel"/>
    <w:tmpl w:val="077C8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19C0C7C"/>
    <w:multiLevelType w:val="hybridMultilevel"/>
    <w:tmpl w:val="018CAD34"/>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222A3556"/>
    <w:multiLevelType w:val="hybridMultilevel"/>
    <w:tmpl w:val="8E40B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3C91EDF"/>
    <w:multiLevelType w:val="hybridMultilevel"/>
    <w:tmpl w:val="700C104A"/>
    <w:lvl w:ilvl="0">
      <w:start w:val="15"/>
      <w:numFmt w:val="lowerLetter"/>
      <w:lvlText w:val="(%1)"/>
      <w:lvlJc w:val="left"/>
      <w:pPr>
        <w:tabs>
          <w:tab w:val="num" w:pos="3330"/>
        </w:tabs>
        <w:ind w:left="3330" w:hanging="189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9">
    <w:nsid w:val="24848FD8"/>
    <w:multiLevelType w:val="hybridMultilevel"/>
    <w:tmpl w:val="FF062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5068E79"/>
    <w:multiLevelType w:val="hybridMultilevel"/>
    <w:tmpl w:val="37A64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63444ED"/>
    <w:multiLevelType w:val="hybridMultilevel"/>
    <w:tmpl w:val="62EEE152"/>
    <w:lvl w:ilvl="0">
      <w:start w:val="14"/>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27F72B4B"/>
    <w:multiLevelType w:val="hybridMultilevel"/>
    <w:tmpl w:val="26A29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82724B1"/>
    <w:multiLevelType w:val="hybridMultilevel"/>
    <w:tmpl w:val="14FAFD6C"/>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295608B2"/>
    <w:multiLevelType w:val="hybridMultilevel"/>
    <w:tmpl w:val="71BCA2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29582181"/>
    <w:multiLevelType w:val="hybridMultilevel"/>
    <w:tmpl w:val="9ED4B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A1F190E"/>
    <w:multiLevelType w:val="hybridMultilevel"/>
    <w:tmpl w:val="09BEFEC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2AF461E1"/>
    <w:multiLevelType w:val="hybridMultilevel"/>
    <w:tmpl w:val="A6CED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B7C7EBE"/>
    <w:multiLevelType w:val="hybridMultilevel"/>
    <w:tmpl w:val="FA8A3CA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2C2936EF"/>
    <w:multiLevelType w:val="hybridMultilevel"/>
    <w:tmpl w:val="37260C4C"/>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CBFCBA5"/>
    <w:multiLevelType w:val="hybridMultilevel"/>
    <w:tmpl w:val="BFE8DEC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D2C1F3C"/>
    <w:multiLevelType w:val="hybridMultilevel"/>
    <w:tmpl w:val="CC7C51CE"/>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2F18B107"/>
    <w:multiLevelType w:val="hybridMultilevel"/>
    <w:tmpl w:val="F6F6C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0BF56FD"/>
    <w:multiLevelType w:val="hybridMultilevel"/>
    <w:tmpl w:val="3E98E1E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33893707"/>
    <w:multiLevelType w:val="hybridMultilevel"/>
    <w:tmpl w:val="DDA48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3AD350F"/>
    <w:multiLevelType w:val="hybridMultilevel"/>
    <w:tmpl w:val="3EEA0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4E41549"/>
    <w:multiLevelType w:val="hybridMultilevel"/>
    <w:tmpl w:val="95648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55F3E70"/>
    <w:multiLevelType w:val="hybridMultilevel"/>
    <w:tmpl w:val="422278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35874843"/>
    <w:multiLevelType w:val="hybridMultilevel"/>
    <w:tmpl w:val="00725D6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3704ECA9"/>
    <w:multiLevelType w:val="hybridMultilevel"/>
    <w:tmpl w:val="477E36E6"/>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38060505"/>
    <w:multiLevelType w:val="hybridMultilevel"/>
    <w:tmpl w:val="D7E28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383171F7"/>
    <w:multiLevelType w:val="hybridMultilevel"/>
    <w:tmpl w:val="D7C42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3882249C"/>
    <w:multiLevelType w:val="hybridMultilevel"/>
    <w:tmpl w:val="E494C89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3A0AA386"/>
    <w:multiLevelType w:val="hybridMultilevel"/>
    <w:tmpl w:val="4448F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A30E3D2"/>
    <w:multiLevelType w:val="hybridMultilevel"/>
    <w:tmpl w:val="7A72F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A4A9F08"/>
    <w:multiLevelType w:val="hybridMultilevel"/>
    <w:tmpl w:val="D0EA32F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A785560"/>
    <w:multiLevelType w:val="hybridMultilevel"/>
    <w:tmpl w:val="3604C16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3D8B4982"/>
    <w:multiLevelType w:val="hybridMultilevel"/>
    <w:tmpl w:val="CE3EB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E418F66"/>
    <w:multiLevelType w:val="hybridMultilevel"/>
    <w:tmpl w:val="6290A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EC418FE"/>
    <w:multiLevelType w:val="hybridMultilevel"/>
    <w:tmpl w:val="F0F8199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3F653F01"/>
    <w:multiLevelType w:val="hybridMultilevel"/>
    <w:tmpl w:val="8736CC1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3FE318A8"/>
    <w:multiLevelType w:val="hybridMultilevel"/>
    <w:tmpl w:val="A630226C"/>
    <w:lvl w:ilvl="0">
      <w:start w:val="1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3322540"/>
    <w:multiLevelType w:val="hybridMultilevel"/>
    <w:tmpl w:val="651096E0"/>
    <w:lvl w:ilvl="0">
      <w:start w:val="1"/>
      <w:numFmt w:val="decimal"/>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41CCF44"/>
    <w:multiLevelType w:val="hybridMultilevel"/>
    <w:tmpl w:val="5120CB06"/>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5982834"/>
    <w:multiLevelType w:val="hybridMultilevel"/>
    <w:tmpl w:val="3806A1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5B613F7"/>
    <w:multiLevelType w:val="hybridMultilevel"/>
    <w:tmpl w:val="A0F2CD46"/>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6">
    <w:nsid w:val="46B84D3C"/>
    <w:multiLevelType w:val="hybridMultilevel"/>
    <w:tmpl w:val="9DA09318"/>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47E381DD"/>
    <w:multiLevelType w:val="hybridMultilevel"/>
    <w:tmpl w:val="DA0A4678"/>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4939FA21"/>
    <w:multiLevelType w:val="hybridMultilevel"/>
    <w:tmpl w:val="8E1A180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95A46F7"/>
    <w:multiLevelType w:val="hybridMultilevel"/>
    <w:tmpl w:val="34EC976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B03C36D"/>
    <w:multiLevelType w:val="hybridMultilevel"/>
    <w:tmpl w:val="0E8A1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4B11D64B"/>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nsid w:val="4BF23941"/>
    <w:multiLevelType w:val="hybridMultilevel"/>
    <w:tmpl w:val="4A645506"/>
    <w:lvl w:ilvl="0">
      <w:start w:val="1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4CFA556B"/>
    <w:multiLevelType w:val="hybridMultilevel"/>
    <w:tmpl w:val="15C80D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4D171E06"/>
    <w:multiLevelType w:val="hybridMultilevel"/>
    <w:tmpl w:val="32180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D40C7A6"/>
    <w:multiLevelType w:val="hybridMultilevel"/>
    <w:tmpl w:val="3CC26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DE212F7"/>
    <w:multiLevelType w:val="hybridMultilevel"/>
    <w:tmpl w:val="1368C92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7">
    <w:nsid w:val="51C07496"/>
    <w:multiLevelType w:val="hybridMultilevel"/>
    <w:tmpl w:val="F0FC97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5283B9C8"/>
    <w:multiLevelType w:val="hybridMultilevel"/>
    <w:tmpl w:val="0CB4C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5292B7DB"/>
    <w:multiLevelType w:val="hybridMultilevel"/>
    <w:tmpl w:val="91421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52F850F"/>
    <w:multiLevelType w:val="hybridMultilevel"/>
    <w:tmpl w:val="A1327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55A733E7"/>
    <w:multiLevelType w:val="hybridMultilevel"/>
    <w:tmpl w:val="A5ECBE7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2">
    <w:nsid w:val="57E3B032"/>
    <w:multiLevelType w:val="hybridMultilevel"/>
    <w:tmpl w:val="6A68A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58587446"/>
    <w:multiLevelType w:val="hybridMultilevel"/>
    <w:tmpl w:val="C7F6BC3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4">
    <w:nsid w:val="59D5493F"/>
    <w:multiLevelType w:val="hybridMultilevel"/>
    <w:tmpl w:val="904E6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5B731914"/>
    <w:multiLevelType w:val="hybridMultilevel"/>
    <w:tmpl w:val="AD2A9DE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6">
    <w:nsid w:val="5CF322A6"/>
    <w:multiLevelType w:val="hybridMultilevel"/>
    <w:tmpl w:val="0BD406C2"/>
    <w:lvl w:ilvl="0">
      <w:start w:val="5"/>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D21002E"/>
    <w:multiLevelType w:val="hybridMultilevel"/>
    <w:tmpl w:val="CC7C380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5E0774ED"/>
    <w:multiLevelType w:val="hybridMultilevel"/>
    <w:tmpl w:val="B612805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9">
    <w:nsid w:val="600EBD9F"/>
    <w:multiLevelType w:val="hybridMultilevel"/>
    <w:tmpl w:val="A49C609A"/>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61F53871"/>
    <w:multiLevelType w:val="hybridMultilevel"/>
    <w:tmpl w:val="17047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2ACF748"/>
    <w:multiLevelType w:val="hybridMultilevel"/>
    <w:tmpl w:val="29949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632E1C90"/>
    <w:multiLevelType w:val="hybridMultilevel"/>
    <w:tmpl w:val="CD4A1E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3">
    <w:nsid w:val="637848BC"/>
    <w:multiLevelType w:val="hybridMultilevel"/>
    <w:tmpl w:val="2504921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65443EDF"/>
    <w:multiLevelType w:val="hybridMultilevel"/>
    <w:tmpl w:val="7408B6A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nsid w:val="65A00551"/>
    <w:multiLevelType w:val="hybridMultilevel"/>
    <w:tmpl w:val="CCD49E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6">
    <w:nsid w:val="665D8349"/>
    <w:multiLevelType w:val="hybridMultilevel"/>
    <w:tmpl w:val="77EE7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67C9C38C"/>
    <w:multiLevelType w:val="hybridMultilevel"/>
    <w:tmpl w:val="B37C4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865A028"/>
    <w:multiLevelType w:val="hybridMultilevel"/>
    <w:tmpl w:val="FA38E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6BB1AE7D"/>
    <w:multiLevelType w:val="hybridMultilevel"/>
    <w:tmpl w:val="FE523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6C6E0868"/>
    <w:multiLevelType w:val="hybridMultilevel"/>
    <w:tmpl w:val="5ED450B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1">
    <w:nsid w:val="6D53B6F3"/>
    <w:multiLevelType w:val="hybridMultilevel"/>
    <w:tmpl w:val="62FA9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70046266"/>
    <w:multiLevelType w:val="hybridMultilevel"/>
    <w:tmpl w:val="0CEC1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704C6E52"/>
    <w:multiLevelType w:val="hybridMultilevel"/>
    <w:tmpl w:val="2250B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358E4E0"/>
    <w:multiLevelType w:val="hybridMultilevel"/>
    <w:tmpl w:val="2AE62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787D18D8"/>
    <w:multiLevelType w:val="hybridMultilevel"/>
    <w:tmpl w:val="C2C0B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98B1DF1"/>
    <w:multiLevelType w:val="hybridMultilevel"/>
    <w:tmpl w:val="63CAD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799CF3C9"/>
    <w:multiLevelType w:val="hybridMultilevel"/>
    <w:tmpl w:val="4440D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A8D89CF"/>
    <w:multiLevelType w:val="hybridMultilevel"/>
    <w:tmpl w:val="DE2CC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7AF94323"/>
    <w:multiLevelType w:val="hybridMultilevel"/>
    <w:tmpl w:val="A0FEA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7B334FA7"/>
    <w:multiLevelType w:val="hybridMultilevel"/>
    <w:tmpl w:val="72024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7BEB41C1"/>
    <w:multiLevelType w:val="hybridMultilevel"/>
    <w:tmpl w:val="A55C624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2">
    <w:nsid w:val="7D0623EA"/>
    <w:multiLevelType w:val="hybridMultilevel"/>
    <w:tmpl w:val="B5F0541C"/>
    <w:lvl w:ilvl="0">
      <w:start w:val="15"/>
      <w:numFmt w:val="lowerLetter"/>
      <w:lvlText w:val="%1."/>
      <w:lvlJc w:val="left"/>
      <w:pPr>
        <w:tabs>
          <w:tab w:val="num" w:pos="1830"/>
        </w:tabs>
        <w:ind w:left="1830" w:hanging="39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3">
    <w:nsid w:val="7DA1CC61"/>
    <w:multiLevelType w:val="hybridMultilevel"/>
    <w:tmpl w:val="85FA5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7F2C1050"/>
    <w:multiLevelType w:val="hybridMultilevel"/>
    <w:tmpl w:val="4BB01BC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5">
    <w:nsid w:val="7F76AA58"/>
    <w:multiLevelType w:val="hybridMultilevel"/>
    <w:tmpl w:val="8CB2030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7FCD7960"/>
    <w:multiLevelType w:val="hybridMultilevel"/>
    <w:tmpl w:val="8A3A3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8161566">
    <w:abstractNumId w:val="81"/>
  </w:num>
  <w:num w:numId="2" w16cid:durableId="1056584577">
    <w:abstractNumId w:val="17"/>
  </w:num>
  <w:num w:numId="3" w16cid:durableId="422842263">
    <w:abstractNumId w:val="42"/>
  </w:num>
  <w:num w:numId="4" w16cid:durableId="293290079">
    <w:abstractNumId w:val="68"/>
  </w:num>
  <w:num w:numId="5" w16cid:durableId="1152255931">
    <w:abstractNumId w:val="16"/>
  </w:num>
  <w:num w:numId="6" w16cid:durableId="673000448">
    <w:abstractNumId w:val="92"/>
  </w:num>
  <w:num w:numId="7" w16cid:durableId="630088803">
    <w:abstractNumId w:val="64"/>
  </w:num>
  <w:num w:numId="8" w16cid:durableId="440539844">
    <w:abstractNumId w:val="117"/>
  </w:num>
  <w:num w:numId="9" w16cid:durableId="1311665975">
    <w:abstractNumId w:val="14"/>
  </w:num>
  <w:num w:numId="10" w16cid:durableId="2024817219">
    <w:abstractNumId w:val="37"/>
  </w:num>
  <w:num w:numId="11" w16cid:durableId="1319311958">
    <w:abstractNumId w:val="0"/>
  </w:num>
  <w:num w:numId="12" w16cid:durableId="1116799728">
    <w:abstractNumId w:val="56"/>
  </w:num>
  <w:num w:numId="13" w16cid:durableId="440955835">
    <w:abstractNumId w:val="99"/>
  </w:num>
  <w:num w:numId="14" w16cid:durableId="334890245">
    <w:abstractNumId w:val="35"/>
  </w:num>
  <w:num w:numId="15" w16cid:durableId="54206485">
    <w:abstractNumId w:val="120"/>
  </w:num>
  <w:num w:numId="16" w16cid:durableId="1488201878">
    <w:abstractNumId w:val="76"/>
  </w:num>
  <w:num w:numId="17" w16cid:durableId="911234019">
    <w:abstractNumId w:val="33"/>
  </w:num>
  <w:num w:numId="18" w16cid:durableId="1790052998">
    <w:abstractNumId w:val="85"/>
  </w:num>
  <w:num w:numId="19" w16cid:durableId="1172335890">
    <w:abstractNumId w:val="1"/>
  </w:num>
  <w:num w:numId="20" w16cid:durableId="963272999">
    <w:abstractNumId w:val="88"/>
  </w:num>
  <w:num w:numId="21" w16cid:durableId="1107850455">
    <w:abstractNumId w:val="39"/>
  </w:num>
  <w:num w:numId="22" w16cid:durableId="1175655533">
    <w:abstractNumId w:val="25"/>
  </w:num>
  <w:num w:numId="23" w16cid:durableId="503399071">
    <w:abstractNumId w:val="109"/>
  </w:num>
  <w:num w:numId="24" w16cid:durableId="59909248">
    <w:abstractNumId w:val="116"/>
  </w:num>
  <w:num w:numId="25" w16cid:durableId="2085179858">
    <w:abstractNumId w:val="125"/>
  </w:num>
  <w:num w:numId="26" w16cid:durableId="907883064">
    <w:abstractNumId w:val="27"/>
  </w:num>
  <w:num w:numId="27" w16cid:durableId="1576745727">
    <w:abstractNumId w:val="126"/>
  </w:num>
  <w:num w:numId="28" w16cid:durableId="952631731">
    <w:abstractNumId w:val="112"/>
  </w:num>
  <w:num w:numId="29" w16cid:durableId="1768697596">
    <w:abstractNumId w:val="20"/>
  </w:num>
  <w:num w:numId="30" w16cid:durableId="818808748">
    <w:abstractNumId w:val="90"/>
  </w:num>
  <w:num w:numId="31" w16cid:durableId="1155757459">
    <w:abstractNumId w:val="34"/>
  </w:num>
  <w:num w:numId="32" w16cid:durableId="1625380101">
    <w:abstractNumId w:val="21"/>
  </w:num>
  <w:num w:numId="33" w16cid:durableId="240451695">
    <w:abstractNumId w:val="108"/>
  </w:num>
  <w:num w:numId="34" w16cid:durableId="84226687">
    <w:abstractNumId w:val="59"/>
  </w:num>
  <w:num w:numId="35" w16cid:durableId="355473388">
    <w:abstractNumId w:val="13"/>
  </w:num>
  <w:num w:numId="36" w16cid:durableId="212154914">
    <w:abstractNumId w:val="47"/>
  </w:num>
  <w:num w:numId="37" w16cid:durableId="910189766">
    <w:abstractNumId w:val="5"/>
  </w:num>
  <w:num w:numId="38" w16cid:durableId="1962416606">
    <w:abstractNumId w:val="111"/>
  </w:num>
  <w:num w:numId="39" w16cid:durableId="179978573">
    <w:abstractNumId w:val="60"/>
  </w:num>
  <w:num w:numId="40" w16cid:durableId="1584337711">
    <w:abstractNumId w:val="73"/>
  </w:num>
  <w:num w:numId="41" w16cid:durableId="2010012206">
    <w:abstractNumId w:val="119"/>
  </w:num>
  <w:num w:numId="42" w16cid:durableId="1514997189">
    <w:abstractNumId w:val="107"/>
  </w:num>
  <w:num w:numId="43" w16cid:durableId="1961373603">
    <w:abstractNumId w:val="50"/>
  </w:num>
  <w:num w:numId="44" w16cid:durableId="1774589882">
    <w:abstractNumId w:val="89"/>
  </w:num>
  <w:num w:numId="45" w16cid:durableId="64378750">
    <w:abstractNumId w:val="40"/>
  </w:num>
  <w:num w:numId="46" w16cid:durableId="546114649">
    <w:abstractNumId w:val="45"/>
  </w:num>
  <w:num w:numId="47" w16cid:durableId="2086223087">
    <w:abstractNumId w:val="118"/>
  </w:num>
  <w:num w:numId="48" w16cid:durableId="175267379">
    <w:abstractNumId w:val="80"/>
  </w:num>
  <w:num w:numId="49" w16cid:durableId="1001471636">
    <w:abstractNumId w:val="32"/>
  </w:num>
  <w:num w:numId="50" w16cid:durableId="1113524071">
    <w:abstractNumId w:val="67"/>
  </w:num>
  <w:num w:numId="51" w16cid:durableId="123929315">
    <w:abstractNumId w:val="101"/>
  </w:num>
  <w:num w:numId="52" w16cid:durableId="1067218553">
    <w:abstractNumId w:val="55"/>
  </w:num>
  <w:num w:numId="53" w16cid:durableId="2097434435">
    <w:abstractNumId w:val="49"/>
  </w:num>
  <w:num w:numId="54" w16cid:durableId="1207335080">
    <w:abstractNumId w:val="54"/>
  </w:num>
  <w:num w:numId="55" w16cid:durableId="1741977195">
    <w:abstractNumId w:val="23"/>
  </w:num>
  <w:num w:numId="56" w16cid:durableId="923802565">
    <w:abstractNumId w:val="77"/>
  </w:num>
  <w:num w:numId="57" w16cid:durableId="1764645748">
    <w:abstractNumId w:val="52"/>
  </w:num>
  <w:num w:numId="58" w16cid:durableId="419061759">
    <w:abstractNumId w:val="114"/>
  </w:num>
  <w:num w:numId="59" w16cid:durableId="325865429">
    <w:abstractNumId w:val="65"/>
  </w:num>
  <w:num w:numId="60" w16cid:durableId="2139835356">
    <w:abstractNumId w:val="94"/>
  </w:num>
  <w:num w:numId="61" w16cid:durableId="1954631572">
    <w:abstractNumId w:val="30"/>
  </w:num>
  <w:num w:numId="62" w16cid:durableId="656500637">
    <w:abstractNumId w:val="29"/>
  </w:num>
  <w:num w:numId="63" w16cid:durableId="850951106">
    <w:abstractNumId w:val="123"/>
  </w:num>
  <w:num w:numId="64" w16cid:durableId="458501307">
    <w:abstractNumId w:val="63"/>
  </w:num>
  <w:num w:numId="65" w16cid:durableId="95709953">
    <w:abstractNumId w:val="78"/>
  </w:num>
  <w:num w:numId="66" w16cid:durableId="1937783169">
    <w:abstractNumId w:val="84"/>
  </w:num>
  <w:num w:numId="67" w16cid:durableId="241112121">
    <w:abstractNumId w:val="106"/>
  </w:num>
  <w:num w:numId="68" w16cid:durableId="1809473693">
    <w:abstractNumId w:val="74"/>
  </w:num>
  <w:num w:numId="69" w16cid:durableId="684985919">
    <w:abstractNumId w:val="22"/>
  </w:num>
  <w:num w:numId="70" w16cid:durableId="816646833">
    <w:abstractNumId w:val="38"/>
  </w:num>
  <w:num w:numId="71" w16cid:durableId="974330464">
    <w:abstractNumId w:val="122"/>
  </w:num>
  <w:num w:numId="72" w16cid:durableId="1534733141">
    <w:abstractNumId w:val="9"/>
  </w:num>
  <w:num w:numId="73" w16cid:durableId="1517235800">
    <w:abstractNumId w:val="82"/>
  </w:num>
  <w:num w:numId="74" w16cid:durableId="1278760042">
    <w:abstractNumId w:val="70"/>
  </w:num>
  <w:num w:numId="75" w16cid:durableId="310330190">
    <w:abstractNumId w:val="18"/>
  </w:num>
  <w:num w:numId="76" w16cid:durableId="1816945388">
    <w:abstractNumId w:val="61"/>
  </w:num>
  <w:num w:numId="77" w16cid:durableId="43524808">
    <w:abstractNumId w:val="95"/>
  </w:num>
  <w:num w:numId="78" w16cid:durableId="109664764">
    <w:abstractNumId w:val="44"/>
  </w:num>
  <w:num w:numId="79" w16cid:durableId="1648129059">
    <w:abstractNumId w:val="75"/>
  </w:num>
  <w:num w:numId="80" w16cid:durableId="529346016">
    <w:abstractNumId w:val="91"/>
  </w:num>
  <w:num w:numId="81" w16cid:durableId="951327061">
    <w:abstractNumId w:val="4"/>
  </w:num>
  <w:num w:numId="82" w16cid:durableId="1727339699">
    <w:abstractNumId w:val="43"/>
  </w:num>
  <w:num w:numId="83" w16cid:durableId="607741193">
    <w:abstractNumId w:val="98"/>
  </w:num>
  <w:num w:numId="84" w16cid:durableId="1695839596">
    <w:abstractNumId w:val="105"/>
  </w:num>
  <w:num w:numId="85" w16cid:durableId="1125348998">
    <w:abstractNumId w:val="124"/>
  </w:num>
  <w:num w:numId="86" w16cid:durableId="845218571">
    <w:abstractNumId w:val="48"/>
  </w:num>
  <w:num w:numId="87" w16cid:durableId="1572958294">
    <w:abstractNumId w:val="110"/>
  </w:num>
  <w:num w:numId="88" w16cid:durableId="1917739960">
    <w:abstractNumId w:val="57"/>
  </w:num>
  <w:num w:numId="89" w16cid:durableId="480511712">
    <w:abstractNumId w:val="104"/>
  </w:num>
  <w:num w:numId="90" w16cid:durableId="2004772801">
    <w:abstractNumId w:val="26"/>
  </w:num>
  <w:num w:numId="91" w16cid:durableId="839007048">
    <w:abstractNumId w:val="2"/>
  </w:num>
  <w:num w:numId="92" w16cid:durableId="1614938755">
    <w:abstractNumId w:val="6"/>
  </w:num>
  <w:num w:numId="93" w16cid:durableId="216011185">
    <w:abstractNumId w:val="53"/>
  </w:num>
  <w:num w:numId="94" w16cid:durableId="854852982">
    <w:abstractNumId w:val="113"/>
  </w:num>
  <w:num w:numId="95" w16cid:durableId="1270969168">
    <w:abstractNumId w:val="28"/>
  </w:num>
  <w:num w:numId="96" w16cid:durableId="968587293">
    <w:abstractNumId w:val="8"/>
  </w:num>
  <w:num w:numId="97" w16cid:durableId="486285991">
    <w:abstractNumId w:val="103"/>
  </w:num>
  <w:num w:numId="98" w16cid:durableId="712000038">
    <w:abstractNumId w:val="93"/>
  </w:num>
  <w:num w:numId="99" w16cid:durableId="881012845">
    <w:abstractNumId w:val="86"/>
  </w:num>
  <w:num w:numId="100" w16cid:durableId="762651814">
    <w:abstractNumId w:val="66"/>
  </w:num>
  <w:num w:numId="101" w16cid:durableId="860316383">
    <w:abstractNumId w:val="19"/>
  </w:num>
  <w:num w:numId="102" w16cid:durableId="1878274417">
    <w:abstractNumId w:val="62"/>
  </w:num>
  <w:num w:numId="103" w16cid:durableId="1819960767">
    <w:abstractNumId w:val="41"/>
  </w:num>
  <w:num w:numId="104" w16cid:durableId="500438034">
    <w:abstractNumId w:val="12"/>
  </w:num>
  <w:num w:numId="105" w16cid:durableId="1311447305">
    <w:abstractNumId w:val="79"/>
  </w:num>
  <w:num w:numId="106" w16cid:durableId="76752356">
    <w:abstractNumId w:val="71"/>
  </w:num>
  <w:num w:numId="107" w16cid:durableId="850685562">
    <w:abstractNumId w:val="11"/>
  </w:num>
  <w:num w:numId="108" w16cid:durableId="1683242256">
    <w:abstractNumId w:val="72"/>
  </w:num>
  <w:num w:numId="109" w16cid:durableId="122426823">
    <w:abstractNumId w:val="83"/>
  </w:num>
  <w:num w:numId="110" w16cid:durableId="449512235">
    <w:abstractNumId w:val="51"/>
  </w:num>
  <w:num w:numId="111" w16cid:durableId="749350419">
    <w:abstractNumId w:val="36"/>
  </w:num>
  <w:num w:numId="112" w16cid:durableId="1267882073">
    <w:abstractNumId w:val="96"/>
  </w:num>
  <w:num w:numId="113" w16cid:durableId="1878852074">
    <w:abstractNumId w:val="87"/>
  </w:num>
  <w:num w:numId="114" w16cid:durableId="1768962573">
    <w:abstractNumId w:val="115"/>
  </w:num>
  <w:num w:numId="115" w16cid:durableId="1706758537">
    <w:abstractNumId w:val="100"/>
  </w:num>
  <w:num w:numId="116" w16cid:durableId="1745372234">
    <w:abstractNumId w:val="3"/>
  </w:num>
  <w:num w:numId="117" w16cid:durableId="1015234227">
    <w:abstractNumId w:val="46"/>
  </w:num>
  <w:num w:numId="118" w16cid:durableId="588776037">
    <w:abstractNumId w:val="121"/>
  </w:num>
  <w:num w:numId="119" w16cid:durableId="2104177907">
    <w:abstractNumId w:val="58"/>
  </w:num>
  <w:num w:numId="120" w16cid:durableId="667289972">
    <w:abstractNumId w:val="7"/>
  </w:num>
  <w:num w:numId="121" w16cid:durableId="702555140">
    <w:abstractNumId w:val="69"/>
  </w:num>
  <w:num w:numId="122" w16cid:durableId="590816494">
    <w:abstractNumId w:val="97"/>
  </w:num>
  <w:num w:numId="123" w16cid:durableId="1483614606">
    <w:abstractNumId w:val="102"/>
  </w:num>
  <w:num w:numId="124" w16cid:durableId="1221135674">
    <w:abstractNumId w:val="31"/>
  </w:num>
  <w:num w:numId="125" w16cid:durableId="610744620">
    <w:abstractNumId w:val="24"/>
  </w:num>
  <w:num w:numId="126" w16cid:durableId="1865245169">
    <w:abstractNumId w:val="15"/>
  </w:num>
  <w:num w:numId="127" w16cid:durableId="537160818">
    <w:abstractNumId w:val="1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905"/>
    <w:rsid w:val="000000FF"/>
    <w:rsid w:val="0000054D"/>
    <w:rsid w:val="000007D5"/>
    <w:rsid w:val="00000952"/>
    <w:rsid w:val="00000E39"/>
    <w:rsid w:val="00001207"/>
    <w:rsid w:val="000014A0"/>
    <w:rsid w:val="00001B57"/>
    <w:rsid w:val="0000269D"/>
    <w:rsid w:val="00002807"/>
    <w:rsid w:val="00002CE2"/>
    <w:rsid w:val="00002E58"/>
    <w:rsid w:val="0000336D"/>
    <w:rsid w:val="00003524"/>
    <w:rsid w:val="00004054"/>
    <w:rsid w:val="0000460E"/>
    <w:rsid w:val="00004628"/>
    <w:rsid w:val="000046B4"/>
    <w:rsid w:val="00004864"/>
    <w:rsid w:val="00004B1C"/>
    <w:rsid w:val="00004D02"/>
    <w:rsid w:val="000053C2"/>
    <w:rsid w:val="00005477"/>
    <w:rsid w:val="0000568D"/>
    <w:rsid w:val="00005792"/>
    <w:rsid w:val="00005848"/>
    <w:rsid w:val="0000649D"/>
    <w:rsid w:val="00006BD7"/>
    <w:rsid w:val="000070D4"/>
    <w:rsid w:val="000108FD"/>
    <w:rsid w:val="000115E9"/>
    <w:rsid w:val="00011784"/>
    <w:rsid w:val="00011AAC"/>
    <w:rsid w:val="0001250E"/>
    <w:rsid w:val="00012520"/>
    <w:rsid w:val="00012642"/>
    <w:rsid w:val="00013130"/>
    <w:rsid w:val="000135D0"/>
    <w:rsid w:val="00013886"/>
    <w:rsid w:val="00013C98"/>
    <w:rsid w:val="00014A10"/>
    <w:rsid w:val="00014C1C"/>
    <w:rsid w:val="00015355"/>
    <w:rsid w:val="0001572C"/>
    <w:rsid w:val="00015BE7"/>
    <w:rsid w:val="00015E7D"/>
    <w:rsid w:val="0001706B"/>
    <w:rsid w:val="00017B2E"/>
    <w:rsid w:val="00017DC2"/>
    <w:rsid w:val="00020AB5"/>
    <w:rsid w:val="00020D53"/>
    <w:rsid w:val="00021062"/>
    <w:rsid w:val="00022710"/>
    <w:rsid w:val="00022883"/>
    <w:rsid w:val="00023064"/>
    <w:rsid w:val="00023198"/>
    <w:rsid w:val="00023944"/>
    <w:rsid w:val="0002399A"/>
    <w:rsid w:val="00023D47"/>
    <w:rsid w:val="00024311"/>
    <w:rsid w:val="00024820"/>
    <w:rsid w:val="00024E16"/>
    <w:rsid w:val="00024E6D"/>
    <w:rsid w:val="000256FA"/>
    <w:rsid w:val="00025B29"/>
    <w:rsid w:val="00025BED"/>
    <w:rsid w:val="00025D75"/>
    <w:rsid w:val="0002603F"/>
    <w:rsid w:val="00027F50"/>
    <w:rsid w:val="0003071B"/>
    <w:rsid w:val="00030C01"/>
    <w:rsid w:val="000312F8"/>
    <w:rsid w:val="00031B2F"/>
    <w:rsid w:val="00031DC5"/>
    <w:rsid w:val="0003228B"/>
    <w:rsid w:val="0003237E"/>
    <w:rsid w:val="00032B1D"/>
    <w:rsid w:val="00032F0D"/>
    <w:rsid w:val="00033D9E"/>
    <w:rsid w:val="00034445"/>
    <w:rsid w:val="00034747"/>
    <w:rsid w:val="00034E76"/>
    <w:rsid w:val="0003527E"/>
    <w:rsid w:val="0003543B"/>
    <w:rsid w:val="00035CE5"/>
    <w:rsid w:val="00036444"/>
    <w:rsid w:val="00036B57"/>
    <w:rsid w:val="00036B8D"/>
    <w:rsid w:val="00037504"/>
    <w:rsid w:val="00037864"/>
    <w:rsid w:val="00037E5D"/>
    <w:rsid w:val="00040500"/>
    <w:rsid w:val="00040673"/>
    <w:rsid w:val="00040D96"/>
    <w:rsid w:val="00041002"/>
    <w:rsid w:val="0004128D"/>
    <w:rsid w:val="00042C6F"/>
    <w:rsid w:val="00042F15"/>
    <w:rsid w:val="00042F3A"/>
    <w:rsid w:val="00043760"/>
    <w:rsid w:val="00043B9A"/>
    <w:rsid w:val="0004403B"/>
    <w:rsid w:val="00044467"/>
    <w:rsid w:val="00044BDA"/>
    <w:rsid w:val="00044F54"/>
    <w:rsid w:val="00044F7C"/>
    <w:rsid w:val="000455C6"/>
    <w:rsid w:val="00045B20"/>
    <w:rsid w:val="00045C16"/>
    <w:rsid w:val="000468A7"/>
    <w:rsid w:val="00046904"/>
    <w:rsid w:val="00046AF6"/>
    <w:rsid w:val="00046B81"/>
    <w:rsid w:val="00046F43"/>
    <w:rsid w:val="00047012"/>
    <w:rsid w:val="00047743"/>
    <w:rsid w:val="00047745"/>
    <w:rsid w:val="0005008C"/>
    <w:rsid w:val="000504C0"/>
    <w:rsid w:val="00050D22"/>
    <w:rsid w:val="00050E25"/>
    <w:rsid w:val="000510B3"/>
    <w:rsid w:val="000514CD"/>
    <w:rsid w:val="000516B0"/>
    <w:rsid w:val="000518E8"/>
    <w:rsid w:val="00051C06"/>
    <w:rsid w:val="00051D5A"/>
    <w:rsid w:val="00051E3E"/>
    <w:rsid w:val="00051F0F"/>
    <w:rsid w:val="00051F6E"/>
    <w:rsid w:val="00052023"/>
    <w:rsid w:val="000521E9"/>
    <w:rsid w:val="0005261A"/>
    <w:rsid w:val="00052678"/>
    <w:rsid w:val="0005278A"/>
    <w:rsid w:val="000528D5"/>
    <w:rsid w:val="00052EDE"/>
    <w:rsid w:val="00053024"/>
    <w:rsid w:val="0005308F"/>
    <w:rsid w:val="00053153"/>
    <w:rsid w:val="0005315C"/>
    <w:rsid w:val="0005471C"/>
    <w:rsid w:val="00054B57"/>
    <w:rsid w:val="00054BEB"/>
    <w:rsid w:val="0005523E"/>
    <w:rsid w:val="000560F1"/>
    <w:rsid w:val="0005663A"/>
    <w:rsid w:val="00056B16"/>
    <w:rsid w:val="00057352"/>
    <w:rsid w:val="0005739F"/>
    <w:rsid w:val="0005780D"/>
    <w:rsid w:val="00057E43"/>
    <w:rsid w:val="0006000D"/>
    <w:rsid w:val="00060561"/>
    <w:rsid w:val="00060627"/>
    <w:rsid w:val="00060C85"/>
    <w:rsid w:val="00060EAB"/>
    <w:rsid w:val="00060EDE"/>
    <w:rsid w:val="0006117E"/>
    <w:rsid w:val="00061AD5"/>
    <w:rsid w:val="00061DA4"/>
    <w:rsid w:val="00062B56"/>
    <w:rsid w:val="00062BF5"/>
    <w:rsid w:val="00063536"/>
    <w:rsid w:val="00063557"/>
    <w:rsid w:val="00063C99"/>
    <w:rsid w:val="0006521F"/>
    <w:rsid w:val="00065C24"/>
    <w:rsid w:val="000664FC"/>
    <w:rsid w:val="00066DD2"/>
    <w:rsid w:val="00066E17"/>
    <w:rsid w:val="00066F5F"/>
    <w:rsid w:val="0006751C"/>
    <w:rsid w:val="000678A1"/>
    <w:rsid w:val="00067E28"/>
    <w:rsid w:val="000706B3"/>
    <w:rsid w:val="00070E25"/>
    <w:rsid w:val="00070FF1"/>
    <w:rsid w:val="000711F6"/>
    <w:rsid w:val="0007123C"/>
    <w:rsid w:val="000712D6"/>
    <w:rsid w:val="00071375"/>
    <w:rsid w:val="000715A6"/>
    <w:rsid w:val="00071BF6"/>
    <w:rsid w:val="00071E2E"/>
    <w:rsid w:val="000721AA"/>
    <w:rsid w:val="00072224"/>
    <w:rsid w:val="00072DE1"/>
    <w:rsid w:val="0007376D"/>
    <w:rsid w:val="00073D2A"/>
    <w:rsid w:val="0007403C"/>
    <w:rsid w:val="00074749"/>
    <w:rsid w:val="00074ADA"/>
    <w:rsid w:val="00075C87"/>
    <w:rsid w:val="00075E51"/>
    <w:rsid w:val="00076F2A"/>
    <w:rsid w:val="00076F7D"/>
    <w:rsid w:val="000778C4"/>
    <w:rsid w:val="00080154"/>
    <w:rsid w:val="000806B8"/>
    <w:rsid w:val="00080AB1"/>
    <w:rsid w:val="00080B53"/>
    <w:rsid w:val="00081D60"/>
    <w:rsid w:val="00081DA7"/>
    <w:rsid w:val="00081DC3"/>
    <w:rsid w:val="00082036"/>
    <w:rsid w:val="000822DA"/>
    <w:rsid w:val="000824BF"/>
    <w:rsid w:val="0008333B"/>
    <w:rsid w:val="00083E65"/>
    <w:rsid w:val="000844E2"/>
    <w:rsid w:val="00084B62"/>
    <w:rsid w:val="00084EA7"/>
    <w:rsid w:val="00085883"/>
    <w:rsid w:val="0008590A"/>
    <w:rsid w:val="00085D61"/>
    <w:rsid w:val="00085F25"/>
    <w:rsid w:val="00086EBB"/>
    <w:rsid w:val="000873CE"/>
    <w:rsid w:val="0008743F"/>
    <w:rsid w:val="0009012E"/>
    <w:rsid w:val="000902A8"/>
    <w:rsid w:val="000905D9"/>
    <w:rsid w:val="00090AF3"/>
    <w:rsid w:val="00090CC2"/>
    <w:rsid w:val="0009178E"/>
    <w:rsid w:val="00091A9E"/>
    <w:rsid w:val="00092D2F"/>
    <w:rsid w:val="00093AA8"/>
    <w:rsid w:val="00093E77"/>
    <w:rsid w:val="00093E89"/>
    <w:rsid w:val="000940EC"/>
    <w:rsid w:val="000944DA"/>
    <w:rsid w:val="000945BB"/>
    <w:rsid w:val="000951D3"/>
    <w:rsid w:val="0009566C"/>
    <w:rsid w:val="00095D25"/>
    <w:rsid w:val="00095E90"/>
    <w:rsid w:val="00096180"/>
    <w:rsid w:val="000964EE"/>
    <w:rsid w:val="000965D9"/>
    <w:rsid w:val="00097F39"/>
    <w:rsid w:val="000A0BDF"/>
    <w:rsid w:val="000A0CD9"/>
    <w:rsid w:val="000A137E"/>
    <w:rsid w:val="000A21FE"/>
    <w:rsid w:val="000A2252"/>
    <w:rsid w:val="000A32E4"/>
    <w:rsid w:val="000A383B"/>
    <w:rsid w:val="000A3F53"/>
    <w:rsid w:val="000A40EB"/>
    <w:rsid w:val="000A45D3"/>
    <w:rsid w:val="000A4C95"/>
    <w:rsid w:val="000A4D63"/>
    <w:rsid w:val="000A50DE"/>
    <w:rsid w:val="000A6287"/>
    <w:rsid w:val="000A636E"/>
    <w:rsid w:val="000A6395"/>
    <w:rsid w:val="000A6C47"/>
    <w:rsid w:val="000A708F"/>
    <w:rsid w:val="000A7645"/>
    <w:rsid w:val="000A778F"/>
    <w:rsid w:val="000A7A18"/>
    <w:rsid w:val="000A7BA5"/>
    <w:rsid w:val="000B0308"/>
    <w:rsid w:val="000B03DC"/>
    <w:rsid w:val="000B0440"/>
    <w:rsid w:val="000B04EA"/>
    <w:rsid w:val="000B0B36"/>
    <w:rsid w:val="000B16C8"/>
    <w:rsid w:val="000B19DF"/>
    <w:rsid w:val="000B1DED"/>
    <w:rsid w:val="000B1E2E"/>
    <w:rsid w:val="000B1ED3"/>
    <w:rsid w:val="000B1F8F"/>
    <w:rsid w:val="000B2144"/>
    <w:rsid w:val="000B235A"/>
    <w:rsid w:val="000B2D2C"/>
    <w:rsid w:val="000B37B4"/>
    <w:rsid w:val="000B3C18"/>
    <w:rsid w:val="000B3DCB"/>
    <w:rsid w:val="000B3E13"/>
    <w:rsid w:val="000B4956"/>
    <w:rsid w:val="000B4E86"/>
    <w:rsid w:val="000B5276"/>
    <w:rsid w:val="000B5835"/>
    <w:rsid w:val="000B58B7"/>
    <w:rsid w:val="000B5AC2"/>
    <w:rsid w:val="000B5DA7"/>
    <w:rsid w:val="000B6BE5"/>
    <w:rsid w:val="000B717D"/>
    <w:rsid w:val="000B783D"/>
    <w:rsid w:val="000B79DE"/>
    <w:rsid w:val="000B7B60"/>
    <w:rsid w:val="000C10D7"/>
    <w:rsid w:val="000C1337"/>
    <w:rsid w:val="000C1534"/>
    <w:rsid w:val="000C1553"/>
    <w:rsid w:val="000C1E83"/>
    <w:rsid w:val="000C216F"/>
    <w:rsid w:val="000C27E9"/>
    <w:rsid w:val="000C3B61"/>
    <w:rsid w:val="000C41C1"/>
    <w:rsid w:val="000C523B"/>
    <w:rsid w:val="000C57FF"/>
    <w:rsid w:val="000C59E5"/>
    <w:rsid w:val="000C59FD"/>
    <w:rsid w:val="000C625E"/>
    <w:rsid w:val="000C6278"/>
    <w:rsid w:val="000C6925"/>
    <w:rsid w:val="000C763E"/>
    <w:rsid w:val="000C7D3F"/>
    <w:rsid w:val="000D06A1"/>
    <w:rsid w:val="000D0F17"/>
    <w:rsid w:val="000D18FB"/>
    <w:rsid w:val="000D1F26"/>
    <w:rsid w:val="000D2127"/>
    <w:rsid w:val="000D2159"/>
    <w:rsid w:val="000D2414"/>
    <w:rsid w:val="000D2934"/>
    <w:rsid w:val="000D2F81"/>
    <w:rsid w:val="000D3011"/>
    <w:rsid w:val="000D3D1B"/>
    <w:rsid w:val="000D4D55"/>
    <w:rsid w:val="000D4E38"/>
    <w:rsid w:val="000D5D23"/>
    <w:rsid w:val="000D6451"/>
    <w:rsid w:val="000D6E65"/>
    <w:rsid w:val="000D7587"/>
    <w:rsid w:val="000D7B70"/>
    <w:rsid w:val="000D7C9C"/>
    <w:rsid w:val="000D7F24"/>
    <w:rsid w:val="000E000B"/>
    <w:rsid w:val="000E0032"/>
    <w:rsid w:val="000E0EAE"/>
    <w:rsid w:val="000E1559"/>
    <w:rsid w:val="000E1A6C"/>
    <w:rsid w:val="000E1E7F"/>
    <w:rsid w:val="000E27A5"/>
    <w:rsid w:val="000E320E"/>
    <w:rsid w:val="000E40F4"/>
    <w:rsid w:val="000E410C"/>
    <w:rsid w:val="000E4334"/>
    <w:rsid w:val="000E47A3"/>
    <w:rsid w:val="000E4BC1"/>
    <w:rsid w:val="000E50AB"/>
    <w:rsid w:val="000E5800"/>
    <w:rsid w:val="000E650B"/>
    <w:rsid w:val="000E689B"/>
    <w:rsid w:val="000E6E25"/>
    <w:rsid w:val="000E7568"/>
    <w:rsid w:val="000E7A49"/>
    <w:rsid w:val="000E7B47"/>
    <w:rsid w:val="000F00A7"/>
    <w:rsid w:val="000F00E7"/>
    <w:rsid w:val="000F0494"/>
    <w:rsid w:val="000F0F3F"/>
    <w:rsid w:val="000F165D"/>
    <w:rsid w:val="000F1F13"/>
    <w:rsid w:val="000F2214"/>
    <w:rsid w:val="000F24CC"/>
    <w:rsid w:val="000F2D48"/>
    <w:rsid w:val="000F3951"/>
    <w:rsid w:val="000F3A4A"/>
    <w:rsid w:val="000F3AC9"/>
    <w:rsid w:val="000F3E86"/>
    <w:rsid w:val="000F3F33"/>
    <w:rsid w:val="000F4571"/>
    <w:rsid w:val="000F4B3D"/>
    <w:rsid w:val="000F4BBE"/>
    <w:rsid w:val="000F5219"/>
    <w:rsid w:val="000F529F"/>
    <w:rsid w:val="000F576E"/>
    <w:rsid w:val="000F57A3"/>
    <w:rsid w:val="000F5B63"/>
    <w:rsid w:val="000F5C34"/>
    <w:rsid w:val="000F6285"/>
    <w:rsid w:val="000F774F"/>
    <w:rsid w:val="0010001E"/>
    <w:rsid w:val="00100A52"/>
    <w:rsid w:val="00101FD7"/>
    <w:rsid w:val="0010211D"/>
    <w:rsid w:val="00102574"/>
    <w:rsid w:val="00102C83"/>
    <w:rsid w:val="00102D7C"/>
    <w:rsid w:val="00102ED0"/>
    <w:rsid w:val="00102FA0"/>
    <w:rsid w:val="00102FFA"/>
    <w:rsid w:val="001032C5"/>
    <w:rsid w:val="001036F9"/>
    <w:rsid w:val="0010403F"/>
    <w:rsid w:val="00104C21"/>
    <w:rsid w:val="00104C8D"/>
    <w:rsid w:val="00104CE6"/>
    <w:rsid w:val="00104E01"/>
    <w:rsid w:val="001051DD"/>
    <w:rsid w:val="00106AE5"/>
    <w:rsid w:val="00106CE9"/>
    <w:rsid w:val="00106DBC"/>
    <w:rsid w:val="00107047"/>
    <w:rsid w:val="0010725B"/>
    <w:rsid w:val="00107639"/>
    <w:rsid w:val="0010768E"/>
    <w:rsid w:val="00107C0C"/>
    <w:rsid w:val="00107F09"/>
    <w:rsid w:val="0011004A"/>
    <w:rsid w:val="001107D6"/>
    <w:rsid w:val="00110AAE"/>
    <w:rsid w:val="00110B7E"/>
    <w:rsid w:val="00110C0F"/>
    <w:rsid w:val="00110EBA"/>
    <w:rsid w:val="00111CBB"/>
    <w:rsid w:val="00111E89"/>
    <w:rsid w:val="00112EF1"/>
    <w:rsid w:val="00113949"/>
    <w:rsid w:val="00113DF1"/>
    <w:rsid w:val="00113EB7"/>
    <w:rsid w:val="00114188"/>
    <w:rsid w:val="00114286"/>
    <w:rsid w:val="00114CC8"/>
    <w:rsid w:val="00115B09"/>
    <w:rsid w:val="00115F8C"/>
    <w:rsid w:val="00116A10"/>
    <w:rsid w:val="001170A9"/>
    <w:rsid w:val="00120336"/>
    <w:rsid w:val="001206D6"/>
    <w:rsid w:val="00120E73"/>
    <w:rsid w:val="001218B6"/>
    <w:rsid w:val="00121EA5"/>
    <w:rsid w:val="00121ED3"/>
    <w:rsid w:val="0012225A"/>
    <w:rsid w:val="00122475"/>
    <w:rsid w:val="00123418"/>
    <w:rsid w:val="001234B9"/>
    <w:rsid w:val="001239CA"/>
    <w:rsid w:val="0012428D"/>
    <w:rsid w:val="001246DC"/>
    <w:rsid w:val="001248BE"/>
    <w:rsid w:val="00124B07"/>
    <w:rsid w:val="00124DC8"/>
    <w:rsid w:val="00124F33"/>
    <w:rsid w:val="001254C4"/>
    <w:rsid w:val="00125A7F"/>
    <w:rsid w:val="00125BA6"/>
    <w:rsid w:val="001260D6"/>
    <w:rsid w:val="001262D8"/>
    <w:rsid w:val="0012638C"/>
    <w:rsid w:val="001267B4"/>
    <w:rsid w:val="00126C12"/>
    <w:rsid w:val="0012783A"/>
    <w:rsid w:val="001301EA"/>
    <w:rsid w:val="00130B6A"/>
    <w:rsid w:val="00130C2B"/>
    <w:rsid w:val="00130CE9"/>
    <w:rsid w:val="00131CE6"/>
    <w:rsid w:val="001327A7"/>
    <w:rsid w:val="00132B6D"/>
    <w:rsid w:val="00132D7F"/>
    <w:rsid w:val="001338F1"/>
    <w:rsid w:val="00133E87"/>
    <w:rsid w:val="001344A9"/>
    <w:rsid w:val="00134A9F"/>
    <w:rsid w:val="00134CB4"/>
    <w:rsid w:val="00134D00"/>
    <w:rsid w:val="00134DA4"/>
    <w:rsid w:val="0013521F"/>
    <w:rsid w:val="00135239"/>
    <w:rsid w:val="00135352"/>
    <w:rsid w:val="001363B9"/>
    <w:rsid w:val="001367A6"/>
    <w:rsid w:val="00136F1D"/>
    <w:rsid w:val="00136F6E"/>
    <w:rsid w:val="001374E6"/>
    <w:rsid w:val="0013773A"/>
    <w:rsid w:val="00137B98"/>
    <w:rsid w:val="00137DAC"/>
    <w:rsid w:val="00137F95"/>
    <w:rsid w:val="00140936"/>
    <w:rsid w:val="00140C3D"/>
    <w:rsid w:val="001414BC"/>
    <w:rsid w:val="001416F8"/>
    <w:rsid w:val="00141945"/>
    <w:rsid w:val="00141BF7"/>
    <w:rsid w:val="001429CF"/>
    <w:rsid w:val="00142E85"/>
    <w:rsid w:val="0014303E"/>
    <w:rsid w:val="00143EB5"/>
    <w:rsid w:val="00143FC3"/>
    <w:rsid w:val="001441F1"/>
    <w:rsid w:val="001444BE"/>
    <w:rsid w:val="0014492D"/>
    <w:rsid w:val="00144B21"/>
    <w:rsid w:val="00144D93"/>
    <w:rsid w:val="00145012"/>
    <w:rsid w:val="00145740"/>
    <w:rsid w:val="0014591C"/>
    <w:rsid w:val="00145B78"/>
    <w:rsid w:val="00145CF2"/>
    <w:rsid w:val="00146821"/>
    <w:rsid w:val="00146A93"/>
    <w:rsid w:val="00146BD2"/>
    <w:rsid w:val="00146CD7"/>
    <w:rsid w:val="00147593"/>
    <w:rsid w:val="00147621"/>
    <w:rsid w:val="0014787D"/>
    <w:rsid w:val="00147A38"/>
    <w:rsid w:val="00147FB4"/>
    <w:rsid w:val="00150324"/>
    <w:rsid w:val="0015064F"/>
    <w:rsid w:val="00150E90"/>
    <w:rsid w:val="00151393"/>
    <w:rsid w:val="00151523"/>
    <w:rsid w:val="00151607"/>
    <w:rsid w:val="00151C5E"/>
    <w:rsid w:val="001521C2"/>
    <w:rsid w:val="001527B2"/>
    <w:rsid w:val="00152D02"/>
    <w:rsid w:val="00152D9B"/>
    <w:rsid w:val="00153AF0"/>
    <w:rsid w:val="00153DF4"/>
    <w:rsid w:val="001542E1"/>
    <w:rsid w:val="0015445D"/>
    <w:rsid w:val="00154961"/>
    <w:rsid w:val="001551E6"/>
    <w:rsid w:val="00155BBE"/>
    <w:rsid w:val="00156824"/>
    <w:rsid w:val="00156A2A"/>
    <w:rsid w:val="00156BBA"/>
    <w:rsid w:val="0015738E"/>
    <w:rsid w:val="0015766A"/>
    <w:rsid w:val="00160254"/>
    <w:rsid w:val="001606D5"/>
    <w:rsid w:val="00160BC0"/>
    <w:rsid w:val="00160EC6"/>
    <w:rsid w:val="001623EF"/>
    <w:rsid w:val="0016241C"/>
    <w:rsid w:val="0016329A"/>
    <w:rsid w:val="00163A1F"/>
    <w:rsid w:val="00163F4C"/>
    <w:rsid w:val="0016429C"/>
    <w:rsid w:val="001643CF"/>
    <w:rsid w:val="00164907"/>
    <w:rsid w:val="00164F00"/>
    <w:rsid w:val="0016532B"/>
    <w:rsid w:val="0016541A"/>
    <w:rsid w:val="00165B8A"/>
    <w:rsid w:val="001662F9"/>
    <w:rsid w:val="0016635D"/>
    <w:rsid w:val="001664AD"/>
    <w:rsid w:val="00166C65"/>
    <w:rsid w:val="00166F9A"/>
    <w:rsid w:val="00167620"/>
    <w:rsid w:val="00167F2A"/>
    <w:rsid w:val="001703A2"/>
    <w:rsid w:val="001714F5"/>
    <w:rsid w:val="00171CB1"/>
    <w:rsid w:val="00171D56"/>
    <w:rsid w:val="00172591"/>
    <w:rsid w:val="00172689"/>
    <w:rsid w:val="00172966"/>
    <w:rsid w:val="00172B5B"/>
    <w:rsid w:val="00172F0B"/>
    <w:rsid w:val="001731F9"/>
    <w:rsid w:val="00173441"/>
    <w:rsid w:val="00173BAA"/>
    <w:rsid w:val="00173CFC"/>
    <w:rsid w:val="00174248"/>
    <w:rsid w:val="001742BB"/>
    <w:rsid w:val="00174529"/>
    <w:rsid w:val="00174C7D"/>
    <w:rsid w:val="00175066"/>
    <w:rsid w:val="00175C26"/>
    <w:rsid w:val="00177090"/>
    <w:rsid w:val="0017779C"/>
    <w:rsid w:val="00177845"/>
    <w:rsid w:val="00177C30"/>
    <w:rsid w:val="00180333"/>
    <w:rsid w:val="00180493"/>
    <w:rsid w:val="00180576"/>
    <w:rsid w:val="001805EE"/>
    <w:rsid w:val="00181844"/>
    <w:rsid w:val="00181A20"/>
    <w:rsid w:val="00182776"/>
    <w:rsid w:val="00182938"/>
    <w:rsid w:val="00182EBF"/>
    <w:rsid w:val="00183581"/>
    <w:rsid w:val="00183F50"/>
    <w:rsid w:val="0018439A"/>
    <w:rsid w:val="00184719"/>
    <w:rsid w:val="001854E1"/>
    <w:rsid w:val="001861EE"/>
    <w:rsid w:val="001864C7"/>
    <w:rsid w:val="00186A7D"/>
    <w:rsid w:val="00187098"/>
    <w:rsid w:val="0018736A"/>
    <w:rsid w:val="001903EF"/>
    <w:rsid w:val="001903F3"/>
    <w:rsid w:val="00190494"/>
    <w:rsid w:val="0019052E"/>
    <w:rsid w:val="001907BB"/>
    <w:rsid w:val="00190857"/>
    <w:rsid w:val="00190C22"/>
    <w:rsid w:val="00190CFF"/>
    <w:rsid w:val="00190F63"/>
    <w:rsid w:val="00191AF3"/>
    <w:rsid w:val="0019240F"/>
    <w:rsid w:val="00192EE1"/>
    <w:rsid w:val="00193E68"/>
    <w:rsid w:val="0019463B"/>
    <w:rsid w:val="001948C9"/>
    <w:rsid w:val="00194B88"/>
    <w:rsid w:val="00194D20"/>
    <w:rsid w:val="0019513B"/>
    <w:rsid w:val="001953BE"/>
    <w:rsid w:val="00196170"/>
    <w:rsid w:val="001965F5"/>
    <w:rsid w:val="00196C3B"/>
    <w:rsid w:val="00197260"/>
    <w:rsid w:val="001977F1"/>
    <w:rsid w:val="00197D96"/>
    <w:rsid w:val="00197E99"/>
    <w:rsid w:val="00197FC2"/>
    <w:rsid w:val="001A014D"/>
    <w:rsid w:val="001A1027"/>
    <w:rsid w:val="001A1065"/>
    <w:rsid w:val="001A115E"/>
    <w:rsid w:val="001A1982"/>
    <w:rsid w:val="001A1F67"/>
    <w:rsid w:val="001A20F6"/>
    <w:rsid w:val="001A2A84"/>
    <w:rsid w:val="001A2AE3"/>
    <w:rsid w:val="001A2D98"/>
    <w:rsid w:val="001A2DA3"/>
    <w:rsid w:val="001A320F"/>
    <w:rsid w:val="001A344C"/>
    <w:rsid w:val="001A35AD"/>
    <w:rsid w:val="001A541C"/>
    <w:rsid w:val="001A55F0"/>
    <w:rsid w:val="001A561D"/>
    <w:rsid w:val="001A5C8E"/>
    <w:rsid w:val="001A5EB9"/>
    <w:rsid w:val="001A5F08"/>
    <w:rsid w:val="001A6052"/>
    <w:rsid w:val="001A6219"/>
    <w:rsid w:val="001A6718"/>
    <w:rsid w:val="001A6813"/>
    <w:rsid w:val="001A6B13"/>
    <w:rsid w:val="001A7909"/>
    <w:rsid w:val="001A7970"/>
    <w:rsid w:val="001A7AB2"/>
    <w:rsid w:val="001A7EFA"/>
    <w:rsid w:val="001B0478"/>
    <w:rsid w:val="001B078F"/>
    <w:rsid w:val="001B07D1"/>
    <w:rsid w:val="001B0CAB"/>
    <w:rsid w:val="001B18C9"/>
    <w:rsid w:val="001B1EEF"/>
    <w:rsid w:val="001B2387"/>
    <w:rsid w:val="001B266C"/>
    <w:rsid w:val="001B2B75"/>
    <w:rsid w:val="001B2C16"/>
    <w:rsid w:val="001B3141"/>
    <w:rsid w:val="001B3631"/>
    <w:rsid w:val="001B3D70"/>
    <w:rsid w:val="001B44E5"/>
    <w:rsid w:val="001B4E21"/>
    <w:rsid w:val="001B58C0"/>
    <w:rsid w:val="001B65F5"/>
    <w:rsid w:val="001B6CC8"/>
    <w:rsid w:val="001B6D98"/>
    <w:rsid w:val="001B75F7"/>
    <w:rsid w:val="001C04AF"/>
    <w:rsid w:val="001C0882"/>
    <w:rsid w:val="001C0987"/>
    <w:rsid w:val="001C0D49"/>
    <w:rsid w:val="001C104F"/>
    <w:rsid w:val="001C2CF1"/>
    <w:rsid w:val="001C2D09"/>
    <w:rsid w:val="001C3528"/>
    <w:rsid w:val="001C35C3"/>
    <w:rsid w:val="001C38C5"/>
    <w:rsid w:val="001C4375"/>
    <w:rsid w:val="001C4917"/>
    <w:rsid w:val="001C4F42"/>
    <w:rsid w:val="001C54E4"/>
    <w:rsid w:val="001C5785"/>
    <w:rsid w:val="001C5877"/>
    <w:rsid w:val="001C5AFE"/>
    <w:rsid w:val="001C5DA2"/>
    <w:rsid w:val="001C5EF3"/>
    <w:rsid w:val="001C63E0"/>
    <w:rsid w:val="001C6F67"/>
    <w:rsid w:val="001C6F6E"/>
    <w:rsid w:val="001C73D5"/>
    <w:rsid w:val="001C7C78"/>
    <w:rsid w:val="001C7E83"/>
    <w:rsid w:val="001C7F37"/>
    <w:rsid w:val="001D0037"/>
    <w:rsid w:val="001D0425"/>
    <w:rsid w:val="001D0882"/>
    <w:rsid w:val="001D0F61"/>
    <w:rsid w:val="001D25CE"/>
    <w:rsid w:val="001D2703"/>
    <w:rsid w:val="001D28D0"/>
    <w:rsid w:val="001D2C5A"/>
    <w:rsid w:val="001D2F2A"/>
    <w:rsid w:val="001D3428"/>
    <w:rsid w:val="001D3680"/>
    <w:rsid w:val="001D37C3"/>
    <w:rsid w:val="001D3C0B"/>
    <w:rsid w:val="001D40FD"/>
    <w:rsid w:val="001D484E"/>
    <w:rsid w:val="001D4D0C"/>
    <w:rsid w:val="001D548B"/>
    <w:rsid w:val="001D5F09"/>
    <w:rsid w:val="001D680A"/>
    <w:rsid w:val="001D6836"/>
    <w:rsid w:val="001D7A09"/>
    <w:rsid w:val="001D7DD4"/>
    <w:rsid w:val="001D7DDF"/>
    <w:rsid w:val="001E1055"/>
    <w:rsid w:val="001E172E"/>
    <w:rsid w:val="001E1B17"/>
    <w:rsid w:val="001E2066"/>
    <w:rsid w:val="001E25AF"/>
    <w:rsid w:val="001E2CBB"/>
    <w:rsid w:val="001E2F29"/>
    <w:rsid w:val="001E31EE"/>
    <w:rsid w:val="001E4131"/>
    <w:rsid w:val="001E46CE"/>
    <w:rsid w:val="001E5743"/>
    <w:rsid w:val="001E57C2"/>
    <w:rsid w:val="001E6E4F"/>
    <w:rsid w:val="001E78AA"/>
    <w:rsid w:val="001F0384"/>
    <w:rsid w:val="001F0DCE"/>
    <w:rsid w:val="001F0DF9"/>
    <w:rsid w:val="001F0F38"/>
    <w:rsid w:val="001F0F50"/>
    <w:rsid w:val="001F1403"/>
    <w:rsid w:val="001F21FD"/>
    <w:rsid w:val="001F2696"/>
    <w:rsid w:val="001F2768"/>
    <w:rsid w:val="001F35AC"/>
    <w:rsid w:val="001F35EF"/>
    <w:rsid w:val="001F3B73"/>
    <w:rsid w:val="001F41B3"/>
    <w:rsid w:val="001F450A"/>
    <w:rsid w:val="001F451D"/>
    <w:rsid w:val="001F462D"/>
    <w:rsid w:val="001F47C4"/>
    <w:rsid w:val="001F4832"/>
    <w:rsid w:val="001F4EF5"/>
    <w:rsid w:val="001F5497"/>
    <w:rsid w:val="001F55C8"/>
    <w:rsid w:val="001F56EF"/>
    <w:rsid w:val="001F5B22"/>
    <w:rsid w:val="001F5BF6"/>
    <w:rsid w:val="001F685A"/>
    <w:rsid w:val="001F6888"/>
    <w:rsid w:val="001F6B16"/>
    <w:rsid w:val="001F6D42"/>
    <w:rsid w:val="001F7869"/>
    <w:rsid w:val="002004CB"/>
    <w:rsid w:val="002005D2"/>
    <w:rsid w:val="002006BC"/>
    <w:rsid w:val="0020114B"/>
    <w:rsid w:val="00201A2F"/>
    <w:rsid w:val="00202217"/>
    <w:rsid w:val="002022D1"/>
    <w:rsid w:val="00202B7F"/>
    <w:rsid w:val="002036AB"/>
    <w:rsid w:val="00203D5E"/>
    <w:rsid w:val="00204420"/>
    <w:rsid w:val="002046D5"/>
    <w:rsid w:val="00204F2E"/>
    <w:rsid w:val="0020529A"/>
    <w:rsid w:val="002055BF"/>
    <w:rsid w:val="00205967"/>
    <w:rsid w:val="00205A91"/>
    <w:rsid w:val="00206417"/>
    <w:rsid w:val="00206427"/>
    <w:rsid w:val="002064E3"/>
    <w:rsid w:val="00206504"/>
    <w:rsid w:val="00210233"/>
    <w:rsid w:val="0021039E"/>
    <w:rsid w:val="00210463"/>
    <w:rsid w:val="002109BE"/>
    <w:rsid w:val="00210DA5"/>
    <w:rsid w:val="0021194F"/>
    <w:rsid w:val="00212706"/>
    <w:rsid w:val="00212907"/>
    <w:rsid w:val="00212C7B"/>
    <w:rsid w:val="00212CD7"/>
    <w:rsid w:val="00213599"/>
    <w:rsid w:val="00213AF5"/>
    <w:rsid w:val="002142D1"/>
    <w:rsid w:val="00214FF3"/>
    <w:rsid w:val="00215235"/>
    <w:rsid w:val="00215295"/>
    <w:rsid w:val="002152F4"/>
    <w:rsid w:val="00215BBE"/>
    <w:rsid w:val="00217111"/>
    <w:rsid w:val="00217A4E"/>
    <w:rsid w:val="00217E72"/>
    <w:rsid w:val="00220931"/>
    <w:rsid w:val="00220D98"/>
    <w:rsid w:val="00220EF0"/>
    <w:rsid w:val="00221239"/>
    <w:rsid w:val="00221824"/>
    <w:rsid w:val="00221850"/>
    <w:rsid w:val="00221DE2"/>
    <w:rsid w:val="002225F5"/>
    <w:rsid w:val="002227C8"/>
    <w:rsid w:val="00223394"/>
    <w:rsid w:val="00223448"/>
    <w:rsid w:val="002238FF"/>
    <w:rsid w:val="00223F97"/>
    <w:rsid w:val="002244E8"/>
    <w:rsid w:val="002249A2"/>
    <w:rsid w:val="002249B2"/>
    <w:rsid w:val="00224FEA"/>
    <w:rsid w:val="002253E5"/>
    <w:rsid w:val="0022641F"/>
    <w:rsid w:val="00226BE5"/>
    <w:rsid w:val="00226D5D"/>
    <w:rsid w:val="00227567"/>
    <w:rsid w:val="00227E6E"/>
    <w:rsid w:val="00230038"/>
    <w:rsid w:val="002301DC"/>
    <w:rsid w:val="00230F32"/>
    <w:rsid w:val="002313FB"/>
    <w:rsid w:val="00231A0B"/>
    <w:rsid w:val="00231D89"/>
    <w:rsid w:val="002321EE"/>
    <w:rsid w:val="002322FB"/>
    <w:rsid w:val="0023268A"/>
    <w:rsid w:val="00232741"/>
    <w:rsid w:val="0023356A"/>
    <w:rsid w:val="00233DB1"/>
    <w:rsid w:val="00234003"/>
    <w:rsid w:val="00234225"/>
    <w:rsid w:val="002342B6"/>
    <w:rsid w:val="002347DB"/>
    <w:rsid w:val="00234EF8"/>
    <w:rsid w:val="0023512E"/>
    <w:rsid w:val="00235EDD"/>
    <w:rsid w:val="0023607C"/>
    <w:rsid w:val="0023699B"/>
    <w:rsid w:val="002374B6"/>
    <w:rsid w:val="0024019A"/>
    <w:rsid w:val="00240434"/>
    <w:rsid w:val="0024044E"/>
    <w:rsid w:val="002406BE"/>
    <w:rsid w:val="00240A35"/>
    <w:rsid w:val="00240B70"/>
    <w:rsid w:val="00240C93"/>
    <w:rsid w:val="00240E8E"/>
    <w:rsid w:val="0024182D"/>
    <w:rsid w:val="00241C7C"/>
    <w:rsid w:val="00242172"/>
    <w:rsid w:val="0024250C"/>
    <w:rsid w:val="00242AB6"/>
    <w:rsid w:val="00242DDC"/>
    <w:rsid w:val="00242E3A"/>
    <w:rsid w:val="00243436"/>
    <w:rsid w:val="00243DEC"/>
    <w:rsid w:val="00244220"/>
    <w:rsid w:val="002444E2"/>
    <w:rsid w:val="002445F9"/>
    <w:rsid w:val="002447B4"/>
    <w:rsid w:val="0024497E"/>
    <w:rsid w:val="0024517D"/>
    <w:rsid w:val="0024523E"/>
    <w:rsid w:val="00245588"/>
    <w:rsid w:val="002465CE"/>
    <w:rsid w:val="00246758"/>
    <w:rsid w:val="00246CE9"/>
    <w:rsid w:val="00246E7D"/>
    <w:rsid w:val="00246F13"/>
    <w:rsid w:val="00247438"/>
    <w:rsid w:val="00250275"/>
    <w:rsid w:val="0025079A"/>
    <w:rsid w:val="002509A8"/>
    <w:rsid w:val="00250F30"/>
    <w:rsid w:val="002513FC"/>
    <w:rsid w:val="00251619"/>
    <w:rsid w:val="00251B06"/>
    <w:rsid w:val="002524BA"/>
    <w:rsid w:val="00252B9B"/>
    <w:rsid w:val="00252C7B"/>
    <w:rsid w:val="00252FDE"/>
    <w:rsid w:val="00253163"/>
    <w:rsid w:val="002533A3"/>
    <w:rsid w:val="00253DDE"/>
    <w:rsid w:val="00253EB9"/>
    <w:rsid w:val="002543F2"/>
    <w:rsid w:val="00254ACE"/>
    <w:rsid w:val="002554AB"/>
    <w:rsid w:val="00255BBE"/>
    <w:rsid w:val="002569FA"/>
    <w:rsid w:val="00256C65"/>
    <w:rsid w:val="00257194"/>
    <w:rsid w:val="002573AD"/>
    <w:rsid w:val="002578B6"/>
    <w:rsid w:val="00257947"/>
    <w:rsid w:val="00257E6F"/>
    <w:rsid w:val="0026006E"/>
    <w:rsid w:val="00260092"/>
    <w:rsid w:val="0026039C"/>
    <w:rsid w:val="002616E4"/>
    <w:rsid w:val="00261E36"/>
    <w:rsid w:val="00261EBF"/>
    <w:rsid w:val="0026213D"/>
    <w:rsid w:val="0026232E"/>
    <w:rsid w:val="00262889"/>
    <w:rsid w:val="002628E0"/>
    <w:rsid w:val="00262D87"/>
    <w:rsid w:val="00263344"/>
    <w:rsid w:val="00263DA7"/>
    <w:rsid w:val="00264097"/>
    <w:rsid w:val="0026450A"/>
    <w:rsid w:val="002645FF"/>
    <w:rsid w:val="00264E7F"/>
    <w:rsid w:val="00264FBB"/>
    <w:rsid w:val="00265552"/>
    <w:rsid w:val="00265B6F"/>
    <w:rsid w:val="00266862"/>
    <w:rsid w:val="00266F6C"/>
    <w:rsid w:val="002677D9"/>
    <w:rsid w:val="00267B1C"/>
    <w:rsid w:val="00267BF8"/>
    <w:rsid w:val="002700B8"/>
    <w:rsid w:val="002701A5"/>
    <w:rsid w:val="00270A8D"/>
    <w:rsid w:val="00270B18"/>
    <w:rsid w:val="002716F5"/>
    <w:rsid w:val="00271871"/>
    <w:rsid w:val="00271CE5"/>
    <w:rsid w:val="00271EC3"/>
    <w:rsid w:val="002724B7"/>
    <w:rsid w:val="002725B2"/>
    <w:rsid w:val="002725D1"/>
    <w:rsid w:val="00272880"/>
    <w:rsid w:val="002729E4"/>
    <w:rsid w:val="0027311D"/>
    <w:rsid w:val="00273285"/>
    <w:rsid w:val="00273308"/>
    <w:rsid w:val="002738B0"/>
    <w:rsid w:val="00273FAD"/>
    <w:rsid w:val="002742E8"/>
    <w:rsid w:val="00274745"/>
    <w:rsid w:val="002747E4"/>
    <w:rsid w:val="00274C48"/>
    <w:rsid w:val="00274CE7"/>
    <w:rsid w:val="00274D69"/>
    <w:rsid w:val="00275296"/>
    <w:rsid w:val="002753F1"/>
    <w:rsid w:val="002755C3"/>
    <w:rsid w:val="00275C65"/>
    <w:rsid w:val="00275FB1"/>
    <w:rsid w:val="00276266"/>
    <w:rsid w:val="002764CC"/>
    <w:rsid w:val="002769CB"/>
    <w:rsid w:val="00276CA5"/>
    <w:rsid w:val="00277292"/>
    <w:rsid w:val="0027775C"/>
    <w:rsid w:val="00277FA6"/>
    <w:rsid w:val="002804B9"/>
    <w:rsid w:val="00280B00"/>
    <w:rsid w:val="002812C0"/>
    <w:rsid w:val="00281AC0"/>
    <w:rsid w:val="00281B09"/>
    <w:rsid w:val="00282089"/>
    <w:rsid w:val="002822D6"/>
    <w:rsid w:val="002823FF"/>
    <w:rsid w:val="0028254B"/>
    <w:rsid w:val="002832AF"/>
    <w:rsid w:val="0028349E"/>
    <w:rsid w:val="002837AE"/>
    <w:rsid w:val="002837F9"/>
    <w:rsid w:val="0028458C"/>
    <w:rsid w:val="00285353"/>
    <w:rsid w:val="00285C7F"/>
    <w:rsid w:val="00285CB3"/>
    <w:rsid w:val="0028635B"/>
    <w:rsid w:val="00286662"/>
    <w:rsid w:val="00287A79"/>
    <w:rsid w:val="00290264"/>
    <w:rsid w:val="00290440"/>
    <w:rsid w:val="00290451"/>
    <w:rsid w:val="00290554"/>
    <w:rsid w:val="002906A5"/>
    <w:rsid w:val="00290815"/>
    <w:rsid w:val="00290877"/>
    <w:rsid w:val="00290AB6"/>
    <w:rsid w:val="00290B7B"/>
    <w:rsid w:val="00291054"/>
    <w:rsid w:val="00292A4F"/>
    <w:rsid w:val="00293065"/>
    <w:rsid w:val="00293200"/>
    <w:rsid w:val="002932A7"/>
    <w:rsid w:val="0029361F"/>
    <w:rsid w:val="00293B60"/>
    <w:rsid w:val="00293BA8"/>
    <w:rsid w:val="00293DB1"/>
    <w:rsid w:val="002945F9"/>
    <w:rsid w:val="00294726"/>
    <w:rsid w:val="00294E6E"/>
    <w:rsid w:val="00294E78"/>
    <w:rsid w:val="002955C7"/>
    <w:rsid w:val="00295D82"/>
    <w:rsid w:val="002962EC"/>
    <w:rsid w:val="002962EE"/>
    <w:rsid w:val="0029649F"/>
    <w:rsid w:val="00296989"/>
    <w:rsid w:val="0029705B"/>
    <w:rsid w:val="0029727D"/>
    <w:rsid w:val="002977E3"/>
    <w:rsid w:val="00297A1A"/>
    <w:rsid w:val="002A0971"/>
    <w:rsid w:val="002A0A3B"/>
    <w:rsid w:val="002A0D2E"/>
    <w:rsid w:val="002A0E8D"/>
    <w:rsid w:val="002A0EC4"/>
    <w:rsid w:val="002A0FB3"/>
    <w:rsid w:val="002A1815"/>
    <w:rsid w:val="002A1AC3"/>
    <w:rsid w:val="002A1BD1"/>
    <w:rsid w:val="002A2238"/>
    <w:rsid w:val="002A24E1"/>
    <w:rsid w:val="002A27A8"/>
    <w:rsid w:val="002A284F"/>
    <w:rsid w:val="002A2BB4"/>
    <w:rsid w:val="002A389B"/>
    <w:rsid w:val="002A41C8"/>
    <w:rsid w:val="002A4389"/>
    <w:rsid w:val="002A452B"/>
    <w:rsid w:val="002A4CFC"/>
    <w:rsid w:val="002A4DFB"/>
    <w:rsid w:val="002A4E10"/>
    <w:rsid w:val="002A5979"/>
    <w:rsid w:val="002A6CA9"/>
    <w:rsid w:val="002A6EE3"/>
    <w:rsid w:val="002A707C"/>
    <w:rsid w:val="002A7738"/>
    <w:rsid w:val="002A7ADA"/>
    <w:rsid w:val="002B00DA"/>
    <w:rsid w:val="002B0811"/>
    <w:rsid w:val="002B08C0"/>
    <w:rsid w:val="002B096B"/>
    <w:rsid w:val="002B0A1E"/>
    <w:rsid w:val="002B14FB"/>
    <w:rsid w:val="002B160E"/>
    <w:rsid w:val="002B1700"/>
    <w:rsid w:val="002B1732"/>
    <w:rsid w:val="002B1E86"/>
    <w:rsid w:val="002B20AC"/>
    <w:rsid w:val="002B2341"/>
    <w:rsid w:val="002B2E90"/>
    <w:rsid w:val="002B3139"/>
    <w:rsid w:val="002B34A3"/>
    <w:rsid w:val="002B3BFC"/>
    <w:rsid w:val="002B3C70"/>
    <w:rsid w:val="002B3CC9"/>
    <w:rsid w:val="002B3F79"/>
    <w:rsid w:val="002B4844"/>
    <w:rsid w:val="002B4B69"/>
    <w:rsid w:val="002B50D8"/>
    <w:rsid w:val="002B5415"/>
    <w:rsid w:val="002B548E"/>
    <w:rsid w:val="002B6A1B"/>
    <w:rsid w:val="002B7664"/>
    <w:rsid w:val="002B76CF"/>
    <w:rsid w:val="002B779B"/>
    <w:rsid w:val="002B7A26"/>
    <w:rsid w:val="002B7C04"/>
    <w:rsid w:val="002C0172"/>
    <w:rsid w:val="002C06B5"/>
    <w:rsid w:val="002C185E"/>
    <w:rsid w:val="002C1D58"/>
    <w:rsid w:val="002C2249"/>
    <w:rsid w:val="002C2411"/>
    <w:rsid w:val="002C2941"/>
    <w:rsid w:val="002C3169"/>
    <w:rsid w:val="002C34E2"/>
    <w:rsid w:val="002C3B56"/>
    <w:rsid w:val="002C4585"/>
    <w:rsid w:val="002C499B"/>
    <w:rsid w:val="002C562F"/>
    <w:rsid w:val="002C5737"/>
    <w:rsid w:val="002C57CE"/>
    <w:rsid w:val="002C5F4F"/>
    <w:rsid w:val="002C63F1"/>
    <w:rsid w:val="002C6A99"/>
    <w:rsid w:val="002C6FDF"/>
    <w:rsid w:val="002C7747"/>
    <w:rsid w:val="002C7A00"/>
    <w:rsid w:val="002D0415"/>
    <w:rsid w:val="002D0458"/>
    <w:rsid w:val="002D077F"/>
    <w:rsid w:val="002D1439"/>
    <w:rsid w:val="002D15FB"/>
    <w:rsid w:val="002D2F72"/>
    <w:rsid w:val="002D3857"/>
    <w:rsid w:val="002D3C39"/>
    <w:rsid w:val="002D42FC"/>
    <w:rsid w:val="002D480E"/>
    <w:rsid w:val="002D532B"/>
    <w:rsid w:val="002D55EF"/>
    <w:rsid w:val="002D599B"/>
    <w:rsid w:val="002D6209"/>
    <w:rsid w:val="002D6399"/>
    <w:rsid w:val="002D64E9"/>
    <w:rsid w:val="002D64F7"/>
    <w:rsid w:val="002D6DF4"/>
    <w:rsid w:val="002D7183"/>
    <w:rsid w:val="002D73D4"/>
    <w:rsid w:val="002D743D"/>
    <w:rsid w:val="002D7F05"/>
    <w:rsid w:val="002D7FAA"/>
    <w:rsid w:val="002E0B66"/>
    <w:rsid w:val="002E1091"/>
    <w:rsid w:val="002E1172"/>
    <w:rsid w:val="002E1620"/>
    <w:rsid w:val="002E1A1C"/>
    <w:rsid w:val="002E2185"/>
    <w:rsid w:val="002E2C3A"/>
    <w:rsid w:val="002E2F5F"/>
    <w:rsid w:val="002E3398"/>
    <w:rsid w:val="002E39DF"/>
    <w:rsid w:val="002E45AE"/>
    <w:rsid w:val="002E466C"/>
    <w:rsid w:val="002E50F1"/>
    <w:rsid w:val="002E5E80"/>
    <w:rsid w:val="002E5F4C"/>
    <w:rsid w:val="002E69B1"/>
    <w:rsid w:val="002E7117"/>
    <w:rsid w:val="002E737C"/>
    <w:rsid w:val="002E73B4"/>
    <w:rsid w:val="002F086F"/>
    <w:rsid w:val="002F0948"/>
    <w:rsid w:val="002F0D47"/>
    <w:rsid w:val="002F1270"/>
    <w:rsid w:val="002F1498"/>
    <w:rsid w:val="002F1644"/>
    <w:rsid w:val="002F1A1F"/>
    <w:rsid w:val="002F1F3A"/>
    <w:rsid w:val="002F202D"/>
    <w:rsid w:val="002F2780"/>
    <w:rsid w:val="002F30E1"/>
    <w:rsid w:val="002F3609"/>
    <w:rsid w:val="002F3B3C"/>
    <w:rsid w:val="002F4317"/>
    <w:rsid w:val="002F4336"/>
    <w:rsid w:val="002F45BD"/>
    <w:rsid w:val="002F47E5"/>
    <w:rsid w:val="002F4BEB"/>
    <w:rsid w:val="002F5519"/>
    <w:rsid w:val="002F588A"/>
    <w:rsid w:val="002F5F2E"/>
    <w:rsid w:val="002F5F39"/>
    <w:rsid w:val="002F64AD"/>
    <w:rsid w:val="002F6DB0"/>
    <w:rsid w:val="002F6F9F"/>
    <w:rsid w:val="002F7917"/>
    <w:rsid w:val="003006DB"/>
    <w:rsid w:val="00300DE2"/>
    <w:rsid w:val="0030190E"/>
    <w:rsid w:val="003028A0"/>
    <w:rsid w:val="003028CA"/>
    <w:rsid w:val="00302B4D"/>
    <w:rsid w:val="00302D85"/>
    <w:rsid w:val="00302FAE"/>
    <w:rsid w:val="00303986"/>
    <w:rsid w:val="00303E58"/>
    <w:rsid w:val="003045C5"/>
    <w:rsid w:val="00304B3A"/>
    <w:rsid w:val="00304E4D"/>
    <w:rsid w:val="00305A89"/>
    <w:rsid w:val="003062D8"/>
    <w:rsid w:val="00306B62"/>
    <w:rsid w:val="00306C05"/>
    <w:rsid w:val="00306E38"/>
    <w:rsid w:val="00306F60"/>
    <w:rsid w:val="0030755F"/>
    <w:rsid w:val="00307561"/>
    <w:rsid w:val="00307AF0"/>
    <w:rsid w:val="00310192"/>
    <w:rsid w:val="00310ABD"/>
    <w:rsid w:val="00310AF8"/>
    <w:rsid w:val="0031130F"/>
    <w:rsid w:val="00311913"/>
    <w:rsid w:val="00311955"/>
    <w:rsid w:val="00312725"/>
    <w:rsid w:val="003127C0"/>
    <w:rsid w:val="003138C9"/>
    <w:rsid w:val="00313F7D"/>
    <w:rsid w:val="003149BB"/>
    <w:rsid w:val="00314C73"/>
    <w:rsid w:val="00314CAB"/>
    <w:rsid w:val="0031544A"/>
    <w:rsid w:val="003154F7"/>
    <w:rsid w:val="0031576D"/>
    <w:rsid w:val="003162E5"/>
    <w:rsid w:val="003170EA"/>
    <w:rsid w:val="00317304"/>
    <w:rsid w:val="003178D5"/>
    <w:rsid w:val="00317A2F"/>
    <w:rsid w:val="00317AE9"/>
    <w:rsid w:val="00317D61"/>
    <w:rsid w:val="0032043B"/>
    <w:rsid w:val="00320DEE"/>
    <w:rsid w:val="00321325"/>
    <w:rsid w:val="003214AA"/>
    <w:rsid w:val="0032209A"/>
    <w:rsid w:val="003225B3"/>
    <w:rsid w:val="00322E91"/>
    <w:rsid w:val="00323369"/>
    <w:rsid w:val="003233A4"/>
    <w:rsid w:val="003235D3"/>
    <w:rsid w:val="00323CDC"/>
    <w:rsid w:val="00323CF4"/>
    <w:rsid w:val="0032463B"/>
    <w:rsid w:val="003258BC"/>
    <w:rsid w:val="00325A4C"/>
    <w:rsid w:val="00325D4A"/>
    <w:rsid w:val="00325D82"/>
    <w:rsid w:val="0032614F"/>
    <w:rsid w:val="00326998"/>
    <w:rsid w:val="00326C86"/>
    <w:rsid w:val="00327282"/>
    <w:rsid w:val="0032745E"/>
    <w:rsid w:val="0032789D"/>
    <w:rsid w:val="00327C2D"/>
    <w:rsid w:val="0032BF40"/>
    <w:rsid w:val="003300CA"/>
    <w:rsid w:val="0033011D"/>
    <w:rsid w:val="003302D1"/>
    <w:rsid w:val="00330768"/>
    <w:rsid w:val="00330CD6"/>
    <w:rsid w:val="00330D43"/>
    <w:rsid w:val="00330FE3"/>
    <w:rsid w:val="0033102A"/>
    <w:rsid w:val="0033135C"/>
    <w:rsid w:val="00331923"/>
    <w:rsid w:val="00332867"/>
    <w:rsid w:val="00332B7B"/>
    <w:rsid w:val="00332D74"/>
    <w:rsid w:val="00332E47"/>
    <w:rsid w:val="00333433"/>
    <w:rsid w:val="00333483"/>
    <w:rsid w:val="00333E92"/>
    <w:rsid w:val="00334285"/>
    <w:rsid w:val="003347A0"/>
    <w:rsid w:val="0033526B"/>
    <w:rsid w:val="00335333"/>
    <w:rsid w:val="003359D6"/>
    <w:rsid w:val="00335DF6"/>
    <w:rsid w:val="0033639B"/>
    <w:rsid w:val="003365A6"/>
    <w:rsid w:val="00336B87"/>
    <w:rsid w:val="00336C16"/>
    <w:rsid w:val="00337559"/>
    <w:rsid w:val="00337B9A"/>
    <w:rsid w:val="00337BC0"/>
    <w:rsid w:val="00337D81"/>
    <w:rsid w:val="0034011D"/>
    <w:rsid w:val="003403C5"/>
    <w:rsid w:val="00340CCD"/>
    <w:rsid w:val="00341899"/>
    <w:rsid w:val="00341C97"/>
    <w:rsid w:val="00342242"/>
    <w:rsid w:val="003431AE"/>
    <w:rsid w:val="00344286"/>
    <w:rsid w:val="00344705"/>
    <w:rsid w:val="00344B58"/>
    <w:rsid w:val="00344BC6"/>
    <w:rsid w:val="003455C9"/>
    <w:rsid w:val="003456FB"/>
    <w:rsid w:val="00346CEE"/>
    <w:rsid w:val="00347107"/>
    <w:rsid w:val="003473D1"/>
    <w:rsid w:val="00347915"/>
    <w:rsid w:val="0034798B"/>
    <w:rsid w:val="00347CBF"/>
    <w:rsid w:val="003504BE"/>
    <w:rsid w:val="00350D84"/>
    <w:rsid w:val="00350E1F"/>
    <w:rsid w:val="00351339"/>
    <w:rsid w:val="003513E1"/>
    <w:rsid w:val="003523A5"/>
    <w:rsid w:val="00352B78"/>
    <w:rsid w:val="00352EB7"/>
    <w:rsid w:val="0035356E"/>
    <w:rsid w:val="00354655"/>
    <w:rsid w:val="003548B5"/>
    <w:rsid w:val="00354B0D"/>
    <w:rsid w:val="00355FEA"/>
    <w:rsid w:val="003567EA"/>
    <w:rsid w:val="00356867"/>
    <w:rsid w:val="00357FAB"/>
    <w:rsid w:val="0036033A"/>
    <w:rsid w:val="003605D8"/>
    <w:rsid w:val="0036066F"/>
    <w:rsid w:val="00360A4A"/>
    <w:rsid w:val="00360CCB"/>
    <w:rsid w:val="00361463"/>
    <w:rsid w:val="00361D7E"/>
    <w:rsid w:val="003620A2"/>
    <w:rsid w:val="0036241B"/>
    <w:rsid w:val="00363993"/>
    <w:rsid w:val="00364052"/>
    <w:rsid w:val="00364188"/>
    <w:rsid w:val="0036427C"/>
    <w:rsid w:val="003642D4"/>
    <w:rsid w:val="00364402"/>
    <w:rsid w:val="00364965"/>
    <w:rsid w:val="00365888"/>
    <w:rsid w:val="00367425"/>
    <w:rsid w:val="00367488"/>
    <w:rsid w:val="003674EF"/>
    <w:rsid w:val="003679FF"/>
    <w:rsid w:val="00367A00"/>
    <w:rsid w:val="00370092"/>
    <w:rsid w:val="00370AAE"/>
    <w:rsid w:val="00371547"/>
    <w:rsid w:val="0037166F"/>
    <w:rsid w:val="0037175B"/>
    <w:rsid w:val="003719BC"/>
    <w:rsid w:val="0037200C"/>
    <w:rsid w:val="00373164"/>
    <w:rsid w:val="00373942"/>
    <w:rsid w:val="0037401B"/>
    <w:rsid w:val="0037456F"/>
    <w:rsid w:val="00375746"/>
    <w:rsid w:val="00375C71"/>
    <w:rsid w:val="00375D99"/>
    <w:rsid w:val="00375F30"/>
    <w:rsid w:val="003763F4"/>
    <w:rsid w:val="00376A7E"/>
    <w:rsid w:val="00377D07"/>
    <w:rsid w:val="003801A4"/>
    <w:rsid w:val="0038048A"/>
    <w:rsid w:val="003806F2"/>
    <w:rsid w:val="0038081A"/>
    <w:rsid w:val="00380A27"/>
    <w:rsid w:val="0038157E"/>
    <w:rsid w:val="00381B7A"/>
    <w:rsid w:val="00381E25"/>
    <w:rsid w:val="00382238"/>
    <w:rsid w:val="00382AB3"/>
    <w:rsid w:val="00382DE3"/>
    <w:rsid w:val="00382F05"/>
    <w:rsid w:val="0038352C"/>
    <w:rsid w:val="003838E2"/>
    <w:rsid w:val="00383A03"/>
    <w:rsid w:val="00384338"/>
    <w:rsid w:val="00384A3F"/>
    <w:rsid w:val="00384C7F"/>
    <w:rsid w:val="00384D36"/>
    <w:rsid w:val="0038546C"/>
    <w:rsid w:val="003859FC"/>
    <w:rsid w:val="00385AC5"/>
    <w:rsid w:val="003861FC"/>
    <w:rsid w:val="00386474"/>
    <w:rsid w:val="0038695D"/>
    <w:rsid w:val="003877A4"/>
    <w:rsid w:val="003877C1"/>
    <w:rsid w:val="00387A5A"/>
    <w:rsid w:val="003906BE"/>
    <w:rsid w:val="0039104C"/>
    <w:rsid w:val="00391466"/>
    <w:rsid w:val="0039288A"/>
    <w:rsid w:val="003928CD"/>
    <w:rsid w:val="00393139"/>
    <w:rsid w:val="00393351"/>
    <w:rsid w:val="00393A0E"/>
    <w:rsid w:val="00393D30"/>
    <w:rsid w:val="00394295"/>
    <w:rsid w:val="0039456F"/>
    <w:rsid w:val="0039464E"/>
    <w:rsid w:val="003947B0"/>
    <w:rsid w:val="00394875"/>
    <w:rsid w:val="003956D8"/>
    <w:rsid w:val="0039595A"/>
    <w:rsid w:val="00395BBF"/>
    <w:rsid w:val="00396154"/>
    <w:rsid w:val="003970D2"/>
    <w:rsid w:val="003971A8"/>
    <w:rsid w:val="00397412"/>
    <w:rsid w:val="003A0892"/>
    <w:rsid w:val="003A0CC5"/>
    <w:rsid w:val="003A13AA"/>
    <w:rsid w:val="003A1DF0"/>
    <w:rsid w:val="003A201D"/>
    <w:rsid w:val="003A29DA"/>
    <w:rsid w:val="003A2E33"/>
    <w:rsid w:val="003A3C61"/>
    <w:rsid w:val="003A3E9D"/>
    <w:rsid w:val="003A3F68"/>
    <w:rsid w:val="003A4C24"/>
    <w:rsid w:val="003A5AB7"/>
    <w:rsid w:val="003A5B77"/>
    <w:rsid w:val="003A7214"/>
    <w:rsid w:val="003AAA65"/>
    <w:rsid w:val="003B04A8"/>
    <w:rsid w:val="003B05FC"/>
    <w:rsid w:val="003B071B"/>
    <w:rsid w:val="003B0759"/>
    <w:rsid w:val="003B1176"/>
    <w:rsid w:val="003B1768"/>
    <w:rsid w:val="003B18E6"/>
    <w:rsid w:val="003B1D2C"/>
    <w:rsid w:val="003B2429"/>
    <w:rsid w:val="003B29D7"/>
    <w:rsid w:val="003B37AF"/>
    <w:rsid w:val="003B3EFF"/>
    <w:rsid w:val="003B4076"/>
    <w:rsid w:val="003B45EB"/>
    <w:rsid w:val="003B4D4E"/>
    <w:rsid w:val="003B5077"/>
    <w:rsid w:val="003B5358"/>
    <w:rsid w:val="003B570D"/>
    <w:rsid w:val="003B57FF"/>
    <w:rsid w:val="003B65C8"/>
    <w:rsid w:val="003B6966"/>
    <w:rsid w:val="003B6C9A"/>
    <w:rsid w:val="003B7A6F"/>
    <w:rsid w:val="003B7A74"/>
    <w:rsid w:val="003B7B46"/>
    <w:rsid w:val="003C0518"/>
    <w:rsid w:val="003C0ACF"/>
    <w:rsid w:val="003C0D79"/>
    <w:rsid w:val="003C1B85"/>
    <w:rsid w:val="003C1C67"/>
    <w:rsid w:val="003C22B3"/>
    <w:rsid w:val="003C242F"/>
    <w:rsid w:val="003C269F"/>
    <w:rsid w:val="003C2775"/>
    <w:rsid w:val="003C34D5"/>
    <w:rsid w:val="003C364F"/>
    <w:rsid w:val="003C4249"/>
    <w:rsid w:val="003C4928"/>
    <w:rsid w:val="003C4CAD"/>
    <w:rsid w:val="003C4E9A"/>
    <w:rsid w:val="003C4EF8"/>
    <w:rsid w:val="003C5B6D"/>
    <w:rsid w:val="003C638B"/>
    <w:rsid w:val="003C670F"/>
    <w:rsid w:val="003C689C"/>
    <w:rsid w:val="003C7851"/>
    <w:rsid w:val="003D07E8"/>
    <w:rsid w:val="003D0916"/>
    <w:rsid w:val="003D0C2B"/>
    <w:rsid w:val="003D10DE"/>
    <w:rsid w:val="003D1465"/>
    <w:rsid w:val="003D16CC"/>
    <w:rsid w:val="003D1D52"/>
    <w:rsid w:val="003D287D"/>
    <w:rsid w:val="003D29E9"/>
    <w:rsid w:val="003D2E07"/>
    <w:rsid w:val="003D3383"/>
    <w:rsid w:val="003D3858"/>
    <w:rsid w:val="003D38CB"/>
    <w:rsid w:val="003D396D"/>
    <w:rsid w:val="003D538A"/>
    <w:rsid w:val="003D6395"/>
    <w:rsid w:val="003D6443"/>
    <w:rsid w:val="003D6968"/>
    <w:rsid w:val="003D6CB4"/>
    <w:rsid w:val="003D6D6A"/>
    <w:rsid w:val="003D6F2B"/>
    <w:rsid w:val="003D7625"/>
    <w:rsid w:val="003D7A9A"/>
    <w:rsid w:val="003E10EF"/>
    <w:rsid w:val="003E1167"/>
    <w:rsid w:val="003E1306"/>
    <w:rsid w:val="003E165D"/>
    <w:rsid w:val="003E16AC"/>
    <w:rsid w:val="003E1776"/>
    <w:rsid w:val="003E2762"/>
    <w:rsid w:val="003E3281"/>
    <w:rsid w:val="003E43BB"/>
    <w:rsid w:val="003E4822"/>
    <w:rsid w:val="003E514F"/>
    <w:rsid w:val="003E57DF"/>
    <w:rsid w:val="003E688F"/>
    <w:rsid w:val="003E6CB6"/>
    <w:rsid w:val="003E6E9F"/>
    <w:rsid w:val="003E722F"/>
    <w:rsid w:val="003E74AF"/>
    <w:rsid w:val="003E789A"/>
    <w:rsid w:val="003E7CB6"/>
    <w:rsid w:val="003F01BC"/>
    <w:rsid w:val="003F03F7"/>
    <w:rsid w:val="003F09A5"/>
    <w:rsid w:val="003F0A5A"/>
    <w:rsid w:val="003F0FB3"/>
    <w:rsid w:val="003F169F"/>
    <w:rsid w:val="003F1BCD"/>
    <w:rsid w:val="003F3B9F"/>
    <w:rsid w:val="003F3E25"/>
    <w:rsid w:val="003F457E"/>
    <w:rsid w:val="003F4CDB"/>
    <w:rsid w:val="003F4E9A"/>
    <w:rsid w:val="003F53D5"/>
    <w:rsid w:val="003F5C0D"/>
    <w:rsid w:val="003F5C5B"/>
    <w:rsid w:val="003F6377"/>
    <w:rsid w:val="003F6EC4"/>
    <w:rsid w:val="003F75BB"/>
    <w:rsid w:val="00400006"/>
    <w:rsid w:val="0040033C"/>
    <w:rsid w:val="00401145"/>
    <w:rsid w:val="00401DD1"/>
    <w:rsid w:val="00401E03"/>
    <w:rsid w:val="00401F9D"/>
    <w:rsid w:val="00402D70"/>
    <w:rsid w:val="00403317"/>
    <w:rsid w:val="00403C67"/>
    <w:rsid w:val="0040412C"/>
    <w:rsid w:val="00404671"/>
    <w:rsid w:val="00404A9A"/>
    <w:rsid w:val="00405115"/>
    <w:rsid w:val="00405205"/>
    <w:rsid w:val="004054DE"/>
    <w:rsid w:val="0040656A"/>
    <w:rsid w:val="004069CD"/>
    <w:rsid w:val="004070C3"/>
    <w:rsid w:val="00407652"/>
    <w:rsid w:val="004107AD"/>
    <w:rsid w:val="00410F51"/>
    <w:rsid w:val="00410F8A"/>
    <w:rsid w:val="004112BA"/>
    <w:rsid w:val="0041148D"/>
    <w:rsid w:val="00411702"/>
    <w:rsid w:val="00411901"/>
    <w:rsid w:val="00411CB8"/>
    <w:rsid w:val="00412741"/>
    <w:rsid w:val="004143C2"/>
    <w:rsid w:val="00414A8D"/>
    <w:rsid w:val="00415895"/>
    <w:rsid w:val="0041589E"/>
    <w:rsid w:val="004167E5"/>
    <w:rsid w:val="004168F9"/>
    <w:rsid w:val="00417074"/>
    <w:rsid w:val="00417C6B"/>
    <w:rsid w:val="00417DE2"/>
    <w:rsid w:val="004208FB"/>
    <w:rsid w:val="00420AC8"/>
    <w:rsid w:val="004210CC"/>
    <w:rsid w:val="004213F7"/>
    <w:rsid w:val="004219F4"/>
    <w:rsid w:val="00421D3C"/>
    <w:rsid w:val="00421DE1"/>
    <w:rsid w:val="0042267F"/>
    <w:rsid w:val="0042315B"/>
    <w:rsid w:val="00423407"/>
    <w:rsid w:val="0042378C"/>
    <w:rsid w:val="004241E8"/>
    <w:rsid w:val="00424378"/>
    <w:rsid w:val="0042453B"/>
    <w:rsid w:val="004246CA"/>
    <w:rsid w:val="004250C0"/>
    <w:rsid w:val="0042628A"/>
    <w:rsid w:val="00426580"/>
    <w:rsid w:val="004269D7"/>
    <w:rsid w:val="00426A92"/>
    <w:rsid w:val="00426B11"/>
    <w:rsid w:val="00426BB8"/>
    <w:rsid w:val="00426BC0"/>
    <w:rsid w:val="00427075"/>
    <w:rsid w:val="0042725E"/>
    <w:rsid w:val="004272E5"/>
    <w:rsid w:val="00427304"/>
    <w:rsid w:val="0043001D"/>
    <w:rsid w:val="00430D74"/>
    <w:rsid w:val="00432652"/>
    <w:rsid w:val="00432B60"/>
    <w:rsid w:val="00432D31"/>
    <w:rsid w:val="00432EAF"/>
    <w:rsid w:val="00433208"/>
    <w:rsid w:val="004332E9"/>
    <w:rsid w:val="00433BA5"/>
    <w:rsid w:val="0043466A"/>
    <w:rsid w:val="0043494F"/>
    <w:rsid w:val="004349EC"/>
    <w:rsid w:val="004359BC"/>
    <w:rsid w:val="0043642C"/>
    <w:rsid w:val="00436556"/>
    <w:rsid w:val="00436A5C"/>
    <w:rsid w:val="00436C62"/>
    <w:rsid w:val="00436F37"/>
    <w:rsid w:val="00437EF9"/>
    <w:rsid w:val="004400D2"/>
    <w:rsid w:val="00441C97"/>
    <w:rsid w:val="00442A6B"/>
    <w:rsid w:val="00444369"/>
    <w:rsid w:val="0044450B"/>
    <w:rsid w:val="00444DD6"/>
    <w:rsid w:val="00444E8D"/>
    <w:rsid w:val="004451D2"/>
    <w:rsid w:val="00445353"/>
    <w:rsid w:val="00445D41"/>
    <w:rsid w:val="0044634D"/>
    <w:rsid w:val="00447333"/>
    <w:rsid w:val="00447635"/>
    <w:rsid w:val="00447A95"/>
    <w:rsid w:val="00447B1E"/>
    <w:rsid w:val="00447F1C"/>
    <w:rsid w:val="00450100"/>
    <w:rsid w:val="004505A1"/>
    <w:rsid w:val="004505D9"/>
    <w:rsid w:val="00450FA7"/>
    <w:rsid w:val="0045125F"/>
    <w:rsid w:val="00451A7B"/>
    <w:rsid w:val="00451FFF"/>
    <w:rsid w:val="004530DB"/>
    <w:rsid w:val="004538E5"/>
    <w:rsid w:val="00453C66"/>
    <w:rsid w:val="00454DEE"/>
    <w:rsid w:val="00454F73"/>
    <w:rsid w:val="004552B4"/>
    <w:rsid w:val="00455BFA"/>
    <w:rsid w:val="0045628D"/>
    <w:rsid w:val="00456797"/>
    <w:rsid w:val="00456BD2"/>
    <w:rsid w:val="0045782A"/>
    <w:rsid w:val="004601FA"/>
    <w:rsid w:val="00460703"/>
    <w:rsid w:val="00460913"/>
    <w:rsid w:val="00460D2F"/>
    <w:rsid w:val="00460FEE"/>
    <w:rsid w:val="0046146C"/>
    <w:rsid w:val="0046151E"/>
    <w:rsid w:val="0046169B"/>
    <w:rsid w:val="00461D97"/>
    <w:rsid w:val="00461FB4"/>
    <w:rsid w:val="00462CE8"/>
    <w:rsid w:val="00462E61"/>
    <w:rsid w:val="004633B1"/>
    <w:rsid w:val="00463B01"/>
    <w:rsid w:val="0046509E"/>
    <w:rsid w:val="004650B9"/>
    <w:rsid w:val="00465D97"/>
    <w:rsid w:val="00466864"/>
    <w:rsid w:val="00466C8C"/>
    <w:rsid w:val="00466EF3"/>
    <w:rsid w:val="00467912"/>
    <w:rsid w:val="00470127"/>
    <w:rsid w:val="00470C16"/>
    <w:rsid w:val="004718FA"/>
    <w:rsid w:val="00471992"/>
    <w:rsid w:val="00472170"/>
    <w:rsid w:val="004721F0"/>
    <w:rsid w:val="00472497"/>
    <w:rsid w:val="00472A65"/>
    <w:rsid w:val="00472E29"/>
    <w:rsid w:val="004731C3"/>
    <w:rsid w:val="004734A7"/>
    <w:rsid w:val="00473A0E"/>
    <w:rsid w:val="00473E6E"/>
    <w:rsid w:val="004743BD"/>
    <w:rsid w:val="00474576"/>
    <w:rsid w:val="004746C7"/>
    <w:rsid w:val="00474770"/>
    <w:rsid w:val="00474A83"/>
    <w:rsid w:val="00474B70"/>
    <w:rsid w:val="00474D2C"/>
    <w:rsid w:val="00475053"/>
    <w:rsid w:val="004759ED"/>
    <w:rsid w:val="00475ECC"/>
    <w:rsid w:val="004774B4"/>
    <w:rsid w:val="0047776E"/>
    <w:rsid w:val="0048001E"/>
    <w:rsid w:val="00480318"/>
    <w:rsid w:val="00480EE7"/>
    <w:rsid w:val="00480FBA"/>
    <w:rsid w:val="0048105C"/>
    <w:rsid w:val="004811B8"/>
    <w:rsid w:val="004815D2"/>
    <w:rsid w:val="00481800"/>
    <w:rsid w:val="00482350"/>
    <w:rsid w:val="0048249A"/>
    <w:rsid w:val="00482B4C"/>
    <w:rsid w:val="00483332"/>
    <w:rsid w:val="00483431"/>
    <w:rsid w:val="0048411D"/>
    <w:rsid w:val="0048444E"/>
    <w:rsid w:val="00484665"/>
    <w:rsid w:val="00484D7D"/>
    <w:rsid w:val="00484DFB"/>
    <w:rsid w:val="00485755"/>
    <w:rsid w:val="00485B8A"/>
    <w:rsid w:val="00485C42"/>
    <w:rsid w:val="004862D9"/>
    <w:rsid w:val="00486C12"/>
    <w:rsid w:val="0048716F"/>
    <w:rsid w:val="0048780F"/>
    <w:rsid w:val="00487C40"/>
    <w:rsid w:val="00487ECF"/>
    <w:rsid w:val="004902F7"/>
    <w:rsid w:val="004907E9"/>
    <w:rsid w:val="00490D5C"/>
    <w:rsid w:val="004912DA"/>
    <w:rsid w:val="00493170"/>
    <w:rsid w:val="0049362C"/>
    <w:rsid w:val="00493A0B"/>
    <w:rsid w:val="00493E4F"/>
    <w:rsid w:val="00494369"/>
    <w:rsid w:val="00494E4E"/>
    <w:rsid w:val="0049510C"/>
    <w:rsid w:val="00495311"/>
    <w:rsid w:val="004959B2"/>
    <w:rsid w:val="0049623E"/>
    <w:rsid w:val="00496421"/>
    <w:rsid w:val="004971ED"/>
    <w:rsid w:val="00497360"/>
    <w:rsid w:val="0049741F"/>
    <w:rsid w:val="00497C62"/>
    <w:rsid w:val="00497F7E"/>
    <w:rsid w:val="004A0177"/>
    <w:rsid w:val="004A04F2"/>
    <w:rsid w:val="004A0AA4"/>
    <w:rsid w:val="004A15DE"/>
    <w:rsid w:val="004A16E4"/>
    <w:rsid w:val="004A178B"/>
    <w:rsid w:val="004A1DAB"/>
    <w:rsid w:val="004A2692"/>
    <w:rsid w:val="004A2933"/>
    <w:rsid w:val="004A30D9"/>
    <w:rsid w:val="004A31FB"/>
    <w:rsid w:val="004A357B"/>
    <w:rsid w:val="004A3DF3"/>
    <w:rsid w:val="004A4A43"/>
    <w:rsid w:val="004A4DF7"/>
    <w:rsid w:val="004A6041"/>
    <w:rsid w:val="004A654B"/>
    <w:rsid w:val="004A66C6"/>
    <w:rsid w:val="004A6720"/>
    <w:rsid w:val="004A7074"/>
    <w:rsid w:val="004A73E3"/>
    <w:rsid w:val="004A75DB"/>
    <w:rsid w:val="004A7815"/>
    <w:rsid w:val="004B03BF"/>
    <w:rsid w:val="004B0426"/>
    <w:rsid w:val="004B09A8"/>
    <w:rsid w:val="004B188F"/>
    <w:rsid w:val="004B1DCE"/>
    <w:rsid w:val="004B1E1E"/>
    <w:rsid w:val="004B1E1F"/>
    <w:rsid w:val="004B2133"/>
    <w:rsid w:val="004B244B"/>
    <w:rsid w:val="004B2ADA"/>
    <w:rsid w:val="004B2C13"/>
    <w:rsid w:val="004B32F0"/>
    <w:rsid w:val="004B360B"/>
    <w:rsid w:val="004B388F"/>
    <w:rsid w:val="004B3FA4"/>
    <w:rsid w:val="004B50F5"/>
    <w:rsid w:val="004B5135"/>
    <w:rsid w:val="004B62DD"/>
    <w:rsid w:val="004B6E44"/>
    <w:rsid w:val="004B7CA5"/>
    <w:rsid w:val="004C0BEE"/>
    <w:rsid w:val="004C0D3E"/>
    <w:rsid w:val="004C18F3"/>
    <w:rsid w:val="004C2130"/>
    <w:rsid w:val="004C2B35"/>
    <w:rsid w:val="004C2BE9"/>
    <w:rsid w:val="004C2DC2"/>
    <w:rsid w:val="004C3777"/>
    <w:rsid w:val="004C3979"/>
    <w:rsid w:val="004C5EC7"/>
    <w:rsid w:val="004C5F82"/>
    <w:rsid w:val="004C68A7"/>
    <w:rsid w:val="004C6BF2"/>
    <w:rsid w:val="004C6D86"/>
    <w:rsid w:val="004C7091"/>
    <w:rsid w:val="004C7805"/>
    <w:rsid w:val="004D01C9"/>
    <w:rsid w:val="004D041A"/>
    <w:rsid w:val="004D0429"/>
    <w:rsid w:val="004D051E"/>
    <w:rsid w:val="004D0DCF"/>
    <w:rsid w:val="004D1574"/>
    <w:rsid w:val="004D26B8"/>
    <w:rsid w:val="004D27F8"/>
    <w:rsid w:val="004D3C71"/>
    <w:rsid w:val="004D4B3A"/>
    <w:rsid w:val="004D51D7"/>
    <w:rsid w:val="004D5820"/>
    <w:rsid w:val="004D5B8F"/>
    <w:rsid w:val="004D5D35"/>
    <w:rsid w:val="004D60A0"/>
    <w:rsid w:val="004D6A36"/>
    <w:rsid w:val="004D7021"/>
    <w:rsid w:val="004D73DF"/>
    <w:rsid w:val="004D780A"/>
    <w:rsid w:val="004D7853"/>
    <w:rsid w:val="004D7BB4"/>
    <w:rsid w:val="004E02E1"/>
    <w:rsid w:val="004E03A5"/>
    <w:rsid w:val="004E0883"/>
    <w:rsid w:val="004E09F3"/>
    <w:rsid w:val="004E159D"/>
    <w:rsid w:val="004E19E9"/>
    <w:rsid w:val="004E1B64"/>
    <w:rsid w:val="004E1B90"/>
    <w:rsid w:val="004E2279"/>
    <w:rsid w:val="004E2744"/>
    <w:rsid w:val="004E27B8"/>
    <w:rsid w:val="004E342A"/>
    <w:rsid w:val="004E3574"/>
    <w:rsid w:val="004E3A4E"/>
    <w:rsid w:val="004E3D99"/>
    <w:rsid w:val="004E5FEE"/>
    <w:rsid w:val="004E600D"/>
    <w:rsid w:val="004E602A"/>
    <w:rsid w:val="004E645F"/>
    <w:rsid w:val="004E6AF1"/>
    <w:rsid w:val="004E6B7C"/>
    <w:rsid w:val="004E6C03"/>
    <w:rsid w:val="004E6C53"/>
    <w:rsid w:val="004E7095"/>
    <w:rsid w:val="004E710E"/>
    <w:rsid w:val="004E72D4"/>
    <w:rsid w:val="004E7782"/>
    <w:rsid w:val="004E78A3"/>
    <w:rsid w:val="004E7E4A"/>
    <w:rsid w:val="004F01E1"/>
    <w:rsid w:val="004F10CB"/>
    <w:rsid w:val="004F13A1"/>
    <w:rsid w:val="004F1648"/>
    <w:rsid w:val="004F1AB0"/>
    <w:rsid w:val="004F1C57"/>
    <w:rsid w:val="004F32DF"/>
    <w:rsid w:val="004F3BD6"/>
    <w:rsid w:val="004F4229"/>
    <w:rsid w:val="004F4A2B"/>
    <w:rsid w:val="004F530C"/>
    <w:rsid w:val="004F53DF"/>
    <w:rsid w:val="004F59DC"/>
    <w:rsid w:val="004F6233"/>
    <w:rsid w:val="004F6618"/>
    <w:rsid w:val="004F6A8E"/>
    <w:rsid w:val="004F6B57"/>
    <w:rsid w:val="004F6E87"/>
    <w:rsid w:val="004F74DB"/>
    <w:rsid w:val="004F7D2F"/>
    <w:rsid w:val="004F7F1D"/>
    <w:rsid w:val="005000E9"/>
    <w:rsid w:val="0050046F"/>
    <w:rsid w:val="00500A42"/>
    <w:rsid w:val="0050102F"/>
    <w:rsid w:val="0050162D"/>
    <w:rsid w:val="00501A27"/>
    <w:rsid w:val="00501AE9"/>
    <w:rsid w:val="005021DD"/>
    <w:rsid w:val="0050241D"/>
    <w:rsid w:val="00502C33"/>
    <w:rsid w:val="0050395C"/>
    <w:rsid w:val="005039D5"/>
    <w:rsid w:val="00503D82"/>
    <w:rsid w:val="005042D9"/>
    <w:rsid w:val="005048FE"/>
    <w:rsid w:val="00504CF1"/>
    <w:rsid w:val="00505475"/>
    <w:rsid w:val="00505AF0"/>
    <w:rsid w:val="00505C31"/>
    <w:rsid w:val="005065F7"/>
    <w:rsid w:val="00506701"/>
    <w:rsid w:val="00506EDA"/>
    <w:rsid w:val="00506FD7"/>
    <w:rsid w:val="0050709B"/>
    <w:rsid w:val="005072BC"/>
    <w:rsid w:val="0050739F"/>
    <w:rsid w:val="0050740F"/>
    <w:rsid w:val="00507E31"/>
    <w:rsid w:val="005107B4"/>
    <w:rsid w:val="00510E5D"/>
    <w:rsid w:val="005112C5"/>
    <w:rsid w:val="005115C8"/>
    <w:rsid w:val="00512376"/>
    <w:rsid w:val="0051267D"/>
    <w:rsid w:val="0051275A"/>
    <w:rsid w:val="005131D4"/>
    <w:rsid w:val="005138E4"/>
    <w:rsid w:val="00513C37"/>
    <w:rsid w:val="00513EDC"/>
    <w:rsid w:val="00514EDB"/>
    <w:rsid w:val="005156BA"/>
    <w:rsid w:val="00515A79"/>
    <w:rsid w:val="00515F58"/>
    <w:rsid w:val="005168D3"/>
    <w:rsid w:val="00520173"/>
    <w:rsid w:val="00520B84"/>
    <w:rsid w:val="00520E14"/>
    <w:rsid w:val="0052105D"/>
    <w:rsid w:val="0052157B"/>
    <w:rsid w:val="005215E1"/>
    <w:rsid w:val="00521869"/>
    <w:rsid w:val="00521A77"/>
    <w:rsid w:val="00521D76"/>
    <w:rsid w:val="00521E66"/>
    <w:rsid w:val="00523411"/>
    <w:rsid w:val="00523482"/>
    <w:rsid w:val="00523B60"/>
    <w:rsid w:val="005243F8"/>
    <w:rsid w:val="00524CFA"/>
    <w:rsid w:val="00524D6B"/>
    <w:rsid w:val="00525590"/>
    <w:rsid w:val="005258A1"/>
    <w:rsid w:val="005259A2"/>
    <w:rsid w:val="005259C7"/>
    <w:rsid w:val="0052629B"/>
    <w:rsid w:val="0052630C"/>
    <w:rsid w:val="0052658C"/>
    <w:rsid w:val="00526D73"/>
    <w:rsid w:val="00526F48"/>
    <w:rsid w:val="005276D9"/>
    <w:rsid w:val="00527A39"/>
    <w:rsid w:val="00527D2A"/>
    <w:rsid w:val="005308AC"/>
    <w:rsid w:val="00530C46"/>
    <w:rsid w:val="00531171"/>
    <w:rsid w:val="00531C69"/>
    <w:rsid w:val="00531D6F"/>
    <w:rsid w:val="00532138"/>
    <w:rsid w:val="00532183"/>
    <w:rsid w:val="0053230F"/>
    <w:rsid w:val="005324A5"/>
    <w:rsid w:val="00533220"/>
    <w:rsid w:val="00534226"/>
    <w:rsid w:val="005342D6"/>
    <w:rsid w:val="0053430F"/>
    <w:rsid w:val="0053450A"/>
    <w:rsid w:val="0053473A"/>
    <w:rsid w:val="005347A9"/>
    <w:rsid w:val="0053549E"/>
    <w:rsid w:val="00535880"/>
    <w:rsid w:val="00535914"/>
    <w:rsid w:val="00535B01"/>
    <w:rsid w:val="00535B63"/>
    <w:rsid w:val="00535F16"/>
    <w:rsid w:val="00535F6D"/>
    <w:rsid w:val="00536A5E"/>
    <w:rsid w:val="00536BFB"/>
    <w:rsid w:val="00537102"/>
    <w:rsid w:val="00537630"/>
    <w:rsid w:val="005376FA"/>
    <w:rsid w:val="00537797"/>
    <w:rsid w:val="00537C8A"/>
    <w:rsid w:val="00540C40"/>
    <w:rsid w:val="00540C71"/>
    <w:rsid w:val="00540E78"/>
    <w:rsid w:val="00541FB1"/>
    <w:rsid w:val="005420AA"/>
    <w:rsid w:val="00542271"/>
    <w:rsid w:val="00542BFC"/>
    <w:rsid w:val="00542C58"/>
    <w:rsid w:val="0054330A"/>
    <w:rsid w:val="00544122"/>
    <w:rsid w:val="005441E0"/>
    <w:rsid w:val="00544E06"/>
    <w:rsid w:val="00545767"/>
    <w:rsid w:val="00545903"/>
    <w:rsid w:val="00546074"/>
    <w:rsid w:val="00546289"/>
    <w:rsid w:val="00547081"/>
    <w:rsid w:val="0054724B"/>
    <w:rsid w:val="00547468"/>
    <w:rsid w:val="00547751"/>
    <w:rsid w:val="0054780E"/>
    <w:rsid w:val="00547A02"/>
    <w:rsid w:val="00547FE9"/>
    <w:rsid w:val="005509BD"/>
    <w:rsid w:val="00551225"/>
    <w:rsid w:val="0055128C"/>
    <w:rsid w:val="00551497"/>
    <w:rsid w:val="00551657"/>
    <w:rsid w:val="00551B12"/>
    <w:rsid w:val="00551FE1"/>
    <w:rsid w:val="00552043"/>
    <w:rsid w:val="005521C5"/>
    <w:rsid w:val="00552901"/>
    <w:rsid w:val="00552BE5"/>
    <w:rsid w:val="00552E46"/>
    <w:rsid w:val="00553596"/>
    <w:rsid w:val="00553906"/>
    <w:rsid w:val="005539C0"/>
    <w:rsid w:val="00553D84"/>
    <w:rsid w:val="00553ED7"/>
    <w:rsid w:val="00553FC7"/>
    <w:rsid w:val="00554475"/>
    <w:rsid w:val="0055479D"/>
    <w:rsid w:val="00554A31"/>
    <w:rsid w:val="00555250"/>
    <w:rsid w:val="0055525A"/>
    <w:rsid w:val="005552D7"/>
    <w:rsid w:val="00556251"/>
    <w:rsid w:val="00556661"/>
    <w:rsid w:val="005566D9"/>
    <w:rsid w:val="00556A80"/>
    <w:rsid w:val="005570EF"/>
    <w:rsid w:val="00557321"/>
    <w:rsid w:val="0055751C"/>
    <w:rsid w:val="005576D3"/>
    <w:rsid w:val="00557DDF"/>
    <w:rsid w:val="005600D8"/>
    <w:rsid w:val="00560258"/>
    <w:rsid w:val="005603E2"/>
    <w:rsid w:val="00560659"/>
    <w:rsid w:val="00560A68"/>
    <w:rsid w:val="00560B5F"/>
    <w:rsid w:val="0056116C"/>
    <w:rsid w:val="0056129B"/>
    <w:rsid w:val="0056133D"/>
    <w:rsid w:val="00561513"/>
    <w:rsid w:val="00561C60"/>
    <w:rsid w:val="00562FB2"/>
    <w:rsid w:val="00563C77"/>
    <w:rsid w:val="0056454C"/>
    <w:rsid w:val="005645A6"/>
    <w:rsid w:val="005645EF"/>
    <w:rsid w:val="00564A92"/>
    <w:rsid w:val="00564AFF"/>
    <w:rsid w:val="00564D58"/>
    <w:rsid w:val="00565D1F"/>
    <w:rsid w:val="005667A4"/>
    <w:rsid w:val="00566951"/>
    <w:rsid w:val="00566C0B"/>
    <w:rsid w:val="00567085"/>
    <w:rsid w:val="0057047C"/>
    <w:rsid w:val="00570EFE"/>
    <w:rsid w:val="00571E13"/>
    <w:rsid w:val="00572144"/>
    <w:rsid w:val="00572950"/>
    <w:rsid w:val="00572CE4"/>
    <w:rsid w:val="00573043"/>
    <w:rsid w:val="00573677"/>
    <w:rsid w:val="00573CF7"/>
    <w:rsid w:val="005743DE"/>
    <w:rsid w:val="005748A5"/>
    <w:rsid w:val="0057514A"/>
    <w:rsid w:val="00575785"/>
    <w:rsid w:val="00575DEC"/>
    <w:rsid w:val="005762C8"/>
    <w:rsid w:val="005765F5"/>
    <w:rsid w:val="00576824"/>
    <w:rsid w:val="005769BB"/>
    <w:rsid w:val="005771A5"/>
    <w:rsid w:val="0057733F"/>
    <w:rsid w:val="00577693"/>
    <w:rsid w:val="00577884"/>
    <w:rsid w:val="00577BD0"/>
    <w:rsid w:val="0058012E"/>
    <w:rsid w:val="005801A0"/>
    <w:rsid w:val="00581039"/>
    <w:rsid w:val="005814C0"/>
    <w:rsid w:val="00581517"/>
    <w:rsid w:val="005815B1"/>
    <w:rsid w:val="00581CD8"/>
    <w:rsid w:val="00582018"/>
    <w:rsid w:val="00582036"/>
    <w:rsid w:val="005828FA"/>
    <w:rsid w:val="00582B44"/>
    <w:rsid w:val="0058353C"/>
    <w:rsid w:val="0058453C"/>
    <w:rsid w:val="00584703"/>
    <w:rsid w:val="00584A6A"/>
    <w:rsid w:val="00587603"/>
    <w:rsid w:val="00587F34"/>
    <w:rsid w:val="005901B6"/>
    <w:rsid w:val="00592424"/>
    <w:rsid w:val="00592452"/>
    <w:rsid w:val="005925AA"/>
    <w:rsid w:val="00592E3D"/>
    <w:rsid w:val="00592F45"/>
    <w:rsid w:val="005936D7"/>
    <w:rsid w:val="00593AD3"/>
    <w:rsid w:val="00593BA4"/>
    <w:rsid w:val="00593CD9"/>
    <w:rsid w:val="00593EEA"/>
    <w:rsid w:val="0059422D"/>
    <w:rsid w:val="005948F1"/>
    <w:rsid w:val="00594BE8"/>
    <w:rsid w:val="005952DA"/>
    <w:rsid w:val="0059532C"/>
    <w:rsid w:val="00596338"/>
    <w:rsid w:val="0059693A"/>
    <w:rsid w:val="00596B3F"/>
    <w:rsid w:val="00596DAA"/>
    <w:rsid w:val="00596F0F"/>
    <w:rsid w:val="005A0BCA"/>
    <w:rsid w:val="005A1ACD"/>
    <w:rsid w:val="005A1BA6"/>
    <w:rsid w:val="005A2283"/>
    <w:rsid w:val="005A2D7E"/>
    <w:rsid w:val="005A337A"/>
    <w:rsid w:val="005A33EF"/>
    <w:rsid w:val="005A502C"/>
    <w:rsid w:val="005A525B"/>
    <w:rsid w:val="005A58F8"/>
    <w:rsid w:val="005A5E1F"/>
    <w:rsid w:val="005A5EFF"/>
    <w:rsid w:val="005A5F79"/>
    <w:rsid w:val="005A6007"/>
    <w:rsid w:val="005A613A"/>
    <w:rsid w:val="005A6300"/>
    <w:rsid w:val="005A6DEF"/>
    <w:rsid w:val="005A7DE5"/>
    <w:rsid w:val="005B0145"/>
    <w:rsid w:val="005B03B7"/>
    <w:rsid w:val="005B091F"/>
    <w:rsid w:val="005B0B8C"/>
    <w:rsid w:val="005B1CCD"/>
    <w:rsid w:val="005B1FFA"/>
    <w:rsid w:val="005B232A"/>
    <w:rsid w:val="005B28D3"/>
    <w:rsid w:val="005B2C41"/>
    <w:rsid w:val="005B39C5"/>
    <w:rsid w:val="005B4200"/>
    <w:rsid w:val="005B4535"/>
    <w:rsid w:val="005B4C61"/>
    <w:rsid w:val="005B4DEC"/>
    <w:rsid w:val="005B4E0E"/>
    <w:rsid w:val="005B5968"/>
    <w:rsid w:val="005B5BFB"/>
    <w:rsid w:val="005B5D58"/>
    <w:rsid w:val="005B6A06"/>
    <w:rsid w:val="005C0893"/>
    <w:rsid w:val="005C0B3B"/>
    <w:rsid w:val="005C0F99"/>
    <w:rsid w:val="005C1652"/>
    <w:rsid w:val="005C195D"/>
    <w:rsid w:val="005C21C2"/>
    <w:rsid w:val="005C26BB"/>
    <w:rsid w:val="005C2EDE"/>
    <w:rsid w:val="005C467F"/>
    <w:rsid w:val="005C46D9"/>
    <w:rsid w:val="005C4AC2"/>
    <w:rsid w:val="005C4CC1"/>
    <w:rsid w:val="005C5428"/>
    <w:rsid w:val="005C554B"/>
    <w:rsid w:val="005C57CD"/>
    <w:rsid w:val="005C5E02"/>
    <w:rsid w:val="005C5FD4"/>
    <w:rsid w:val="005C6264"/>
    <w:rsid w:val="005C6336"/>
    <w:rsid w:val="005C688B"/>
    <w:rsid w:val="005C78BB"/>
    <w:rsid w:val="005C7C85"/>
    <w:rsid w:val="005D09B5"/>
    <w:rsid w:val="005D0D88"/>
    <w:rsid w:val="005D0E1D"/>
    <w:rsid w:val="005D1054"/>
    <w:rsid w:val="005D1132"/>
    <w:rsid w:val="005D128F"/>
    <w:rsid w:val="005D230A"/>
    <w:rsid w:val="005D2CB8"/>
    <w:rsid w:val="005D3311"/>
    <w:rsid w:val="005D4245"/>
    <w:rsid w:val="005D45B8"/>
    <w:rsid w:val="005D46DB"/>
    <w:rsid w:val="005D509C"/>
    <w:rsid w:val="005D5789"/>
    <w:rsid w:val="005D5C0D"/>
    <w:rsid w:val="005D5D62"/>
    <w:rsid w:val="005D6125"/>
    <w:rsid w:val="005D61F6"/>
    <w:rsid w:val="005D6537"/>
    <w:rsid w:val="005D6A05"/>
    <w:rsid w:val="005D6EEC"/>
    <w:rsid w:val="005D74E2"/>
    <w:rsid w:val="005D79A6"/>
    <w:rsid w:val="005D79F3"/>
    <w:rsid w:val="005D7B4A"/>
    <w:rsid w:val="005D7C3D"/>
    <w:rsid w:val="005D7F07"/>
    <w:rsid w:val="005E12E2"/>
    <w:rsid w:val="005E1605"/>
    <w:rsid w:val="005E1DA0"/>
    <w:rsid w:val="005E1DDD"/>
    <w:rsid w:val="005E1F48"/>
    <w:rsid w:val="005E29CD"/>
    <w:rsid w:val="005E2A56"/>
    <w:rsid w:val="005E306B"/>
    <w:rsid w:val="005E32BE"/>
    <w:rsid w:val="005E3995"/>
    <w:rsid w:val="005E3D6D"/>
    <w:rsid w:val="005E3DFD"/>
    <w:rsid w:val="005E4156"/>
    <w:rsid w:val="005E4655"/>
    <w:rsid w:val="005E4B91"/>
    <w:rsid w:val="005E518D"/>
    <w:rsid w:val="005E577F"/>
    <w:rsid w:val="005E61C3"/>
    <w:rsid w:val="005E62BA"/>
    <w:rsid w:val="005E7206"/>
    <w:rsid w:val="005E73F9"/>
    <w:rsid w:val="005E74AB"/>
    <w:rsid w:val="005E74B6"/>
    <w:rsid w:val="005E78DB"/>
    <w:rsid w:val="005E7CD5"/>
    <w:rsid w:val="005E7D53"/>
    <w:rsid w:val="005F0877"/>
    <w:rsid w:val="005F08D4"/>
    <w:rsid w:val="005F17D8"/>
    <w:rsid w:val="005F17DB"/>
    <w:rsid w:val="005F1C9B"/>
    <w:rsid w:val="005F1ED8"/>
    <w:rsid w:val="005F2924"/>
    <w:rsid w:val="005F334B"/>
    <w:rsid w:val="005F4563"/>
    <w:rsid w:val="005F45A9"/>
    <w:rsid w:val="005F4644"/>
    <w:rsid w:val="005F4783"/>
    <w:rsid w:val="005F52CE"/>
    <w:rsid w:val="005F5CA8"/>
    <w:rsid w:val="005F622D"/>
    <w:rsid w:val="005F6900"/>
    <w:rsid w:val="005F6EF1"/>
    <w:rsid w:val="005F6FCB"/>
    <w:rsid w:val="005F7036"/>
    <w:rsid w:val="005F7B13"/>
    <w:rsid w:val="0060043A"/>
    <w:rsid w:val="00600564"/>
    <w:rsid w:val="006007F8"/>
    <w:rsid w:val="00600BD6"/>
    <w:rsid w:val="00600C91"/>
    <w:rsid w:val="00600CB9"/>
    <w:rsid w:val="00600CFF"/>
    <w:rsid w:val="00601B70"/>
    <w:rsid w:val="00601B75"/>
    <w:rsid w:val="00601D87"/>
    <w:rsid w:val="00602213"/>
    <w:rsid w:val="0060258A"/>
    <w:rsid w:val="0060377A"/>
    <w:rsid w:val="0060388A"/>
    <w:rsid w:val="00603FF2"/>
    <w:rsid w:val="006050E4"/>
    <w:rsid w:val="0060529E"/>
    <w:rsid w:val="00605A32"/>
    <w:rsid w:val="00605AF5"/>
    <w:rsid w:val="00605C77"/>
    <w:rsid w:val="00606313"/>
    <w:rsid w:val="0060714A"/>
    <w:rsid w:val="006076F3"/>
    <w:rsid w:val="0061087A"/>
    <w:rsid w:val="00610973"/>
    <w:rsid w:val="00610B6C"/>
    <w:rsid w:val="00611091"/>
    <w:rsid w:val="0061126F"/>
    <w:rsid w:val="006124A5"/>
    <w:rsid w:val="00612A5A"/>
    <w:rsid w:val="00612CE1"/>
    <w:rsid w:val="006134B5"/>
    <w:rsid w:val="00613689"/>
    <w:rsid w:val="00613F62"/>
    <w:rsid w:val="00614360"/>
    <w:rsid w:val="00614684"/>
    <w:rsid w:val="00615BE2"/>
    <w:rsid w:val="00615CCA"/>
    <w:rsid w:val="00616534"/>
    <w:rsid w:val="00616E65"/>
    <w:rsid w:val="00617155"/>
    <w:rsid w:val="006201E9"/>
    <w:rsid w:val="0062040F"/>
    <w:rsid w:val="00620657"/>
    <w:rsid w:val="00620E95"/>
    <w:rsid w:val="00621ED2"/>
    <w:rsid w:val="006220CE"/>
    <w:rsid w:val="00622534"/>
    <w:rsid w:val="00622990"/>
    <w:rsid w:val="00622BA7"/>
    <w:rsid w:val="00622BE1"/>
    <w:rsid w:val="00622FE1"/>
    <w:rsid w:val="00623009"/>
    <w:rsid w:val="00623D5A"/>
    <w:rsid w:val="00623DAE"/>
    <w:rsid w:val="00623DC0"/>
    <w:rsid w:val="00624726"/>
    <w:rsid w:val="00624761"/>
    <w:rsid w:val="006249B1"/>
    <w:rsid w:val="00624B0B"/>
    <w:rsid w:val="0062572B"/>
    <w:rsid w:val="0062574E"/>
    <w:rsid w:val="00625833"/>
    <w:rsid w:val="00626760"/>
    <w:rsid w:val="00630B39"/>
    <w:rsid w:val="00630C65"/>
    <w:rsid w:val="00630D73"/>
    <w:rsid w:val="0063145F"/>
    <w:rsid w:val="006316EC"/>
    <w:rsid w:val="00631E44"/>
    <w:rsid w:val="006324AF"/>
    <w:rsid w:val="00632653"/>
    <w:rsid w:val="00632CFF"/>
    <w:rsid w:val="00632DD7"/>
    <w:rsid w:val="00633680"/>
    <w:rsid w:val="006345E4"/>
    <w:rsid w:val="006345FD"/>
    <w:rsid w:val="00634611"/>
    <w:rsid w:val="00634981"/>
    <w:rsid w:val="00634B53"/>
    <w:rsid w:val="00634C7B"/>
    <w:rsid w:val="006353DF"/>
    <w:rsid w:val="00635580"/>
    <w:rsid w:val="006359ED"/>
    <w:rsid w:val="00635E8E"/>
    <w:rsid w:val="0063600B"/>
    <w:rsid w:val="0063610A"/>
    <w:rsid w:val="00636911"/>
    <w:rsid w:val="00636C25"/>
    <w:rsid w:val="006370C7"/>
    <w:rsid w:val="00637379"/>
    <w:rsid w:val="00637433"/>
    <w:rsid w:val="006374A1"/>
    <w:rsid w:val="006375CE"/>
    <w:rsid w:val="0063763C"/>
    <w:rsid w:val="006406C6"/>
    <w:rsid w:val="00640816"/>
    <w:rsid w:val="00640A52"/>
    <w:rsid w:val="00640DFA"/>
    <w:rsid w:val="00641080"/>
    <w:rsid w:val="00642BA4"/>
    <w:rsid w:val="00643220"/>
    <w:rsid w:val="00643392"/>
    <w:rsid w:val="00643C58"/>
    <w:rsid w:val="00643C60"/>
    <w:rsid w:val="0064409E"/>
    <w:rsid w:val="00644A21"/>
    <w:rsid w:val="00645473"/>
    <w:rsid w:val="00645642"/>
    <w:rsid w:val="00645ADF"/>
    <w:rsid w:val="00646AEA"/>
    <w:rsid w:val="00646CE4"/>
    <w:rsid w:val="00646FF0"/>
    <w:rsid w:val="0064789D"/>
    <w:rsid w:val="00647BAC"/>
    <w:rsid w:val="006508EC"/>
    <w:rsid w:val="00650982"/>
    <w:rsid w:val="00650ED8"/>
    <w:rsid w:val="00651AE5"/>
    <w:rsid w:val="00651E52"/>
    <w:rsid w:val="00652080"/>
    <w:rsid w:val="0065259C"/>
    <w:rsid w:val="00652C1E"/>
    <w:rsid w:val="006534BE"/>
    <w:rsid w:val="006539D8"/>
    <w:rsid w:val="00653B57"/>
    <w:rsid w:val="00653E64"/>
    <w:rsid w:val="00653EFC"/>
    <w:rsid w:val="00654827"/>
    <w:rsid w:val="00654A73"/>
    <w:rsid w:val="00654AB7"/>
    <w:rsid w:val="00654C12"/>
    <w:rsid w:val="00654D6A"/>
    <w:rsid w:val="00655314"/>
    <w:rsid w:val="00655C34"/>
    <w:rsid w:val="006566B8"/>
    <w:rsid w:val="00656A73"/>
    <w:rsid w:val="00656BB4"/>
    <w:rsid w:val="00656FDF"/>
    <w:rsid w:val="00657095"/>
    <w:rsid w:val="00657148"/>
    <w:rsid w:val="006571A0"/>
    <w:rsid w:val="00657489"/>
    <w:rsid w:val="006578AA"/>
    <w:rsid w:val="00657936"/>
    <w:rsid w:val="00657AEB"/>
    <w:rsid w:val="00657D44"/>
    <w:rsid w:val="00657E8F"/>
    <w:rsid w:val="00660145"/>
    <w:rsid w:val="00660338"/>
    <w:rsid w:val="00660DC0"/>
    <w:rsid w:val="00661498"/>
    <w:rsid w:val="00661B62"/>
    <w:rsid w:val="00661B63"/>
    <w:rsid w:val="00663332"/>
    <w:rsid w:val="00663851"/>
    <w:rsid w:val="00663ED1"/>
    <w:rsid w:val="00664171"/>
    <w:rsid w:val="00664AE9"/>
    <w:rsid w:val="00666607"/>
    <w:rsid w:val="00666981"/>
    <w:rsid w:val="00666DB3"/>
    <w:rsid w:val="00667C9E"/>
    <w:rsid w:val="00667F9B"/>
    <w:rsid w:val="00670BE9"/>
    <w:rsid w:val="00670EBD"/>
    <w:rsid w:val="00672169"/>
    <w:rsid w:val="00672170"/>
    <w:rsid w:val="00672463"/>
    <w:rsid w:val="006724A1"/>
    <w:rsid w:val="00672F74"/>
    <w:rsid w:val="006730EE"/>
    <w:rsid w:val="00673139"/>
    <w:rsid w:val="0067320B"/>
    <w:rsid w:val="0067330C"/>
    <w:rsid w:val="006740EA"/>
    <w:rsid w:val="0067463E"/>
    <w:rsid w:val="00674745"/>
    <w:rsid w:val="00674C2E"/>
    <w:rsid w:val="0067532B"/>
    <w:rsid w:val="006769BF"/>
    <w:rsid w:val="00676AC9"/>
    <w:rsid w:val="006779B5"/>
    <w:rsid w:val="00677A9C"/>
    <w:rsid w:val="00677BB7"/>
    <w:rsid w:val="00677F9B"/>
    <w:rsid w:val="00677FB0"/>
    <w:rsid w:val="006802AA"/>
    <w:rsid w:val="006806BB"/>
    <w:rsid w:val="00681668"/>
    <w:rsid w:val="006816F8"/>
    <w:rsid w:val="00681942"/>
    <w:rsid w:val="00681962"/>
    <w:rsid w:val="00681D3B"/>
    <w:rsid w:val="00681F17"/>
    <w:rsid w:val="006820CC"/>
    <w:rsid w:val="00682281"/>
    <w:rsid w:val="0068265C"/>
    <w:rsid w:val="00682703"/>
    <w:rsid w:val="00683C83"/>
    <w:rsid w:val="00683FA9"/>
    <w:rsid w:val="0068483E"/>
    <w:rsid w:val="0068533A"/>
    <w:rsid w:val="006861C0"/>
    <w:rsid w:val="00686E63"/>
    <w:rsid w:val="00687DC7"/>
    <w:rsid w:val="0069036A"/>
    <w:rsid w:val="0069077A"/>
    <w:rsid w:val="00690853"/>
    <w:rsid w:val="006908A7"/>
    <w:rsid w:val="006913BC"/>
    <w:rsid w:val="006916C5"/>
    <w:rsid w:val="0069215E"/>
    <w:rsid w:val="00692A1E"/>
    <w:rsid w:val="00692BA8"/>
    <w:rsid w:val="006938A4"/>
    <w:rsid w:val="00693A24"/>
    <w:rsid w:val="00693E4E"/>
    <w:rsid w:val="0069424F"/>
    <w:rsid w:val="006949F4"/>
    <w:rsid w:val="006961FC"/>
    <w:rsid w:val="0069642E"/>
    <w:rsid w:val="00696872"/>
    <w:rsid w:val="00696962"/>
    <w:rsid w:val="00696AA8"/>
    <w:rsid w:val="00696D41"/>
    <w:rsid w:val="006973FC"/>
    <w:rsid w:val="00697670"/>
    <w:rsid w:val="006A042B"/>
    <w:rsid w:val="006A078E"/>
    <w:rsid w:val="006A0E26"/>
    <w:rsid w:val="006A220F"/>
    <w:rsid w:val="006A2AB3"/>
    <w:rsid w:val="006A2DBD"/>
    <w:rsid w:val="006A33C6"/>
    <w:rsid w:val="006A3481"/>
    <w:rsid w:val="006A3A45"/>
    <w:rsid w:val="006A3CDC"/>
    <w:rsid w:val="006A45C4"/>
    <w:rsid w:val="006A4732"/>
    <w:rsid w:val="006A4A7F"/>
    <w:rsid w:val="006A4EAA"/>
    <w:rsid w:val="006A5036"/>
    <w:rsid w:val="006A5AB4"/>
    <w:rsid w:val="006A63A9"/>
    <w:rsid w:val="006A68A4"/>
    <w:rsid w:val="006A69BD"/>
    <w:rsid w:val="006A6C76"/>
    <w:rsid w:val="006A72AF"/>
    <w:rsid w:val="006B042F"/>
    <w:rsid w:val="006B08C2"/>
    <w:rsid w:val="006B132F"/>
    <w:rsid w:val="006B1532"/>
    <w:rsid w:val="006B1DFF"/>
    <w:rsid w:val="006B22E5"/>
    <w:rsid w:val="006B3217"/>
    <w:rsid w:val="006B32A1"/>
    <w:rsid w:val="006B428A"/>
    <w:rsid w:val="006B50D7"/>
    <w:rsid w:val="006B52E5"/>
    <w:rsid w:val="006B5FEC"/>
    <w:rsid w:val="006B60BC"/>
    <w:rsid w:val="006B6A75"/>
    <w:rsid w:val="006B6ECF"/>
    <w:rsid w:val="006B6FE2"/>
    <w:rsid w:val="006B72B7"/>
    <w:rsid w:val="006B7587"/>
    <w:rsid w:val="006B7872"/>
    <w:rsid w:val="006B788A"/>
    <w:rsid w:val="006B7C80"/>
    <w:rsid w:val="006C01B9"/>
    <w:rsid w:val="006C0459"/>
    <w:rsid w:val="006C04AA"/>
    <w:rsid w:val="006C0B2B"/>
    <w:rsid w:val="006C1A10"/>
    <w:rsid w:val="006C1B96"/>
    <w:rsid w:val="006C28A2"/>
    <w:rsid w:val="006C2F63"/>
    <w:rsid w:val="006C303A"/>
    <w:rsid w:val="006C38B5"/>
    <w:rsid w:val="006C4AEF"/>
    <w:rsid w:val="006C4F95"/>
    <w:rsid w:val="006C54D3"/>
    <w:rsid w:val="006C5900"/>
    <w:rsid w:val="006C5A0C"/>
    <w:rsid w:val="006C6B82"/>
    <w:rsid w:val="006C6E8F"/>
    <w:rsid w:val="006C6FCD"/>
    <w:rsid w:val="006C747C"/>
    <w:rsid w:val="006C7926"/>
    <w:rsid w:val="006D01D8"/>
    <w:rsid w:val="006D07F1"/>
    <w:rsid w:val="006D0E37"/>
    <w:rsid w:val="006D1C58"/>
    <w:rsid w:val="006D1E96"/>
    <w:rsid w:val="006D2120"/>
    <w:rsid w:val="006D23B1"/>
    <w:rsid w:val="006D293D"/>
    <w:rsid w:val="006D2E01"/>
    <w:rsid w:val="006D30A3"/>
    <w:rsid w:val="006D4849"/>
    <w:rsid w:val="006D48F7"/>
    <w:rsid w:val="006D4EB6"/>
    <w:rsid w:val="006D6EEE"/>
    <w:rsid w:val="006D75A5"/>
    <w:rsid w:val="006D7944"/>
    <w:rsid w:val="006D7977"/>
    <w:rsid w:val="006E01F6"/>
    <w:rsid w:val="006E0CAD"/>
    <w:rsid w:val="006E123C"/>
    <w:rsid w:val="006E2120"/>
    <w:rsid w:val="006E2350"/>
    <w:rsid w:val="006E2844"/>
    <w:rsid w:val="006E40D4"/>
    <w:rsid w:val="006E4310"/>
    <w:rsid w:val="006E4421"/>
    <w:rsid w:val="006E463C"/>
    <w:rsid w:val="006E4A4A"/>
    <w:rsid w:val="006E4C24"/>
    <w:rsid w:val="006E513D"/>
    <w:rsid w:val="006E5A3E"/>
    <w:rsid w:val="006E5A58"/>
    <w:rsid w:val="006E5C0A"/>
    <w:rsid w:val="006E6A36"/>
    <w:rsid w:val="006E6D27"/>
    <w:rsid w:val="006E71BC"/>
    <w:rsid w:val="006E73CE"/>
    <w:rsid w:val="006E74B1"/>
    <w:rsid w:val="006E7820"/>
    <w:rsid w:val="006E78DA"/>
    <w:rsid w:val="006E790C"/>
    <w:rsid w:val="006E7954"/>
    <w:rsid w:val="006E7BB1"/>
    <w:rsid w:val="006F08D4"/>
    <w:rsid w:val="006F0AE7"/>
    <w:rsid w:val="006F0CC2"/>
    <w:rsid w:val="006F0DA4"/>
    <w:rsid w:val="006F0FA7"/>
    <w:rsid w:val="006F179C"/>
    <w:rsid w:val="006F17A2"/>
    <w:rsid w:val="006F1B07"/>
    <w:rsid w:val="006F1E23"/>
    <w:rsid w:val="006F2824"/>
    <w:rsid w:val="006F29A0"/>
    <w:rsid w:val="006F31D1"/>
    <w:rsid w:val="006F32BE"/>
    <w:rsid w:val="006F47AE"/>
    <w:rsid w:val="006F4D5F"/>
    <w:rsid w:val="006F5FA9"/>
    <w:rsid w:val="006F6124"/>
    <w:rsid w:val="006F649E"/>
    <w:rsid w:val="006F7365"/>
    <w:rsid w:val="006F790F"/>
    <w:rsid w:val="006F7B83"/>
    <w:rsid w:val="006F7BA7"/>
    <w:rsid w:val="006F7CCA"/>
    <w:rsid w:val="006F7E47"/>
    <w:rsid w:val="00700378"/>
    <w:rsid w:val="00701BAE"/>
    <w:rsid w:val="00702028"/>
    <w:rsid w:val="007021FC"/>
    <w:rsid w:val="00702946"/>
    <w:rsid w:val="0070325D"/>
    <w:rsid w:val="00703855"/>
    <w:rsid w:val="00703F60"/>
    <w:rsid w:val="00704470"/>
    <w:rsid w:val="007044D9"/>
    <w:rsid w:val="0070493F"/>
    <w:rsid w:val="00704A9D"/>
    <w:rsid w:val="00704D4F"/>
    <w:rsid w:val="00705246"/>
    <w:rsid w:val="00705A86"/>
    <w:rsid w:val="007061BD"/>
    <w:rsid w:val="00707005"/>
    <w:rsid w:val="0070782E"/>
    <w:rsid w:val="00707A50"/>
    <w:rsid w:val="00710370"/>
    <w:rsid w:val="007107F3"/>
    <w:rsid w:val="00710850"/>
    <w:rsid w:val="00710B1F"/>
    <w:rsid w:val="00710C2F"/>
    <w:rsid w:val="00710E2B"/>
    <w:rsid w:val="007115BF"/>
    <w:rsid w:val="00711687"/>
    <w:rsid w:val="00711869"/>
    <w:rsid w:val="007120F3"/>
    <w:rsid w:val="0071299D"/>
    <w:rsid w:val="00713BE2"/>
    <w:rsid w:val="007146A4"/>
    <w:rsid w:val="00714E34"/>
    <w:rsid w:val="007159B7"/>
    <w:rsid w:val="00715C04"/>
    <w:rsid w:val="00716123"/>
    <w:rsid w:val="0071651C"/>
    <w:rsid w:val="007169EE"/>
    <w:rsid w:val="007169F9"/>
    <w:rsid w:val="00716D9B"/>
    <w:rsid w:val="007173A3"/>
    <w:rsid w:val="007174E4"/>
    <w:rsid w:val="00717C6B"/>
    <w:rsid w:val="0072078A"/>
    <w:rsid w:val="00720879"/>
    <w:rsid w:val="00720DDE"/>
    <w:rsid w:val="0072143D"/>
    <w:rsid w:val="00721457"/>
    <w:rsid w:val="00721BA0"/>
    <w:rsid w:val="00722422"/>
    <w:rsid w:val="00722558"/>
    <w:rsid w:val="00722567"/>
    <w:rsid w:val="00722742"/>
    <w:rsid w:val="00722AE0"/>
    <w:rsid w:val="007232CE"/>
    <w:rsid w:val="0072331A"/>
    <w:rsid w:val="00723DE7"/>
    <w:rsid w:val="00724C4A"/>
    <w:rsid w:val="00724E6F"/>
    <w:rsid w:val="0072536D"/>
    <w:rsid w:val="007254D1"/>
    <w:rsid w:val="00725A48"/>
    <w:rsid w:val="007260DF"/>
    <w:rsid w:val="007267E0"/>
    <w:rsid w:val="00726811"/>
    <w:rsid w:val="00726CB6"/>
    <w:rsid w:val="00727115"/>
    <w:rsid w:val="00730DDD"/>
    <w:rsid w:val="0073112E"/>
    <w:rsid w:val="00731916"/>
    <w:rsid w:val="0073212B"/>
    <w:rsid w:val="00733197"/>
    <w:rsid w:val="007337FE"/>
    <w:rsid w:val="007348D1"/>
    <w:rsid w:val="007349C6"/>
    <w:rsid w:val="00734B67"/>
    <w:rsid w:val="00734CA0"/>
    <w:rsid w:val="00735490"/>
    <w:rsid w:val="007358B5"/>
    <w:rsid w:val="00736558"/>
    <w:rsid w:val="007365B9"/>
    <w:rsid w:val="0073679D"/>
    <w:rsid w:val="007369A3"/>
    <w:rsid w:val="00736AD8"/>
    <w:rsid w:val="007372CB"/>
    <w:rsid w:val="007376D5"/>
    <w:rsid w:val="0073798E"/>
    <w:rsid w:val="00740086"/>
    <w:rsid w:val="00740C39"/>
    <w:rsid w:val="00741068"/>
    <w:rsid w:val="0074153F"/>
    <w:rsid w:val="007419D1"/>
    <w:rsid w:val="00741EA3"/>
    <w:rsid w:val="00742733"/>
    <w:rsid w:val="00742F34"/>
    <w:rsid w:val="00743A84"/>
    <w:rsid w:val="00743E98"/>
    <w:rsid w:val="00743F70"/>
    <w:rsid w:val="00744390"/>
    <w:rsid w:val="00744B42"/>
    <w:rsid w:val="00744E01"/>
    <w:rsid w:val="0074514C"/>
    <w:rsid w:val="007451A7"/>
    <w:rsid w:val="007455D6"/>
    <w:rsid w:val="00746291"/>
    <w:rsid w:val="007469B9"/>
    <w:rsid w:val="00747286"/>
    <w:rsid w:val="007477F3"/>
    <w:rsid w:val="00750280"/>
    <w:rsid w:val="007505C4"/>
    <w:rsid w:val="007508CF"/>
    <w:rsid w:val="007509A3"/>
    <w:rsid w:val="00750C45"/>
    <w:rsid w:val="007510D5"/>
    <w:rsid w:val="007515A9"/>
    <w:rsid w:val="00751628"/>
    <w:rsid w:val="007516D4"/>
    <w:rsid w:val="00751E60"/>
    <w:rsid w:val="00752D7A"/>
    <w:rsid w:val="00752EC2"/>
    <w:rsid w:val="00753284"/>
    <w:rsid w:val="007532F2"/>
    <w:rsid w:val="007538CB"/>
    <w:rsid w:val="007538FB"/>
    <w:rsid w:val="007541DE"/>
    <w:rsid w:val="0075422C"/>
    <w:rsid w:val="007543D3"/>
    <w:rsid w:val="00754AC3"/>
    <w:rsid w:val="00754B1D"/>
    <w:rsid w:val="00754D27"/>
    <w:rsid w:val="007552BC"/>
    <w:rsid w:val="00755B88"/>
    <w:rsid w:val="00755CD4"/>
    <w:rsid w:val="0075695D"/>
    <w:rsid w:val="007571E4"/>
    <w:rsid w:val="00757A29"/>
    <w:rsid w:val="00760286"/>
    <w:rsid w:val="007605A5"/>
    <w:rsid w:val="00760C8F"/>
    <w:rsid w:val="00760D92"/>
    <w:rsid w:val="00760DD8"/>
    <w:rsid w:val="00760F1D"/>
    <w:rsid w:val="007611A1"/>
    <w:rsid w:val="0076189B"/>
    <w:rsid w:val="00761A85"/>
    <w:rsid w:val="00761E2B"/>
    <w:rsid w:val="007628D5"/>
    <w:rsid w:val="00762D70"/>
    <w:rsid w:val="007633D4"/>
    <w:rsid w:val="00763635"/>
    <w:rsid w:val="007643B0"/>
    <w:rsid w:val="0076487B"/>
    <w:rsid w:val="007653BE"/>
    <w:rsid w:val="007653DA"/>
    <w:rsid w:val="007654AC"/>
    <w:rsid w:val="007656FE"/>
    <w:rsid w:val="00765F25"/>
    <w:rsid w:val="00766467"/>
    <w:rsid w:val="007668F9"/>
    <w:rsid w:val="00766B71"/>
    <w:rsid w:val="00766B81"/>
    <w:rsid w:val="00766C06"/>
    <w:rsid w:val="00766D60"/>
    <w:rsid w:val="00767103"/>
    <w:rsid w:val="0076718B"/>
    <w:rsid w:val="007671EE"/>
    <w:rsid w:val="007673B4"/>
    <w:rsid w:val="00767F3A"/>
    <w:rsid w:val="00767F8E"/>
    <w:rsid w:val="0077092A"/>
    <w:rsid w:val="00770B50"/>
    <w:rsid w:val="00770C00"/>
    <w:rsid w:val="00770C43"/>
    <w:rsid w:val="00770DA3"/>
    <w:rsid w:val="00772E11"/>
    <w:rsid w:val="00772FE5"/>
    <w:rsid w:val="007730A7"/>
    <w:rsid w:val="00773715"/>
    <w:rsid w:val="0077426E"/>
    <w:rsid w:val="00774543"/>
    <w:rsid w:val="00774719"/>
    <w:rsid w:val="00774771"/>
    <w:rsid w:val="00774A21"/>
    <w:rsid w:val="00774FF3"/>
    <w:rsid w:val="00775133"/>
    <w:rsid w:val="00775459"/>
    <w:rsid w:val="00776379"/>
    <w:rsid w:val="00776470"/>
    <w:rsid w:val="00776DCF"/>
    <w:rsid w:val="007779D6"/>
    <w:rsid w:val="00777E7B"/>
    <w:rsid w:val="007801F5"/>
    <w:rsid w:val="0078023E"/>
    <w:rsid w:val="00781224"/>
    <w:rsid w:val="00781C78"/>
    <w:rsid w:val="00781CCD"/>
    <w:rsid w:val="00781EBE"/>
    <w:rsid w:val="0078254E"/>
    <w:rsid w:val="0078299E"/>
    <w:rsid w:val="00783BD7"/>
    <w:rsid w:val="00783DD3"/>
    <w:rsid w:val="00784285"/>
    <w:rsid w:val="007843A7"/>
    <w:rsid w:val="00784746"/>
    <w:rsid w:val="00784B1F"/>
    <w:rsid w:val="00784C55"/>
    <w:rsid w:val="0078512D"/>
    <w:rsid w:val="00785589"/>
    <w:rsid w:val="00785C00"/>
    <w:rsid w:val="00786427"/>
    <w:rsid w:val="007865CA"/>
    <w:rsid w:val="007866C6"/>
    <w:rsid w:val="00786785"/>
    <w:rsid w:val="00786A87"/>
    <w:rsid w:val="00786CD9"/>
    <w:rsid w:val="007872EF"/>
    <w:rsid w:val="007872F2"/>
    <w:rsid w:val="00787890"/>
    <w:rsid w:val="007917BC"/>
    <w:rsid w:val="00791A4A"/>
    <w:rsid w:val="00791A50"/>
    <w:rsid w:val="00791DB8"/>
    <w:rsid w:val="00791E8E"/>
    <w:rsid w:val="00792A37"/>
    <w:rsid w:val="00792CD2"/>
    <w:rsid w:val="00792DF2"/>
    <w:rsid w:val="00792FE5"/>
    <w:rsid w:val="007936B3"/>
    <w:rsid w:val="00793AE1"/>
    <w:rsid w:val="00793CC1"/>
    <w:rsid w:val="00793EF0"/>
    <w:rsid w:val="007944C9"/>
    <w:rsid w:val="007946A9"/>
    <w:rsid w:val="007953A2"/>
    <w:rsid w:val="007956C5"/>
    <w:rsid w:val="00795BDD"/>
    <w:rsid w:val="00795E24"/>
    <w:rsid w:val="00795E7C"/>
    <w:rsid w:val="00796133"/>
    <w:rsid w:val="007961EE"/>
    <w:rsid w:val="00797020"/>
    <w:rsid w:val="00797A2E"/>
    <w:rsid w:val="00797B38"/>
    <w:rsid w:val="00797D62"/>
    <w:rsid w:val="00797F3C"/>
    <w:rsid w:val="007A01C3"/>
    <w:rsid w:val="007A05E2"/>
    <w:rsid w:val="007A0863"/>
    <w:rsid w:val="007A0B47"/>
    <w:rsid w:val="007A0EB2"/>
    <w:rsid w:val="007A171C"/>
    <w:rsid w:val="007A1B00"/>
    <w:rsid w:val="007A1B37"/>
    <w:rsid w:val="007A2C58"/>
    <w:rsid w:val="007A3388"/>
    <w:rsid w:val="007A33B1"/>
    <w:rsid w:val="007A37F1"/>
    <w:rsid w:val="007A38EB"/>
    <w:rsid w:val="007A3B6D"/>
    <w:rsid w:val="007A48C4"/>
    <w:rsid w:val="007A49B5"/>
    <w:rsid w:val="007A59C4"/>
    <w:rsid w:val="007A6186"/>
    <w:rsid w:val="007A61B8"/>
    <w:rsid w:val="007A659B"/>
    <w:rsid w:val="007A6C87"/>
    <w:rsid w:val="007A73A2"/>
    <w:rsid w:val="007A7C0E"/>
    <w:rsid w:val="007B02BB"/>
    <w:rsid w:val="007B02FB"/>
    <w:rsid w:val="007B0999"/>
    <w:rsid w:val="007B09DA"/>
    <w:rsid w:val="007B0A9D"/>
    <w:rsid w:val="007B1821"/>
    <w:rsid w:val="007B20B1"/>
    <w:rsid w:val="007B23E6"/>
    <w:rsid w:val="007B2482"/>
    <w:rsid w:val="007B3173"/>
    <w:rsid w:val="007B3885"/>
    <w:rsid w:val="007B39F5"/>
    <w:rsid w:val="007B42EF"/>
    <w:rsid w:val="007B4B38"/>
    <w:rsid w:val="007B5905"/>
    <w:rsid w:val="007B6223"/>
    <w:rsid w:val="007B6391"/>
    <w:rsid w:val="007B6A02"/>
    <w:rsid w:val="007B6A47"/>
    <w:rsid w:val="007B7094"/>
    <w:rsid w:val="007B7188"/>
    <w:rsid w:val="007B75F7"/>
    <w:rsid w:val="007B7B32"/>
    <w:rsid w:val="007B7B7B"/>
    <w:rsid w:val="007C0319"/>
    <w:rsid w:val="007C13FA"/>
    <w:rsid w:val="007C15DD"/>
    <w:rsid w:val="007C19DC"/>
    <w:rsid w:val="007C1A6C"/>
    <w:rsid w:val="007C1F5B"/>
    <w:rsid w:val="007C257C"/>
    <w:rsid w:val="007C264B"/>
    <w:rsid w:val="007C29DE"/>
    <w:rsid w:val="007C29F9"/>
    <w:rsid w:val="007C2C9A"/>
    <w:rsid w:val="007C2DC8"/>
    <w:rsid w:val="007C2DF2"/>
    <w:rsid w:val="007C3331"/>
    <w:rsid w:val="007C3519"/>
    <w:rsid w:val="007C4549"/>
    <w:rsid w:val="007C473B"/>
    <w:rsid w:val="007C4E1D"/>
    <w:rsid w:val="007C4F58"/>
    <w:rsid w:val="007C596D"/>
    <w:rsid w:val="007C5EEC"/>
    <w:rsid w:val="007C6587"/>
    <w:rsid w:val="007C6B21"/>
    <w:rsid w:val="007C6B8A"/>
    <w:rsid w:val="007C6EEA"/>
    <w:rsid w:val="007C7E49"/>
    <w:rsid w:val="007D086E"/>
    <w:rsid w:val="007D0954"/>
    <w:rsid w:val="007D0D22"/>
    <w:rsid w:val="007D122F"/>
    <w:rsid w:val="007D1487"/>
    <w:rsid w:val="007D1A27"/>
    <w:rsid w:val="007D1C01"/>
    <w:rsid w:val="007D1E7B"/>
    <w:rsid w:val="007D2BCF"/>
    <w:rsid w:val="007D3584"/>
    <w:rsid w:val="007D36A4"/>
    <w:rsid w:val="007D36D7"/>
    <w:rsid w:val="007D38FD"/>
    <w:rsid w:val="007D41C6"/>
    <w:rsid w:val="007D429E"/>
    <w:rsid w:val="007D46B5"/>
    <w:rsid w:val="007D4858"/>
    <w:rsid w:val="007D491A"/>
    <w:rsid w:val="007D4CDD"/>
    <w:rsid w:val="007D4D8E"/>
    <w:rsid w:val="007D52D5"/>
    <w:rsid w:val="007D5332"/>
    <w:rsid w:val="007D533B"/>
    <w:rsid w:val="007D5CCF"/>
    <w:rsid w:val="007D62C6"/>
    <w:rsid w:val="007D6392"/>
    <w:rsid w:val="007D6456"/>
    <w:rsid w:val="007D72F4"/>
    <w:rsid w:val="007D7340"/>
    <w:rsid w:val="007D73FC"/>
    <w:rsid w:val="007D7E2A"/>
    <w:rsid w:val="007E096A"/>
    <w:rsid w:val="007E0BB0"/>
    <w:rsid w:val="007E0C51"/>
    <w:rsid w:val="007E1384"/>
    <w:rsid w:val="007E1691"/>
    <w:rsid w:val="007E19AA"/>
    <w:rsid w:val="007E2110"/>
    <w:rsid w:val="007E2B70"/>
    <w:rsid w:val="007E2BE7"/>
    <w:rsid w:val="007E2D76"/>
    <w:rsid w:val="007E308F"/>
    <w:rsid w:val="007E3B05"/>
    <w:rsid w:val="007E4612"/>
    <w:rsid w:val="007E4DF4"/>
    <w:rsid w:val="007E535E"/>
    <w:rsid w:val="007E5429"/>
    <w:rsid w:val="007E5CE4"/>
    <w:rsid w:val="007E6D85"/>
    <w:rsid w:val="007E7734"/>
    <w:rsid w:val="007E7BC2"/>
    <w:rsid w:val="007E7DEC"/>
    <w:rsid w:val="007E7FB3"/>
    <w:rsid w:val="007F0C7E"/>
    <w:rsid w:val="007F0F71"/>
    <w:rsid w:val="007F1ACF"/>
    <w:rsid w:val="007F1BE0"/>
    <w:rsid w:val="007F206E"/>
    <w:rsid w:val="007F219B"/>
    <w:rsid w:val="007F24F1"/>
    <w:rsid w:val="007F2F4A"/>
    <w:rsid w:val="007F311D"/>
    <w:rsid w:val="007F37E5"/>
    <w:rsid w:val="007F3B42"/>
    <w:rsid w:val="007F3B5D"/>
    <w:rsid w:val="007F4000"/>
    <w:rsid w:val="007F4256"/>
    <w:rsid w:val="007F4BCB"/>
    <w:rsid w:val="007F50B0"/>
    <w:rsid w:val="007F5224"/>
    <w:rsid w:val="007F54A6"/>
    <w:rsid w:val="007F5BA9"/>
    <w:rsid w:val="007F6E5B"/>
    <w:rsid w:val="007F75C0"/>
    <w:rsid w:val="007F78DE"/>
    <w:rsid w:val="007F7CD6"/>
    <w:rsid w:val="00800498"/>
    <w:rsid w:val="008008D4"/>
    <w:rsid w:val="00800BBB"/>
    <w:rsid w:val="00800D1E"/>
    <w:rsid w:val="00802173"/>
    <w:rsid w:val="00803041"/>
    <w:rsid w:val="008031B6"/>
    <w:rsid w:val="008032D1"/>
    <w:rsid w:val="00803A28"/>
    <w:rsid w:val="00804084"/>
    <w:rsid w:val="0080453C"/>
    <w:rsid w:val="00804681"/>
    <w:rsid w:val="0080491F"/>
    <w:rsid w:val="00805488"/>
    <w:rsid w:val="00805518"/>
    <w:rsid w:val="00806251"/>
    <w:rsid w:val="00806EC8"/>
    <w:rsid w:val="008073E3"/>
    <w:rsid w:val="0080779A"/>
    <w:rsid w:val="008077BF"/>
    <w:rsid w:val="00810261"/>
    <w:rsid w:val="00810B0E"/>
    <w:rsid w:val="008110E0"/>
    <w:rsid w:val="0081113F"/>
    <w:rsid w:val="008111C5"/>
    <w:rsid w:val="0081133B"/>
    <w:rsid w:val="008114D4"/>
    <w:rsid w:val="00811744"/>
    <w:rsid w:val="00811841"/>
    <w:rsid w:val="00811A2A"/>
    <w:rsid w:val="00811A73"/>
    <w:rsid w:val="0081293F"/>
    <w:rsid w:val="00813318"/>
    <w:rsid w:val="008134E5"/>
    <w:rsid w:val="008136FD"/>
    <w:rsid w:val="008138D7"/>
    <w:rsid w:val="00813A96"/>
    <w:rsid w:val="00813BEF"/>
    <w:rsid w:val="00814471"/>
    <w:rsid w:val="00814B43"/>
    <w:rsid w:val="00814DCE"/>
    <w:rsid w:val="00814F10"/>
    <w:rsid w:val="00815B7B"/>
    <w:rsid w:val="00815B91"/>
    <w:rsid w:val="00816126"/>
    <w:rsid w:val="008170F1"/>
    <w:rsid w:val="008171E4"/>
    <w:rsid w:val="00817216"/>
    <w:rsid w:val="008173E9"/>
    <w:rsid w:val="00817B5F"/>
    <w:rsid w:val="00817D92"/>
    <w:rsid w:val="00817F6D"/>
    <w:rsid w:val="0082008E"/>
    <w:rsid w:val="008208A5"/>
    <w:rsid w:val="008212D3"/>
    <w:rsid w:val="00821350"/>
    <w:rsid w:val="00821C9F"/>
    <w:rsid w:val="00821D52"/>
    <w:rsid w:val="00821E2C"/>
    <w:rsid w:val="008228A0"/>
    <w:rsid w:val="0082350E"/>
    <w:rsid w:val="0082396A"/>
    <w:rsid w:val="00823B80"/>
    <w:rsid w:val="00824048"/>
    <w:rsid w:val="00824342"/>
    <w:rsid w:val="00824642"/>
    <w:rsid w:val="00825F04"/>
    <w:rsid w:val="0082661A"/>
    <w:rsid w:val="008269A9"/>
    <w:rsid w:val="00826E8A"/>
    <w:rsid w:val="00827251"/>
    <w:rsid w:val="0082767E"/>
    <w:rsid w:val="008276CA"/>
    <w:rsid w:val="00827C02"/>
    <w:rsid w:val="00830187"/>
    <w:rsid w:val="0083080B"/>
    <w:rsid w:val="00830A16"/>
    <w:rsid w:val="00830C7E"/>
    <w:rsid w:val="00830E70"/>
    <w:rsid w:val="008310EB"/>
    <w:rsid w:val="00831292"/>
    <w:rsid w:val="008314D0"/>
    <w:rsid w:val="00831513"/>
    <w:rsid w:val="00831A05"/>
    <w:rsid w:val="00831A7C"/>
    <w:rsid w:val="00831B0E"/>
    <w:rsid w:val="00831F22"/>
    <w:rsid w:val="0083271B"/>
    <w:rsid w:val="00832C1B"/>
    <w:rsid w:val="00833144"/>
    <w:rsid w:val="008333B8"/>
    <w:rsid w:val="00833885"/>
    <w:rsid w:val="0083396A"/>
    <w:rsid w:val="008349C5"/>
    <w:rsid w:val="00834A10"/>
    <w:rsid w:val="00835164"/>
    <w:rsid w:val="008351AD"/>
    <w:rsid w:val="00835672"/>
    <w:rsid w:val="00835E48"/>
    <w:rsid w:val="00836269"/>
    <w:rsid w:val="00836C4A"/>
    <w:rsid w:val="00836F3D"/>
    <w:rsid w:val="00837284"/>
    <w:rsid w:val="00837378"/>
    <w:rsid w:val="00840538"/>
    <w:rsid w:val="00840671"/>
    <w:rsid w:val="0084075D"/>
    <w:rsid w:val="00840A0B"/>
    <w:rsid w:val="00840B2C"/>
    <w:rsid w:val="00840E15"/>
    <w:rsid w:val="00841358"/>
    <w:rsid w:val="008413D4"/>
    <w:rsid w:val="0084167F"/>
    <w:rsid w:val="00841B5A"/>
    <w:rsid w:val="00841CE6"/>
    <w:rsid w:val="00842987"/>
    <w:rsid w:val="00842D1F"/>
    <w:rsid w:val="00843329"/>
    <w:rsid w:val="00843506"/>
    <w:rsid w:val="00843606"/>
    <w:rsid w:val="008437B5"/>
    <w:rsid w:val="00843DA4"/>
    <w:rsid w:val="00844308"/>
    <w:rsid w:val="00844CC0"/>
    <w:rsid w:val="008451F9"/>
    <w:rsid w:val="00846052"/>
    <w:rsid w:val="0084620A"/>
    <w:rsid w:val="0084626D"/>
    <w:rsid w:val="00846666"/>
    <w:rsid w:val="008473E8"/>
    <w:rsid w:val="008477C8"/>
    <w:rsid w:val="00847A14"/>
    <w:rsid w:val="00850118"/>
    <w:rsid w:val="00850142"/>
    <w:rsid w:val="008504E4"/>
    <w:rsid w:val="0085055B"/>
    <w:rsid w:val="00850899"/>
    <w:rsid w:val="00850B37"/>
    <w:rsid w:val="00851794"/>
    <w:rsid w:val="0085181A"/>
    <w:rsid w:val="00851D56"/>
    <w:rsid w:val="00851D83"/>
    <w:rsid w:val="00851E65"/>
    <w:rsid w:val="00852417"/>
    <w:rsid w:val="008530F1"/>
    <w:rsid w:val="008532E4"/>
    <w:rsid w:val="00853514"/>
    <w:rsid w:val="008535A4"/>
    <w:rsid w:val="00854141"/>
    <w:rsid w:val="00854FC3"/>
    <w:rsid w:val="00854FF1"/>
    <w:rsid w:val="00855402"/>
    <w:rsid w:val="00855B9B"/>
    <w:rsid w:val="00855BC1"/>
    <w:rsid w:val="008564E0"/>
    <w:rsid w:val="00856771"/>
    <w:rsid w:val="00857202"/>
    <w:rsid w:val="00857454"/>
    <w:rsid w:val="008577CA"/>
    <w:rsid w:val="00857AA9"/>
    <w:rsid w:val="00857D65"/>
    <w:rsid w:val="00857F6D"/>
    <w:rsid w:val="008601E7"/>
    <w:rsid w:val="00860888"/>
    <w:rsid w:val="00860BC4"/>
    <w:rsid w:val="00860CE3"/>
    <w:rsid w:val="0086151D"/>
    <w:rsid w:val="00861ADA"/>
    <w:rsid w:val="00861D5E"/>
    <w:rsid w:val="00861F40"/>
    <w:rsid w:val="00862817"/>
    <w:rsid w:val="008634A6"/>
    <w:rsid w:val="00863ADB"/>
    <w:rsid w:val="00863F4C"/>
    <w:rsid w:val="00864DE4"/>
    <w:rsid w:val="008655C8"/>
    <w:rsid w:val="00865B47"/>
    <w:rsid w:val="00865F23"/>
    <w:rsid w:val="00866177"/>
    <w:rsid w:val="0086658A"/>
    <w:rsid w:val="00866CBD"/>
    <w:rsid w:val="00866ECE"/>
    <w:rsid w:val="008672BD"/>
    <w:rsid w:val="0086736C"/>
    <w:rsid w:val="0086756D"/>
    <w:rsid w:val="008678DD"/>
    <w:rsid w:val="00867CBD"/>
    <w:rsid w:val="00867F00"/>
    <w:rsid w:val="00870265"/>
    <w:rsid w:val="008705C8"/>
    <w:rsid w:val="00870746"/>
    <w:rsid w:val="008709AE"/>
    <w:rsid w:val="0087272D"/>
    <w:rsid w:val="00873705"/>
    <w:rsid w:val="00873ADE"/>
    <w:rsid w:val="00873DB8"/>
    <w:rsid w:val="00874443"/>
    <w:rsid w:val="008744F2"/>
    <w:rsid w:val="00874751"/>
    <w:rsid w:val="00874891"/>
    <w:rsid w:val="00874BF5"/>
    <w:rsid w:val="0087509C"/>
    <w:rsid w:val="0087513A"/>
    <w:rsid w:val="00875503"/>
    <w:rsid w:val="008758B5"/>
    <w:rsid w:val="00875962"/>
    <w:rsid w:val="00875E8B"/>
    <w:rsid w:val="008767B1"/>
    <w:rsid w:val="008771F7"/>
    <w:rsid w:val="00877902"/>
    <w:rsid w:val="00877B13"/>
    <w:rsid w:val="00880BF7"/>
    <w:rsid w:val="00880EAF"/>
    <w:rsid w:val="00881FA5"/>
    <w:rsid w:val="0088247B"/>
    <w:rsid w:val="00882550"/>
    <w:rsid w:val="00882D72"/>
    <w:rsid w:val="00882DF3"/>
    <w:rsid w:val="008834FF"/>
    <w:rsid w:val="00883DBB"/>
    <w:rsid w:val="00883F84"/>
    <w:rsid w:val="008854B9"/>
    <w:rsid w:val="008854F1"/>
    <w:rsid w:val="00886165"/>
    <w:rsid w:val="0088620F"/>
    <w:rsid w:val="008862B9"/>
    <w:rsid w:val="00886919"/>
    <w:rsid w:val="00890D2B"/>
    <w:rsid w:val="00890E61"/>
    <w:rsid w:val="00891076"/>
    <w:rsid w:val="00891520"/>
    <w:rsid w:val="00891C61"/>
    <w:rsid w:val="00892155"/>
    <w:rsid w:val="00892220"/>
    <w:rsid w:val="008928D4"/>
    <w:rsid w:val="00892926"/>
    <w:rsid w:val="00892ACE"/>
    <w:rsid w:val="00892ADB"/>
    <w:rsid w:val="008934DA"/>
    <w:rsid w:val="00893A2D"/>
    <w:rsid w:val="00893F52"/>
    <w:rsid w:val="00893F5A"/>
    <w:rsid w:val="0089411C"/>
    <w:rsid w:val="0089416F"/>
    <w:rsid w:val="00895299"/>
    <w:rsid w:val="00895ABF"/>
    <w:rsid w:val="00895EAC"/>
    <w:rsid w:val="008968BA"/>
    <w:rsid w:val="00896CD6"/>
    <w:rsid w:val="00896E0D"/>
    <w:rsid w:val="00896FFF"/>
    <w:rsid w:val="00897549"/>
    <w:rsid w:val="008A084B"/>
    <w:rsid w:val="008A0B2E"/>
    <w:rsid w:val="008A0F85"/>
    <w:rsid w:val="008A1A51"/>
    <w:rsid w:val="008A20FE"/>
    <w:rsid w:val="008A212E"/>
    <w:rsid w:val="008A27DC"/>
    <w:rsid w:val="008A2DCA"/>
    <w:rsid w:val="008A30DA"/>
    <w:rsid w:val="008A399C"/>
    <w:rsid w:val="008A49FC"/>
    <w:rsid w:val="008A4F19"/>
    <w:rsid w:val="008A4F7F"/>
    <w:rsid w:val="008A5200"/>
    <w:rsid w:val="008A521A"/>
    <w:rsid w:val="008A60BF"/>
    <w:rsid w:val="008A66B1"/>
    <w:rsid w:val="008A69E1"/>
    <w:rsid w:val="008A6BA0"/>
    <w:rsid w:val="008B0695"/>
    <w:rsid w:val="008B082B"/>
    <w:rsid w:val="008B1246"/>
    <w:rsid w:val="008B1797"/>
    <w:rsid w:val="008B19CA"/>
    <w:rsid w:val="008B1C9D"/>
    <w:rsid w:val="008B1ECA"/>
    <w:rsid w:val="008B25EE"/>
    <w:rsid w:val="008B3541"/>
    <w:rsid w:val="008B3CE5"/>
    <w:rsid w:val="008B41C0"/>
    <w:rsid w:val="008B4811"/>
    <w:rsid w:val="008B4DB8"/>
    <w:rsid w:val="008B552C"/>
    <w:rsid w:val="008B55F1"/>
    <w:rsid w:val="008B658A"/>
    <w:rsid w:val="008B65D5"/>
    <w:rsid w:val="008B666A"/>
    <w:rsid w:val="008B74AF"/>
    <w:rsid w:val="008B75BF"/>
    <w:rsid w:val="008B7A80"/>
    <w:rsid w:val="008B7B45"/>
    <w:rsid w:val="008C0118"/>
    <w:rsid w:val="008C018D"/>
    <w:rsid w:val="008C043F"/>
    <w:rsid w:val="008C0E0E"/>
    <w:rsid w:val="008C0E29"/>
    <w:rsid w:val="008C16EB"/>
    <w:rsid w:val="008C1747"/>
    <w:rsid w:val="008C1906"/>
    <w:rsid w:val="008C1B50"/>
    <w:rsid w:val="008C2831"/>
    <w:rsid w:val="008C290D"/>
    <w:rsid w:val="008C31EE"/>
    <w:rsid w:val="008C33C7"/>
    <w:rsid w:val="008C398A"/>
    <w:rsid w:val="008C416C"/>
    <w:rsid w:val="008C42CD"/>
    <w:rsid w:val="008C4A57"/>
    <w:rsid w:val="008C620B"/>
    <w:rsid w:val="008C6422"/>
    <w:rsid w:val="008C6D04"/>
    <w:rsid w:val="008C6D6C"/>
    <w:rsid w:val="008C758E"/>
    <w:rsid w:val="008C7820"/>
    <w:rsid w:val="008C7919"/>
    <w:rsid w:val="008C7BE5"/>
    <w:rsid w:val="008D0A0E"/>
    <w:rsid w:val="008D0F2B"/>
    <w:rsid w:val="008D0FD8"/>
    <w:rsid w:val="008D1DDF"/>
    <w:rsid w:val="008D2A1B"/>
    <w:rsid w:val="008D2A6F"/>
    <w:rsid w:val="008D2DCF"/>
    <w:rsid w:val="008D3850"/>
    <w:rsid w:val="008D3DF3"/>
    <w:rsid w:val="008D4492"/>
    <w:rsid w:val="008D4595"/>
    <w:rsid w:val="008D46F0"/>
    <w:rsid w:val="008D4AE6"/>
    <w:rsid w:val="008D4F6C"/>
    <w:rsid w:val="008D563E"/>
    <w:rsid w:val="008D5854"/>
    <w:rsid w:val="008D626E"/>
    <w:rsid w:val="008D639C"/>
    <w:rsid w:val="008D67C9"/>
    <w:rsid w:val="008D6B85"/>
    <w:rsid w:val="008D7221"/>
    <w:rsid w:val="008D78F9"/>
    <w:rsid w:val="008D7A3A"/>
    <w:rsid w:val="008D7F32"/>
    <w:rsid w:val="008E0423"/>
    <w:rsid w:val="008E04F9"/>
    <w:rsid w:val="008E0615"/>
    <w:rsid w:val="008E0E05"/>
    <w:rsid w:val="008E10BB"/>
    <w:rsid w:val="008E14EF"/>
    <w:rsid w:val="008E17D5"/>
    <w:rsid w:val="008E1BCE"/>
    <w:rsid w:val="008E215E"/>
    <w:rsid w:val="008E2634"/>
    <w:rsid w:val="008E37A8"/>
    <w:rsid w:val="008E37B0"/>
    <w:rsid w:val="008E3E3A"/>
    <w:rsid w:val="008E5E0A"/>
    <w:rsid w:val="008E5E2E"/>
    <w:rsid w:val="008E62CC"/>
    <w:rsid w:val="008E7ABE"/>
    <w:rsid w:val="008E7BFA"/>
    <w:rsid w:val="008F04C7"/>
    <w:rsid w:val="008F11D0"/>
    <w:rsid w:val="008F1657"/>
    <w:rsid w:val="008F1AF2"/>
    <w:rsid w:val="008F1F2D"/>
    <w:rsid w:val="008F2230"/>
    <w:rsid w:val="008F28EB"/>
    <w:rsid w:val="008F2FEE"/>
    <w:rsid w:val="008F34D2"/>
    <w:rsid w:val="008F3641"/>
    <w:rsid w:val="008F375B"/>
    <w:rsid w:val="008F3FBD"/>
    <w:rsid w:val="008F488A"/>
    <w:rsid w:val="008F4EB9"/>
    <w:rsid w:val="008F4EC3"/>
    <w:rsid w:val="008F55D0"/>
    <w:rsid w:val="008F5D21"/>
    <w:rsid w:val="008F640C"/>
    <w:rsid w:val="008F7169"/>
    <w:rsid w:val="008F72DF"/>
    <w:rsid w:val="00900323"/>
    <w:rsid w:val="00900CE4"/>
    <w:rsid w:val="0090139A"/>
    <w:rsid w:val="00901465"/>
    <w:rsid w:val="00901585"/>
    <w:rsid w:val="009017DD"/>
    <w:rsid w:val="0090187A"/>
    <w:rsid w:val="00901FAE"/>
    <w:rsid w:val="009021A6"/>
    <w:rsid w:val="00902415"/>
    <w:rsid w:val="0090281E"/>
    <w:rsid w:val="0090294B"/>
    <w:rsid w:val="00902A88"/>
    <w:rsid w:val="00902D35"/>
    <w:rsid w:val="00902F9B"/>
    <w:rsid w:val="009030D8"/>
    <w:rsid w:val="00903217"/>
    <w:rsid w:val="00903726"/>
    <w:rsid w:val="00903DE2"/>
    <w:rsid w:val="00904050"/>
    <w:rsid w:val="0090441C"/>
    <w:rsid w:val="00904F62"/>
    <w:rsid w:val="0090531E"/>
    <w:rsid w:val="009056B7"/>
    <w:rsid w:val="00905B81"/>
    <w:rsid w:val="00906337"/>
    <w:rsid w:val="0090653F"/>
    <w:rsid w:val="009067B6"/>
    <w:rsid w:val="00906E3D"/>
    <w:rsid w:val="00906F1F"/>
    <w:rsid w:val="0090710A"/>
    <w:rsid w:val="00907521"/>
    <w:rsid w:val="009079A4"/>
    <w:rsid w:val="00907AC3"/>
    <w:rsid w:val="0091027F"/>
    <w:rsid w:val="009102FD"/>
    <w:rsid w:val="00910558"/>
    <w:rsid w:val="00911340"/>
    <w:rsid w:val="0091184A"/>
    <w:rsid w:val="00911D24"/>
    <w:rsid w:val="00912351"/>
    <w:rsid w:val="00913540"/>
    <w:rsid w:val="00913731"/>
    <w:rsid w:val="00913BDD"/>
    <w:rsid w:val="00913E50"/>
    <w:rsid w:val="00913F2B"/>
    <w:rsid w:val="00914018"/>
    <w:rsid w:val="00914CBA"/>
    <w:rsid w:val="00915B87"/>
    <w:rsid w:val="00915CE8"/>
    <w:rsid w:val="009165F1"/>
    <w:rsid w:val="009170BB"/>
    <w:rsid w:val="00917397"/>
    <w:rsid w:val="0091750D"/>
    <w:rsid w:val="00917ADC"/>
    <w:rsid w:val="00917F6B"/>
    <w:rsid w:val="00920441"/>
    <w:rsid w:val="0092068B"/>
    <w:rsid w:val="00920B49"/>
    <w:rsid w:val="00921070"/>
    <w:rsid w:val="0092112A"/>
    <w:rsid w:val="009214C0"/>
    <w:rsid w:val="009215C0"/>
    <w:rsid w:val="00922422"/>
    <w:rsid w:val="009228EF"/>
    <w:rsid w:val="00922C1B"/>
    <w:rsid w:val="009231CF"/>
    <w:rsid w:val="009235D3"/>
    <w:rsid w:val="00923729"/>
    <w:rsid w:val="00923A04"/>
    <w:rsid w:val="00923B5F"/>
    <w:rsid w:val="00923C89"/>
    <w:rsid w:val="00924013"/>
    <w:rsid w:val="009241CC"/>
    <w:rsid w:val="009241D7"/>
    <w:rsid w:val="009251F0"/>
    <w:rsid w:val="009253BB"/>
    <w:rsid w:val="00925739"/>
    <w:rsid w:val="009269F1"/>
    <w:rsid w:val="00927090"/>
    <w:rsid w:val="009271BA"/>
    <w:rsid w:val="00927299"/>
    <w:rsid w:val="009272FD"/>
    <w:rsid w:val="009273DB"/>
    <w:rsid w:val="0092798B"/>
    <w:rsid w:val="00927EEC"/>
    <w:rsid w:val="00927FB5"/>
    <w:rsid w:val="00930040"/>
    <w:rsid w:val="0093027D"/>
    <w:rsid w:val="00930787"/>
    <w:rsid w:val="0093107C"/>
    <w:rsid w:val="00931B31"/>
    <w:rsid w:val="00931CE2"/>
    <w:rsid w:val="00931F6A"/>
    <w:rsid w:val="00932055"/>
    <w:rsid w:val="00932242"/>
    <w:rsid w:val="009322C8"/>
    <w:rsid w:val="00932822"/>
    <w:rsid w:val="00932850"/>
    <w:rsid w:val="00932DF3"/>
    <w:rsid w:val="00932E7F"/>
    <w:rsid w:val="00933376"/>
    <w:rsid w:val="0093347F"/>
    <w:rsid w:val="009337A0"/>
    <w:rsid w:val="00933EEA"/>
    <w:rsid w:val="009343CB"/>
    <w:rsid w:val="00934649"/>
    <w:rsid w:val="00934D0A"/>
    <w:rsid w:val="00935151"/>
    <w:rsid w:val="00935CB7"/>
    <w:rsid w:val="009367C4"/>
    <w:rsid w:val="0093728F"/>
    <w:rsid w:val="00940223"/>
    <w:rsid w:val="009406BA"/>
    <w:rsid w:val="00940B31"/>
    <w:rsid w:val="00940C1E"/>
    <w:rsid w:val="00940D5A"/>
    <w:rsid w:val="00941153"/>
    <w:rsid w:val="00941281"/>
    <w:rsid w:val="00941692"/>
    <w:rsid w:val="00941B10"/>
    <w:rsid w:val="00941CC3"/>
    <w:rsid w:val="00941E92"/>
    <w:rsid w:val="009422B0"/>
    <w:rsid w:val="0094233E"/>
    <w:rsid w:val="00942481"/>
    <w:rsid w:val="009424BF"/>
    <w:rsid w:val="00942763"/>
    <w:rsid w:val="009427B2"/>
    <w:rsid w:val="00942B91"/>
    <w:rsid w:val="00943277"/>
    <w:rsid w:val="0094339B"/>
    <w:rsid w:val="00943B01"/>
    <w:rsid w:val="009445E9"/>
    <w:rsid w:val="0094468E"/>
    <w:rsid w:val="00944CB4"/>
    <w:rsid w:val="00944E18"/>
    <w:rsid w:val="00945608"/>
    <w:rsid w:val="00945611"/>
    <w:rsid w:val="00945E46"/>
    <w:rsid w:val="00946053"/>
    <w:rsid w:val="00946228"/>
    <w:rsid w:val="0094734F"/>
    <w:rsid w:val="009501CA"/>
    <w:rsid w:val="009504C6"/>
    <w:rsid w:val="0095097A"/>
    <w:rsid w:val="00950AF1"/>
    <w:rsid w:val="00950BE7"/>
    <w:rsid w:val="00951624"/>
    <w:rsid w:val="009520BA"/>
    <w:rsid w:val="00952899"/>
    <w:rsid w:val="009533BE"/>
    <w:rsid w:val="00953ACA"/>
    <w:rsid w:val="00953E91"/>
    <w:rsid w:val="009544FC"/>
    <w:rsid w:val="009545A0"/>
    <w:rsid w:val="00954B61"/>
    <w:rsid w:val="009554C6"/>
    <w:rsid w:val="009558F8"/>
    <w:rsid w:val="009559F6"/>
    <w:rsid w:val="009568EB"/>
    <w:rsid w:val="009570A5"/>
    <w:rsid w:val="009578F9"/>
    <w:rsid w:val="00957E59"/>
    <w:rsid w:val="00957F58"/>
    <w:rsid w:val="009602F8"/>
    <w:rsid w:val="00960B70"/>
    <w:rsid w:val="00960C05"/>
    <w:rsid w:val="00960C6C"/>
    <w:rsid w:val="00960D4E"/>
    <w:rsid w:val="00960E9D"/>
    <w:rsid w:val="009611EF"/>
    <w:rsid w:val="00961429"/>
    <w:rsid w:val="009615CE"/>
    <w:rsid w:val="00961776"/>
    <w:rsid w:val="0096202E"/>
    <w:rsid w:val="009624A4"/>
    <w:rsid w:val="00962541"/>
    <w:rsid w:val="00962638"/>
    <w:rsid w:val="009626A6"/>
    <w:rsid w:val="0096275B"/>
    <w:rsid w:val="00962BE4"/>
    <w:rsid w:val="00962BE9"/>
    <w:rsid w:val="009635C9"/>
    <w:rsid w:val="0096361C"/>
    <w:rsid w:val="00963CF7"/>
    <w:rsid w:val="00963E33"/>
    <w:rsid w:val="00964998"/>
    <w:rsid w:val="00964C70"/>
    <w:rsid w:val="00964EA0"/>
    <w:rsid w:val="009650F5"/>
    <w:rsid w:val="00966008"/>
    <w:rsid w:val="00967B0B"/>
    <w:rsid w:val="00967D72"/>
    <w:rsid w:val="0096DCD1"/>
    <w:rsid w:val="00970043"/>
    <w:rsid w:val="009706ED"/>
    <w:rsid w:val="00970755"/>
    <w:rsid w:val="009709AF"/>
    <w:rsid w:val="00971A19"/>
    <w:rsid w:val="00971F08"/>
    <w:rsid w:val="009720EF"/>
    <w:rsid w:val="009721AE"/>
    <w:rsid w:val="00972699"/>
    <w:rsid w:val="00972843"/>
    <w:rsid w:val="00972A46"/>
    <w:rsid w:val="00972AFF"/>
    <w:rsid w:val="00973320"/>
    <w:rsid w:val="00973690"/>
    <w:rsid w:val="00973CD7"/>
    <w:rsid w:val="00974698"/>
    <w:rsid w:val="00974E19"/>
    <w:rsid w:val="0097505E"/>
    <w:rsid w:val="009753B6"/>
    <w:rsid w:val="009757F9"/>
    <w:rsid w:val="009758AD"/>
    <w:rsid w:val="00975D55"/>
    <w:rsid w:val="0097613B"/>
    <w:rsid w:val="009775D5"/>
    <w:rsid w:val="0097789D"/>
    <w:rsid w:val="00977BA1"/>
    <w:rsid w:val="00977D7B"/>
    <w:rsid w:val="0098038F"/>
    <w:rsid w:val="0098103C"/>
    <w:rsid w:val="0098110F"/>
    <w:rsid w:val="00981311"/>
    <w:rsid w:val="009814F0"/>
    <w:rsid w:val="00981D4E"/>
    <w:rsid w:val="009821D0"/>
    <w:rsid w:val="009828EF"/>
    <w:rsid w:val="00982F5B"/>
    <w:rsid w:val="0098336B"/>
    <w:rsid w:val="00983789"/>
    <w:rsid w:val="0098414F"/>
    <w:rsid w:val="00984339"/>
    <w:rsid w:val="00984531"/>
    <w:rsid w:val="0098470E"/>
    <w:rsid w:val="00984766"/>
    <w:rsid w:val="00985095"/>
    <w:rsid w:val="00985A17"/>
    <w:rsid w:val="00985B8B"/>
    <w:rsid w:val="009861E9"/>
    <w:rsid w:val="0098627C"/>
    <w:rsid w:val="009863EF"/>
    <w:rsid w:val="00986542"/>
    <w:rsid w:val="00986A6D"/>
    <w:rsid w:val="00987480"/>
    <w:rsid w:val="00987650"/>
    <w:rsid w:val="009877C9"/>
    <w:rsid w:val="0098796D"/>
    <w:rsid w:val="00987E8A"/>
    <w:rsid w:val="00987EA0"/>
    <w:rsid w:val="00990027"/>
    <w:rsid w:val="00990861"/>
    <w:rsid w:val="00990CC9"/>
    <w:rsid w:val="00991EC7"/>
    <w:rsid w:val="00991F5D"/>
    <w:rsid w:val="00992156"/>
    <w:rsid w:val="0099239A"/>
    <w:rsid w:val="0099248C"/>
    <w:rsid w:val="0099284B"/>
    <w:rsid w:val="0099298C"/>
    <w:rsid w:val="0099327A"/>
    <w:rsid w:val="0099343B"/>
    <w:rsid w:val="009934FE"/>
    <w:rsid w:val="00993B80"/>
    <w:rsid w:val="00993C6A"/>
    <w:rsid w:val="00994481"/>
    <w:rsid w:val="009947F6"/>
    <w:rsid w:val="00994858"/>
    <w:rsid w:val="00994FE3"/>
    <w:rsid w:val="009958CF"/>
    <w:rsid w:val="0099593E"/>
    <w:rsid w:val="00995940"/>
    <w:rsid w:val="00996377"/>
    <w:rsid w:val="00996425"/>
    <w:rsid w:val="0099664D"/>
    <w:rsid w:val="00996A49"/>
    <w:rsid w:val="00996AE8"/>
    <w:rsid w:val="00996BF1"/>
    <w:rsid w:val="00997050"/>
    <w:rsid w:val="009976B2"/>
    <w:rsid w:val="009978F6"/>
    <w:rsid w:val="009A017F"/>
    <w:rsid w:val="009A01ED"/>
    <w:rsid w:val="009A02A0"/>
    <w:rsid w:val="009A0632"/>
    <w:rsid w:val="009A0F9B"/>
    <w:rsid w:val="009A1B75"/>
    <w:rsid w:val="009A1E66"/>
    <w:rsid w:val="009A2CAB"/>
    <w:rsid w:val="009A39B4"/>
    <w:rsid w:val="009A3A05"/>
    <w:rsid w:val="009A452E"/>
    <w:rsid w:val="009A4FEB"/>
    <w:rsid w:val="009A652B"/>
    <w:rsid w:val="009A67FB"/>
    <w:rsid w:val="009A6E1D"/>
    <w:rsid w:val="009A6EA5"/>
    <w:rsid w:val="009A72F8"/>
    <w:rsid w:val="009A7987"/>
    <w:rsid w:val="009A7B92"/>
    <w:rsid w:val="009A7F98"/>
    <w:rsid w:val="009B047F"/>
    <w:rsid w:val="009B06C7"/>
    <w:rsid w:val="009B07C7"/>
    <w:rsid w:val="009B09E8"/>
    <w:rsid w:val="009B0BF8"/>
    <w:rsid w:val="009B1120"/>
    <w:rsid w:val="009B11EE"/>
    <w:rsid w:val="009B1A85"/>
    <w:rsid w:val="009B2046"/>
    <w:rsid w:val="009B209A"/>
    <w:rsid w:val="009B2394"/>
    <w:rsid w:val="009B24B5"/>
    <w:rsid w:val="009B2531"/>
    <w:rsid w:val="009B25FB"/>
    <w:rsid w:val="009B2C44"/>
    <w:rsid w:val="009B3163"/>
    <w:rsid w:val="009B3C6E"/>
    <w:rsid w:val="009B4E6D"/>
    <w:rsid w:val="009B4E7C"/>
    <w:rsid w:val="009B52B8"/>
    <w:rsid w:val="009B53CE"/>
    <w:rsid w:val="009B6A86"/>
    <w:rsid w:val="009B6C05"/>
    <w:rsid w:val="009B6FB1"/>
    <w:rsid w:val="009B7245"/>
    <w:rsid w:val="009B7278"/>
    <w:rsid w:val="009B72FF"/>
    <w:rsid w:val="009B7C15"/>
    <w:rsid w:val="009B7DEB"/>
    <w:rsid w:val="009B7EA2"/>
    <w:rsid w:val="009B7FAE"/>
    <w:rsid w:val="009C037D"/>
    <w:rsid w:val="009C0912"/>
    <w:rsid w:val="009C13A0"/>
    <w:rsid w:val="009C1722"/>
    <w:rsid w:val="009C183E"/>
    <w:rsid w:val="009C18F8"/>
    <w:rsid w:val="009C1ED8"/>
    <w:rsid w:val="009C1FF3"/>
    <w:rsid w:val="009C218F"/>
    <w:rsid w:val="009C219A"/>
    <w:rsid w:val="009C24B2"/>
    <w:rsid w:val="009C33FD"/>
    <w:rsid w:val="009C39CC"/>
    <w:rsid w:val="009C413F"/>
    <w:rsid w:val="009C486B"/>
    <w:rsid w:val="009C4AE3"/>
    <w:rsid w:val="009C55D4"/>
    <w:rsid w:val="009C6CC6"/>
    <w:rsid w:val="009C6D6E"/>
    <w:rsid w:val="009C71FC"/>
    <w:rsid w:val="009C74B9"/>
    <w:rsid w:val="009C74F0"/>
    <w:rsid w:val="009C7B29"/>
    <w:rsid w:val="009D0114"/>
    <w:rsid w:val="009D02A0"/>
    <w:rsid w:val="009D04A7"/>
    <w:rsid w:val="009D04BD"/>
    <w:rsid w:val="009D18B9"/>
    <w:rsid w:val="009D2036"/>
    <w:rsid w:val="009D24D8"/>
    <w:rsid w:val="009D2662"/>
    <w:rsid w:val="009D275F"/>
    <w:rsid w:val="009D2D2D"/>
    <w:rsid w:val="009D36AA"/>
    <w:rsid w:val="009D4158"/>
    <w:rsid w:val="009D42CC"/>
    <w:rsid w:val="009D4720"/>
    <w:rsid w:val="009D4E42"/>
    <w:rsid w:val="009D4FB9"/>
    <w:rsid w:val="009D5568"/>
    <w:rsid w:val="009D58A4"/>
    <w:rsid w:val="009D66E9"/>
    <w:rsid w:val="009D6AB3"/>
    <w:rsid w:val="009D6F03"/>
    <w:rsid w:val="009D6F41"/>
    <w:rsid w:val="009D764D"/>
    <w:rsid w:val="009D765D"/>
    <w:rsid w:val="009D7711"/>
    <w:rsid w:val="009D7C5E"/>
    <w:rsid w:val="009E010C"/>
    <w:rsid w:val="009E03C7"/>
    <w:rsid w:val="009E0B21"/>
    <w:rsid w:val="009E0BC7"/>
    <w:rsid w:val="009E1053"/>
    <w:rsid w:val="009E10B8"/>
    <w:rsid w:val="009E1174"/>
    <w:rsid w:val="009E11B8"/>
    <w:rsid w:val="009E12BF"/>
    <w:rsid w:val="009E1606"/>
    <w:rsid w:val="009E20A9"/>
    <w:rsid w:val="009E20C4"/>
    <w:rsid w:val="009E269B"/>
    <w:rsid w:val="009E26D5"/>
    <w:rsid w:val="009E2998"/>
    <w:rsid w:val="009E2C87"/>
    <w:rsid w:val="009E2CD4"/>
    <w:rsid w:val="009E2E59"/>
    <w:rsid w:val="009E2F44"/>
    <w:rsid w:val="009E35F7"/>
    <w:rsid w:val="009E3992"/>
    <w:rsid w:val="009E4AC2"/>
    <w:rsid w:val="009E4DC4"/>
    <w:rsid w:val="009E5B52"/>
    <w:rsid w:val="009E6381"/>
    <w:rsid w:val="009E64A3"/>
    <w:rsid w:val="009E65A1"/>
    <w:rsid w:val="009E735C"/>
    <w:rsid w:val="009E75DA"/>
    <w:rsid w:val="009E7B41"/>
    <w:rsid w:val="009F04E1"/>
    <w:rsid w:val="009F07C1"/>
    <w:rsid w:val="009F0C69"/>
    <w:rsid w:val="009F1303"/>
    <w:rsid w:val="009F15EB"/>
    <w:rsid w:val="009F15F0"/>
    <w:rsid w:val="009F174F"/>
    <w:rsid w:val="009F20F0"/>
    <w:rsid w:val="009F2474"/>
    <w:rsid w:val="009F2C8C"/>
    <w:rsid w:val="009F3131"/>
    <w:rsid w:val="009F3262"/>
    <w:rsid w:val="009F36E5"/>
    <w:rsid w:val="009F3803"/>
    <w:rsid w:val="009F3B5E"/>
    <w:rsid w:val="009F3FCC"/>
    <w:rsid w:val="009F4927"/>
    <w:rsid w:val="009F4E5C"/>
    <w:rsid w:val="009F5331"/>
    <w:rsid w:val="009F6216"/>
    <w:rsid w:val="009F67C6"/>
    <w:rsid w:val="009F6A82"/>
    <w:rsid w:val="009F6AD4"/>
    <w:rsid w:val="009F6C28"/>
    <w:rsid w:val="009F7152"/>
    <w:rsid w:val="009F7854"/>
    <w:rsid w:val="009F7A8B"/>
    <w:rsid w:val="00A00717"/>
    <w:rsid w:val="00A00C68"/>
    <w:rsid w:val="00A00D94"/>
    <w:rsid w:val="00A012E6"/>
    <w:rsid w:val="00A01646"/>
    <w:rsid w:val="00A019F3"/>
    <w:rsid w:val="00A01F43"/>
    <w:rsid w:val="00A02044"/>
    <w:rsid w:val="00A024FA"/>
    <w:rsid w:val="00A02602"/>
    <w:rsid w:val="00A02809"/>
    <w:rsid w:val="00A02C71"/>
    <w:rsid w:val="00A037F8"/>
    <w:rsid w:val="00A043F6"/>
    <w:rsid w:val="00A05075"/>
    <w:rsid w:val="00A053F2"/>
    <w:rsid w:val="00A055C1"/>
    <w:rsid w:val="00A056E8"/>
    <w:rsid w:val="00A05D53"/>
    <w:rsid w:val="00A06161"/>
    <w:rsid w:val="00A062D0"/>
    <w:rsid w:val="00A0657A"/>
    <w:rsid w:val="00A0680E"/>
    <w:rsid w:val="00A0768C"/>
    <w:rsid w:val="00A10392"/>
    <w:rsid w:val="00A1081E"/>
    <w:rsid w:val="00A10D83"/>
    <w:rsid w:val="00A10F82"/>
    <w:rsid w:val="00A112DF"/>
    <w:rsid w:val="00A11E0D"/>
    <w:rsid w:val="00A11F7D"/>
    <w:rsid w:val="00A11FA2"/>
    <w:rsid w:val="00A12107"/>
    <w:rsid w:val="00A12170"/>
    <w:rsid w:val="00A12F5D"/>
    <w:rsid w:val="00A1366A"/>
    <w:rsid w:val="00A1375B"/>
    <w:rsid w:val="00A13D49"/>
    <w:rsid w:val="00A151A5"/>
    <w:rsid w:val="00A15569"/>
    <w:rsid w:val="00A15614"/>
    <w:rsid w:val="00A16862"/>
    <w:rsid w:val="00A20253"/>
    <w:rsid w:val="00A206F9"/>
    <w:rsid w:val="00A21A3B"/>
    <w:rsid w:val="00A22826"/>
    <w:rsid w:val="00A233A2"/>
    <w:rsid w:val="00A24C7A"/>
    <w:rsid w:val="00A24C92"/>
    <w:rsid w:val="00A24FDB"/>
    <w:rsid w:val="00A25270"/>
    <w:rsid w:val="00A2581E"/>
    <w:rsid w:val="00A25A1E"/>
    <w:rsid w:val="00A25A50"/>
    <w:rsid w:val="00A25BF9"/>
    <w:rsid w:val="00A27570"/>
    <w:rsid w:val="00A276EE"/>
    <w:rsid w:val="00A2775F"/>
    <w:rsid w:val="00A27B9C"/>
    <w:rsid w:val="00A27BD2"/>
    <w:rsid w:val="00A308B1"/>
    <w:rsid w:val="00A30A23"/>
    <w:rsid w:val="00A3132D"/>
    <w:rsid w:val="00A31D1B"/>
    <w:rsid w:val="00A3246E"/>
    <w:rsid w:val="00A3300A"/>
    <w:rsid w:val="00A33773"/>
    <w:rsid w:val="00A338BB"/>
    <w:rsid w:val="00A339CC"/>
    <w:rsid w:val="00A33DAF"/>
    <w:rsid w:val="00A33F2B"/>
    <w:rsid w:val="00A34902"/>
    <w:rsid w:val="00A34AA1"/>
    <w:rsid w:val="00A34C42"/>
    <w:rsid w:val="00A353C2"/>
    <w:rsid w:val="00A354D3"/>
    <w:rsid w:val="00A357AE"/>
    <w:rsid w:val="00A35A0E"/>
    <w:rsid w:val="00A36574"/>
    <w:rsid w:val="00A368EC"/>
    <w:rsid w:val="00A36AD7"/>
    <w:rsid w:val="00A4035F"/>
    <w:rsid w:val="00A406AB"/>
    <w:rsid w:val="00A4084F"/>
    <w:rsid w:val="00A40E26"/>
    <w:rsid w:val="00A41D23"/>
    <w:rsid w:val="00A42B3F"/>
    <w:rsid w:val="00A4339D"/>
    <w:rsid w:val="00A43500"/>
    <w:rsid w:val="00A43554"/>
    <w:rsid w:val="00A44933"/>
    <w:rsid w:val="00A44E6F"/>
    <w:rsid w:val="00A45559"/>
    <w:rsid w:val="00A45A6F"/>
    <w:rsid w:val="00A45C87"/>
    <w:rsid w:val="00A46143"/>
    <w:rsid w:val="00A461AF"/>
    <w:rsid w:val="00A461F1"/>
    <w:rsid w:val="00A46631"/>
    <w:rsid w:val="00A4694E"/>
    <w:rsid w:val="00A46B31"/>
    <w:rsid w:val="00A46D67"/>
    <w:rsid w:val="00A47365"/>
    <w:rsid w:val="00A47421"/>
    <w:rsid w:val="00A47451"/>
    <w:rsid w:val="00A477AE"/>
    <w:rsid w:val="00A47A2A"/>
    <w:rsid w:val="00A47CDD"/>
    <w:rsid w:val="00A47DFC"/>
    <w:rsid w:val="00A47E88"/>
    <w:rsid w:val="00A501C7"/>
    <w:rsid w:val="00A517C3"/>
    <w:rsid w:val="00A5223B"/>
    <w:rsid w:val="00A5268F"/>
    <w:rsid w:val="00A52C75"/>
    <w:rsid w:val="00A52E46"/>
    <w:rsid w:val="00A53D40"/>
    <w:rsid w:val="00A53E2B"/>
    <w:rsid w:val="00A5427E"/>
    <w:rsid w:val="00A5498B"/>
    <w:rsid w:val="00A54F9E"/>
    <w:rsid w:val="00A55252"/>
    <w:rsid w:val="00A557D6"/>
    <w:rsid w:val="00A55B81"/>
    <w:rsid w:val="00A55F2F"/>
    <w:rsid w:val="00A55FBC"/>
    <w:rsid w:val="00A563F4"/>
    <w:rsid w:val="00A56840"/>
    <w:rsid w:val="00A56A0B"/>
    <w:rsid w:val="00A5742E"/>
    <w:rsid w:val="00A57A40"/>
    <w:rsid w:val="00A6061F"/>
    <w:rsid w:val="00A608D2"/>
    <w:rsid w:val="00A61004"/>
    <w:rsid w:val="00A612DF"/>
    <w:rsid w:val="00A61539"/>
    <w:rsid w:val="00A615A7"/>
    <w:rsid w:val="00A61601"/>
    <w:rsid w:val="00A61741"/>
    <w:rsid w:val="00A619C7"/>
    <w:rsid w:val="00A61F69"/>
    <w:rsid w:val="00A6209F"/>
    <w:rsid w:val="00A6260A"/>
    <w:rsid w:val="00A62681"/>
    <w:rsid w:val="00A63055"/>
    <w:rsid w:val="00A63386"/>
    <w:rsid w:val="00A63428"/>
    <w:rsid w:val="00A6367C"/>
    <w:rsid w:val="00A63BD8"/>
    <w:rsid w:val="00A63D9F"/>
    <w:rsid w:val="00A63EBA"/>
    <w:rsid w:val="00A6468A"/>
    <w:rsid w:val="00A64959"/>
    <w:rsid w:val="00A64B9B"/>
    <w:rsid w:val="00A64E60"/>
    <w:rsid w:val="00A651C2"/>
    <w:rsid w:val="00A65AD0"/>
    <w:rsid w:val="00A66004"/>
    <w:rsid w:val="00A6641A"/>
    <w:rsid w:val="00A66425"/>
    <w:rsid w:val="00A67B5B"/>
    <w:rsid w:val="00A67DDD"/>
    <w:rsid w:val="00A70C2B"/>
    <w:rsid w:val="00A70FAA"/>
    <w:rsid w:val="00A71B4E"/>
    <w:rsid w:val="00A7281B"/>
    <w:rsid w:val="00A72BA6"/>
    <w:rsid w:val="00A73438"/>
    <w:rsid w:val="00A738B8"/>
    <w:rsid w:val="00A73B4A"/>
    <w:rsid w:val="00A74458"/>
    <w:rsid w:val="00A745F8"/>
    <w:rsid w:val="00A74C34"/>
    <w:rsid w:val="00A75227"/>
    <w:rsid w:val="00A75841"/>
    <w:rsid w:val="00A75AB3"/>
    <w:rsid w:val="00A75C30"/>
    <w:rsid w:val="00A76459"/>
    <w:rsid w:val="00A76693"/>
    <w:rsid w:val="00A76B1E"/>
    <w:rsid w:val="00A77289"/>
    <w:rsid w:val="00A7777C"/>
    <w:rsid w:val="00A77921"/>
    <w:rsid w:val="00A77CBA"/>
    <w:rsid w:val="00A800FE"/>
    <w:rsid w:val="00A8019E"/>
    <w:rsid w:val="00A8021F"/>
    <w:rsid w:val="00A802A0"/>
    <w:rsid w:val="00A80569"/>
    <w:rsid w:val="00A80AF1"/>
    <w:rsid w:val="00A80BB8"/>
    <w:rsid w:val="00A80F92"/>
    <w:rsid w:val="00A81002"/>
    <w:rsid w:val="00A811EE"/>
    <w:rsid w:val="00A816FC"/>
    <w:rsid w:val="00A82046"/>
    <w:rsid w:val="00A824A4"/>
    <w:rsid w:val="00A82702"/>
    <w:rsid w:val="00A82B5D"/>
    <w:rsid w:val="00A83089"/>
    <w:rsid w:val="00A8365C"/>
    <w:rsid w:val="00A83777"/>
    <w:rsid w:val="00A83C95"/>
    <w:rsid w:val="00A840D5"/>
    <w:rsid w:val="00A842ED"/>
    <w:rsid w:val="00A84D37"/>
    <w:rsid w:val="00A856DB"/>
    <w:rsid w:val="00A857D0"/>
    <w:rsid w:val="00A85F7A"/>
    <w:rsid w:val="00A86026"/>
    <w:rsid w:val="00A86F50"/>
    <w:rsid w:val="00A90419"/>
    <w:rsid w:val="00A90AD0"/>
    <w:rsid w:val="00A91753"/>
    <w:rsid w:val="00A91FD3"/>
    <w:rsid w:val="00A9275E"/>
    <w:rsid w:val="00A928CC"/>
    <w:rsid w:val="00A92C21"/>
    <w:rsid w:val="00A93105"/>
    <w:rsid w:val="00A93234"/>
    <w:rsid w:val="00A93773"/>
    <w:rsid w:val="00A94496"/>
    <w:rsid w:val="00A946CC"/>
    <w:rsid w:val="00A95417"/>
    <w:rsid w:val="00A95AD8"/>
    <w:rsid w:val="00A95BEC"/>
    <w:rsid w:val="00A96081"/>
    <w:rsid w:val="00A96192"/>
    <w:rsid w:val="00A968C6"/>
    <w:rsid w:val="00A9692B"/>
    <w:rsid w:val="00A96B07"/>
    <w:rsid w:val="00A97770"/>
    <w:rsid w:val="00A97BE8"/>
    <w:rsid w:val="00AA009A"/>
    <w:rsid w:val="00AA0122"/>
    <w:rsid w:val="00AA0A03"/>
    <w:rsid w:val="00AA13B7"/>
    <w:rsid w:val="00AA1626"/>
    <w:rsid w:val="00AA25E2"/>
    <w:rsid w:val="00AA26EC"/>
    <w:rsid w:val="00AA2C81"/>
    <w:rsid w:val="00AA31D2"/>
    <w:rsid w:val="00AA34A2"/>
    <w:rsid w:val="00AA34BA"/>
    <w:rsid w:val="00AA3D29"/>
    <w:rsid w:val="00AA4451"/>
    <w:rsid w:val="00AA4C5B"/>
    <w:rsid w:val="00AA4D14"/>
    <w:rsid w:val="00AA662D"/>
    <w:rsid w:val="00AA68F6"/>
    <w:rsid w:val="00AA708A"/>
    <w:rsid w:val="00AA7774"/>
    <w:rsid w:val="00AA7ACF"/>
    <w:rsid w:val="00AB0CA4"/>
    <w:rsid w:val="00AB0EA0"/>
    <w:rsid w:val="00AB1345"/>
    <w:rsid w:val="00AB13CC"/>
    <w:rsid w:val="00AB1DDA"/>
    <w:rsid w:val="00AB2C6A"/>
    <w:rsid w:val="00AB30B0"/>
    <w:rsid w:val="00AB3418"/>
    <w:rsid w:val="00AB3A63"/>
    <w:rsid w:val="00AB438C"/>
    <w:rsid w:val="00AB4A41"/>
    <w:rsid w:val="00AB4A52"/>
    <w:rsid w:val="00AB4CB3"/>
    <w:rsid w:val="00AB4FE5"/>
    <w:rsid w:val="00AB4FF7"/>
    <w:rsid w:val="00AB5314"/>
    <w:rsid w:val="00AB5620"/>
    <w:rsid w:val="00AB56A0"/>
    <w:rsid w:val="00AB58B0"/>
    <w:rsid w:val="00AB5A5B"/>
    <w:rsid w:val="00AB5DD0"/>
    <w:rsid w:val="00AB6005"/>
    <w:rsid w:val="00AB6866"/>
    <w:rsid w:val="00AB730D"/>
    <w:rsid w:val="00AC0379"/>
    <w:rsid w:val="00AC04B7"/>
    <w:rsid w:val="00AC0522"/>
    <w:rsid w:val="00AC06A7"/>
    <w:rsid w:val="00AC0BB5"/>
    <w:rsid w:val="00AC0BFD"/>
    <w:rsid w:val="00AC1276"/>
    <w:rsid w:val="00AC152C"/>
    <w:rsid w:val="00AC1B4E"/>
    <w:rsid w:val="00AC1EDD"/>
    <w:rsid w:val="00AC25E2"/>
    <w:rsid w:val="00AC2ECB"/>
    <w:rsid w:val="00AC308B"/>
    <w:rsid w:val="00AC30A1"/>
    <w:rsid w:val="00AC32E5"/>
    <w:rsid w:val="00AC4417"/>
    <w:rsid w:val="00AC49E9"/>
    <w:rsid w:val="00AC5799"/>
    <w:rsid w:val="00AC5DBC"/>
    <w:rsid w:val="00AC5DD8"/>
    <w:rsid w:val="00AC6191"/>
    <w:rsid w:val="00AC63EE"/>
    <w:rsid w:val="00AC6639"/>
    <w:rsid w:val="00AC69D8"/>
    <w:rsid w:val="00AC6BAF"/>
    <w:rsid w:val="00AC6E0B"/>
    <w:rsid w:val="00AC6EF1"/>
    <w:rsid w:val="00AD06F9"/>
    <w:rsid w:val="00AD1536"/>
    <w:rsid w:val="00AD187E"/>
    <w:rsid w:val="00AD1D79"/>
    <w:rsid w:val="00AD270E"/>
    <w:rsid w:val="00AD2CD6"/>
    <w:rsid w:val="00AD2FCE"/>
    <w:rsid w:val="00AD30DA"/>
    <w:rsid w:val="00AD3797"/>
    <w:rsid w:val="00AD3A02"/>
    <w:rsid w:val="00AD3BA5"/>
    <w:rsid w:val="00AD3DDF"/>
    <w:rsid w:val="00AD4089"/>
    <w:rsid w:val="00AD43CC"/>
    <w:rsid w:val="00AD44B0"/>
    <w:rsid w:val="00AD4AA7"/>
    <w:rsid w:val="00AD4F36"/>
    <w:rsid w:val="00AD525E"/>
    <w:rsid w:val="00AD5549"/>
    <w:rsid w:val="00AD56B0"/>
    <w:rsid w:val="00AD789C"/>
    <w:rsid w:val="00AD7D4D"/>
    <w:rsid w:val="00AE0335"/>
    <w:rsid w:val="00AE1822"/>
    <w:rsid w:val="00AE1D9E"/>
    <w:rsid w:val="00AE1E52"/>
    <w:rsid w:val="00AE233A"/>
    <w:rsid w:val="00AE31EF"/>
    <w:rsid w:val="00AE3F05"/>
    <w:rsid w:val="00AE4618"/>
    <w:rsid w:val="00AE4A0F"/>
    <w:rsid w:val="00AE54AB"/>
    <w:rsid w:val="00AE5886"/>
    <w:rsid w:val="00AE62A8"/>
    <w:rsid w:val="00AE7337"/>
    <w:rsid w:val="00AE759F"/>
    <w:rsid w:val="00AF00FA"/>
    <w:rsid w:val="00AF0341"/>
    <w:rsid w:val="00AF16E7"/>
    <w:rsid w:val="00AF17B3"/>
    <w:rsid w:val="00AF1C35"/>
    <w:rsid w:val="00AF2B05"/>
    <w:rsid w:val="00AF2E45"/>
    <w:rsid w:val="00AF2E7C"/>
    <w:rsid w:val="00AF31BB"/>
    <w:rsid w:val="00AF34B1"/>
    <w:rsid w:val="00AF3893"/>
    <w:rsid w:val="00AF411F"/>
    <w:rsid w:val="00AF41B5"/>
    <w:rsid w:val="00AF43E6"/>
    <w:rsid w:val="00AF446A"/>
    <w:rsid w:val="00AF4953"/>
    <w:rsid w:val="00AF4C55"/>
    <w:rsid w:val="00AF4FFB"/>
    <w:rsid w:val="00AF5213"/>
    <w:rsid w:val="00AF5316"/>
    <w:rsid w:val="00AF55F3"/>
    <w:rsid w:val="00AF56E4"/>
    <w:rsid w:val="00AF587E"/>
    <w:rsid w:val="00AF6529"/>
    <w:rsid w:val="00AF6957"/>
    <w:rsid w:val="00AF7A46"/>
    <w:rsid w:val="00AF7B41"/>
    <w:rsid w:val="00AF7F8E"/>
    <w:rsid w:val="00AF7FB9"/>
    <w:rsid w:val="00AF7FBD"/>
    <w:rsid w:val="00B00347"/>
    <w:rsid w:val="00B007B5"/>
    <w:rsid w:val="00B00907"/>
    <w:rsid w:val="00B00B76"/>
    <w:rsid w:val="00B00D84"/>
    <w:rsid w:val="00B017A5"/>
    <w:rsid w:val="00B01EF8"/>
    <w:rsid w:val="00B01F00"/>
    <w:rsid w:val="00B02732"/>
    <w:rsid w:val="00B03103"/>
    <w:rsid w:val="00B03259"/>
    <w:rsid w:val="00B032A5"/>
    <w:rsid w:val="00B04742"/>
    <w:rsid w:val="00B04DAB"/>
    <w:rsid w:val="00B050EE"/>
    <w:rsid w:val="00B05254"/>
    <w:rsid w:val="00B066EA"/>
    <w:rsid w:val="00B06993"/>
    <w:rsid w:val="00B06A1F"/>
    <w:rsid w:val="00B073E7"/>
    <w:rsid w:val="00B07A95"/>
    <w:rsid w:val="00B100CC"/>
    <w:rsid w:val="00B1057B"/>
    <w:rsid w:val="00B10B8F"/>
    <w:rsid w:val="00B10B91"/>
    <w:rsid w:val="00B10C1E"/>
    <w:rsid w:val="00B10C3A"/>
    <w:rsid w:val="00B10D0E"/>
    <w:rsid w:val="00B11416"/>
    <w:rsid w:val="00B11487"/>
    <w:rsid w:val="00B1185B"/>
    <w:rsid w:val="00B119D5"/>
    <w:rsid w:val="00B11C16"/>
    <w:rsid w:val="00B11E16"/>
    <w:rsid w:val="00B1224A"/>
    <w:rsid w:val="00B12300"/>
    <w:rsid w:val="00B136AE"/>
    <w:rsid w:val="00B14591"/>
    <w:rsid w:val="00B14ADF"/>
    <w:rsid w:val="00B14F1C"/>
    <w:rsid w:val="00B159DD"/>
    <w:rsid w:val="00B159E6"/>
    <w:rsid w:val="00B15FB9"/>
    <w:rsid w:val="00B1604E"/>
    <w:rsid w:val="00B16181"/>
    <w:rsid w:val="00B161B4"/>
    <w:rsid w:val="00B162D5"/>
    <w:rsid w:val="00B166C3"/>
    <w:rsid w:val="00B167D4"/>
    <w:rsid w:val="00B168A6"/>
    <w:rsid w:val="00B16946"/>
    <w:rsid w:val="00B16EF2"/>
    <w:rsid w:val="00B174E7"/>
    <w:rsid w:val="00B17C24"/>
    <w:rsid w:val="00B17D8F"/>
    <w:rsid w:val="00B17FF9"/>
    <w:rsid w:val="00B203D1"/>
    <w:rsid w:val="00B2049F"/>
    <w:rsid w:val="00B21CF7"/>
    <w:rsid w:val="00B21F4D"/>
    <w:rsid w:val="00B22373"/>
    <w:rsid w:val="00B224AB"/>
    <w:rsid w:val="00B22516"/>
    <w:rsid w:val="00B22D08"/>
    <w:rsid w:val="00B2324E"/>
    <w:rsid w:val="00B2348D"/>
    <w:rsid w:val="00B238DE"/>
    <w:rsid w:val="00B242ED"/>
    <w:rsid w:val="00B249BD"/>
    <w:rsid w:val="00B24D0A"/>
    <w:rsid w:val="00B2526E"/>
    <w:rsid w:val="00B25514"/>
    <w:rsid w:val="00B257F3"/>
    <w:rsid w:val="00B259D4"/>
    <w:rsid w:val="00B25AFF"/>
    <w:rsid w:val="00B25F69"/>
    <w:rsid w:val="00B25FC2"/>
    <w:rsid w:val="00B261B2"/>
    <w:rsid w:val="00B26256"/>
    <w:rsid w:val="00B269C1"/>
    <w:rsid w:val="00B2706E"/>
    <w:rsid w:val="00B271C4"/>
    <w:rsid w:val="00B274E2"/>
    <w:rsid w:val="00B276DA"/>
    <w:rsid w:val="00B276E1"/>
    <w:rsid w:val="00B27974"/>
    <w:rsid w:val="00B27F4D"/>
    <w:rsid w:val="00B303A2"/>
    <w:rsid w:val="00B30CE1"/>
    <w:rsid w:val="00B3144B"/>
    <w:rsid w:val="00B3167E"/>
    <w:rsid w:val="00B31849"/>
    <w:rsid w:val="00B318CC"/>
    <w:rsid w:val="00B31CC7"/>
    <w:rsid w:val="00B324BC"/>
    <w:rsid w:val="00B32755"/>
    <w:rsid w:val="00B332E1"/>
    <w:rsid w:val="00B33A51"/>
    <w:rsid w:val="00B33DBD"/>
    <w:rsid w:val="00B33E25"/>
    <w:rsid w:val="00B341BF"/>
    <w:rsid w:val="00B3441A"/>
    <w:rsid w:val="00B34485"/>
    <w:rsid w:val="00B35083"/>
    <w:rsid w:val="00B3560F"/>
    <w:rsid w:val="00B358D1"/>
    <w:rsid w:val="00B35E02"/>
    <w:rsid w:val="00B36015"/>
    <w:rsid w:val="00B362D5"/>
    <w:rsid w:val="00B36FD1"/>
    <w:rsid w:val="00B37555"/>
    <w:rsid w:val="00B37AE6"/>
    <w:rsid w:val="00B4077E"/>
    <w:rsid w:val="00B40B29"/>
    <w:rsid w:val="00B411BC"/>
    <w:rsid w:val="00B41D7D"/>
    <w:rsid w:val="00B42066"/>
    <w:rsid w:val="00B429C5"/>
    <w:rsid w:val="00B42DB8"/>
    <w:rsid w:val="00B436AD"/>
    <w:rsid w:val="00B4458B"/>
    <w:rsid w:val="00B46664"/>
    <w:rsid w:val="00B467AC"/>
    <w:rsid w:val="00B46A42"/>
    <w:rsid w:val="00B46FB6"/>
    <w:rsid w:val="00B46FC9"/>
    <w:rsid w:val="00B4797B"/>
    <w:rsid w:val="00B50223"/>
    <w:rsid w:val="00B5086D"/>
    <w:rsid w:val="00B50879"/>
    <w:rsid w:val="00B513EE"/>
    <w:rsid w:val="00B51550"/>
    <w:rsid w:val="00B529E7"/>
    <w:rsid w:val="00B52E41"/>
    <w:rsid w:val="00B53294"/>
    <w:rsid w:val="00B53733"/>
    <w:rsid w:val="00B539DC"/>
    <w:rsid w:val="00B53D95"/>
    <w:rsid w:val="00B54216"/>
    <w:rsid w:val="00B54749"/>
    <w:rsid w:val="00B54CF1"/>
    <w:rsid w:val="00B54FA0"/>
    <w:rsid w:val="00B55093"/>
    <w:rsid w:val="00B56597"/>
    <w:rsid w:val="00B56668"/>
    <w:rsid w:val="00B56B09"/>
    <w:rsid w:val="00B56C49"/>
    <w:rsid w:val="00B56D36"/>
    <w:rsid w:val="00B5707C"/>
    <w:rsid w:val="00B573BA"/>
    <w:rsid w:val="00B57816"/>
    <w:rsid w:val="00B578FA"/>
    <w:rsid w:val="00B57B4C"/>
    <w:rsid w:val="00B6054E"/>
    <w:rsid w:val="00B607F7"/>
    <w:rsid w:val="00B60B96"/>
    <w:rsid w:val="00B60E3F"/>
    <w:rsid w:val="00B61140"/>
    <w:rsid w:val="00B61503"/>
    <w:rsid w:val="00B61F23"/>
    <w:rsid w:val="00B62322"/>
    <w:rsid w:val="00B63366"/>
    <w:rsid w:val="00B6390A"/>
    <w:rsid w:val="00B63DFC"/>
    <w:rsid w:val="00B63F2E"/>
    <w:rsid w:val="00B649A3"/>
    <w:rsid w:val="00B6539F"/>
    <w:rsid w:val="00B66472"/>
    <w:rsid w:val="00B6647B"/>
    <w:rsid w:val="00B6653C"/>
    <w:rsid w:val="00B66C08"/>
    <w:rsid w:val="00B66C36"/>
    <w:rsid w:val="00B67B24"/>
    <w:rsid w:val="00B70091"/>
    <w:rsid w:val="00B70956"/>
    <w:rsid w:val="00B71285"/>
    <w:rsid w:val="00B71BA6"/>
    <w:rsid w:val="00B71CE5"/>
    <w:rsid w:val="00B71DEE"/>
    <w:rsid w:val="00B72B9F"/>
    <w:rsid w:val="00B730CE"/>
    <w:rsid w:val="00B73776"/>
    <w:rsid w:val="00B75884"/>
    <w:rsid w:val="00B75913"/>
    <w:rsid w:val="00B75D34"/>
    <w:rsid w:val="00B77120"/>
    <w:rsid w:val="00B77194"/>
    <w:rsid w:val="00B772A3"/>
    <w:rsid w:val="00B779D5"/>
    <w:rsid w:val="00B77C41"/>
    <w:rsid w:val="00B80000"/>
    <w:rsid w:val="00B800C4"/>
    <w:rsid w:val="00B80554"/>
    <w:rsid w:val="00B80756"/>
    <w:rsid w:val="00B80856"/>
    <w:rsid w:val="00B80B17"/>
    <w:rsid w:val="00B80FA7"/>
    <w:rsid w:val="00B81056"/>
    <w:rsid w:val="00B814A8"/>
    <w:rsid w:val="00B81A51"/>
    <w:rsid w:val="00B81BC5"/>
    <w:rsid w:val="00B82459"/>
    <w:rsid w:val="00B82B62"/>
    <w:rsid w:val="00B832E6"/>
    <w:rsid w:val="00B83916"/>
    <w:rsid w:val="00B845CD"/>
    <w:rsid w:val="00B846CF"/>
    <w:rsid w:val="00B84740"/>
    <w:rsid w:val="00B84ABE"/>
    <w:rsid w:val="00B84F57"/>
    <w:rsid w:val="00B85146"/>
    <w:rsid w:val="00B8553C"/>
    <w:rsid w:val="00B8580D"/>
    <w:rsid w:val="00B85B4E"/>
    <w:rsid w:val="00B85CDC"/>
    <w:rsid w:val="00B85CFE"/>
    <w:rsid w:val="00B861DC"/>
    <w:rsid w:val="00B86314"/>
    <w:rsid w:val="00B86D48"/>
    <w:rsid w:val="00B874B2"/>
    <w:rsid w:val="00B87575"/>
    <w:rsid w:val="00B878C6"/>
    <w:rsid w:val="00B87CC6"/>
    <w:rsid w:val="00B87E5F"/>
    <w:rsid w:val="00B9024E"/>
    <w:rsid w:val="00B9104B"/>
    <w:rsid w:val="00B924CC"/>
    <w:rsid w:val="00B929EE"/>
    <w:rsid w:val="00B92ADC"/>
    <w:rsid w:val="00B92DD3"/>
    <w:rsid w:val="00B9367E"/>
    <w:rsid w:val="00B937E9"/>
    <w:rsid w:val="00B93BC2"/>
    <w:rsid w:val="00B93E36"/>
    <w:rsid w:val="00B9438D"/>
    <w:rsid w:val="00B944B6"/>
    <w:rsid w:val="00B94999"/>
    <w:rsid w:val="00B94DFC"/>
    <w:rsid w:val="00B9514B"/>
    <w:rsid w:val="00B9542A"/>
    <w:rsid w:val="00B95611"/>
    <w:rsid w:val="00B957B8"/>
    <w:rsid w:val="00B95854"/>
    <w:rsid w:val="00B95F62"/>
    <w:rsid w:val="00B96082"/>
    <w:rsid w:val="00B9626F"/>
    <w:rsid w:val="00B96C80"/>
    <w:rsid w:val="00B9703D"/>
    <w:rsid w:val="00B970B6"/>
    <w:rsid w:val="00B973BA"/>
    <w:rsid w:val="00B97768"/>
    <w:rsid w:val="00B9795B"/>
    <w:rsid w:val="00BA0B14"/>
    <w:rsid w:val="00BA0D5E"/>
    <w:rsid w:val="00BA15BC"/>
    <w:rsid w:val="00BA1827"/>
    <w:rsid w:val="00BA1EDE"/>
    <w:rsid w:val="00BA2380"/>
    <w:rsid w:val="00BA25F3"/>
    <w:rsid w:val="00BA278B"/>
    <w:rsid w:val="00BA2BA8"/>
    <w:rsid w:val="00BA3229"/>
    <w:rsid w:val="00BA3BE2"/>
    <w:rsid w:val="00BA3C18"/>
    <w:rsid w:val="00BA3D23"/>
    <w:rsid w:val="00BA4596"/>
    <w:rsid w:val="00BA463B"/>
    <w:rsid w:val="00BA4C68"/>
    <w:rsid w:val="00BA5DD7"/>
    <w:rsid w:val="00BA5FD5"/>
    <w:rsid w:val="00BA61C8"/>
    <w:rsid w:val="00BA6751"/>
    <w:rsid w:val="00BA6E77"/>
    <w:rsid w:val="00BA72ED"/>
    <w:rsid w:val="00BA78C3"/>
    <w:rsid w:val="00BA7C50"/>
    <w:rsid w:val="00BA7CD6"/>
    <w:rsid w:val="00BB02E9"/>
    <w:rsid w:val="00BB0384"/>
    <w:rsid w:val="00BB0A00"/>
    <w:rsid w:val="00BB0C18"/>
    <w:rsid w:val="00BB0EC1"/>
    <w:rsid w:val="00BB0EE2"/>
    <w:rsid w:val="00BB10AB"/>
    <w:rsid w:val="00BB1BA4"/>
    <w:rsid w:val="00BB1C9C"/>
    <w:rsid w:val="00BB2553"/>
    <w:rsid w:val="00BB2DC4"/>
    <w:rsid w:val="00BB323F"/>
    <w:rsid w:val="00BB3CB8"/>
    <w:rsid w:val="00BB3D69"/>
    <w:rsid w:val="00BB4392"/>
    <w:rsid w:val="00BB4460"/>
    <w:rsid w:val="00BB5398"/>
    <w:rsid w:val="00BB5B05"/>
    <w:rsid w:val="00BB5CE5"/>
    <w:rsid w:val="00BB626F"/>
    <w:rsid w:val="00BB653D"/>
    <w:rsid w:val="00BB6540"/>
    <w:rsid w:val="00BB69EA"/>
    <w:rsid w:val="00BB6A38"/>
    <w:rsid w:val="00BB6CBD"/>
    <w:rsid w:val="00BB6DB9"/>
    <w:rsid w:val="00BB7729"/>
    <w:rsid w:val="00BB7FCF"/>
    <w:rsid w:val="00BC087D"/>
    <w:rsid w:val="00BC183B"/>
    <w:rsid w:val="00BC1A71"/>
    <w:rsid w:val="00BC1D50"/>
    <w:rsid w:val="00BC25A7"/>
    <w:rsid w:val="00BC274F"/>
    <w:rsid w:val="00BC2905"/>
    <w:rsid w:val="00BC29E2"/>
    <w:rsid w:val="00BC3574"/>
    <w:rsid w:val="00BC3D0C"/>
    <w:rsid w:val="00BC4553"/>
    <w:rsid w:val="00BC49A2"/>
    <w:rsid w:val="00BC5087"/>
    <w:rsid w:val="00BC541D"/>
    <w:rsid w:val="00BC589B"/>
    <w:rsid w:val="00BC5C14"/>
    <w:rsid w:val="00BC7529"/>
    <w:rsid w:val="00BD03E5"/>
    <w:rsid w:val="00BD0540"/>
    <w:rsid w:val="00BD0730"/>
    <w:rsid w:val="00BD0B84"/>
    <w:rsid w:val="00BD0D38"/>
    <w:rsid w:val="00BD0F47"/>
    <w:rsid w:val="00BD0F8A"/>
    <w:rsid w:val="00BD1170"/>
    <w:rsid w:val="00BD1696"/>
    <w:rsid w:val="00BD16B2"/>
    <w:rsid w:val="00BD1E8F"/>
    <w:rsid w:val="00BD3423"/>
    <w:rsid w:val="00BD3521"/>
    <w:rsid w:val="00BD3986"/>
    <w:rsid w:val="00BD3DC9"/>
    <w:rsid w:val="00BD421F"/>
    <w:rsid w:val="00BD4700"/>
    <w:rsid w:val="00BD4B50"/>
    <w:rsid w:val="00BD4CF1"/>
    <w:rsid w:val="00BD542F"/>
    <w:rsid w:val="00BD5C1D"/>
    <w:rsid w:val="00BD5CB8"/>
    <w:rsid w:val="00BD651F"/>
    <w:rsid w:val="00BD6B56"/>
    <w:rsid w:val="00BE0162"/>
    <w:rsid w:val="00BE021C"/>
    <w:rsid w:val="00BE0C80"/>
    <w:rsid w:val="00BE0F76"/>
    <w:rsid w:val="00BE1175"/>
    <w:rsid w:val="00BE11A7"/>
    <w:rsid w:val="00BE12A2"/>
    <w:rsid w:val="00BE13C7"/>
    <w:rsid w:val="00BE1607"/>
    <w:rsid w:val="00BE1902"/>
    <w:rsid w:val="00BE1D35"/>
    <w:rsid w:val="00BE216F"/>
    <w:rsid w:val="00BE28B9"/>
    <w:rsid w:val="00BE3209"/>
    <w:rsid w:val="00BE340A"/>
    <w:rsid w:val="00BE34E6"/>
    <w:rsid w:val="00BE3C8A"/>
    <w:rsid w:val="00BE3D76"/>
    <w:rsid w:val="00BE413E"/>
    <w:rsid w:val="00BE44A2"/>
    <w:rsid w:val="00BE4558"/>
    <w:rsid w:val="00BE4905"/>
    <w:rsid w:val="00BE4EBD"/>
    <w:rsid w:val="00BE527E"/>
    <w:rsid w:val="00BE5497"/>
    <w:rsid w:val="00BE5C24"/>
    <w:rsid w:val="00BE5C2E"/>
    <w:rsid w:val="00BE659B"/>
    <w:rsid w:val="00BE67A0"/>
    <w:rsid w:val="00BE6B8C"/>
    <w:rsid w:val="00BE744F"/>
    <w:rsid w:val="00BE7621"/>
    <w:rsid w:val="00BE7E64"/>
    <w:rsid w:val="00BF03D7"/>
    <w:rsid w:val="00BF1921"/>
    <w:rsid w:val="00BF1CDA"/>
    <w:rsid w:val="00BF26E0"/>
    <w:rsid w:val="00BF271E"/>
    <w:rsid w:val="00BF3386"/>
    <w:rsid w:val="00BF3659"/>
    <w:rsid w:val="00BF3D05"/>
    <w:rsid w:val="00BF46BF"/>
    <w:rsid w:val="00BF48D3"/>
    <w:rsid w:val="00BF4D30"/>
    <w:rsid w:val="00BF4F31"/>
    <w:rsid w:val="00BF52B8"/>
    <w:rsid w:val="00BF52CC"/>
    <w:rsid w:val="00BF5B97"/>
    <w:rsid w:val="00BF6699"/>
    <w:rsid w:val="00BF7195"/>
    <w:rsid w:val="00BF783F"/>
    <w:rsid w:val="00C000DD"/>
    <w:rsid w:val="00C00196"/>
    <w:rsid w:val="00C00228"/>
    <w:rsid w:val="00C003BD"/>
    <w:rsid w:val="00C00A7C"/>
    <w:rsid w:val="00C011DF"/>
    <w:rsid w:val="00C01ED6"/>
    <w:rsid w:val="00C01F92"/>
    <w:rsid w:val="00C020A9"/>
    <w:rsid w:val="00C02A3F"/>
    <w:rsid w:val="00C02F6A"/>
    <w:rsid w:val="00C02FC8"/>
    <w:rsid w:val="00C03A7A"/>
    <w:rsid w:val="00C03AE3"/>
    <w:rsid w:val="00C03BE7"/>
    <w:rsid w:val="00C04133"/>
    <w:rsid w:val="00C04448"/>
    <w:rsid w:val="00C04DAB"/>
    <w:rsid w:val="00C04ED9"/>
    <w:rsid w:val="00C04F25"/>
    <w:rsid w:val="00C0548A"/>
    <w:rsid w:val="00C0554D"/>
    <w:rsid w:val="00C05DFE"/>
    <w:rsid w:val="00C06934"/>
    <w:rsid w:val="00C06BF3"/>
    <w:rsid w:val="00C06F83"/>
    <w:rsid w:val="00C06F94"/>
    <w:rsid w:val="00C0731C"/>
    <w:rsid w:val="00C07410"/>
    <w:rsid w:val="00C075AB"/>
    <w:rsid w:val="00C0775B"/>
    <w:rsid w:val="00C07E10"/>
    <w:rsid w:val="00C07E86"/>
    <w:rsid w:val="00C10EBC"/>
    <w:rsid w:val="00C110B9"/>
    <w:rsid w:val="00C110BA"/>
    <w:rsid w:val="00C11AB4"/>
    <w:rsid w:val="00C11F91"/>
    <w:rsid w:val="00C128FF"/>
    <w:rsid w:val="00C12DDA"/>
    <w:rsid w:val="00C12EA6"/>
    <w:rsid w:val="00C13579"/>
    <w:rsid w:val="00C139ED"/>
    <w:rsid w:val="00C1443D"/>
    <w:rsid w:val="00C150B1"/>
    <w:rsid w:val="00C1521F"/>
    <w:rsid w:val="00C15510"/>
    <w:rsid w:val="00C15A37"/>
    <w:rsid w:val="00C161A5"/>
    <w:rsid w:val="00C1670E"/>
    <w:rsid w:val="00C1709A"/>
    <w:rsid w:val="00C17756"/>
    <w:rsid w:val="00C17C6F"/>
    <w:rsid w:val="00C2068E"/>
    <w:rsid w:val="00C21AFF"/>
    <w:rsid w:val="00C21CD3"/>
    <w:rsid w:val="00C21F22"/>
    <w:rsid w:val="00C22275"/>
    <w:rsid w:val="00C22BFD"/>
    <w:rsid w:val="00C2429E"/>
    <w:rsid w:val="00C24BBB"/>
    <w:rsid w:val="00C25310"/>
    <w:rsid w:val="00C25604"/>
    <w:rsid w:val="00C2574A"/>
    <w:rsid w:val="00C261CD"/>
    <w:rsid w:val="00C266A5"/>
    <w:rsid w:val="00C268D1"/>
    <w:rsid w:val="00C2699A"/>
    <w:rsid w:val="00C26F59"/>
    <w:rsid w:val="00C27029"/>
    <w:rsid w:val="00C27D6F"/>
    <w:rsid w:val="00C27E3C"/>
    <w:rsid w:val="00C27F8A"/>
    <w:rsid w:val="00C30783"/>
    <w:rsid w:val="00C30C97"/>
    <w:rsid w:val="00C30DA3"/>
    <w:rsid w:val="00C31061"/>
    <w:rsid w:val="00C311D4"/>
    <w:rsid w:val="00C31459"/>
    <w:rsid w:val="00C318A9"/>
    <w:rsid w:val="00C31C72"/>
    <w:rsid w:val="00C322DC"/>
    <w:rsid w:val="00C326DB"/>
    <w:rsid w:val="00C32AB9"/>
    <w:rsid w:val="00C33322"/>
    <w:rsid w:val="00C336C8"/>
    <w:rsid w:val="00C338D7"/>
    <w:rsid w:val="00C339D6"/>
    <w:rsid w:val="00C33F06"/>
    <w:rsid w:val="00C34437"/>
    <w:rsid w:val="00C346CE"/>
    <w:rsid w:val="00C34767"/>
    <w:rsid w:val="00C34B28"/>
    <w:rsid w:val="00C350B4"/>
    <w:rsid w:val="00C350FD"/>
    <w:rsid w:val="00C354F9"/>
    <w:rsid w:val="00C35B70"/>
    <w:rsid w:val="00C36398"/>
    <w:rsid w:val="00C363FF"/>
    <w:rsid w:val="00C36720"/>
    <w:rsid w:val="00C36F4A"/>
    <w:rsid w:val="00C37135"/>
    <w:rsid w:val="00C4042A"/>
    <w:rsid w:val="00C4049B"/>
    <w:rsid w:val="00C404A2"/>
    <w:rsid w:val="00C40C75"/>
    <w:rsid w:val="00C40D7E"/>
    <w:rsid w:val="00C410E9"/>
    <w:rsid w:val="00C4134A"/>
    <w:rsid w:val="00C417D0"/>
    <w:rsid w:val="00C4226D"/>
    <w:rsid w:val="00C42550"/>
    <w:rsid w:val="00C4256F"/>
    <w:rsid w:val="00C426F7"/>
    <w:rsid w:val="00C42991"/>
    <w:rsid w:val="00C42AC5"/>
    <w:rsid w:val="00C43C8D"/>
    <w:rsid w:val="00C43CF2"/>
    <w:rsid w:val="00C44028"/>
    <w:rsid w:val="00C44251"/>
    <w:rsid w:val="00C4453E"/>
    <w:rsid w:val="00C44985"/>
    <w:rsid w:val="00C44BAE"/>
    <w:rsid w:val="00C44D00"/>
    <w:rsid w:val="00C451D1"/>
    <w:rsid w:val="00C45707"/>
    <w:rsid w:val="00C45C87"/>
    <w:rsid w:val="00C461D6"/>
    <w:rsid w:val="00C465C4"/>
    <w:rsid w:val="00C46638"/>
    <w:rsid w:val="00C46BF5"/>
    <w:rsid w:val="00C46D39"/>
    <w:rsid w:val="00C46EF3"/>
    <w:rsid w:val="00C474EC"/>
    <w:rsid w:val="00C47636"/>
    <w:rsid w:val="00C47B8E"/>
    <w:rsid w:val="00C47BC0"/>
    <w:rsid w:val="00C505BD"/>
    <w:rsid w:val="00C5091A"/>
    <w:rsid w:val="00C5275D"/>
    <w:rsid w:val="00C52889"/>
    <w:rsid w:val="00C52B0C"/>
    <w:rsid w:val="00C53708"/>
    <w:rsid w:val="00C53947"/>
    <w:rsid w:val="00C5427F"/>
    <w:rsid w:val="00C5446E"/>
    <w:rsid w:val="00C5483F"/>
    <w:rsid w:val="00C54B17"/>
    <w:rsid w:val="00C5526A"/>
    <w:rsid w:val="00C5619F"/>
    <w:rsid w:val="00C56658"/>
    <w:rsid w:val="00C56A07"/>
    <w:rsid w:val="00C56CD5"/>
    <w:rsid w:val="00C5748A"/>
    <w:rsid w:val="00C57501"/>
    <w:rsid w:val="00C57CC1"/>
    <w:rsid w:val="00C57FB3"/>
    <w:rsid w:val="00C6007F"/>
    <w:rsid w:val="00C604B2"/>
    <w:rsid w:val="00C60ACB"/>
    <w:rsid w:val="00C60DE3"/>
    <w:rsid w:val="00C60F65"/>
    <w:rsid w:val="00C6102A"/>
    <w:rsid w:val="00C61459"/>
    <w:rsid w:val="00C61728"/>
    <w:rsid w:val="00C61E90"/>
    <w:rsid w:val="00C62421"/>
    <w:rsid w:val="00C6290F"/>
    <w:rsid w:val="00C629D6"/>
    <w:rsid w:val="00C62BA2"/>
    <w:rsid w:val="00C62CEF"/>
    <w:rsid w:val="00C62D42"/>
    <w:rsid w:val="00C62D97"/>
    <w:rsid w:val="00C62E13"/>
    <w:rsid w:val="00C63D04"/>
    <w:rsid w:val="00C63D2A"/>
    <w:rsid w:val="00C64B8C"/>
    <w:rsid w:val="00C64CAB"/>
    <w:rsid w:val="00C64F6E"/>
    <w:rsid w:val="00C66097"/>
    <w:rsid w:val="00C66F22"/>
    <w:rsid w:val="00C67242"/>
    <w:rsid w:val="00C67767"/>
    <w:rsid w:val="00C67774"/>
    <w:rsid w:val="00C67BCE"/>
    <w:rsid w:val="00C7074D"/>
    <w:rsid w:val="00C70A07"/>
    <w:rsid w:val="00C71170"/>
    <w:rsid w:val="00C7298F"/>
    <w:rsid w:val="00C72A25"/>
    <w:rsid w:val="00C72FA9"/>
    <w:rsid w:val="00C73009"/>
    <w:rsid w:val="00C73149"/>
    <w:rsid w:val="00C73F04"/>
    <w:rsid w:val="00C74498"/>
    <w:rsid w:val="00C74629"/>
    <w:rsid w:val="00C74B13"/>
    <w:rsid w:val="00C74ED4"/>
    <w:rsid w:val="00C75624"/>
    <w:rsid w:val="00C75BAA"/>
    <w:rsid w:val="00C75DB5"/>
    <w:rsid w:val="00C76D96"/>
    <w:rsid w:val="00C771A8"/>
    <w:rsid w:val="00C77414"/>
    <w:rsid w:val="00C77743"/>
    <w:rsid w:val="00C8083C"/>
    <w:rsid w:val="00C80A8E"/>
    <w:rsid w:val="00C81DAB"/>
    <w:rsid w:val="00C81F53"/>
    <w:rsid w:val="00C8264E"/>
    <w:rsid w:val="00C82BCA"/>
    <w:rsid w:val="00C83561"/>
    <w:rsid w:val="00C83839"/>
    <w:rsid w:val="00C83A3C"/>
    <w:rsid w:val="00C83DE3"/>
    <w:rsid w:val="00C84869"/>
    <w:rsid w:val="00C84CBA"/>
    <w:rsid w:val="00C84ED3"/>
    <w:rsid w:val="00C853BA"/>
    <w:rsid w:val="00C8578A"/>
    <w:rsid w:val="00C85838"/>
    <w:rsid w:val="00C863CB"/>
    <w:rsid w:val="00C86DE9"/>
    <w:rsid w:val="00C86E49"/>
    <w:rsid w:val="00C86F88"/>
    <w:rsid w:val="00C8783F"/>
    <w:rsid w:val="00C879E7"/>
    <w:rsid w:val="00C87D7F"/>
    <w:rsid w:val="00C9081C"/>
    <w:rsid w:val="00C9089E"/>
    <w:rsid w:val="00C90954"/>
    <w:rsid w:val="00C91919"/>
    <w:rsid w:val="00C91AA4"/>
    <w:rsid w:val="00C91F5D"/>
    <w:rsid w:val="00C928FE"/>
    <w:rsid w:val="00C929FE"/>
    <w:rsid w:val="00C9379D"/>
    <w:rsid w:val="00C94A6F"/>
    <w:rsid w:val="00C94C09"/>
    <w:rsid w:val="00C94E1B"/>
    <w:rsid w:val="00C952AE"/>
    <w:rsid w:val="00C955B2"/>
    <w:rsid w:val="00C95942"/>
    <w:rsid w:val="00C959A5"/>
    <w:rsid w:val="00C97367"/>
    <w:rsid w:val="00CA01BC"/>
    <w:rsid w:val="00CA0907"/>
    <w:rsid w:val="00CA1345"/>
    <w:rsid w:val="00CA1450"/>
    <w:rsid w:val="00CA1AAA"/>
    <w:rsid w:val="00CA270F"/>
    <w:rsid w:val="00CA2949"/>
    <w:rsid w:val="00CA33A6"/>
    <w:rsid w:val="00CA340B"/>
    <w:rsid w:val="00CA34D7"/>
    <w:rsid w:val="00CA3741"/>
    <w:rsid w:val="00CA40D8"/>
    <w:rsid w:val="00CA4513"/>
    <w:rsid w:val="00CA48C1"/>
    <w:rsid w:val="00CA4AD7"/>
    <w:rsid w:val="00CA4C61"/>
    <w:rsid w:val="00CA52AE"/>
    <w:rsid w:val="00CA53FE"/>
    <w:rsid w:val="00CA547D"/>
    <w:rsid w:val="00CA5690"/>
    <w:rsid w:val="00CA5869"/>
    <w:rsid w:val="00CA5D59"/>
    <w:rsid w:val="00CA66EE"/>
    <w:rsid w:val="00CA683D"/>
    <w:rsid w:val="00CA685A"/>
    <w:rsid w:val="00CA6DA3"/>
    <w:rsid w:val="00CA70BD"/>
    <w:rsid w:val="00CA7AD6"/>
    <w:rsid w:val="00CB086B"/>
    <w:rsid w:val="00CB0A05"/>
    <w:rsid w:val="00CB0C5C"/>
    <w:rsid w:val="00CB0CF4"/>
    <w:rsid w:val="00CB1C03"/>
    <w:rsid w:val="00CB1E85"/>
    <w:rsid w:val="00CB2EC3"/>
    <w:rsid w:val="00CB2EE3"/>
    <w:rsid w:val="00CB3330"/>
    <w:rsid w:val="00CB3916"/>
    <w:rsid w:val="00CB3FCD"/>
    <w:rsid w:val="00CB475E"/>
    <w:rsid w:val="00CB4A73"/>
    <w:rsid w:val="00CB4B9F"/>
    <w:rsid w:val="00CB4D2E"/>
    <w:rsid w:val="00CB52F0"/>
    <w:rsid w:val="00CB5571"/>
    <w:rsid w:val="00CB5D0D"/>
    <w:rsid w:val="00CB60F5"/>
    <w:rsid w:val="00CB7131"/>
    <w:rsid w:val="00CB740C"/>
    <w:rsid w:val="00CB7432"/>
    <w:rsid w:val="00CB7847"/>
    <w:rsid w:val="00CB7C7F"/>
    <w:rsid w:val="00CB7D8D"/>
    <w:rsid w:val="00CB7E67"/>
    <w:rsid w:val="00CB7FC5"/>
    <w:rsid w:val="00CC09B7"/>
    <w:rsid w:val="00CC0AA5"/>
    <w:rsid w:val="00CC0DA8"/>
    <w:rsid w:val="00CC1A56"/>
    <w:rsid w:val="00CC1EB2"/>
    <w:rsid w:val="00CC231A"/>
    <w:rsid w:val="00CC3AAF"/>
    <w:rsid w:val="00CC3BFB"/>
    <w:rsid w:val="00CC43BD"/>
    <w:rsid w:val="00CC491F"/>
    <w:rsid w:val="00CC4C5E"/>
    <w:rsid w:val="00CC57B1"/>
    <w:rsid w:val="00CC5E4A"/>
    <w:rsid w:val="00CC65A8"/>
    <w:rsid w:val="00CC6687"/>
    <w:rsid w:val="00CC6D6F"/>
    <w:rsid w:val="00CC782A"/>
    <w:rsid w:val="00CC7B32"/>
    <w:rsid w:val="00CD02E3"/>
    <w:rsid w:val="00CD1545"/>
    <w:rsid w:val="00CD1D3D"/>
    <w:rsid w:val="00CD1F89"/>
    <w:rsid w:val="00CD32F8"/>
    <w:rsid w:val="00CD34E1"/>
    <w:rsid w:val="00CD3BDF"/>
    <w:rsid w:val="00CD4232"/>
    <w:rsid w:val="00CD4544"/>
    <w:rsid w:val="00CD4800"/>
    <w:rsid w:val="00CD492B"/>
    <w:rsid w:val="00CD4A96"/>
    <w:rsid w:val="00CD4D81"/>
    <w:rsid w:val="00CD5AD9"/>
    <w:rsid w:val="00CD5C5F"/>
    <w:rsid w:val="00CD5CB3"/>
    <w:rsid w:val="00CD5D86"/>
    <w:rsid w:val="00CD5DCC"/>
    <w:rsid w:val="00CD5FDD"/>
    <w:rsid w:val="00CD68CC"/>
    <w:rsid w:val="00CD7216"/>
    <w:rsid w:val="00CD75B5"/>
    <w:rsid w:val="00CE04A5"/>
    <w:rsid w:val="00CE06BD"/>
    <w:rsid w:val="00CE0CD5"/>
    <w:rsid w:val="00CE0DC6"/>
    <w:rsid w:val="00CE17DB"/>
    <w:rsid w:val="00CE1864"/>
    <w:rsid w:val="00CE1A72"/>
    <w:rsid w:val="00CE2520"/>
    <w:rsid w:val="00CE2DB2"/>
    <w:rsid w:val="00CE2E8B"/>
    <w:rsid w:val="00CE30BB"/>
    <w:rsid w:val="00CE32E3"/>
    <w:rsid w:val="00CE3C89"/>
    <w:rsid w:val="00CE3E8C"/>
    <w:rsid w:val="00CE4B28"/>
    <w:rsid w:val="00CE539E"/>
    <w:rsid w:val="00CE5B22"/>
    <w:rsid w:val="00CE5C80"/>
    <w:rsid w:val="00CE5D4E"/>
    <w:rsid w:val="00CE62E5"/>
    <w:rsid w:val="00CE7008"/>
    <w:rsid w:val="00CE73F9"/>
    <w:rsid w:val="00CE7901"/>
    <w:rsid w:val="00CF023F"/>
    <w:rsid w:val="00CF039B"/>
    <w:rsid w:val="00CF04D3"/>
    <w:rsid w:val="00CF0FAE"/>
    <w:rsid w:val="00CF1188"/>
    <w:rsid w:val="00CF1A0F"/>
    <w:rsid w:val="00CF2175"/>
    <w:rsid w:val="00CF2592"/>
    <w:rsid w:val="00CF271B"/>
    <w:rsid w:val="00CF2F91"/>
    <w:rsid w:val="00CF3209"/>
    <w:rsid w:val="00CF3434"/>
    <w:rsid w:val="00CF3506"/>
    <w:rsid w:val="00CF397B"/>
    <w:rsid w:val="00CF3F30"/>
    <w:rsid w:val="00CF429D"/>
    <w:rsid w:val="00CF4AFE"/>
    <w:rsid w:val="00CF55A4"/>
    <w:rsid w:val="00CF5915"/>
    <w:rsid w:val="00CF594C"/>
    <w:rsid w:val="00CF5E23"/>
    <w:rsid w:val="00CF642F"/>
    <w:rsid w:val="00CF6473"/>
    <w:rsid w:val="00CF6696"/>
    <w:rsid w:val="00CF6843"/>
    <w:rsid w:val="00CF69CC"/>
    <w:rsid w:val="00CF6EA2"/>
    <w:rsid w:val="00CF7293"/>
    <w:rsid w:val="00CF7E67"/>
    <w:rsid w:val="00D00A2B"/>
    <w:rsid w:val="00D00DEE"/>
    <w:rsid w:val="00D022AE"/>
    <w:rsid w:val="00D022BB"/>
    <w:rsid w:val="00D023C4"/>
    <w:rsid w:val="00D02EC3"/>
    <w:rsid w:val="00D03836"/>
    <w:rsid w:val="00D04636"/>
    <w:rsid w:val="00D04691"/>
    <w:rsid w:val="00D04734"/>
    <w:rsid w:val="00D0487F"/>
    <w:rsid w:val="00D05532"/>
    <w:rsid w:val="00D05C34"/>
    <w:rsid w:val="00D05C92"/>
    <w:rsid w:val="00D05D74"/>
    <w:rsid w:val="00D06572"/>
    <w:rsid w:val="00D06A04"/>
    <w:rsid w:val="00D07102"/>
    <w:rsid w:val="00D07126"/>
    <w:rsid w:val="00D07224"/>
    <w:rsid w:val="00D07570"/>
    <w:rsid w:val="00D07A79"/>
    <w:rsid w:val="00D0FE3A"/>
    <w:rsid w:val="00D10210"/>
    <w:rsid w:val="00D10D13"/>
    <w:rsid w:val="00D11BAE"/>
    <w:rsid w:val="00D11D13"/>
    <w:rsid w:val="00D12828"/>
    <w:rsid w:val="00D12E6F"/>
    <w:rsid w:val="00D13168"/>
    <w:rsid w:val="00D1355F"/>
    <w:rsid w:val="00D135CF"/>
    <w:rsid w:val="00D13974"/>
    <w:rsid w:val="00D14016"/>
    <w:rsid w:val="00D141BF"/>
    <w:rsid w:val="00D141E4"/>
    <w:rsid w:val="00D151C9"/>
    <w:rsid w:val="00D15F01"/>
    <w:rsid w:val="00D16C4E"/>
    <w:rsid w:val="00D172C9"/>
    <w:rsid w:val="00D17570"/>
    <w:rsid w:val="00D1790F"/>
    <w:rsid w:val="00D17D0D"/>
    <w:rsid w:val="00D204E0"/>
    <w:rsid w:val="00D22107"/>
    <w:rsid w:val="00D227DB"/>
    <w:rsid w:val="00D22C8F"/>
    <w:rsid w:val="00D23198"/>
    <w:rsid w:val="00D23249"/>
    <w:rsid w:val="00D232AF"/>
    <w:rsid w:val="00D234B6"/>
    <w:rsid w:val="00D235F9"/>
    <w:rsid w:val="00D236C0"/>
    <w:rsid w:val="00D237A8"/>
    <w:rsid w:val="00D240A5"/>
    <w:rsid w:val="00D24179"/>
    <w:rsid w:val="00D24594"/>
    <w:rsid w:val="00D245EC"/>
    <w:rsid w:val="00D24D94"/>
    <w:rsid w:val="00D259DE"/>
    <w:rsid w:val="00D25CBD"/>
    <w:rsid w:val="00D26693"/>
    <w:rsid w:val="00D2695F"/>
    <w:rsid w:val="00D26D9D"/>
    <w:rsid w:val="00D27049"/>
    <w:rsid w:val="00D270EA"/>
    <w:rsid w:val="00D278C7"/>
    <w:rsid w:val="00D279E9"/>
    <w:rsid w:val="00D30D1A"/>
    <w:rsid w:val="00D31349"/>
    <w:rsid w:val="00D31AEA"/>
    <w:rsid w:val="00D31D57"/>
    <w:rsid w:val="00D31F69"/>
    <w:rsid w:val="00D322B5"/>
    <w:rsid w:val="00D329BB"/>
    <w:rsid w:val="00D32A3E"/>
    <w:rsid w:val="00D32BBF"/>
    <w:rsid w:val="00D32F70"/>
    <w:rsid w:val="00D336E7"/>
    <w:rsid w:val="00D33C86"/>
    <w:rsid w:val="00D33DB2"/>
    <w:rsid w:val="00D33DF7"/>
    <w:rsid w:val="00D35699"/>
    <w:rsid w:val="00D35AC8"/>
    <w:rsid w:val="00D35DF4"/>
    <w:rsid w:val="00D36A6E"/>
    <w:rsid w:val="00D37D4F"/>
    <w:rsid w:val="00D4004B"/>
    <w:rsid w:val="00D40074"/>
    <w:rsid w:val="00D40481"/>
    <w:rsid w:val="00D4128F"/>
    <w:rsid w:val="00D41515"/>
    <w:rsid w:val="00D416C7"/>
    <w:rsid w:val="00D419F2"/>
    <w:rsid w:val="00D41A2A"/>
    <w:rsid w:val="00D41AD1"/>
    <w:rsid w:val="00D41FF2"/>
    <w:rsid w:val="00D4229C"/>
    <w:rsid w:val="00D42593"/>
    <w:rsid w:val="00D42698"/>
    <w:rsid w:val="00D42B53"/>
    <w:rsid w:val="00D42D4B"/>
    <w:rsid w:val="00D4392B"/>
    <w:rsid w:val="00D44787"/>
    <w:rsid w:val="00D44A29"/>
    <w:rsid w:val="00D451CA"/>
    <w:rsid w:val="00D451DF"/>
    <w:rsid w:val="00D452F7"/>
    <w:rsid w:val="00D4545E"/>
    <w:rsid w:val="00D45A61"/>
    <w:rsid w:val="00D45AD6"/>
    <w:rsid w:val="00D45D6F"/>
    <w:rsid w:val="00D45D8D"/>
    <w:rsid w:val="00D45F5C"/>
    <w:rsid w:val="00D46700"/>
    <w:rsid w:val="00D4672E"/>
    <w:rsid w:val="00D46929"/>
    <w:rsid w:val="00D4699D"/>
    <w:rsid w:val="00D4714E"/>
    <w:rsid w:val="00D47428"/>
    <w:rsid w:val="00D50945"/>
    <w:rsid w:val="00D5098E"/>
    <w:rsid w:val="00D50D95"/>
    <w:rsid w:val="00D51038"/>
    <w:rsid w:val="00D5182F"/>
    <w:rsid w:val="00D519F6"/>
    <w:rsid w:val="00D51A32"/>
    <w:rsid w:val="00D52129"/>
    <w:rsid w:val="00D524BC"/>
    <w:rsid w:val="00D52D50"/>
    <w:rsid w:val="00D53B3D"/>
    <w:rsid w:val="00D53FC8"/>
    <w:rsid w:val="00D54036"/>
    <w:rsid w:val="00D542B5"/>
    <w:rsid w:val="00D54690"/>
    <w:rsid w:val="00D5487D"/>
    <w:rsid w:val="00D54D47"/>
    <w:rsid w:val="00D559E7"/>
    <w:rsid w:val="00D55D8E"/>
    <w:rsid w:val="00D55E5B"/>
    <w:rsid w:val="00D5627B"/>
    <w:rsid w:val="00D5647B"/>
    <w:rsid w:val="00D566BC"/>
    <w:rsid w:val="00D56A60"/>
    <w:rsid w:val="00D573CD"/>
    <w:rsid w:val="00D57E83"/>
    <w:rsid w:val="00D60457"/>
    <w:rsid w:val="00D60816"/>
    <w:rsid w:val="00D60A63"/>
    <w:rsid w:val="00D60A93"/>
    <w:rsid w:val="00D610E2"/>
    <w:rsid w:val="00D61A3E"/>
    <w:rsid w:val="00D61F96"/>
    <w:rsid w:val="00D62106"/>
    <w:rsid w:val="00D629A2"/>
    <w:rsid w:val="00D62AF9"/>
    <w:rsid w:val="00D62B2D"/>
    <w:rsid w:val="00D630D1"/>
    <w:rsid w:val="00D630DA"/>
    <w:rsid w:val="00D632C3"/>
    <w:rsid w:val="00D63F53"/>
    <w:rsid w:val="00D641E0"/>
    <w:rsid w:val="00D64E68"/>
    <w:rsid w:val="00D65499"/>
    <w:rsid w:val="00D65846"/>
    <w:rsid w:val="00D66999"/>
    <w:rsid w:val="00D66BCB"/>
    <w:rsid w:val="00D67527"/>
    <w:rsid w:val="00D6777A"/>
    <w:rsid w:val="00D67E7D"/>
    <w:rsid w:val="00D70087"/>
    <w:rsid w:val="00D703FF"/>
    <w:rsid w:val="00D705B0"/>
    <w:rsid w:val="00D70AEF"/>
    <w:rsid w:val="00D70E7D"/>
    <w:rsid w:val="00D71679"/>
    <w:rsid w:val="00D71A80"/>
    <w:rsid w:val="00D71D89"/>
    <w:rsid w:val="00D723A3"/>
    <w:rsid w:val="00D7281D"/>
    <w:rsid w:val="00D72F0A"/>
    <w:rsid w:val="00D7393F"/>
    <w:rsid w:val="00D74192"/>
    <w:rsid w:val="00D74B91"/>
    <w:rsid w:val="00D74E86"/>
    <w:rsid w:val="00D756FA"/>
    <w:rsid w:val="00D76AA3"/>
    <w:rsid w:val="00D770FF"/>
    <w:rsid w:val="00D77285"/>
    <w:rsid w:val="00D77B61"/>
    <w:rsid w:val="00D77BC9"/>
    <w:rsid w:val="00D77E13"/>
    <w:rsid w:val="00D80555"/>
    <w:rsid w:val="00D8108F"/>
    <w:rsid w:val="00D810E8"/>
    <w:rsid w:val="00D820E8"/>
    <w:rsid w:val="00D8309F"/>
    <w:rsid w:val="00D8341A"/>
    <w:rsid w:val="00D83C42"/>
    <w:rsid w:val="00D83EDF"/>
    <w:rsid w:val="00D83FDE"/>
    <w:rsid w:val="00D84C49"/>
    <w:rsid w:val="00D84F11"/>
    <w:rsid w:val="00D850D4"/>
    <w:rsid w:val="00D85D26"/>
    <w:rsid w:val="00D870CC"/>
    <w:rsid w:val="00D8790B"/>
    <w:rsid w:val="00D87C1C"/>
    <w:rsid w:val="00D87DAC"/>
    <w:rsid w:val="00D90759"/>
    <w:rsid w:val="00D908C4"/>
    <w:rsid w:val="00D909A9"/>
    <w:rsid w:val="00D90B2D"/>
    <w:rsid w:val="00D90E5F"/>
    <w:rsid w:val="00D91544"/>
    <w:rsid w:val="00D91CA1"/>
    <w:rsid w:val="00D923FC"/>
    <w:rsid w:val="00D92B9A"/>
    <w:rsid w:val="00D92EE8"/>
    <w:rsid w:val="00D93071"/>
    <w:rsid w:val="00D937F5"/>
    <w:rsid w:val="00D93DC9"/>
    <w:rsid w:val="00D93E9C"/>
    <w:rsid w:val="00D9418A"/>
    <w:rsid w:val="00D94EB0"/>
    <w:rsid w:val="00D94FF4"/>
    <w:rsid w:val="00D95C6D"/>
    <w:rsid w:val="00D95E54"/>
    <w:rsid w:val="00D95EC7"/>
    <w:rsid w:val="00D9623E"/>
    <w:rsid w:val="00D96F9C"/>
    <w:rsid w:val="00D976B2"/>
    <w:rsid w:val="00D97FE7"/>
    <w:rsid w:val="00DA00AF"/>
    <w:rsid w:val="00DA052A"/>
    <w:rsid w:val="00DA1C78"/>
    <w:rsid w:val="00DA20F6"/>
    <w:rsid w:val="00DA2306"/>
    <w:rsid w:val="00DA2B7C"/>
    <w:rsid w:val="00DA3032"/>
    <w:rsid w:val="00DA3BA4"/>
    <w:rsid w:val="00DA40BD"/>
    <w:rsid w:val="00DA4391"/>
    <w:rsid w:val="00DA463B"/>
    <w:rsid w:val="00DA4BC8"/>
    <w:rsid w:val="00DA4E62"/>
    <w:rsid w:val="00DA4FAA"/>
    <w:rsid w:val="00DA546B"/>
    <w:rsid w:val="00DA6D59"/>
    <w:rsid w:val="00DA70A2"/>
    <w:rsid w:val="00DA72F9"/>
    <w:rsid w:val="00DA78B4"/>
    <w:rsid w:val="00DA7C22"/>
    <w:rsid w:val="00DB06FF"/>
    <w:rsid w:val="00DB0EAC"/>
    <w:rsid w:val="00DB0ED8"/>
    <w:rsid w:val="00DB1295"/>
    <w:rsid w:val="00DB1398"/>
    <w:rsid w:val="00DB2FAB"/>
    <w:rsid w:val="00DB35E0"/>
    <w:rsid w:val="00DB45E8"/>
    <w:rsid w:val="00DB4BFE"/>
    <w:rsid w:val="00DB574F"/>
    <w:rsid w:val="00DB5813"/>
    <w:rsid w:val="00DB607A"/>
    <w:rsid w:val="00DB644D"/>
    <w:rsid w:val="00DB66E2"/>
    <w:rsid w:val="00DB6F43"/>
    <w:rsid w:val="00DB7401"/>
    <w:rsid w:val="00DB760F"/>
    <w:rsid w:val="00DC0B5E"/>
    <w:rsid w:val="00DC1435"/>
    <w:rsid w:val="00DC1445"/>
    <w:rsid w:val="00DC1F24"/>
    <w:rsid w:val="00DC27AD"/>
    <w:rsid w:val="00DC2D01"/>
    <w:rsid w:val="00DC3E45"/>
    <w:rsid w:val="00DC511A"/>
    <w:rsid w:val="00DC5431"/>
    <w:rsid w:val="00DC58F6"/>
    <w:rsid w:val="00DC5C92"/>
    <w:rsid w:val="00DC60FD"/>
    <w:rsid w:val="00DC62FD"/>
    <w:rsid w:val="00DC68B2"/>
    <w:rsid w:val="00DC6A81"/>
    <w:rsid w:val="00DC7484"/>
    <w:rsid w:val="00DC74BE"/>
    <w:rsid w:val="00DC799A"/>
    <w:rsid w:val="00DC7B7F"/>
    <w:rsid w:val="00DD0210"/>
    <w:rsid w:val="00DD024B"/>
    <w:rsid w:val="00DD044E"/>
    <w:rsid w:val="00DD0842"/>
    <w:rsid w:val="00DD0BF4"/>
    <w:rsid w:val="00DD154B"/>
    <w:rsid w:val="00DD1899"/>
    <w:rsid w:val="00DD1AAC"/>
    <w:rsid w:val="00DD1D30"/>
    <w:rsid w:val="00DD1E2E"/>
    <w:rsid w:val="00DD23C0"/>
    <w:rsid w:val="00DD240C"/>
    <w:rsid w:val="00DD2450"/>
    <w:rsid w:val="00DD2738"/>
    <w:rsid w:val="00DD2D4C"/>
    <w:rsid w:val="00DD3C01"/>
    <w:rsid w:val="00DD3C8E"/>
    <w:rsid w:val="00DD40B5"/>
    <w:rsid w:val="00DD40D2"/>
    <w:rsid w:val="00DD451C"/>
    <w:rsid w:val="00DD451E"/>
    <w:rsid w:val="00DD5472"/>
    <w:rsid w:val="00DD5A8E"/>
    <w:rsid w:val="00DD5F22"/>
    <w:rsid w:val="00DD65AB"/>
    <w:rsid w:val="00DD70F8"/>
    <w:rsid w:val="00DD720B"/>
    <w:rsid w:val="00DD77E7"/>
    <w:rsid w:val="00DD7F99"/>
    <w:rsid w:val="00DE009F"/>
    <w:rsid w:val="00DE04AE"/>
    <w:rsid w:val="00DE0813"/>
    <w:rsid w:val="00DE0D56"/>
    <w:rsid w:val="00DE125E"/>
    <w:rsid w:val="00DE1B55"/>
    <w:rsid w:val="00DE2180"/>
    <w:rsid w:val="00DE26AB"/>
    <w:rsid w:val="00DE2DE8"/>
    <w:rsid w:val="00DE2E01"/>
    <w:rsid w:val="00DE34A8"/>
    <w:rsid w:val="00DE3FAE"/>
    <w:rsid w:val="00DE405D"/>
    <w:rsid w:val="00DE489C"/>
    <w:rsid w:val="00DE6C02"/>
    <w:rsid w:val="00DE6ED1"/>
    <w:rsid w:val="00DE7430"/>
    <w:rsid w:val="00DE78A1"/>
    <w:rsid w:val="00DE79F7"/>
    <w:rsid w:val="00DE7A08"/>
    <w:rsid w:val="00DE7ABF"/>
    <w:rsid w:val="00DE7C55"/>
    <w:rsid w:val="00DE7F6B"/>
    <w:rsid w:val="00DF05B6"/>
    <w:rsid w:val="00DF060A"/>
    <w:rsid w:val="00DF08B8"/>
    <w:rsid w:val="00DF21D8"/>
    <w:rsid w:val="00DF29DC"/>
    <w:rsid w:val="00DF2AB4"/>
    <w:rsid w:val="00DF2C04"/>
    <w:rsid w:val="00DF3077"/>
    <w:rsid w:val="00DF30E5"/>
    <w:rsid w:val="00DF31B0"/>
    <w:rsid w:val="00DF3420"/>
    <w:rsid w:val="00DF39FC"/>
    <w:rsid w:val="00DF3DE5"/>
    <w:rsid w:val="00DF48B7"/>
    <w:rsid w:val="00DF55DF"/>
    <w:rsid w:val="00DF5C59"/>
    <w:rsid w:val="00DF625D"/>
    <w:rsid w:val="00DF6A77"/>
    <w:rsid w:val="00DF6D51"/>
    <w:rsid w:val="00DF6D5E"/>
    <w:rsid w:val="00DF7381"/>
    <w:rsid w:val="00DF76A0"/>
    <w:rsid w:val="00DF76E2"/>
    <w:rsid w:val="00DF7847"/>
    <w:rsid w:val="00DF7984"/>
    <w:rsid w:val="00E00268"/>
    <w:rsid w:val="00E004AA"/>
    <w:rsid w:val="00E009B0"/>
    <w:rsid w:val="00E00A40"/>
    <w:rsid w:val="00E00C26"/>
    <w:rsid w:val="00E00C69"/>
    <w:rsid w:val="00E00D3E"/>
    <w:rsid w:val="00E00DAE"/>
    <w:rsid w:val="00E011EE"/>
    <w:rsid w:val="00E018BB"/>
    <w:rsid w:val="00E01CC7"/>
    <w:rsid w:val="00E01D3C"/>
    <w:rsid w:val="00E028EE"/>
    <w:rsid w:val="00E0297A"/>
    <w:rsid w:val="00E02BF9"/>
    <w:rsid w:val="00E02F10"/>
    <w:rsid w:val="00E030AF"/>
    <w:rsid w:val="00E0313F"/>
    <w:rsid w:val="00E0360A"/>
    <w:rsid w:val="00E037F8"/>
    <w:rsid w:val="00E03E29"/>
    <w:rsid w:val="00E03FED"/>
    <w:rsid w:val="00E042E4"/>
    <w:rsid w:val="00E04950"/>
    <w:rsid w:val="00E04B0C"/>
    <w:rsid w:val="00E05053"/>
    <w:rsid w:val="00E0507D"/>
    <w:rsid w:val="00E059EE"/>
    <w:rsid w:val="00E0631F"/>
    <w:rsid w:val="00E067E5"/>
    <w:rsid w:val="00E06B36"/>
    <w:rsid w:val="00E06BFE"/>
    <w:rsid w:val="00E07210"/>
    <w:rsid w:val="00E07C03"/>
    <w:rsid w:val="00E1070C"/>
    <w:rsid w:val="00E10911"/>
    <w:rsid w:val="00E10B37"/>
    <w:rsid w:val="00E11252"/>
    <w:rsid w:val="00E1155B"/>
    <w:rsid w:val="00E117FF"/>
    <w:rsid w:val="00E11AC5"/>
    <w:rsid w:val="00E11F0F"/>
    <w:rsid w:val="00E1209E"/>
    <w:rsid w:val="00E12907"/>
    <w:rsid w:val="00E12EF0"/>
    <w:rsid w:val="00E13023"/>
    <w:rsid w:val="00E1355F"/>
    <w:rsid w:val="00E13BB6"/>
    <w:rsid w:val="00E14860"/>
    <w:rsid w:val="00E14D4E"/>
    <w:rsid w:val="00E14F1B"/>
    <w:rsid w:val="00E15046"/>
    <w:rsid w:val="00E1572C"/>
    <w:rsid w:val="00E15A54"/>
    <w:rsid w:val="00E15E02"/>
    <w:rsid w:val="00E16491"/>
    <w:rsid w:val="00E165F1"/>
    <w:rsid w:val="00E17889"/>
    <w:rsid w:val="00E17DA2"/>
    <w:rsid w:val="00E20458"/>
    <w:rsid w:val="00E20520"/>
    <w:rsid w:val="00E2128A"/>
    <w:rsid w:val="00E2169E"/>
    <w:rsid w:val="00E221F8"/>
    <w:rsid w:val="00E22C58"/>
    <w:rsid w:val="00E22E87"/>
    <w:rsid w:val="00E23088"/>
    <w:rsid w:val="00E23177"/>
    <w:rsid w:val="00E23395"/>
    <w:rsid w:val="00E234D6"/>
    <w:rsid w:val="00E23708"/>
    <w:rsid w:val="00E2372D"/>
    <w:rsid w:val="00E2398E"/>
    <w:rsid w:val="00E23C88"/>
    <w:rsid w:val="00E23F09"/>
    <w:rsid w:val="00E24127"/>
    <w:rsid w:val="00E2431E"/>
    <w:rsid w:val="00E24449"/>
    <w:rsid w:val="00E24EE6"/>
    <w:rsid w:val="00E2505F"/>
    <w:rsid w:val="00E2565C"/>
    <w:rsid w:val="00E25B9B"/>
    <w:rsid w:val="00E25D27"/>
    <w:rsid w:val="00E25E1F"/>
    <w:rsid w:val="00E26248"/>
    <w:rsid w:val="00E263B1"/>
    <w:rsid w:val="00E269CF"/>
    <w:rsid w:val="00E2736D"/>
    <w:rsid w:val="00E27F80"/>
    <w:rsid w:val="00E303D1"/>
    <w:rsid w:val="00E30B05"/>
    <w:rsid w:val="00E312C6"/>
    <w:rsid w:val="00E316B5"/>
    <w:rsid w:val="00E31C37"/>
    <w:rsid w:val="00E31EC2"/>
    <w:rsid w:val="00E324B3"/>
    <w:rsid w:val="00E32D46"/>
    <w:rsid w:val="00E32E96"/>
    <w:rsid w:val="00E32FA9"/>
    <w:rsid w:val="00E333E3"/>
    <w:rsid w:val="00E337F6"/>
    <w:rsid w:val="00E33FDD"/>
    <w:rsid w:val="00E34280"/>
    <w:rsid w:val="00E3481B"/>
    <w:rsid w:val="00E34940"/>
    <w:rsid w:val="00E354AC"/>
    <w:rsid w:val="00E35810"/>
    <w:rsid w:val="00E35A4A"/>
    <w:rsid w:val="00E35B72"/>
    <w:rsid w:val="00E361B9"/>
    <w:rsid w:val="00E36461"/>
    <w:rsid w:val="00E3686F"/>
    <w:rsid w:val="00E36B8C"/>
    <w:rsid w:val="00E36C13"/>
    <w:rsid w:val="00E3702E"/>
    <w:rsid w:val="00E37256"/>
    <w:rsid w:val="00E37294"/>
    <w:rsid w:val="00E37363"/>
    <w:rsid w:val="00E373EC"/>
    <w:rsid w:val="00E37E30"/>
    <w:rsid w:val="00E37FA0"/>
    <w:rsid w:val="00E40103"/>
    <w:rsid w:val="00E40118"/>
    <w:rsid w:val="00E41165"/>
    <w:rsid w:val="00E41183"/>
    <w:rsid w:val="00E411FA"/>
    <w:rsid w:val="00E41FA2"/>
    <w:rsid w:val="00E422B8"/>
    <w:rsid w:val="00E423AD"/>
    <w:rsid w:val="00E4328A"/>
    <w:rsid w:val="00E43384"/>
    <w:rsid w:val="00E4378E"/>
    <w:rsid w:val="00E43A2E"/>
    <w:rsid w:val="00E44357"/>
    <w:rsid w:val="00E44CE1"/>
    <w:rsid w:val="00E450CC"/>
    <w:rsid w:val="00E4539E"/>
    <w:rsid w:val="00E4577D"/>
    <w:rsid w:val="00E45ACF"/>
    <w:rsid w:val="00E45BAD"/>
    <w:rsid w:val="00E460F3"/>
    <w:rsid w:val="00E46609"/>
    <w:rsid w:val="00E4764D"/>
    <w:rsid w:val="00E47ABB"/>
    <w:rsid w:val="00E47D68"/>
    <w:rsid w:val="00E50B8B"/>
    <w:rsid w:val="00E50CFF"/>
    <w:rsid w:val="00E50ED7"/>
    <w:rsid w:val="00E5107B"/>
    <w:rsid w:val="00E51370"/>
    <w:rsid w:val="00E5141C"/>
    <w:rsid w:val="00E516A0"/>
    <w:rsid w:val="00E51785"/>
    <w:rsid w:val="00E51C68"/>
    <w:rsid w:val="00E51C98"/>
    <w:rsid w:val="00E52A21"/>
    <w:rsid w:val="00E53180"/>
    <w:rsid w:val="00E53360"/>
    <w:rsid w:val="00E54704"/>
    <w:rsid w:val="00E54781"/>
    <w:rsid w:val="00E54AB2"/>
    <w:rsid w:val="00E54C31"/>
    <w:rsid w:val="00E55465"/>
    <w:rsid w:val="00E55570"/>
    <w:rsid w:val="00E55984"/>
    <w:rsid w:val="00E55A23"/>
    <w:rsid w:val="00E55EE9"/>
    <w:rsid w:val="00E57777"/>
    <w:rsid w:val="00E57886"/>
    <w:rsid w:val="00E57B26"/>
    <w:rsid w:val="00E57F9F"/>
    <w:rsid w:val="00E60392"/>
    <w:rsid w:val="00E60921"/>
    <w:rsid w:val="00E60966"/>
    <w:rsid w:val="00E60A7F"/>
    <w:rsid w:val="00E60B13"/>
    <w:rsid w:val="00E60CF7"/>
    <w:rsid w:val="00E60F37"/>
    <w:rsid w:val="00E614AE"/>
    <w:rsid w:val="00E615AF"/>
    <w:rsid w:val="00E61929"/>
    <w:rsid w:val="00E625A0"/>
    <w:rsid w:val="00E62629"/>
    <w:rsid w:val="00E62B7D"/>
    <w:rsid w:val="00E63007"/>
    <w:rsid w:val="00E631CC"/>
    <w:rsid w:val="00E63574"/>
    <w:rsid w:val="00E63918"/>
    <w:rsid w:val="00E641BB"/>
    <w:rsid w:val="00E64C33"/>
    <w:rsid w:val="00E65117"/>
    <w:rsid w:val="00E6564B"/>
    <w:rsid w:val="00E6591C"/>
    <w:rsid w:val="00E65BFE"/>
    <w:rsid w:val="00E664BF"/>
    <w:rsid w:val="00E666E2"/>
    <w:rsid w:val="00E66BFF"/>
    <w:rsid w:val="00E672BE"/>
    <w:rsid w:val="00E67D13"/>
    <w:rsid w:val="00E70563"/>
    <w:rsid w:val="00E70606"/>
    <w:rsid w:val="00E70B14"/>
    <w:rsid w:val="00E70E4B"/>
    <w:rsid w:val="00E71181"/>
    <w:rsid w:val="00E7118C"/>
    <w:rsid w:val="00E7177A"/>
    <w:rsid w:val="00E71ACD"/>
    <w:rsid w:val="00E71E61"/>
    <w:rsid w:val="00E72526"/>
    <w:rsid w:val="00E7415A"/>
    <w:rsid w:val="00E7517C"/>
    <w:rsid w:val="00E756D2"/>
    <w:rsid w:val="00E75958"/>
    <w:rsid w:val="00E75E39"/>
    <w:rsid w:val="00E761AA"/>
    <w:rsid w:val="00E7647D"/>
    <w:rsid w:val="00E769D8"/>
    <w:rsid w:val="00E76E1E"/>
    <w:rsid w:val="00E76FD9"/>
    <w:rsid w:val="00E77169"/>
    <w:rsid w:val="00E772BB"/>
    <w:rsid w:val="00E77331"/>
    <w:rsid w:val="00E80E67"/>
    <w:rsid w:val="00E815DC"/>
    <w:rsid w:val="00E816B7"/>
    <w:rsid w:val="00E8175D"/>
    <w:rsid w:val="00E820A2"/>
    <w:rsid w:val="00E820E9"/>
    <w:rsid w:val="00E826EC"/>
    <w:rsid w:val="00E8325E"/>
    <w:rsid w:val="00E83477"/>
    <w:rsid w:val="00E83FBA"/>
    <w:rsid w:val="00E84009"/>
    <w:rsid w:val="00E84133"/>
    <w:rsid w:val="00E841C4"/>
    <w:rsid w:val="00E84571"/>
    <w:rsid w:val="00E84C29"/>
    <w:rsid w:val="00E86193"/>
    <w:rsid w:val="00E861E7"/>
    <w:rsid w:val="00E86A10"/>
    <w:rsid w:val="00E90447"/>
    <w:rsid w:val="00E9063A"/>
    <w:rsid w:val="00E90EBF"/>
    <w:rsid w:val="00E90EF2"/>
    <w:rsid w:val="00E91269"/>
    <w:rsid w:val="00E916D3"/>
    <w:rsid w:val="00E91BD2"/>
    <w:rsid w:val="00E922D6"/>
    <w:rsid w:val="00E92A78"/>
    <w:rsid w:val="00E92B29"/>
    <w:rsid w:val="00E93763"/>
    <w:rsid w:val="00E93F8B"/>
    <w:rsid w:val="00E94207"/>
    <w:rsid w:val="00E94399"/>
    <w:rsid w:val="00E94412"/>
    <w:rsid w:val="00E945E3"/>
    <w:rsid w:val="00E95259"/>
    <w:rsid w:val="00E9531C"/>
    <w:rsid w:val="00E95B0C"/>
    <w:rsid w:val="00E95C3A"/>
    <w:rsid w:val="00E96C02"/>
    <w:rsid w:val="00E9744A"/>
    <w:rsid w:val="00E97524"/>
    <w:rsid w:val="00E978A8"/>
    <w:rsid w:val="00E97A57"/>
    <w:rsid w:val="00E97DE7"/>
    <w:rsid w:val="00EA0B3F"/>
    <w:rsid w:val="00EA0BFB"/>
    <w:rsid w:val="00EA0D01"/>
    <w:rsid w:val="00EA302C"/>
    <w:rsid w:val="00EA30E2"/>
    <w:rsid w:val="00EA3320"/>
    <w:rsid w:val="00EA406F"/>
    <w:rsid w:val="00EA456B"/>
    <w:rsid w:val="00EA4C90"/>
    <w:rsid w:val="00EA4F15"/>
    <w:rsid w:val="00EA4F1D"/>
    <w:rsid w:val="00EA539A"/>
    <w:rsid w:val="00EA5E8D"/>
    <w:rsid w:val="00EA613E"/>
    <w:rsid w:val="00EA63A0"/>
    <w:rsid w:val="00EA63E5"/>
    <w:rsid w:val="00EA6897"/>
    <w:rsid w:val="00EA69EF"/>
    <w:rsid w:val="00EA7F25"/>
    <w:rsid w:val="00EA7F73"/>
    <w:rsid w:val="00EB0266"/>
    <w:rsid w:val="00EB02C3"/>
    <w:rsid w:val="00EB0A93"/>
    <w:rsid w:val="00EB15F2"/>
    <w:rsid w:val="00EB1658"/>
    <w:rsid w:val="00EB1F1B"/>
    <w:rsid w:val="00EB2F50"/>
    <w:rsid w:val="00EB30E3"/>
    <w:rsid w:val="00EB3452"/>
    <w:rsid w:val="00EB3728"/>
    <w:rsid w:val="00EB3843"/>
    <w:rsid w:val="00EB4545"/>
    <w:rsid w:val="00EB45E6"/>
    <w:rsid w:val="00EB511F"/>
    <w:rsid w:val="00EB53F3"/>
    <w:rsid w:val="00EB59AB"/>
    <w:rsid w:val="00EB5AEF"/>
    <w:rsid w:val="00EB5C8E"/>
    <w:rsid w:val="00EB5D34"/>
    <w:rsid w:val="00EB6004"/>
    <w:rsid w:val="00EB60D8"/>
    <w:rsid w:val="00EB6346"/>
    <w:rsid w:val="00EB6810"/>
    <w:rsid w:val="00EB69E5"/>
    <w:rsid w:val="00EB70FD"/>
    <w:rsid w:val="00EC03F0"/>
    <w:rsid w:val="00EC046B"/>
    <w:rsid w:val="00EC06D8"/>
    <w:rsid w:val="00EC0DF4"/>
    <w:rsid w:val="00EC20C5"/>
    <w:rsid w:val="00EC22CF"/>
    <w:rsid w:val="00EC28D0"/>
    <w:rsid w:val="00EC2996"/>
    <w:rsid w:val="00EC2A2E"/>
    <w:rsid w:val="00EC3523"/>
    <w:rsid w:val="00EC37AD"/>
    <w:rsid w:val="00EC3948"/>
    <w:rsid w:val="00EC3C71"/>
    <w:rsid w:val="00EC3FF2"/>
    <w:rsid w:val="00EC5797"/>
    <w:rsid w:val="00EC5B83"/>
    <w:rsid w:val="00EC6152"/>
    <w:rsid w:val="00EC6E8C"/>
    <w:rsid w:val="00EC7A30"/>
    <w:rsid w:val="00ED06DE"/>
    <w:rsid w:val="00ED0E29"/>
    <w:rsid w:val="00ED0F04"/>
    <w:rsid w:val="00ED16ED"/>
    <w:rsid w:val="00ED1ADE"/>
    <w:rsid w:val="00ED21AA"/>
    <w:rsid w:val="00ED242C"/>
    <w:rsid w:val="00ED29E5"/>
    <w:rsid w:val="00ED2BC0"/>
    <w:rsid w:val="00ED2C06"/>
    <w:rsid w:val="00ED2C3B"/>
    <w:rsid w:val="00ED311E"/>
    <w:rsid w:val="00ED34CD"/>
    <w:rsid w:val="00ED355F"/>
    <w:rsid w:val="00ED3862"/>
    <w:rsid w:val="00ED38ED"/>
    <w:rsid w:val="00ED3E6C"/>
    <w:rsid w:val="00ED3FE1"/>
    <w:rsid w:val="00ED4005"/>
    <w:rsid w:val="00ED4947"/>
    <w:rsid w:val="00ED496E"/>
    <w:rsid w:val="00ED49FC"/>
    <w:rsid w:val="00ED5706"/>
    <w:rsid w:val="00ED5C72"/>
    <w:rsid w:val="00ED6098"/>
    <w:rsid w:val="00ED7739"/>
    <w:rsid w:val="00EE01F9"/>
    <w:rsid w:val="00EE051F"/>
    <w:rsid w:val="00EE0789"/>
    <w:rsid w:val="00EE0A52"/>
    <w:rsid w:val="00EE22C9"/>
    <w:rsid w:val="00EE30F9"/>
    <w:rsid w:val="00EE3404"/>
    <w:rsid w:val="00EE34FA"/>
    <w:rsid w:val="00EE36C6"/>
    <w:rsid w:val="00EE478E"/>
    <w:rsid w:val="00EE49C7"/>
    <w:rsid w:val="00EE4D90"/>
    <w:rsid w:val="00EE6C10"/>
    <w:rsid w:val="00EE7B83"/>
    <w:rsid w:val="00EF0532"/>
    <w:rsid w:val="00EF0C68"/>
    <w:rsid w:val="00EF0C88"/>
    <w:rsid w:val="00EF1070"/>
    <w:rsid w:val="00EF1130"/>
    <w:rsid w:val="00EF1A90"/>
    <w:rsid w:val="00EF1CC2"/>
    <w:rsid w:val="00EF1EF6"/>
    <w:rsid w:val="00EF233C"/>
    <w:rsid w:val="00EF3031"/>
    <w:rsid w:val="00EF37B9"/>
    <w:rsid w:val="00EF3A08"/>
    <w:rsid w:val="00EF4262"/>
    <w:rsid w:val="00EF453E"/>
    <w:rsid w:val="00EF46D5"/>
    <w:rsid w:val="00EF480D"/>
    <w:rsid w:val="00EF48DE"/>
    <w:rsid w:val="00EF4A8F"/>
    <w:rsid w:val="00EF4E7E"/>
    <w:rsid w:val="00EF5090"/>
    <w:rsid w:val="00EF5152"/>
    <w:rsid w:val="00EF52EA"/>
    <w:rsid w:val="00EF5726"/>
    <w:rsid w:val="00EF6184"/>
    <w:rsid w:val="00EF61C1"/>
    <w:rsid w:val="00EF64D2"/>
    <w:rsid w:val="00EF698C"/>
    <w:rsid w:val="00EF6A53"/>
    <w:rsid w:val="00EF6BAF"/>
    <w:rsid w:val="00EF71D0"/>
    <w:rsid w:val="00EF7530"/>
    <w:rsid w:val="00EF7ECC"/>
    <w:rsid w:val="00F001AA"/>
    <w:rsid w:val="00F00382"/>
    <w:rsid w:val="00F00AF1"/>
    <w:rsid w:val="00F00F1F"/>
    <w:rsid w:val="00F00F24"/>
    <w:rsid w:val="00F01480"/>
    <w:rsid w:val="00F015CB"/>
    <w:rsid w:val="00F02050"/>
    <w:rsid w:val="00F02BCC"/>
    <w:rsid w:val="00F02D71"/>
    <w:rsid w:val="00F030A9"/>
    <w:rsid w:val="00F0533C"/>
    <w:rsid w:val="00F05449"/>
    <w:rsid w:val="00F05CF0"/>
    <w:rsid w:val="00F05DD0"/>
    <w:rsid w:val="00F0620F"/>
    <w:rsid w:val="00F06879"/>
    <w:rsid w:val="00F07046"/>
    <w:rsid w:val="00F071C2"/>
    <w:rsid w:val="00F0769A"/>
    <w:rsid w:val="00F10557"/>
    <w:rsid w:val="00F10A03"/>
    <w:rsid w:val="00F10AC6"/>
    <w:rsid w:val="00F11206"/>
    <w:rsid w:val="00F11342"/>
    <w:rsid w:val="00F1149D"/>
    <w:rsid w:val="00F1183B"/>
    <w:rsid w:val="00F11C4C"/>
    <w:rsid w:val="00F12A35"/>
    <w:rsid w:val="00F136BA"/>
    <w:rsid w:val="00F13714"/>
    <w:rsid w:val="00F139E8"/>
    <w:rsid w:val="00F14AD2"/>
    <w:rsid w:val="00F1537E"/>
    <w:rsid w:val="00F165A0"/>
    <w:rsid w:val="00F16948"/>
    <w:rsid w:val="00F16CDB"/>
    <w:rsid w:val="00F16EDD"/>
    <w:rsid w:val="00F175FE"/>
    <w:rsid w:val="00F179D1"/>
    <w:rsid w:val="00F17BAF"/>
    <w:rsid w:val="00F20293"/>
    <w:rsid w:val="00F20C3A"/>
    <w:rsid w:val="00F20ED1"/>
    <w:rsid w:val="00F210B7"/>
    <w:rsid w:val="00F21316"/>
    <w:rsid w:val="00F213C0"/>
    <w:rsid w:val="00F2227F"/>
    <w:rsid w:val="00F22498"/>
    <w:rsid w:val="00F224D6"/>
    <w:rsid w:val="00F2267F"/>
    <w:rsid w:val="00F22A49"/>
    <w:rsid w:val="00F22B39"/>
    <w:rsid w:val="00F22C5C"/>
    <w:rsid w:val="00F22DF8"/>
    <w:rsid w:val="00F2391B"/>
    <w:rsid w:val="00F23EB5"/>
    <w:rsid w:val="00F23FE7"/>
    <w:rsid w:val="00F2412E"/>
    <w:rsid w:val="00F241BE"/>
    <w:rsid w:val="00F245BF"/>
    <w:rsid w:val="00F25321"/>
    <w:rsid w:val="00F253D2"/>
    <w:rsid w:val="00F2542D"/>
    <w:rsid w:val="00F25799"/>
    <w:rsid w:val="00F258FB"/>
    <w:rsid w:val="00F2697B"/>
    <w:rsid w:val="00F26F71"/>
    <w:rsid w:val="00F27024"/>
    <w:rsid w:val="00F27920"/>
    <w:rsid w:val="00F279A2"/>
    <w:rsid w:val="00F307F8"/>
    <w:rsid w:val="00F31149"/>
    <w:rsid w:val="00F31174"/>
    <w:rsid w:val="00F3127E"/>
    <w:rsid w:val="00F314E7"/>
    <w:rsid w:val="00F31626"/>
    <w:rsid w:val="00F31633"/>
    <w:rsid w:val="00F31B2F"/>
    <w:rsid w:val="00F320F3"/>
    <w:rsid w:val="00F321D8"/>
    <w:rsid w:val="00F327E0"/>
    <w:rsid w:val="00F3360A"/>
    <w:rsid w:val="00F3376F"/>
    <w:rsid w:val="00F343F6"/>
    <w:rsid w:val="00F3484F"/>
    <w:rsid w:val="00F34D54"/>
    <w:rsid w:val="00F3508B"/>
    <w:rsid w:val="00F35142"/>
    <w:rsid w:val="00F36FBD"/>
    <w:rsid w:val="00F3729E"/>
    <w:rsid w:val="00F374B7"/>
    <w:rsid w:val="00F37B0B"/>
    <w:rsid w:val="00F400B5"/>
    <w:rsid w:val="00F40CDF"/>
    <w:rsid w:val="00F41732"/>
    <w:rsid w:val="00F4176E"/>
    <w:rsid w:val="00F421AD"/>
    <w:rsid w:val="00F424ED"/>
    <w:rsid w:val="00F42710"/>
    <w:rsid w:val="00F427E9"/>
    <w:rsid w:val="00F42BF4"/>
    <w:rsid w:val="00F4331F"/>
    <w:rsid w:val="00F43494"/>
    <w:rsid w:val="00F43662"/>
    <w:rsid w:val="00F43AF1"/>
    <w:rsid w:val="00F43B14"/>
    <w:rsid w:val="00F4405F"/>
    <w:rsid w:val="00F44E64"/>
    <w:rsid w:val="00F44E86"/>
    <w:rsid w:val="00F44EFC"/>
    <w:rsid w:val="00F45120"/>
    <w:rsid w:val="00F45478"/>
    <w:rsid w:val="00F45FB9"/>
    <w:rsid w:val="00F46803"/>
    <w:rsid w:val="00F46875"/>
    <w:rsid w:val="00F46C58"/>
    <w:rsid w:val="00F503DD"/>
    <w:rsid w:val="00F503FF"/>
    <w:rsid w:val="00F52565"/>
    <w:rsid w:val="00F531E9"/>
    <w:rsid w:val="00F53E17"/>
    <w:rsid w:val="00F54033"/>
    <w:rsid w:val="00F545B8"/>
    <w:rsid w:val="00F54656"/>
    <w:rsid w:val="00F56826"/>
    <w:rsid w:val="00F56870"/>
    <w:rsid w:val="00F568B8"/>
    <w:rsid w:val="00F57504"/>
    <w:rsid w:val="00F6009A"/>
    <w:rsid w:val="00F600F1"/>
    <w:rsid w:val="00F601D0"/>
    <w:rsid w:val="00F602F0"/>
    <w:rsid w:val="00F6118D"/>
    <w:rsid w:val="00F612B1"/>
    <w:rsid w:val="00F61710"/>
    <w:rsid w:val="00F619DF"/>
    <w:rsid w:val="00F61C0A"/>
    <w:rsid w:val="00F62090"/>
    <w:rsid w:val="00F623AF"/>
    <w:rsid w:val="00F62603"/>
    <w:rsid w:val="00F62B1F"/>
    <w:rsid w:val="00F62CF0"/>
    <w:rsid w:val="00F62F3D"/>
    <w:rsid w:val="00F636ED"/>
    <w:rsid w:val="00F646EC"/>
    <w:rsid w:val="00F64982"/>
    <w:rsid w:val="00F662D9"/>
    <w:rsid w:val="00F66517"/>
    <w:rsid w:val="00F669D6"/>
    <w:rsid w:val="00F66EB0"/>
    <w:rsid w:val="00F6756E"/>
    <w:rsid w:val="00F6763D"/>
    <w:rsid w:val="00F6776A"/>
    <w:rsid w:val="00F67B62"/>
    <w:rsid w:val="00F67D0B"/>
    <w:rsid w:val="00F67E2D"/>
    <w:rsid w:val="00F7073E"/>
    <w:rsid w:val="00F707B2"/>
    <w:rsid w:val="00F7088A"/>
    <w:rsid w:val="00F70D99"/>
    <w:rsid w:val="00F7113F"/>
    <w:rsid w:val="00F714EE"/>
    <w:rsid w:val="00F71957"/>
    <w:rsid w:val="00F71A98"/>
    <w:rsid w:val="00F71CF1"/>
    <w:rsid w:val="00F72A0B"/>
    <w:rsid w:val="00F72C79"/>
    <w:rsid w:val="00F72D2E"/>
    <w:rsid w:val="00F73590"/>
    <w:rsid w:val="00F737C5"/>
    <w:rsid w:val="00F73C9F"/>
    <w:rsid w:val="00F7412E"/>
    <w:rsid w:val="00F7480C"/>
    <w:rsid w:val="00F74E23"/>
    <w:rsid w:val="00F754D2"/>
    <w:rsid w:val="00F75D40"/>
    <w:rsid w:val="00F762A0"/>
    <w:rsid w:val="00F762F8"/>
    <w:rsid w:val="00F7710F"/>
    <w:rsid w:val="00F772FC"/>
    <w:rsid w:val="00F77A79"/>
    <w:rsid w:val="00F8076A"/>
    <w:rsid w:val="00F81F2F"/>
    <w:rsid w:val="00F8225E"/>
    <w:rsid w:val="00F822CC"/>
    <w:rsid w:val="00F827F6"/>
    <w:rsid w:val="00F82FD8"/>
    <w:rsid w:val="00F831E5"/>
    <w:rsid w:val="00F839E0"/>
    <w:rsid w:val="00F83C6E"/>
    <w:rsid w:val="00F83DDF"/>
    <w:rsid w:val="00F8467A"/>
    <w:rsid w:val="00F84844"/>
    <w:rsid w:val="00F84972"/>
    <w:rsid w:val="00F84D5F"/>
    <w:rsid w:val="00F8532C"/>
    <w:rsid w:val="00F85C28"/>
    <w:rsid w:val="00F85EA4"/>
    <w:rsid w:val="00F862C0"/>
    <w:rsid w:val="00F86AC3"/>
    <w:rsid w:val="00F86DDB"/>
    <w:rsid w:val="00F86FA4"/>
    <w:rsid w:val="00F877F6"/>
    <w:rsid w:val="00F87F04"/>
    <w:rsid w:val="00F9036F"/>
    <w:rsid w:val="00F90493"/>
    <w:rsid w:val="00F90CD0"/>
    <w:rsid w:val="00F9109F"/>
    <w:rsid w:val="00F913C6"/>
    <w:rsid w:val="00F91C27"/>
    <w:rsid w:val="00F92280"/>
    <w:rsid w:val="00F9365E"/>
    <w:rsid w:val="00F93732"/>
    <w:rsid w:val="00F93EAD"/>
    <w:rsid w:val="00F93F5D"/>
    <w:rsid w:val="00F946B9"/>
    <w:rsid w:val="00F947F2"/>
    <w:rsid w:val="00F94C74"/>
    <w:rsid w:val="00F9575E"/>
    <w:rsid w:val="00F959D3"/>
    <w:rsid w:val="00F95C9C"/>
    <w:rsid w:val="00F9632D"/>
    <w:rsid w:val="00F9656A"/>
    <w:rsid w:val="00F9668C"/>
    <w:rsid w:val="00F966E5"/>
    <w:rsid w:val="00F96B20"/>
    <w:rsid w:val="00F96C1A"/>
    <w:rsid w:val="00F97412"/>
    <w:rsid w:val="00F97762"/>
    <w:rsid w:val="00F97A4A"/>
    <w:rsid w:val="00FA0498"/>
    <w:rsid w:val="00FA0564"/>
    <w:rsid w:val="00FA08DE"/>
    <w:rsid w:val="00FA1030"/>
    <w:rsid w:val="00FA1529"/>
    <w:rsid w:val="00FA1E10"/>
    <w:rsid w:val="00FA288C"/>
    <w:rsid w:val="00FA2ADC"/>
    <w:rsid w:val="00FA342A"/>
    <w:rsid w:val="00FA3C82"/>
    <w:rsid w:val="00FA424E"/>
    <w:rsid w:val="00FA44A2"/>
    <w:rsid w:val="00FA44B3"/>
    <w:rsid w:val="00FA47F9"/>
    <w:rsid w:val="00FA48AF"/>
    <w:rsid w:val="00FA5072"/>
    <w:rsid w:val="00FA55A0"/>
    <w:rsid w:val="00FA5B8B"/>
    <w:rsid w:val="00FA5D27"/>
    <w:rsid w:val="00FA62DF"/>
    <w:rsid w:val="00FA75A5"/>
    <w:rsid w:val="00FA7739"/>
    <w:rsid w:val="00FA782B"/>
    <w:rsid w:val="00FA7BA1"/>
    <w:rsid w:val="00FA7D9B"/>
    <w:rsid w:val="00FB02E5"/>
    <w:rsid w:val="00FB09F4"/>
    <w:rsid w:val="00FB0F9B"/>
    <w:rsid w:val="00FB1754"/>
    <w:rsid w:val="00FB2223"/>
    <w:rsid w:val="00FB235D"/>
    <w:rsid w:val="00FB29D6"/>
    <w:rsid w:val="00FB2D05"/>
    <w:rsid w:val="00FB2D4A"/>
    <w:rsid w:val="00FB2F48"/>
    <w:rsid w:val="00FB391F"/>
    <w:rsid w:val="00FB3A23"/>
    <w:rsid w:val="00FB40D2"/>
    <w:rsid w:val="00FB44BF"/>
    <w:rsid w:val="00FB4601"/>
    <w:rsid w:val="00FB5789"/>
    <w:rsid w:val="00FB594F"/>
    <w:rsid w:val="00FB6B7D"/>
    <w:rsid w:val="00FB6D40"/>
    <w:rsid w:val="00FB74B0"/>
    <w:rsid w:val="00FB7AA5"/>
    <w:rsid w:val="00FB7ABA"/>
    <w:rsid w:val="00FC027C"/>
    <w:rsid w:val="00FC0AFD"/>
    <w:rsid w:val="00FC18A7"/>
    <w:rsid w:val="00FC1F60"/>
    <w:rsid w:val="00FC2038"/>
    <w:rsid w:val="00FC27D4"/>
    <w:rsid w:val="00FC2AB7"/>
    <w:rsid w:val="00FC3944"/>
    <w:rsid w:val="00FC4ABE"/>
    <w:rsid w:val="00FC4CED"/>
    <w:rsid w:val="00FC55D0"/>
    <w:rsid w:val="00FC5663"/>
    <w:rsid w:val="00FC5669"/>
    <w:rsid w:val="00FC56BC"/>
    <w:rsid w:val="00FC5B51"/>
    <w:rsid w:val="00FC5E8E"/>
    <w:rsid w:val="00FC61C4"/>
    <w:rsid w:val="00FC6A11"/>
    <w:rsid w:val="00FC6B75"/>
    <w:rsid w:val="00FC6CAD"/>
    <w:rsid w:val="00FC6D1D"/>
    <w:rsid w:val="00FC7795"/>
    <w:rsid w:val="00FC7E75"/>
    <w:rsid w:val="00FD02A1"/>
    <w:rsid w:val="00FD0409"/>
    <w:rsid w:val="00FD042C"/>
    <w:rsid w:val="00FD0654"/>
    <w:rsid w:val="00FD0659"/>
    <w:rsid w:val="00FD0B80"/>
    <w:rsid w:val="00FD15FB"/>
    <w:rsid w:val="00FD1A6D"/>
    <w:rsid w:val="00FD1FF6"/>
    <w:rsid w:val="00FD23E7"/>
    <w:rsid w:val="00FD27B1"/>
    <w:rsid w:val="00FD3088"/>
    <w:rsid w:val="00FD33A4"/>
    <w:rsid w:val="00FD349E"/>
    <w:rsid w:val="00FD381F"/>
    <w:rsid w:val="00FD4354"/>
    <w:rsid w:val="00FD4651"/>
    <w:rsid w:val="00FD4AB9"/>
    <w:rsid w:val="00FD4EDA"/>
    <w:rsid w:val="00FD5659"/>
    <w:rsid w:val="00FD5BC9"/>
    <w:rsid w:val="00FD5F9C"/>
    <w:rsid w:val="00FD617E"/>
    <w:rsid w:val="00FD6770"/>
    <w:rsid w:val="00FD71FD"/>
    <w:rsid w:val="00FD73D7"/>
    <w:rsid w:val="00FD7646"/>
    <w:rsid w:val="00FD764E"/>
    <w:rsid w:val="00FE0225"/>
    <w:rsid w:val="00FE03CC"/>
    <w:rsid w:val="00FE05F5"/>
    <w:rsid w:val="00FE0C6B"/>
    <w:rsid w:val="00FE2052"/>
    <w:rsid w:val="00FE2213"/>
    <w:rsid w:val="00FE2BFC"/>
    <w:rsid w:val="00FE32AD"/>
    <w:rsid w:val="00FE34B1"/>
    <w:rsid w:val="00FE355A"/>
    <w:rsid w:val="00FE3D54"/>
    <w:rsid w:val="00FE5DCA"/>
    <w:rsid w:val="00FE602D"/>
    <w:rsid w:val="00FE74C1"/>
    <w:rsid w:val="00FE7A51"/>
    <w:rsid w:val="00FF049E"/>
    <w:rsid w:val="00FF0910"/>
    <w:rsid w:val="00FF0B4F"/>
    <w:rsid w:val="00FF105B"/>
    <w:rsid w:val="00FF1183"/>
    <w:rsid w:val="00FF118E"/>
    <w:rsid w:val="00FF1915"/>
    <w:rsid w:val="00FF1DFE"/>
    <w:rsid w:val="00FF22E5"/>
    <w:rsid w:val="00FF2EFF"/>
    <w:rsid w:val="00FF3E29"/>
    <w:rsid w:val="00FF409F"/>
    <w:rsid w:val="00FF4176"/>
    <w:rsid w:val="00FF424A"/>
    <w:rsid w:val="00FF47E4"/>
    <w:rsid w:val="00FF4853"/>
    <w:rsid w:val="00FF4A45"/>
    <w:rsid w:val="00FF4FF8"/>
    <w:rsid w:val="00FF520B"/>
    <w:rsid w:val="00FF5AFB"/>
    <w:rsid w:val="00FF617C"/>
    <w:rsid w:val="00FF62FA"/>
    <w:rsid w:val="00FF6339"/>
    <w:rsid w:val="00FF6536"/>
    <w:rsid w:val="00FF7097"/>
    <w:rsid w:val="00FF70F9"/>
    <w:rsid w:val="00FF7732"/>
    <w:rsid w:val="00FF7BE1"/>
    <w:rsid w:val="00FF7C88"/>
    <w:rsid w:val="0107FCA4"/>
    <w:rsid w:val="01267781"/>
    <w:rsid w:val="0130C325"/>
    <w:rsid w:val="013833F9"/>
    <w:rsid w:val="0147E641"/>
    <w:rsid w:val="01506EFC"/>
    <w:rsid w:val="0177BABB"/>
    <w:rsid w:val="019B2403"/>
    <w:rsid w:val="01CA37E3"/>
    <w:rsid w:val="01D01218"/>
    <w:rsid w:val="01D66950"/>
    <w:rsid w:val="01F35617"/>
    <w:rsid w:val="0208B603"/>
    <w:rsid w:val="024737A0"/>
    <w:rsid w:val="024C87ED"/>
    <w:rsid w:val="0330D331"/>
    <w:rsid w:val="0334AEA3"/>
    <w:rsid w:val="0339FD6D"/>
    <w:rsid w:val="035F7CE5"/>
    <w:rsid w:val="036C73D9"/>
    <w:rsid w:val="0392B860"/>
    <w:rsid w:val="039DA594"/>
    <w:rsid w:val="03A81FA3"/>
    <w:rsid w:val="03EB9266"/>
    <w:rsid w:val="040B1C79"/>
    <w:rsid w:val="0456FA42"/>
    <w:rsid w:val="0460C151"/>
    <w:rsid w:val="04C864F6"/>
    <w:rsid w:val="04C9BE58"/>
    <w:rsid w:val="04DCCAFF"/>
    <w:rsid w:val="04EB07A8"/>
    <w:rsid w:val="04FB922B"/>
    <w:rsid w:val="052E6B95"/>
    <w:rsid w:val="058251CD"/>
    <w:rsid w:val="0592A209"/>
    <w:rsid w:val="0593B45B"/>
    <w:rsid w:val="060AE8E0"/>
    <w:rsid w:val="06456D8A"/>
    <w:rsid w:val="0659DA0A"/>
    <w:rsid w:val="068C6AEC"/>
    <w:rsid w:val="06A13F76"/>
    <w:rsid w:val="06BFB9B7"/>
    <w:rsid w:val="06C6964F"/>
    <w:rsid w:val="06E2C90F"/>
    <w:rsid w:val="07560C2C"/>
    <w:rsid w:val="079A5D08"/>
    <w:rsid w:val="07A1C0F3"/>
    <w:rsid w:val="07AE65A6"/>
    <w:rsid w:val="08355B3E"/>
    <w:rsid w:val="08767CF8"/>
    <w:rsid w:val="087D5AA2"/>
    <w:rsid w:val="0891FC82"/>
    <w:rsid w:val="08A01445"/>
    <w:rsid w:val="08F74C96"/>
    <w:rsid w:val="090B0EB9"/>
    <w:rsid w:val="091976E7"/>
    <w:rsid w:val="092D95D4"/>
    <w:rsid w:val="09C722B6"/>
    <w:rsid w:val="09D6ED72"/>
    <w:rsid w:val="0A4D3DCD"/>
    <w:rsid w:val="0A50C98B"/>
    <w:rsid w:val="0A968443"/>
    <w:rsid w:val="0AAFD753"/>
    <w:rsid w:val="0B0E6DFC"/>
    <w:rsid w:val="0B1F500A"/>
    <w:rsid w:val="0B2B82BF"/>
    <w:rsid w:val="0B34AFB5"/>
    <w:rsid w:val="0B66B608"/>
    <w:rsid w:val="0B755459"/>
    <w:rsid w:val="0BC7F7CA"/>
    <w:rsid w:val="0C0E04C8"/>
    <w:rsid w:val="0C11509D"/>
    <w:rsid w:val="0C14C71E"/>
    <w:rsid w:val="0C166ABB"/>
    <w:rsid w:val="0C29AADF"/>
    <w:rsid w:val="0C34E3CA"/>
    <w:rsid w:val="0CB1206D"/>
    <w:rsid w:val="0CF9A0C1"/>
    <w:rsid w:val="0D34A877"/>
    <w:rsid w:val="0D3F6315"/>
    <w:rsid w:val="0D45713F"/>
    <w:rsid w:val="0D79390B"/>
    <w:rsid w:val="0D7CBCA3"/>
    <w:rsid w:val="0D991F5E"/>
    <w:rsid w:val="0DBB7C7D"/>
    <w:rsid w:val="0DC5F7BA"/>
    <w:rsid w:val="0DC615FC"/>
    <w:rsid w:val="0DD1676E"/>
    <w:rsid w:val="0DF7CF05"/>
    <w:rsid w:val="0E4E2E2C"/>
    <w:rsid w:val="0E703408"/>
    <w:rsid w:val="0E7FC109"/>
    <w:rsid w:val="0EA3FA5F"/>
    <w:rsid w:val="0EA499C3"/>
    <w:rsid w:val="0EAC05E5"/>
    <w:rsid w:val="0EB6C1D3"/>
    <w:rsid w:val="0F1C5021"/>
    <w:rsid w:val="0F2F27BB"/>
    <w:rsid w:val="0F351B8C"/>
    <w:rsid w:val="0F620F56"/>
    <w:rsid w:val="0F783A4C"/>
    <w:rsid w:val="0F7BB86E"/>
    <w:rsid w:val="0FA29DB3"/>
    <w:rsid w:val="0FD11404"/>
    <w:rsid w:val="0FD4B9AF"/>
    <w:rsid w:val="0FD59B7B"/>
    <w:rsid w:val="0FDF161A"/>
    <w:rsid w:val="0FECEE4C"/>
    <w:rsid w:val="100D6C71"/>
    <w:rsid w:val="101CB712"/>
    <w:rsid w:val="101E72BF"/>
    <w:rsid w:val="10469D58"/>
    <w:rsid w:val="104B26C0"/>
    <w:rsid w:val="1063AEC7"/>
    <w:rsid w:val="1083BFC7"/>
    <w:rsid w:val="10994611"/>
    <w:rsid w:val="10B0B0D1"/>
    <w:rsid w:val="10C74170"/>
    <w:rsid w:val="10D62887"/>
    <w:rsid w:val="10DECC70"/>
    <w:rsid w:val="10E7D804"/>
    <w:rsid w:val="10FA634F"/>
    <w:rsid w:val="1106C2C5"/>
    <w:rsid w:val="111EE58A"/>
    <w:rsid w:val="112925E0"/>
    <w:rsid w:val="11716BDC"/>
    <w:rsid w:val="1176EAA8"/>
    <w:rsid w:val="118A9439"/>
    <w:rsid w:val="118ADF2A"/>
    <w:rsid w:val="11A22C90"/>
    <w:rsid w:val="11C63450"/>
    <w:rsid w:val="12035EFD"/>
    <w:rsid w:val="123A8F2D"/>
    <w:rsid w:val="1256A2F9"/>
    <w:rsid w:val="12631C49"/>
    <w:rsid w:val="128E31E7"/>
    <w:rsid w:val="12F95F00"/>
    <w:rsid w:val="1318464F"/>
    <w:rsid w:val="134F9E63"/>
    <w:rsid w:val="1354C665"/>
    <w:rsid w:val="136EE725"/>
    <w:rsid w:val="1390F376"/>
    <w:rsid w:val="13A7187E"/>
    <w:rsid w:val="13AA321A"/>
    <w:rsid w:val="13B6A762"/>
    <w:rsid w:val="13DD3D51"/>
    <w:rsid w:val="1436477A"/>
    <w:rsid w:val="145AE032"/>
    <w:rsid w:val="146A98A3"/>
    <w:rsid w:val="1487884D"/>
    <w:rsid w:val="14ACD1B6"/>
    <w:rsid w:val="14B22D88"/>
    <w:rsid w:val="14B4916B"/>
    <w:rsid w:val="14D7326D"/>
    <w:rsid w:val="14D92714"/>
    <w:rsid w:val="14DD9589"/>
    <w:rsid w:val="151FE6C5"/>
    <w:rsid w:val="155D227C"/>
    <w:rsid w:val="15659403"/>
    <w:rsid w:val="157BE612"/>
    <w:rsid w:val="1580E067"/>
    <w:rsid w:val="15839A90"/>
    <w:rsid w:val="15A019DD"/>
    <w:rsid w:val="15B69E6C"/>
    <w:rsid w:val="15D7B1C0"/>
    <w:rsid w:val="15E5C4ED"/>
    <w:rsid w:val="1603400F"/>
    <w:rsid w:val="160AA44F"/>
    <w:rsid w:val="1639C36D"/>
    <w:rsid w:val="16412BB7"/>
    <w:rsid w:val="16753F8C"/>
    <w:rsid w:val="16D93869"/>
    <w:rsid w:val="174E1A38"/>
    <w:rsid w:val="1751C84F"/>
    <w:rsid w:val="17636F46"/>
    <w:rsid w:val="17865CBB"/>
    <w:rsid w:val="178EEC2F"/>
    <w:rsid w:val="17BE15F9"/>
    <w:rsid w:val="17CFED16"/>
    <w:rsid w:val="17D7FC89"/>
    <w:rsid w:val="17F14391"/>
    <w:rsid w:val="17FB4C1A"/>
    <w:rsid w:val="1804686B"/>
    <w:rsid w:val="180FF0A4"/>
    <w:rsid w:val="1843E51D"/>
    <w:rsid w:val="184C13AB"/>
    <w:rsid w:val="185E201D"/>
    <w:rsid w:val="1887648C"/>
    <w:rsid w:val="18880834"/>
    <w:rsid w:val="188B38E6"/>
    <w:rsid w:val="18B261AA"/>
    <w:rsid w:val="18E398AF"/>
    <w:rsid w:val="18EB7E42"/>
    <w:rsid w:val="1917F5E8"/>
    <w:rsid w:val="19346479"/>
    <w:rsid w:val="194E9C03"/>
    <w:rsid w:val="19AEEB8E"/>
    <w:rsid w:val="19DC5ADC"/>
    <w:rsid w:val="19E0D304"/>
    <w:rsid w:val="1A374AFB"/>
    <w:rsid w:val="1A99CA02"/>
    <w:rsid w:val="1A9FC744"/>
    <w:rsid w:val="1B2249E3"/>
    <w:rsid w:val="1B439B37"/>
    <w:rsid w:val="1B61F121"/>
    <w:rsid w:val="1B988FCF"/>
    <w:rsid w:val="1BBE697A"/>
    <w:rsid w:val="1C035CD6"/>
    <w:rsid w:val="1C1053DF"/>
    <w:rsid w:val="1C405FAC"/>
    <w:rsid w:val="1CB15E0C"/>
    <w:rsid w:val="1CD298AC"/>
    <w:rsid w:val="1CE78B6E"/>
    <w:rsid w:val="1D093D09"/>
    <w:rsid w:val="1D13BE6C"/>
    <w:rsid w:val="1D1D2A99"/>
    <w:rsid w:val="1D4108D3"/>
    <w:rsid w:val="1D5AEA91"/>
    <w:rsid w:val="1D5D2A3A"/>
    <w:rsid w:val="1D64C513"/>
    <w:rsid w:val="1D678FBC"/>
    <w:rsid w:val="1D910DB1"/>
    <w:rsid w:val="1DB1326B"/>
    <w:rsid w:val="1DB9BE86"/>
    <w:rsid w:val="1DC12488"/>
    <w:rsid w:val="1DD217F8"/>
    <w:rsid w:val="1DE6F748"/>
    <w:rsid w:val="1E34C133"/>
    <w:rsid w:val="1E4FEEE4"/>
    <w:rsid w:val="1E610439"/>
    <w:rsid w:val="1E64FB9E"/>
    <w:rsid w:val="1E84E001"/>
    <w:rsid w:val="1EA3AAFB"/>
    <w:rsid w:val="1ECD9B19"/>
    <w:rsid w:val="1ECFF1D2"/>
    <w:rsid w:val="1FD44DE7"/>
    <w:rsid w:val="1FE35B4F"/>
    <w:rsid w:val="200D4C8C"/>
    <w:rsid w:val="201C1D70"/>
    <w:rsid w:val="20288045"/>
    <w:rsid w:val="204CB52A"/>
    <w:rsid w:val="206405AA"/>
    <w:rsid w:val="206B2568"/>
    <w:rsid w:val="2074F12D"/>
    <w:rsid w:val="20C4BE55"/>
    <w:rsid w:val="20D3F037"/>
    <w:rsid w:val="20E078A9"/>
    <w:rsid w:val="21235B2D"/>
    <w:rsid w:val="212C8221"/>
    <w:rsid w:val="217888A1"/>
    <w:rsid w:val="21A354FD"/>
    <w:rsid w:val="21A7E836"/>
    <w:rsid w:val="21D132A5"/>
    <w:rsid w:val="21E030C0"/>
    <w:rsid w:val="21F60E4C"/>
    <w:rsid w:val="220C11F0"/>
    <w:rsid w:val="220F491A"/>
    <w:rsid w:val="221F3D98"/>
    <w:rsid w:val="222C085B"/>
    <w:rsid w:val="2286151C"/>
    <w:rsid w:val="22AC0072"/>
    <w:rsid w:val="22AEE065"/>
    <w:rsid w:val="22CBD279"/>
    <w:rsid w:val="22DAAFF7"/>
    <w:rsid w:val="22F5991E"/>
    <w:rsid w:val="23213A90"/>
    <w:rsid w:val="232BD637"/>
    <w:rsid w:val="2332DD1A"/>
    <w:rsid w:val="233ACBC4"/>
    <w:rsid w:val="234BB993"/>
    <w:rsid w:val="236CBE09"/>
    <w:rsid w:val="23721C37"/>
    <w:rsid w:val="237A34C9"/>
    <w:rsid w:val="23FE22BA"/>
    <w:rsid w:val="24074905"/>
    <w:rsid w:val="2425E981"/>
    <w:rsid w:val="243BC2E3"/>
    <w:rsid w:val="244D07FB"/>
    <w:rsid w:val="2452C6DB"/>
    <w:rsid w:val="245B77D9"/>
    <w:rsid w:val="248D270B"/>
    <w:rsid w:val="24EFAB0A"/>
    <w:rsid w:val="24FD4849"/>
    <w:rsid w:val="2500C670"/>
    <w:rsid w:val="253F1E18"/>
    <w:rsid w:val="254BE390"/>
    <w:rsid w:val="255C591B"/>
    <w:rsid w:val="2560A033"/>
    <w:rsid w:val="257107E2"/>
    <w:rsid w:val="2595623A"/>
    <w:rsid w:val="2599545F"/>
    <w:rsid w:val="25CF5A74"/>
    <w:rsid w:val="25F613A0"/>
    <w:rsid w:val="2653BE84"/>
    <w:rsid w:val="267502E2"/>
    <w:rsid w:val="2679ABEB"/>
    <w:rsid w:val="26838C89"/>
    <w:rsid w:val="26A74670"/>
    <w:rsid w:val="26AA009A"/>
    <w:rsid w:val="26C13B0E"/>
    <w:rsid w:val="26CC6F28"/>
    <w:rsid w:val="26F661D4"/>
    <w:rsid w:val="277F3650"/>
    <w:rsid w:val="278D5082"/>
    <w:rsid w:val="27A757A3"/>
    <w:rsid w:val="27BBB20A"/>
    <w:rsid w:val="27BDB906"/>
    <w:rsid w:val="27C0FFA2"/>
    <w:rsid w:val="27C34BCD"/>
    <w:rsid w:val="2833613E"/>
    <w:rsid w:val="283E2F63"/>
    <w:rsid w:val="285E1C0E"/>
    <w:rsid w:val="2896F6C6"/>
    <w:rsid w:val="28A2B4A0"/>
    <w:rsid w:val="28AC32DF"/>
    <w:rsid w:val="28EE4313"/>
    <w:rsid w:val="2906B98C"/>
    <w:rsid w:val="2946C821"/>
    <w:rsid w:val="29698375"/>
    <w:rsid w:val="297FCFE4"/>
    <w:rsid w:val="29858EC5"/>
    <w:rsid w:val="2994E9BA"/>
    <w:rsid w:val="29964E92"/>
    <w:rsid w:val="29BCB7A9"/>
    <w:rsid w:val="29E6CCE9"/>
    <w:rsid w:val="29F63642"/>
    <w:rsid w:val="2A1015C1"/>
    <w:rsid w:val="2A595A35"/>
    <w:rsid w:val="2A740893"/>
    <w:rsid w:val="2A7B0A7F"/>
    <w:rsid w:val="2A89596C"/>
    <w:rsid w:val="2AC29588"/>
    <w:rsid w:val="2B0EED5F"/>
    <w:rsid w:val="2B10BB36"/>
    <w:rsid w:val="2B755965"/>
    <w:rsid w:val="2B7CC663"/>
    <w:rsid w:val="2B932282"/>
    <w:rsid w:val="2BACF9C7"/>
    <w:rsid w:val="2BB4C166"/>
    <w:rsid w:val="2BBB45CC"/>
    <w:rsid w:val="2BBC512F"/>
    <w:rsid w:val="2BD2D0A6"/>
    <w:rsid w:val="2C08EE45"/>
    <w:rsid w:val="2C2D6CB1"/>
    <w:rsid w:val="2C378C55"/>
    <w:rsid w:val="2C743677"/>
    <w:rsid w:val="2C8D78AB"/>
    <w:rsid w:val="2C97A45F"/>
    <w:rsid w:val="2CCEDA1F"/>
    <w:rsid w:val="2CEC12C6"/>
    <w:rsid w:val="2CF5DF09"/>
    <w:rsid w:val="2CF74236"/>
    <w:rsid w:val="2D37A3B8"/>
    <w:rsid w:val="2D4A99DC"/>
    <w:rsid w:val="2D533691"/>
    <w:rsid w:val="2D918A78"/>
    <w:rsid w:val="2DCCC5B8"/>
    <w:rsid w:val="2DDBE91A"/>
    <w:rsid w:val="2DDE5DD0"/>
    <w:rsid w:val="2E1387BE"/>
    <w:rsid w:val="2E26A779"/>
    <w:rsid w:val="2EEA8BE3"/>
    <w:rsid w:val="2EF61D12"/>
    <w:rsid w:val="2EF8E75F"/>
    <w:rsid w:val="2F267B23"/>
    <w:rsid w:val="2F4C16A9"/>
    <w:rsid w:val="2F4FD10F"/>
    <w:rsid w:val="2F63E778"/>
    <w:rsid w:val="2F75AAA3"/>
    <w:rsid w:val="2F7A879E"/>
    <w:rsid w:val="2FA4345A"/>
    <w:rsid w:val="2FC2C6DE"/>
    <w:rsid w:val="30171A67"/>
    <w:rsid w:val="302FBB02"/>
    <w:rsid w:val="30419A74"/>
    <w:rsid w:val="30450F09"/>
    <w:rsid w:val="308C3AE8"/>
    <w:rsid w:val="30A0C158"/>
    <w:rsid w:val="30FB4EFE"/>
    <w:rsid w:val="311F592B"/>
    <w:rsid w:val="313CEEBD"/>
    <w:rsid w:val="314189EF"/>
    <w:rsid w:val="317F5AC1"/>
    <w:rsid w:val="31891EB4"/>
    <w:rsid w:val="31CE2E12"/>
    <w:rsid w:val="3246A33C"/>
    <w:rsid w:val="32494F0B"/>
    <w:rsid w:val="3276E850"/>
    <w:rsid w:val="327B0ECF"/>
    <w:rsid w:val="3298D081"/>
    <w:rsid w:val="32A815AF"/>
    <w:rsid w:val="32C03DC5"/>
    <w:rsid w:val="32C2E070"/>
    <w:rsid w:val="32C6B1C7"/>
    <w:rsid w:val="32D59735"/>
    <w:rsid w:val="32FABD08"/>
    <w:rsid w:val="32FC1376"/>
    <w:rsid w:val="3310C08D"/>
    <w:rsid w:val="333AF52E"/>
    <w:rsid w:val="33541EC8"/>
    <w:rsid w:val="33AD125D"/>
    <w:rsid w:val="33BA7000"/>
    <w:rsid w:val="33BBBC7F"/>
    <w:rsid w:val="33D23361"/>
    <w:rsid w:val="33D6BDA2"/>
    <w:rsid w:val="33FAE2A5"/>
    <w:rsid w:val="33FDEC42"/>
    <w:rsid w:val="34109667"/>
    <w:rsid w:val="3424198D"/>
    <w:rsid w:val="344B2C04"/>
    <w:rsid w:val="3454AED9"/>
    <w:rsid w:val="3470E177"/>
    <w:rsid w:val="3480A08F"/>
    <w:rsid w:val="34A4C26E"/>
    <w:rsid w:val="3521246C"/>
    <w:rsid w:val="354A65EB"/>
    <w:rsid w:val="3566CC59"/>
    <w:rsid w:val="35675486"/>
    <w:rsid w:val="357BD81D"/>
    <w:rsid w:val="35FCADEE"/>
    <w:rsid w:val="35FEDD74"/>
    <w:rsid w:val="36115104"/>
    <w:rsid w:val="36225143"/>
    <w:rsid w:val="366CC16D"/>
    <w:rsid w:val="367319EE"/>
    <w:rsid w:val="36791219"/>
    <w:rsid w:val="368950D1"/>
    <w:rsid w:val="36A5C097"/>
    <w:rsid w:val="36C17E65"/>
    <w:rsid w:val="36E225D9"/>
    <w:rsid w:val="36E24128"/>
    <w:rsid w:val="36EB9F11"/>
    <w:rsid w:val="36F35D41"/>
    <w:rsid w:val="36FF0ABD"/>
    <w:rsid w:val="3711F89E"/>
    <w:rsid w:val="371A8AFF"/>
    <w:rsid w:val="372540B8"/>
    <w:rsid w:val="372DC1D4"/>
    <w:rsid w:val="37613683"/>
    <w:rsid w:val="379DD32B"/>
    <w:rsid w:val="37A0573C"/>
    <w:rsid w:val="37B71B8E"/>
    <w:rsid w:val="37BFE0EE"/>
    <w:rsid w:val="3836694B"/>
    <w:rsid w:val="3847F134"/>
    <w:rsid w:val="38ADE9DB"/>
    <w:rsid w:val="3932161F"/>
    <w:rsid w:val="39A3CE3A"/>
    <w:rsid w:val="39A862CF"/>
    <w:rsid w:val="39A959E4"/>
    <w:rsid w:val="39C82B24"/>
    <w:rsid w:val="3A15086C"/>
    <w:rsid w:val="3A366857"/>
    <w:rsid w:val="3A5898E5"/>
    <w:rsid w:val="3A75FB1D"/>
    <w:rsid w:val="3A767AF6"/>
    <w:rsid w:val="3A78A991"/>
    <w:rsid w:val="3A7A6FE4"/>
    <w:rsid w:val="3A7B93D6"/>
    <w:rsid w:val="3A81BC04"/>
    <w:rsid w:val="3A83AB45"/>
    <w:rsid w:val="3ACFC571"/>
    <w:rsid w:val="3AE2D96C"/>
    <w:rsid w:val="3AEDDFC8"/>
    <w:rsid w:val="3B10F7EB"/>
    <w:rsid w:val="3B24508F"/>
    <w:rsid w:val="3B80E22D"/>
    <w:rsid w:val="3B88531D"/>
    <w:rsid w:val="3BC0C5DD"/>
    <w:rsid w:val="3BC9F73E"/>
    <w:rsid w:val="3BDBF52D"/>
    <w:rsid w:val="3C006A88"/>
    <w:rsid w:val="3C1D81E0"/>
    <w:rsid w:val="3C43F525"/>
    <w:rsid w:val="3C5664F9"/>
    <w:rsid w:val="3C59012F"/>
    <w:rsid w:val="3C68D34B"/>
    <w:rsid w:val="3C767373"/>
    <w:rsid w:val="3C794715"/>
    <w:rsid w:val="3D1BF4BF"/>
    <w:rsid w:val="3D39E0F8"/>
    <w:rsid w:val="3D502C9B"/>
    <w:rsid w:val="3D636389"/>
    <w:rsid w:val="3D8D90A9"/>
    <w:rsid w:val="3D999A0F"/>
    <w:rsid w:val="3DB0076F"/>
    <w:rsid w:val="3DDDB230"/>
    <w:rsid w:val="3E63F961"/>
    <w:rsid w:val="3EB49EA0"/>
    <w:rsid w:val="3EB7C5F9"/>
    <w:rsid w:val="3ED8F2EB"/>
    <w:rsid w:val="3F9AD2B4"/>
    <w:rsid w:val="3FF49796"/>
    <w:rsid w:val="400C15DE"/>
    <w:rsid w:val="402483F2"/>
    <w:rsid w:val="402C5EB3"/>
    <w:rsid w:val="4052FF93"/>
    <w:rsid w:val="405A02E6"/>
    <w:rsid w:val="40A5E462"/>
    <w:rsid w:val="40E5411F"/>
    <w:rsid w:val="40E5498D"/>
    <w:rsid w:val="40FD9820"/>
    <w:rsid w:val="40FFB6FA"/>
    <w:rsid w:val="41159E2B"/>
    <w:rsid w:val="41376688"/>
    <w:rsid w:val="4137DE27"/>
    <w:rsid w:val="41908115"/>
    <w:rsid w:val="4195C533"/>
    <w:rsid w:val="41E39D67"/>
    <w:rsid w:val="41F64454"/>
    <w:rsid w:val="422579BD"/>
    <w:rsid w:val="4253D872"/>
    <w:rsid w:val="428C77C4"/>
    <w:rsid w:val="42B8A3E4"/>
    <w:rsid w:val="42B8E283"/>
    <w:rsid w:val="42BE7538"/>
    <w:rsid w:val="42C1AEF9"/>
    <w:rsid w:val="42D370B0"/>
    <w:rsid w:val="42D4B47A"/>
    <w:rsid w:val="42F32266"/>
    <w:rsid w:val="4329D2DB"/>
    <w:rsid w:val="436CA0B9"/>
    <w:rsid w:val="43B9BA14"/>
    <w:rsid w:val="43CC2E7B"/>
    <w:rsid w:val="43E4F6CA"/>
    <w:rsid w:val="43E72384"/>
    <w:rsid w:val="44018961"/>
    <w:rsid w:val="440EA4B4"/>
    <w:rsid w:val="443A19D6"/>
    <w:rsid w:val="44415C53"/>
    <w:rsid w:val="446D5041"/>
    <w:rsid w:val="448EC951"/>
    <w:rsid w:val="4499BAA6"/>
    <w:rsid w:val="44A3BCF4"/>
    <w:rsid w:val="44D4F43D"/>
    <w:rsid w:val="44D902FD"/>
    <w:rsid w:val="44EFDE3F"/>
    <w:rsid w:val="45004C3B"/>
    <w:rsid w:val="451AD364"/>
    <w:rsid w:val="451F023E"/>
    <w:rsid w:val="4524E519"/>
    <w:rsid w:val="452A2D76"/>
    <w:rsid w:val="45352486"/>
    <w:rsid w:val="45764845"/>
    <w:rsid w:val="45783496"/>
    <w:rsid w:val="458C6328"/>
    <w:rsid w:val="45F0BB3C"/>
    <w:rsid w:val="46154800"/>
    <w:rsid w:val="4657D24D"/>
    <w:rsid w:val="46890AA5"/>
    <w:rsid w:val="46C3CC9E"/>
    <w:rsid w:val="46C6F648"/>
    <w:rsid w:val="46CE73CC"/>
    <w:rsid w:val="46F529F9"/>
    <w:rsid w:val="474C251C"/>
    <w:rsid w:val="4752C233"/>
    <w:rsid w:val="476688F3"/>
    <w:rsid w:val="479003B9"/>
    <w:rsid w:val="4795201C"/>
    <w:rsid w:val="47A891BC"/>
    <w:rsid w:val="47BFE63E"/>
    <w:rsid w:val="47FAD861"/>
    <w:rsid w:val="483B0373"/>
    <w:rsid w:val="486C206C"/>
    <w:rsid w:val="48854D46"/>
    <w:rsid w:val="489C53E8"/>
    <w:rsid w:val="48AE55F5"/>
    <w:rsid w:val="48B8A29C"/>
    <w:rsid w:val="48F60AAA"/>
    <w:rsid w:val="491D12C3"/>
    <w:rsid w:val="494DE52C"/>
    <w:rsid w:val="4959E159"/>
    <w:rsid w:val="498A1936"/>
    <w:rsid w:val="498ADFF2"/>
    <w:rsid w:val="49AEBC96"/>
    <w:rsid w:val="49D21825"/>
    <w:rsid w:val="49EC1084"/>
    <w:rsid w:val="4A10282E"/>
    <w:rsid w:val="4A2FEFFC"/>
    <w:rsid w:val="4A68257D"/>
    <w:rsid w:val="4AC38691"/>
    <w:rsid w:val="4AC52071"/>
    <w:rsid w:val="4B5186E4"/>
    <w:rsid w:val="4B69814C"/>
    <w:rsid w:val="4B7539CA"/>
    <w:rsid w:val="4B7539E6"/>
    <w:rsid w:val="4B9725AD"/>
    <w:rsid w:val="4BC7E12E"/>
    <w:rsid w:val="4BDDD8DF"/>
    <w:rsid w:val="4C140586"/>
    <w:rsid w:val="4C4E1921"/>
    <w:rsid w:val="4C65CEB8"/>
    <w:rsid w:val="4C6C3861"/>
    <w:rsid w:val="4CCD6626"/>
    <w:rsid w:val="4CDCFB6C"/>
    <w:rsid w:val="4CEFB3AF"/>
    <w:rsid w:val="4CF333D5"/>
    <w:rsid w:val="4D21A6ED"/>
    <w:rsid w:val="4D69B12B"/>
    <w:rsid w:val="4D8F9B54"/>
    <w:rsid w:val="4DC2A2DA"/>
    <w:rsid w:val="4DF1F044"/>
    <w:rsid w:val="4DFE3B42"/>
    <w:rsid w:val="4E098C05"/>
    <w:rsid w:val="4E3A741C"/>
    <w:rsid w:val="4E433D51"/>
    <w:rsid w:val="4E5F461C"/>
    <w:rsid w:val="4EC2EE54"/>
    <w:rsid w:val="4EDE052F"/>
    <w:rsid w:val="4EED15E2"/>
    <w:rsid w:val="4F248C42"/>
    <w:rsid w:val="4F4693A3"/>
    <w:rsid w:val="4F539563"/>
    <w:rsid w:val="4F5C45AA"/>
    <w:rsid w:val="4F6FB941"/>
    <w:rsid w:val="4F72D4CE"/>
    <w:rsid w:val="4F843B7A"/>
    <w:rsid w:val="4F89C8D8"/>
    <w:rsid w:val="4FB3E4FE"/>
    <w:rsid w:val="4FBC40CA"/>
    <w:rsid w:val="4FE7F0AA"/>
    <w:rsid w:val="501BFDF4"/>
    <w:rsid w:val="505D6BE6"/>
    <w:rsid w:val="50D441CC"/>
    <w:rsid w:val="50DB2819"/>
    <w:rsid w:val="50E8BA73"/>
    <w:rsid w:val="51412D61"/>
    <w:rsid w:val="515AF5C8"/>
    <w:rsid w:val="51A806D6"/>
    <w:rsid w:val="51E3AB29"/>
    <w:rsid w:val="520E7C13"/>
    <w:rsid w:val="52246D2F"/>
    <w:rsid w:val="522AA3A9"/>
    <w:rsid w:val="526ED7B4"/>
    <w:rsid w:val="52C32FDA"/>
    <w:rsid w:val="52CE0BC1"/>
    <w:rsid w:val="52E87949"/>
    <w:rsid w:val="530CABBD"/>
    <w:rsid w:val="533BF511"/>
    <w:rsid w:val="53664F20"/>
    <w:rsid w:val="537CEE9F"/>
    <w:rsid w:val="53B3FD1C"/>
    <w:rsid w:val="53F5EFAE"/>
    <w:rsid w:val="544F83B4"/>
    <w:rsid w:val="54575A36"/>
    <w:rsid w:val="549544EC"/>
    <w:rsid w:val="549C7153"/>
    <w:rsid w:val="54DED54F"/>
    <w:rsid w:val="54E4BB8F"/>
    <w:rsid w:val="55587D8D"/>
    <w:rsid w:val="5561425C"/>
    <w:rsid w:val="55696BD6"/>
    <w:rsid w:val="558E9FD4"/>
    <w:rsid w:val="55D66D5A"/>
    <w:rsid w:val="55E0F042"/>
    <w:rsid w:val="55E74AA1"/>
    <w:rsid w:val="55EC41AC"/>
    <w:rsid w:val="55EE35B8"/>
    <w:rsid w:val="56C208C4"/>
    <w:rsid w:val="56C58766"/>
    <w:rsid w:val="56C5FF71"/>
    <w:rsid w:val="56CF1BDC"/>
    <w:rsid w:val="56D7E6D5"/>
    <w:rsid w:val="57027BC6"/>
    <w:rsid w:val="575164DA"/>
    <w:rsid w:val="575E6494"/>
    <w:rsid w:val="57652578"/>
    <w:rsid w:val="576EAED4"/>
    <w:rsid w:val="57DD6233"/>
    <w:rsid w:val="5819506C"/>
    <w:rsid w:val="583DFB5E"/>
    <w:rsid w:val="586BBF18"/>
    <w:rsid w:val="58704286"/>
    <w:rsid w:val="588F5F93"/>
    <w:rsid w:val="588F87FB"/>
    <w:rsid w:val="589802C7"/>
    <w:rsid w:val="58ABC3ED"/>
    <w:rsid w:val="58D8222D"/>
    <w:rsid w:val="5903F09F"/>
    <w:rsid w:val="591CF41F"/>
    <w:rsid w:val="5963FF10"/>
    <w:rsid w:val="5966CA4B"/>
    <w:rsid w:val="5986E287"/>
    <w:rsid w:val="598B91AB"/>
    <w:rsid w:val="599ED2CD"/>
    <w:rsid w:val="59A812D5"/>
    <w:rsid w:val="5A07D8DB"/>
    <w:rsid w:val="5A389914"/>
    <w:rsid w:val="5ACEE74A"/>
    <w:rsid w:val="5B045764"/>
    <w:rsid w:val="5B48395E"/>
    <w:rsid w:val="5B5B7C08"/>
    <w:rsid w:val="5B978BAC"/>
    <w:rsid w:val="5BD934DF"/>
    <w:rsid w:val="5C0DEAAD"/>
    <w:rsid w:val="5C40C796"/>
    <w:rsid w:val="5C5331B8"/>
    <w:rsid w:val="5C53AD14"/>
    <w:rsid w:val="5C6E6BB9"/>
    <w:rsid w:val="5C72CF4D"/>
    <w:rsid w:val="5C7F0222"/>
    <w:rsid w:val="5CAB6BBA"/>
    <w:rsid w:val="5CAD8AEC"/>
    <w:rsid w:val="5CBA6524"/>
    <w:rsid w:val="5CDF7D9B"/>
    <w:rsid w:val="5D02AE17"/>
    <w:rsid w:val="5D2A1826"/>
    <w:rsid w:val="5D3F303B"/>
    <w:rsid w:val="5D458C43"/>
    <w:rsid w:val="5DC9DE07"/>
    <w:rsid w:val="5DF0945A"/>
    <w:rsid w:val="5E1FB069"/>
    <w:rsid w:val="5E22E636"/>
    <w:rsid w:val="5E335768"/>
    <w:rsid w:val="5E3621A9"/>
    <w:rsid w:val="5E56C99A"/>
    <w:rsid w:val="5E742157"/>
    <w:rsid w:val="5E81FD97"/>
    <w:rsid w:val="5ECC35E8"/>
    <w:rsid w:val="5EEAA7EA"/>
    <w:rsid w:val="5F2E7B28"/>
    <w:rsid w:val="5F696684"/>
    <w:rsid w:val="5F8C6F9C"/>
    <w:rsid w:val="5F961878"/>
    <w:rsid w:val="5FE9D343"/>
    <w:rsid w:val="60204467"/>
    <w:rsid w:val="603CF53A"/>
    <w:rsid w:val="6081A6FE"/>
    <w:rsid w:val="6090F317"/>
    <w:rsid w:val="60914BF1"/>
    <w:rsid w:val="60997F33"/>
    <w:rsid w:val="60A003E1"/>
    <w:rsid w:val="60A99310"/>
    <w:rsid w:val="60B16713"/>
    <w:rsid w:val="60E2A7C0"/>
    <w:rsid w:val="6121D61E"/>
    <w:rsid w:val="613E28CE"/>
    <w:rsid w:val="613ECD0A"/>
    <w:rsid w:val="616010A2"/>
    <w:rsid w:val="61686203"/>
    <w:rsid w:val="619856A3"/>
    <w:rsid w:val="6219E6D2"/>
    <w:rsid w:val="62409F37"/>
    <w:rsid w:val="62C1A47F"/>
    <w:rsid w:val="62C933EA"/>
    <w:rsid w:val="630DFFFE"/>
    <w:rsid w:val="63291F94"/>
    <w:rsid w:val="6345400C"/>
    <w:rsid w:val="6345C77D"/>
    <w:rsid w:val="634811AB"/>
    <w:rsid w:val="637C6EA9"/>
    <w:rsid w:val="638AD04C"/>
    <w:rsid w:val="63901A31"/>
    <w:rsid w:val="63C9D2A1"/>
    <w:rsid w:val="63DAE02F"/>
    <w:rsid w:val="63DFBDE1"/>
    <w:rsid w:val="63E00080"/>
    <w:rsid w:val="640A93A8"/>
    <w:rsid w:val="6422DDDD"/>
    <w:rsid w:val="644CF6C9"/>
    <w:rsid w:val="647E7676"/>
    <w:rsid w:val="64C693E9"/>
    <w:rsid w:val="64EBC423"/>
    <w:rsid w:val="652C72C6"/>
    <w:rsid w:val="656C5113"/>
    <w:rsid w:val="657DA46E"/>
    <w:rsid w:val="65CADB87"/>
    <w:rsid w:val="65D83A2E"/>
    <w:rsid w:val="65FF755D"/>
    <w:rsid w:val="65FFAAA9"/>
    <w:rsid w:val="6605F140"/>
    <w:rsid w:val="6623B315"/>
    <w:rsid w:val="6645CFE5"/>
    <w:rsid w:val="6651DFB4"/>
    <w:rsid w:val="66B52800"/>
    <w:rsid w:val="66BC3340"/>
    <w:rsid w:val="66CA7DD9"/>
    <w:rsid w:val="66D0C6AA"/>
    <w:rsid w:val="66D6773A"/>
    <w:rsid w:val="66F6AFDF"/>
    <w:rsid w:val="67043A60"/>
    <w:rsid w:val="670796E0"/>
    <w:rsid w:val="6719A75B"/>
    <w:rsid w:val="6727FF5C"/>
    <w:rsid w:val="677317D1"/>
    <w:rsid w:val="678A2C9F"/>
    <w:rsid w:val="67B2AB25"/>
    <w:rsid w:val="67B965D1"/>
    <w:rsid w:val="67C08F5C"/>
    <w:rsid w:val="67D819CA"/>
    <w:rsid w:val="67E59D75"/>
    <w:rsid w:val="685BC90B"/>
    <w:rsid w:val="6862BA83"/>
    <w:rsid w:val="686AC3C5"/>
    <w:rsid w:val="6875EFC4"/>
    <w:rsid w:val="68806C51"/>
    <w:rsid w:val="688D5DEB"/>
    <w:rsid w:val="6898FA3E"/>
    <w:rsid w:val="68A16445"/>
    <w:rsid w:val="68BB4EED"/>
    <w:rsid w:val="68C0165E"/>
    <w:rsid w:val="68F9AAF0"/>
    <w:rsid w:val="68FD98EA"/>
    <w:rsid w:val="690D4C99"/>
    <w:rsid w:val="6942FCAA"/>
    <w:rsid w:val="69496AC6"/>
    <w:rsid w:val="6985DF77"/>
    <w:rsid w:val="69F4D997"/>
    <w:rsid w:val="6A26343A"/>
    <w:rsid w:val="6A513F2A"/>
    <w:rsid w:val="6A5FBBB0"/>
    <w:rsid w:val="6AAD0752"/>
    <w:rsid w:val="6AB2BD58"/>
    <w:rsid w:val="6AE2A652"/>
    <w:rsid w:val="6AE5B7C1"/>
    <w:rsid w:val="6AFE5B30"/>
    <w:rsid w:val="6B2F7EC6"/>
    <w:rsid w:val="6B33AE9D"/>
    <w:rsid w:val="6B33FCC7"/>
    <w:rsid w:val="6B51E581"/>
    <w:rsid w:val="6B616C93"/>
    <w:rsid w:val="6B7174AF"/>
    <w:rsid w:val="6B73BF50"/>
    <w:rsid w:val="6B7A7FC9"/>
    <w:rsid w:val="6B7ECCD1"/>
    <w:rsid w:val="6BBB426B"/>
    <w:rsid w:val="6BC73A95"/>
    <w:rsid w:val="6BD6B0E4"/>
    <w:rsid w:val="6BEA2846"/>
    <w:rsid w:val="6C0B3985"/>
    <w:rsid w:val="6C28F013"/>
    <w:rsid w:val="6C3FF919"/>
    <w:rsid w:val="6C78A6E9"/>
    <w:rsid w:val="6CBF1169"/>
    <w:rsid w:val="6CDEB801"/>
    <w:rsid w:val="6D196CBF"/>
    <w:rsid w:val="6D2A583F"/>
    <w:rsid w:val="6D92884D"/>
    <w:rsid w:val="6DBE286E"/>
    <w:rsid w:val="6DDD1DA3"/>
    <w:rsid w:val="6DE085BD"/>
    <w:rsid w:val="6DF14817"/>
    <w:rsid w:val="6E1D5883"/>
    <w:rsid w:val="6E26F163"/>
    <w:rsid w:val="6E30F0F3"/>
    <w:rsid w:val="6EB6B8CC"/>
    <w:rsid w:val="6EFE8EAB"/>
    <w:rsid w:val="6F395318"/>
    <w:rsid w:val="6F906FAB"/>
    <w:rsid w:val="6F94227E"/>
    <w:rsid w:val="6FC1C0AF"/>
    <w:rsid w:val="700F6E69"/>
    <w:rsid w:val="70131A2C"/>
    <w:rsid w:val="70330FD6"/>
    <w:rsid w:val="7040BCC3"/>
    <w:rsid w:val="704B5360"/>
    <w:rsid w:val="706F9EB6"/>
    <w:rsid w:val="707B8BBB"/>
    <w:rsid w:val="70A76144"/>
    <w:rsid w:val="70CC7FF8"/>
    <w:rsid w:val="70D3D0CF"/>
    <w:rsid w:val="70E1CA05"/>
    <w:rsid w:val="70F23746"/>
    <w:rsid w:val="70FF6421"/>
    <w:rsid w:val="711756CC"/>
    <w:rsid w:val="712182C1"/>
    <w:rsid w:val="715F20B8"/>
    <w:rsid w:val="716414C7"/>
    <w:rsid w:val="7167B5A5"/>
    <w:rsid w:val="7180D8C3"/>
    <w:rsid w:val="718D1D58"/>
    <w:rsid w:val="71AEEFF1"/>
    <w:rsid w:val="71E19CA3"/>
    <w:rsid w:val="71F52615"/>
    <w:rsid w:val="71FD292B"/>
    <w:rsid w:val="7218D3EB"/>
    <w:rsid w:val="7243E879"/>
    <w:rsid w:val="72B7527F"/>
    <w:rsid w:val="72C67D62"/>
    <w:rsid w:val="72ED7DA1"/>
    <w:rsid w:val="730164EE"/>
    <w:rsid w:val="73036E9A"/>
    <w:rsid w:val="731653EE"/>
    <w:rsid w:val="7319081D"/>
    <w:rsid w:val="7360152F"/>
    <w:rsid w:val="73BBD18B"/>
    <w:rsid w:val="73BF01C6"/>
    <w:rsid w:val="73C376B6"/>
    <w:rsid w:val="73E0505B"/>
    <w:rsid w:val="741855E1"/>
    <w:rsid w:val="7424F5F8"/>
    <w:rsid w:val="74BD690A"/>
    <w:rsid w:val="74CCCFCF"/>
    <w:rsid w:val="74D254BF"/>
    <w:rsid w:val="75136643"/>
    <w:rsid w:val="757630F4"/>
    <w:rsid w:val="75D1CD59"/>
    <w:rsid w:val="75F70F27"/>
    <w:rsid w:val="75F9D7EA"/>
    <w:rsid w:val="76066D04"/>
    <w:rsid w:val="76148C62"/>
    <w:rsid w:val="761715A1"/>
    <w:rsid w:val="76205B30"/>
    <w:rsid w:val="76458D08"/>
    <w:rsid w:val="7666880A"/>
    <w:rsid w:val="767EC87F"/>
    <w:rsid w:val="76C893C3"/>
    <w:rsid w:val="76E26ED1"/>
    <w:rsid w:val="771E4335"/>
    <w:rsid w:val="771F2197"/>
    <w:rsid w:val="774AFF10"/>
    <w:rsid w:val="77849E67"/>
    <w:rsid w:val="77C9469E"/>
    <w:rsid w:val="786941AD"/>
    <w:rsid w:val="789C1750"/>
    <w:rsid w:val="791C3240"/>
    <w:rsid w:val="793BC0E1"/>
    <w:rsid w:val="79BE3413"/>
    <w:rsid w:val="79F6FDB8"/>
    <w:rsid w:val="7A116BF7"/>
    <w:rsid w:val="7A38CD99"/>
    <w:rsid w:val="7A4D2B1A"/>
    <w:rsid w:val="7ACD0B9D"/>
    <w:rsid w:val="7B1B5B2D"/>
    <w:rsid w:val="7B337DA9"/>
    <w:rsid w:val="7B397C6C"/>
    <w:rsid w:val="7B4764E3"/>
    <w:rsid w:val="7B636BC3"/>
    <w:rsid w:val="7B969E7E"/>
    <w:rsid w:val="7BA0579F"/>
    <w:rsid w:val="7BB71E3F"/>
    <w:rsid w:val="7BC664B5"/>
    <w:rsid w:val="7BCEBC68"/>
    <w:rsid w:val="7BF8B97C"/>
    <w:rsid w:val="7BFB6868"/>
    <w:rsid w:val="7C2D4A0E"/>
    <w:rsid w:val="7C6BDEE9"/>
    <w:rsid w:val="7C9BBD87"/>
    <w:rsid w:val="7CBE0B34"/>
    <w:rsid w:val="7CF5D4D5"/>
    <w:rsid w:val="7D241550"/>
    <w:rsid w:val="7D51CDAC"/>
    <w:rsid w:val="7D70940F"/>
    <w:rsid w:val="7D745C5C"/>
    <w:rsid w:val="7D879EE9"/>
    <w:rsid w:val="7DECF7DD"/>
    <w:rsid w:val="7DEE82D3"/>
    <w:rsid w:val="7E07F714"/>
    <w:rsid w:val="7E17AC2B"/>
    <w:rsid w:val="7E1E583E"/>
    <w:rsid w:val="7E29C160"/>
    <w:rsid w:val="7E3E7AE0"/>
    <w:rsid w:val="7E3F1C12"/>
    <w:rsid w:val="7E3FFAB4"/>
    <w:rsid w:val="7E487FDB"/>
    <w:rsid w:val="7E960F82"/>
    <w:rsid w:val="7EB69F51"/>
    <w:rsid w:val="7F050420"/>
    <w:rsid w:val="7F188DFB"/>
    <w:rsid w:val="7F2667BC"/>
    <w:rsid w:val="7F2698A0"/>
    <w:rsid w:val="7F354D64"/>
    <w:rsid w:val="7F5AB4F7"/>
    <w:rsid w:val="7F7B0BB4"/>
    <w:rsid w:val="7F7E043A"/>
    <w:rsid w:val="7F8189A0"/>
    <w:rsid w:val="7F8D7768"/>
    <w:rsid w:val="7FB74E88"/>
    <w:rsid w:val="7FDDF8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6E9D1EF"/>
  <w15:docId w15:val="{C28C4961-884A-4C39-BE9A-3B211EBB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548B"/>
  </w:style>
  <w:style w:type="paragraph" w:styleId="Heading2">
    <w:name w:val="heading 2"/>
    <w:basedOn w:val="Normal"/>
    <w:next w:val="Normal"/>
    <w:link w:val="Heading2Char"/>
    <w:semiHidden/>
    <w:unhideWhenUsed/>
    <w:qFormat/>
    <w:rsid w:val="00E761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0C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uppressAutoHyphens/>
      <w:jc w:val="both"/>
    </w:pPr>
    <w:rPr>
      <w:spacing w:val="-3"/>
      <w:sz w:val="24"/>
    </w:rPr>
  </w:style>
  <w:style w:type="paragraph" w:styleId="BalloonText">
    <w:name w:val="Balloon Text"/>
    <w:basedOn w:val="Normal"/>
    <w:semiHidden/>
    <w:rsid w:val="00E45ACF"/>
    <w:rPr>
      <w:rFonts w:ascii="Tahoma" w:hAnsi="Tahoma" w:cs="Tahoma"/>
      <w:sz w:val="16"/>
      <w:szCs w:val="16"/>
    </w:rPr>
  </w:style>
  <w:style w:type="paragraph" w:styleId="Footer">
    <w:name w:val="footer"/>
    <w:basedOn w:val="Normal"/>
    <w:rsid w:val="007936B3"/>
    <w:pPr>
      <w:tabs>
        <w:tab w:val="center" w:pos="4320"/>
        <w:tab w:val="right" w:pos="8640"/>
      </w:tabs>
    </w:pPr>
  </w:style>
  <w:style w:type="character" w:styleId="PageNumber">
    <w:name w:val="page number"/>
    <w:basedOn w:val="DefaultParagraphFont"/>
    <w:rsid w:val="007936B3"/>
  </w:style>
  <w:style w:type="character" w:styleId="Hyperlink">
    <w:name w:val="Hyperlink"/>
    <w:rsid w:val="00A74C34"/>
    <w:rPr>
      <w:color w:val="0000FF"/>
      <w:u w:val="single"/>
    </w:rPr>
  </w:style>
  <w:style w:type="paragraph" w:styleId="Header">
    <w:name w:val="header"/>
    <w:basedOn w:val="Normal"/>
    <w:rsid w:val="00996377"/>
    <w:pPr>
      <w:tabs>
        <w:tab w:val="center" w:pos="4320"/>
        <w:tab w:val="right" w:pos="8640"/>
      </w:tabs>
    </w:pPr>
  </w:style>
  <w:style w:type="paragraph" w:styleId="FootnoteText">
    <w:name w:val="footnote text"/>
    <w:basedOn w:val="Normal"/>
    <w:link w:val="FootnoteTextChar"/>
    <w:semiHidden/>
    <w:rsid w:val="00F623AF"/>
  </w:style>
  <w:style w:type="character" w:styleId="FootnoteReference">
    <w:name w:val="footnote reference"/>
    <w:semiHidden/>
    <w:rsid w:val="00F623AF"/>
    <w:rPr>
      <w:vertAlign w:val="superscript"/>
    </w:rPr>
  </w:style>
  <w:style w:type="table" w:styleId="TableGrid">
    <w:name w:val="Table Grid"/>
    <w:basedOn w:val="TableNormal"/>
    <w:rsid w:val="007A5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A1375B"/>
    <w:pPr>
      <w:widowControl w:val="0"/>
      <w:ind w:left="720" w:hanging="360"/>
    </w:pPr>
    <w:rPr>
      <w:rFonts w:ascii="Courier" w:hAnsi="Courier"/>
      <w:snapToGrid w:val="0"/>
    </w:rPr>
  </w:style>
  <w:style w:type="character" w:styleId="FollowedHyperlink">
    <w:name w:val="FollowedHyperlink"/>
    <w:rsid w:val="0052658C"/>
    <w:rPr>
      <w:color w:val="800080"/>
      <w:u w:val="single"/>
    </w:rPr>
  </w:style>
  <w:style w:type="character" w:styleId="CommentReference">
    <w:name w:val="annotation reference"/>
    <w:rsid w:val="00EE3404"/>
    <w:rPr>
      <w:sz w:val="16"/>
      <w:szCs w:val="16"/>
    </w:rPr>
  </w:style>
  <w:style w:type="paragraph" w:styleId="CommentText">
    <w:name w:val="annotation text"/>
    <w:basedOn w:val="Normal"/>
    <w:link w:val="CommentTextChar"/>
    <w:rsid w:val="00EE3404"/>
  </w:style>
  <w:style w:type="character" w:customStyle="1" w:styleId="CommentTextChar">
    <w:name w:val="Comment Text Char"/>
    <w:basedOn w:val="DefaultParagraphFont"/>
    <w:link w:val="CommentText"/>
    <w:rsid w:val="00EE3404"/>
  </w:style>
  <w:style w:type="paragraph" w:styleId="CommentSubject">
    <w:name w:val="annotation subject"/>
    <w:basedOn w:val="CommentText"/>
    <w:next w:val="CommentText"/>
    <w:link w:val="CommentSubjectChar"/>
    <w:rsid w:val="00EE3404"/>
    <w:rPr>
      <w:b/>
      <w:bCs/>
    </w:rPr>
  </w:style>
  <w:style w:type="character" w:customStyle="1" w:styleId="CommentSubjectChar">
    <w:name w:val="Comment Subject Char"/>
    <w:link w:val="CommentSubject"/>
    <w:rsid w:val="00EE3404"/>
    <w:rPr>
      <w:b/>
      <w:bCs/>
    </w:rPr>
  </w:style>
  <w:style w:type="paragraph" w:styleId="Revision">
    <w:name w:val="Revision"/>
    <w:hidden/>
    <w:uiPriority w:val="99"/>
    <w:semiHidden/>
    <w:rsid w:val="00B2706E"/>
  </w:style>
  <w:style w:type="paragraph" w:styleId="ListParagraph">
    <w:name w:val="List Paragraph"/>
    <w:basedOn w:val="Normal"/>
    <w:uiPriority w:val="34"/>
    <w:qFormat/>
    <w:rsid w:val="000B1E2E"/>
    <w:pPr>
      <w:ind w:left="720"/>
      <w:contextualSpacing/>
    </w:pPr>
  </w:style>
  <w:style w:type="character" w:customStyle="1" w:styleId="searchterm">
    <w:name w:val="searchterm"/>
    <w:basedOn w:val="DefaultParagraphFont"/>
    <w:rsid w:val="008B0695"/>
  </w:style>
  <w:style w:type="character" w:customStyle="1" w:styleId="Heading3Char">
    <w:name w:val="Heading 3 Char"/>
    <w:basedOn w:val="DefaultParagraphFont"/>
    <w:link w:val="Heading3"/>
    <w:uiPriority w:val="9"/>
    <w:rsid w:val="00190CFF"/>
    <w:rPr>
      <w:b/>
      <w:bCs/>
      <w:sz w:val="27"/>
      <w:szCs w:val="27"/>
    </w:rPr>
  </w:style>
  <w:style w:type="character" w:customStyle="1" w:styleId="sectionheader">
    <w:name w:val="section_header"/>
    <w:basedOn w:val="DefaultParagraphFont"/>
    <w:rsid w:val="00190CFF"/>
  </w:style>
  <w:style w:type="character" w:customStyle="1" w:styleId="Heading2Char">
    <w:name w:val="Heading 2 Char"/>
    <w:basedOn w:val="DefaultParagraphFont"/>
    <w:link w:val="Heading2"/>
    <w:semiHidden/>
    <w:rsid w:val="00E761AA"/>
    <w:rPr>
      <w:rFonts w:asciiTheme="majorHAnsi" w:eastAsiaTheme="majorEastAsia" w:hAnsiTheme="majorHAnsi" w:cstheme="majorBidi"/>
      <w:color w:val="365F91" w:themeColor="accent1" w:themeShade="BF"/>
      <w:sz w:val="26"/>
      <w:szCs w:val="26"/>
    </w:rPr>
  </w:style>
  <w:style w:type="character" w:customStyle="1" w:styleId="FootnoteTextChar">
    <w:name w:val="Footnote Text Char"/>
    <w:basedOn w:val="DefaultParagraphFont"/>
    <w:link w:val="FootnoteText"/>
    <w:semiHidden/>
    <w:rsid w:val="009367C4"/>
  </w:style>
  <w:style w:type="character" w:styleId="UnresolvedMention">
    <w:name w:val="Unresolved Mention"/>
    <w:basedOn w:val="DefaultParagraphFont"/>
    <w:uiPriority w:val="99"/>
    <w:semiHidden/>
    <w:unhideWhenUsed/>
    <w:rsid w:val="00603FF2"/>
    <w:rPr>
      <w:color w:val="605E5C"/>
      <w:shd w:val="clear" w:color="auto" w:fill="E1DFDD"/>
    </w:rPr>
  </w:style>
  <w:style w:type="character" w:styleId="Mention">
    <w:name w:val="Mention"/>
    <w:basedOn w:val="DefaultParagraphFont"/>
    <w:uiPriority w:val="99"/>
    <w:unhideWhenUsed/>
    <w:rsid w:val="00A019F3"/>
    <w:rPr>
      <w:color w:val="2B579A"/>
      <w:shd w:val="clear" w:color="auto" w:fill="E1DFDD"/>
    </w:rPr>
  </w:style>
  <w:style w:type="paragraph" w:customStyle="1" w:styleId="pf0">
    <w:name w:val="pf0"/>
    <w:basedOn w:val="Normal"/>
    <w:rsid w:val="004759ED"/>
    <w:pPr>
      <w:spacing w:before="100" w:beforeAutospacing="1" w:after="100" w:afterAutospacing="1"/>
    </w:pPr>
    <w:rPr>
      <w:sz w:val="24"/>
      <w:szCs w:val="24"/>
    </w:rPr>
  </w:style>
  <w:style w:type="character" w:customStyle="1" w:styleId="cf01">
    <w:name w:val="cf01"/>
    <w:basedOn w:val="DefaultParagraphFont"/>
    <w:rsid w:val="004759ED"/>
    <w:rPr>
      <w:rFonts w:ascii="Segoe UI" w:hAnsi="Segoe UI" w:cs="Segoe UI" w:hint="default"/>
      <w:sz w:val="18"/>
      <w:szCs w:val="18"/>
    </w:rPr>
  </w:style>
  <w:style w:type="character" w:customStyle="1" w:styleId="cf11">
    <w:name w:val="cf11"/>
    <w:basedOn w:val="DefaultParagraphFont"/>
    <w:rsid w:val="004759E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eb2.westlaw.com/find/default.wl?mt=Westlaw&amp;db=4493&amp;tc=-1&amp;rp=%2ffind%2fdefault.wl&amp;findtype=Y&amp;ordoc=2008325026&amp;serialnum=2002470818&amp;vr=2.0&amp;fn=_top&amp;sv=Split&amp;tf=-1&amp;pbc=A1C689DD&amp;rs=WLW14.01" TargetMode="External" /><Relationship Id="rId2" Type="http://schemas.openxmlformats.org/officeDocument/2006/relationships/hyperlink" Target="https://www.fcc.gov/voice-telephone-services.report" TargetMode="External" /><Relationship Id="rId3" Type="http://schemas.openxmlformats.org/officeDocument/2006/relationships/hyperlink" Target="http://apps.fcc.gov/eb/CPN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5AE9-72B7-4446-9EEA-7C1CCBF48834}">
  <ds:schemaRefs>
    <ds:schemaRef ds:uri="http://schemas.openxmlformats.org/officeDocument/2006/bibliography"/>
  </ds:schemaRefs>
</ds:datastoreItem>
</file>

<file path=customXml/itemProps2.xml><?xml version="1.0" encoding="utf-8"?>
<ds:datastoreItem xmlns:ds="http://schemas.openxmlformats.org/officeDocument/2006/customXml" ds:itemID="{E0FADDF0-EF1D-4046-90C9-1936D90E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14600</Words>
  <Characters>83220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3060-0715</vt:lpstr>
    </vt:vector>
  </TitlesOfParts>
  <Company>FCC</Company>
  <LinksUpToDate>false</LinksUpToDate>
  <CharactersWithSpaces>97625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3060-0715</dc:title>
  <dc:creator>Thomas.Butler</dc:creator>
  <cp:lastModifiedBy>Nicole Ongele</cp:lastModifiedBy>
  <cp:revision>12</cp:revision>
  <cp:lastPrinted>2024-10-08T14:52:00Z</cp:lastPrinted>
  <dcterms:created xsi:type="dcterms:W3CDTF">2024-10-29T18:47:00Z</dcterms:created>
  <dcterms:modified xsi:type="dcterms:W3CDTF">2024-10-29T19:38:00Z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4AAAMz5NUQ6P8J9fZfCs10mZof9NFuOBQGRqnS21xPGnXPUHkQU2U7I8gQ==</vt:lpwstr>
  </property>
  <property fmtid="{D5CDD505-2E9C-101B-9397-08002B2CF9AE}" pid="3" name="MAIL_MSG_ID1">
    <vt:lpwstr>oFAAspTNh41gn7CAXuPItbBaj4Ycnd903bdL/SCSTjbFCqfFNr9Ga7rGNb03BRk5tMiiRh9tRu5DquPl
w2DLovnCfEqgehNLAi2dz0Bk5LfmilIOpkin0LmEGQ3B7HNKWP14XH/V/viHuSgDCM+hQhTK7Jh5
qc4t7gFHeKmiB4yeOs3cLzP4Jq+8vbk06RBovf0CDZrsJy15iE0FR49OiJyeocwCEaiCKfZZWXys
uhOmstx/4ibprUInX</vt:lpwstr>
  </property>
  <property fmtid="{D5CDD505-2E9C-101B-9397-08002B2CF9AE}" pid="4" name="MAIL_MSG_ID2">
    <vt:lpwstr>nq9WAReyx4lfRVe8ojrLdc6fe49yWdhHG1w/qwXOeTc8kX22mv7DiHoVEA7
PnjG7AfZgR/aqObcwHNI0+yMQ7qlcoqsNgFbY906pHx/1TR3</vt:lpwstr>
  </property>
  <property fmtid="{D5CDD505-2E9C-101B-9397-08002B2CF9AE}" pid="5" name="RESPONSE_SENDER_NAME">
    <vt:lpwstr>sAAA4E8dREqJqIpThGbihYqxSfrVmYwiwhiAOKidEDFN8cE=</vt:lpwstr>
  </property>
</Properties>
</file>