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EA7" w:rsidRPr="00B95692" w:rsidP="00B95692" w14:paraId="05DF4113" w14:textId="77777777">
      <w:pPr>
        <w:suppressAutoHyphens/>
        <w:rPr>
          <w:b/>
          <w:szCs w:val="24"/>
        </w:rPr>
      </w:pPr>
      <w:r w:rsidRPr="00B95692">
        <w:rPr>
          <w:b/>
          <w:szCs w:val="24"/>
        </w:rPr>
        <w:t xml:space="preserve">License Audit Letter                                                                             </w:t>
      </w:r>
      <w:r>
        <w:rPr>
          <w:b/>
          <w:szCs w:val="24"/>
        </w:rPr>
        <w:t xml:space="preserve">                          </w:t>
      </w:r>
      <w:r w:rsidRPr="00B95692">
        <w:rPr>
          <w:b/>
          <w:szCs w:val="24"/>
        </w:rPr>
        <w:t>3060-0979</w:t>
      </w:r>
    </w:p>
    <w:p w:rsidR="00F90EA7" w:rsidRPr="00B95692" w:rsidP="00F90EA7" w14:paraId="60D033CB" w14:textId="6C314B5E">
      <w:pPr>
        <w:suppressAutoHyphens/>
        <w:jc w:val="right"/>
        <w:rPr>
          <w:b/>
          <w:szCs w:val="24"/>
        </w:rPr>
      </w:pPr>
      <w:r>
        <w:rPr>
          <w:b/>
          <w:szCs w:val="24"/>
        </w:rPr>
        <w:t>August</w:t>
      </w:r>
      <w:r w:rsidR="007105CE">
        <w:rPr>
          <w:b/>
          <w:szCs w:val="24"/>
        </w:rPr>
        <w:t xml:space="preserve"> 202</w:t>
      </w:r>
      <w:r w:rsidR="007C5227">
        <w:rPr>
          <w:b/>
          <w:szCs w:val="24"/>
        </w:rPr>
        <w:t>4</w:t>
      </w:r>
    </w:p>
    <w:p w:rsidR="006D567A" w14:paraId="2E5FCDEF" w14:textId="77777777">
      <w:pPr>
        <w:suppressAutoHyphens/>
      </w:pPr>
      <w:r>
        <w:fldChar w:fldCharType="begin"/>
      </w:r>
      <w:r>
        <w:instrText xml:space="preserve">PRIVATE </w:instrText>
      </w:r>
      <w:r>
        <w:fldChar w:fldCharType="end"/>
      </w:r>
    </w:p>
    <w:p w:rsidR="006D567A" w14:paraId="2C6C25D6" w14:textId="77777777">
      <w:pPr>
        <w:suppressAutoHyphens/>
        <w:jc w:val="center"/>
      </w:pPr>
      <w:r>
        <w:t xml:space="preserve">SUPPORTING STATEMENT </w:t>
      </w:r>
    </w:p>
    <w:p w:rsidR="006D567A" w14:paraId="4BF45EAE" w14:textId="77777777">
      <w:pPr>
        <w:suppressAutoHyphens/>
      </w:pPr>
    </w:p>
    <w:p w:rsidR="006D567A" w:rsidRPr="005C2C8B" w:rsidP="00B95692" w14:paraId="78E10E2D" w14:textId="77777777">
      <w:pPr>
        <w:tabs>
          <w:tab w:val="left" w:pos="2445"/>
        </w:tabs>
        <w:suppressAutoHyphens/>
        <w:rPr>
          <w:b/>
        </w:rPr>
      </w:pPr>
      <w:r w:rsidRPr="005C2C8B">
        <w:rPr>
          <w:b/>
        </w:rPr>
        <w:t xml:space="preserve">A.  </w:t>
      </w:r>
      <w:r w:rsidRPr="005C2C8B">
        <w:rPr>
          <w:b/>
          <w:u w:val="single"/>
        </w:rPr>
        <w:t>Justification</w:t>
      </w:r>
      <w:r w:rsidRPr="005C2C8B" w:rsidR="00D92A6A">
        <w:rPr>
          <w:b/>
          <w:u w:val="single"/>
        </w:rPr>
        <w:t>:</w:t>
      </w:r>
    </w:p>
    <w:p w:rsidR="006D567A" w14:paraId="6CE9D3CC" w14:textId="77777777">
      <w:pPr>
        <w:suppressAutoHyphens/>
      </w:pPr>
    </w:p>
    <w:p w:rsidR="00516EAD" w:rsidP="00516EAD" w14:paraId="616F3843" w14:textId="77777777">
      <w:pPr>
        <w:suppressAutoHyphens/>
        <w:jc w:val="both"/>
      </w:pPr>
      <w:r>
        <w:t>1.  The Wireless Telecommunications</w:t>
      </w:r>
      <w:r w:rsidR="00EB5F4B">
        <w:t xml:space="preserve"> Bureau (WTB) and Public Safety and Homeland Security</w:t>
      </w:r>
      <w:r>
        <w:t xml:space="preserve"> Bureau (</w:t>
      </w:r>
      <w:r w:rsidR="00EB5F4B">
        <w:t>PSHSB</w:t>
      </w:r>
      <w:r>
        <w:t xml:space="preserve">) of the Federal Communications Commission (FCC) </w:t>
      </w:r>
      <w:r w:rsidR="00A4161C">
        <w:t>periodically</w:t>
      </w:r>
      <w:r>
        <w:t xml:space="preserve"> conduct audit</w:t>
      </w:r>
      <w:r w:rsidR="00A4161C">
        <w:t>s</w:t>
      </w:r>
      <w:r>
        <w:t xml:space="preserve"> of the construction </w:t>
      </w:r>
      <w:r w:rsidR="003006CB">
        <w:t>and/</w:t>
      </w:r>
      <w:r w:rsidR="00802746">
        <w:t>or</w:t>
      </w:r>
      <w:r>
        <w:t xml:space="preserve"> operational status of </w:t>
      </w:r>
      <w:r w:rsidR="00F91A22">
        <w:t>various Wireless radio</w:t>
      </w:r>
      <w:r>
        <w:t xml:space="preserve"> stations in its licensing database that are subject to rule-based construction and operational requirements. The Commission’s </w:t>
      </w:r>
      <w:r w:rsidR="005C2C8B">
        <w:t>r</w:t>
      </w:r>
      <w:r>
        <w:t>ules for the</w:t>
      </w:r>
      <w:r w:rsidR="00F91A22">
        <w:t xml:space="preserve">se Wireless </w:t>
      </w:r>
      <w:r>
        <w:t>services require construction within a specified time frame and require a station to remain operational in order fo</w:t>
      </w:r>
      <w:r w:rsidR="002F6AE4">
        <w:t xml:space="preserve">r the license to remain valid. </w:t>
      </w:r>
      <w:r w:rsidR="009A34B0">
        <w:t xml:space="preserve">  Therefore, this collection requires the licensees to review their authorizations that are listed in the audit letter and to certify that they are operating in accordance with their license.  </w:t>
      </w:r>
    </w:p>
    <w:p w:rsidR="009A34B0" w:rsidP="00516EAD" w14:paraId="02CE45A0" w14:textId="77777777">
      <w:pPr>
        <w:suppressAutoHyphens/>
        <w:jc w:val="both"/>
      </w:pPr>
    </w:p>
    <w:p w:rsidR="002F6AE4" w:rsidP="002F6AE4" w14:paraId="3E51B217" w14:textId="77777777">
      <w:pPr>
        <w:widowControl/>
        <w:tabs>
          <w:tab w:val="left" w:pos="360"/>
        </w:tabs>
        <w:jc w:val="both"/>
        <w:rPr>
          <w:bCs/>
          <w:iCs/>
          <w:snapToGrid/>
          <w:szCs w:val="24"/>
        </w:rPr>
      </w:pPr>
      <w:r w:rsidRPr="002F6AE4">
        <w:rPr>
          <w:bCs/>
          <w:iCs/>
          <w:snapToGrid/>
          <w:szCs w:val="24"/>
        </w:rPr>
        <w:t xml:space="preserve">Records of the </w:t>
      </w:r>
      <w:r w:rsidR="00C71814">
        <w:rPr>
          <w:bCs/>
          <w:iCs/>
          <w:snapToGrid/>
          <w:szCs w:val="24"/>
        </w:rPr>
        <w:t>Wireless</w:t>
      </w:r>
      <w:r w:rsidRPr="002F6AE4">
        <w:rPr>
          <w:bCs/>
          <w:iCs/>
          <w:snapToGrid/>
          <w:szCs w:val="24"/>
        </w:rPr>
        <w:t xml:space="preserve"> </w:t>
      </w:r>
      <w:r w:rsidR="00281B0E">
        <w:rPr>
          <w:bCs/>
          <w:iCs/>
          <w:snapToGrid/>
          <w:szCs w:val="24"/>
        </w:rPr>
        <w:t xml:space="preserve">Radio </w:t>
      </w:r>
      <w:r w:rsidRPr="002F6AE4">
        <w:rPr>
          <w:bCs/>
          <w:iCs/>
          <w:snapToGrid/>
          <w:szCs w:val="24"/>
        </w:rPr>
        <w:t>Service</w:t>
      </w:r>
      <w:r w:rsidR="00C71814">
        <w:rPr>
          <w:bCs/>
          <w:iCs/>
          <w:snapToGrid/>
          <w:szCs w:val="24"/>
        </w:rPr>
        <w:t>s</w:t>
      </w:r>
      <w:r w:rsidRPr="002F6AE4">
        <w:rPr>
          <w:bCs/>
          <w:iCs/>
          <w:snapToGrid/>
          <w:szCs w:val="24"/>
        </w:rPr>
        <w:t xml:space="preserve"> may include information about individuals or households, and the use(s) and disclosure of this information is governed by the requirements of a system of records, FCC/WTB-1, "Wireless Services Licensing Records".  However, the Commission makes all information within the </w:t>
      </w:r>
      <w:r w:rsidR="00C71814">
        <w:rPr>
          <w:bCs/>
          <w:iCs/>
          <w:snapToGrid/>
          <w:szCs w:val="24"/>
        </w:rPr>
        <w:t>Wireless</w:t>
      </w:r>
      <w:r w:rsidRPr="002F6AE4">
        <w:rPr>
          <w:bCs/>
          <w:iCs/>
          <w:snapToGrid/>
          <w:szCs w:val="24"/>
        </w:rPr>
        <w:t xml:space="preserve"> </w:t>
      </w:r>
      <w:r w:rsidR="00281B0E">
        <w:rPr>
          <w:bCs/>
          <w:iCs/>
          <w:snapToGrid/>
          <w:szCs w:val="24"/>
        </w:rPr>
        <w:t xml:space="preserve">Radio </w:t>
      </w:r>
      <w:r w:rsidRPr="002F6AE4">
        <w:rPr>
          <w:bCs/>
          <w:iCs/>
          <w:snapToGrid/>
          <w:szCs w:val="24"/>
        </w:rPr>
        <w:t>Service</w:t>
      </w:r>
      <w:r w:rsidR="00C71814">
        <w:rPr>
          <w:bCs/>
          <w:iCs/>
          <w:snapToGrid/>
          <w:szCs w:val="24"/>
        </w:rPr>
        <w:t>s</w:t>
      </w:r>
      <w:r w:rsidRPr="002F6AE4">
        <w:rPr>
          <w:bCs/>
          <w:iCs/>
          <w:snapToGrid/>
          <w:szCs w:val="24"/>
        </w:rPr>
        <w:t xml:space="preserve"> publicly available on its Universal Licensing System (ULS) webpage</w:t>
      </w:r>
      <w:r w:rsidR="008B6242">
        <w:rPr>
          <w:bCs/>
          <w:iCs/>
          <w:snapToGrid/>
          <w:szCs w:val="24"/>
        </w:rPr>
        <w:t xml:space="preserve">.  </w:t>
      </w:r>
      <w:r w:rsidRPr="002F6AE4">
        <w:rPr>
          <w:bCs/>
          <w:iCs/>
          <w:snapToGrid/>
          <w:szCs w:val="24"/>
        </w:rPr>
        <w:t xml:space="preserve">The public is entitled to download this public information.  </w:t>
      </w:r>
    </w:p>
    <w:p w:rsidR="00F90EA7" w:rsidP="002F6AE4" w14:paraId="5F29E137" w14:textId="77777777">
      <w:pPr>
        <w:widowControl/>
        <w:tabs>
          <w:tab w:val="left" w:pos="360"/>
        </w:tabs>
        <w:jc w:val="both"/>
        <w:rPr>
          <w:bCs/>
          <w:iCs/>
          <w:snapToGrid/>
          <w:szCs w:val="24"/>
        </w:rPr>
      </w:pPr>
    </w:p>
    <w:p w:rsidR="0000191C" w:rsidP="002F6AE4" w14:paraId="64B1E90C" w14:textId="77777777">
      <w:pPr>
        <w:widowControl/>
        <w:tabs>
          <w:tab w:val="left" w:pos="360"/>
        </w:tabs>
        <w:jc w:val="both"/>
        <w:rPr>
          <w:bCs/>
          <w:iCs/>
          <w:snapToGrid/>
          <w:szCs w:val="24"/>
        </w:rPr>
      </w:pPr>
      <w:r>
        <w:rPr>
          <w:bCs/>
          <w:iCs/>
          <w:snapToGrid/>
          <w:szCs w:val="24"/>
        </w:rPr>
        <w:t>The Commission</w:t>
      </w:r>
      <w:r w:rsidR="00B95692">
        <w:rPr>
          <w:bCs/>
          <w:iCs/>
          <w:snapToGrid/>
          <w:szCs w:val="24"/>
        </w:rPr>
        <w:t xml:space="preserve"> is now requesting an extension of this collection from the Office of Management and Budget (OMB) for three years.  </w:t>
      </w:r>
    </w:p>
    <w:p w:rsidR="00B95692" w:rsidP="002F6AE4" w14:paraId="18466B0C" w14:textId="77777777">
      <w:pPr>
        <w:widowControl/>
        <w:tabs>
          <w:tab w:val="left" w:pos="360"/>
        </w:tabs>
        <w:jc w:val="both"/>
        <w:rPr>
          <w:bCs/>
          <w:iCs/>
          <w:snapToGrid/>
          <w:szCs w:val="24"/>
        </w:rPr>
      </w:pPr>
    </w:p>
    <w:p w:rsidR="002F6AE4" w:rsidRPr="00621FAB" w:rsidP="002F6AE4" w14:paraId="60855E3C" w14:textId="77777777">
      <w:pPr>
        <w:widowControl/>
        <w:tabs>
          <w:tab w:val="left" w:pos="90"/>
          <w:tab w:val="left" w:pos="360"/>
          <w:tab w:val="decimal" w:pos="9360"/>
        </w:tabs>
        <w:ind w:hanging="360"/>
        <w:jc w:val="both"/>
        <w:rPr>
          <w:sz w:val="22"/>
          <w:szCs w:val="22"/>
        </w:rPr>
      </w:pPr>
      <w:r w:rsidRPr="002F6AE4">
        <w:rPr>
          <w:szCs w:val="24"/>
        </w:rPr>
        <w:t xml:space="preserve">      Statutory authority for this information collection is contained in 47 U.S.C. §§ 151, 152, 154(i), 155(c), 157, 201, 202, 208, 214, 301, 302a, 303, 307, 308, 309, 310, 311, 314, 316, 319, 324, 331, 332, 333, 336, 534, and 535.</w:t>
      </w:r>
    </w:p>
    <w:p w:rsidR="006D567A" w14:paraId="777D0A72" w14:textId="77777777">
      <w:pPr>
        <w:suppressAutoHyphens/>
      </w:pPr>
    </w:p>
    <w:p w:rsidR="006D567A" w:rsidP="00802746" w14:paraId="1306B1C6" w14:textId="77777777">
      <w:pPr>
        <w:suppressAutoHyphens/>
        <w:jc w:val="both"/>
      </w:pPr>
      <w:r>
        <w:t xml:space="preserve">2.  This requirement will be used by Commission personnel to assure that licensees’ stations are constructed and currently operating in accordance with the parameters of the current FCC </w:t>
      </w:r>
      <w:r w:rsidR="005A5CC7">
        <w:t>authorization and rules.</w:t>
      </w:r>
    </w:p>
    <w:p w:rsidR="006D567A" w14:paraId="02DEC43D" w14:textId="77777777">
      <w:pPr>
        <w:suppressAutoHyphens/>
      </w:pPr>
    </w:p>
    <w:p w:rsidR="002F6AE4" w:rsidRPr="002F6AE4" w:rsidP="002F6AE4" w14:paraId="371AFA54" w14:textId="77777777">
      <w:pPr>
        <w:suppressAutoHyphens/>
        <w:jc w:val="both"/>
        <w:rPr>
          <w:szCs w:val="24"/>
        </w:rPr>
      </w:pPr>
      <w:r w:rsidRPr="002F6AE4">
        <w:rPr>
          <w:szCs w:val="24"/>
        </w:rPr>
        <w:t xml:space="preserve">Again, information about individuals or households, and the use(s) and disclosure of this information is governed by the requirements of system of records, FCC/WTB-1. All information within </w:t>
      </w:r>
      <w:r w:rsidR="00281B0E">
        <w:rPr>
          <w:szCs w:val="24"/>
        </w:rPr>
        <w:t>Wireless Radio Services</w:t>
      </w:r>
      <w:r w:rsidRPr="002F6AE4">
        <w:rPr>
          <w:szCs w:val="24"/>
        </w:rPr>
        <w:t xml:space="preserve"> is publicly available</w:t>
      </w:r>
      <w:r w:rsidR="008B6242">
        <w:rPr>
          <w:szCs w:val="24"/>
        </w:rPr>
        <w:t xml:space="preserve">.  </w:t>
      </w:r>
      <w:r w:rsidRPr="002F6AE4">
        <w:rPr>
          <w:szCs w:val="24"/>
        </w:rPr>
        <w:t xml:space="preserve"> </w:t>
      </w:r>
    </w:p>
    <w:p w:rsidR="002F6AE4" w14:paraId="21023BC4" w14:textId="77777777">
      <w:pPr>
        <w:suppressAutoHyphens/>
      </w:pPr>
    </w:p>
    <w:p w:rsidR="006D567A" w:rsidP="00802746" w14:paraId="6DBB911D" w14:textId="77777777">
      <w:pPr>
        <w:suppressAutoHyphens/>
        <w:jc w:val="both"/>
      </w:pPr>
      <w:r>
        <w:t xml:space="preserve">3.  </w:t>
      </w:r>
      <w:r w:rsidRPr="00854969" w:rsidR="00854969">
        <w:rPr>
          <w:szCs w:val="24"/>
        </w:rPr>
        <w:t xml:space="preserve">The Commission </w:t>
      </w:r>
      <w:r w:rsidR="008E65D5">
        <w:rPr>
          <w:szCs w:val="24"/>
        </w:rPr>
        <w:t xml:space="preserve">requires </w:t>
      </w:r>
      <w:r w:rsidRPr="00854969" w:rsidR="00854969">
        <w:rPr>
          <w:szCs w:val="24"/>
        </w:rPr>
        <w:t xml:space="preserve">electronic filing.  </w:t>
      </w:r>
      <w:r w:rsidRPr="007105CE" w:rsidR="00864366">
        <w:rPr>
          <w:szCs w:val="24"/>
        </w:rPr>
        <w:t>100</w:t>
      </w:r>
      <w:r w:rsidRPr="007105CE" w:rsidR="00854969">
        <w:rPr>
          <w:szCs w:val="24"/>
        </w:rPr>
        <w:t>%</w:t>
      </w:r>
      <w:r w:rsidRPr="00854969" w:rsidR="00854969">
        <w:rPr>
          <w:szCs w:val="24"/>
        </w:rPr>
        <w:t xml:space="preserve"> of </w:t>
      </w:r>
      <w:r w:rsidR="008E65D5">
        <w:rPr>
          <w:szCs w:val="24"/>
        </w:rPr>
        <w:t xml:space="preserve">the </w:t>
      </w:r>
      <w:r w:rsidR="00D7266B">
        <w:rPr>
          <w:szCs w:val="24"/>
        </w:rPr>
        <w:t>responses</w:t>
      </w:r>
      <w:r w:rsidRPr="00854969" w:rsidR="00854969">
        <w:rPr>
          <w:szCs w:val="24"/>
        </w:rPr>
        <w:t xml:space="preserve"> </w:t>
      </w:r>
      <w:r w:rsidR="008E65D5">
        <w:rPr>
          <w:szCs w:val="24"/>
        </w:rPr>
        <w:t xml:space="preserve">are </w:t>
      </w:r>
      <w:r w:rsidRPr="00854969" w:rsidR="00854969">
        <w:rPr>
          <w:szCs w:val="24"/>
        </w:rPr>
        <w:t xml:space="preserve">submitted </w:t>
      </w:r>
      <w:r w:rsidR="008E65D5">
        <w:rPr>
          <w:szCs w:val="24"/>
        </w:rPr>
        <w:t xml:space="preserve">via ULS </w:t>
      </w:r>
      <w:r w:rsidRPr="00854969" w:rsidR="00854969">
        <w:rPr>
          <w:szCs w:val="24"/>
        </w:rPr>
        <w:t xml:space="preserve">to the FCC .  </w:t>
      </w:r>
    </w:p>
    <w:p w:rsidR="006D567A" w14:paraId="4FBAE73E" w14:textId="77777777">
      <w:pPr>
        <w:suppressAutoHyphens/>
      </w:pPr>
    </w:p>
    <w:p w:rsidR="006D567A" w:rsidP="00802746" w14:paraId="504609F8" w14:textId="77777777">
      <w:pPr>
        <w:suppressAutoHyphens/>
        <w:jc w:val="both"/>
      </w:pPr>
      <w:r>
        <w:t>4.  No other federal agency collects this data.</w:t>
      </w:r>
    </w:p>
    <w:p w:rsidR="00560054" w:rsidP="00802746" w14:paraId="29F93DC5" w14:textId="77777777">
      <w:pPr>
        <w:suppressAutoHyphens/>
        <w:jc w:val="both"/>
      </w:pPr>
    </w:p>
    <w:p w:rsidR="006D567A" w:rsidP="00802746" w14:paraId="59C37DC4" w14:textId="77777777">
      <w:pPr>
        <w:suppressAutoHyphens/>
        <w:jc w:val="both"/>
      </w:pPr>
      <w:r>
        <w:t xml:space="preserve">5. In conformance with the Paperwork Reduction Act of 1995, the Commission is making an effort to minimize the burden on all respondents, regardless of size.  The Commission has limited the information requirements to that absolutely necessary to </w:t>
      </w:r>
      <w:r w:rsidR="00330945">
        <w:t>minimize the burden on all respondents</w:t>
      </w:r>
      <w:r>
        <w:t>.</w:t>
      </w:r>
    </w:p>
    <w:p w:rsidR="006D567A" w14:paraId="3BBCA1D1" w14:textId="77777777">
      <w:pPr>
        <w:suppressAutoHyphens/>
      </w:pPr>
    </w:p>
    <w:p w:rsidR="006D567A" w:rsidP="00802746" w14:paraId="4E98B20E" w14:textId="77777777">
      <w:pPr>
        <w:suppressAutoHyphens/>
        <w:jc w:val="both"/>
      </w:pPr>
      <w:r>
        <w:t>6.  This information is collected only once, accordingly, less frequent collections are not feasible.</w:t>
      </w:r>
    </w:p>
    <w:p w:rsidR="006D567A" w14:paraId="52F3A8D6" w14:textId="77777777">
      <w:pPr>
        <w:suppressAutoHyphens/>
      </w:pPr>
    </w:p>
    <w:p w:rsidR="006D567A" w:rsidP="00802746" w14:paraId="68A10D34" w14:textId="77777777">
      <w:pPr>
        <w:suppressAutoHyphens/>
        <w:jc w:val="both"/>
      </w:pPr>
      <w:r>
        <w:t>7.  Current data collection is consistent with</w:t>
      </w:r>
      <w:r w:rsidR="00B95692">
        <w:t xml:space="preserve"> the guidelines in 5 CFR 1320.</w:t>
      </w:r>
    </w:p>
    <w:p w:rsidR="006F4FC1" w:rsidP="00802746" w14:paraId="05848093" w14:textId="77777777">
      <w:pPr>
        <w:suppressAutoHyphens/>
        <w:jc w:val="both"/>
      </w:pPr>
    </w:p>
    <w:p w:rsidR="006F4FC1" w:rsidP="00802746" w14:paraId="47454478" w14:textId="2ACFB1C9">
      <w:pPr>
        <w:suppressAutoHyphens/>
        <w:jc w:val="both"/>
      </w:pPr>
      <w:r>
        <w:t xml:space="preserve">8. </w:t>
      </w:r>
      <w:r w:rsidR="008A0663">
        <w:t>Pursuant to 5 CFR 1320.8(d), a</w:t>
      </w:r>
      <w:r>
        <w:t xml:space="preserve"> notice was p</w:t>
      </w:r>
      <w:r w:rsidR="008A0663">
        <w:t>ublished</w:t>
      </w:r>
      <w:r>
        <w:t xml:space="preserve"> in the Federal Register </w:t>
      </w:r>
      <w:r w:rsidRPr="00C96055">
        <w:t xml:space="preserve">on </w:t>
      </w:r>
      <w:r w:rsidR="00580551">
        <w:t xml:space="preserve">June 25, 2024 </w:t>
      </w:r>
      <w:r w:rsidRPr="007C5227" w:rsidR="008A0663">
        <w:rPr>
          <w:i/>
          <w:iCs/>
          <w:color w:val="FF0000"/>
        </w:rPr>
        <w:t xml:space="preserve"> </w:t>
      </w:r>
      <w:r w:rsidRPr="00580551" w:rsidR="008A0663">
        <w:rPr>
          <w:color w:val="000000" w:themeColor="text1"/>
        </w:rPr>
        <w:t>(</w:t>
      </w:r>
      <w:r w:rsidRPr="00580551" w:rsidR="00580551">
        <w:rPr>
          <w:color w:val="000000" w:themeColor="text1"/>
        </w:rPr>
        <w:t>89</w:t>
      </w:r>
      <w:r w:rsidRPr="00580551" w:rsidR="00C96055">
        <w:rPr>
          <w:color w:val="000000" w:themeColor="text1"/>
        </w:rPr>
        <w:t xml:space="preserve"> FR </w:t>
      </w:r>
      <w:r w:rsidRPr="00580551" w:rsidR="00580551">
        <w:rPr>
          <w:color w:val="000000" w:themeColor="text1"/>
        </w:rPr>
        <w:t>53087</w:t>
      </w:r>
      <w:r w:rsidRPr="00580551" w:rsidR="008A0663">
        <w:rPr>
          <w:color w:val="000000" w:themeColor="text1"/>
        </w:rPr>
        <w:t>)</w:t>
      </w:r>
      <w:r w:rsidRPr="00C96055">
        <w:t xml:space="preserve"> </w:t>
      </w:r>
      <w:r w:rsidRPr="00C96055" w:rsidR="00D31938">
        <w:t>seeking comments from the public on the information collection</w:t>
      </w:r>
      <w:r w:rsidRPr="00C96055" w:rsidR="008A0663">
        <w:t xml:space="preserve">. </w:t>
      </w:r>
      <w:r w:rsidRPr="00C96055">
        <w:t xml:space="preserve">  No </w:t>
      </w:r>
      <w:r w:rsidRPr="00C96055" w:rsidR="008A0663">
        <w:t xml:space="preserve">PRA </w:t>
      </w:r>
      <w:r w:rsidRPr="00C96055">
        <w:t>comments were received</w:t>
      </w:r>
      <w:r w:rsidRPr="00C96055" w:rsidR="00D31938">
        <w:t xml:space="preserve"> from the public</w:t>
      </w:r>
      <w:r w:rsidRPr="00C96055">
        <w:t>.</w:t>
      </w:r>
    </w:p>
    <w:p w:rsidR="006D567A" w14:paraId="47608ADB" w14:textId="77777777">
      <w:pPr>
        <w:suppressAutoHyphens/>
      </w:pPr>
    </w:p>
    <w:p w:rsidR="006D567A" w:rsidP="00802746" w14:paraId="5DBBD68A" w14:textId="77777777">
      <w:pPr>
        <w:suppressAutoHyphens/>
        <w:jc w:val="both"/>
      </w:pPr>
      <w:r>
        <w:t>9.  Respondent</w:t>
      </w:r>
      <w:r w:rsidR="00B95692">
        <w:t>s will not receive any payments associated with this collection.</w:t>
      </w:r>
    </w:p>
    <w:p w:rsidR="006D567A" w14:paraId="0A2243F4" w14:textId="77777777">
      <w:pPr>
        <w:suppressAutoHyphens/>
      </w:pPr>
    </w:p>
    <w:p w:rsidR="002F6AE4" w:rsidRPr="002F6AE4" w:rsidP="002F6AE4" w14:paraId="5F95969E" w14:textId="77777777">
      <w:pPr>
        <w:tabs>
          <w:tab w:val="left" w:pos="-360"/>
        </w:tabs>
        <w:suppressAutoHyphens/>
        <w:ind w:right="720"/>
        <w:jc w:val="both"/>
        <w:rPr>
          <w:szCs w:val="24"/>
        </w:rPr>
      </w:pPr>
      <w:r>
        <w:t xml:space="preserve">10. </w:t>
      </w:r>
      <w:r w:rsidRPr="002F6AE4">
        <w:rPr>
          <w:szCs w:val="24"/>
        </w:rPr>
        <w:t xml:space="preserve">Respondents may request materials or information submitted to the Commission be withheld from public inspection under 47 CFR §0.459 of the FCC rules.  </w:t>
      </w:r>
    </w:p>
    <w:p w:rsidR="002F6AE4" w:rsidRPr="002F6AE4" w:rsidP="002F6AE4" w14:paraId="08C02755" w14:textId="77777777">
      <w:pPr>
        <w:tabs>
          <w:tab w:val="left" w:pos="-360"/>
        </w:tabs>
        <w:suppressAutoHyphens/>
        <w:ind w:left="-720" w:right="720"/>
        <w:jc w:val="both"/>
        <w:rPr>
          <w:szCs w:val="24"/>
        </w:rPr>
      </w:pPr>
    </w:p>
    <w:p w:rsidR="0015445F" w:rsidRPr="0015445F" w:rsidP="00C96055" w14:paraId="4EB1ABFD" w14:textId="77777777">
      <w:pPr>
        <w:widowControl/>
        <w:suppressAutoHyphens/>
        <w:ind w:right="810"/>
        <w:jc w:val="both"/>
        <w:rPr>
          <w:spacing w:val="-3"/>
          <w:szCs w:val="24"/>
        </w:rPr>
      </w:pPr>
      <w:r w:rsidRPr="0015445F">
        <w:rPr>
          <w:szCs w:val="24"/>
          <w:shd w:val="clear" w:color="auto" w:fill="FFFFFF"/>
        </w:rPr>
        <w:t xml:space="preserve">Information </w:t>
      </w:r>
      <w:r w:rsidR="00C71814">
        <w:rPr>
          <w:szCs w:val="24"/>
          <w:shd w:val="clear" w:color="auto" w:fill="FFFFFF"/>
        </w:rPr>
        <w:t xml:space="preserve">within Wireless </w:t>
      </w:r>
      <w:r w:rsidR="00281B0E">
        <w:rPr>
          <w:szCs w:val="24"/>
          <w:shd w:val="clear" w:color="auto" w:fill="FFFFFF"/>
        </w:rPr>
        <w:t xml:space="preserve">Radio </w:t>
      </w:r>
      <w:r w:rsidR="00C71814">
        <w:rPr>
          <w:szCs w:val="24"/>
          <w:shd w:val="clear" w:color="auto" w:fill="FFFFFF"/>
        </w:rPr>
        <w:t>Services</w:t>
      </w:r>
      <w:r w:rsidRPr="0015445F">
        <w:rPr>
          <w:szCs w:val="24"/>
          <w:shd w:val="clear" w:color="auto" w:fill="FFFFFF"/>
        </w:rPr>
        <w:t xml:space="preserve"> is maintained in the Commission’s system of records notice or ‘SORN’, FCC/WTB-1, “Wireless Services Licensing Records.”  </w:t>
      </w:r>
      <w:r w:rsidRPr="0015445F">
        <w:rPr>
          <w:spacing w:val="-3"/>
          <w:szCs w:val="24"/>
          <w:shd w:val="clear" w:color="auto" w:fill="FFFFFF"/>
        </w:rPr>
        <w:t>These</w:t>
      </w:r>
      <w:r w:rsidRPr="0015445F">
        <w:rPr>
          <w:spacing w:val="-3"/>
          <w:szCs w:val="24"/>
        </w:rPr>
        <w:t xml:space="preserve"> licensee records are publicly available and routinely used in accordance with subsection b. of the Privacy Act, 5 U.S.C.</w:t>
      </w:r>
      <w:r w:rsidR="00B5462F">
        <w:rPr>
          <w:spacing w:val="-3"/>
          <w:szCs w:val="24"/>
        </w:rPr>
        <w:t xml:space="preserve"> </w:t>
      </w:r>
      <w:r w:rsidRPr="0015445F">
        <w:rPr>
          <w:spacing w:val="-3"/>
          <w:szCs w:val="24"/>
        </w:rPr>
        <w:t xml:space="preserve">552a(b), </w:t>
      </w:r>
      <w:r w:rsidRPr="0015445F">
        <w:rPr>
          <w:spacing w:val="-3"/>
          <w:szCs w:val="24"/>
          <w:shd w:val="clear" w:color="auto" w:fill="FFFFFF"/>
        </w:rPr>
        <w:t>as amended</w:t>
      </w:r>
      <w:r w:rsidR="008B6242">
        <w:rPr>
          <w:spacing w:val="-3"/>
          <w:szCs w:val="24"/>
          <w:shd w:val="clear" w:color="auto" w:fill="FFFFFF"/>
        </w:rPr>
        <w:t>.</w:t>
      </w:r>
      <w:r w:rsidRPr="0015445F">
        <w:rPr>
          <w:spacing w:val="-3"/>
          <w:szCs w:val="24"/>
          <w:shd w:val="clear" w:color="auto" w:fill="FFFFFF"/>
        </w:rPr>
        <w:t xml:space="preserve"> </w:t>
      </w:r>
      <w:r w:rsidR="008B6242">
        <w:rPr>
          <w:spacing w:val="-3"/>
          <w:szCs w:val="24"/>
          <w:shd w:val="clear" w:color="auto" w:fill="FFFFFF"/>
        </w:rPr>
        <w:t>M</w:t>
      </w:r>
      <w:r w:rsidRPr="0015445F">
        <w:rPr>
          <w:spacing w:val="-3"/>
          <w:szCs w:val="24"/>
          <w:shd w:val="clear" w:color="auto" w:fill="FFFFFF"/>
        </w:rPr>
        <w:t>aterial that is afforded confidential treatment pursuant to a request made under</w:t>
      </w:r>
      <w:r w:rsidRPr="0015445F">
        <w:rPr>
          <w:spacing w:val="-3"/>
          <w:szCs w:val="24"/>
        </w:rPr>
        <w:t xml:space="preserve"> 47 CFR §0.459 will not be available for public inspection.  </w:t>
      </w:r>
    </w:p>
    <w:p w:rsidR="0015445F" w:rsidP="0015445F" w14:paraId="111FE706" w14:textId="77777777">
      <w:pPr>
        <w:widowControl/>
        <w:suppressAutoHyphens/>
        <w:ind w:left="360" w:right="810"/>
        <w:jc w:val="both"/>
        <w:rPr>
          <w:spacing w:val="-3"/>
          <w:sz w:val="22"/>
          <w:szCs w:val="22"/>
        </w:rPr>
      </w:pPr>
    </w:p>
    <w:p w:rsidR="006D567A" w:rsidRPr="0015445F" w:rsidP="00C96055" w14:paraId="0FEE8A0E" w14:textId="77777777">
      <w:pPr>
        <w:suppressAutoHyphens/>
        <w:ind w:right="810"/>
        <w:jc w:val="both"/>
        <w:rPr>
          <w:spacing w:val="-3"/>
          <w:szCs w:val="24"/>
        </w:rPr>
      </w:pPr>
      <w:r w:rsidRPr="0015445F">
        <w:rPr>
          <w:spacing w:val="-3"/>
          <w:szCs w:val="24"/>
        </w:rPr>
        <w:t>The Commission has in place the following policy and procedures for records retention and disposal:  Records will be actively maintained as long as the individual remains a licensee.  Paper records will be archived after being keyed or scanned into the system.  Electronic records will be backed up on tape.  Electronic and paper records will be maintained for at least twelve years and three months.</w:t>
      </w:r>
    </w:p>
    <w:p w:rsidR="0015445F" w:rsidP="0015445F" w14:paraId="4D32E964" w14:textId="77777777">
      <w:pPr>
        <w:suppressAutoHyphens/>
      </w:pPr>
    </w:p>
    <w:p w:rsidR="006D567A" w:rsidP="002F6AE4" w14:paraId="353084E9" w14:textId="77777777">
      <w:pPr>
        <w:suppressAutoHyphens/>
        <w:jc w:val="both"/>
      </w:pPr>
      <w:r>
        <w:t xml:space="preserve">11.  </w:t>
      </w:r>
      <w:r w:rsidRPr="002F6AE4" w:rsidR="002F6AE4">
        <w:rPr>
          <w:szCs w:val="24"/>
        </w:rPr>
        <w:t>There are no requests of a sensitive nature considered or those considered a private matter being sought from the applicants on this collection.</w:t>
      </w:r>
    </w:p>
    <w:p w:rsidR="006D567A" w14:paraId="2167A17C" w14:textId="77777777">
      <w:pPr>
        <w:suppressAutoHyphens/>
      </w:pPr>
    </w:p>
    <w:p w:rsidR="006D567A" w:rsidP="00802746" w14:paraId="1FAAC66D" w14:textId="77777777">
      <w:pPr>
        <w:suppressAutoHyphens/>
        <w:jc w:val="both"/>
      </w:pPr>
      <w:r w:rsidRPr="004B7A52">
        <w:t>12.</w:t>
      </w:r>
      <w:r>
        <w:t xml:space="preserve"> This collection requires the licensees to review </w:t>
      </w:r>
      <w:r w:rsidR="00802746">
        <w:t>their authorizations</w:t>
      </w:r>
      <w:r>
        <w:t xml:space="preserve"> that are listed in </w:t>
      </w:r>
      <w:r w:rsidR="00802746">
        <w:t>the audit</w:t>
      </w:r>
      <w:r>
        <w:t xml:space="preserve"> letter</w:t>
      </w:r>
      <w:r w:rsidR="00802746">
        <w:t xml:space="preserve"> and to certify that they are operating in accordance with their license</w:t>
      </w:r>
      <w:r>
        <w:t xml:space="preserve">.  </w:t>
      </w:r>
      <w:r w:rsidR="00864366">
        <w:t>W</w:t>
      </w:r>
      <w:r w:rsidR="00802746">
        <w:t xml:space="preserve">e require the licensee to respond electronically by accessing </w:t>
      </w:r>
      <w:r w:rsidR="00FA6CE3">
        <w:t xml:space="preserve">a </w:t>
      </w:r>
      <w:r w:rsidR="00802746">
        <w:t xml:space="preserve">website.  Electronic filing is mandatory for </w:t>
      </w:r>
      <w:r w:rsidR="00864366">
        <w:t xml:space="preserve">all </w:t>
      </w:r>
      <w:r w:rsidR="00802746">
        <w:t xml:space="preserve">respondents.  </w:t>
      </w:r>
      <w:r>
        <w:t xml:space="preserve">  </w:t>
      </w:r>
      <w:r w:rsidR="00D838E1">
        <w:t>Audits are not conducted on a regular basis and except in rare instances less than 25,000</w:t>
      </w:r>
      <w:r w:rsidR="006F4FC1">
        <w:t xml:space="preserve"> letters</w:t>
      </w:r>
      <w:r>
        <w:t xml:space="preserve"> will be sent with an estimated response</w:t>
      </w:r>
      <w:r w:rsidR="008E65D5">
        <w:t xml:space="preserve"> </w:t>
      </w:r>
      <w:r>
        <w:t>time of .5</w:t>
      </w:r>
      <w:r w:rsidR="00B95692">
        <w:t>0</w:t>
      </w:r>
      <w:r>
        <w:t xml:space="preserve"> hours each, for a total</w:t>
      </w:r>
      <w:r w:rsidR="00AC2E0F">
        <w:t xml:space="preserve"> annual</w:t>
      </w:r>
      <w:r>
        <w:t xml:space="preserve"> burden of </w:t>
      </w:r>
      <w:r w:rsidRPr="00D31938" w:rsidR="00D838E1">
        <w:rPr>
          <w:b/>
        </w:rPr>
        <w:t>12,500</w:t>
      </w:r>
      <w:r w:rsidRPr="00D31938">
        <w:rPr>
          <w:b/>
        </w:rPr>
        <w:t xml:space="preserve"> hours</w:t>
      </w:r>
      <w:r>
        <w:t>.</w:t>
      </w:r>
      <w:r w:rsidR="00C9688A">
        <w:t xml:space="preserve">  The Commission equates</w:t>
      </w:r>
      <w:r w:rsidR="00AC2E0F">
        <w:t xml:space="preserve"> the occurrence to happen once for each respondent.</w:t>
      </w:r>
    </w:p>
    <w:p w:rsidR="006D567A" w14:paraId="758AF5CC" w14:textId="77777777">
      <w:pPr>
        <w:suppressAutoHyphens/>
      </w:pPr>
    </w:p>
    <w:p w:rsidR="00D31938" w:rsidRPr="00C12792" w14:paraId="6F0487C5" w14:textId="77777777">
      <w:pPr>
        <w:suppressAutoHyphens/>
      </w:pPr>
      <w:r w:rsidRPr="00C12792">
        <w:rPr>
          <w:b/>
        </w:rPr>
        <w:t>Total Number of Respondents</w:t>
      </w:r>
      <w:r w:rsidRPr="00C12792">
        <w:t xml:space="preserve">:  </w:t>
      </w:r>
      <w:r w:rsidRPr="00C12792">
        <w:rPr>
          <w:b/>
        </w:rPr>
        <w:t>25,000</w:t>
      </w:r>
      <w:r w:rsidR="00CD46DE">
        <w:rPr>
          <w:b/>
        </w:rPr>
        <w:t>.</w:t>
      </w:r>
    </w:p>
    <w:p w:rsidR="00D31938" w:rsidRPr="00C12792" w14:paraId="1BD989BA" w14:textId="77777777">
      <w:pPr>
        <w:suppressAutoHyphens/>
      </w:pPr>
    </w:p>
    <w:p w:rsidR="00D31938" w14:paraId="03857379" w14:textId="77777777">
      <w:pPr>
        <w:suppressAutoHyphens/>
        <w:rPr>
          <w:b/>
        </w:rPr>
      </w:pPr>
      <w:r w:rsidRPr="00C12792">
        <w:rPr>
          <w:b/>
        </w:rPr>
        <w:t>Total Number of Annual Responses</w:t>
      </w:r>
      <w:r w:rsidRPr="00C12792">
        <w:t xml:space="preserve">:  </w:t>
      </w:r>
      <w:r w:rsidRPr="00B95692">
        <w:rPr>
          <w:b/>
        </w:rPr>
        <w:t>25,000 letters</w:t>
      </w:r>
      <w:r w:rsidRPr="00B95692" w:rsidR="00CD46DE">
        <w:rPr>
          <w:b/>
        </w:rPr>
        <w:t xml:space="preserve"> (responses).</w:t>
      </w:r>
    </w:p>
    <w:p w:rsidR="007105CE" w:rsidRPr="00B95692" w14:paraId="31ABA6B3" w14:textId="77777777">
      <w:pPr>
        <w:suppressAutoHyphens/>
        <w:rPr>
          <w:b/>
        </w:rPr>
      </w:pPr>
    </w:p>
    <w:p w:rsidR="00D31938" w:rsidRPr="00B95692" w14:paraId="2126EE48" w14:textId="77777777">
      <w:pPr>
        <w:suppressAutoHyphens/>
        <w:rPr>
          <w:b/>
        </w:rPr>
      </w:pPr>
    </w:p>
    <w:p w:rsidR="00D31938" w14:paraId="6D8FFE0B" w14:textId="77777777">
      <w:pPr>
        <w:suppressAutoHyphens/>
      </w:pPr>
      <w:r w:rsidRPr="00C12792">
        <w:rPr>
          <w:b/>
        </w:rPr>
        <w:t>Estimated Annual Burden Hours</w:t>
      </w:r>
      <w:r w:rsidRPr="00C12792">
        <w:t>:</w:t>
      </w:r>
      <w:r w:rsidR="00B95692">
        <w:t xml:space="preserve">  25,000 letters/responses x .50 </w:t>
      </w:r>
      <w:r w:rsidRPr="00C12792">
        <w:t xml:space="preserve">hours/response = </w:t>
      </w:r>
      <w:r w:rsidRPr="00C12792">
        <w:rPr>
          <w:b/>
        </w:rPr>
        <w:t>12,500</w:t>
      </w:r>
      <w:r>
        <w:rPr>
          <w:b/>
        </w:rPr>
        <w:t xml:space="preserve"> hours</w:t>
      </w:r>
      <w:r w:rsidR="0033673D">
        <w:rPr>
          <w:b/>
        </w:rPr>
        <w:t>.</w:t>
      </w:r>
    </w:p>
    <w:p w:rsidR="00D31938" w14:paraId="4811ED8C" w14:textId="77777777">
      <w:pPr>
        <w:suppressAutoHyphens/>
      </w:pPr>
    </w:p>
    <w:p w:rsidR="006D567A" w:rsidRPr="00B95692" w:rsidP="00802746" w14:paraId="72D2EFF2" w14:textId="77777777">
      <w:pPr>
        <w:suppressAutoHyphens/>
        <w:jc w:val="both"/>
        <w:rPr>
          <w:b/>
        </w:rPr>
      </w:pPr>
      <w:r w:rsidRPr="00B95692">
        <w:rPr>
          <w:b/>
        </w:rPr>
        <w:t>Estimate</w:t>
      </w:r>
      <w:r w:rsidRPr="00B95692" w:rsidR="00D31938">
        <w:rPr>
          <w:b/>
        </w:rPr>
        <w:t>d “</w:t>
      </w:r>
      <w:r w:rsidRPr="00B95692" w:rsidR="00BA2631">
        <w:rPr>
          <w:b/>
        </w:rPr>
        <w:t>i</w:t>
      </w:r>
      <w:r w:rsidRPr="00B95692" w:rsidR="00D31938">
        <w:rPr>
          <w:b/>
        </w:rPr>
        <w:t xml:space="preserve">n-house </w:t>
      </w:r>
      <w:r w:rsidRPr="00B95692">
        <w:rPr>
          <w:b/>
        </w:rPr>
        <w:t>cost</w:t>
      </w:r>
      <w:r w:rsidRPr="00B95692" w:rsidR="00D31938">
        <w:rPr>
          <w:b/>
        </w:rPr>
        <w:t>”</w:t>
      </w:r>
      <w:r w:rsidRPr="00B95692">
        <w:rPr>
          <w:b/>
        </w:rPr>
        <w:t xml:space="preserve"> to responden</w:t>
      </w:r>
      <w:r w:rsidRPr="0033673D">
        <w:t>ts:</w:t>
      </w:r>
      <w:r>
        <w:t xml:space="preserve">  We assume that the respondents would use administrative personnel to prepare the information</w:t>
      </w:r>
      <w:r w:rsidR="00BA2631">
        <w:t xml:space="preserve"> </w:t>
      </w:r>
      <w:r w:rsidRPr="00C12792" w:rsidR="00BA2631">
        <w:t>at an hourly wage of $20 per hour</w:t>
      </w:r>
      <w:r>
        <w:t xml:space="preserve">.  $20/hour x </w:t>
      </w:r>
      <w:r w:rsidR="00D838E1">
        <w:t>25</w:t>
      </w:r>
      <w:r w:rsidR="00BE6EFC">
        <w:t xml:space="preserve">,000 responses x .50 </w:t>
      </w:r>
      <w:r>
        <w:t xml:space="preserve">hour = </w:t>
      </w:r>
      <w:r w:rsidRPr="00B95692">
        <w:rPr>
          <w:b/>
        </w:rPr>
        <w:t>$</w:t>
      </w:r>
      <w:r w:rsidRPr="00B95692" w:rsidR="00D838E1">
        <w:rPr>
          <w:b/>
        </w:rPr>
        <w:t>25</w:t>
      </w:r>
      <w:r w:rsidRPr="00B95692">
        <w:rPr>
          <w:b/>
        </w:rPr>
        <w:t>0,000.</w:t>
      </w:r>
    </w:p>
    <w:p w:rsidR="006D567A" w:rsidRPr="00B95692" w14:paraId="214BF9D2" w14:textId="77777777">
      <w:pPr>
        <w:suppressAutoHyphens/>
        <w:rPr>
          <w:b/>
        </w:rPr>
      </w:pPr>
    </w:p>
    <w:p w:rsidR="006D567A" w14:paraId="7ABBBE22" w14:textId="77777777">
      <w:pPr>
        <w:suppressAutoHyphens/>
      </w:pPr>
      <w:r>
        <w:t>13. Estimate of cost to respondents</w:t>
      </w:r>
      <w:r w:rsidR="00DE6622">
        <w:t>.</w:t>
      </w:r>
    </w:p>
    <w:p w:rsidR="006D567A" w14:paraId="0F7A1E2F" w14:textId="77777777">
      <w:pPr>
        <w:suppressAutoHyphens/>
      </w:pPr>
    </w:p>
    <w:p w:rsidR="006D567A" w:rsidP="004D6A80" w14:paraId="5AE4A00E" w14:textId="77777777">
      <w:pPr>
        <w:suppressAutoHyphens/>
        <w:ind w:left="630"/>
      </w:pPr>
      <w:r>
        <w:t>a. There are no capital or start-up costs.</w:t>
      </w:r>
    </w:p>
    <w:p w:rsidR="006D567A" w:rsidP="004D6A80" w14:paraId="0FDD0EA8" w14:textId="77777777">
      <w:pPr>
        <w:suppressAutoHyphens/>
        <w:ind w:left="630"/>
      </w:pPr>
    </w:p>
    <w:p w:rsidR="006D567A" w:rsidP="004D6A80" w14:paraId="2E880724" w14:textId="77777777">
      <w:pPr>
        <w:suppressAutoHyphens/>
        <w:ind w:left="630"/>
      </w:pPr>
      <w:r>
        <w:t>b. There are no operational or maintenance costs</w:t>
      </w:r>
      <w:r w:rsidR="0002777C">
        <w:t>.</w:t>
      </w:r>
    </w:p>
    <w:p w:rsidR="00BA2631" w:rsidP="004D6A80" w14:paraId="3386CE30" w14:textId="77777777">
      <w:pPr>
        <w:suppressAutoHyphens/>
        <w:ind w:left="630"/>
      </w:pPr>
    </w:p>
    <w:p w:rsidR="00BA2631" w:rsidP="004D6A80" w14:paraId="55A0E6AC" w14:textId="77777777">
      <w:pPr>
        <w:suppressAutoHyphens/>
        <w:ind w:left="630"/>
      </w:pPr>
      <w:r w:rsidRPr="00C12792">
        <w:t>c. There are no costs to the respondents.</w:t>
      </w:r>
    </w:p>
    <w:p w:rsidR="006D567A" w14:paraId="18BE2928" w14:textId="77777777">
      <w:pPr>
        <w:suppressAutoHyphens/>
      </w:pPr>
    </w:p>
    <w:p w:rsidR="006D567A" w14:paraId="523DA0BF" w14:textId="77777777">
      <w:pPr>
        <w:suppressAutoHyphens/>
      </w:pPr>
      <w:r>
        <w:t xml:space="preserve">14. Estimate of cost to Federal Government: </w:t>
      </w:r>
    </w:p>
    <w:p w:rsidR="006D567A" w14:paraId="214CA897" w14:textId="77777777">
      <w:pPr>
        <w:suppressAutoHyphens/>
      </w:pPr>
    </w:p>
    <w:p w:rsidR="006D567A" w14:paraId="14EC5D3C" w14:textId="784CC824">
      <w:pPr>
        <w:suppressAutoHyphens/>
      </w:pPr>
      <w:r>
        <w:t xml:space="preserve">             $</w:t>
      </w:r>
      <w:r w:rsidR="001C458D">
        <w:t xml:space="preserve">   </w:t>
      </w:r>
      <w:r w:rsidR="007C5227">
        <w:t>30.37</w:t>
      </w:r>
      <w:r>
        <w:tab/>
        <w:t>per hour (GS</w:t>
      </w:r>
      <w:r>
        <w:noBreakHyphen/>
        <w:t>7/5 Legal Instruments Examiner)</w:t>
      </w:r>
    </w:p>
    <w:p w:rsidR="006D567A" w14:paraId="4AC17900" w14:textId="77777777">
      <w:pPr>
        <w:suppressAutoHyphens/>
      </w:pPr>
      <w:r>
        <w:t xml:space="preserve">             X  </w:t>
      </w:r>
      <w:r w:rsidR="001C458D">
        <w:t xml:space="preserve"> </w:t>
      </w:r>
      <w:r>
        <w:t xml:space="preserve">  </w:t>
      </w:r>
      <w:r w:rsidR="00B95692">
        <w:t xml:space="preserve"> .50</w:t>
      </w:r>
      <w:r>
        <w:tab/>
        <w:t>hours per letter examined</w:t>
      </w:r>
    </w:p>
    <w:p w:rsidR="006D567A" w14:paraId="7B4BC34C" w14:textId="77777777">
      <w:pPr>
        <w:suppressAutoHyphens/>
      </w:pPr>
      <w:r>
        <w:t xml:space="preserve">             </w:t>
      </w:r>
      <w:r w:rsidRPr="00B95692">
        <w:rPr>
          <w:u w:val="single"/>
        </w:rPr>
        <w:t xml:space="preserve">X </w:t>
      </w:r>
      <w:r w:rsidRPr="00B95692" w:rsidR="001C458D">
        <w:rPr>
          <w:u w:val="single"/>
        </w:rPr>
        <w:t>25,000</w:t>
      </w:r>
      <w:r>
        <w:tab/>
        <w:t>letters reviewed per year</w:t>
      </w:r>
    </w:p>
    <w:p w:rsidR="006D567A" w:rsidRPr="00BE6EFC" w14:paraId="249033B2" w14:textId="6C33CBBF">
      <w:pPr>
        <w:suppressAutoHyphens/>
        <w:rPr>
          <w:b/>
        </w:rPr>
      </w:pPr>
      <w:r w:rsidRPr="00BE6EFC">
        <w:rPr>
          <w:b/>
        </w:rPr>
        <w:t xml:space="preserve">             </w:t>
      </w:r>
      <w:r w:rsidRPr="000B4585" w:rsidR="00B95692">
        <w:rPr>
          <w:b/>
        </w:rPr>
        <w:t>$</w:t>
      </w:r>
      <w:r w:rsidR="00864366">
        <w:rPr>
          <w:b/>
        </w:rPr>
        <w:t>3</w:t>
      </w:r>
      <w:r w:rsidR="007C5227">
        <w:rPr>
          <w:b/>
        </w:rPr>
        <w:t>79</w:t>
      </w:r>
      <w:r w:rsidR="00864366">
        <w:rPr>
          <w:b/>
        </w:rPr>
        <w:t>,</w:t>
      </w:r>
      <w:r w:rsidR="007C5227">
        <w:rPr>
          <w:b/>
        </w:rPr>
        <w:t>625</w:t>
      </w:r>
    </w:p>
    <w:p w:rsidR="006D567A" w:rsidRPr="00BE6EFC" w14:paraId="4B1BFB85" w14:textId="77777777">
      <w:pPr>
        <w:suppressAutoHyphens/>
        <w:rPr>
          <w:b/>
        </w:rPr>
      </w:pPr>
    </w:p>
    <w:p w:rsidR="006D567A" w:rsidP="00802746" w14:paraId="0B8CFE94" w14:textId="77777777">
      <w:pPr>
        <w:suppressAutoHyphens/>
        <w:jc w:val="both"/>
      </w:pPr>
      <w:r>
        <w:t xml:space="preserve">15. </w:t>
      </w:r>
      <w:r w:rsidR="00D92A6A">
        <w:t xml:space="preserve"> </w:t>
      </w:r>
      <w:r w:rsidRPr="00CD46DE" w:rsidR="00006F12">
        <w:rPr>
          <w:szCs w:val="24"/>
        </w:rPr>
        <w:t>There</w:t>
      </w:r>
      <w:r w:rsidRPr="00CD46DE" w:rsidR="002378B6">
        <w:rPr>
          <w:szCs w:val="24"/>
        </w:rPr>
        <w:t xml:space="preserve"> </w:t>
      </w:r>
      <w:r w:rsidRPr="00CD46DE" w:rsidR="00006F12">
        <w:rPr>
          <w:szCs w:val="24"/>
        </w:rPr>
        <w:t>are no</w:t>
      </w:r>
      <w:r w:rsidR="00BE6EFC">
        <w:rPr>
          <w:szCs w:val="24"/>
        </w:rPr>
        <w:t xml:space="preserve"> program changes or adjustments to this collection.</w:t>
      </w:r>
    </w:p>
    <w:p w:rsidR="006D567A" w14:paraId="3B0F1E67" w14:textId="77777777">
      <w:pPr>
        <w:suppressAutoHyphens/>
      </w:pPr>
    </w:p>
    <w:p w:rsidR="006D567A" w:rsidP="00802746" w14:paraId="4E0E1675" w14:textId="77777777">
      <w:pPr>
        <w:suppressAutoHyphens/>
        <w:jc w:val="both"/>
      </w:pPr>
      <w:r>
        <w:t>16.  The data will not be published for statistical use.</w:t>
      </w:r>
    </w:p>
    <w:p w:rsidR="006D567A" w14:paraId="0D805375" w14:textId="77777777">
      <w:pPr>
        <w:suppressAutoHyphens/>
      </w:pPr>
    </w:p>
    <w:p w:rsidR="006D567A" w:rsidP="00802746" w14:paraId="0F0E77E3" w14:textId="0B9EFEFC">
      <w:pPr>
        <w:suppressAutoHyphens/>
        <w:jc w:val="both"/>
      </w:pPr>
      <w:r>
        <w:t xml:space="preserve">17. We seek </w:t>
      </w:r>
      <w:r w:rsidR="00CD46DE">
        <w:t xml:space="preserve">continued OMB </w:t>
      </w:r>
      <w:r>
        <w:t>approval to not display the</w:t>
      </w:r>
      <w:r w:rsidR="00CD46DE">
        <w:t xml:space="preserve"> OMB </w:t>
      </w:r>
      <w:r>
        <w:t xml:space="preserve">expiration date </w:t>
      </w:r>
      <w:r w:rsidR="00CD46DE">
        <w:t>on the License Audit letters</w:t>
      </w:r>
      <w:r>
        <w:t>.</w:t>
      </w:r>
      <w:r w:rsidR="00CD46DE">
        <w:t xml:space="preserve">   This is not in the Commission’s interest as the letter would have to have the OMB expiration date changed each time this collection w</w:t>
      </w:r>
      <w:r w:rsidR="006564E3">
        <w:t>as</w:t>
      </w:r>
      <w:r w:rsidR="00CD46DE">
        <w:t xml:space="preserve"> submitted to OMB for renewal or revision. Additionally, the Commission publishes a list of OMB-approved collections including their associated OMB control number, title of the collection and the OMB expiration date </w:t>
      </w:r>
      <w:r w:rsidR="00F82562">
        <w:t>on OMB’s website.</w:t>
      </w:r>
    </w:p>
    <w:p w:rsidR="006D567A" w14:paraId="391A04C6" w14:textId="77777777">
      <w:pPr>
        <w:suppressAutoHyphens/>
      </w:pPr>
    </w:p>
    <w:p w:rsidR="00006F12" w:rsidRPr="00006F12" w:rsidP="00006F12" w14:paraId="3635FA72" w14:textId="77777777">
      <w:pPr>
        <w:tabs>
          <w:tab w:val="left" w:pos="-720"/>
        </w:tabs>
        <w:suppressAutoHyphens/>
        <w:ind w:right="720"/>
        <w:jc w:val="both"/>
        <w:rPr>
          <w:szCs w:val="24"/>
        </w:rPr>
      </w:pPr>
      <w:r>
        <w:t xml:space="preserve">18.  </w:t>
      </w:r>
      <w:r w:rsidRPr="00006F12">
        <w:rPr>
          <w:szCs w:val="24"/>
        </w:rPr>
        <w:t>There are no exceptions to the “C</w:t>
      </w:r>
      <w:r w:rsidR="00BE6EFC">
        <w:rPr>
          <w:szCs w:val="24"/>
        </w:rPr>
        <w:t>ertification Statement.”</w:t>
      </w:r>
    </w:p>
    <w:p w:rsidR="006D567A" w:rsidP="00802746" w14:paraId="4FD5AB13" w14:textId="77777777">
      <w:pPr>
        <w:suppressAutoHyphens/>
        <w:jc w:val="both"/>
      </w:pPr>
    </w:p>
    <w:p w:rsidR="006D567A" w:rsidRPr="005C2C8B" w:rsidP="00802746" w14:paraId="5310D291" w14:textId="77777777">
      <w:pPr>
        <w:suppressAutoHyphens/>
        <w:jc w:val="both"/>
        <w:rPr>
          <w:b/>
        </w:rPr>
      </w:pPr>
      <w:r w:rsidRPr="005C2C8B">
        <w:rPr>
          <w:b/>
        </w:rPr>
        <w:t xml:space="preserve">B.  </w:t>
      </w:r>
      <w:r w:rsidRPr="005C2C8B">
        <w:rPr>
          <w:b/>
          <w:u w:val="single"/>
        </w:rPr>
        <w:t>Collections of Information Employing Statistical Methods</w:t>
      </w:r>
      <w:r w:rsidRPr="005C2C8B" w:rsidR="005C2C8B">
        <w:rPr>
          <w:b/>
          <w:u w:val="single"/>
        </w:rPr>
        <w:t>:</w:t>
      </w:r>
    </w:p>
    <w:p w:rsidR="006D567A" w14:paraId="476AD646" w14:textId="77777777">
      <w:pPr>
        <w:suppressAutoHyphens/>
      </w:pPr>
    </w:p>
    <w:p w:rsidR="006D567A" w:rsidP="00802746" w14:paraId="68AB0DD9" w14:textId="77777777">
      <w:pPr>
        <w:suppressAutoHyphens/>
        <w:jc w:val="both"/>
      </w:pPr>
      <w:r>
        <w:t xml:space="preserve">    No statistical methods are employed.</w:t>
      </w:r>
    </w:p>
    <w:sectPr w:rsidSect="00995133">
      <w:footerReference w:type="default" r:id="rId6"/>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641C" w14:paraId="61B77225" w14:textId="77777777">
      <w:pPr>
        <w:spacing w:line="20" w:lineRule="exact"/>
      </w:pPr>
    </w:p>
  </w:endnote>
  <w:endnote w:type="continuationSeparator" w:id="1">
    <w:p w:rsidR="003F641C" w14:paraId="63F957AD" w14:textId="77777777">
      <w:r>
        <w:t xml:space="preserve"> </w:t>
      </w:r>
    </w:p>
  </w:endnote>
  <w:endnote w:type="continuationNotice" w:id="2">
    <w:p w:rsidR="003F641C" w14:paraId="3AFF9C4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74D" w:rsidP="00995133" w14:paraId="7FC262C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5F19AF">
      <w:rPr>
        <w:rStyle w:val="PageNumber"/>
        <w:noProof/>
      </w:rPr>
      <w:t>- 3 -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41C" w14:paraId="053F368C" w14:textId="77777777">
      <w:r>
        <w:separator/>
      </w:r>
    </w:p>
  </w:footnote>
  <w:footnote w:type="continuationSeparator" w:id="1">
    <w:p w:rsidR="003F641C" w14:paraId="077E89E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8C52A84"/>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0602072"/>
    <w:multiLevelType w:val="singleLevel"/>
    <w:tmpl w:val="77CE809C"/>
    <w:lvl w:ilvl="0">
      <w:start w:val="1"/>
      <w:numFmt w:val="decimal"/>
      <w:lvlText w:val=" %1."/>
      <w:lvlJc w:val="left"/>
      <w:pPr>
        <w:tabs>
          <w:tab w:val="num" w:pos="432"/>
        </w:tabs>
        <w:ind w:left="432" w:hanging="432"/>
      </w:pPr>
    </w:lvl>
  </w:abstractNum>
  <w:abstractNum w:abstractNumId="3">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9525DD"/>
    <w:multiLevelType w:val="hybridMultilevel"/>
    <w:tmpl w:val="1DFEDD96"/>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529151C7"/>
    <w:multiLevelType w:val="singleLevel"/>
    <w:tmpl w:val="0409000F"/>
    <w:lvl w:ilvl="0">
      <w:start w:val="18"/>
      <w:numFmt w:val="decimal"/>
      <w:lvlText w:val="%1."/>
      <w:lvlJc w:val="left"/>
      <w:pPr>
        <w:tabs>
          <w:tab w:val="num" w:pos="360"/>
        </w:tabs>
        <w:ind w:left="360" w:hanging="360"/>
      </w:pPr>
      <w:rPr>
        <w:rFonts w:hint="default"/>
      </w:rPr>
    </w:lvl>
  </w:abstractNum>
  <w:num w:numId="1" w16cid:durableId="1059356088">
    <w:abstractNumId w:val="1"/>
  </w:num>
  <w:num w:numId="2" w16cid:durableId="785320400">
    <w:abstractNumId w:val="2"/>
  </w:num>
  <w:num w:numId="3" w16cid:durableId="1836266156">
    <w:abstractNumId w:val="4"/>
  </w:num>
  <w:num w:numId="4" w16cid:durableId="1284380973">
    <w:abstractNumId w:val="0"/>
  </w:num>
  <w:num w:numId="5" w16cid:durableId="1876458748">
    <w:abstractNumId w:val="3"/>
  </w:num>
  <w:num w:numId="6" w16cid:durableId="107895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FF"/>
    <w:rsid w:val="0000191C"/>
    <w:rsid w:val="00006F12"/>
    <w:rsid w:val="00013837"/>
    <w:rsid w:val="0002476B"/>
    <w:rsid w:val="0002777C"/>
    <w:rsid w:val="00032D3A"/>
    <w:rsid w:val="00086D8F"/>
    <w:rsid w:val="000A0035"/>
    <w:rsid w:val="000A7D33"/>
    <w:rsid w:val="000B4585"/>
    <w:rsid w:val="000B7B54"/>
    <w:rsid w:val="000E35DE"/>
    <w:rsid w:val="000E68AF"/>
    <w:rsid w:val="001312A0"/>
    <w:rsid w:val="0015445F"/>
    <w:rsid w:val="001709FF"/>
    <w:rsid w:val="001C458D"/>
    <w:rsid w:val="001C5E1E"/>
    <w:rsid w:val="001D17ED"/>
    <w:rsid w:val="001F55E2"/>
    <w:rsid w:val="00234DBE"/>
    <w:rsid w:val="002378B6"/>
    <w:rsid w:val="00281B0E"/>
    <w:rsid w:val="002943F1"/>
    <w:rsid w:val="002A3EA7"/>
    <w:rsid w:val="002F6AE4"/>
    <w:rsid w:val="003006CB"/>
    <w:rsid w:val="003102EC"/>
    <w:rsid w:val="003103B2"/>
    <w:rsid w:val="003111AB"/>
    <w:rsid w:val="00323D4A"/>
    <w:rsid w:val="00330945"/>
    <w:rsid w:val="0033673D"/>
    <w:rsid w:val="003430CA"/>
    <w:rsid w:val="00355963"/>
    <w:rsid w:val="00394C72"/>
    <w:rsid w:val="003B17D2"/>
    <w:rsid w:val="003F641C"/>
    <w:rsid w:val="004048D2"/>
    <w:rsid w:val="00430130"/>
    <w:rsid w:val="00431D70"/>
    <w:rsid w:val="00473BE1"/>
    <w:rsid w:val="004942F1"/>
    <w:rsid w:val="004B7A52"/>
    <w:rsid w:val="004C1269"/>
    <w:rsid w:val="004D6A80"/>
    <w:rsid w:val="00516EAD"/>
    <w:rsid w:val="00530458"/>
    <w:rsid w:val="005362D4"/>
    <w:rsid w:val="00540131"/>
    <w:rsid w:val="0055177D"/>
    <w:rsid w:val="00560054"/>
    <w:rsid w:val="00572F68"/>
    <w:rsid w:val="00573FAD"/>
    <w:rsid w:val="00580551"/>
    <w:rsid w:val="00580648"/>
    <w:rsid w:val="005A5CC7"/>
    <w:rsid w:val="005C2C8B"/>
    <w:rsid w:val="005C55EB"/>
    <w:rsid w:val="005D2E4B"/>
    <w:rsid w:val="005F19AF"/>
    <w:rsid w:val="00601F40"/>
    <w:rsid w:val="00621FAB"/>
    <w:rsid w:val="006564E3"/>
    <w:rsid w:val="0065767F"/>
    <w:rsid w:val="0069233B"/>
    <w:rsid w:val="006D567A"/>
    <w:rsid w:val="006E66CD"/>
    <w:rsid w:val="006F4FC1"/>
    <w:rsid w:val="006F6481"/>
    <w:rsid w:val="007105CE"/>
    <w:rsid w:val="00733B32"/>
    <w:rsid w:val="00771573"/>
    <w:rsid w:val="00796B66"/>
    <w:rsid w:val="007A0004"/>
    <w:rsid w:val="007A0F67"/>
    <w:rsid w:val="007C5227"/>
    <w:rsid w:val="007E0AB6"/>
    <w:rsid w:val="00802746"/>
    <w:rsid w:val="008350E9"/>
    <w:rsid w:val="0085219F"/>
    <w:rsid w:val="00854969"/>
    <w:rsid w:val="00864366"/>
    <w:rsid w:val="008A0663"/>
    <w:rsid w:val="008A54F5"/>
    <w:rsid w:val="008B6242"/>
    <w:rsid w:val="008E65D5"/>
    <w:rsid w:val="0096464F"/>
    <w:rsid w:val="00970929"/>
    <w:rsid w:val="0098600A"/>
    <w:rsid w:val="00995133"/>
    <w:rsid w:val="0099681F"/>
    <w:rsid w:val="009A34B0"/>
    <w:rsid w:val="009F413B"/>
    <w:rsid w:val="00A4161C"/>
    <w:rsid w:val="00A42DFE"/>
    <w:rsid w:val="00A430A8"/>
    <w:rsid w:val="00A8628A"/>
    <w:rsid w:val="00A86BF7"/>
    <w:rsid w:val="00A86DB9"/>
    <w:rsid w:val="00AB1319"/>
    <w:rsid w:val="00AB1D3A"/>
    <w:rsid w:val="00AB7F29"/>
    <w:rsid w:val="00AC2E0F"/>
    <w:rsid w:val="00AE4D24"/>
    <w:rsid w:val="00B0598A"/>
    <w:rsid w:val="00B211E5"/>
    <w:rsid w:val="00B53AAA"/>
    <w:rsid w:val="00B5462F"/>
    <w:rsid w:val="00B72C92"/>
    <w:rsid w:val="00B95692"/>
    <w:rsid w:val="00BA2631"/>
    <w:rsid w:val="00BA58A0"/>
    <w:rsid w:val="00BE4013"/>
    <w:rsid w:val="00BE6EFC"/>
    <w:rsid w:val="00C12792"/>
    <w:rsid w:val="00C1727C"/>
    <w:rsid w:val="00C66A49"/>
    <w:rsid w:val="00C71814"/>
    <w:rsid w:val="00C8010C"/>
    <w:rsid w:val="00C96055"/>
    <w:rsid w:val="00C9688A"/>
    <w:rsid w:val="00CB31FA"/>
    <w:rsid w:val="00CB641B"/>
    <w:rsid w:val="00CD46DE"/>
    <w:rsid w:val="00D31938"/>
    <w:rsid w:val="00D7266B"/>
    <w:rsid w:val="00D838E1"/>
    <w:rsid w:val="00D92A6A"/>
    <w:rsid w:val="00DC3723"/>
    <w:rsid w:val="00DE6622"/>
    <w:rsid w:val="00E1169A"/>
    <w:rsid w:val="00E5637B"/>
    <w:rsid w:val="00E57DBA"/>
    <w:rsid w:val="00E70DDC"/>
    <w:rsid w:val="00E7652A"/>
    <w:rsid w:val="00E84CF3"/>
    <w:rsid w:val="00EA0956"/>
    <w:rsid w:val="00EB5F4B"/>
    <w:rsid w:val="00F82562"/>
    <w:rsid w:val="00F90EA7"/>
    <w:rsid w:val="00F91A22"/>
    <w:rsid w:val="00F96509"/>
    <w:rsid w:val="00FA6CE3"/>
    <w:rsid w:val="00FC440B"/>
    <w:rsid w:val="00FC7BDE"/>
    <w:rsid w:val="00FD1AA2"/>
    <w:rsid w:val="00FD374D"/>
    <w:rsid w:val="00FF3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BD9122"/>
  <w15:chartTrackingRefBased/>
  <w15:docId w15:val="{ED6BF35C-BC6D-4E9F-86CD-11CE8C90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ReferenceLine">
    <w:name w:val="Reference Line"/>
    <w:basedOn w:val="BodyText"/>
    <w:rsid w:val="002F6AE4"/>
    <w:pPr>
      <w:widowControl/>
      <w:spacing w:after="0"/>
    </w:pPr>
    <w:rPr>
      <w:rFonts w:ascii="Verdana" w:hAnsi="Verdana"/>
      <w:snapToGrid/>
    </w:rPr>
  </w:style>
  <w:style w:type="paragraph" w:styleId="List">
    <w:name w:val="List"/>
    <w:basedOn w:val="Normal"/>
    <w:rsid w:val="002F6AE4"/>
    <w:pPr>
      <w:widowControl/>
      <w:ind w:left="360" w:hanging="360"/>
    </w:pPr>
    <w:rPr>
      <w:snapToGrid/>
      <w:sz w:val="22"/>
    </w:rPr>
  </w:style>
  <w:style w:type="paragraph" w:styleId="BodyText">
    <w:name w:val="Body Text"/>
    <w:basedOn w:val="Normal"/>
    <w:rsid w:val="002F6AE4"/>
    <w:pPr>
      <w:spacing w:after="120"/>
    </w:pPr>
  </w:style>
  <w:style w:type="paragraph" w:styleId="Header">
    <w:name w:val="header"/>
    <w:basedOn w:val="Normal"/>
    <w:rsid w:val="00995133"/>
    <w:pPr>
      <w:tabs>
        <w:tab w:val="center" w:pos="4320"/>
        <w:tab w:val="right" w:pos="8640"/>
      </w:tabs>
    </w:pPr>
  </w:style>
  <w:style w:type="paragraph" w:styleId="Footer">
    <w:name w:val="footer"/>
    <w:basedOn w:val="Normal"/>
    <w:rsid w:val="00995133"/>
    <w:pPr>
      <w:tabs>
        <w:tab w:val="center" w:pos="4320"/>
        <w:tab w:val="right" w:pos="8640"/>
      </w:tabs>
    </w:pPr>
  </w:style>
  <w:style w:type="character" w:styleId="PageNumber">
    <w:name w:val="page number"/>
    <w:basedOn w:val="DefaultParagraphFont"/>
    <w:rsid w:val="00995133"/>
  </w:style>
  <w:style w:type="paragraph" w:styleId="BalloonText">
    <w:name w:val="Balloon Text"/>
    <w:basedOn w:val="Normal"/>
    <w:semiHidden/>
    <w:rsid w:val="00154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3060-0308</vt:lpstr>
    </vt:vector>
  </TitlesOfParts>
  <Company>FCC</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3060-0308</dc:title>
  <dc:creator>JSHAFFER</dc:creator>
  <cp:lastModifiedBy>Cathy Williams</cp:lastModifiedBy>
  <cp:revision>3</cp:revision>
  <cp:lastPrinted>2012-06-27T14:47:00Z</cp:lastPrinted>
  <dcterms:created xsi:type="dcterms:W3CDTF">2024-06-17T22:12:00Z</dcterms:created>
  <dcterms:modified xsi:type="dcterms:W3CDTF">2024-08-30T15:19:00Z</dcterms:modified>
</cp:coreProperties>
</file>