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B6C63" w:rsidRPr="00FC41DF" w:rsidP="004A5959">
      <w:pPr>
        <w:tabs>
          <w:tab w:val="center" w:pos="4680"/>
        </w:tabs>
        <w:jc w:val="center"/>
        <w:rPr>
          <w:rFonts w:ascii="Times New Roman" w:hAnsi="Times New Roman"/>
          <w:b/>
        </w:rPr>
      </w:pPr>
      <w:r w:rsidRPr="00FC41DF">
        <w:rPr>
          <w:rFonts w:ascii="Calibri" w:hAnsi="Calibri" w:cs="Calibri"/>
          <w:b/>
          <w:color w:val="000000"/>
        </w:rPr>
        <w:t>S</w:t>
      </w:r>
      <w:r w:rsidRPr="00FC41DF">
        <w:rPr>
          <w:rFonts w:ascii="Times New Roman" w:hAnsi="Times New Roman"/>
          <w:b/>
        </w:rPr>
        <w:t>UPPORTING STATEMENT</w:t>
      </w:r>
    </w:p>
    <w:p w:rsidR="00E56F35" w:rsidRPr="00E56F35" w:rsidP="0071052F">
      <w:pPr>
        <w:jc w:val="center"/>
        <w:rPr>
          <w:rFonts w:ascii="Times New Roman" w:hAnsi="Times New Roman"/>
          <w:b/>
          <w:bCs/>
          <w:sz w:val="28"/>
          <w:szCs w:val="28"/>
        </w:rPr>
      </w:pPr>
      <w:r w:rsidRPr="00E56F35">
        <w:rPr>
          <w:rFonts w:ascii="Times New Roman" w:hAnsi="Times New Roman"/>
          <w:b/>
          <w:sz w:val="28"/>
          <w:szCs w:val="28"/>
        </w:rPr>
        <w:t>Anti-Money Laundering and Countering the Financing of Terrorism Program Requirements</w:t>
      </w:r>
      <w:r w:rsidRPr="00E56F35">
        <w:rPr>
          <w:rFonts w:ascii="Times New Roman" w:hAnsi="Times New Roman"/>
          <w:b/>
          <w:bCs/>
          <w:sz w:val="28"/>
          <w:szCs w:val="28"/>
        </w:rPr>
        <w:t xml:space="preserve"> </w:t>
      </w:r>
    </w:p>
    <w:p w:rsidR="004A5959" w:rsidRPr="004A5959" w:rsidP="0071052F">
      <w:pPr>
        <w:jc w:val="center"/>
        <w:rPr>
          <w:rFonts w:ascii="Times New Roman" w:hAnsi="Times New Roman"/>
          <w:b/>
        </w:rPr>
      </w:pPr>
      <w:r>
        <w:rPr>
          <w:rFonts w:ascii="Times New Roman" w:hAnsi="Times New Roman"/>
          <w:b/>
          <w:bCs/>
        </w:rPr>
        <w:t>(OMB No. 3064-0087</w:t>
      </w:r>
      <w:r w:rsidR="0071052F">
        <w:rPr>
          <w:rFonts w:ascii="Times New Roman" w:hAnsi="Times New Roman"/>
          <w:b/>
          <w:bCs/>
        </w:rPr>
        <w:t>)</w:t>
      </w:r>
    </w:p>
    <w:p w:rsidR="007B6C63">
      <w:pPr>
        <w:rPr>
          <w:rFonts w:ascii="Times New Roman" w:hAnsi="Times New Roman"/>
        </w:rPr>
      </w:pPr>
    </w:p>
    <w:p w:rsidR="007B6C63" w:rsidRPr="004C5B45">
      <w:pPr>
        <w:rPr>
          <w:rFonts w:ascii="Times New Roman" w:hAnsi="Times New Roman"/>
          <w:b/>
        </w:rPr>
      </w:pPr>
      <w:r w:rsidRPr="004C5B45">
        <w:rPr>
          <w:rFonts w:ascii="Times New Roman" w:hAnsi="Times New Roman"/>
          <w:b/>
        </w:rPr>
        <w:t>INTRODUCTION</w:t>
      </w:r>
    </w:p>
    <w:p w:rsidR="007B6C63">
      <w:pPr>
        <w:rPr>
          <w:rFonts w:ascii="Times New Roman" w:hAnsi="Times New Roman"/>
        </w:rPr>
      </w:pPr>
    </w:p>
    <w:p w:rsidR="007B6C63">
      <w:pPr>
        <w:rPr>
          <w:rFonts w:ascii="Times New Roman" w:hAnsi="Times New Roman"/>
        </w:rPr>
      </w:pPr>
      <w:r w:rsidRPr="004C250D">
        <w:rPr>
          <w:rFonts w:ascii="Times New Roman" w:eastAsia="Calibri" w:hAnsi="Times New Roman"/>
          <w:snapToGrid/>
          <w:spacing w:val="-3"/>
          <w:szCs w:val="24"/>
        </w:rPr>
        <w:t>The Federal Deposit Insurance Corporation (FDIC) is requesting OMB approval of a thr</w:t>
      </w:r>
      <w:r w:rsidR="00E56F35">
        <w:rPr>
          <w:rFonts w:ascii="Times New Roman" w:eastAsia="Calibri" w:hAnsi="Times New Roman"/>
          <w:snapToGrid/>
          <w:spacing w:val="-3"/>
          <w:szCs w:val="24"/>
        </w:rPr>
        <w:t>ee-year extension with revisions</w:t>
      </w:r>
      <w:r w:rsidRPr="004C250D">
        <w:rPr>
          <w:rFonts w:ascii="Times New Roman" w:eastAsia="Calibri" w:hAnsi="Times New Roman"/>
          <w:snapToGrid/>
          <w:spacing w:val="-3"/>
          <w:szCs w:val="24"/>
        </w:rPr>
        <w:t xml:space="preserve"> of the information collection </w:t>
      </w:r>
      <w:r w:rsidR="00E56F35">
        <w:rPr>
          <w:rFonts w:ascii="Times New Roman" w:eastAsia="Calibri" w:hAnsi="Times New Roman"/>
          <w:snapToGrid/>
          <w:spacing w:val="-3"/>
          <w:szCs w:val="24"/>
        </w:rPr>
        <w:t>to be re-</w:t>
      </w:r>
      <w:r w:rsidRPr="004C250D">
        <w:rPr>
          <w:rFonts w:ascii="Times New Roman" w:eastAsia="Calibri" w:hAnsi="Times New Roman"/>
          <w:snapToGrid/>
          <w:spacing w:val="-3"/>
          <w:szCs w:val="24"/>
        </w:rPr>
        <w:t xml:space="preserve">titled </w:t>
      </w:r>
      <w:r w:rsidRPr="00E56F35" w:rsidR="00E56F35">
        <w:rPr>
          <w:rFonts w:ascii="Times New Roman" w:eastAsia="Calibri" w:hAnsi="Times New Roman"/>
          <w:i/>
          <w:snapToGrid/>
          <w:spacing w:val="-3"/>
          <w:szCs w:val="24"/>
        </w:rPr>
        <w:t>Anti-Money Laundering and Countering the Financing of Terrorism Program Requirements</w:t>
      </w:r>
      <w:r w:rsidR="00961ADD">
        <w:rPr>
          <w:rFonts w:ascii="Times New Roman" w:eastAsia="Calibri" w:hAnsi="Times New Roman"/>
          <w:snapToGrid/>
          <w:spacing w:val="-3"/>
          <w:szCs w:val="24"/>
        </w:rPr>
        <w:t xml:space="preserve"> (OMB Control No. 3064-0087</w:t>
      </w:r>
      <w:r w:rsidRPr="004C250D">
        <w:rPr>
          <w:rFonts w:ascii="Times New Roman" w:eastAsia="Calibri" w:hAnsi="Times New Roman"/>
          <w:snapToGrid/>
          <w:spacing w:val="-3"/>
          <w:szCs w:val="24"/>
        </w:rPr>
        <w:t xml:space="preserve">).  This information collection consists of </w:t>
      </w:r>
      <w:r w:rsidR="00961ADD">
        <w:rPr>
          <w:rFonts w:ascii="Times New Roman" w:eastAsia="Calibri" w:hAnsi="Times New Roman"/>
          <w:snapToGrid/>
          <w:spacing w:val="-3"/>
          <w:szCs w:val="24"/>
        </w:rPr>
        <w:t xml:space="preserve">recordkeeping requirements contained in </w:t>
      </w:r>
      <w:r w:rsidR="00E56F35">
        <w:rPr>
          <w:rFonts w:ascii="Times New Roman" w:eastAsia="Calibri" w:hAnsi="Times New Roman"/>
          <w:snapToGrid/>
          <w:spacing w:val="-3"/>
          <w:szCs w:val="24"/>
        </w:rPr>
        <w:t xml:space="preserve">a proposed rule that revises </w:t>
      </w:r>
      <w:r w:rsidR="00961ADD">
        <w:rPr>
          <w:rFonts w:ascii="Times New Roman" w:eastAsia="Calibri" w:hAnsi="Times New Roman"/>
          <w:snapToGrid/>
          <w:spacing w:val="-3"/>
          <w:szCs w:val="24"/>
        </w:rPr>
        <w:t>subsections</w:t>
      </w:r>
      <w:r w:rsidR="00E56F35">
        <w:rPr>
          <w:rFonts w:ascii="Times New Roman" w:hAnsi="Times New Roman"/>
        </w:rPr>
        <w:t xml:space="preserve"> 326.8(b)</w:t>
      </w:r>
      <w:r w:rsidR="00961ADD">
        <w:rPr>
          <w:rFonts w:ascii="Times New Roman" w:hAnsi="Times New Roman"/>
        </w:rPr>
        <w:t xml:space="preserve"> and (c) of FDIC's regulation 12 C.F.R. Part 326.</w:t>
      </w:r>
    </w:p>
    <w:p w:rsidR="007B6C63">
      <w:pPr>
        <w:rPr>
          <w:rFonts w:ascii="Times New Roman" w:hAnsi="Times New Roman"/>
        </w:rPr>
      </w:pPr>
    </w:p>
    <w:p w:rsidR="007B6C63">
      <w:pPr>
        <w:tabs>
          <w:tab w:val="left" w:pos="-1440"/>
        </w:tabs>
        <w:rPr>
          <w:rFonts w:ascii="Times New Roman" w:hAnsi="Times New Roman"/>
        </w:rPr>
      </w:pPr>
      <w:r>
        <w:rPr>
          <w:rFonts w:ascii="Times New Roman" w:hAnsi="Times New Roman"/>
        </w:rPr>
        <w:t>A.</w:t>
      </w:r>
      <w:r>
        <w:rPr>
          <w:rFonts w:ascii="Times New Roman" w:hAnsi="Times New Roman"/>
        </w:rPr>
        <w:tab/>
      </w:r>
      <w:r w:rsidRPr="004C5B45">
        <w:rPr>
          <w:rFonts w:ascii="Times New Roman" w:hAnsi="Times New Roman"/>
          <w:b/>
        </w:rPr>
        <w:t>JUSTIFICATION</w:t>
      </w:r>
    </w:p>
    <w:p w:rsidR="007B6C63">
      <w:pPr>
        <w:rPr>
          <w:rFonts w:ascii="Times New Roman" w:hAnsi="Times New Roman"/>
        </w:rPr>
      </w:pPr>
    </w:p>
    <w:p w:rsidR="007B6C63" w:rsidP="00A1019D">
      <w:pPr>
        <w:tabs>
          <w:tab w:val="left" w:pos="-1440"/>
        </w:tabs>
        <w:ind w:left="720" w:hanging="360"/>
        <w:rPr>
          <w:rFonts w:ascii="Times New Roman" w:hAnsi="Times New Roman"/>
        </w:rPr>
      </w:pPr>
      <w:r>
        <w:rPr>
          <w:rFonts w:ascii="Times New Roman" w:hAnsi="Times New Roman"/>
        </w:rPr>
        <w:t>1.</w:t>
      </w:r>
      <w:r>
        <w:rPr>
          <w:rFonts w:ascii="Times New Roman" w:hAnsi="Times New Roman"/>
        </w:rPr>
        <w:tab/>
      </w:r>
      <w:r w:rsidRPr="003514D6" w:rsidR="00386C94">
        <w:rPr>
          <w:rFonts w:ascii="Times New Roman" w:hAnsi="Times New Roman"/>
          <w:b/>
          <w:bCs/>
          <w:iCs/>
          <w:szCs w:val="24"/>
          <w:u w:val="single"/>
        </w:rPr>
        <w:t xml:space="preserve">Circumstances that make the collection </w:t>
      </w:r>
      <w:r w:rsidRPr="00A1019D" w:rsidR="00386C94">
        <w:rPr>
          <w:rFonts w:ascii="Times New Roman" w:hAnsi="Times New Roman"/>
          <w:b/>
          <w:bCs/>
          <w:iCs/>
          <w:u w:val="single"/>
        </w:rPr>
        <w:t>necessary</w:t>
      </w:r>
      <w:r w:rsidR="00386C94">
        <w:rPr>
          <w:rFonts w:ascii="Times New Roman" w:hAnsi="Times New Roman"/>
          <w:b/>
          <w:bCs/>
          <w:iCs/>
          <w:szCs w:val="24"/>
          <w:u w:val="single"/>
        </w:rPr>
        <w:t>:</w:t>
      </w:r>
    </w:p>
    <w:p w:rsidR="007B6C63">
      <w:pPr>
        <w:rPr>
          <w:rFonts w:ascii="Times New Roman" w:hAnsi="Times New Roman"/>
        </w:rPr>
      </w:pPr>
    </w:p>
    <w:p w:rsidR="00961ADD" w:rsidRPr="00961ADD" w:rsidP="00961ADD">
      <w:pPr>
        <w:ind w:left="720"/>
        <w:rPr>
          <w:rFonts w:ascii="Times New Roman" w:hAnsi="Times New Roman"/>
        </w:rPr>
      </w:pPr>
      <w:r w:rsidRPr="00961ADD">
        <w:rPr>
          <w:rFonts w:ascii="Times New Roman" w:hAnsi="Times New Roman"/>
        </w:rPr>
        <w:t>As required by Section 8(s) of the Federal Deposit Insurance Act (12 U.S.C. § 1818(s)), the</w:t>
      </w:r>
      <w:r w:rsidR="00E56F35">
        <w:rPr>
          <w:rFonts w:ascii="Times New Roman" w:hAnsi="Times New Roman"/>
        </w:rPr>
        <w:t xml:space="preserve"> FDIC’s proposed 12 C.F.R. § 326.8(b)</w:t>
      </w:r>
      <w:r w:rsidRPr="00961ADD">
        <w:rPr>
          <w:rFonts w:ascii="Times New Roman" w:hAnsi="Times New Roman"/>
        </w:rPr>
        <w:t xml:space="preserve"> and (c), </w:t>
      </w:r>
      <w:r w:rsidR="00E56F35">
        <w:rPr>
          <w:rFonts w:ascii="Times New Roman" w:hAnsi="Times New Roman"/>
        </w:rPr>
        <w:t>would require</w:t>
      </w:r>
      <w:r w:rsidRPr="00961ADD">
        <w:rPr>
          <w:rFonts w:ascii="Times New Roman" w:hAnsi="Times New Roman"/>
        </w:rPr>
        <w:t xml:space="preserve"> all insured nonmember banks to establish and maintain procedures designed to assure and monitor their compliance with the requirements of the Bank Secrecy Act (31 U.S.C. 5311 </w:t>
      </w:r>
      <w:r w:rsidRPr="00961ADD">
        <w:rPr>
          <w:rFonts w:ascii="Times New Roman" w:hAnsi="Times New Roman"/>
          <w:u w:val="single"/>
        </w:rPr>
        <w:t>et</w:t>
      </w:r>
      <w:r w:rsidRPr="00961ADD">
        <w:rPr>
          <w:rFonts w:ascii="Times New Roman" w:hAnsi="Times New Roman"/>
        </w:rPr>
        <w:t xml:space="preserve"> </w:t>
      </w:r>
      <w:r w:rsidRPr="00961ADD">
        <w:rPr>
          <w:rFonts w:ascii="Times New Roman" w:hAnsi="Times New Roman"/>
          <w:u w:val="single"/>
        </w:rPr>
        <w:t>seq</w:t>
      </w:r>
      <w:r w:rsidRPr="00961ADD">
        <w:rPr>
          <w:rFonts w:ascii="Times New Roman" w:hAnsi="Times New Roman"/>
        </w:rPr>
        <w:t>.) and the Treasury’s implementing regulations at 31 C.F.R. Chapter X.</w:t>
      </w:r>
    </w:p>
    <w:p w:rsidR="00961ADD" w:rsidRPr="00961ADD" w:rsidP="00961ADD">
      <w:pPr>
        <w:ind w:left="1800"/>
        <w:rPr>
          <w:rFonts w:ascii="Times New Roman" w:hAnsi="Times New Roman"/>
        </w:rPr>
      </w:pPr>
    </w:p>
    <w:p w:rsidR="00834179" w:rsidP="00961ADD">
      <w:pPr>
        <w:ind w:left="720"/>
        <w:rPr>
          <w:rFonts w:ascii="Times New Roman" w:hAnsi="Times New Roman"/>
        </w:rPr>
      </w:pPr>
      <w:r w:rsidRPr="00961ADD">
        <w:rPr>
          <w:rFonts w:ascii="Times New Roman" w:hAnsi="Times New Roman"/>
        </w:rPr>
        <w:t>An institution's compliance program must be reduced to writing, approved by the institution's board of directors and noted in the minutes of the board meeting. The compliance program must consist of a system of internal controls to assure ongoing compliance and provide for independent testing for compliance to be conducted by bank personnel or by an outside party.  The bank must also designate an individual or individuals responsible for compliance, and provide for the training of appropriate personnel.</w:t>
      </w:r>
    </w:p>
    <w:p w:rsidR="00192149" w:rsidP="00961ADD">
      <w:pPr>
        <w:ind w:left="720"/>
        <w:rPr>
          <w:rFonts w:ascii="Times New Roman" w:hAnsi="Times New Roman"/>
        </w:rPr>
      </w:pPr>
    </w:p>
    <w:p w:rsidR="00192149" w:rsidP="00961ADD">
      <w:pPr>
        <w:ind w:left="720"/>
        <w:rPr>
          <w:rFonts w:ascii="Times New Roman" w:hAnsi="Times New Roman"/>
        </w:rPr>
      </w:pPr>
      <w:r w:rsidRPr="00192149">
        <w:rPr>
          <w:rFonts w:ascii="Times New Roman" w:hAnsi="Times New Roman"/>
          <w:b/>
        </w:rPr>
        <w:t>Current Actions</w:t>
      </w:r>
      <w:r w:rsidRPr="00192149">
        <w:rPr>
          <w:rFonts w:ascii="Times New Roman" w:hAnsi="Times New Roman"/>
        </w:rPr>
        <w:t xml:space="preserve"> –</w:t>
      </w:r>
      <w:r w:rsidRPr="00192149">
        <w:rPr>
          <w:rFonts w:ascii="Times New Roman" w:hAnsi="Times New Roman"/>
          <w:u w:val="single"/>
        </w:rPr>
        <w:t xml:space="preserve"> </w:t>
      </w:r>
      <w:r w:rsidRPr="00192149">
        <w:rPr>
          <w:rFonts w:ascii="Times New Roman" w:hAnsi="Times New Roman"/>
          <w:i/>
        </w:rPr>
        <w:t>Notice of Proposed Rulemaking</w:t>
      </w:r>
    </w:p>
    <w:p w:rsidR="00192149" w:rsidP="00961ADD">
      <w:pPr>
        <w:ind w:left="720"/>
        <w:rPr>
          <w:rFonts w:ascii="Times New Roman" w:hAnsi="Times New Roman"/>
          <w:szCs w:val="24"/>
        </w:rPr>
      </w:pPr>
    </w:p>
    <w:p w:rsidR="00192149" w:rsidRPr="00192149" w:rsidP="00961ADD">
      <w:pPr>
        <w:ind w:left="720"/>
        <w:rPr>
          <w:rFonts w:ascii="Times New Roman" w:hAnsi="Times New Roman"/>
          <w:szCs w:val="24"/>
        </w:rPr>
      </w:pPr>
      <w:r>
        <w:rPr>
          <w:rFonts w:ascii="Times New Roman" w:hAnsi="Times New Roman"/>
          <w:szCs w:val="24"/>
        </w:rPr>
        <w:t xml:space="preserve">The Office of the Comptroller of the Currency (OCC), the Board of Governors of the Federal Reserve System (Board), the Federal Deposit Insurance Corporation (FDIC) and the National Credit Union Administration (NCUA) (the “Agencies”) have issued a notice of proposed rulemaking, published in the </w:t>
      </w:r>
      <w:r>
        <w:rPr>
          <w:rFonts w:ascii="Times New Roman" w:hAnsi="Times New Roman"/>
          <w:i/>
          <w:szCs w:val="24"/>
        </w:rPr>
        <w:t xml:space="preserve">Federal </w:t>
      </w:r>
      <w:r w:rsidRPr="00192149">
        <w:rPr>
          <w:rFonts w:ascii="Times New Roman" w:hAnsi="Times New Roman"/>
          <w:szCs w:val="24"/>
        </w:rPr>
        <w:t>Register</w:t>
      </w:r>
      <w:r>
        <w:rPr>
          <w:rFonts w:ascii="Times New Roman" w:hAnsi="Times New Roman"/>
          <w:szCs w:val="24"/>
        </w:rPr>
        <w:t xml:space="preserve"> </w:t>
      </w:r>
      <w:r w:rsidRPr="00192149">
        <w:rPr>
          <w:rFonts w:ascii="Times New Roman" w:hAnsi="Times New Roman"/>
          <w:szCs w:val="24"/>
        </w:rPr>
        <w:t>on</w:t>
      </w:r>
      <w:r>
        <w:rPr>
          <w:rFonts w:ascii="Times New Roman" w:hAnsi="Times New Roman"/>
          <w:szCs w:val="24"/>
        </w:rPr>
        <w:t xml:space="preserve"> August 9, 2024 (89 FR 65242) (the “Proposed Rule”).  The Proposed Rule </w:t>
      </w:r>
      <w:r w:rsidRPr="003F1A3A">
        <w:rPr>
          <w:rFonts w:ascii="Times New Roman" w:hAnsi="Times New Roman"/>
          <w:szCs w:val="24"/>
        </w:rPr>
        <w:t>contains recordkeeping requirements</w:t>
      </w:r>
      <w:r>
        <w:rPr>
          <w:rFonts w:ascii="Times New Roman" w:hAnsi="Times New Roman"/>
          <w:szCs w:val="24"/>
        </w:rPr>
        <w:t xml:space="preserve"> </w:t>
      </w:r>
      <w:r w:rsidRPr="003F1A3A">
        <w:rPr>
          <w:rFonts w:ascii="Times New Roman" w:hAnsi="Times New Roman"/>
          <w:szCs w:val="24"/>
        </w:rPr>
        <w:t>that clarify the recordkeeping</w:t>
      </w:r>
      <w:r>
        <w:rPr>
          <w:rFonts w:ascii="Times New Roman" w:hAnsi="Times New Roman"/>
          <w:szCs w:val="24"/>
        </w:rPr>
        <w:t xml:space="preserve"> </w:t>
      </w:r>
      <w:r>
        <w:rPr>
          <w:rFonts w:ascii="Times New Roman" w:hAnsi="Times New Roman"/>
          <w:szCs w:val="24"/>
        </w:rPr>
        <w:t>requirements included in the A</w:t>
      </w:r>
      <w:r w:rsidRPr="003F1A3A">
        <w:rPr>
          <w:rFonts w:ascii="Times New Roman" w:hAnsi="Times New Roman"/>
          <w:szCs w:val="24"/>
        </w:rPr>
        <w:t>gencies</w:t>
      </w:r>
      <w:r>
        <w:rPr>
          <w:rFonts w:ascii="Times New Roman" w:hAnsi="Times New Roman"/>
          <w:szCs w:val="24"/>
        </w:rPr>
        <w:t xml:space="preserve"> </w:t>
      </w:r>
      <w:r w:rsidRPr="003F1A3A">
        <w:rPr>
          <w:rFonts w:ascii="Times New Roman" w:hAnsi="Times New Roman"/>
          <w:szCs w:val="24"/>
        </w:rPr>
        <w:t>currently approved information</w:t>
      </w:r>
      <w:r>
        <w:rPr>
          <w:rFonts w:ascii="Times New Roman" w:hAnsi="Times New Roman"/>
          <w:szCs w:val="24"/>
        </w:rPr>
        <w:t xml:space="preserve"> </w:t>
      </w:r>
      <w:r w:rsidRPr="003F1A3A">
        <w:rPr>
          <w:rFonts w:ascii="Times New Roman" w:hAnsi="Times New Roman"/>
          <w:szCs w:val="24"/>
        </w:rPr>
        <w:t>collections. Under the proposed rule,</w:t>
      </w:r>
      <w:r>
        <w:rPr>
          <w:rFonts w:ascii="Times New Roman" w:hAnsi="Times New Roman"/>
          <w:szCs w:val="24"/>
        </w:rPr>
        <w:t xml:space="preserve"> </w:t>
      </w:r>
      <w:r w:rsidRPr="003F1A3A">
        <w:rPr>
          <w:rFonts w:ascii="Times New Roman" w:hAnsi="Times New Roman"/>
          <w:szCs w:val="24"/>
        </w:rPr>
        <w:t>respondents ‘‘must establish,</w:t>
      </w:r>
      <w:r>
        <w:rPr>
          <w:rFonts w:ascii="Times New Roman" w:hAnsi="Times New Roman"/>
          <w:szCs w:val="24"/>
        </w:rPr>
        <w:t xml:space="preserve"> </w:t>
      </w:r>
      <w:r w:rsidRPr="003F1A3A">
        <w:rPr>
          <w:rFonts w:ascii="Times New Roman" w:hAnsi="Times New Roman"/>
          <w:szCs w:val="24"/>
        </w:rPr>
        <w:t>implement, and maintain an effective,</w:t>
      </w:r>
      <w:r>
        <w:rPr>
          <w:rFonts w:ascii="Times New Roman" w:hAnsi="Times New Roman"/>
          <w:szCs w:val="24"/>
        </w:rPr>
        <w:t xml:space="preserve"> </w:t>
      </w:r>
      <w:r w:rsidRPr="003F1A3A">
        <w:rPr>
          <w:rFonts w:ascii="Times New Roman" w:hAnsi="Times New Roman"/>
          <w:szCs w:val="24"/>
        </w:rPr>
        <w:t>risk-based, and reasonably designed</w:t>
      </w:r>
      <w:r>
        <w:rPr>
          <w:rFonts w:ascii="Times New Roman" w:hAnsi="Times New Roman"/>
          <w:szCs w:val="24"/>
        </w:rPr>
        <w:t xml:space="preserve"> </w:t>
      </w:r>
      <w:r w:rsidRPr="003F1A3A">
        <w:rPr>
          <w:rFonts w:ascii="Times New Roman" w:hAnsi="Times New Roman"/>
          <w:szCs w:val="24"/>
        </w:rPr>
        <w:t>AML/CFT program to ensure and</w:t>
      </w:r>
      <w:r>
        <w:rPr>
          <w:rFonts w:ascii="Times New Roman" w:hAnsi="Times New Roman"/>
          <w:szCs w:val="24"/>
        </w:rPr>
        <w:t xml:space="preserve"> </w:t>
      </w:r>
      <w:r w:rsidRPr="003F1A3A">
        <w:rPr>
          <w:rFonts w:ascii="Times New Roman" w:hAnsi="Times New Roman"/>
          <w:szCs w:val="24"/>
        </w:rPr>
        <w:t>monitor compliance with the</w:t>
      </w:r>
      <w:r>
        <w:rPr>
          <w:rFonts w:ascii="Times New Roman" w:hAnsi="Times New Roman"/>
          <w:szCs w:val="24"/>
        </w:rPr>
        <w:t xml:space="preserve"> </w:t>
      </w:r>
      <w:r w:rsidRPr="003F1A3A">
        <w:rPr>
          <w:rFonts w:ascii="Times New Roman" w:hAnsi="Times New Roman"/>
          <w:szCs w:val="24"/>
        </w:rPr>
        <w:t>requirements of the Bank Secrecy</w:t>
      </w:r>
      <w:r>
        <w:rPr>
          <w:rFonts w:ascii="Times New Roman" w:hAnsi="Times New Roman"/>
          <w:szCs w:val="24"/>
        </w:rPr>
        <w:t xml:space="preserve"> Act.’’</w:t>
      </w:r>
      <w:r w:rsidRPr="003F1A3A">
        <w:rPr>
          <w:rFonts w:ascii="Times New Roman" w:hAnsi="Times New Roman"/>
          <w:szCs w:val="24"/>
        </w:rPr>
        <w:t xml:space="preserve"> The proposed rule also requires</w:t>
      </w:r>
      <w:r>
        <w:rPr>
          <w:rFonts w:ascii="Times New Roman" w:hAnsi="Times New Roman"/>
          <w:szCs w:val="24"/>
        </w:rPr>
        <w:t xml:space="preserve"> </w:t>
      </w:r>
      <w:r w:rsidRPr="003F1A3A">
        <w:rPr>
          <w:rFonts w:ascii="Times New Roman" w:hAnsi="Times New Roman"/>
          <w:szCs w:val="24"/>
        </w:rPr>
        <w:t>that ‘‘the AML/CFT program and each of</w:t>
      </w:r>
      <w:r>
        <w:rPr>
          <w:rFonts w:ascii="Times New Roman" w:hAnsi="Times New Roman"/>
          <w:szCs w:val="24"/>
        </w:rPr>
        <w:t xml:space="preserve"> </w:t>
      </w:r>
      <w:r w:rsidRPr="003F1A3A">
        <w:rPr>
          <w:rFonts w:ascii="Times New Roman" w:hAnsi="Times New Roman"/>
          <w:szCs w:val="24"/>
        </w:rPr>
        <w:t>its components, as required under</w:t>
      </w:r>
      <w:r>
        <w:rPr>
          <w:rFonts w:ascii="Times New Roman" w:hAnsi="Times New Roman"/>
          <w:szCs w:val="24"/>
        </w:rPr>
        <w:t xml:space="preserve"> </w:t>
      </w:r>
      <w:r w:rsidRPr="003F1A3A">
        <w:rPr>
          <w:rFonts w:ascii="Times New Roman" w:hAnsi="Times New Roman"/>
          <w:szCs w:val="24"/>
        </w:rPr>
        <w:t>paragraphs (b)(2)(i) through (vi) of this</w:t>
      </w:r>
      <w:r>
        <w:rPr>
          <w:rFonts w:ascii="Times New Roman" w:hAnsi="Times New Roman"/>
          <w:szCs w:val="24"/>
        </w:rPr>
        <w:t xml:space="preserve"> </w:t>
      </w:r>
      <w:r w:rsidRPr="003F1A3A">
        <w:rPr>
          <w:rFonts w:ascii="Times New Roman" w:hAnsi="Times New Roman"/>
          <w:szCs w:val="24"/>
        </w:rPr>
        <w:t>section, must be documented and</w:t>
      </w:r>
      <w:r>
        <w:rPr>
          <w:rFonts w:ascii="Times New Roman" w:hAnsi="Times New Roman"/>
          <w:szCs w:val="24"/>
        </w:rPr>
        <w:t xml:space="preserve"> </w:t>
      </w:r>
      <w:r w:rsidRPr="003F1A3A">
        <w:rPr>
          <w:rFonts w:ascii="Times New Roman" w:hAnsi="Times New Roman"/>
          <w:szCs w:val="24"/>
        </w:rPr>
        <w:t>approved by the [the Respondent’s]</w:t>
      </w:r>
      <w:r>
        <w:rPr>
          <w:rFonts w:ascii="Times New Roman" w:hAnsi="Times New Roman"/>
          <w:szCs w:val="24"/>
        </w:rPr>
        <w:t xml:space="preserve"> </w:t>
      </w:r>
      <w:r w:rsidRPr="003F1A3A">
        <w:rPr>
          <w:rFonts w:ascii="Times New Roman" w:hAnsi="Times New Roman"/>
          <w:szCs w:val="24"/>
        </w:rPr>
        <w:t>board of directors.’’</w:t>
      </w:r>
    </w:p>
    <w:p w:rsidR="007B6C63" w:rsidRPr="00192149">
      <w:pPr>
        <w:rPr>
          <w:rFonts w:ascii="Times New Roman" w:hAnsi="Times New Roman"/>
          <w:i/>
        </w:rPr>
      </w:pPr>
    </w:p>
    <w:p w:rsidR="007B6C63" w:rsidP="00A1019D">
      <w:pPr>
        <w:tabs>
          <w:tab w:val="left" w:pos="-1440"/>
        </w:tabs>
        <w:ind w:left="720" w:hanging="360"/>
        <w:rPr>
          <w:rFonts w:ascii="Times New Roman" w:hAnsi="Times New Roman"/>
        </w:rPr>
      </w:pPr>
      <w:r>
        <w:rPr>
          <w:rFonts w:ascii="Times New Roman" w:hAnsi="Times New Roman"/>
        </w:rPr>
        <w:t>2.</w:t>
      </w:r>
      <w:r>
        <w:rPr>
          <w:rFonts w:ascii="Times New Roman" w:hAnsi="Times New Roman"/>
        </w:rPr>
        <w:tab/>
      </w:r>
      <w:r w:rsidRPr="00FC41DF" w:rsidR="00386C94">
        <w:rPr>
          <w:rFonts w:ascii="Times New Roman" w:hAnsi="Times New Roman"/>
          <w:b/>
          <w:bCs/>
          <w:iCs/>
          <w:szCs w:val="24"/>
          <w:u w:val="single"/>
        </w:rPr>
        <w:t xml:space="preserve">Use of </w:t>
      </w:r>
      <w:r w:rsidRPr="00FC41DF" w:rsidR="00386C94">
        <w:rPr>
          <w:rFonts w:ascii="Times New Roman" w:hAnsi="Times New Roman"/>
          <w:b/>
          <w:u w:val="single"/>
        </w:rPr>
        <w:t>the</w:t>
      </w:r>
      <w:r w:rsidRPr="00FC41DF" w:rsidR="00386C94">
        <w:rPr>
          <w:rFonts w:ascii="Times New Roman" w:hAnsi="Times New Roman"/>
          <w:b/>
          <w:bCs/>
          <w:iCs/>
          <w:szCs w:val="24"/>
          <w:u w:val="single"/>
        </w:rPr>
        <w:t xml:space="preserve"> </w:t>
      </w:r>
      <w:r w:rsidRPr="00A1019D" w:rsidR="00386C94">
        <w:rPr>
          <w:rFonts w:ascii="Times New Roman" w:hAnsi="Times New Roman"/>
          <w:b/>
          <w:bCs/>
          <w:iCs/>
          <w:u w:val="single"/>
        </w:rPr>
        <w:t>information</w:t>
      </w:r>
      <w:r w:rsidR="00386C94">
        <w:rPr>
          <w:rFonts w:ascii="Times New Roman" w:hAnsi="Times New Roman"/>
          <w:b/>
          <w:bCs/>
          <w:iCs/>
          <w:szCs w:val="24"/>
          <w:u w:val="single"/>
        </w:rPr>
        <w:t>:</w:t>
      </w:r>
    </w:p>
    <w:p w:rsidR="007B6C63">
      <w:pPr>
        <w:rPr>
          <w:rFonts w:ascii="Times New Roman" w:hAnsi="Times New Roman"/>
        </w:rPr>
      </w:pPr>
    </w:p>
    <w:p w:rsidR="007B6C63" w:rsidP="005307A3">
      <w:pPr>
        <w:ind w:left="720"/>
        <w:rPr>
          <w:rFonts w:ascii="Times New Roman" w:hAnsi="Times New Roman"/>
        </w:rPr>
      </w:pPr>
      <w:r>
        <w:rPr>
          <w:rFonts w:ascii="Times New Roman" w:hAnsi="Times New Roman"/>
        </w:rPr>
        <w:t>The information is reviewed by the FDIC during the course of bank examinations to verify compliance with statutory and regulatory requirements.  The agency report of examination will describe any problem with the compliance program, including the procedures followed by an insured bank.</w:t>
      </w:r>
    </w:p>
    <w:p w:rsidR="005F2F35" w:rsidP="005F2F35">
      <w:pPr>
        <w:ind w:left="720"/>
        <w:rPr>
          <w:rFonts w:ascii="Times New Roman" w:hAnsi="Times New Roman"/>
        </w:rPr>
      </w:pPr>
    </w:p>
    <w:p w:rsidR="007B6C63" w:rsidP="00990A9E">
      <w:pPr>
        <w:keepNext/>
        <w:tabs>
          <w:tab w:val="left" w:pos="-1440"/>
        </w:tabs>
        <w:ind w:left="720" w:hanging="360"/>
        <w:rPr>
          <w:rFonts w:ascii="Times New Roman" w:hAnsi="Times New Roman"/>
        </w:rPr>
      </w:pPr>
      <w:r>
        <w:rPr>
          <w:rFonts w:ascii="Times New Roman" w:hAnsi="Times New Roman"/>
        </w:rPr>
        <w:t>3.</w:t>
      </w:r>
      <w:r>
        <w:rPr>
          <w:rFonts w:ascii="Times New Roman" w:hAnsi="Times New Roman"/>
        </w:rPr>
        <w:tab/>
      </w:r>
      <w:r w:rsidRPr="00A1019D" w:rsidR="00386C94">
        <w:rPr>
          <w:rFonts w:ascii="Times New Roman" w:hAnsi="Times New Roman"/>
          <w:b/>
          <w:bCs/>
          <w:iCs/>
          <w:u w:val="single"/>
        </w:rPr>
        <w:t>Consideration</w:t>
      </w:r>
      <w:r w:rsidRPr="00FC41DF" w:rsidR="00386C94">
        <w:rPr>
          <w:rFonts w:ascii="Times New Roman" w:hAnsi="Times New Roman"/>
          <w:b/>
          <w:bCs/>
          <w:iCs/>
          <w:szCs w:val="24"/>
          <w:u w:val="single"/>
        </w:rPr>
        <w:t xml:space="preserve"> of the use of improved information technology:</w:t>
      </w:r>
    </w:p>
    <w:p w:rsidR="007B6C63" w:rsidP="00990A9E">
      <w:pPr>
        <w:keepNext/>
        <w:rPr>
          <w:rFonts w:ascii="Times New Roman" w:hAnsi="Times New Roman"/>
        </w:rPr>
      </w:pPr>
    </w:p>
    <w:p w:rsidR="007B6C63" w:rsidP="005307A3">
      <w:pPr>
        <w:spacing w:after="200"/>
        <w:ind w:left="720"/>
        <w:contextualSpacing/>
        <w:rPr>
          <w:rFonts w:ascii="Times New Roman" w:hAnsi="Times New Roman"/>
        </w:rPr>
      </w:pPr>
      <w:r>
        <w:rPr>
          <w:rFonts w:ascii="Times New Roman" w:hAnsi="Times New Roman"/>
        </w:rPr>
        <w:t xml:space="preserve">Banks may use any appropriate technology to prepare and maintain their written </w:t>
      </w:r>
      <w:r w:rsidRPr="00913CBA">
        <w:rPr>
          <w:rFonts w:ascii="Times New Roman" w:hAnsi="Times New Roman"/>
        </w:rPr>
        <w:t>procedures.  However, the applied technology must not impede the examination process.</w:t>
      </w:r>
    </w:p>
    <w:p w:rsidR="007B6C63">
      <w:pPr>
        <w:rPr>
          <w:rFonts w:ascii="Times New Roman" w:hAnsi="Times New Roman"/>
        </w:rPr>
      </w:pPr>
    </w:p>
    <w:p w:rsidR="007B6C63" w:rsidP="00A1019D">
      <w:pPr>
        <w:tabs>
          <w:tab w:val="left" w:pos="-1440"/>
        </w:tabs>
        <w:ind w:left="720" w:hanging="360"/>
        <w:rPr>
          <w:rFonts w:ascii="Times New Roman" w:hAnsi="Times New Roman"/>
        </w:rPr>
      </w:pPr>
      <w:r>
        <w:rPr>
          <w:rFonts w:ascii="Times New Roman" w:hAnsi="Times New Roman"/>
        </w:rPr>
        <w:t>4.</w:t>
      </w:r>
      <w:r>
        <w:rPr>
          <w:rFonts w:ascii="Times New Roman" w:hAnsi="Times New Roman"/>
        </w:rPr>
        <w:tab/>
      </w:r>
      <w:r w:rsidRPr="00A1019D" w:rsidR="00386C94">
        <w:rPr>
          <w:rFonts w:ascii="Times New Roman" w:hAnsi="Times New Roman"/>
          <w:b/>
          <w:bCs/>
          <w:iCs/>
          <w:u w:val="single"/>
        </w:rPr>
        <w:t>Efforts</w:t>
      </w:r>
      <w:r w:rsidRPr="00386C94" w:rsidR="00386C94">
        <w:rPr>
          <w:rFonts w:ascii="Times New Roman" w:hAnsi="Times New Roman"/>
          <w:b/>
          <w:spacing w:val="-1"/>
          <w:szCs w:val="24"/>
          <w:u w:val="single"/>
        </w:rPr>
        <w:t xml:space="preserve"> to identify duplication:</w:t>
      </w:r>
    </w:p>
    <w:p w:rsidR="000855E4">
      <w:pPr>
        <w:ind w:left="1440"/>
        <w:rPr>
          <w:rFonts w:ascii="Times New Roman" w:hAnsi="Times New Roman"/>
        </w:rPr>
      </w:pPr>
    </w:p>
    <w:p w:rsidR="007B6C63" w:rsidP="000B0581">
      <w:pPr>
        <w:ind w:left="720"/>
        <w:rPr>
          <w:rFonts w:ascii="Times New Roman" w:hAnsi="Times New Roman"/>
        </w:rPr>
      </w:pPr>
      <w:r w:rsidRPr="00E7318E">
        <w:rPr>
          <w:rFonts w:ascii="Times New Roman" w:hAnsi="Times New Roman"/>
          <w:szCs w:val="24"/>
        </w:rPr>
        <w:t xml:space="preserve">The information collected </w:t>
      </w:r>
      <w:r w:rsidR="00F33B5F">
        <w:rPr>
          <w:rFonts w:ascii="Times New Roman" w:hAnsi="Times New Roman"/>
          <w:szCs w:val="24"/>
        </w:rPr>
        <w:t xml:space="preserve">is unique to each institution and </w:t>
      </w:r>
      <w:r w:rsidRPr="00E7318E">
        <w:rPr>
          <w:rFonts w:ascii="Times New Roman" w:hAnsi="Times New Roman"/>
          <w:szCs w:val="24"/>
        </w:rPr>
        <w:t xml:space="preserve">does not duplicate information </w:t>
      </w:r>
      <w:r w:rsidRPr="00E7318E">
        <w:rPr>
          <w:rFonts w:ascii="Times New Roman" w:hAnsi="Times New Roman"/>
          <w:szCs w:val="24"/>
        </w:rPr>
        <w:t>existing elsewhere.</w:t>
      </w:r>
    </w:p>
    <w:p w:rsidR="007B6C63">
      <w:pPr>
        <w:rPr>
          <w:rFonts w:ascii="Times New Roman" w:hAnsi="Times New Roman"/>
        </w:rPr>
      </w:pPr>
    </w:p>
    <w:p w:rsidR="007B6C63" w:rsidP="00A1019D">
      <w:pPr>
        <w:tabs>
          <w:tab w:val="left" w:pos="-1440"/>
        </w:tabs>
        <w:ind w:left="720" w:hanging="360"/>
        <w:rPr>
          <w:rFonts w:ascii="Times New Roman" w:hAnsi="Times New Roman"/>
        </w:rPr>
      </w:pPr>
      <w:r>
        <w:rPr>
          <w:rFonts w:ascii="Times New Roman" w:hAnsi="Times New Roman"/>
        </w:rPr>
        <w:t>5.</w:t>
      </w:r>
      <w:r>
        <w:rPr>
          <w:rFonts w:ascii="Times New Roman" w:hAnsi="Times New Roman"/>
        </w:rPr>
        <w:tab/>
      </w:r>
      <w:r w:rsidRPr="00386C94" w:rsidR="00386C94">
        <w:rPr>
          <w:rFonts w:ascii="Times New Roman" w:hAnsi="Times New Roman"/>
          <w:b/>
          <w:bCs/>
          <w:iCs/>
          <w:u w:val="single"/>
        </w:rPr>
        <w:t>Methods used to minimize burden if the collection has a significant impact on a</w:t>
      </w:r>
      <w:r w:rsidR="00A1019D">
        <w:rPr>
          <w:rFonts w:ascii="Times New Roman" w:hAnsi="Times New Roman"/>
          <w:b/>
          <w:bCs/>
          <w:iCs/>
          <w:u w:val="single"/>
        </w:rPr>
        <w:t xml:space="preserve"> </w:t>
      </w:r>
      <w:r w:rsidRPr="00386C94" w:rsidR="00386C94">
        <w:rPr>
          <w:rFonts w:ascii="Times New Roman" w:hAnsi="Times New Roman"/>
          <w:b/>
          <w:bCs/>
          <w:iCs/>
          <w:u w:val="single"/>
        </w:rPr>
        <w:t>substantial number of small entities:</w:t>
      </w:r>
    </w:p>
    <w:p w:rsidR="007B6C63">
      <w:pPr>
        <w:rPr>
          <w:rFonts w:ascii="Times New Roman" w:hAnsi="Times New Roman"/>
        </w:rPr>
      </w:pPr>
    </w:p>
    <w:p w:rsidR="007B6C63" w:rsidP="00F33B5F">
      <w:pPr>
        <w:ind w:left="720"/>
        <w:rPr>
          <w:rFonts w:ascii="Times New Roman" w:hAnsi="Times New Roman"/>
        </w:rPr>
      </w:pPr>
      <w:r>
        <w:rPr>
          <w:rFonts w:ascii="Times New Roman" w:hAnsi="Times New Roman"/>
        </w:rPr>
        <w:t xml:space="preserve">The </w:t>
      </w:r>
      <w:r w:rsidR="0070630D">
        <w:rPr>
          <w:rFonts w:ascii="Times New Roman" w:hAnsi="Times New Roman"/>
        </w:rPr>
        <w:t xml:space="preserve">FDIC has certified that the </w:t>
      </w:r>
      <w:r>
        <w:rPr>
          <w:rFonts w:ascii="Times New Roman" w:hAnsi="Times New Roman"/>
        </w:rPr>
        <w:t>Proposed Rule does not have a significant impact on a substantial number of small entities</w:t>
      </w:r>
      <w:r w:rsidR="00A50655">
        <w:rPr>
          <w:rFonts w:ascii="Times New Roman" w:hAnsi="Times New Roman"/>
        </w:rPr>
        <w:t>.</w:t>
      </w:r>
      <w:r>
        <w:rPr>
          <w:rStyle w:val="FootnoteReference"/>
          <w:rFonts w:ascii="Times New Roman" w:hAnsi="Times New Roman"/>
          <w:vertAlign w:val="superscript"/>
        </w:rPr>
        <w:footnoteReference w:id="2"/>
      </w:r>
    </w:p>
    <w:p w:rsidR="007B6C63">
      <w:pPr>
        <w:rPr>
          <w:rFonts w:ascii="Times New Roman" w:hAnsi="Times New Roman"/>
        </w:rPr>
      </w:pPr>
    </w:p>
    <w:p w:rsidR="007B6C63" w:rsidRPr="00FC41DF" w:rsidP="007522EF">
      <w:pPr>
        <w:keepNext/>
        <w:keepLines/>
        <w:tabs>
          <w:tab w:val="left" w:pos="-1440"/>
        </w:tabs>
        <w:ind w:left="720" w:hanging="360"/>
        <w:rPr>
          <w:rFonts w:ascii="Times New Roman" w:hAnsi="Times New Roman"/>
          <w:b/>
          <w:bCs/>
          <w:iCs/>
          <w:u w:val="single"/>
        </w:rPr>
      </w:pPr>
      <w:r>
        <w:rPr>
          <w:rFonts w:ascii="Times New Roman" w:hAnsi="Times New Roman"/>
        </w:rPr>
        <w:t>6.</w:t>
      </w:r>
      <w:r>
        <w:rPr>
          <w:rFonts w:ascii="Times New Roman" w:hAnsi="Times New Roman"/>
        </w:rPr>
        <w:tab/>
      </w:r>
      <w:r w:rsidRPr="00A1019D" w:rsidR="00386C94">
        <w:rPr>
          <w:rFonts w:ascii="Times New Roman" w:hAnsi="Times New Roman"/>
          <w:b/>
          <w:bCs/>
          <w:iCs/>
          <w:u w:val="single"/>
        </w:rPr>
        <w:t>Consequences</w:t>
      </w:r>
      <w:r w:rsidRPr="00FC41DF" w:rsidR="00386C94">
        <w:rPr>
          <w:rFonts w:ascii="Times New Roman" w:hAnsi="Times New Roman"/>
          <w:b/>
          <w:bCs/>
          <w:iCs/>
          <w:u w:val="single"/>
        </w:rPr>
        <w:t xml:space="preserve"> to the Federal program if the collection were conducted less frequently:</w:t>
      </w:r>
    </w:p>
    <w:p w:rsidR="007B6C63">
      <w:pPr>
        <w:rPr>
          <w:rFonts w:ascii="Times New Roman" w:hAnsi="Times New Roman"/>
        </w:rPr>
      </w:pPr>
    </w:p>
    <w:p w:rsidR="007B6C63" w:rsidP="007522EF">
      <w:pPr>
        <w:ind w:left="720"/>
        <w:rPr>
          <w:rFonts w:ascii="Times New Roman" w:hAnsi="Times New Roman"/>
        </w:rPr>
      </w:pPr>
      <w:r>
        <w:rPr>
          <w:rFonts w:ascii="Times New Roman" w:hAnsi="Times New Roman"/>
        </w:rPr>
        <w:t>B</w:t>
      </w:r>
      <w:r w:rsidRPr="007522EF">
        <w:rPr>
          <w:rFonts w:ascii="Times New Roman" w:hAnsi="Times New Roman"/>
        </w:rPr>
        <w:t xml:space="preserve">anks are expected to collect relevant information as frequently as is necessary to keep abreast of </w:t>
      </w:r>
      <w:r>
        <w:rPr>
          <w:rFonts w:ascii="Times New Roman" w:hAnsi="Times New Roman"/>
        </w:rPr>
        <w:t>its operating</w:t>
      </w:r>
      <w:r w:rsidRPr="007522EF">
        <w:rPr>
          <w:rFonts w:ascii="Times New Roman" w:hAnsi="Times New Roman"/>
        </w:rPr>
        <w:t xml:space="preserve"> condition.  </w:t>
      </w:r>
      <w:r>
        <w:rPr>
          <w:rFonts w:ascii="Times New Roman" w:hAnsi="Times New Roman"/>
        </w:rPr>
        <w:t>Non-compliance with Bank Secrecy Act requirements</w:t>
      </w:r>
      <w:r w:rsidRPr="007522EF">
        <w:rPr>
          <w:rFonts w:ascii="Times New Roman" w:hAnsi="Times New Roman"/>
        </w:rPr>
        <w:t xml:space="preserve"> </w:t>
      </w:r>
      <w:r>
        <w:rPr>
          <w:rFonts w:ascii="Times New Roman" w:hAnsi="Times New Roman"/>
        </w:rPr>
        <w:t>exposes</w:t>
      </w:r>
      <w:r w:rsidRPr="007522EF">
        <w:rPr>
          <w:rFonts w:ascii="Times New Roman" w:hAnsi="Times New Roman"/>
        </w:rPr>
        <w:t xml:space="preserve"> bank</w:t>
      </w:r>
      <w:r>
        <w:rPr>
          <w:rFonts w:ascii="Times New Roman" w:hAnsi="Times New Roman"/>
        </w:rPr>
        <w:t>s</w:t>
      </w:r>
      <w:r w:rsidRPr="007522EF">
        <w:rPr>
          <w:rFonts w:ascii="Times New Roman" w:hAnsi="Times New Roman"/>
        </w:rPr>
        <w:t xml:space="preserve"> to </w:t>
      </w:r>
      <w:r>
        <w:rPr>
          <w:rFonts w:ascii="Times New Roman" w:hAnsi="Times New Roman"/>
        </w:rPr>
        <w:t>statutory penalties, fines and sanctions. Less frequent collection of this information would hinder the agency’s ability to assess the safety and soundness of FDIC-supervised institutions.</w:t>
      </w:r>
    </w:p>
    <w:p w:rsidR="007B6C63" w:rsidRPr="00386C94">
      <w:pPr>
        <w:rPr>
          <w:rFonts w:ascii="Times New Roman" w:hAnsi="Times New Roman"/>
        </w:rPr>
      </w:pPr>
    </w:p>
    <w:p w:rsidR="00386C94" w:rsidRPr="00386C94" w:rsidP="00A1019D">
      <w:pPr>
        <w:tabs>
          <w:tab w:val="left" w:pos="-1440"/>
        </w:tabs>
        <w:ind w:left="720" w:hanging="360"/>
        <w:rPr>
          <w:rFonts w:ascii="Times New Roman" w:hAnsi="Times New Roman"/>
          <w:b/>
          <w:bCs/>
          <w:iCs/>
        </w:rPr>
      </w:pPr>
      <w:r w:rsidRPr="00386C94">
        <w:rPr>
          <w:rFonts w:ascii="Times New Roman" w:hAnsi="Times New Roman"/>
        </w:rPr>
        <w:t>7.</w:t>
      </w:r>
      <w:r w:rsidRPr="00386C94">
        <w:rPr>
          <w:rFonts w:ascii="Times New Roman" w:hAnsi="Times New Roman"/>
        </w:rPr>
        <w:tab/>
      </w:r>
      <w:r w:rsidRPr="00A1019D">
        <w:rPr>
          <w:rFonts w:ascii="Times New Roman" w:hAnsi="Times New Roman"/>
          <w:b/>
          <w:bCs/>
          <w:iCs/>
          <w:u w:val="single"/>
        </w:rPr>
        <w:t>Special circumstances necessitating collection inconsistent with 5 CFR Part 1320.5(d)(2):</w:t>
      </w:r>
    </w:p>
    <w:p w:rsidR="007B6C63">
      <w:pPr>
        <w:rPr>
          <w:rFonts w:ascii="Times New Roman" w:hAnsi="Times New Roman"/>
        </w:rPr>
      </w:pPr>
    </w:p>
    <w:p w:rsidR="007B6C63" w:rsidP="000B0581">
      <w:pPr>
        <w:ind w:left="720"/>
        <w:rPr>
          <w:rFonts w:ascii="Times New Roman" w:hAnsi="Times New Roman"/>
        </w:rPr>
      </w:pPr>
      <w:r>
        <w:rPr>
          <w:rFonts w:ascii="Times New Roman" w:hAnsi="Times New Roman"/>
          <w:bCs/>
          <w:iCs/>
          <w:szCs w:val="24"/>
        </w:rPr>
        <w:t xml:space="preserve">None.  </w:t>
      </w:r>
      <w:r w:rsidRPr="00386C94">
        <w:rPr>
          <w:rFonts w:ascii="Times New Roman" w:hAnsi="Times New Roman"/>
        </w:rPr>
        <w:t>The</w:t>
      </w:r>
      <w:r w:rsidRPr="000C4F75">
        <w:rPr>
          <w:rFonts w:ascii="Times New Roman" w:hAnsi="Times New Roman"/>
          <w:bCs/>
          <w:iCs/>
          <w:szCs w:val="24"/>
        </w:rPr>
        <w:t xml:space="preserve"> information is collected in a manner consistent with </w:t>
      </w:r>
      <w:r>
        <w:rPr>
          <w:rFonts w:ascii="Times New Roman" w:hAnsi="Times New Roman"/>
          <w:bCs/>
          <w:iCs/>
          <w:szCs w:val="24"/>
        </w:rPr>
        <w:t>5</w:t>
      </w:r>
      <w:r w:rsidRPr="000C4F75">
        <w:rPr>
          <w:rFonts w:ascii="Times New Roman" w:hAnsi="Times New Roman"/>
          <w:bCs/>
          <w:iCs/>
          <w:szCs w:val="24"/>
        </w:rPr>
        <w:t xml:space="preserve"> CFR 1320.5(d)(2).</w:t>
      </w:r>
    </w:p>
    <w:p w:rsidR="007B6C63">
      <w:pPr>
        <w:rPr>
          <w:rFonts w:ascii="Times New Roman" w:hAnsi="Times New Roman"/>
        </w:rPr>
      </w:pPr>
    </w:p>
    <w:p w:rsidR="007B6C63" w:rsidP="00A1019D">
      <w:pPr>
        <w:tabs>
          <w:tab w:val="left" w:pos="-1440"/>
        </w:tabs>
        <w:ind w:left="720" w:hanging="360"/>
        <w:rPr>
          <w:rFonts w:ascii="Times New Roman" w:hAnsi="Times New Roman"/>
        </w:rPr>
      </w:pPr>
      <w:r>
        <w:rPr>
          <w:rFonts w:ascii="Times New Roman" w:hAnsi="Times New Roman"/>
        </w:rPr>
        <w:t>8.</w:t>
      </w:r>
      <w:r>
        <w:rPr>
          <w:rFonts w:ascii="Times New Roman" w:hAnsi="Times New Roman"/>
        </w:rPr>
        <w:tab/>
      </w:r>
      <w:r w:rsidRPr="00A1019D" w:rsidR="00D55074">
        <w:rPr>
          <w:rFonts w:ascii="Times New Roman" w:hAnsi="Times New Roman"/>
          <w:b/>
          <w:bCs/>
          <w:iCs/>
          <w:u w:val="single"/>
        </w:rPr>
        <w:t>Efforts</w:t>
      </w:r>
      <w:r w:rsidRPr="00D55074" w:rsidR="00D55074">
        <w:rPr>
          <w:rFonts w:ascii="Times New Roman" w:hAnsi="Times New Roman"/>
          <w:b/>
          <w:bCs/>
          <w:iCs/>
          <w:szCs w:val="24"/>
          <w:u w:val="single"/>
        </w:rPr>
        <w:t xml:space="preserve"> to consult with persons outside the agency:</w:t>
      </w:r>
    </w:p>
    <w:p w:rsidR="007B6C63">
      <w:pPr>
        <w:rPr>
          <w:rFonts w:ascii="Times New Roman" w:hAnsi="Times New Roman"/>
        </w:rPr>
      </w:pPr>
    </w:p>
    <w:p w:rsidR="00AF614A" w:rsidP="00624A74">
      <w:pPr>
        <w:ind w:left="720"/>
        <w:rPr>
          <w:rFonts w:ascii="Times New Roman" w:hAnsi="Times New Roman"/>
        </w:rPr>
      </w:pPr>
      <w:r>
        <w:rPr>
          <w:rFonts w:ascii="Times New Roman" w:hAnsi="Times New Roman"/>
        </w:rPr>
        <w:t xml:space="preserve">The Agencies </w:t>
      </w:r>
      <w:r w:rsidR="00DE2D0B">
        <w:rPr>
          <w:rFonts w:ascii="Times New Roman" w:hAnsi="Times New Roman"/>
        </w:rPr>
        <w:t>published a notice</w:t>
      </w:r>
      <w:r>
        <w:rPr>
          <w:rFonts w:ascii="Times New Roman" w:hAnsi="Times New Roman"/>
        </w:rPr>
        <w:t xml:space="preserve"> of proposed rulemaking</w:t>
      </w:r>
      <w:r w:rsidR="00DE2D0B">
        <w:rPr>
          <w:rFonts w:ascii="Times New Roman" w:hAnsi="Times New Roman"/>
        </w:rPr>
        <w:t xml:space="preserve"> in the </w:t>
      </w:r>
      <w:r w:rsidRPr="00015D89" w:rsidR="00DE2D0B">
        <w:rPr>
          <w:rFonts w:ascii="Times New Roman" w:hAnsi="Times New Roman"/>
          <w:i/>
        </w:rPr>
        <w:t>Federal</w:t>
      </w:r>
      <w:r w:rsidR="00DE2D0B">
        <w:rPr>
          <w:rFonts w:ascii="Times New Roman" w:hAnsi="Times New Roman"/>
          <w:i/>
        </w:rPr>
        <w:t xml:space="preserve"> Register</w:t>
      </w:r>
      <w:r w:rsidR="00DE2D0B">
        <w:rPr>
          <w:rFonts w:ascii="Times New Roman" w:hAnsi="Times New Roman"/>
        </w:rPr>
        <w:t xml:space="preserve"> seeking </w:t>
      </w:r>
      <w:r>
        <w:rPr>
          <w:rFonts w:ascii="Times New Roman" w:hAnsi="Times New Roman"/>
        </w:rPr>
        <w:t>comment on the proposed rule on August 9, 2024</w:t>
      </w:r>
      <w:r w:rsidR="00DE2D0B">
        <w:rPr>
          <w:rFonts w:ascii="Times New Roman" w:hAnsi="Times New Roman"/>
        </w:rPr>
        <w:t xml:space="preserve"> (</w:t>
      </w:r>
      <w:r>
        <w:rPr>
          <w:rFonts w:ascii="Times New Roman" w:hAnsi="Times New Roman"/>
        </w:rPr>
        <w:t>89</w:t>
      </w:r>
      <w:r w:rsidR="00F3508E">
        <w:rPr>
          <w:rFonts w:ascii="Times New Roman" w:hAnsi="Times New Roman"/>
        </w:rPr>
        <w:t xml:space="preserve"> FR </w:t>
      </w:r>
      <w:r>
        <w:rPr>
          <w:rFonts w:ascii="Times New Roman" w:hAnsi="Times New Roman"/>
        </w:rPr>
        <w:t>65242</w:t>
      </w:r>
      <w:r w:rsidR="00DE2D0B">
        <w:rPr>
          <w:rFonts w:ascii="Times New Roman" w:hAnsi="Times New Roman"/>
        </w:rPr>
        <w:t>)</w:t>
      </w:r>
      <w:r>
        <w:rPr>
          <w:rFonts w:ascii="Times New Roman" w:hAnsi="Times New Roman"/>
        </w:rPr>
        <w:t>.  Any</w:t>
      </w:r>
      <w:r w:rsidR="00624A74">
        <w:rPr>
          <w:rFonts w:ascii="Times New Roman" w:hAnsi="Times New Roman"/>
        </w:rPr>
        <w:t xml:space="preserve"> comments </w:t>
      </w:r>
      <w:r>
        <w:rPr>
          <w:rFonts w:ascii="Times New Roman" w:hAnsi="Times New Roman"/>
        </w:rPr>
        <w:t>received will be addressed when the final rule is issued</w:t>
      </w:r>
      <w:r w:rsidR="00624A74">
        <w:rPr>
          <w:rFonts w:ascii="Times New Roman" w:hAnsi="Times New Roman"/>
        </w:rPr>
        <w:t>.</w:t>
      </w:r>
    </w:p>
    <w:p w:rsidR="007B6C63">
      <w:pPr>
        <w:rPr>
          <w:rFonts w:ascii="Times New Roman" w:hAnsi="Times New Roman"/>
        </w:rPr>
      </w:pPr>
    </w:p>
    <w:p w:rsidR="007B6C63" w:rsidP="00A1019D">
      <w:pPr>
        <w:tabs>
          <w:tab w:val="left" w:pos="-1440"/>
        </w:tabs>
        <w:ind w:left="720" w:hanging="360"/>
        <w:rPr>
          <w:rFonts w:ascii="Times New Roman" w:hAnsi="Times New Roman"/>
        </w:rPr>
      </w:pPr>
      <w:r>
        <w:rPr>
          <w:rFonts w:ascii="Times New Roman" w:hAnsi="Times New Roman"/>
        </w:rPr>
        <w:t>9.</w:t>
      </w:r>
      <w:r>
        <w:rPr>
          <w:rFonts w:ascii="Times New Roman" w:hAnsi="Times New Roman"/>
        </w:rPr>
        <w:tab/>
      </w:r>
      <w:r w:rsidRPr="00A1019D" w:rsidR="00881712">
        <w:rPr>
          <w:rFonts w:ascii="Times New Roman" w:hAnsi="Times New Roman"/>
          <w:b/>
          <w:bCs/>
          <w:iCs/>
          <w:u w:val="single"/>
        </w:rPr>
        <w:t>Payment</w:t>
      </w:r>
      <w:r w:rsidRPr="00881712" w:rsidR="00881712">
        <w:rPr>
          <w:rFonts w:ascii="Times New Roman" w:hAnsi="Times New Roman"/>
          <w:b/>
          <w:spacing w:val="-10"/>
          <w:szCs w:val="24"/>
          <w:u w:val="single"/>
        </w:rPr>
        <w:t xml:space="preserve"> </w:t>
      </w:r>
      <w:r w:rsidRPr="00881712" w:rsidR="00881712">
        <w:rPr>
          <w:rFonts w:ascii="Times New Roman" w:hAnsi="Times New Roman"/>
          <w:b/>
          <w:spacing w:val="1"/>
          <w:szCs w:val="24"/>
          <w:u w:val="single"/>
        </w:rPr>
        <w:t>or</w:t>
      </w:r>
      <w:r w:rsidRPr="00881712" w:rsidR="00881712">
        <w:rPr>
          <w:rFonts w:ascii="Times New Roman" w:hAnsi="Times New Roman"/>
          <w:b/>
          <w:spacing w:val="-7"/>
          <w:szCs w:val="24"/>
          <w:u w:val="single"/>
        </w:rPr>
        <w:t xml:space="preserve"> </w:t>
      </w:r>
      <w:r w:rsidRPr="00881712" w:rsidR="00881712">
        <w:rPr>
          <w:rFonts w:ascii="Times New Roman" w:hAnsi="Times New Roman"/>
          <w:b/>
          <w:spacing w:val="-5"/>
          <w:szCs w:val="24"/>
          <w:u w:val="single"/>
        </w:rPr>
        <w:t>gifts to respondents:</w:t>
      </w:r>
    </w:p>
    <w:p w:rsidR="007B6C63">
      <w:pPr>
        <w:rPr>
          <w:rFonts w:ascii="Times New Roman" w:hAnsi="Times New Roman"/>
        </w:rPr>
      </w:pPr>
    </w:p>
    <w:p w:rsidR="007B6C63" w:rsidP="000B0581">
      <w:pPr>
        <w:ind w:left="720"/>
        <w:rPr>
          <w:rFonts w:ascii="Times New Roman" w:hAnsi="Times New Roman"/>
        </w:rPr>
      </w:pPr>
      <w:r>
        <w:rPr>
          <w:rFonts w:ascii="Times New Roman" w:hAnsi="Times New Roman"/>
        </w:rPr>
        <w:t>None.</w:t>
      </w:r>
    </w:p>
    <w:p w:rsidR="007B6C63" w:rsidP="00437618">
      <w:pPr>
        <w:keepNext/>
        <w:ind w:left="720" w:firstLine="720"/>
        <w:rPr>
          <w:rFonts w:ascii="Times New Roman" w:hAnsi="Times New Roman"/>
        </w:rPr>
      </w:pPr>
    </w:p>
    <w:p w:rsidR="007B6C63" w:rsidP="00437618">
      <w:pPr>
        <w:keepNext/>
        <w:tabs>
          <w:tab w:val="left" w:pos="-1440"/>
        </w:tabs>
        <w:ind w:left="720" w:hanging="360"/>
        <w:rPr>
          <w:rFonts w:ascii="Times New Roman" w:hAnsi="Times New Roman"/>
        </w:rPr>
      </w:pPr>
      <w:r>
        <w:rPr>
          <w:rFonts w:ascii="Times New Roman" w:hAnsi="Times New Roman"/>
        </w:rPr>
        <w:t>10.</w:t>
      </w:r>
      <w:r>
        <w:rPr>
          <w:rFonts w:ascii="Times New Roman" w:hAnsi="Times New Roman"/>
        </w:rPr>
        <w:tab/>
      </w:r>
      <w:r w:rsidRPr="00A1019D" w:rsidR="00881712">
        <w:rPr>
          <w:rFonts w:ascii="Times New Roman" w:hAnsi="Times New Roman"/>
          <w:b/>
          <w:bCs/>
          <w:iCs/>
          <w:u w:val="single"/>
        </w:rPr>
        <w:t>Any</w:t>
      </w:r>
      <w:r w:rsidRPr="00881712" w:rsidR="00881712">
        <w:rPr>
          <w:rFonts w:ascii="Times New Roman" w:hAnsi="Times New Roman"/>
          <w:b/>
          <w:bCs/>
          <w:iCs/>
          <w:szCs w:val="24"/>
          <w:u w:val="single"/>
        </w:rPr>
        <w:t xml:space="preserve"> assurance of confidentiality:</w:t>
      </w:r>
    </w:p>
    <w:p w:rsidR="007B6C63" w:rsidP="00437618">
      <w:pPr>
        <w:keepNext/>
        <w:rPr>
          <w:rFonts w:ascii="Times New Roman" w:hAnsi="Times New Roman"/>
        </w:rPr>
      </w:pPr>
    </w:p>
    <w:p w:rsidR="00881712" w:rsidP="00437618">
      <w:pPr>
        <w:keepNext/>
        <w:ind w:left="720"/>
        <w:rPr>
          <w:rFonts w:ascii="Times New Roman" w:hAnsi="Times New Roman"/>
        </w:rPr>
      </w:pPr>
      <w:r w:rsidRPr="00E7318E">
        <w:rPr>
          <w:rFonts w:ascii="Times New Roman" w:hAnsi="Times New Roman"/>
          <w:szCs w:val="24"/>
        </w:rPr>
        <w:t xml:space="preserve">The information will be kept </w:t>
      </w:r>
      <w:r w:rsidRPr="00E7318E">
        <w:rPr>
          <w:rFonts w:ascii="Times New Roman" w:hAnsi="Times New Roman"/>
          <w:bCs/>
          <w:szCs w:val="24"/>
        </w:rPr>
        <w:t>private</w:t>
      </w:r>
      <w:r w:rsidRPr="00E7318E">
        <w:rPr>
          <w:rFonts w:ascii="Times New Roman" w:hAnsi="Times New Roman"/>
          <w:szCs w:val="24"/>
        </w:rPr>
        <w:t xml:space="preserve"> to the extent provided by law.</w:t>
      </w:r>
    </w:p>
    <w:p w:rsidR="007B6C63">
      <w:pPr>
        <w:ind w:left="720" w:firstLine="720"/>
        <w:rPr>
          <w:rFonts w:ascii="Times New Roman" w:hAnsi="Times New Roman"/>
        </w:rPr>
      </w:pPr>
    </w:p>
    <w:p w:rsidR="00881712" w:rsidRPr="00F04445" w:rsidP="00A1019D">
      <w:pPr>
        <w:tabs>
          <w:tab w:val="left" w:pos="-1440"/>
        </w:tabs>
        <w:ind w:left="720" w:hanging="360"/>
        <w:rPr>
          <w:rFonts w:ascii="Times New Roman" w:hAnsi="Times New Roman"/>
          <w:b/>
          <w:spacing w:val="-1"/>
          <w:szCs w:val="24"/>
        </w:rPr>
      </w:pPr>
      <w:r w:rsidRPr="00881712">
        <w:rPr>
          <w:rFonts w:ascii="Times New Roman" w:hAnsi="Times New Roman"/>
        </w:rPr>
        <w:t>11.</w:t>
      </w:r>
      <w:r w:rsidRPr="00881712">
        <w:rPr>
          <w:rFonts w:ascii="Times New Roman" w:hAnsi="Times New Roman"/>
        </w:rPr>
        <w:tab/>
      </w:r>
      <w:r w:rsidRPr="00846A1A">
        <w:rPr>
          <w:rFonts w:ascii="Times New Roman" w:hAnsi="Times New Roman"/>
          <w:b/>
          <w:bCs/>
          <w:iCs/>
          <w:u w:val="single"/>
        </w:rPr>
        <w:t>Justification</w:t>
      </w:r>
      <w:r w:rsidRPr="00846A1A">
        <w:rPr>
          <w:rFonts w:ascii="Times New Roman" w:hAnsi="Times New Roman"/>
          <w:b/>
          <w:bCs/>
          <w:spacing w:val="-1"/>
          <w:szCs w:val="24"/>
          <w:u w:val="single"/>
        </w:rPr>
        <w:t xml:space="preserve"> </w:t>
      </w:r>
      <w:r w:rsidRPr="00846A1A">
        <w:rPr>
          <w:rFonts w:ascii="Times New Roman" w:hAnsi="Times New Roman"/>
          <w:b/>
          <w:u w:val="single"/>
        </w:rPr>
        <w:t>for</w:t>
      </w:r>
      <w:r w:rsidRPr="002A5F6B">
        <w:rPr>
          <w:rFonts w:ascii="Times New Roman" w:hAnsi="Times New Roman"/>
          <w:b/>
          <w:bCs/>
          <w:spacing w:val="-1"/>
          <w:szCs w:val="24"/>
          <w:u w:val="single"/>
        </w:rPr>
        <w:t xml:space="preserve"> questions of a sensitive nature:</w:t>
      </w:r>
    </w:p>
    <w:p w:rsidR="007B6C63">
      <w:pPr>
        <w:tabs>
          <w:tab w:val="left" w:pos="-1440"/>
        </w:tabs>
        <w:ind w:firstLine="720"/>
        <w:rPr>
          <w:rFonts w:ascii="Times New Roman" w:hAnsi="Times New Roman"/>
        </w:rPr>
      </w:pPr>
    </w:p>
    <w:p w:rsidR="0018494E" w:rsidRPr="0018494E" w:rsidP="0018494E">
      <w:pPr>
        <w:ind w:left="720"/>
        <w:rPr>
          <w:rFonts w:ascii="Times New Roman" w:hAnsi="Times New Roman"/>
          <w:spacing w:val="-1"/>
          <w:szCs w:val="24"/>
        </w:rPr>
      </w:pPr>
      <w:r>
        <w:rPr>
          <w:rFonts w:ascii="Times New Roman" w:hAnsi="Times New Roman"/>
          <w:spacing w:val="-1"/>
          <w:szCs w:val="24"/>
        </w:rPr>
        <w:t xml:space="preserve">Not </w:t>
      </w:r>
      <w:r w:rsidRPr="000B0581">
        <w:rPr>
          <w:rFonts w:ascii="Times New Roman" w:hAnsi="Times New Roman"/>
        </w:rPr>
        <w:t>applicable</w:t>
      </w:r>
      <w:r>
        <w:rPr>
          <w:rFonts w:ascii="Times New Roman" w:hAnsi="Times New Roman"/>
          <w:spacing w:val="-1"/>
          <w:szCs w:val="24"/>
        </w:rPr>
        <w:t>. No sensitive information is collected.</w:t>
      </w:r>
    </w:p>
    <w:p w:rsidR="00615BAD" w:rsidP="0070630D">
      <w:pPr>
        <w:widowControl/>
        <w:rPr>
          <w:rFonts w:ascii="Times New Roman" w:hAnsi="Times New Roman"/>
        </w:rPr>
      </w:pPr>
    </w:p>
    <w:p w:rsidR="00285D59" w:rsidP="00285D59">
      <w:pPr>
        <w:keepNext/>
        <w:tabs>
          <w:tab w:val="left" w:pos="-1440"/>
        </w:tabs>
        <w:ind w:left="720" w:hanging="360"/>
        <w:rPr>
          <w:rFonts w:ascii="Times New Roman" w:hAnsi="Times New Roman"/>
          <w:b/>
          <w:bCs/>
          <w:iCs/>
          <w:szCs w:val="24"/>
          <w:u w:val="single"/>
        </w:rPr>
      </w:pPr>
      <w:r>
        <w:rPr>
          <w:rFonts w:ascii="Times New Roman" w:hAnsi="Times New Roman"/>
        </w:rPr>
        <w:t>12.</w:t>
      </w:r>
      <w:r>
        <w:rPr>
          <w:rFonts w:ascii="Times New Roman" w:hAnsi="Times New Roman"/>
        </w:rPr>
        <w:tab/>
      </w:r>
      <w:r w:rsidRPr="00A1019D" w:rsidR="00881712">
        <w:rPr>
          <w:rFonts w:ascii="Times New Roman" w:hAnsi="Times New Roman"/>
          <w:b/>
          <w:bCs/>
          <w:iCs/>
          <w:u w:val="single"/>
        </w:rPr>
        <w:t>Estimate</w:t>
      </w:r>
      <w:r w:rsidRPr="00D64624" w:rsidR="00881712">
        <w:rPr>
          <w:rFonts w:ascii="Times New Roman" w:hAnsi="Times New Roman"/>
          <w:b/>
          <w:bCs/>
          <w:iCs/>
          <w:szCs w:val="24"/>
          <w:u w:val="single"/>
        </w:rPr>
        <w:t xml:space="preserve"> of hour burden including annualized hourly costs:</w:t>
      </w:r>
    </w:p>
    <w:p w:rsidR="0018494E" w:rsidP="0018494E">
      <w:pPr>
        <w:widowControl/>
        <w:rPr>
          <w:rFonts w:ascii="Times New Roman" w:hAnsi="Times New Roman"/>
          <w:snapToGrid/>
          <w:szCs w:val="24"/>
        </w:rPr>
      </w:pPr>
    </w:p>
    <w:p w:rsidR="004678BF" w:rsidRPr="004678BF" w:rsidP="004678BF">
      <w:pPr>
        <w:widowControl/>
        <w:ind w:left="720"/>
        <w:rPr>
          <w:rFonts w:ascii="Times New Roman" w:hAnsi="Times New Roman"/>
          <w:snapToGrid/>
        </w:rPr>
      </w:pPr>
      <w:r w:rsidRPr="004678BF">
        <w:rPr>
          <w:rFonts w:ascii="Times New Roman" w:hAnsi="Times New Roman"/>
          <w:snapToGrid/>
        </w:rPr>
        <w:t>The Agencies reviewed the methodology used to estimate the recordkeeping burden found in the</w:t>
      </w:r>
      <w:r>
        <w:rPr>
          <w:rFonts w:ascii="Times New Roman" w:hAnsi="Times New Roman"/>
          <w:snapToGrid/>
        </w:rPr>
        <w:t>ir respective</w:t>
      </w:r>
      <w:r w:rsidRPr="004678BF">
        <w:rPr>
          <w:rFonts w:ascii="Times New Roman" w:hAnsi="Times New Roman"/>
          <w:snapToGrid/>
        </w:rPr>
        <w:t xml:space="preserve"> </w:t>
      </w:r>
      <w:r>
        <w:rPr>
          <w:rFonts w:ascii="Times New Roman" w:hAnsi="Times New Roman"/>
          <w:snapToGrid/>
        </w:rPr>
        <w:t>currently-</w:t>
      </w:r>
      <w:r w:rsidRPr="004678BF">
        <w:rPr>
          <w:rFonts w:ascii="Times New Roman" w:hAnsi="Times New Roman"/>
          <w:snapToGrid/>
        </w:rPr>
        <w:t xml:space="preserve">approved information collections and determined that the OCC, FDIC, and NCUA included activities that are better classified as other types of burden and beyond the scope of recordkeeping burden in their </w:t>
      </w:r>
      <w:r>
        <w:rPr>
          <w:rFonts w:ascii="Times New Roman" w:hAnsi="Times New Roman"/>
          <w:snapToGrid/>
        </w:rPr>
        <w:t xml:space="preserve">PRA </w:t>
      </w:r>
      <w:r w:rsidRPr="004678BF">
        <w:rPr>
          <w:rFonts w:ascii="Times New Roman" w:hAnsi="Times New Roman"/>
          <w:snapToGrid/>
        </w:rPr>
        <w:t xml:space="preserve">burden estimates. The Board limited its </w:t>
      </w:r>
      <w:r>
        <w:rPr>
          <w:rFonts w:ascii="Times New Roman" w:hAnsi="Times New Roman"/>
          <w:snapToGrid/>
        </w:rPr>
        <w:t xml:space="preserve">PRA </w:t>
      </w:r>
      <w:r w:rsidRPr="004678BF">
        <w:rPr>
          <w:rFonts w:ascii="Times New Roman" w:hAnsi="Times New Roman"/>
          <w:snapToGrid/>
        </w:rPr>
        <w:t>burden estimate to recordkeeping activities. The Agencies acknowledge those existing burdens in the currently approved information collections but the OCC, FDIC, and NCUA have determined much of those ongoing burdens are not specifically related to recordkeeping. The Agencies are taking this opportunity to revise and align the burden estimation methodology and assumptions used for this information collection to show only recordkeeping activities which the Agencies assume are not affected by the size of the respondent institution. The Agencies assume that the recordkeeping requirements in the proposed rule encompass two distinct activities: (1) the one-time burden associated with documenting the required AML/CFT program and creating its necessary policies and training and testing materials; and (2) the ongoing (occasional) burden of documenting (a) revisions to policies, (b) required periodic reviews of the risk assessment and independent testing, (c) compliance with training requirements, and (d) Board of Directors oversight of the AML/CFT program as required by the proposed rule.</w:t>
      </w:r>
    </w:p>
    <w:p w:rsidR="004678BF" w:rsidRPr="004678BF" w:rsidP="004678BF">
      <w:pPr>
        <w:widowControl/>
        <w:ind w:left="720"/>
        <w:rPr>
          <w:rFonts w:ascii="Times New Roman" w:hAnsi="Times New Roman"/>
          <w:snapToGrid/>
        </w:rPr>
      </w:pPr>
    </w:p>
    <w:p w:rsidR="004678BF" w:rsidRPr="004678BF" w:rsidP="004678BF">
      <w:pPr>
        <w:widowControl/>
        <w:ind w:left="720"/>
        <w:rPr>
          <w:rFonts w:ascii="Times New Roman" w:hAnsi="Times New Roman"/>
          <w:snapToGrid/>
        </w:rPr>
      </w:pPr>
      <w:r w:rsidRPr="004678BF">
        <w:rPr>
          <w:rFonts w:ascii="Times New Roman" w:hAnsi="Times New Roman"/>
          <w:snapToGrid/>
        </w:rPr>
        <w:t xml:space="preserve">Based on supervisory experience, the Agencies estimate the time required to document and retain a record of the necessary changes to a respondent’s newly created compliance program as </w:t>
      </w:r>
      <w:r>
        <w:rPr>
          <w:rFonts w:ascii="Times New Roman" w:hAnsi="Times New Roman"/>
          <w:snapToGrid/>
        </w:rPr>
        <w:t>prescribed in the Proposed R</w:t>
      </w:r>
      <w:r w:rsidRPr="004678BF">
        <w:rPr>
          <w:rFonts w:ascii="Times New Roman" w:hAnsi="Times New Roman"/>
          <w:snapToGrid/>
        </w:rPr>
        <w:t>ule, averages approximately 32 hours. In accordance with OMB guidance, since the implementation burden is incurred only in year one of the three-year PRA clearance cycle, the annual burden is the average of the implementation burden imposed over three years or 10.67 hours per year (32 hours in year one, plus zero hours for years two and three; divided by three).</w:t>
      </w:r>
    </w:p>
    <w:p w:rsidR="004678BF" w:rsidRPr="004678BF" w:rsidP="004678BF">
      <w:pPr>
        <w:widowControl/>
        <w:ind w:left="720"/>
        <w:rPr>
          <w:rFonts w:ascii="Times New Roman" w:hAnsi="Times New Roman"/>
          <w:snapToGrid/>
        </w:rPr>
      </w:pPr>
    </w:p>
    <w:p w:rsidR="004678BF" w:rsidRPr="004678BF" w:rsidP="004678BF">
      <w:pPr>
        <w:widowControl/>
        <w:ind w:left="720"/>
        <w:rPr>
          <w:rFonts w:ascii="Times New Roman" w:hAnsi="Times New Roman"/>
          <w:snapToGrid/>
        </w:rPr>
      </w:pPr>
      <w:r w:rsidRPr="004678BF">
        <w:rPr>
          <w:rFonts w:ascii="Times New Roman" w:hAnsi="Times New Roman"/>
          <w:snapToGrid/>
        </w:rPr>
        <w:t>Based on supervisory experience, the Agencies estimate the annual burden related only to documenting maintenance of the AML/CFT program and Board of Directors oversight averages approximately 8 hours per year. The Agencies assume that all their supervised entities will review their AML/CFT program annually and will submit the revised plan for Board of Director ratification every year.</w:t>
      </w:r>
    </w:p>
    <w:p w:rsidR="004678BF" w:rsidP="0018494E">
      <w:pPr>
        <w:widowControl/>
        <w:ind w:left="720"/>
        <w:rPr>
          <w:rFonts w:ascii="Times New Roman" w:hAnsi="Times New Roman"/>
          <w:snapToGrid/>
        </w:rPr>
      </w:pPr>
    </w:p>
    <w:p w:rsidR="004678BF" w:rsidP="0018494E">
      <w:pPr>
        <w:widowControl/>
        <w:ind w:left="720"/>
        <w:rPr>
          <w:rFonts w:ascii="Times New Roman" w:hAnsi="Times New Roman"/>
          <w:snapToGrid/>
        </w:rPr>
      </w:pPr>
    </w:p>
    <w:p w:rsidR="0018494E" w:rsidRPr="0018494E" w:rsidP="0018494E">
      <w:pPr>
        <w:widowControl/>
        <w:ind w:left="1440"/>
        <w:rPr>
          <w:rFonts w:ascii="Times New Roman" w:hAnsi="Times New Roman"/>
          <w:snapToGrid/>
        </w:rPr>
      </w:pPr>
    </w:p>
    <w:tbl>
      <w:tblPr>
        <w:tblpPr w:leftFromText="180" w:rightFromText="180" w:vertAnchor="text" w:horzAnchor="margin" w:tblpXSpec="center" w:tblpY="81"/>
        <w:tblW w:w="9710" w:type="dxa"/>
        <w:tblLayout w:type="fixed"/>
        <w:tblLook w:val="04A0"/>
      </w:tblPr>
      <w:tblGrid>
        <w:gridCol w:w="3053"/>
        <w:gridCol w:w="1347"/>
        <w:gridCol w:w="1080"/>
        <w:gridCol w:w="1170"/>
        <w:gridCol w:w="990"/>
        <w:gridCol w:w="990"/>
        <w:gridCol w:w="1080"/>
      </w:tblGrid>
      <w:tr w:rsidTr="004B5423">
        <w:tblPrEx>
          <w:tblW w:w="9710" w:type="dxa"/>
          <w:tblLayout w:type="fixed"/>
          <w:tblLook w:val="04A0"/>
        </w:tblPrEx>
        <w:trPr>
          <w:trHeight w:val="537"/>
        </w:trPr>
        <w:tc>
          <w:tcPr>
            <w:tcW w:w="971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4B5423" w:rsidRPr="0056624C" w:rsidP="004B5423">
            <w:pPr>
              <w:widowControl/>
              <w:jc w:val="center"/>
              <w:rPr>
                <w:rFonts w:ascii="Times New Roman" w:hAnsi="Times New Roman"/>
                <w:b/>
                <w:bCs/>
                <w:snapToGrid/>
                <w:color w:val="000000"/>
                <w:szCs w:val="24"/>
              </w:rPr>
            </w:pPr>
            <w:r w:rsidRPr="004B5423">
              <w:rPr>
                <w:rFonts w:ascii="Times New Roman" w:hAnsi="Times New Roman"/>
                <w:snapToGrid/>
                <w:szCs w:val="24"/>
                <w:u w:val="single"/>
              </w:rPr>
              <w:br w:type="page"/>
            </w:r>
            <w:r w:rsidRPr="0056624C" w:rsidR="0056624C">
              <w:rPr>
                <w:rFonts w:ascii="Times New Roman" w:hAnsi="Times New Roman"/>
                <w:b/>
                <w:snapToGrid/>
                <w:szCs w:val="24"/>
              </w:rPr>
              <w:t>Table 1</w:t>
            </w:r>
            <w:r w:rsidR="0056624C">
              <w:rPr>
                <w:rFonts w:ascii="Times New Roman" w:hAnsi="Times New Roman"/>
                <w:b/>
                <w:snapToGrid/>
                <w:szCs w:val="24"/>
              </w:rPr>
              <w:t>-</w:t>
            </w:r>
            <w:r w:rsidRPr="0056624C" w:rsidR="0056624C">
              <w:rPr>
                <w:rFonts w:ascii="Times New Roman" w:hAnsi="Times New Roman"/>
                <w:snapToGrid/>
                <w:szCs w:val="24"/>
              </w:rPr>
              <w:t xml:space="preserve"> </w:t>
            </w:r>
            <w:r w:rsidRPr="0056624C">
              <w:rPr>
                <w:rFonts w:ascii="Times New Roman" w:hAnsi="Times New Roman"/>
                <w:b/>
                <w:bCs/>
                <w:snapToGrid/>
                <w:color w:val="000000"/>
                <w:szCs w:val="24"/>
              </w:rPr>
              <w:t xml:space="preserve">Summary of Annual Burden </w:t>
            </w:r>
          </w:p>
        </w:tc>
      </w:tr>
      <w:tr w:rsidTr="004B5423">
        <w:tblPrEx>
          <w:tblW w:w="9710" w:type="dxa"/>
          <w:tblLayout w:type="fixed"/>
          <w:tblLook w:val="04A0"/>
        </w:tblPrEx>
        <w:trPr>
          <w:trHeight w:val="923"/>
        </w:trPr>
        <w:tc>
          <w:tcPr>
            <w:tcW w:w="3053" w:type="dxa"/>
            <w:tcBorders>
              <w:top w:val="nil"/>
              <w:left w:val="single" w:sz="4" w:space="0" w:color="auto"/>
              <w:bottom w:val="single" w:sz="4" w:space="0" w:color="auto"/>
              <w:right w:val="single" w:sz="4" w:space="0" w:color="auto"/>
            </w:tcBorders>
            <w:shd w:val="clear" w:color="auto" w:fill="auto"/>
            <w:noWrap/>
            <w:vAlign w:val="center"/>
            <w:hideMark/>
          </w:tcPr>
          <w:p w:rsidR="004B5423" w:rsidRPr="004B5423" w:rsidP="004B5423">
            <w:pPr>
              <w:widowControl/>
              <w:jc w:val="center"/>
              <w:rPr>
                <w:rFonts w:ascii="Times New Roman" w:hAnsi="Times New Roman"/>
                <w:b/>
                <w:bCs/>
                <w:snapToGrid/>
                <w:color w:val="000000"/>
                <w:sz w:val="16"/>
                <w:szCs w:val="16"/>
              </w:rPr>
            </w:pPr>
            <w:r w:rsidRPr="004B5423">
              <w:rPr>
                <w:rFonts w:ascii="Times New Roman" w:hAnsi="Times New Roman"/>
                <w:b/>
                <w:bCs/>
                <w:snapToGrid/>
                <w:color w:val="000000"/>
                <w:sz w:val="18"/>
                <w:szCs w:val="16"/>
              </w:rPr>
              <w:t>Information Collection  Description</w:t>
            </w:r>
          </w:p>
        </w:tc>
        <w:tc>
          <w:tcPr>
            <w:tcW w:w="1347" w:type="dxa"/>
            <w:tcBorders>
              <w:top w:val="nil"/>
              <w:left w:val="nil"/>
              <w:bottom w:val="single" w:sz="4" w:space="0" w:color="auto"/>
              <w:right w:val="single" w:sz="4" w:space="0" w:color="auto"/>
            </w:tcBorders>
            <w:shd w:val="clear" w:color="auto" w:fill="auto"/>
            <w:vAlign w:val="center"/>
            <w:hideMark/>
          </w:tcPr>
          <w:p w:rsidR="004B5423" w:rsidRPr="004B5423" w:rsidP="004B5423">
            <w:pPr>
              <w:widowControl/>
              <w:jc w:val="center"/>
              <w:rPr>
                <w:rFonts w:ascii="Times New Roman" w:hAnsi="Times New Roman"/>
                <w:b/>
                <w:snapToGrid/>
                <w:color w:val="000000"/>
                <w:sz w:val="16"/>
                <w:szCs w:val="16"/>
              </w:rPr>
            </w:pPr>
            <w:r w:rsidRPr="004B5423">
              <w:rPr>
                <w:rFonts w:ascii="Times New Roman" w:hAnsi="Times New Roman"/>
                <w:b/>
                <w:snapToGrid/>
                <w:color w:val="000000"/>
                <w:sz w:val="16"/>
                <w:szCs w:val="16"/>
              </w:rPr>
              <w:t>Type of Burden</w:t>
            </w:r>
          </w:p>
        </w:tc>
        <w:tc>
          <w:tcPr>
            <w:tcW w:w="1080" w:type="dxa"/>
            <w:tcBorders>
              <w:top w:val="nil"/>
              <w:left w:val="nil"/>
              <w:bottom w:val="single" w:sz="4" w:space="0" w:color="auto"/>
              <w:right w:val="single" w:sz="4" w:space="0" w:color="auto"/>
            </w:tcBorders>
            <w:shd w:val="clear" w:color="auto" w:fill="auto"/>
            <w:vAlign w:val="center"/>
            <w:hideMark/>
          </w:tcPr>
          <w:p w:rsidR="004B5423" w:rsidRPr="004B5423" w:rsidP="004B5423">
            <w:pPr>
              <w:widowControl/>
              <w:jc w:val="center"/>
              <w:rPr>
                <w:rFonts w:ascii="Times New Roman" w:hAnsi="Times New Roman"/>
                <w:b/>
                <w:snapToGrid/>
                <w:color w:val="000000"/>
                <w:sz w:val="16"/>
                <w:szCs w:val="16"/>
              </w:rPr>
            </w:pPr>
            <w:r w:rsidRPr="004B5423">
              <w:rPr>
                <w:rFonts w:ascii="Times New Roman" w:hAnsi="Times New Roman"/>
                <w:b/>
                <w:snapToGrid/>
                <w:color w:val="000000"/>
                <w:sz w:val="16"/>
                <w:szCs w:val="16"/>
              </w:rPr>
              <w:t>Obligation to Respond</w:t>
            </w:r>
          </w:p>
        </w:tc>
        <w:tc>
          <w:tcPr>
            <w:tcW w:w="1170" w:type="dxa"/>
            <w:tcBorders>
              <w:top w:val="nil"/>
              <w:left w:val="nil"/>
              <w:bottom w:val="single" w:sz="4" w:space="0" w:color="auto"/>
              <w:right w:val="single" w:sz="4" w:space="0" w:color="auto"/>
            </w:tcBorders>
            <w:shd w:val="clear" w:color="auto" w:fill="auto"/>
            <w:vAlign w:val="center"/>
            <w:hideMark/>
          </w:tcPr>
          <w:p w:rsidR="004B5423" w:rsidRPr="004B5423" w:rsidP="004B5423">
            <w:pPr>
              <w:widowControl/>
              <w:jc w:val="center"/>
              <w:rPr>
                <w:rFonts w:ascii="Times New Roman" w:hAnsi="Times New Roman"/>
                <w:b/>
                <w:snapToGrid/>
                <w:color w:val="000000"/>
                <w:sz w:val="16"/>
                <w:szCs w:val="16"/>
              </w:rPr>
            </w:pPr>
            <w:r w:rsidRPr="004B5423">
              <w:rPr>
                <w:rFonts w:ascii="Times New Roman" w:hAnsi="Times New Roman"/>
                <w:b/>
                <w:snapToGrid/>
                <w:color w:val="000000"/>
                <w:sz w:val="16"/>
                <w:szCs w:val="16"/>
              </w:rPr>
              <w:t>Estimated Number of Respondents</w:t>
            </w:r>
          </w:p>
        </w:tc>
        <w:tc>
          <w:tcPr>
            <w:tcW w:w="990" w:type="dxa"/>
            <w:tcBorders>
              <w:top w:val="nil"/>
              <w:left w:val="nil"/>
              <w:bottom w:val="single" w:sz="4" w:space="0" w:color="auto"/>
              <w:right w:val="single" w:sz="4" w:space="0" w:color="auto"/>
            </w:tcBorders>
            <w:shd w:val="clear" w:color="auto" w:fill="auto"/>
            <w:vAlign w:val="center"/>
            <w:hideMark/>
          </w:tcPr>
          <w:p w:rsidR="004B5423" w:rsidRPr="004B5423" w:rsidP="004B5423">
            <w:pPr>
              <w:widowControl/>
              <w:jc w:val="center"/>
              <w:rPr>
                <w:rFonts w:ascii="Times New Roman" w:hAnsi="Times New Roman"/>
                <w:b/>
                <w:snapToGrid/>
                <w:color w:val="000000"/>
                <w:sz w:val="16"/>
                <w:szCs w:val="16"/>
              </w:rPr>
            </w:pPr>
            <w:r w:rsidRPr="004B5423">
              <w:rPr>
                <w:rFonts w:ascii="Times New Roman" w:hAnsi="Times New Roman"/>
                <w:b/>
                <w:snapToGrid/>
                <w:color w:val="000000"/>
                <w:sz w:val="16"/>
                <w:szCs w:val="16"/>
              </w:rPr>
              <w:t>Estimated Frequency of Responses</w:t>
            </w:r>
          </w:p>
        </w:tc>
        <w:tc>
          <w:tcPr>
            <w:tcW w:w="990" w:type="dxa"/>
            <w:tcBorders>
              <w:top w:val="nil"/>
              <w:left w:val="nil"/>
              <w:bottom w:val="single" w:sz="4" w:space="0" w:color="auto"/>
              <w:right w:val="single" w:sz="4" w:space="0" w:color="auto"/>
            </w:tcBorders>
            <w:shd w:val="clear" w:color="auto" w:fill="auto"/>
            <w:vAlign w:val="center"/>
            <w:hideMark/>
          </w:tcPr>
          <w:p w:rsidR="004B5423" w:rsidRPr="004B5423" w:rsidP="004B5423">
            <w:pPr>
              <w:widowControl/>
              <w:jc w:val="center"/>
              <w:rPr>
                <w:rFonts w:ascii="Times New Roman" w:hAnsi="Times New Roman"/>
                <w:b/>
                <w:snapToGrid/>
                <w:color w:val="000000"/>
                <w:sz w:val="16"/>
                <w:szCs w:val="16"/>
              </w:rPr>
            </w:pPr>
            <w:r w:rsidRPr="004B5423">
              <w:rPr>
                <w:rFonts w:ascii="Times New Roman" w:hAnsi="Times New Roman"/>
                <w:b/>
                <w:snapToGrid/>
                <w:color w:val="000000"/>
                <w:sz w:val="16"/>
                <w:szCs w:val="16"/>
              </w:rPr>
              <w:t>Estimated Time per Response (Hours)</w:t>
            </w:r>
          </w:p>
        </w:tc>
        <w:tc>
          <w:tcPr>
            <w:tcW w:w="1080" w:type="dxa"/>
            <w:tcBorders>
              <w:top w:val="nil"/>
              <w:left w:val="nil"/>
              <w:bottom w:val="single" w:sz="4" w:space="0" w:color="auto"/>
              <w:right w:val="single" w:sz="4" w:space="0" w:color="auto"/>
            </w:tcBorders>
            <w:shd w:val="clear" w:color="auto" w:fill="auto"/>
            <w:vAlign w:val="center"/>
            <w:hideMark/>
          </w:tcPr>
          <w:p w:rsidR="004B5423" w:rsidRPr="004B5423" w:rsidP="004B5423">
            <w:pPr>
              <w:widowControl/>
              <w:jc w:val="center"/>
              <w:rPr>
                <w:rFonts w:ascii="Times New Roman" w:hAnsi="Times New Roman"/>
                <w:b/>
                <w:snapToGrid/>
                <w:color w:val="000000"/>
                <w:sz w:val="16"/>
                <w:szCs w:val="16"/>
              </w:rPr>
            </w:pPr>
            <w:r w:rsidRPr="004B5423">
              <w:rPr>
                <w:rFonts w:ascii="Times New Roman" w:hAnsi="Times New Roman"/>
                <w:b/>
                <w:snapToGrid/>
                <w:color w:val="000000"/>
                <w:sz w:val="16"/>
                <w:szCs w:val="16"/>
              </w:rPr>
              <w:t>Estimated Annual Burden (Hours)</w:t>
            </w:r>
          </w:p>
        </w:tc>
      </w:tr>
      <w:tr w:rsidTr="004B5423">
        <w:tblPrEx>
          <w:tblW w:w="9710" w:type="dxa"/>
          <w:tblLayout w:type="fixed"/>
          <w:tblLook w:val="04A0"/>
        </w:tblPrEx>
        <w:trPr>
          <w:trHeight w:val="953"/>
        </w:trPr>
        <w:tc>
          <w:tcPr>
            <w:tcW w:w="3053" w:type="dxa"/>
            <w:tcBorders>
              <w:top w:val="nil"/>
              <w:left w:val="single" w:sz="4" w:space="0" w:color="auto"/>
              <w:bottom w:val="single" w:sz="4" w:space="0" w:color="auto"/>
              <w:right w:val="single" w:sz="4" w:space="0" w:color="auto"/>
            </w:tcBorders>
            <w:shd w:val="clear" w:color="auto" w:fill="auto"/>
            <w:vAlign w:val="center"/>
            <w:hideMark/>
          </w:tcPr>
          <w:p w:rsidR="004B5423" w:rsidRPr="004678BF" w:rsidP="004B5423">
            <w:pPr>
              <w:widowControl/>
              <w:rPr>
                <w:rFonts w:ascii="Times New Roman" w:hAnsi="Times New Roman"/>
                <w:snapToGrid/>
                <w:color w:val="000000"/>
                <w:sz w:val="20"/>
              </w:rPr>
            </w:pPr>
            <w:r w:rsidRPr="004678BF">
              <w:rPr>
                <w:rFonts w:ascii="Times New Roman" w:hAnsi="Times New Roman"/>
                <w:sz w:val="20"/>
              </w:rPr>
              <w:t xml:space="preserve">Establish AML/CFT Program. </w:t>
            </w:r>
            <w:r w:rsidRPr="004678BF">
              <w:rPr>
                <w:rFonts w:ascii="Times New Roman" w:hAnsi="Times New Roman"/>
                <w:i/>
                <w:iCs/>
                <w:sz w:val="20"/>
              </w:rPr>
              <w:t xml:space="preserve">(Implementation) </w:t>
            </w:r>
            <w:r w:rsidRPr="004678BF">
              <w:rPr>
                <w:rFonts w:ascii="Times New Roman" w:hAnsi="Times New Roman"/>
                <w:sz w:val="20"/>
              </w:rPr>
              <w:t xml:space="preserve">12 CFR </w:t>
            </w:r>
            <w:r w:rsidR="00E9755C">
              <w:rPr>
                <w:rFonts w:ascii="Times New Roman" w:hAnsi="Times New Roman"/>
                <w:sz w:val="20"/>
              </w:rPr>
              <w:t>326.8(b) and (c)</w:t>
            </w:r>
          </w:p>
        </w:tc>
        <w:tc>
          <w:tcPr>
            <w:tcW w:w="1347" w:type="dxa"/>
            <w:tcBorders>
              <w:top w:val="nil"/>
              <w:left w:val="nil"/>
              <w:bottom w:val="single" w:sz="4" w:space="0" w:color="auto"/>
              <w:right w:val="single" w:sz="4" w:space="0" w:color="auto"/>
            </w:tcBorders>
            <w:shd w:val="clear" w:color="auto" w:fill="auto"/>
            <w:vAlign w:val="center"/>
            <w:hideMark/>
          </w:tcPr>
          <w:p w:rsidR="004B5423" w:rsidRPr="004B5423" w:rsidP="004B5423">
            <w:pPr>
              <w:widowControl/>
              <w:jc w:val="center"/>
              <w:rPr>
                <w:rFonts w:ascii="Times New Roman" w:hAnsi="Times New Roman"/>
                <w:snapToGrid/>
                <w:color w:val="000000"/>
                <w:sz w:val="18"/>
                <w:szCs w:val="18"/>
              </w:rPr>
            </w:pPr>
            <w:r w:rsidRPr="004B5423">
              <w:rPr>
                <w:rFonts w:ascii="Times New Roman" w:hAnsi="Times New Roman"/>
                <w:snapToGrid/>
                <w:color w:val="000000"/>
                <w:sz w:val="18"/>
                <w:szCs w:val="18"/>
              </w:rPr>
              <w:t>Recordkeeping</w:t>
            </w:r>
          </w:p>
        </w:tc>
        <w:tc>
          <w:tcPr>
            <w:tcW w:w="1080" w:type="dxa"/>
            <w:tcBorders>
              <w:top w:val="nil"/>
              <w:left w:val="nil"/>
              <w:bottom w:val="single" w:sz="4" w:space="0" w:color="auto"/>
              <w:right w:val="single" w:sz="4" w:space="0" w:color="auto"/>
            </w:tcBorders>
            <w:shd w:val="clear" w:color="auto" w:fill="auto"/>
            <w:vAlign w:val="center"/>
            <w:hideMark/>
          </w:tcPr>
          <w:p w:rsidR="004B5423" w:rsidRPr="004B5423" w:rsidP="004B5423">
            <w:pPr>
              <w:widowControl/>
              <w:jc w:val="center"/>
              <w:rPr>
                <w:rFonts w:ascii="Times New Roman" w:hAnsi="Times New Roman"/>
                <w:snapToGrid/>
                <w:color w:val="000000"/>
                <w:sz w:val="18"/>
                <w:szCs w:val="18"/>
              </w:rPr>
            </w:pPr>
            <w:r w:rsidRPr="004B5423">
              <w:rPr>
                <w:rFonts w:ascii="Times New Roman" w:hAnsi="Times New Roman"/>
                <w:snapToGrid/>
                <w:color w:val="000000"/>
                <w:sz w:val="18"/>
                <w:szCs w:val="18"/>
              </w:rPr>
              <w:t>Mandatory</w:t>
            </w:r>
          </w:p>
        </w:tc>
        <w:tc>
          <w:tcPr>
            <w:tcW w:w="1170" w:type="dxa"/>
            <w:tcBorders>
              <w:top w:val="nil"/>
              <w:left w:val="nil"/>
              <w:bottom w:val="single" w:sz="4" w:space="0" w:color="auto"/>
              <w:right w:val="single" w:sz="4" w:space="0" w:color="auto"/>
            </w:tcBorders>
            <w:shd w:val="clear" w:color="auto" w:fill="auto"/>
            <w:vAlign w:val="center"/>
            <w:hideMark/>
          </w:tcPr>
          <w:p w:rsidR="004B5423" w:rsidRPr="004B5423" w:rsidP="004B5423">
            <w:pPr>
              <w:widowControl/>
              <w:jc w:val="center"/>
              <w:rPr>
                <w:rFonts w:ascii="Times New Roman" w:hAnsi="Times New Roman"/>
                <w:snapToGrid/>
                <w:color w:val="000000"/>
                <w:sz w:val="18"/>
                <w:szCs w:val="18"/>
              </w:rPr>
            </w:pPr>
            <w:r>
              <w:rPr>
                <w:rFonts w:ascii="Times New Roman" w:hAnsi="Times New Roman"/>
                <w:snapToGrid/>
                <w:color w:val="000000"/>
                <w:sz w:val="18"/>
                <w:szCs w:val="18"/>
              </w:rPr>
              <w:t>2,936</w:t>
            </w:r>
          </w:p>
        </w:tc>
        <w:tc>
          <w:tcPr>
            <w:tcW w:w="990" w:type="dxa"/>
            <w:tcBorders>
              <w:top w:val="nil"/>
              <w:left w:val="nil"/>
              <w:bottom w:val="single" w:sz="4" w:space="0" w:color="auto"/>
              <w:right w:val="single" w:sz="4" w:space="0" w:color="auto"/>
            </w:tcBorders>
            <w:shd w:val="clear" w:color="auto" w:fill="auto"/>
            <w:vAlign w:val="center"/>
            <w:hideMark/>
          </w:tcPr>
          <w:p w:rsidR="004B5423" w:rsidRPr="004B5423" w:rsidP="004B5423">
            <w:pPr>
              <w:widowControl/>
              <w:jc w:val="center"/>
              <w:rPr>
                <w:rFonts w:ascii="Times New Roman" w:hAnsi="Times New Roman"/>
                <w:snapToGrid/>
                <w:color w:val="000000"/>
                <w:sz w:val="18"/>
                <w:szCs w:val="18"/>
              </w:rPr>
            </w:pPr>
            <w:r>
              <w:rPr>
                <w:rFonts w:ascii="Times New Roman" w:hAnsi="Times New Roman"/>
                <w:snapToGrid/>
                <w:color w:val="000000"/>
                <w:sz w:val="18"/>
                <w:szCs w:val="18"/>
              </w:rPr>
              <w:t>.3</w:t>
            </w:r>
          </w:p>
        </w:tc>
        <w:tc>
          <w:tcPr>
            <w:tcW w:w="990" w:type="dxa"/>
            <w:tcBorders>
              <w:top w:val="nil"/>
              <w:left w:val="nil"/>
              <w:bottom w:val="single" w:sz="4" w:space="0" w:color="auto"/>
              <w:right w:val="single" w:sz="4" w:space="0" w:color="auto"/>
            </w:tcBorders>
            <w:shd w:val="clear" w:color="auto" w:fill="auto"/>
            <w:vAlign w:val="center"/>
            <w:hideMark/>
          </w:tcPr>
          <w:p w:rsidR="004B5423" w:rsidRPr="004B5423" w:rsidP="004B5423">
            <w:pPr>
              <w:widowControl/>
              <w:jc w:val="center"/>
              <w:rPr>
                <w:rFonts w:ascii="Times New Roman" w:hAnsi="Times New Roman"/>
                <w:snapToGrid/>
                <w:color w:val="000000"/>
                <w:sz w:val="18"/>
                <w:szCs w:val="18"/>
              </w:rPr>
            </w:pPr>
            <w:r w:rsidRPr="004B5423">
              <w:rPr>
                <w:rFonts w:ascii="Times New Roman" w:hAnsi="Times New Roman"/>
                <w:snapToGrid/>
                <w:color w:val="000000"/>
                <w:sz w:val="18"/>
                <w:szCs w:val="18"/>
              </w:rPr>
              <w:t>3</w:t>
            </w:r>
            <w:r w:rsidR="00E9755C">
              <w:rPr>
                <w:rFonts w:ascii="Times New Roman" w:hAnsi="Times New Roman"/>
                <w:snapToGrid/>
                <w:color w:val="000000"/>
                <w:sz w:val="18"/>
                <w:szCs w:val="18"/>
              </w:rPr>
              <w:t>2</w:t>
            </w:r>
          </w:p>
        </w:tc>
        <w:tc>
          <w:tcPr>
            <w:tcW w:w="1080" w:type="dxa"/>
            <w:tcBorders>
              <w:top w:val="nil"/>
              <w:left w:val="nil"/>
              <w:bottom w:val="single" w:sz="4" w:space="0" w:color="auto"/>
              <w:right w:val="single" w:sz="4" w:space="0" w:color="auto"/>
            </w:tcBorders>
            <w:shd w:val="clear" w:color="auto" w:fill="auto"/>
            <w:vAlign w:val="center"/>
          </w:tcPr>
          <w:p w:rsidR="004B5423" w:rsidRPr="004B5423" w:rsidP="004B5423">
            <w:pPr>
              <w:widowControl/>
              <w:jc w:val="center"/>
              <w:rPr>
                <w:rFonts w:ascii="Times New Roman" w:hAnsi="Times New Roman"/>
                <w:snapToGrid/>
                <w:color w:val="000000"/>
                <w:sz w:val="18"/>
                <w:szCs w:val="18"/>
              </w:rPr>
            </w:pPr>
            <w:r>
              <w:rPr>
                <w:rFonts w:ascii="Times New Roman" w:hAnsi="Times New Roman"/>
                <w:snapToGrid/>
                <w:color w:val="000000"/>
                <w:sz w:val="18"/>
                <w:szCs w:val="18"/>
              </w:rPr>
              <w:t>31,328</w:t>
            </w:r>
          </w:p>
        </w:tc>
      </w:tr>
      <w:tr w:rsidTr="004B5423">
        <w:tblPrEx>
          <w:tblW w:w="9710" w:type="dxa"/>
          <w:tblLayout w:type="fixed"/>
          <w:tblLook w:val="04A0"/>
        </w:tblPrEx>
        <w:trPr>
          <w:trHeight w:val="953"/>
        </w:trPr>
        <w:tc>
          <w:tcPr>
            <w:tcW w:w="3053" w:type="dxa"/>
            <w:tcBorders>
              <w:top w:val="nil"/>
              <w:left w:val="single" w:sz="4" w:space="0" w:color="auto"/>
              <w:bottom w:val="single" w:sz="4" w:space="0" w:color="auto"/>
              <w:right w:val="single" w:sz="4" w:space="0" w:color="auto"/>
            </w:tcBorders>
            <w:shd w:val="clear" w:color="auto" w:fill="auto"/>
            <w:vAlign w:val="center"/>
          </w:tcPr>
          <w:p w:rsidR="004B5423" w:rsidRPr="004B5423" w:rsidP="004B5423">
            <w:pPr>
              <w:widowControl/>
              <w:rPr>
                <w:rFonts w:ascii="Times New Roman" w:hAnsi="Times New Roman"/>
                <w:snapToGrid/>
                <w:color w:val="000000"/>
                <w:sz w:val="18"/>
                <w:szCs w:val="18"/>
              </w:rPr>
            </w:pPr>
            <w:r>
              <w:rPr>
                <w:rFonts w:ascii="Times New Roman" w:hAnsi="Times New Roman"/>
                <w:sz w:val="20"/>
              </w:rPr>
              <w:t>Maintain</w:t>
            </w:r>
            <w:r w:rsidRPr="004678BF">
              <w:rPr>
                <w:rFonts w:ascii="Times New Roman" w:hAnsi="Times New Roman"/>
                <w:sz w:val="20"/>
              </w:rPr>
              <w:t xml:space="preserve"> AML/CFT Program. </w:t>
            </w:r>
            <w:r w:rsidR="005D7A5A">
              <w:rPr>
                <w:rFonts w:ascii="Times New Roman" w:hAnsi="Times New Roman"/>
                <w:i/>
                <w:iCs/>
                <w:sz w:val="20"/>
              </w:rPr>
              <w:t>(Ongoing</w:t>
            </w:r>
            <w:r w:rsidRPr="004678BF">
              <w:rPr>
                <w:rFonts w:ascii="Times New Roman" w:hAnsi="Times New Roman"/>
                <w:i/>
                <w:iCs/>
                <w:sz w:val="20"/>
              </w:rPr>
              <w:t xml:space="preserve">) </w:t>
            </w:r>
            <w:r w:rsidRPr="004678BF">
              <w:rPr>
                <w:rFonts w:ascii="Times New Roman" w:hAnsi="Times New Roman"/>
                <w:sz w:val="20"/>
              </w:rPr>
              <w:t xml:space="preserve">12 CFR </w:t>
            </w:r>
            <w:r>
              <w:rPr>
                <w:rFonts w:ascii="Times New Roman" w:hAnsi="Times New Roman"/>
                <w:sz w:val="20"/>
              </w:rPr>
              <w:t>326.8(b) and (c)</w:t>
            </w:r>
          </w:p>
        </w:tc>
        <w:tc>
          <w:tcPr>
            <w:tcW w:w="1347" w:type="dxa"/>
            <w:tcBorders>
              <w:top w:val="nil"/>
              <w:left w:val="nil"/>
              <w:bottom w:val="single" w:sz="4" w:space="0" w:color="auto"/>
              <w:right w:val="single" w:sz="4" w:space="0" w:color="auto"/>
            </w:tcBorders>
            <w:shd w:val="clear" w:color="auto" w:fill="auto"/>
            <w:vAlign w:val="center"/>
          </w:tcPr>
          <w:p w:rsidR="004B5423" w:rsidRPr="004B5423" w:rsidP="004B5423">
            <w:pPr>
              <w:widowControl/>
              <w:jc w:val="center"/>
              <w:rPr>
                <w:rFonts w:ascii="Times New Roman" w:hAnsi="Times New Roman"/>
                <w:snapToGrid/>
                <w:color w:val="000000"/>
                <w:sz w:val="18"/>
                <w:szCs w:val="18"/>
              </w:rPr>
            </w:pPr>
            <w:r w:rsidRPr="004B5423">
              <w:rPr>
                <w:rFonts w:ascii="Times New Roman" w:hAnsi="Times New Roman"/>
                <w:snapToGrid/>
                <w:color w:val="000000"/>
                <w:sz w:val="18"/>
                <w:szCs w:val="18"/>
              </w:rPr>
              <w:t>Recordkeeping</w:t>
            </w:r>
          </w:p>
        </w:tc>
        <w:tc>
          <w:tcPr>
            <w:tcW w:w="1080" w:type="dxa"/>
            <w:tcBorders>
              <w:top w:val="nil"/>
              <w:left w:val="nil"/>
              <w:bottom w:val="single" w:sz="4" w:space="0" w:color="auto"/>
              <w:right w:val="single" w:sz="4" w:space="0" w:color="auto"/>
            </w:tcBorders>
            <w:shd w:val="clear" w:color="auto" w:fill="auto"/>
            <w:vAlign w:val="center"/>
          </w:tcPr>
          <w:p w:rsidR="004B5423" w:rsidRPr="004B5423" w:rsidP="004B5423">
            <w:pPr>
              <w:widowControl/>
              <w:jc w:val="center"/>
              <w:rPr>
                <w:rFonts w:ascii="Times New Roman" w:hAnsi="Times New Roman"/>
                <w:snapToGrid/>
                <w:color w:val="000000"/>
                <w:sz w:val="18"/>
                <w:szCs w:val="18"/>
              </w:rPr>
            </w:pPr>
            <w:r w:rsidRPr="004B5423">
              <w:rPr>
                <w:rFonts w:ascii="Times New Roman" w:hAnsi="Times New Roman"/>
                <w:snapToGrid/>
                <w:color w:val="000000"/>
                <w:sz w:val="18"/>
                <w:szCs w:val="18"/>
              </w:rPr>
              <w:t>Mandatory</w:t>
            </w:r>
          </w:p>
        </w:tc>
        <w:tc>
          <w:tcPr>
            <w:tcW w:w="1170" w:type="dxa"/>
            <w:tcBorders>
              <w:top w:val="nil"/>
              <w:left w:val="nil"/>
              <w:bottom w:val="single" w:sz="4" w:space="0" w:color="auto"/>
              <w:right w:val="single" w:sz="4" w:space="0" w:color="auto"/>
            </w:tcBorders>
            <w:shd w:val="clear" w:color="auto" w:fill="auto"/>
            <w:vAlign w:val="center"/>
          </w:tcPr>
          <w:p w:rsidR="004B5423" w:rsidRPr="004B5423" w:rsidP="004B5423">
            <w:pPr>
              <w:widowControl/>
              <w:jc w:val="center"/>
              <w:rPr>
                <w:rFonts w:ascii="Times New Roman" w:hAnsi="Times New Roman"/>
                <w:snapToGrid/>
                <w:color w:val="000000"/>
                <w:sz w:val="18"/>
                <w:szCs w:val="18"/>
              </w:rPr>
            </w:pPr>
            <w:r>
              <w:rPr>
                <w:rFonts w:ascii="Times New Roman" w:hAnsi="Times New Roman"/>
                <w:snapToGrid/>
                <w:color w:val="000000"/>
                <w:sz w:val="18"/>
                <w:szCs w:val="18"/>
              </w:rPr>
              <w:t>2,936</w:t>
            </w:r>
          </w:p>
        </w:tc>
        <w:tc>
          <w:tcPr>
            <w:tcW w:w="990" w:type="dxa"/>
            <w:tcBorders>
              <w:top w:val="nil"/>
              <w:left w:val="nil"/>
              <w:bottom w:val="single" w:sz="4" w:space="0" w:color="auto"/>
              <w:right w:val="single" w:sz="4" w:space="0" w:color="auto"/>
            </w:tcBorders>
            <w:shd w:val="clear" w:color="auto" w:fill="auto"/>
            <w:vAlign w:val="center"/>
          </w:tcPr>
          <w:p w:rsidR="004B5423" w:rsidRPr="004B5423" w:rsidP="004B5423">
            <w:pPr>
              <w:widowControl/>
              <w:jc w:val="center"/>
              <w:rPr>
                <w:rFonts w:ascii="Times New Roman" w:hAnsi="Times New Roman"/>
                <w:snapToGrid/>
                <w:color w:val="000000"/>
                <w:sz w:val="18"/>
                <w:szCs w:val="18"/>
              </w:rPr>
            </w:pPr>
            <w:r>
              <w:rPr>
                <w:rFonts w:ascii="Times New Roman" w:hAnsi="Times New Roman"/>
                <w:snapToGrid/>
                <w:color w:val="000000"/>
                <w:sz w:val="18"/>
                <w:szCs w:val="18"/>
              </w:rPr>
              <w:t>1</w:t>
            </w:r>
          </w:p>
        </w:tc>
        <w:tc>
          <w:tcPr>
            <w:tcW w:w="990" w:type="dxa"/>
            <w:tcBorders>
              <w:top w:val="nil"/>
              <w:left w:val="nil"/>
              <w:bottom w:val="single" w:sz="4" w:space="0" w:color="auto"/>
              <w:right w:val="single" w:sz="4" w:space="0" w:color="auto"/>
            </w:tcBorders>
            <w:shd w:val="clear" w:color="auto" w:fill="auto"/>
            <w:vAlign w:val="center"/>
          </w:tcPr>
          <w:p w:rsidR="004B5423" w:rsidRPr="004B5423" w:rsidP="00E9755C">
            <w:pPr>
              <w:widowControl/>
              <w:jc w:val="center"/>
              <w:rPr>
                <w:rFonts w:ascii="Times New Roman" w:hAnsi="Times New Roman"/>
                <w:snapToGrid/>
                <w:color w:val="000000"/>
                <w:sz w:val="18"/>
                <w:szCs w:val="18"/>
              </w:rPr>
            </w:pPr>
            <w:r>
              <w:rPr>
                <w:rFonts w:ascii="Times New Roman" w:hAnsi="Times New Roman"/>
                <w:snapToGrid/>
                <w:color w:val="000000"/>
                <w:sz w:val="18"/>
                <w:szCs w:val="18"/>
              </w:rPr>
              <w:t>8</w:t>
            </w:r>
          </w:p>
        </w:tc>
        <w:tc>
          <w:tcPr>
            <w:tcW w:w="1080" w:type="dxa"/>
            <w:tcBorders>
              <w:top w:val="nil"/>
              <w:left w:val="nil"/>
              <w:bottom w:val="single" w:sz="4" w:space="0" w:color="auto"/>
              <w:right w:val="single" w:sz="4" w:space="0" w:color="auto"/>
            </w:tcBorders>
            <w:shd w:val="clear" w:color="auto" w:fill="auto"/>
            <w:vAlign w:val="center"/>
          </w:tcPr>
          <w:p w:rsidR="004B5423" w:rsidRPr="004B5423" w:rsidP="004B5423">
            <w:pPr>
              <w:widowControl/>
              <w:jc w:val="center"/>
              <w:rPr>
                <w:rFonts w:ascii="Times New Roman" w:hAnsi="Times New Roman"/>
                <w:snapToGrid/>
                <w:color w:val="000000"/>
                <w:sz w:val="18"/>
                <w:szCs w:val="18"/>
              </w:rPr>
            </w:pPr>
            <w:r>
              <w:rPr>
                <w:rFonts w:ascii="Times New Roman" w:hAnsi="Times New Roman"/>
                <w:snapToGrid/>
                <w:color w:val="000000"/>
                <w:sz w:val="18"/>
                <w:szCs w:val="18"/>
              </w:rPr>
              <w:t>23,488</w:t>
            </w:r>
          </w:p>
        </w:tc>
      </w:tr>
      <w:tr w:rsidTr="004B5423">
        <w:tblPrEx>
          <w:tblW w:w="9710" w:type="dxa"/>
          <w:tblLayout w:type="fixed"/>
          <w:tblLook w:val="04A0"/>
        </w:tblPrEx>
        <w:trPr>
          <w:trHeight w:val="738"/>
        </w:trPr>
        <w:tc>
          <w:tcPr>
            <w:tcW w:w="7640" w:type="dxa"/>
            <w:gridSpan w:val="5"/>
            <w:tcBorders>
              <w:top w:val="single" w:sz="4" w:space="0" w:color="auto"/>
            </w:tcBorders>
            <w:shd w:val="clear" w:color="auto" w:fill="auto"/>
            <w:vAlign w:val="center"/>
            <w:hideMark/>
          </w:tcPr>
          <w:p w:rsidR="004B5423" w:rsidRPr="004B5423" w:rsidP="004B5423">
            <w:pPr>
              <w:widowControl/>
              <w:rPr>
                <w:rFonts w:ascii="Times New Roman" w:hAnsi="Times New Roman"/>
                <w:b/>
                <w:bCs/>
                <w:snapToGrid/>
                <w:color w:val="000000"/>
                <w:sz w:val="18"/>
                <w:szCs w:val="16"/>
              </w:rPr>
            </w:pPr>
            <w:r w:rsidRPr="004B5423">
              <w:rPr>
                <w:rFonts w:ascii="Times New Roman" w:hAnsi="Times New Roman"/>
                <w:b/>
                <w:bCs/>
                <w:snapToGrid/>
                <w:color w:val="000000"/>
                <w:sz w:val="20"/>
                <w:szCs w:val="16"/>
              </w:rPr>
              <w:t>Total Estimated Annual Burden</w:t>
            </w:r>
          </w:p>
          <w:p w:rsidR="004B5423" w:rsidRPr="004B5423" w:rsidP="004B5423">
            <w:pPr>
              <w:widowControl/>
              <w:rPr>
                <w:rFonts w:ascii="Times New Roman" w:hAnsi="Times New Roman"/>
                <w:snapToGrid/>
                <w:color w:val="000000"/>
                <w:sz w:val="16"/>
                <w:szCs w:val="16"/>
              </w:rPr>
            </w:pPr>
            <w:r w:rsidRPr="004B5423">
              <w:rPr>
                <w:rFonts w:ascii="Times New Roman" w:hAnsi="Times New Roman"/>
                <w:snapToGrid/>
                <w:color w:val="000000"/>
                <w:sz w:val="16"/>
                <w:szCs w:val="16"/>
              </w:rPr>
              <w:t> </w:t>
            </w:r>
          </w:p>
        </w:tc>
        <w:tc>
          <w:tcPr>
            <w:tcW w:w="2070" w:type="dxa"/>
            <w:gridSpan w:val="2"/>
            <w:tcBorders>
              <w:top w:val="single" w:sz="4" w:space="0" w:color="auto"/>
            </w:tcBorders>
            <w:shd w:val="clear" w:color="auto" w:fill="auto"/>
            <w:noWrap/>
            <w:vAlign w:val="center"/>
            <w:hideMark/>
          </w:tcPr>
          <w:p w:rsidR="004B5423" w:rsidRPr="004B5423" w:rsidP="004B5423">
            <w:pPr>
              <w:widowControl/>
              <w:jc w:val="right"/>
              <w:rPr>
                <w:rFonts w:ascii="Times New Roman" w:hAnsi="Times New Roman"/>
                <w:b/>
                <w:snapToGrid/>
                <w:color w:val="000000"/>
                <w:sz w:val="16"/>
                <w:szCs w:val="16"/>
              </w:rPr>
            </w:pPr>
            <w:r>
              <w:rPr>
                <w:rFonts w:ascii="Times New Roman" w:hAnsi="Times New Roman"/>
                <w:b/>
                <w:snapToGrid/>
                <w:color w:val="000000"/>
                <w:sz w:val="20"/>
                <w:szCs w:val="16"/>
              </w:rPr>
              <w:t>54,816</w:t>
            </w:r>
            <w:r w:rsidRPr="004B5423" w:rsidR="00A50655">
              <w:rPr>
                <w:rFonts w:ascii="Times New Roman" w:hAnsi="Times New Roman"/>
                <w:b/>
                <w:snapToGrid/>
                <w:color w:val="000000"/>
                <w:sz w:val="20"/>
                <w:szCs w:val="16"/>
              </w:rPr>
              <w:t xml:space="preserve"> hours</w:t>
            </w:r>
          </w:p>
        </w:tc>
      </w:tr>
    </w:tbl>
    <w:p w:rsidR="00B75F0F">
      <w:pPr>
        <w:rPr>
          <w:rFonts w:ascii="Times New Roman" w:hAnsi="Times New Roman"/>
        </w:rPr>
      </w:pPr>
    </w:p>
    <w:p w:rsidR="00881712" w:rsidP="00881712">
      <w:pPr>
        <w:tabs>
          <w:tab w:val="left" w:pos="-1440"/>
        </w:tabs>
        <w:ind w:firstLine="720"/>
        <w:rPr>
          <w:rFonts w:ascii="Times New Roman" w:hAnsi="Times New Roman"/>
        </w:rPr>
      </w:pPr>
      <w:r w:rsidRPr="00881712">
        <w:rPr>
          <w:rFonts w:ascii="Times New Roman" w:hAnsi="Times New Roman"/>
          <w:bCs/>
          <w:i/>
          <w:iCs/>
          <w:szCs w:val="24"/>
        </w:rPr>
        <w:t>Annualized</w:t>
      </w:r>
      <w:r w:rsidRPr="00D64624">
        <w:rPr>
          <w:rFonts w:ascii="Times New Roman" w:hAnsi="Times New Roman"/>
          <w:i/>
          <w:szCs w:val="24"/>
        </w:rPr>
        <w:t xml:space="preserve"> Cost of Internal Hourly Burd</w:t>
      </w:r>
      <w:r w:rsidR="00BD64F8">
        <w:rPr>
          <w:rFonts w:ascii="Times New Roman" w:hAnsi="Times New Roman"/>
          <w:i/>
          <w:szCs w:val="24"/>
        </w:rPr>
        <w:t>en</w:t>
      </w:r>
      <w:r w:rsidRPr="00D64624">
        <w:rPr>
          <w:rFonts w:ascii="Times New Roman" w:hAnsi="Times New Roman"/>
          <w:i/>
          <w:szCs w:val="24"/>
        </w:rPr>
        <w:t>:</w:t>
      </w:r>
    </w:p>
    <w:p w:rsidR="00881712">
      <w:pPr>
        <w:rPr>
          <w:rFonts w:ascii="Times New Roman" w:hAnsi="Times New Roman"/>
        </w:rPr>
      </w:pPr>
    </w:p>
    <w:p w:rsidR="00F3508E" w:rsidRPr="00F3508E" w:rsidP="00F3508E">
      <w:pPr>
        <w:autoSpaceDE w:val="0"/>
        <w:autoSpaceDN w:val="0"/>
        <w:spacing w:before="240" w:after="120" w:line="240" w:lineRule="exact"/>
        <w:rPr>
          <w:rFonts w:ascii="Times New Roman" w:eastAsia="Source Sans Pro" w:hAnsi="Times New Roman"/>
          <w:b/>
          <w:snapToGrid/>
          <w:color w:val="000000"/>
          <w:szCs w:val="24"/>
          <w:lang w:bidi="en-US"/>
        </w:rPr>
      </w:pPr>
      <w:r w:rsidRPr="00F3508E">
        <w:rPr>
          <w:rFonts w:ascii="Times New Roman" w:eastAsia="Source Sans Pro" w:hAnsi="Times New Roman"/>
          <w:b/>
          <w:snapToGrid/>
          <w:color w:val="000000"/>
          <w:szCs w:val="24"/>
          <w:lang w:bidi="en-US"/>
        </w:rPr>
        <w:t>Estimated Hourly Cost</w:t>
      </w:r>
    </w:p>
    <w:p w:rsidR="00F3508E" w:rsidRPr="00F3508E" w:rsidP="00F3508E">
      <w:pPr>
        <w:autoSpaceDE w:val="0"/>
        <w:autoSpaceDN w:val="0"/>
        <w:spacing w:before="240" w:after="120" w:line="240" w:lineRule="exact"/>
        <w:rPr>
          <w:rFonts w:ascii="Times New Roman" w:eastAsia="Source Sans Pro" w:hAnsi="Times New Roman"/>
          <w:snapToGrid/>
          <w:color w:val="000000"/>
          <w:szCs w:val="24"/>
          <w:lang w:bidi="en-US"/>
        </w:rPr>
      </w:pPr>
      <w:r w:rsidRPr="00F3508E">
        <w:rPr>
          <w:rFonts w:ascii="Times New Roman" w:eastAsia="Source Sans Pro" w:hAnsi="Times New Roman"/>
          <w:snapToGrid/>
          <w:color w:val="000000"/>
          <w:szCs w:val="24"/>
          <w:lang w:bidi="en-US"/>
        </w:rPr>
        <w:t xml:space="preserve">The estimated hourly cost </w:t>
      </w:r>
      <w:r w:rsidR="00162CDD">
        <w:rPr>
          <w:rFonts w:ascii="Times New Roman" w:eastAsia="Source Sans Pro" w:hAnsi="Times New Roman"/>
          <w:snapToGrid/>
          <w:color w:val="000000"/>
          <w:szCs w:val="24"/>
          <w:lang w:bidi="en-US"/>
        </w:rPr>
        <w:t>is</w:t>
      </w:r>
      <w:r w:rsidRPr="00F3508E">
        <w:rPr>
          <w:rFonts w:ascii="Times New Roman" w:eastAsia="Source Sans Pro" w:hAnsi="Times New Roman"/>
          <w:snapToGrid/>
          <w:color w:val="000000"/>
          <w:szCs w:val="24"/>
          <w:lang w:bidi="en-US"/>
        </w:rPr>
        <w:t xml:space="preserve"> derived using an assumption that Management Occupations would conduct 1 percent of the hourly burden associated with this collection, Compliance Officers would conduct 29 percent, and Office and Administrative Support Occupations would conduct 70 percent. </w:t>
      </w:r>
    </w:p>
    <w:p w:rsidR="00F3508E" w:rsidRPr="00F3508E" w:rsidP="00F3508E">
      <w:pPr>
        <w:autoSpaceDE w:val="0"/>
        <w:autoSpaceDN w:val="0"/>
        <w:spacing w:before="240" w:after="120" w:line="240" w:lineRule="exact"/>
        <w:rPr>
          <w:rFonts w:ascii="Times New Roman" w:eastAsia="Source Sans Pro" w:hAnsi="Times New Roman"/>
          <w:snapToGrid/>
          <w:color w:val="000000"/>
          <w:szCs w:val="24"/>
          <w:lang w:bidi="en-US"/>
        </w:rPr>
      </w:pPr>
      <w:r w:rsidRPr="00F3508E">
        <w:rPr>
          <w:rFonts w:ascii="Times New Roman" w:eastAsia="Source Sans Pro" w:hAnsi="Times New Roman"/>
          <w:snapToGrid/>
          <w:color w:val="000000"/>
          <w:szCs w:val="24"/>
          <w:lang w:bidi="en-US"/>
        </w:rPr>
        <w:t xml:space="preserve">To estimate the hourly cost of compliance, </w:t>
      </w:r>
      <w:r w:rsidR="0056624C">
        <w:rPr>
          <w:rFonts w:ascii="Times New Roman" w:eastAsia="Source Sans Pro" w:hAnsi="Times New Roman"/>
          <w:snapToGrid/>
          <w:color w:val="000000"/>
          <w:szCs w:val="24"/>
          <w:lang w:bidi="en-US"/>
        </w:rPr>
        <w:t>FDIC</w:t>
      </w:r>
      <w:r w:rsidRPr="00F3508E">
        <w:rPr>
          <w:rFonts w:ascii="Times New Roman" w:eastAsia="Source Sans Pro" w:hAnsi="Times New Roman"/>
          <w:snapToGrid/>
          <w:color w:val="000000"/>
          <w:szCs w:val="24"/>
          <w:lang w:bidi="en-US"/>
        </w:rPr>
        <w:t xml:space="preserve"> use</w:t>
      </w:r>
      <w:r w:rsidR="0056624C">
        <w:rPr>
          <w:rFonts w:ascii="Times New Roman" w:eastAsia="Source Sans Pro" w:hAnsi="Times New Roman"/>
          <w:snapToGrid/>
          <w:color w:val="000000"/>
          <w:szCs w:val="24"/>
          <w:lang w:bidi="en-US"/>
        </w:rPr>
        <w:t>s</w:t>
      </w:r>
      <w:r w:rsidRPr="00F3508E">
        <w:rPr>
          <w:rFonts w:ascii="Times New Roman" w:eastAsia="Source Sans Pro" w:hAnsi="Times New Roman"/>
          <w:snapToGrid/>
          <w:color w:val="000000"/>
          <w:szCs w:val="24"/>
          <w:lang w:bidi="en-US"/>
        </w:rPr>
        <w:t xml:space="preserve"> the 75th percentile hourly wages reported by the Bureau of Labor Statistics (BLS) National Industry-Specific Occupational Employment and Wage Estimates (OEWS) for the relevant occupations in the Depository Credit Intermediation sector. However, the latest OEWS wage data are as of May 2021 and do not include non-wage compensation. To adjust th</w:t>
      </w:r>
      <w:r w:rsidR="00162CDD">
        <w:rPr>
          <w:rFonts w:ascii="Times New Roman" w:eastAsia="Source Sans Pro" w:hAnsi="Times New Roman"/>
          <w:snapToGrid/>
          <w:color w:val="000000"/>
          <w:szCs w:val="24"/>
          <w:lang w:bidi="en-US"/>
        </w:rPr>
        <w:t xml:space="preserve">ese wages for use in this </w:t>
      </w:r>
      <w:r w:rsidR="00A56F70">
        <w:rPr>
          <w:rFonts w:ascii="Times New Roman" w:eastAsia="Source Sans Pro" w:hAnsi="Times New Roman"/>
          <w:snapToGrid/>
          <w:color w:val="000000"/>
          <w:szCs w:val="24"/>
          <w:lang w:bidi="en-US"/>
        </w:rPr>
        <w:t>estimate</w:t>
      </w:r>
      <w:r w:rsidR="0056624C">
        <w:rPr>
          <w:rFonts w:ascii="Times New Roman" w:eastAsia="Source Sans Pro" w:hAnsi="Times New Roman"/>
          <w:snapToGrid/>
          <w:color w:val="000000"/>
          <w:szCs w:val="24"/>
          <w:lang w:bidi="en-US"/>
        </w:rPr>
        <w:t>, FDIC multiplies</w:t>
      </w:r>
      <w:r w:rsidRPr="00F3508E">
        <w:rPr>
          <w:rFonts w:ascii="Times New Roman" w:eastAsia="Source Sans Pro" w:hAnsi="Times New Roman"/>
          <w:snapToGrid/>
          <w:color w:val="000000"/>
          <w:szCs w:val="24"/>
          <w:lang w:bidi="en-US"/>
        </w:rPr>
        <w:t xml:space="preserve"> the OEWS hourly wages by approximately 1.51 to account for non-wage compensation, using the BLS Employer Cost of Employee Compensation (ECEC) data as of March 2021. I</w:t>
      </w:r>
      <w:r w:rsidR="0056624C">
        <w:rPr>
          <w:rFonts w:ascii="Times New Roman" w:eastAsia="Source Sans Pro" w:hAnsi="Times New Roman"/>
          <w:snapToGrid/>
          <w:color w:val="000000"/>
          <w:szCs w:val="24"/>
          <w:lang w:bidi="en-US"/>
        </w:rPr>
        <w:t>t then multiplies</w:t>
      </w:r>
      <w:r w:rsidRPr="00F3508E">
        <w:rPr>
          <w:rFonts w:ascii="Times New Roman" w:eastAsia="Source Sans Pro" w:hAnsi="Times New Roman"/>
          <w:snapToGrid/>
          <w:color w:val="000000"/>
          <w:szCs w:val="24"/>
          <w:lang w:bidi="en-US"/>
        </w:rPr>
        <w:t xml:space="preserve"> the resulting compensation rates by approximately 1.10 to account for the change in the seasonally adjusted Employment Cost Index for the Credit Intermediation and Related Activities sector (NAICS Code 522) between March 2021 and December 2022.</w:t>
      </w:r>
    </w:p>
    <w:p w:rsidR="00F3508E" w:rsidRPr="00F3508E" w:rsidP="00F3508E">
      <w:pPr>
        <w:autoSpaceDE w:val="0"/>
        <w:autoSpaceDN w:val="0"/>
        <w:spacing w:before="240" w:after="120" w:line="240" w:lineRule="exact"/>
        <w:rPr>
          <w:rFonts w:ascii="Times New Roman" w:eastAsia="Source Sans Pro" w:hAnsi="Times New Roman"/>
          <w:snapToGrid/>
          <w:color w:val="000000"/>
          <w:szCs w:val="24"/>
          <w:lang w:bidi="en-US"/>
        </w:rPr>
      </w:pPr>
      <w:r w:rsidRPr="00F3508E">
        <w:rPr>
          <w:rFonts w:ascii="Times New Roman" w:eastAsia="Source Sans Pro" w:hAnsi="Times New Roman"/>
          <w:snapToGrid/>
          <w:color w:val="000000"/>
          <w:szCs w:val="24"/>
          <w:lang w:bidi="en-US"/>
        </w:rPr>
        <w:t>Table 2 shows the labor allocation and hourly cos</w:t>
      </w:r>
      <w:r w:rsidR="005D7A5A">
        <w:rPr>
          <w:rFonts w:ascii="Times New Roman" w:eastAsia="Source Sans Pro" w:hAnsi="Times New Roman"/>
          <w:snapToGrid/>
          <w:color w:val="000000"/>
          <w:szCs w:val="24"/>
          <w:lang w:bidi="en-US"/>
        </w:rPr>
        <w:t>t estimate for each of the two</w:t>
      </w:r>
      <w:r w:rsidRPr="00F3508E">
        <w:rPr>
          <w:rFonts w:ascii="Times New Roman" w:eastAsia="Source Sans Pro" w:hAnsi="Times New Roman"/>
          <w:snapToGrid/>
          <w:color w:val="000000"/>
          <w:szCs w:val="24"/>
          <w:lang w:bidi="en-US"/>
        </w:rPr>
        <w:t xml:space="preserve"> line items in this ICR.</w:t>
      </w:r>
    </w:p>
    <w:tbl>
      <w:tblPr>
        <w:tblW w:w="10160" w:type="dxa"/>
        <w:tblLayout w:type="fixed"/>
        <w:tblLook w:val="04A0"/>
      </w:tblPr>
      <w:tblGrid>
        <w:gridCol w:w="2240"/>
        <w:gridCol w:w="810"/>
        <w:gridCol w:w="810"/>
        <w:gridCol w:w="990"/>
        <w:gridCol w:w="900"/>
        <w:gridCol w:w="990"/>
        <w:gridCol w:w="990"/>
        <w:gridCol w:w="900"/>
        <w:gridCol w:w="1530"/>
      </w:tblGrid>
      <w:tr w:rsidTr="00ED475D">
        <w:tblPrEx>
          <w:tblW w:w="10160" w:type="dxa"/>
          <w:tblLayout w:type="fixed"/>
          <w:tblLook w:val="04A0"/>
        </w:tblPrEx>
        <w:trPr>
          <w:trHeight w:val="360"/>
        </w:trPr>
        <w:tc>
          <w:tcPr>
            <w:tcW w:w="10160" w:type="dxa"/>
            <w:gridSpan w:val="9"/>
            <w:tcBorders>
              <w:top w:val="single" w:sz="8" w:space="0" w:color="auto"/>
              <w:left w:val="single" w:sz="8" w:space="0" w:color="auto"/>
              <w:bottom w:val="single" w:sz="12" w:space="0" w:color="auto"/>
              <w:right w:val="single" w:sz="8" w:space="0" w:color="000000"/>
            </w:tcBorders>
            <w:shd w:val="clear" w:color="auto" w:fill="auto"/>
            <w:noWrap/>
            <w:vAlign w:val="bottom"/>
            <w:hideMark/>
          </w:tcPr>
          <w:p w:rsidR="00F3508E" w:rsidRPr="00F3508E" w:rsidP="00F3508E">
            <w:pPr>
              <w:widowControl/>
              <w:jc w:val="center"/>
              <w:rPr>
                <w:rFonts w:ascii="Times New Roman" w:hAnsi="Times New Roman"/>
                <w:snapToGrid/>
                <w:color w:val="000000"/>
                <w:szCs w:val="24"/>
              </w:rPr>
            </w:pPr>
            <w:r w:rsidRPr="00F3508E">
              <w:rPr>
                <w:rFonts w:ascii="Times New Roman" w:hAnsi="Times New Roman"/>
                <w:snapToGrid/>
                <w:color w:val="000000"/>
                <w:szCs w:val="24"/>
              </w:rPr>
              <w:t>Table 2. Summary of Hourly Burden Cost Estimate (OMB No. 3064-0087)</w:t>
            </w:r>
          </w:p>
        </w:tc>
      </w:tr>
      <w:tr w:rsidTr="00ED475D">
        <w:tblPrEx>
          <w:tblW w:w="10160" w:type="dxa"/>
          <w:tblLayout w:type="fixed"/>
          <w:tblLook w:val="04A0"/>
        </w:tblPrEx>
        <w:trPr>
          <w:trHeight w:val="600"/>
        </w:trPr>
        <w:tc>
          <w:tcPr>
            <w:tcW w:w="2240" w:type="dxa"/>
            <w:vMerge w:val="restart"/>
            <w:tcBorders>
              <w:top w:val="nil"/>
              <w:left w:val="single" w:sz="8" w:space="0" w:color="auto"/>
              <w:bottom w:val="single" w:sz="12" w:space="0" w:color="000000"/>
              <w:right w:val="single" w:sz="12" w:space="0" w:color="auto"/>
            </w:tcBorders>
            <w:shd w:val="clear" w:color="auto" w:fill="auto"/>
            <w:vAlign w:val="center"/>
            <w:hideMark/>
          </w:tcPr>
          <w:p w:rsidR="00F3508E" w:rsidRPr="00F3508E" w:rsidP="00F3508E">
            <w:pPr>
              <w:widowControl/>
              <w:rPr>
                <w:rFonts w:ascii="Source Sans Pro" w:hAnsi="Source Sans Pro" w:cs="Calibri"/>
                <w:snapToGrid/>
                <w:color w:val="000000"/>
                <w:sz w:val="20"/>
              </w:rPr>
            </w:pPr>
            <w:r w:rsidRPr="00F3508E">
              <w:rPr>
                <w:rFonts w:ascii="Source Sans Pro" w:hAnsi="Source Sans Pro" w:cs="Calibri"/>
                <w:snapToGrid/>
                <w:color w:val="000000"/>
                <w:sz w:val="20"/>
              </w:rPr>
              <w:t xml:space="preserve">Information Collection (Obligation to Respond) </w:t>
            </w:r>
          </w:p>
        </w:tc>
        <w:tc>
          <w:tcPr>
            <w:tcW w:w="810" w:type="dxa"/>
            <w:vMerge w:val="restart"/>
            <w:tcBorders>
              <w:top w:val="nil"/>
              <w:left w:val="nil"/>
              <w:bottom w:val="single" w:sz="12" w:space="0" w:color="000000"/>
              <w:right w:val="single" w:sz="12" w:space="0" w:color="auto"/>
            </w:tcBorders>
            <w:shd w:val="clear" w:color="auto" w:fill="auto"/>
            <w:vAlign w:val="center"/>
            <w:hideMark/>
          </w:tcPr>
          <w:p w:rsidR="00F3508E" w:rsidRPr="00F3508E" w:rsidP="00F3508E">
            <w:pPr>
              <w:widowControl/>
              <w:jc w:val="center"/>
              <w:rPr>
                <w:rFonts w:ascii="Times New Roman" w:hAnsi="Times New Roman"/>
                <w:snapToGrid/>
                <w:color w:val="000000"/>
                <w:sz w:val="20"/>
              </w:rPr>
            </w:pPr>
            <w:r w:rsidRPr="00F3508E">
              <w:rPr>
                <w:rFonts w:ascii="Times New Roman" w:hAnsi="Times New Roman"/>
                <w:snapToGrid/>
                <w:color w:val="000000"/>
                <w:sz w:val="20"/>
              </w:rPr>
              <w:t xml:space="preserve">Hourly Weight </w:t>
            </w:r>
            <w:r w:rsidRPr="00F3508E">
              <w:rPr>
                <w:rFonts w:ascii="Times New Roman" w:hAnsi="Times New Roman"/>
                <w:snapToGrid/>
                <w:color w:val="000000"/>
                <w:sz w:val="20"/>
              </w:rPr>
              <w:br/>
              <w:t>(%)</w:t>
            </w:r>
          </w:p>
        </w:tc>
        <w:tc>
          <w:tcPr>
            <w:tcW w:w="5580" w:type="dxa"/>
            <w:gridSpan w:val="6"/>
            <w:vMerge w:val="restart"/>
            <w:tcBorders>
              <w:top w:val="nil"/>
              <w:left w:val="single" w:sz="12" w:space="0" w:color="auto"/>
              <w:bottom w:val="single" w:sz="12" w:space="0" w:color="auto"/>
              <w:right w:val="single" w:sz="12" w:space="0" w:color="auto"/>
            </w:tcBorders>
            <w:shd w:val="clear" w:color="auto" w:fill="auto"/>
            <w:vAlign w:val="center"/>
            <w:hideMark/>
          </w:tcPr>
          <w:p w:rsidR="00F3508E" w:rsidRPr="00F3508E" w:rsidP="00F3508E">
            <w:pPr>
              <w:widowControl/>
              <w:jc w:val="center"/>
              <w:rPr>
                <w:rFonts w:ascii="Times New Roman" w:hAnsi="Times New Roman"/>
                <w:snapToGrid/>
                <w:color w:val="000000"/>
                <w:sz w:val="20"/>
              </w:rPr>
            </w:pPr>
            <w:r w:rsidRPr="00F3508E">
              <w:rPr>
                <w:rFonts w:ascii="Times New Roman" w:hAnsi="Times New Roman"/>
                <w:snapToGrid/>
                <w:color w:val="000000"/>
                <w:sz w:val="20"/>
              </w:rPr>
              <w:t xml:space="preserve">Percentage Shares of Hours Spent by and </w:t>
            </w:r>
            <w:r w:rsidRPr="00F3508E">
              <w:rPr>
                <w:rFonts w:ascii="Times New Roman" w:hAnsi="Times New Roman"/>
                <w:snapToGrid/>
                <w:color w:val="000000"/>
                <w:sz w:val="20"/>
              </w:rPr>
              <w:br/>
              <w:t xml:space="preserve">Hourly Compensation Rates for each Occupation Group </w:t>
            </w:r>
            <w:r w:rsidRPr="00F3508E">
              <w:rPr>
                <w:rFonts w:ascii="Times New Roman" w:hAnsi="Times New Roman"/>
                <w:snapToGrid/>
                <w:color w:val="000000"/>
                <w:sz w:val="20"/>
              </w:rPr>
              <w:br/>
              <w:t>(by Collection)</w:t>
            </w:r>
          </w:p>
        </w:tc>
        <w:tc>
          <w:tcPr>
            <w:tcW w:w="1530" w:type="dxa"/>
            <w:vMerge w:val="restart"/>
            <w:tcBorders>
              <w:top w:val="nil"/>
              <w:left w:val="nil"/>
              <w:bottom w:val="single" w:sz="12" w:space="0" w:color="000000"/>
              <w:right w:val="single" w:sz="8" w:space="0" w:color="auto"/>
            </w:tcBorders>
            <w:shd w:val="clear" w:color="auto" w:fill="auto"/>
            <w:vAlign w:val="center"/>
            <w:hideMark/>
          </w:tcPr>
          <w:p w:rsidR="00F3508E" w:rsidRPr="00F3508E" w:rsidP="00F3508E">
            <w:pPr>
              <w:widowControl/>
              <w:jc w:val="center"/>
              <w:rPr>
                <w:rFonts w:ascii="Source Sans Pro" w:hAnsi="Source Sans Pro" w:cs="Calibri"/>
                <w:snapToGrid/>
                <w:color w:val="000000"/>
                <w:sz w:val="20"/>
              </w:rPr>
            </w:pPr>
            <w:r w:rsidRPr="00F3508E">
              <w:rPr>
                <w:rFonts w:ascii="Source Sans Pro" w:hAnsi="Source Sans Pro" w:cs="Calibri"/>
                <w:snapToGrid/>
                <w:color w:val="000000"/>
                <w:sz w:val="20"/>
              </w:rPr>
              <w:t>Estimated Hourly Compensation Rate</w:t>
            </w:r>
          </w:p>
        </w:tc>
      </w:tr>
      <w:tr w:rsidTr="00ED475D">
        <w:tblPrEx>
          <w:tblW w:w="10160" w:type="dxa"/>
          <w:tblLayout w:type="fixed"/>
          <w:tblLook w:val="04A0"/>
        </w:tblPrEx>
        <w:trPr>
          <w:trHeight w:val="863"/>
        </w:trPr>
        <w:tc>
          <w:tcPr>
            <w:tcW w:w="2240" w:type="dxa"/>
            <w:vMerge/>
            <w:tcBorders>
              <w:top w:val="nil"/>
              <w:left w:val="single" w:sz="8" w:space="0" w:color="auto"/>
              <w:bottom w:val="single" w:sz="12" w:space="0" w:color="000000"/>
              <w:right w:val="single" w:sz="12" w:space="0" w:color="auto"/>
            </w:tcBorders>
            <w:vAlign w:val="center"/>
            <w:hideMark/>
          </w:tcPr>
          <w:p w:rsidR="00F3508E" w:rsidRPr="00F3508E" w:rsidP="00F3508E">
            <w:pPr>
              <w:widowControl/>
              <w:rPr>
                <w:rFonts w:ascii="Source Sans Pro" w:hAnsi="Source Sans Pro" w:cs="Calibri"/>
                <w:snapToGrid/>
                <w:color w:val="000000"/>
                <w:sz w:val="20"/>
              </w:rPr>
            </w:pPr>
          </w:p>
        </w:tc>
        <w:tc>
          <w:tcPr>
            <w:tcW w:w="810" w:type="dxa"/>
            <w:vMerge/>
            <w:tcBorders>
              <w:top w:val="nil"/>
              <w:left w:val="nil"/>
              <w:bottom w:val="single" w:sz="12" w:space="0" w:color="000000"/>
              <w:right w:val="single" w:sz="12" w:space="0" w:color="auto"/>
            </w:tcBorders>
            <w:vAlign w:val="center"/>
            <w:hideMark/>
          </w:tcPr>
          <w:p w:rsidR="00F3508E" w:rsidRPr="00F3508E" w:rsidP="00F3508E">
            <w:pPr>
              <w:widowControl/>
              <w:rPr>
                <w:rFonts w:ascii="Times New Roman" w:hAnsi="Times New Roman"/>
                <w:snapToGrid/>
                <w:color w:val="000000"/>
                <w:sz w:val="20"/>
              </w:rPr>
            </w:pPr>
          </w:p>
        </w:tc>
        <w:tc>
          <w:tcPr>
            <w:tcW w:w="5580" w:type="dxa"/>
            <w:gridSpan w:val="6"/>
            <w:vMerge/>
            <w:tcBorders>
              <w:top w:val="nil"/>
              <w:left w:val="single" w:sz="12" w:space="0" w:color="auto"/>
              <w:bottom w:val="single" w:sz="12" w:space="0" w:color="auto"/>
              <w:right w:val="single" w:sz="12" w:space="0" w:color="auto"/>
            </w:tcBorders>
            <w:vAlign w:val="center"/>
            <w:hideMark/>
          </w:tcPr>
          <w:p w:rsidR="00F3508E" w:rsidRPr="00F3508E" w:rsidP="00F3508E">
            <w:pPr>
              <w:widowControl/>
              <w:rPr>
                <w:rFonts w:ascii="Times New Roman" w:hAnsi="Times New Roman"/>
                <w:snapToGrid/>
                <w:color w:val="000000"/>
                <w:sz w:val="20"/>
              </w:rPr>
            </w:pPr>
          </w:p>
        </w:tc>
        <w:tc>
          <w:tcPr>
            <w:tcW w:w="1530" w:type="dxa"/>
            <w:vMerge/>
            <w:tcBorders>
              <w:top w:val="nil"/>
              <w:left w:val="nil"/>
              <w:bottom w:val="single" w:sz="12" w:space="0" w:color="000000"/>
              <w:right w:val="single" w:sz="8" w:space="0" w:color="auto"/>
            </w:tcBorders>
            <w:vAlign w:val="center"/>
            <w:hideMark/>
          </w:tcPr>
          <w:p w:rsidR="00F3508E" w:rsidRPr="00F3508E" w:rsidP="00F3508E">
            <w:pPr>
              <w:widowControl/>
              <w:rPr>
                <w:rFonts w:ascii="Source Sans Pro" w:hAnsi="Source Sans Pro" w:cs="Calibri"/>
                <w:snapToGrid/>
                <w:color w:val="000000"/>
                <w:sz w:val="20"/>
              </w:rPr>
            </w:pPr>
          </w:p>
        </w:tc>
      </w:tr>
      <w:tr w:rsidTr="00ED475D">
        <w:tblPrEx>
          <w:tblW w:w="10160" w:type="dxa"/>
          <w:tblLayout w:type="fixed"/>
          <w:tblLook w:val="04A0"/>
        </w:tblPrEx>
        <w:trPr>
          <w:trHeight w:val="360"/>
        </w:trPr>
        <w:tc>
          <w:tcPr>
            <w:tcW w:w="2240" w:type="dxa"/>
            <w:vMerge/>
            <w:tcBorders>
              <w:top w:val="nil"/>
              <w:left w:val="single" w:sz="8" w:space="0" w:color="auto"/>
              <w:bottom w:val="single" w:sz="12" w:space="0" w:color="000000"/>
              <w:right w:val="single" w:sz="12" w:space="0" w:color="auto"/>
            </w:tcBorders>
            <w:vAlign w:val="center"/>
            <w:hideMark/>
          </w:tcPr>
          <w:p w:rsidR="00F3508E" w:rsidRPr="00F3508E" w:rsidP="00F3508E">
            <w:pPr>
              <w:widowControl/>
              <w:rPr>
                <w:rFonts w:ascii="Source Sans Pro" w:hAnsi="Source Sans Pro" w:cs="Calibri"/>
                <w:snapToGrid/>
                <w:color w:val="000000"/>
                <w:sz w:val="20"/>
              </w:rPr>
            </w:pPr>
          </w:p>
        </w:tc>
        <w:tc>
          <w:tcPr>
            <w:tcW w:w="810" w:type="dxa"/>
            <w:vMerge/>
            <w:tcBorders>
              <w:top w:val="nil"/>
              <w:left w:val="nil"/>
              <w:bottom w:val="single" w:sz="12" w:space="0" w:color="000000"/>
              <w:right w:val="single" w:sz="12" w:space="0" w:color="auto"/>
            </w:tcBorders>
            <w:vAlign w:val="center"/>
            <w:hideMark/>
          </w:tcPr>
          <w:p w:rsidR="00F3508E" w:rsidRPr="00F3508E" w:rsidP="00F3508E">
            <w:pPr>
              <w:widowControl/>
              <w:rPr>
                <w:rFonts w:ascii="Times New Roman" w:hAnsi="Times New Roman"/>
                <w:snapToGrid/>
                <w:color w:val="000000"/>
                <w:sz w:val="20"/>
              </w:rPr>
            </w:pPr>
          </w:p>
        </w:tc>
        <w:tc>
          <w:tcPr>
            <w:tcW w:w="810" w:type="dxa"/>
            <w:vMerge w:val="restart"/>
            <w:tcBorders>
              <w:top w:val="nil"/>
              <w:left w:val="single" w:sz="12" w:space="0" w:color="auto"/>
              <w:bottom w:val="single" w:sz="12" w:space="0" w:color="auto"/>
              <w:right w:val="single" w:sz="12" w:space="0" w:color="auto"/>
            </w:tcBorders>
            <w:shd w:val="clear" w:color="auto" w:fill="auto"/>
            <w:vAlign w:val="center"/>
            <w:hideMark/>
          </w:tcPr>
          <w:p w:rsidR="00F3508E" w:rsidRPr="005D7A5A" w:rsidP="00F3508E">
            <w:pPr>
              <w:widowControl/>
              <w:jc w:val="center"/>
              <w:rPr>
                <w:rFonts w:ascii="Times New Roman" w:hAnsi="Times New Roman"/>
                <w:snapToGrid/>
                <w:color w:val="000000"/>
                <w:sz w:val="15"/>
                <w:szCs w:val="15"/>
              </w:rPr>
            </w:pPr>
            <w:r w:rsidRPr="005D7A5A">
              <w:rPr>
                <w:rFonts w:ascii="Times New Roman" w:hAnsi="Times New Roman"/>
                <w:snapToGrid/>
                <w:color w:val="000000"/>
                <w:sz w:val="15"/>
                <w:szCs w:val="15"/>
              </w:rPr>
              <w:t>Exec. &amp; Mgr.      ($133.82)</w:t>
            </w:r>
          </w:p>
        </w:tc>
        <w:tc>
          <w:tcPr>
            <w:tcW w:w="990" w:type="dxa"/>
            <w:vMerge w:val="restart"/>
            <w:tcBorders>
              <w:top w:val="nil"/>
              <w:left w:val="single" w:sz="12" w:space="0" w:color="auto"/>
              <w:bottom w:val="single" w:sz="12" w:space="0" w:color="auto"/>
              <w:right w:val="single" w:sz="12" w:space="0" w:color="auto"/>
            </w:tcBorders>
            <w:shd w:val="clear" w:color="auto" w:fill="auto"/>
            <w:vAlign w:val="center"/>
            <w:hideMark/>
          </w:tcPr>
          <w:p w:rsidR="00F3508E" w:rsidRPr="005D7A5A" w:rsidP="00F3508E">
            <w:pPr>
              <w:widowControl/>
              <w:jc w:val="center"/>
              <w:rPr>
                <w:rFonts w:ascii="Times New Roman" w:hAnsi="Times New Roman"/>
                <w:snapToGrid/>
                <w:color w:val="000000"/>
                <w:sz w:val="15"/>
                <w:szCs w:val="15"/>
              </w:rPr>
            </w:pPr>
            <w:r w:rsidRPr="005D7A5A">
              <w:rPr>
                <w:rFonts w:ascii="Times New Roman" w:hAnsi="Times New Roman"/>
                <w:snapToGrid/>
                <w:color w:val="000000"/>
                <w:sz w:val="15"/>
                <w:szCs w:val="15"/>
              </w:rPr>
              <w:t>Lawyer   ($165.76)</w:t>
            </w:r>
          </w:p>
        </w:tc>
        <w:tc>
          <w:tcPr>
            <w:tcW w:w="900" w:type="dxa"/>
            <w:vMerge w:val="restart"/>
            <w:tcBorders>
              <w:top w:val="nil"/>
              <w:left w:val="single" w:sz="12" w:space="0" w:color="auto"/>
              <w:bottom w:val="single" w:sz="12" w:space="0" w:color="auto"/>
              <w:right w:val="single" w:sz="12" w:space="0" w:color="auto"/>
            </w:tcBorders>
            <w:shd w:val="clear" w:color="auto" w:fill="auto"/>
            <w:vAlign w:val="center"/>
            <w:hideMark/>
          </w:tcPr>
          <w:p w:rsidR="00F3508E" w:rsidRPr="005D7A5A" w:rsidP="00F3508E">
            <w:pPr>
              <w:widowControl/>
              <w:jc w:val="center"/>
              <w:rPr>
                <w:rFonts w:ascii="Source Sans Pro" w:hAnsi="Source Sans Pro" w:cs="Calibri"/>
                <w:snapToGrid/>
                <w:color w:val="000000"/>
                <w:sz w:val="15"/>
                <w:szCs w:val="15"/>
              </w:rPr>
            </w:pPr>
            <w:r w:rsidRPr="005D7A5A">
              <w:rPr>
                <w:rFonts w:ascii="Source Sans Pro" w:hAnsi="Source Sans Pro" w:cs="Calibri"/>
                <w:snapToGrid/>
                <w:color w:val="000000"/>
                <w:sz w:val="15"/>
                <w:szCs w:val="15"/>
              </w:rPr>
              <w:t>Compl. Ofc.   ($64.61)</w:t>
            </w:r>
          </w:p>
        </w:tc>
        <w:tc>
          <w:tcPr>
            <w:tcW w:w="990" w:type="dxa"/>
            <w:vMerge w:val="restart"/>
            <w:tcBorders>
              <w:top w:val="nil"/>
              <w:left w:val="single" w:sz="12" w:space="0" w:color="auto"/>
              <w:bottom w:val="single" w:sz="12" w:space="0" w:color="auto"/>
              <w:right w:val="single" w:sz="12" w:space="0" w:color="auto"/>
            </w:tcBorders>
            <w:shd w:val="clear" w:color="auto" w:fill="auto"/>
            <w:vAlign w:val="center"/>
            <w:hideMark/>
          </w:tcPr>
          <w:p w:rsidR="00F3508E" w:rsidRPr="005D7A5A" w:rsidP="00F3508E">
            <w:pPr>
              <w:widowControl/>
              <w:jc w:val="center"/>
              <w:rPr>
                <w:rFonts w:ascii="Source Sans Pro" w:hAnsi="Source Sans Pro" w:cs="Calibri"/>
                <w:snapToGrid/>
                <w:color w:val="000000"/>
                <w:sz w:val="15"/>
                <w:szCs w:val="15"/>
              </w:rPr>
            </w:pPr>
            <w:r w:rsidRPr="005D7A5A">
              <w:rPr>
                <w:rFonts w:ascii="Source Sans Pro" w:hAnsi="Source Sans Pro" w:cs="Calibri"/>
                <w:snapToGrid/>
                <w:color w:val="000000"/>
                <w:sz w:val="15"/>
                <w:szCs w:val="15"/>
              </w:rPr>
              <w:t>IT    ($102.64)</w:t>
            </w:r>
          </w:p>
        </w:tc>
        <w:tc>
          <w:tcPr>
            <w:tcW w:w="990" w:type="dxa"/>
            <w:vMerge w:val="restart"/>
            <w:tcBorders>
              <w:top w:val="nil"/>
              <w:left w:val="single" w:sz="12" w:space="0" w:color="auto"/>
              <w:bottom w:val="single" w:sz="12" w:space="0" w:color="auto"/>
              <w:right w:val="single" w:sz="12" w:space="0" w:color="auto"/>
            </w:tcBorders>
            <w:shd w:val="clear" w:color="auto" w:fill="auto"/>
            <w:vAlign w:val="center"/>
            <w:hideMark/>
          </w:tcPr>
          <w:p w:rsidR="00F3508E" w:rsidRPr="005D7A5A" w:rsidP="00F3508E">
            <w:pPr>
              <w:widowControl/>
              <w:jc w:val="center"/>
              <w:rPr>
                <w:rFonts w:ascii="Source Sans Pro" w:hAnsi="Source Sans Pro" w:cs="Calibri"/>
                <w:snapToGrid/>
                <w:color w:val="000000"/>
                <w:sz w:val="15"/>
                <w:szCs w:val="15"/>
              </w:rPr>
            </w:pPr>
            <w:r w:rsidRPr="005D7A5A">
              <w:rPr>
                <w:rFonts w:ascii="Source Sans Pro" w:hAnsi="Source Sans Pro" w:cs="Calibri"/>
                <w:snapToGrid/>
                <w:color w:val="000000"/>
                <w:sz w:val="15"/>
                <w:szCs w:val="15"/>
              </w:rPr>
              <w:t>Fin. Anlst.    ($101.15)</w:t>
            </w:r>
          </w:p>
        </w:tc>
        <w:tc>
          <w:tcPr>
            <w:tcW w:w="900" w:type="dxa"/>
            <w:vMerge w:val="restart"/>
            <w:tcBorders>
              <w:top w:val="nil"/>
              <w:left w:val="single" w:sz="12" w:space="0" w:color="auto"/>
              <w:bottom w:val="single" w:sz="12" w:space="0" w:color="auto"/>
              <w:right w:val="single" w:sz="12" w:space="0" w:color="auto"/>
            </w:tcBorders>
            <w:shd w:val="clear" w:color="auto" w:fill="auto"/>
            <w:vAlign w:val="center"/>
            <w:hideMark/>
          </w:tcPr>
          <w:p w:rsidR="00F3508E" w:rsidRPr="005D7A5A" w:rsidP="00F3508E">
            <w:pPr>
              <w:widowControl/>
              <w:jc w:val="center"/>
              <w:rPr>
                <w:rFonts w:ascii="Source Sans Pro" w:hAnsi="Source Sans Pro" w:cs="Calibri"/>
                <w:snapToGrid/>
                <w:color w:val="000000"/>
                <w:sz w:val="15"/>
                <w:szCs w:val="15"/>
              </w:rPr>
            </w:pPr>
            <w:r w:rsidRPr="005D7A5A">
              <w:rPr>
                <w:rFonts w:ascii="Source Sans Pro" w:hAnsi="Source Sans Pro" w:cs="Calibri"/>
                <w:snapToGrid/>
                <w:color w:val="000000"/>
                <w:sz w:val="15"/>
                <w:szCs w:val="15"/>
              </w:rPr>
              <w:t>Clerical    ($37.83)</w:t>
            </w:r>
          </w:p>
        </w:tc>
        <w:tc>
          <w:tcPr>
            <w:tcW w:w="1530" w:type="dxa"/>
            <w:vMerge/>
            <w:tcBorders>
              <w:top w:val="nil"/>
              <w:left w:val="nil"/>
              <w:bottom w:val="single" w:sz="12" w:space="0" w:color="000000"/>
              <w:right w:val="single" w:sz="8" w:space="0" w:color="auto"/>
            </w:tcBorders>
            <w:vAlign w:val="center"/>
            <w:hideMark/>
          </w:tcPr>
          <w:p w:rsidR="00F3508E" w:rsidRPr="00F3508E" w:rsidP="00F3508E">
            <w:pPr>
              <w:widowControl/>
              <w:rPr>
                <w:rFonts w:ascii="Source Sans Pro" w:hAnsi="Source Sans Pro" w:cs="Calibri"/>
                <w:snapToGrid/>
                <w:color w:val="000000"/>
                <w:sz w:val="20"/>
              </w:rPr>
            </w:pPr>
          </w:p>
        </w:tc>
      </w:tr>
      <w:tr w:rsidTr="00ED475D">
        <w:tblPrEx>
          <w:tblW w:w="10160" w:type="dxa"/>
          <w:tblLayout w:type="fixed"/>
          <w:tblLook w:val="04A0"/>
        </w:tblPrEx>
        <w:trPr>
          <w:trHeight w:val="840"/>
        </w:trPr>
        <w:tc>
          <w:tcPr>
            <w:tcW w:w="2240" w:type="dxa"/>
            <w:vMerge/>
            <w:tcBorders>
              <w:top w:val="nil"/>
              <w:left w:val="single" w:sz="8" w:space="0" w:color="auto"/>
              <w:bottom w:val="single" w:sz="12" w:space="0" w:color="000000"/>
              <w:right w:val="single" w:sz="12" w:space="0" w:color="auto"/>
            </w:tcBorders>
            <w:vAlign w:val="center"/>
            <w:hideMark/>
          </w:tcPr>
          <w:p w:rsidR="00F3508E" w:rsidRPr="00F3508E" w:rsidP="00F3508E">
            <w:pPr>
              <w:widowControl/>
              <w:rPr>
                <w:rFonts w:ascii="Source Sans Pro" w:hAnsi="Source Sans Pro" w:cs="Calibri"/>
                <w:snapToGrid/>
                <w:color w:val="000000"/>
                <w:sz w:val="20"/>
              </w:rPr>
            </w:pPr>
          </w:p>
        </w:tc>
        <w:tc>
          <w:tcPr>
            <w:tcW w:w="810" w:type="dxa"/>
            <w:vMerge/>
            <w:tcBorders>
              <w:top w:val="nil"/>
              <w:left w:val="nil"/>
              <w:bottom w:val="single" w:sz="12" w:space="0" w:color="000000"/>
              <w:right w:val="single" w:sz="12" w:space="0" w:color="auto"/>
            </w:tcBorders>
            <w:vAlign w:val="center"/>
            <w:hideMark/>
          </w:tcPr>
          <w:p w:rsidR="00F3508E" w:rsidRPr="00F3508E" w:rsidP="00F3508E">
            <w:pPr>
              <w:widowControl/>
              <w:rPr>
                <w:rFonts w:ascii="Times New Roman" w:hAnsi="Times New Roman"/>
                <w:snapToGrid/>
                <w:color w:val="000000"/>
                <w:sz w:val="20"/>
              </w:rPr>
            </w:pPr>
          </w:p>
        </w:tc>
        <w:tc>
          <w:tcPr>
            <w:tcW w:w="810" w:type="dxa"/>
            <w:vMerge/>
            <w:tcBorders>
              <w:top w:val="nil"/>
              <w:left w:val="single" w:sz="12" w:space="0" w:color="auto"/>
              <w:bottom w:val="single" w:sz="12" w:space="0" w:color="auto"/>
              <w:right w:val="single" w:sz="12" w:space="0" w:color="auto"/>
            </w:tcBorders>
            <w:vAlign w:val="center"/>
            <w:hideMark/>
          </w:tcPr>
          <w:p w:rsidR="00F3508E" w:rsidRPr="00F3508E" w:rsidP="00F3508E">
            <w:pPr>
              <w:widowControl/>
              <w:rPr>
                <w:rFonts w:ascii="Times New Roman" w:hAnsi="Times New Roman"/>
                <w:snapToGrid/>
                <w:color w:val="000000"/>
                <w:sz w:val="20"/>
              </w:rPr>
            </w:pPr>
          </w:p>
        </w:tc>
        <w:tc>
          <w:tcPr>
            <w:tcW w:w="990" w:type="dxa"/>
            <w:vMerge/>
            <w:tcBorders>
              <w:top w:val="nil"/>
              <w:left w:val="single" w:sz="12" w:space="0" w:color="auto"/>
              <w:bottom w:val="single" w:sz="12" w:space="0" w:color="auto"/>
              <w:right w:val="single" w:sz="12" w:space="0" w:color="auto"/>
            </w:tcBorders>
            <w:vAlign w:val="center"/>
            <w:hideMark/>
          </w:tcPr>
          <w:p w:rsidR="00F3508E" w:rsidRPr="00F3508E" w:rsidP="00F3508E">
            <w:pPr>
              <w:widowControl/>
              <w:rPr>
                <w:rFonts w:ascii="Times New Roman" w:hAnsi="Times New Roman"/>
                <w:snapToGrid/>
                <w:color w:val="000000"/>
                <w:sz w:val="20"/>
              </w:rPr>
            </w:pPr>
          </w:p>
        </w:tc>
        <w:tc>
          <w:tcPr>
            <w:tcW w:w="900" w:type="dxa"/>
            <w:vMerge/>
            <w:tcBorders>
              <w:top w:val="nil"/>
              <w:left w:val="single" w:sz="12" w:space="0" w:color="auto"/>
              <w:bottom w:val="single" w:sz="12" w:space="0" w:color="auto"/>
              <w:right w:val="single" w:sz="12" w:space="0" w:color="auto"/>
            </w:tcBorders>
            <w:vAlign w:val="center"/>
            <w:hideMark/>
          </w:tcPr>
          <w:p w:rsidR="00F3508E" w:rsidRPr="00F3508E" w:rsidP="00F3508E">
            <w:pPr>
              <w:widowControl/>
              <w:rPr>
                <w:rFonts w:ascii="Source Sans Pro" w:hAnsi="Source Sans Pro" w:cs="Calibri"/>
                <w:snapToGrid/>
                <w:color w:val="000000"/>
                <w:sz w:val="20"/>
              </w:rPr>
            </w:pPr>
          </w:p>
        </w:tc>
        <w:tc>
          <w:tcPr>
            <w:tcW w:w="990" w:type="dxa"/>
            <w:vMerge/>
            <w:tcBorders>
              <w:top w:val="nil"/>
              <w:left w:val="single" w:sz="12" w:space="0" w:color="auto"/>
              <w:bottom w:val="single" w:sz="12" w:space="0" w:color="auto"/>
              <w:right w:val="single" w:sz="12" w:space="0" w:color="auto"/>
            </w:tcBorders>
            <w:vAlign w:val="center"/>
            <w:hideMark/>
          </w:tcPr>
          <w:p w:rsidR="00F3508E" w:rsidRPr="00F3508E" w:rsidP="00F3508E">
            <w:pPr>
              <w:widowControl/>
              <w:rPr>
                <w:rFonts w:ascii="Source Sans Pro" w:hAnsi="Source Sans Pro" w:cs="Calibri"/>
                <w:snapToGrid/>
                <w:color w:val="000000"/>
                <w:sz w:val="20"/>
              </w:rPr>
            </w:pPr>
          </w:p>
        </w:tc>
        <w:tc>
          <w:tcPr>
            <w:tcW w:w="990" w:type="dxa"/>
            <w:vMerge/>
            <w:tcBorders>
              <w:top w:val="nil"/>
              <w:left w:val="single" w:sz="12" w:space="0" w:color="auto"/>
              <w:bottom w:val="single" w:sz="12" w:space="0" w:color="auto"/>
              <w:right w:val="single" w:sz="12" w:space="0" w:color="auto"/>
            </w:tcBorders>
            <w:vAlign w:val="center"/>
            <w:hideMark/>
          </w:tcPr>
          <w:p w:rsidR="00F3508E" w:rsidRPr="00F3508E" w:rsidP="00F3508E">
            <w:pPr>
              <w:widowControl/>
              <w:rPr>
                <w:rFonts w:ascii="Source Sans Pro" w:hAnsi="Source Sans Pro" w:cs="Calibri"/>
                <w:snapToGrid/>
                <w:color w:val="000000"/>
                <w:sz w:val="20"/>
              </w:rPr>
            </w:pPr>
          </w:p>
        </w:tc>
        <w:tc>
          <w:tcPr>
            <w:tcW w:w="900" w:type="dxa"/>
            <w:vMerge/>
            <w:tcBorders>
              <w:top w:val="nil"/>
              <w:left w:val="single" w:sz="12" w:space="0" w:color="auto"/>
              <w:bottom w:val="single" w:sz="12" w:space="0" w:color="auto"/>
              <w:right w:val="single" w:sz="12" w:space="0" w:color="auto"/>
            </w:tcBorders>
            <w:vAlign w:val="center"/>
            <w:hideMark/>
          </w:tcPr>
          <w:p w:rsidR="00F3508E" w:rsidRPr="00F3508E" w:rsidP="00F3508E">
            <w:pPr>
              <w:widowControl/>
              <w:rPr>
                <w:rFonts w:ascii="Source Sans Pro" w:hAnsi="Source Sans Pro" w:cs="Calibri"/>
                <w:snapToGrid/>
                <w:color w:val="000000"/>
                <w:sz w:val="20"/>
              </w:rPr>
            </w:pPr>
          </w:p>
        </w:tc>
        <w:tc>
          <w:tcPr>
            <w:tcW w:w="1530" w:type="dxa"/>
            <w:vMerge/>
            <w:tcBorders>
              <w:top w:val="nil"/>
              <w:left w:val="nil"/>
              <w:bottom w:val="single" w:sz="12" w:space="0" w:color="000000"/>
              <w:right w:val="single" w:sz="8" w:space="0" w:color="auto"/>
            </w:tcBorders>
            <w:vAlign w:val="center"/>
            <w:hideMark/>
          </w:tcPr>
          <w:p w:rsidR="00F3508E" w:rsidRPr="00F3508E" w:rsidP="00F3508E">
            <w:pPr>
              <w:widowControl/>
              <w:rPr>
                <w:rFonts w:ascii="Source Sans Pro" w:hAnsi="Source Sans Pro" w:cs="Calibri"/>
                <w:snapToGrid/>
                <w:color w:val="000000"/>
                <w:sz w:val="20"/>
              </w:rPr>
            </w:pPr>
          </w:p>
        </w:tc>
      </w:tr>
      <w:tr w:rsidTr="00ED475D">
        <w:tblPrEx>
          <w:tblW w:w="10160" w:type="dxa"/>
          <w:tblLayout w:type="fixed"/>
          <w:tblLook w:val="04A0"/>
        </w:tblPrEx>
        <w:trPr>
          <w:trHeight w:val="1160"/>
        </w:trPr>
        <w:tc>
          <w:tcPr>
            <w:tcW w:w="2240" w:type="dxa"/>
            <w:tcBorders>
              <w:top w:val="nil"/>
              <w:left w:val="single" w:sz="8" w:space="0" w:color="auto"/>
              <w:bottom w:val="single" w:sz="8" w:space="0" w:color="auto"/>
              <w:right w:val="single" w:sz="8" w:space="0" w:color="auto"/>
            </w:tcBorders>
            <w:shd w:val="clear" w:color="auto" w:fill="auto"/>
            <w:vAlign w:val="center"/>
            <w:hideMark/>
          </w:tcPr>
          <w:p w:rsidR="00F3508E" w:rsidRPr="00F3508E" w:rsidP="00F3508E">
            <w:pPr>
              <w:widowControl/>
              <w:rPr>
                <w:rFonts w:ascii="Source Sans Pro" w:hAnsi="Source Sans Pro" w:cs="Calibri"/>
                <w:snapToGrid/>
                <w:color w:val="000000"/>
                <w:sz w:val="20"/>
              </w:rPr>
            </w:pPr>
            <w:r w:rsidRPr="00F3508E">
              <w:rPr>
                <w:rFonts w:ascii="Source Sans Pro" w:hAnsi="Source Sans Pro" w:cs="Calibri"/>
                <w:snapToGrid/>
                <w:color w:val="000000"/>
                <w:sz w:val="20"/>
              </w:rPr>
              <w:t xml:space="preserve">1. </w:t>
            </w:r>
            <w:r w:rsidRPr="004678BF" w:rsidR="005D7A5A">
              <w:rPr>
                <w:rFonts w:ascii="Times New Roman" w:hAnsi="Times New Roman"/>
                <w:sz w:val="20"/>
              </w:rPr>
              <w:t xml:space="preserve">Establish AML/CFT Program. </w:t>
            </w:r>
            <w:r w:rsidRPr="004678BF" w:rsidR="005D7A5A">
              <w:rPr>
                <w:rFonts w:ascii="Times New Roman" w:hAnsi="Times New Roman"/>
                <w:i/>
                <w:iCs/>
                <w:sz w:val="20"/>
              </w:rPr>
              <w:t xml:space="preserve">(Implementation) </w:t>
            </w:r>
            <w:r w:rsidRPr="004678BF" w:rsidR="005D7A5A">
              <w:rPr>
                <w:rFonts w:ascii="Times New Roman" w:hAnsi="Times New Roman"/>
                <w:sz w:val="20"/>
              </w:rPr>
              <w:t xml:space="preserve">12 CFR </w:t>
            </w:r>
            <w:r w:rsidR="005D7A5A">
              <w:rPr>
                <w:rFonts w:ascii="Times New Roman" w:hAnsi="Times New Roman"/>
                <w:sz w:val="20"/>
              </w:rPr>
              <w:t>326.8(b) and (c)</w:t>
            </w:r>
          </w:p>
        </w:tc>
        <w:tc>
          <w:tcPr>
            <w:tcW w:w="810" w:type="dxa"/>
            <w:tcBorders>
              <w:top w:val="nil"/>
              <w:left w:val="nil"/>
              <w:bottom w:val="single" w:sz="8" w:space="0" w:color="auto"/>
              <w:right w:val="single" w:sz="8" w:space="0" w:color="auto"/>
            </w:tcBorders>
            <w:shd w:val="clear" w:color="auto" w:fill="auto"/>
            <w:vAlign w:val="center"/>
            <w:hideMark/>
          </w:tcPr>
          <w:p w:rsidR="00F3508E" w:rsidRPr="00F3508E" w:rsidP="00F3508E">
            <w:pPr>
              <w:widowControl/>
              <w:jc w:val="center"/>
              <w:rPr>
                <w:rFonts w:ascii="Times New Roman" w:hAnsi="Times New Roman"/>
                <w:snapToGrid/>
                <w:color w:val="000000"/>
                <w:sz w:val="20"/>
              </w:rPr>
            </w:pPr>
            <w:r>
              <w:rPr>
                <w:rFonts w:ascii="Times New Roman" w:hAnsi="Times New Roman"/>
                <w:snapToGrid/>
                <w:color w:val="000000"/>
                <w:sz w:val="20"/>
              </w:rPr>
              <w:t>25</w:t>
            </w:r>
          </w:p>
        </w:tc>
        <w:tc>
          <w:tcPr>
            <w:tcW w:w="810" w:type="dxa"/>
            <w:tcBorders>
              <w:top w:val="nil"/>
              <w:left w:val="nil"/>
              <w:bottom w:val="single" w:sz="8" w:space="0" w:color="auto"/>
              <w:right w:val="single" w:sz="8" w:space="0" w:color="auto"/>
            </w:tcBorders>
            <w:shd w:val="clear" w:color="auto" w:fill="auto"/>
            <w:vAlign w:val="center"/>
            <w:hideMark/>
          </w:tcPr>
          <w:p w:rsidR="00F3508E" w:rsidP="00F3508E">
            <w:pPr>
              <w:widowControl/>
              <w:jc w:val="center"/>
              <w:rPr>
                <w:rFonts w:ascii="Times New Roman" w:hAnsi="Times New Roman"/>
                <w:snapToGrid/>
                <w:color w:val="000000"/>
                <w:sz w:val="20"/>
              </w:rPr>
            </w:pPr>
            <w:r w:rsidRPr="00F3508E">
              <w:rPr>
                <w:rFonts w:ascii="Times New Roman" w:hAnsi="Times New Roman"/>
                <w:snapToGrid/>
                <w:color w:val="000000"/>
                <w:sz w:val="20"/>
              </w:rPr>
              <w:t>1</w:t>
            </w:r>
          </w:p>
          <w:p w:rsidR="005D7A5A" w:rsidRPr="00F3508E" w:rsidP="00F3508E">
            <w:pPr>
              <w:widowControl/>
              <w:jc w:val="center"/>
              <w:rPr>
                <w:rFonts w:ascii="Times New Roman" w:hAnsi="Times New Roman"/>
                <w:snapToGrid/>
                <w:color w:val="000000"/>
                <w:sz w:val="20"/>
              </w:rPr>
            </w:pPr>
            <w:r>
              <w:rPr>
                <w:rFonts w:ascii="Times New Roman" w:hAnsi="Times New Roman"/>
                <w:snapToGrid/>
                <w:color w:val="000000"/>
                <w:sz w:val="20"/>
              </w:rPr>
              <w:t>($1.34)</w:t>
            </w:r>
          </w:p>
        </w:tc>
        <w:tc>
          <w:tcPr>
            <w:tcW w:w="990" w:type="dxa"/>
            <w:tcBorders>
              <w:top w:val="nil"/>
              <w:left w:val="nil"/>
              <w:bottom w:val="single" w:sz="8" w:space="0" w:color="auto"/>
              <w:right w:val="single" w:sz="8" w:space="0" w:color="auto"/>
            </w:tcBorders>
            <w:shd w:val="clear" w:color="auto" w:fill="auto"/>
            <w:vAlign w:val="center"/>
            <w:hideMark/>
          </w:tcPr>
          <w:p w:rsidR="00F3508E" w:rsidRPr="00F3508E" w:rsidP="00F3508E">
            <w:pPr>
              <w:widowControl/>
              <w:jc w:val="center"/>
              <w:rPr>
                <w:rFonts w:ascii="Times New Roman" w:hAnsi="Times New Roman"/>
                <w:snapToGrid/>
                <w:color w:val="000000"/>
                <w:sz w:val="20"/>
              </w:rPr>
            </w:pPr>
            <w:r w:rsidRPr="00F3508E">
              <w:rPr>
                <w:rFonts w:ascii="Times New Roman" w:hAnsi="Times New Roman"/>
                <w:snapToGrid/>
                <w:color w:val="000000"/>
                <w:sz w:val="20"/>
              </w:rPr>
              <w:t>0</w:t>
            </w:r>
          </w:p>
        </w:tc>
        <w:tc>
          <w:tcPr>
            <w:tcW w:w="900" w:type="dxa"/>
            <w:tcBorders>
              <w:top w:val="nil"/>
              <w:left w:val="nil"/>
              <w:bottom w:val="single" w:sz="8" w:space="0" w:color="auto"/>
              <w:right w:val="single" w:sz="8" w:space="0" w:color="auto"/>
            </w:tcBorders>
            <w:shd w:val="clear" w:color="auto" w:fill="auto"/>
            <w:vAlign w:val="center"/>
            <w:hideMark/>
          </w:tcPr>
          <w:p w:rsidR="00F3508E" w:rsidP="00F3508E">
            <w:pPr>
              <w:widowControl/>
              <w:jc w:val="center"/>
              <w:rPr>
                <w:rFonts w:ascii="Source Sans Pro" w:hAnsi="Source Sans Pro" w:cs="Calibri"/>
                <w:snapToGrid/>
                <w:color w:val="000000"/>
                <w:sz w:val="20"/>
              </w:rPr>
            </w:pPr>
            <w:r w:rsidRPr="00F3508E">
              <w:rPr>
                <w:rFonts w:ascii="Source Sans Pro" w:hAnsi="Source Sans Pro" w:cs="Calibri"/>
                <w:snapToGrid/>
                <w:color w:val="000000"/>
                <w:sz w:val="20"/>
              </w:rPr>
              <w:t>29</w:t>
            </w:r>
          </w:p>
          <w:p w:rsidR="005D7A5A" w:rsidRPr="00F3508E" w:rsidP="00F3508E">
            <w:pPr>
              <w:widowControl/>
              <w:jc w:val="center"/>
              <w:rPr>
                <w:rFonts w:ascii="Source Sans Pro" w:hAnsi="Source Sans Pro" w:cs="Calibri"/>
                <w:snapToGrid/>
                <w:color w:val="000000"/>
                <w:sz w:val="20"/>
              </w:rPr>
            </w:pPr>
            <w:r>
              <w:rPr>
                <w:rFonts w:ascii="Source Sans Pro" w:hAnsi="Source Sans Pro" w:cs="Calibri"/>
                <w:snapToGrid/>
                <w:color w:val="000000"/>
                <w:sz w:val="20"/>
              </w:rPr>
              <w:t>($</w:t>
            </w:r>
            <w:r w:rsidR="00A21073">
              <w:rPr>
                <w:rFonts w:ascii="Source Sans Pro" w:hAnsi="Source Sans Pro" w:cs="Calibri"/>
                <w:snapToGrid/>
                <w:color w:val="000000"/>
                <w:sz w:val="20"/>
              </w:rPr>
              <w:t>18.74)</w:t>
            </w:r>
          </w:p>
        </w:tc>
        <w:tc>
          <w:tcPr>
            <w:tcW w:w="990" w:type="dxa"/>
            <w:tcBorders>
              <w:top w:val="nil"/>
              <w:left w:val="nil"/>
              <w:bottom w:val="single" w:sz="8" w:space="0" w:color="auto"/>
              <w:right w:val="single" w:sz="8" w:space="0" w:color="auto"/>
            </w:tcBorders>
            <w:shd w:val="clear" w:color="auto" w:fill="auto"/>
            <w:vAlign w:val="center"/>
            <w:hideMark/>
          </w:tcPr>
          <w:p w:rsidR="00F3508E" w:rsidRPr="00F3508E" w:rsidP="00F3508E">
            <w:pPr>
              <w:widowControl/>
              <w:jc w:val="center"/>
              <w:rPr>
                <w:rFonts w:ascii="Source Sans Pro" w:hAnsi="Source Sans Pro" w:cs="Calibri"/>
                <w:snapToGrid/>
                <w:color w:val="000000"/>
                <w:sz w:val="20"/>
              </w:rPr>
            </w:pPr>
            <w:r w:rsidRPr="00F3508E">
              <w:rPr>
                <w:rFonts w:ascii="Source Sans Pro" w:hAnsi="Source Sans Pro" w:cs="Calibri"/>
                <w:snapToGrid/>
                <w:color w:val="000000"/>
                <w:sz w:val="20"/>
              </w:rPr>
              <w:t>0</w:t>
            </w:r>
          </w:p>
        </w:tc>
        <w:tc>
          <w:tcPr>
            <w:tcW w:w="990" w:type="dxa"/>
            <w:tcBorders>
              <w:top w:val="nil"/>
              <w:left w:val="nil"/>
              <w:bottom w:val="single" w:sz="8" w:space="0" w:color="auto"/>
              <w:right w:val="single" w:sz="8" w:space="0" w:color="auto"/>
            </w:tcBorders>
            <w:shd w:val="clear" w:color="auto" w:fill="auto"/>
            <w:vAlign w:val="center"/>
            <w:hideMark/>
          </w:tcPr>
          <w:p w:rsidR="00F3508E" w:rsidRPr="00F3508E" w:rsidP="00F3508E">
            <w:pPr>
              <w:widowControl/>
              <w:jc w:val="center"/>
              <w:rPr>
                <w:rFonts w:ascii="Source Sans Pro" w:hAnsi="Source Sans Pro" w:cs="Calibri"/>
                <w:snapToGrid/>
                <w:color w:val="000000"/>
                <w:sz w:val="20"/>
              </w:rPr>
            </w:pPr>
            <w:r w:rsidRPr="00F3508E">
              <w:rPr>
                <w:rFonts w:ascii="Source Sans Pro" w:hAnsi="Source Sans Pro" w:cs="Calibri"/>
                <w:snapToGrid/>
                <w:color w:val="000000"/>
                <w:sz w:val="20"/>
              </w:rPr>
              <w:t>0</w:t>
            </w:r>
          </w:p>
        </w:tc>
        <w:tc>
          <w:tcPr>
            <w:tcW w:w="900" w:type="dxa"/>
            <w:tcBorders>
              <w:top w:val="nil"/>
              <w:left w:val="nil"/>
              <w:bottom w:val="single" w:sz="8" w:space="0" w:color="auto"/>
              <w:right w:val="single" w:sz="8" w:space="0" w:color="auto"/>
            </w:tcBorders>
            <w:shd w:val="clear" w:color="auto" w:fill="auto"/>
            <w:vAlign w:val="center"/>
            <w:hideMark/>
          </w:tcPr>
          <w:p w:rsidR="00F3508E" w:rsidP="00F3508E">
            <w:pPr>
              <w:widowControl/>
              <w:jc w:val="center"/>
              <w:rPr>
                <w:rFonts w:ascii="Source Sans Pro" w:hAnsi="Source Sans Pro" w:cs="Calibri"/>
                <w:snapToGrid/>
                <w:color w:val="000000"/>
                <w:sz w:val="20"/>
              </w:rPr>
            </w:pPr>
            <w:r w:rsidRPr="00F3508E">
              <w:rPr>
                <w:rFonts w:ascii="Source Sans Pro" w:hAnsi="Source Sans Pro" w:cs="Calibri"/>
                <w:snapToGrid/>
                <w:color w:val="000000"/>
                <w:sz w:val="20"/>
              </w:rPr>
              <w:t>70</w:t>
            </w:r>
          </w:p>
          <w:p w:rsidR="00A21073" w:rsidRPr="00F3508E" w:rsidP="00F3508E">
            <w:pPr>
              <w:widowControl/>
              <w:jc w:val="center"/>
              <w:rPr>
                <w:rFonts w:ascii="Source Sans Pro" w:hAnsi="Source Sans Pro" w:cs="Calibri"/>
                <w:snapToGrid/>
                <w:color w:val="000000"/>
                <w:sz w:val="20"/>
              </w:rPr>
            </w:pPr>
            <w:r>
              <w:rPr>
                <w:rFonts w:ascii="Source Sans Pro" w:hAnsi="Source Sans Pro" w:cs="Calibri"/>
                <w:snapToGrid/>
                <w:color w:val="000000"/>
                <w:sz w:val="20"/>
              </w:rPr>
              <w:t>($26.48)</w:t>
            </w:r>
          </w:p>
        </w:tc>
        <w:tc>
          <w:tcPr>
            <w:tcW w:w="1530" w:type="dxa"/>
            <w:tcBorders>
              <w:top w:val="nil"/>
              <w:left w:val="nil"/>
              <w:bottom w:val="single" w:sz="8" w:space="0" w:color="auto"/>
              <w:right w:val="single" w:sz="8" w:space="0" w:color="auto"/>
            </w:tcBorders>
            <w:shd w:val="clear" w:color="auto" w:fill="auto"/>
            <w:vAlign w:val="center"/>
            <w:hideMark/>
          </w:tcPr>
          <w:p w:rsidR="00F3508E" w:rsidRPr="00F3508E" w:rsidP="00F3508E">
            <w:pPr>
              <w:widowControl/>
              <w:ind w:firstLine="200" w:firstLineChars="100"/>
              <w:jc w:val="right"/>
              <w:rPr>
                <w:rFonts w:ascii="Source Sans Pro" w:hAnsi="Source Sans Pro" w:cs="Calibri"/>
                <w:snapToGrid/>
                <w:color w:val="000000"/>
                <w:sz w:val="20"/>
              </w:rPr>
            </w:pPr>
            <w:r>
              <w:rPr>
                <w:rFonts w:ascii="Source Sans Pro" w:hAnsi="Source Sans Pro" w:cs="Calibri"/>
                <w:snapToGrid/>
                <w:color w:val="000000"/>
                <w:sz w:val="20"/>
              </w:rPr>
              <w:t>$11.64</w:t>
            </w:r>
            <w:r w:rsidRPr="00F3508E" w:rsidR="00A50655">
              <w:rPr>
                <w:rFonts w:ascii="Source Sans Pro" w:hAnsi="Source Sans Pro" w:cs="Calibri"/>
                <w:snapToGrid/>
                <w:color w:val="000000"/>
                <w:sz w:val="20"/>
              </w:rPr>
              <w:t xml:space="preserve"> </w:t>
            </w:r>
          </w:p>
        </w:tc>
      </w:tr>
      <w:tr w:rsidTr="00ED475D">
        <w:tblPrEx>
          <w:tblW w:w="10160" w:type="dxa"/>
          <w:tblLayout w:type="fixed"/>
          <w:tblLook w:val="04A0"/>
        </w:tblPrEx>
        <w:trPr>
          <w:trHeight w:val="1200"/>
        </w:trPr>
        <w:tc>
          <w:tcPr>
            <w:tcW w:w="2240" w:type="dxa"/>
            <w:tcBorders>
              <w:top w:val="nil"/>
              <w:left w:val="single" w:sz="8" w:space="0" w:color="auto"/>
              <w:bottom w:val="single" w:sz="8" w:space="0" w:color="auto"/>
              <w:right w:val="single" w:sz="8" w:space="0" w:color="auto"/>
            </w:tcBorders>
            <w:shd w:val="clear" w:color="auto" w:fill="auto"/>
            <w:vAlign w:val="center"/>
            <w:hideMark/>
          </w:tcPr>
          <w:p w:rsidR="00733431" w:rsidRPr="00F3508E" w:rsidP="00733431">
            <w:pPr>
              <w:widowControl/>
              <w:rPr>
                <w:rFonts w:ascii="Source Sans Pro" w:hAnsi="Source Sans Pro" w:cs="Calibri"/>
                <w:snapToGrid/>
                <w:color w:val="000000"/>
                <w:sz w:val="20"/>
              </w:rPr>
            </w:pPr>
            <w:r w:rsidRPr="00F3508E">
              <w:rPr>
                <w:rFonts w:ascii="Source Sans Pro" w:hAnsi="Source Sans Pro" w:cs="Calibri"/>
                <w:snapToGrid/>
                <w:color w:val="000000"/>
                <w:sz w:val="20"/>
              </w:rPr>
              <w:t xml:space="preserve">2. </w:t>
            </w:r>
            <w:r>
              <w:rPr>
                <w:rFonts w:ascii="Times New Roman" w:hAnsi="Times New Roman"/>
                <w:sz w:val="20"/>
              </w:rPr>
              <w:t xml:space="preserve">Maintain </w:t>
            </w:r>
            <w:r w:rsidRPr="004678BF">
              <w:rPr>
                <w:rFonts w:ascii="Times New Roman" w:hAnsi="Times New Roman"/>
                <w:sz w:val="20"/>
              </w:rPr>
              <w:t xml:space="preserve">AML/CFT Program. </w:t>
            </w:r>
            <w:r>
              <w:rPr>
                <w:rFonts w:ascii="Times New Roman" w:hAnsi="Times New Roman"/>
                <w:i/>
                <w:iCs/>
                <w:sz w:val="20"/>
              </w:rPr>
              <w:t>(Ongoing</w:t>
            </w:r>
            <w:r w:rsidRPr="004678BF">
              <w:rPr>
                <w:rFonts w:ascii="Times New Roman" w:hAnsi="Times New Roman"/>
                <w:i/>
                <w:iCs/>
                <w:sz w:val="20"/>
              </w:rPr>
              <w:t xml:space="preserve">) </w:t>
            </w:r>
            <w:r w:rsidRPr="004678BF">
              <w:rPr>
                <w:rFonts w:ascii="Times New Roman" w:hAnsi="Times New Roman"/>
                <w:sz w:val="20"/>
              </w:rPr>
              <w:t xml:space="preserve">12 CFR </w:t>
            </w:r>
            <w:r>
              <w:rPr>
                <w:rFonts w:ascii="Times New Roman" w:hAnsi="Times New Roman"/>
                <w:sz w:val="20"/>
              </w:rPr>
              <w:t>326.8(b) and (c)</w:t>
            </w:r>
          </w:p>
        </w:tc>
        <w:tc>
          <w:tcPr>
            <w:tcW w:w="810" w:type="dxa"/>
            <w:tcBorders>
              <w:top w:val="nil"/>
              <w:left w:val="nil"/>
              <w:bottom w:val="single" w:sz="8" w:space="0" w:color="auto"/>
              <w:right w:val="single" w:sz="8" w:space="0" w:color="auto"/>
            </w:tcBorders>
            <w:shd w:val="clear" w:color="auto" w:fill="auto"/>
            <w:vAlign w:val="center"/>
            <w:hideMark/>
          </w:tcPr>
          <w:p w:rsidR="00733431" w:rsidRPr="00F3508E" w:rsidP="00733431">
            <w:pPr>
              <w:widowControl/>
              <w:jc w:val="center"/>
              <w:rPr>
                <w:rFonts w:ascii="Times New Roman" w:hAnsi="Times New Roman"/>
                <w:snapToGrid/>
                <w:color w:val="000000"/>
                <w:sz w:val="20"/>
              </w:rPr>
            </w:pPr>
            <w:r>
              <w:rPr>
                <w:rFonts w:ascii="Times New Roman" w:hAnsi="Times New Roman"/>
                <w:snapToGrid/>
                <w:color w:val="000000"/>
                <w:sz w:val="20"/>
              </w:rPr>
              <w:t>75</w:t>
            </w:r>
          </w:p>
        </w:tc>
        <w:tc>
          <w:tcPr>
            <w:tcW w:w="810" w:type="dxa"/>
            <w:tcBorders>
              <w:top w:val="nil"/>
              <w:left w:val="nil"/>
              <w:bottom w:val="single" w:sz="8" w:space="0" w:color="auto"/>
              <w:right w:val="single" w:sz="8" w:space="0" w:color="auto"/>
            </w:tcBorders>
            <w:shd w:val="clear" w:color="auto" w:fill="auto"/>
            <w:vAlign w:val="center"/>
            <w:hideMark/>
          </w:tcPr>
          <w:p w:rsidR="00733431" w:rsidP="00733431">
            <w:pPr>
              <w:widowControl/>
              <w:jc w:val="center"/>
              <w:rPr>
                <w:rFonts w:ascii="Times New Roman" w:hAnsi="Times New Roman"/>
                <w:snapToGrid/>
                <w:color w:val="000000"/>
                <w:sz w:val="20"/>
              </w:rPr>
            </w:pPr>
            <w:r w:rsidRPr="00F3508E">
              <w:rPr>
                <w:rFonts w:ascii="Times New Roman" w:hAnsi="Times New Roman"/>
                <w:snapToGrid/>
                <w:color w:val="000000"/>
                <w:sz w:val="20"/>
              </w:rPr>
              <w:t>1</w:t>
            </w:r>
          </w:p>
          <w:p w:rsidR="00733431" w:rsidRPr="00F3508E" w:rsidP="00733431">
            <w:pPr>
              <w:widowControl/>
              <w:jc w:val="center"/>
              <w:rPr>
                <w:rFonts w:ascii="Times New Roman" w:hAnsi="Times New Roman"/>
                <w:snapToGrid/>
                <w:color w:val="000000"/>
                <w:sz w:val="20"/>
              </w:rPr>
            </w:pPr>
            <w:r>
              <w:rPr>
                <w:rFonts w:ascii="Times New Roman" w:hAnsi="Times New Roman"/>
                <w:snapToGrid/>
                <w:color w:val="000000"/>
                <w:sz w:val="20"/>
              </w:rPr>
              <w:t>($1.34)</w:t>
            </w:r>
          </w:p>
        </w:tc>
        <w:tc>
          <w:tcPr>
            <w:tcW w:w="990" w:type="dxa"/>
            <w:tcBorders>
              <w:top w:val="nil"/>
              <w:left w:val="nil"/>
              <w:bottom w:val="single" w:sz="8" w:space="0" w:color="auto"/>
              <w:right w:val="single" w:sz="8" w:space="0" w:color="auto"/>
            </w:tcBorders>
            <w:shd w:val="clear" w:color="auto" w:fill="auto"/>
            <w:vAlign w:val="center"/>
            <w:hideMark/>
          </w:tcPr>
          <w:p w:rsidR="00733431" w:rsidRPr="00F3508E" w:rsidP="00733431">
            <w:pPr>
              <w:widowControl/>
              <w:jc w:val="center"/>
              <w:rPr>
                <w:rFonts w:ascii="Times New Roman" w:hAnsi="Times New Roman"/>
                <w:snapToGrid/>
                <w:color w:val="000000"/>
                <w:sz w:val="20"/>
              </w:rPr>
            </w:pPr>
            <w:r w:rsidRPr="00F3508E">
              <w:rPr>
                <w:rFonts w:ascii="Times New Roman" w:hAnsi="Times New Roman"/>
                <w:snapToGrid/>
                <w:color w:val="000000"/>
                <w:sz w:val="20"/>
              </w:rPr>
              <w:t>0</w:t>
            </w:r>
          </w:p>
        </w:tc>
        <w:tc>
          <w:tcPr>
            <w:tcW w:w="900" w:type="dxa"/>
            <w:tcBorders>
              <w:top w:val="nil"/>
              <w:left w:val="nil"/>
              <w:bottom w:val="single" w:sz="8" w:space="0" w:color="auto"/>
              <w:right w:val="single" w:sz="8" w:space="0" w:color="auto"/>
            </w:tcBorders>
            <w:shd w:val="clear" w:color="auto" w:fill="auto"/>
            <w:vAlign w:val="center"/>
            <w:hideMark/>
          </w:tcPr>
          <w:p w:rsidR="00733431" w:rsidP="00733431">
            <w:pPr>
              <w:widowControl/>
              <w:jc w:val="center"/>
              <w:rPr>
                <w:rFonts w:ascii="Source Sans Pro" w:hAnsi="Source Sans Pro" w:cs="Calibri"/>
                <w:snapToGrid/>
                <w:color w:val="000000"/>
                <w:sz w:val="20"/>
              </w:rPr>
            </w:pPr>
            <w:r w:rsidRPr="00F3508E">
              <w:rPr>
                <w:rFonts w:ascii="Source Sans Pro" w:hAnsi="Source Sans Pro" w:cs="Calibri"/>
                <w:snapToGrid/>
                <w:color w:val="000000"/>
                <w:sz w:val="20"/>
              </w:rPr>
              <w:t>29</w:t>
            </w:r>
          </w:p>
          <w:p w:rsidR="00733431" w:rsidRPr="00F3508E" w:rsidP="00733431">
            <w:pPr>
              <w:widowControl/>
              <w:jc w:val="center"/>
              <w:rPr>
                <w:rFonts w:ascii="Source Sans Pro" w:hAnsi="Source Sans Pro" w:cs="Calibri"/>
                <w:snapToGrid/>
                <w:color w:val="000000"/>
                <w:sz w:val="20"/>
              </w:rPr>
            </w:pPr>
            <w:r>
              <w:rPr>
                <w:rFonts w:ascii="Source Sans Pro" w:hAnsi="Source Sans Pro" w:cs="Calibri"/>
                <w:snapToGrid/>
                <w:color w:val="000000"/>
                <w:sz w:val="20"/>
              </w:rPr>
              <w:t>($18.74)</w:t>
            </w:r>
          </w:p>
        </w:tc>
        <w:tc>
          <w:tcPr>
            <w:tcW w:w="990" w:type="dxa"/>
            <w:tcBorders>
              <w:top w:val="nil"/>
              <w:left w:val="nil"/>
              <w:bottom w:val="single" w:sz="8" w:space="0" w:color="auto"/>
              <w:right w:val="single" w:sz="8" w:space="0" w:color="auto"/>
            </w:tcBorders>
            <w:shd w:val="clear" w:color="auto" w:fill="auto"/>
            <w:vAlign w:val="center"/>
            <w:hideMark/>
          </w:tcPr>
          <w:p w:rsidR="00733431" w:rsidRPr="00F3508E" w:rsidP="00733431">
            <w:pPr>
              <w:widowControl/>
              <w:jc w:val="center"/>
              <w:rPr>
                <w:rFonts w:ascii="Source Sans Pro" w:hAnsi="Source Sans Pro" w:cs="Calibri"/>
                <w:snapToGrid/>
                <w:color w:val="000000"/>
                <w:sz w:val="20"/>
              </w:rPr>
            </w:pPr>
            <w:r w:rsidRPr="00F3508E">
              <w:rPr>
                <w:rFonts w:ascii="Source Sans Pro" w:hAnsi="Source Sans Pro" w:cs="Calibri"/>
                <w:snapToGrid/>
                <w:color w:val="000000"/>
                <w:sz w:val="20"/>
              </w:rPr>
              <w:t>0</w:t>
            </w:r>
          </w:p>
        </w:tc>
        <w:tc>
          <w:tcPr>
            <w:tcW w:w="990" w:type="dxa"/>
            <w:tcBorders>
              <w:top w:val="nil"/>
              <w:left w:val="nil"/>
              <w:bottom w:val="single" w:sz="8" w:space="0" w:color="auto"/>
              <w:right w:val="single" w:sz="8" w:space="0" w:color="auto"/>
            </w:tcBorders>
            <w:shd w:val="clear" w:color="auto" w:fill="auto"/>
            <w:vAlign w:val="center"/>
            <w:hideMark/>
          </w:tcPr>
          <w:p w:rsidR="00733431" w:rsidRPr="00F3508E" w:rsidP="00733431">
            <w:pPr>
              <w:widowControl/>
              <w:jc w:val="center"/>
              <w:rPr>
                <w:rFonts w:ascii="Source Sans Pro" w:hAnsi="Source Sans Pro" w:cs="Calibri"/>
                <w:snapToGrid/>
                <w:color w:val="000000"/>
                <w:sz w:val="20"/>
              </w:rPr>
            </w:pPr>
            <w:r w:rsidRPr="00F3508E">
              <w:rPr>
                <w:rFonts w:ascii="Source Sans Pro" w:hAnsi="Source Sans Pro" w:cs="Calibri"/>
                <w:snapToGrid/>
                <w:color w:val="000000"/>
                <w:sz w:val="20"/>
              </w:rPr>
              <w:t>0</w:t>
            </w:r>
          </w:p>
        </w:tc>
        <w:tc>
          <w:tcPr>
            <w:tcW w:w="900" w:type="dxa"/>
            <w:tcBorders>
              <w:top w:val="nil"/>
              <w:left w:val="nil"/>
              <w:bottom w:val="single" w:sz="8" w:space="0" w:color="auto"/>
              <w:right w:val="single" w:sz="8" w:space="0" w:color="auto"/>
            </w:tcBorders>
            <w:shd w:val="clear" w:color="auto" w:fill="auto"/>
            <w:vAlign w:val="center"/>
            <w:hideMark/>
          </w:tcPr>
          <w:p w:rsidR="00733431" w:rsidP="00733431">
            <w:pPr>
              <w:widowControl/>
              <w:jc w:val="center"/>
              <w:rPr>
                <w:rFonts w:ascii="Source Sans Pro" w:hAnsi="Source Sans Pro" w:cs="Calibri"/>
                <w:snapToGrid/>
                <w:color w:val="000000"/>
                <w:sz w:val="20"/>
              </w:rPr>
            </w:pPr>
            <w:r w:rsidRPr="00F3508E">
              <w:rPr>
                <w:rFonts w:ascii="Source Sans Pro" w:hAnsi="Source Sans Pro" w:cs="Calibri"/>
                <w:snapToGrid/>
                <w:color w:val="000000"/>
                <w:sz w:val="20"/>
              </w:rPr>
              <w:t>70</w:t>
            </w:r>
          </w:p>
          <w:p w:rsidR="00733431" w:rsidRPr="00F3508E" w:rsidP="00733431">
            <w:pPr>
              <w:widowControl/>
              <w:jc w:val="center"/>
              <w:rPr>
                <w:rFonts w:ascii="Source Sans Pro" w:hAnsi="Source Sans Pro" w:cs="Calibri"/>
                <w:snapToGrid/>
                <w:color w:val="000000"/>
                <w:sz w:val="20"/>
              </w:rPr>
            </w:pPr>
            <w:r>
              <w:rPr>
                <w:rFonts w:ascii="Source Sans Pro" w:hAnsi="Source Sans Pro" w:cs="Calibri"/>
                <w:snapToGrid/>
                <w:color w:val="000000"/>
                <w:sz w:val="20"/>
              </w:rPr>
              <w:t>($26.48)</w:t>
            </w:r>
          </w:p>
        </w:tc>
        <w:tc>
          <w:tcPr>
            <w:tcW w:w="1530" w:type="dxa"/>
            <w:tcBorders>
              <w:top w:val="nil"/>
              <w:left w:val="nil"/>
              <w:bottom w:val="single" w:sz="8" w:space="0" w:color="auto"/>
              <w:right w:val="single" w:sz="8" w:space="0" w:color="auto"/>
            </w:tcBorders>
            <w:shd w:val="clear" w:color="auto" w:fill="auto"/>
            <w:vAlign w:val="center"/>
            <w:hideMark/>
          </w:tcPr>
          <w:p w:rsidR="00733431" w:rsidRPr="00F3508E" w:rsidP="00733431">
            <w:pPr>
              <w:widowControl/>
              <w:ind w:firstLine="200" w:firstLineChars="100"/>
              <w:jc w:val="right"/>
              <w:rPr>
                <w:rFonts w:ascii="Source Sans Pro" w:hAnsi="Source Sans Pro" w:cs="Calibri"/>
                <w:snapToGrid/>
                <w:color w:val="000000"/>
                <w:sz w:val="20"/>
              </w:rPr>
            </w:pPr>
            <w:r>
              <w:rPr>
                <w:rFonts w:ascii="Source Sans Pro" w:hAnsi="Source Sans Pro" w:cs="Calibri"/>
                <w:snapToGrid/>
                <w:color w:val="000000"/>
                <w:sz w:val="20"/>
              </w:rPr>
              <w:t>$34.92</w:t>
            </w:r>
            <w:r w:rsidRPr="00F3508E">
              <w:rPr>
                <w:rFonts w:ascii="Source Sans Pro" w:hAnsi="Source Sans Pro" w:cs="Calibri"/>
                <w:snapToGrid/>
                <w:color w:val="000000"/>
                <w:sz w:val="20"/>
              </w:rPr>
              <w:t xml:space="preserve"> </w:t>
            </w:r>
          </w:p>
        </w:tc>
      </w:tr>
      <w:tr w:rsidTr="00ED475D">
        <w:tblPrEx>
          <w:tblW w:w="10160" w:type="dxa"/>
          <w:tblLayout w:type="fixed"/>
          <w:tblLook w:val="04A0"/>
        </w:tblPrEx>
        <w:trPr>
          <w:trHeight w:val="300"/>
        </w:trPr>
        <w:tc>
          <w:tcPr>
            <w:tcW w:w="8630" w:type="dxa"/>
            <w:gridSpan w:val="8"/>
            <w:tcBorders>
              <w:top w:val="single" w:sz="8" w:space="0" w:color="auto"/>
              <w:left w:val="single" w:sz="8" w:space="0" w:color="auto"/>
              <w:bottom w:val="nil"/>
              <w:right w:val="nil"/>
            </w:tcBorders>
            <w:shd w:val="clear" w:color="auto" w:fill="auto"/>
            <w:vAlign w:val="center"/>
            <w:hideMark/>
          </w:tcPr>
          <w:p w:rsidR="00733431" w:rsidRPr="00F3508E" w:rsidP="00733431">
            <w:pPr>
              <w:widowControl/>
              <w:jc w:val="right"/>
              <w:rPr>
                <w:rFonts w:ascii="Times New Roman" w:hAnsi="Times New Roman"/>
                <w:b/>
                <w:bCs/>
                <w:i/>
                <w:iCs/>
                <w:snapToGrid/>
                <w:color w:val="000000"/>
                <w:sz w:val="22"/>
                <w:szCs w:val="22"/>
              </w:rPr>
            </w:pPr>
            <w:r w:rsidRPr="00F3508E">
              <w:rPr>
                <w:rFonts w:ascii="Times New Roman" w:hAnsi="Times New Roman"/>
                <w:b/>
                <w:bCs/>
                <w:i/>
                <w:iCs/>
                <w:snapToGrid/>
                <w:color w:val="000000"/>
                <w:sz w:val="22"/>
                <w:szCs w:val="22"/>
              </w:rPr>
              <w:t>Weighted Average Hourly Compensation Rate:</w:t>
            </w:r>
          </w:p>
        </w:tc>
        <w:tc>
          <w:tcPr>
            <w:tcW w:w="1530" w:type="dxa"/>
            <w:tcBorders>
              <w:top w:val="nil"/>
              <w:left w:val="nil"/>
              <w:bottom w:val="nil"/>
              <w:right w:val="single" w:sz="8" w:space="0" w:color="auto"/>
            </w:tcBorders>
            <w:shd w:val="clear" w:color="auto" w:fill="auto"/>
            <w:vAlign w:val="center"/>
            <w:hideMark/>
          </w:tcPr>
          <w:p w:rsidR="00733431" w:rsidRPr="00F3508E" w:rsidP="00733431">
            <w:pPr>
              <w:widowControl/>
              <w:ind w:firstLine="220" w:firstLineChars="100"/>
              <w:jc w:val="right"/>
              <w:rPr>
                <w:rFonts w:ascii="Source Sans Pro" w:hAnsi="Source Sans Pro" w:cs="Calibri"/>
                <w:b/>
                <w:bCs/>
                <w:i/>
                <w:iCs/>
                <w:snapToGrid/>
                <w:color w:val="000000"/>
                <w:sz w:val="22"/>
                <w:szCs w:val="22"/>
              </w:rPr>
            </w:pPr>
            <w:r>
              <w:rPr>
                <w:rFonts w:ascii="Source Sans Pro" w:hAnsi="Source Sans Pro" w:cs="Calibri"/>
                <w:b/>
                <w:bCs/>
                <w:i/>
                <w:iCs/>
                <w:snapToGrid/>
                <w:color w:val="000000"/>
                <w:sz w:val="22"/>
                <w:szCs w:val="22"/>
              </w:rPr>
              <w:t>$46</w:t>
            </w:r>
            <w:r w:rsidRPr="00F3508E">
              <w:rPr>
                <w:rFonts w:ascii="Source Sans Pro" w:hAnsi="Source Sans Pro" w:cs="Calibri"/>
                <w:b/>
                <w:bCs/>
                <w:i/>
                <w:iCs/>
                <w:snapToGrid/>
                <w:color w:val="000000"/>
                <w:sz w:val="22"/>
                <w:szCs w:val="22"/>
              </w:rPr>
              <w:t xml:space="preserve">.56 </w:t>
            </w:r>
          </w:p>
        </w:tc>
      </w:tr>
      <w:tr w:rsidTr="00ED475D">
        <w:tblPrEx>
          <w:tblW w:w="10160" w:type="dxa"/>
          <w:tblLayout w:type="fixed"/>
          <w:tblLook w:val="04A0"/>
        </w:tblPrEx>
        <w:trPr>
          <w:trHeight w:val="300"/>
        </w:trPr>
        <w:tc>
          <w:tcPr>
            <w:tcW w:w="10160" w:type="dxa"/>
            <w:gridSpan w:val="9"/>
            <w:vMerge w:val="restart"/>
            <w:tcBorders>
              <w:top w:val="single" w:sz="8" w:space="0" w:color="auto"/>
              <w:left w:val="single" w:sz="8" w:space="0" w:color="auto"/>
              <w:bottom w:val="nil"/>
              <w:right w:val="single" w:sz="8" w:space="0" w:color="000000"/>
            </w:tcBorders>
            <w:shd w:val="clear" w:color="auto" w:fill="auto"/>
            <w:vAlign w:val="center"/>
            <w:hideMark/>
          </w:tcPr>
          <w:p w:rsidR="00733431" w:rsidRPr="00F3508E" w:rsidP="00733431">
            <w:pPr>
              <w:widowControl/>
              <w:rPr>
                <w:rFonts w:ascii="Times New Roman" w:hAnsi="Times New Roman"/>
                <w:snapToGrid/>
                <w:color w:val="000000"/>
                <w:sz w:val="18"/>
                <w:szCs w:val="18"/>
              </w:rPr>
            </w:pPr>
            <w:r w:rsidRPr="00F3508E">
              <w:rPr>
                <w:rFonts w:ascii="Times New Roman" w:hAnsi="Times New Roman"/>
                <w:snapToGrid/>
                <w:color w:val="000000"/>
                <w:sz w:val="18"/>
                <w:szCs w:val="18"/>
              </w:rPr>
              <w:t xml:space="preserve">Source: Bureau of Labor Statistics: 'National Industry-Specific Occupational Employment and Wage Estimates: Industry: Credit Intermediation and Related Activities (5221 And 5223 only)' (May 2021), Employer Cost of Employee Compensation (March 2021), and Employment Cost Index (March 2021 and December 2022). Standard Occupational Classification (SOC) Codes: Exec. And Mgr = 11-0000 Management Occupations; Lawyer = 23-0000 Legal Occupations; Compl. Ofc. = 13-1040 Compliance Officers; IT = 15-0000 Computer and Mathematical Occupations; Fin. Anlst. = 13-2051 Financial and Investment Analysts; Clerical = 43-0000 Office and Administrative Support Occupations. </w:t>
            </w:r>
          </w:p>
        </w:tc>
      </w:tr>
      <w:tr w:rsidTr="00ED475D">
        <w:tblPrEx>
          <w:tblW w:w="10160" w:type="dxa"/>
          <w:tblLayout w:type="fixed"/>
          <w:tblLook w:val="04A0"/>
        </w:tblPrEx>
        <w:trPr>
          <w:trHeight w:val="300"/>
        </w:trPr>
        <w:tc>
          <w:tcPr>
            <w:tcW w:w="10160" w:type="dxa"/>
            <w:gridSpan w:val="9"/>
            <w:vMerge/>
            <w:tcBorders>
              <w:top w:val="single" w:sz="8" w:space="0" w:color="auto"/>
              <w:left w:val="single" w:sz="8" w:space="0" w:color="auto"/>
              <w:bottom w:val="nil"/>
              <w:right w:val="single" w:sz="8" w:space="0" w:color="000000"/>
            </w:tcBorders>
            <w:vAlign w:val="center"/>
            <w:hideMark/>
          </w:tcPr>
          <w:p w:rsidR="00733431" w:rsidRPr="00F3508E" w:rsidP="00733431">
            <w:pPr>
              <w:widowControl/>
              <w:rPr>
                <w:rFonts w:ascii="Times New Roman" w:hAnsi="Times New Roman"/>
                <w:snapToGrid/>
                <w:color w:val="000000"/>
                <w:sz w:val="18"/>
                <w:szCs w:val="18"/>
              </w:rPr>
            </w:pPr>
          </w:p>
        </w:tc>
      </w:tr>
      <w:tr w:rsidTr="00ED475D">
        <w:tblPrEx>
          <w:tblW w:w="10160" w:type="dxa"/>
          <w:tblLayout w:type="fixed"/>
          <w:tblLook w:val="04A0"/>
        </w:tblPrEx>
        <w:trPr>
          <w:trHeight w:val="300"/>
        </w:trPr>
        <w:tc>
          <w:tcPr>
            <w:tcW w:w="10160" w:type="dxa"/>
            <w:gridSpan w:val="9"/>
            <w:vMerge/>
            <w:tcBorders>
              <w:top w:val="single" w:sz="8" w:space="0" w:color="auto"/>
              <w:left w:val="single" w:sz="8" w:space="0" w:color="auto"/>
              <w:bottom w:val="nil"/>
              <w:right w:val="single" w:sz="8" w:space="0" w:color="000000"/>
            </w:tcBorders>
            <w:vAlign w:val="center"/>
            <w:hideMark/>
          </w:tcPr>
          <w:p w:rsidR="00733431" w:rsidRPr="00F3508E" w:rsidP="00733431">
            <w:pPr>
              <w:widowControl/>
              <w:rPr>
                <w:rFonts w:ascii="Times New Roman" w:hAnsi="Times New Roman"/>
                <w:snapToGrid/>
                <w:color w:val="000000"/>
                <w:sz w:val="18"/>
                <w:szCs w:val="18"/>
              </w:rPr>
            </w:pPr>
          </w:p>
        </w:tc>
      </w:tr>
      <w:tr w:rsidTr="00ED475D">
        <w:tblPrEx>
          <w:tblW w:w="10160" w:type="dxa"/>
          <w:tblLayout w:type="fixed"/>
          <w:tblLook w:val="04A0"/>
        </w:tblPrEx>
        <w:trPr>
          <w:trHeight w:val="300"/>
        </w:trPr>
        <w:tc>
          <w:tcPr>
            <w:tcW w:w="10160" w:type="dxa"/>
            <w:gridSpan w:val="9"/>
            <w:vMerge/>
            <w:tcBorders>
              <w:top w:val="single" w:sz="8" w:space="0" w:color="auto"/>
              <w:left w:val="single" w:sz="8" w:space="0" w:color="auto"/>
              <w:bottom w:val="nil"/>
              <w:right w:val="single" w:sz="8" w:space="0" w:color="000000"/>
            </w:tcBorders>
            <w:vAlign w:val="center"/>
            <w:hideMark/>
          </w:tcPr>
          <w:p w:rsidR="00733431" w:rsidRPr="00F3508E" w:rsidP="00733431">
            <w:pPr>
              <w:widowControl/>
              <w:rPr>
                <w:rFonts w:ascii="Times New Roman" w:hAnsi="Times New Roman"/>
                <w:snapToGrid/>
                <w:color w:val="000000"/>
                <w:sz w:val="18"/>
                <w:szCs w:val="18"/>
              </w:rPr>
            </w:pPr>
          </w:p>
        </w:tc>
      </w:tr>
      <w:tr w:rsidTr="00ED475D">
        <w:tblPrEx>
          <w:tblW w:w="10160" w:type="dxa"/>
          <w:tblLayout w:type="fixed"/>
          <w:tblLook w:val="04A0"/>
        </w:tblPrEx>
        <w:trPr>
          <w:trHeight w:val="300"/>
        </w:trPr>
        <w:tc>
          <w:tcPr>
            <w:tcW w:w="10160" w:type="dxa"/>
            <w:gridSpan w:val="9"/>
            <w:vMerge/>
            <w:tcBorders>
              <w:top w:val="single" w:sz="8" w:space="0" w:color="auto"/>
              <w:left w:val="single" w:sz="8" w:space="0" w:color="auto"/>
              <w:bottom w:val="nil"/>
              <w:right w:val="single" w:sz="8" w:space="0" w:color="000000"/>
            </w:tcBorders>
            <w:vAlign w:val="center"/>
            <w:hideMark/>
          </w:tcPr>
          <w:p w:rsidR="00733431" w:rsidRPr="00F3508E" w:rsidP="00733431">
            <w:pPr>
              <w:widowControl/>
              <w:rPr>
                <w:rFonts w:ascii="Times New Roman" w:hAnsi="Times New Roman"/>
                <w:snapToGrid/>
                <w:color w:val="000000"/>
                <w:sz w:val="18"/>
                <w:szCs w:val="18"/>
              </w:rPr>
            </w:pPr>
          </w:p>
        </w:tc>
      </w:tr>
      <w:tr w:rsidTr="00ED475D">
        <w:tblPrEx>
          <w:tblW w:w="10160" w:type="dxa"/>
          <w:tblLayout w:type="fixed"/>
          <w:tblLook w:val="04A0"/>
        </w:tblPrEx>
        <w:trPr>
          <w:trHeight w:val="300"/>
        </w:trPr>
        <w:tc>
          <w:tcPr>
            <w:tcW w:w="10160" w:type="dxa"/>
            <w:gridSpan w:val="9"/>
            <w:vMerge w:val="restart"/>
            <w:tcBorders>
              <w:top w:val="nil"/>
              <w:left w:val="single" w:sz="8" w:space="0" w:color="auto"/>
              <w:bottom w:val="single" w:sz="8" w:space="0" w:color="000000"/>
              <w:right w:val="single" w:sz="8" w:space="0" w:color="000000"/>
            </w:tcBorders>
            <w:shd w:val="clear" w:color="auto" w:fill="auto"/>
            <w:vAlign w:val="center"/>
            <w:hideMark/>
          </w:tcPr>
          <w:p w:rsidR="00733431" w:rsidRPr="00F3508E" w:rsidP="00733431">
            <w:pPr>
              <w:widowControl/>
              <w:rPr>
                <w:rFonts w:ascii="Times New Roman" w:hAnsi="Times New Roman"/>
                <w:snapToGrid/>
                <w:color w:val="000000"/>
                <w:sz w:val="18"/>
                <w:szCs w:val="18"/>
              </w:rPr>
            </w:pPr>
            <w:r w:rsidRPr="00F3508E">
              <w:rPr>
                <w:rFonts w:ascii="Times New Roman" w:hAnsi="Times New Roman"/>
                <w:snapToGrid/>
                <w:color w:val="000000"/>
                <w:sz w:val="18"/>
                <w:szCs w:val="18"/>
              </w:rPr>
              <w:t>Note: The estimated hourly compensation rate for a given collection is the average of the hourly compensation rates for the occupations used to comply with that collection, weighted by the share of hours spent by each occupation. The weighted average hourly compensation rate is the average of the estimated hourly compensation rates for all information collections, weighted by the share of hourly burden for each collection. These hourly weights, calculated as the estimated number of annual burden hours in a given collection over the total estimated number of annual burden hours across all collections, are shown in the “Hourly Weight” column of this table.</w:t>
            </w:r>
          </w:p>
        </w:tc>
      </w:tr>
      <w:tr w:rsidTr="00ED475D">
        <w:tblPrEx>
          <w:tblW w:w="10160" w:type="dxa"/>
          <w:tblLayout w:type="fixed"/>
          <w:tblLook w:val="04A0"/>
        </w:tblPrEx>
        <w:trPr>
          <w:trHeight w:val="300"/>
        </w:trPr>
        <w:tc>
          <w:tcPr>
            <w:tcW w:w="10160" w:type="dxa"/>
            <w:gridSpan w:val="9"/>
            <w:vMerge/>
            <w:tcBorders>
              <w:top w:val="nil"/>
              <w:left w:val="single" w:sz="8" w:space="0" w:color="auto"/>
              <w:bottom w:val="single" w:sz="8" w:space="0" w:color="000000"/>
              <w:right w:val="single" w:sz="8" w:space="0" w:color="000000"/>
            </w:tcBorders>
            <w:vAlign w:val="center"/>
            <w:hideMark/>
          </w:tcPr>
          <w:p w:rsidR="00733431" w:rsidRPr="00F3508E" w:rsidP="00733431">
            <w:pPr>
              <w:widowControl/>
              <w:rPr>
                <w:rFonts w:ascii="Source Sans Pro" w:hAnsi="Source Sans Pro" w:cs="Calibri"/>
                <w:snapToGrid/>
                <w:color w:val="000000"/>
                <w:sz w:val="18"/>
                <w:szCs w:val="18"/>
              </w:rPr>
            </w:pPr>
          </w:p>
        </w:tc>
      </w:tr>
      <w:tr w:rsidTr="00ED475D">
        <w:tblPrEx>
          <w:tblW w:w="10160" w:type="dxa"/>
          <w:tblLayout w:type="fixed"/>
          <w:tblLook w:val="04A0"/>
        </w:tblPrEx>
        <w:trPr>
          <w:trHeight w:val="300"/>
        </w:trPr>
        <w:tc>
          <w:tcPr>
            <w:tcW w:w="10160" w:type="dxa"/>
            <w:gridSpan w:val="9"/>
            <w:vMerge/>
            <w:tcBorders>
              <w:top w:val="nil"/>
              <w:left w:val="single" w:sz="8" w:space="0" w:color="auto"/>
              <w:bottom w:val="single" w:sz="8" w:space="0" w:color="000000"/>
              <w:right w:val="single" w:sz="8" w:space="0" w:color="000000"/>
            </w:tcBorders>
            <w:vAlign w:val="center"/>
            <w:hideMark/>
          </w:tcPr>
          <w:p w:rsidR="00733431" w:rsidRPr="00F3508E" w:rsidP="00733431">
            <w:pPr>
              <w:widowControl/>
              <w:rPr>
                <w:rFonts w:ascii="Source Sans Pro" w:hAnsi="Source Sans Pro" w:cs="Calibri"/>
                <w:snapToGrid/>
                <w:color w:val="000000"/>
                <w:sz w:val="18"/>
                <w:szCs w:val="18"/>
              </w:rPr>
            </w:pPr>
          </w:p>
        </w:tc>
      </w:tr>
      <w:tr w:rsidTr="00ED475D">
        <w:tblPrEx>
          <w:tblW w:w="10160" w:type="dxa"/>
          <w:tblLayout w:type="fixed"/>
          <w:tblLook w:val="04A0"/>
        </w:tblPrEx>
        <w:trPr>
          <w:trHeight w:val="300"/>
        </w:trPr>
        <w:tc>
          <w:tcPr>
            <w:tcW w:w="10160" w:type="dxa"/>
            <w:gridSpan w:val="9"/>
            <w:vMerge/>
            <w:tcBorders>
              <w:top w:val="nil"/>
              <w:left w:val="single" w:sz="8" w:space="0" w:color="auto"/>
              <w:bottom w:val="single" w:sz="8" w:space="0" w:color="000000"/>
              <w:right w:val="single" w:sz="8" w:space="0" w:color="000000"/>
            </w:tcBorders>
            <w:vAlign w:val="center"/>
            <w:hideMark/>
          </w:tcPr>
          <w:p w:rsidR="00733431" w:rsidRPr="00F3508E" w:rsidP="00733431">
            <w:pPr>
              <w:widowControl/>
              <w:rPr>
                <w:rFonts w:ascii="Source Sans Pro" w:hAnsi="Source Sans Pro" w:cs="Calibri"/>
                <w:snapToGrid/>
                <w:color w:val="000000"/>
                <w:sz w:val="18"/>
                <w:szCs w:val="18"/>
              </w:rPr>
            </w:pPr>
          </w:p>
        </w:tc>
      </w:tr>
      <w:tr w:rsidTr="00ED475D">
        <w:tblPrEx>
          <w:tblW w:w="10160" w:type="dxa"/>
          <w:tblLayout w:type="fixed"/>
          <w:tblLook w:val="04A0"/>
        </w:tblPrEx>
        <w:trPr>
          <w:trHeight w:val="300"/>
        </w:trPr>
        <w:tc>
          <w:tcPr>
            <w:tcW w:w="10160" w:type="dxa"/>
            <w:gridSpan w:val="9"/>
            <w:vMerge/>
            <w:tcBorders>
              <w:top w:val="nil"/>
              <w:left w:val="single" w:sz="8" w:space="0" w:color="auto"/>
              <w:bottom w:val="single" w:sz="8" w:space="0" w:color="000000"/>
              <w:right w:val="single" w:sz="8" w:space="0" w:color="000000"/>
            </w:tcBorders>
            <w:vAlign w:val="center"/>
            <w:hideMark/>
          </w:tcPr>
          <w:p w:rsidR="00733431" w:rsidRPr="00F3508E" w:rsidP="00733431">
            <w:pPr>
              <w:widowControl/>
              <w:rPr>
                <w:rFonts w:ascii="Source Sans Pro" w:hAnsi="Source Sans Pro" w:cs="Calibri"/>
                <w:snapToGrid/>
                <w:color w:val="000000"/>
                <w:sz w:val="18"/>
                <w:szCs w:val="18"/>
              </w:rPr>
            </w:pPr>
          </w:p>
        </w:tc>
      </w:tr>
    </w:tbl>
    <w:p w:rsidR="00F3508E" w:rsidRPr="00F3508E" w:rsidP="00F3508E">
      <w:pPr>
        <w:autoSpaceDE w:val="0"/>
        <w:autoSpaceDN w:val="0"/>
        <w:spacing w:before="240" w:after="120" w:line="240" w:lineRule="exact"/>
        <w:rPr>
          <w:rFonts w:ascii="Times New Roman" w:eastAsia="Source Sans Pro" w:hAnsi="Times New Roman"/>
          <w:b/>
          <w:snapToGrid/>
          <w:color w:val="000000"/>
          <w:szCs w:val="24"/>
          <w:lang w:bidi="en-US"/>
        </w:rPr>
      </w:pPr>
      <w:r w:rsidRPr="00F3508E">
        <w:rPr>
          <w:rFonts w:ascii="Times New Roman" w:eastAsia="Source Sans Pro" w:hAnsi="Times New Roman"/>
          <w:b/>
          <w:snapToGrid/>
          <w:color w:val="000000"/>
          <w:szCs w:val="24"/>
          <w:lang w:bidi="en-US"/>
        </w:rPr>
        <w:t xml:space="preserve">Total Estimated Annual Cost </w:t>
      </w:r>
    </w:p>
    <w:p w:rsidR="00F3508E" w:rsidRPr="00733431" w:rsidP="00F3508E">
      <w:pPr>
        <w:autoSpaceDE w:val="0"/>
        <w:autoSpaceDN w:val="0"/>
        <w:spacing w:before="240" w:after="120" w:line="240" w:lineRule="exact"/>
        <w:rPr>
          <w:rFonts w:ascii="Times New Roman" w:eastAsia="Source Sans Pro" w:hAnsi="Times New Roman"/>
          <w:snapToGrid/>
          <w:color w:val="000000"/>
          <w:szCs w:val="24"/>
          <w:lang w:bidi="en-US"/>
        </w:rPr>
      </w:pPr>
      <w:r w:rsidRPr="00F3508E">
        <w:rPr>
          <w:rFonts w:ascii="Times New Roman" w:eastAsia="Source Sans Pro" w:hAnsi="Times New Roman"/>
          <w:snapToGrid/>
          <w:color w:val="000000"/>
          <w:szCs w:val="24"/>
          <w:lang w:bidi="en-US"/>
        </w:rPr>
        <w:t>As shown in Table 3, the total estimated annual cost associated with this infor</w:t>
      </w:r>
      <w:r w:rsidR="00733431">
        <w:rPr>
          <w:rFonts w:ascii="Times New Roman" w:eastAsia="Source Sans Pro" w:hAnsi="Times New Roman"/>
          <w:snapToGrid/>
          <w:color w:val="000000"/>
          <w:szCs w:val="24"/>
          <w:lang w:bidi="en-US"/>
        </w:rPr>
        <w:t>mation collection is $2,552,233</w:t>
      </w:r>
      <w:r w:rsidRPr="00F3508E">
        <w:rPr>
          <w:rFonts w:ascii="Times New Roman" w:eastAsia="Source Sans Pro" w:hAnsi="Times New Roman"/>
          <w:snapToGrid/>
          <w:color w:val="000000"/>
          <w:szCs w:val="24"/>
          <w:lang w:bidi="en-US"/>
        </w:rPr>
        <w:t xml:space="preserve">. </w:t>
      </w:r>
    </w:p>
    <w:tbl>
      <w:tblPr>
        <w:tblW w:w="10160" w:type="dxa"/>
        <w:tblLook w:val="04A0"/>
      </w:tblPr>
      <w:tblGrid>
        <w:gridCol w:w="2184"/>
        <w:gridCol w:w="2992"/>
        <w:gridCol w:w="2145"/>
        <w:gridCol w:w="2839"/>
      </w:tblGrid>
      <w:tr w:rsidTr="00ED475D">
        <w:tblPrEx>
          <w:tblW w:w="10160" w:type="dxa"/>
          <w:tblLook w:val="04A0"/>
        </w:tblPrEx>
        <w:trPr>
          <w:trHeight w:val="360"/>
        </w:trPr>
        <w:tc>
          <w:tcPr>
            <w:tcW w:w="1016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3508E" w:rsidRPr="00F3508E" w:rsidP="00F3508E">
            <w:pPr>
              <w:widowControl/>
              <w:jc w:val="center"/>
              <w:rPr>
                <w:rFonts w:ascii="Times New Roman" w:hAnsi="Times New Roman"/>
                <w:snapToGrid/>
                <w:color w:val="000000"/>
                <w:szCs w:val="24"/>
              </w:rPr>
            </w:pPr>
            <w:r w:rsidRPr="00F3508E">
              <w:rPr>
                <w:rFonts w:ascii="Times New Roman" w:hAnsi="Times New Roman"/>
                <w:snapToGrid/>
                <w:color w:val="000000"/>
                <w:szCs w:val="24"/>
              </w:rPr>
              <w:t>Table 3. Total Estimated Cost Burden (OMB No. 3064-0087)</w:t>
            </w:r>
          </w:p>
        </w:tc>
      </w:tr>
      <w:tr w:rsidTr="00ED475D">
        <w:tblPrEx>
          <w:tblW w:w="10160" w:type="dxa"/>
          <w:tblLook w:val="04A0"/>
        </w:tblPrEx>
        <w:trPr>
          <w:trHeight w:val="600"/>
        </w:trPr>
        <w:tc>
          <w:tcPr>
            <w:tcW w:w="2184" w:type="dxa"/>
            <w:tcBorders>
              <w:top w:val="nil"/>
              <w:left w:val="single" w:sz="8" w:space="0" w:color="auto"/>
              <w:bottom w:val="single" w:sz="8" w:space="0" w:color="auto"/>
              <w:right w:val="single" w:sz="8" w:space="0" w:color="auto"/>
            </w:tcBorders>
            <w:shd w:val="clear" w:color="auto" w:fill="auto"/>
            <w:vAlign w:val="center"/>
            <w:hideMark/>
          </w:tcPr>
          <w:p w:rsidR="00F3508E" w:rsidRPr="00F3508E" w:rsidP="00F3508E">
            <w:pPr>
              <w:widowControl/>
              <w:rPr>
                <w:rFonts w:ascii="Times New Roman" w:hAnsi="Times New Roman"/>
                <w:snapToGrid/>
                <w:color w:val="000000"/>
                <w:sz w:val="20"/>
              </w:rPr>
            </w:pPr>
            <w:r w:rsidRPr="00F3508E">
              <w:rPr>
                <w:rFonts w:ascii="Times New Roman" w:hAnsi="Times New Roman"/>
                <w:snapToGrid/>
                <w:color w:val="000000"/>
                <w:sz w:val="20"/>
              </w:rPr>
              <w:t>Information Collection Request</w:t>
            </w:r>
          </w:p>
        </w:tc>
        <w:tc>
          <w:tcPr>
            <w:tcW w:w="2992" w:type="dxa"/>
            <w:tcBorders>
              <w:top w:val="nil"/>
              <w:left w:val="nil"/>
              <w:bottom w:val="single" w:sz="8" w:space="0" w:color="auto"/>
              <w:right w:val="single" w:sz="8" w:space="0" w:color="auto"/>
            </w:tcBorders>
            <w:shd w:val="clear" w:color="auto" w:fill="auto"/>
            <w:vAlign w:val="center"/>
            <w:hideMark/>
          </w:tcPr>
          <w:p w:rsidR="00F3508E" w:rsidRPr="00F3508E" w:rsidP="00F3508E">
            <w:pPr>
              <w:widowControl/>
              <w:jc w:val="center"/>
              <w:rPr>
                <w:rFonts w:ascii="Times New Roman" w:hAnsi="Times New Roman"/>
                <w:snapToGrid/>
                <w:color w:val="000000"/>
                <w:sz w:val="20"/>
              </w:rPr>
            </w:pPr>
            <w:r w:rsidRPr="00F3508E">
              <w:rPr>
                <w:rFonts w:ascii="Times New Roman" w:hAnsi="Times New Roman"/>
                <w:snapToGrid/>
                <w:color w:val="000000"/>
                <w:sz w:val="20"/>
              </w:rPr>
              <w:t>Annual Burden (Hours)</w:t>
            </w:r>
          </w:p>
        </w:tc>
        <w:tc>
          <w:tcPr>
            <w:tcW w:w="2145" w:type="dxa"/>
            <w:tcBorders>
              <w:top w:val="nil"/>
              <w:left w:val="nil"/>
              <w:bottom w:val="single" w:sz="8" w:space="0" w:color="auto"/>
              <w:right w:val="single" w:sz="8" w:space="0" w:color="auto"/>
            </w:tcBorders>
            <w:shd w:val="clear" w:color="auto" w:fill="auto"/>
            <w:vAlign w:val="center"/>
            <w:hideMark/>
          </w:tcPr>
          <w:p w:rsidR="00F3508E" w:rsidRPr="00F3508E" w:rsidP="00F3508E">
            <w:pPr>
              <w:widowControl/>
              <w:jc w:val="center"/>
              <w:rPr>
                <w:rFonts w:ascii="Times New Roman" w:hAnsi="Times New Roman"/>
                <w:snapToGrid/>
                <w:color w:val="000000"/>
                <w:sz w:val="20"/>
              </w:rPr>
            </w:pPr>
            <w:r w:rsidRPr="00F3508E">
              <w:rPr>
                <w:rFonts w:ascii="Times New Roman" w:hAnsi="Times New Roman"/>
                <w:snapToGrid/>
                <w:color w:val="000000"/>
                <w:sz w:val="20"/>
              </w:rPr>
              <w:t>Weighted Average Hourly Compensation Rate</w:t>
            </w:r>
          </w:p>
        </w:tc>
        <w:tc>
          <w:tcPr>
            <w:tcW w:w="2839" w:type="dxa"/>
            <w:tcBorders>
              <w:top w:val="nil"/>
              <w:left w:val="nil"/>
              <w:bottom w:val="single" w:sz="8" w:space="0" w:color="auto"/>
              <w:right w:val="single" w:sz="8" w:space="0" w:color="auto"/>
            </w:tcBorders>
            <w:shd w:val="clear" w:color="auto" w:fill="auto"/>
            <w:vAlign w:val="center"/>
            <w:hideMark/>
          </w:tcPr>
          <w:p w:rsidR="00F3508E" w:rsidRPr="00F3508E" w:rsidP="00F3508E">
            <w:pPr>
              <w:widowControl/>
              <w:jc w:val="center"/>
              <w:rPr>
                <w:rFonts w:ascii="Times New Roman" w:hAnsi="Times New Roman"/>
                <w:snapToGrid/>
                <w:color w:val="000000"/>
                <w:sz w:val="20"/>
              </w:rPr>
            </w:pPr>
            <w:r w:rsidRPr="00F3508E">
              <w:rPr>
                <w:rFonts w:ascii="Times New Roman" w:hAnsi="Times New Roman"/>
                <w:snapToGrid/>
                <w:color w:val="000000"/>
                <w:sz w:val="20"/>
              </w:rPr>
              <w:t>Annual Respondent Cost</w:t>
            </w:r>
          </w:p>
        </w:tc>
      </w:tr>
      <w:tr w:rsidTr="00ED475D">
        <w:tblPrEx>
          <w:tblW w:w="10160" w:type="dxa"/>
          <w:tblLook w:val="04A0"/>
        </w:tblPrEx>
        <w:trPr>
          <w:trHeight w:val="863"/>
        </w:trPr>
        <w:tc>
          <w:tcPr>
            <w:tcW w:w="2184" w:type="dxa"/>
            <w:tcBorders>
              <w:top w:val="nil"/>
              <w:left w:val="single" w:sz="8" w:space="0" w:color="auto"/>
              <w:bottom w:val="single" w:sz="8" w:space="0" w:color="auto"/>
              <w:right w:val="single" w:sz="8" w:space="0" w:color="auto"/>
            </w:tcBorders>
            <w:shd w:val="clear" w:color="auto" w:fill="auto"/>
            <w:vAlign w:val="center"/>
            <w:hideMark/>
          </w:tcPr>
          <w:p w:rsidR="00F3508E" w:rsidRPr="00F3508E" w:rsidP="00F3508E">
            <w:pPr>
              <w:widowControl/>
              <w:rPr>
                <w:rFonts w:ascii="Times New Roman" w:hAnsi="Times New Roman"/>
                <w:snapToGrid/>
                <w:color w:val="000000"/>
                <w:sz w:val="20"/>
              </w:rPr>
            </w:pPr>
            <w:r w:rsidRPr="00F3508E">
              <w:rPr>
                <w:rFonts w:ascii="Times New Roman" w:hAnsi="Times New Roman"/>
                <w:snapToGrid/>
                <w:color w:val="000000"/>
                <w:sz w:val="20"/>
              </w:rPr>
              <w:t>Procedures for Monitoring Bank Secrecy Act Compliance</w:t>
            </w:r>
          </w:p>
        </w:tc>
        <w:tc>
          <w:tcPr>
            <w:tcW w:w="2992" w:type="dxa"/>
            <w:tcBorders>
              <w:top w:val="nil"/>
              <w:left w:val="nil"/>
              <w:bottom w:val="single" w:sz="8" w:space="0" w:color="auto"/>
              <w:right w:val="single" w:sz="8" w:space="0" w:color="auto"/>
            </w:tcBorders>
            <w:shd w:val="clear" w:color="auto" w:fill="auto"/>
            <w:noWrap/>
            <w:vAlign w:val="center"/>
            <w:hideMark/>
          </w:tcPr>
          <w:p w:rsidR="00F3508E" w:rsidRPr="00F3508E" w:rsidP="00733431">
            <w:pPr>
              <w:widowControl/>
              <w:ind w:firstLine="400" w:firstLineChars="200"/>
              <w:jc w:val="right"/>
              <w:rPr>
                <w:rFonts w:ascii="Times New Roman" w:hAnsi="Times New Roman"/>
                <w:snapToGrid/>
                <w:color w:val="000000"/>
                <w:sz w:val="20"/>
              </w:rPr>
            </w:pPr>
            <w:r w:rsidRPr="00F3508E">
              <w:rPr>
                <w:rFonts w:ascii="Times New Roman" w:hAnsi="Times New Roman"/>
                <w:snapToGrid/>
                <w:color w:val="000000"/>
                <w:sz w:val="20"/>
              </w:rPr>
              <w:t xml:space="preserve">                                     </w:t>
            </w:r>
            <w:r w:rsidR="00733431">
              <w:rPr>
                <w:rFonts w:ascii="Times New Roman" w:hAnsi="Times New Roman"/>
                <w:snapToGrid/>
                <w:color w:val="000000"/>
                <w:sz w:val="20"/>
              </w:rPr>
              <w:t>54,816</w:t>
            </w:r>
            <w:r w:rsidRPr="00F3508E">
              <w:rPr>
                <w:rFonts w:ascii="Times New Roman" w:hAnsi="Times New Roman"/>
                <w:snapToGrid/>
                <w:color w:val="000000"/>
                <w:sz w:val="20"/>
              </w:rPr>
              <w:t xml:space="preserve"> </w:t>
            </w:r>
          </w:p>
        </w:tc>
        <w:tc>
          <w:tcPr>
            <w:tcW w:w="2145" w:type="dxa"/>
            <w:tcBorders>
              <w:top w:val="nil"/>
              <w:left w:val="nil"/>
              <w:bottom w:val="single" w:sz="8" w:space="0" w:color="auto"/>
              <w:right w:val="single" w:sz="8" w:space="0" w:color="auto"/>
            </w:tcBorders>
            <w:shd w:val="clear" w:color="auto" w:fill="auto"/>
            <w:noWrap/>
            <w:vAlign w:val="center"/>
            <w:hideMark/>
          </w:tcPr>
          <w:p w:rsidR="00F3508E" w:rsidRPr="00F3508E" w:rsidP="00F3508E">
            <w:pPr>
              <w:widowControl/>
              <w:ind w:firstLine="200" w:firstLineChars="100"/>
              <w:jc w:val="right"/>
              <w:rPr>
                <w:rFonts w:ascii="Times New Roman" w:hAnsi="Times New Roman"/>
                <w:snapToGrid/>
                <w:color w:val="000000"/>
                <w:sz w:val="20"/>
              </w:rPr>
            </w:pPr>
            <w:r w:rsidRPr="00F3508E">
              <w:rPr>
                <w:rFonts w:ascii="Times New Roman" w:hAnsi="Times New Roman"/>
                <w:snapToGrid/>
                <w:color w:val="000000"/>
                <w:sz w:val="20"/>
              </w:rPr>
              <w:t>$46.56</w:t>
            </w:r>
          </w:p>
        </w:tc>
        <w:tc>
          <w:tcPr>
            <w:tcW w:w="2839" w:type="dxa"/>
            <w:tcBorders>
              <w:top w:val="nil"/>
              <w:left w:val="nil"/>
              <w:bottom w:val="single" w:sz="8" w:space="0" w:color="auto"/>
              <w:right w:val="single" w:sz="8" w:space="0" w:color="auto"/>
            </w:tcBorders>
            <w:shd w:val="clear" w:color="auto" w:fill="auto"/>
            <w:noWrap/>
            <w:vAlign w:val="center"/>
            <w:hideMark/>
          </w:tcPr>
          <w:p w:rsidR="00F3508E" w:rsidRPr="00F3508E" w:rsidP="00F3508E">
            <w:pPr>
              <w:widowControl/>
              <w:ind w:firstLine="200" w:firstLineChars="100"/>
              <w:jc w:val="right"/>
              <w:rPr>
                <w:rFonts w:ascii="Times New Roman" w:hAnsi="Times New Roman"/>
                <w:snapToGrid/>
                <w:color w:val="000000"/>
                <w:sz w:val="20"/>
              </w:rPr>
            </w:pPr>
            <w:r>
              <w:rPr>
                <w:rFonts w:ascii="Times New Roman" w:hAnsi="Times New Roman"/>
                <w:snapToGrid/>
                <w:color w:val="000000"/>
                <w:sz w:val="20"/>
              </w:rPr>
              <w:t>$2,552,233</w:t>
            </w:r>
          </w:p>
        </w:tc>
      </w:tr>
      <w:tr w:rsidTr="00ED475D">
        <w:tblPrEx>
          <w:tblW w:w="10160" w:type="dxa"/>
          <w:tblLook w:val="04A0"/>
        </w:tblPrEx>
        <w:trPr>
          <w:trHeight w:val="360"/>
        </w:trPr>
        <w:tc>
          <w:tcPr>
            <w:tcW w:w="7321" w:type="dxa"/>
            <w:gridSpan w:val="3"/>
            <w:tcBorders>
              <w:top w:val="single" w:sz="8" w:space="0" w:color="auto"/>
              <w:left w:val="single" w:sz="8" w:space="0" w:color="auto"/>
              <w:bottom w:val="single" w:sz="8" w:space="0" w:color="auto"/>
              <w:right w:val="nil"/>
            </w:tcBorders>
            <w:shd w:val="clear" w:color="000000" w:fill="FFFFFF"/>
            <w:noWrap/>
            <w:vAlign w:val="center"/>
            <w:hideMark/>
          </w:tcPr>
          <w:p w:rsidR="00F3508E" w:rsidRPr="00F3508E" w:rsidP="00F3508E">
            <w:pPr>
              <w:widowControl/>
              <w:jc w:val="right"/>
              <w:rPr>
                <w:rFonts w:ascii="Times New Roman" w:hAnsi="Times New Roman"/>
                <w:b/>
                <w:bCs/>
                <w:i/>
                <w:iCs/>
                <w:snapToGrid/>
                <w:color w:val="000000"/>
                <w:sz w:val="20"/>
              </w:rPr>
            </w:pPr>
            <w:r w:rsidRPr="00F3508E">
              <w:rPr>
                <w:rFonts w:ascii="Times New Roman" w:hAnsi="Times New Roman"/>
                <w:b/>
                <w:bCs/>
                <w:i/>
                <w:iCs/>
                <w:snapToGrid/>
                <w:color w:val="000000"/>
                <w:sz w:val="20"/>
              </w:rPr>
              <w:t>Total Annual Respondent Cost:</w:t>
            </w:r>
          </w:p>
        </w:tc>
        <w:tc>
          <w:tcPr>
            <w:tcW w:w="2839" w:type="dxa"/>
            <w:tcBorders>
              <w:top w:val="nil"/>
              <w:left w:val="nil"/>
              <w:bottom w:val="single" w:sz="8" w:space="0" w:color="auto"/>
              <w:right w:val="single" w:sz="8" w:space="0" w:color="auto"/>
            </w:tcBorders>
            <w:shd w:val="clear" w:color="000000" w:fill="FFFFFF"/>
            <w:vAlign w:val="center"/>
            <w:hideMark/>
          </w:tcPr>
          <w:p w:rsidR="00F3508E" w:rsidRPr="00F3508E" w:rsidP="00733431">
            <w:pPr>
              <w:widowControl/>
              <w:ind w:firstLine="200" w:firstLineChars="100"/>
              <w:jc w:val="right"/>
              <w:rPr>
                <w:rFonts w:ascii="Times New Roman" w:hAnsi="Times New Roman"/>
                <w:b/>
                <w:bCs/>
                <w:i/>
                <w:iCs/>
                <w:snapToGrid/>
                <w:color w:val="000000"/>
                <w:sz w:val="20"/>
              </w:rPr>
            </w:pPr>
            <w:r w:rsidRPr="00F3508E">
              <w:rPr>
                <w:rFonts w:ascii="Times New Roman" w:hAnsi="Times New Roman"/>
                <w:b/>
                <w:bCs/>
                <w:i/>
                <w:iCs/>
                <w:snapToGrid/>
                <w:color w:val="000000"/>
                <w:sz w:val="20"/>
              </w:rPr>
              <w:t>$</w:t>
            </w:r>
            <w:r w:rsidR="00733431">
              <w:rPr>
                <w:rFonts w:ascii="Times New Roman" w:hAnsi="Times New Roman"/>
                <w:b/>
                <w:bCs/>
                <w:i/>
                <w:iCs/>
                <w:snapToGrid/>
                <w:color w:val="000000"/>
                <w:sz w:val="20"/>
              </w:rPr>
              <w:t>2,552,233</w:t>
            </w:r>
            <w:r w:rsidRPr="00F3508E">
              <w:rPr>
                <w:rFonts w:ascii="Times New Roman" w:hAnsi="Times New Roman"/>
                <w:b/>
                <w:bCs/>
                <w:i/>
                <w:iCs/>
                <w:snapToGrid/>
                <w:color w:val="000000"/>
                <w:sz w:val="20"/>
              </w:rPr>
              <w:t xml:space="preserve"> </w:t>
            </w:r>
          </w:p>
        </w:tc>
      </w:tr>
      <w:tr w:rsidTr="00ED475D">
        <w:tblPrEx>
          <w:tblW w:w="10160" w:type="dxa"/>
          <w:tblLook w:val="04A0"/>
        </w:tblPrEx>
        <w:trPr>
          <w:trHeight w:val="349"/>
        </w:trPr>
        <w:tc>
          <w:tcPr>
            <w:tcW w:w="10160"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rsidR="00F3508E" w:rsidRPr="00F3508E" w:rsidP="00F3508E">
            <w:pPr>
              <w:widowControl/>
              <w:rPr>
                <w:rFonts w:ascii="Times New Roman" w:hAnsi="Times New Roman"/>
                <w:snapToGrid/>
                <w:color w:val="000000"/>
                <w:sz w:val="20"/>
              </w:rPr>
            </w:pPr>
            <w:r w:rsidRPr="00F3508E">
              <w:rPr>
                <w:rFonts w:ascii="Times New Roman" w:hAnsi="Times New Roman"/>
                <w:snapToGrid/>
                <w:color w:val="000000"/>
                <w:sz w:val="20"/>
              </w:rPr>
              <w:t>Source: FDIC.</w:t>
            </w:r>
          </w:p>
        </w:tc>
      </w:tr>
    </w:tbl>
    <w:p w:rsidR="007562B8" w:rsidRPr="005709AF" w:rsidP="00DB2FBD">
      <w:pPr>
        <w:widowControl/>
        <w:ind w:left="720"/>
        <w:rPr>
          <w:rFonts w:ascii="Times New Roman" w:hAnsi="Times New Roman"/>
          <w:b/>
          <w:snapToGrid/>
          <w:szCs w:val="24"/>
        </w:rPr>
      </w:pPr>
    </w:p>
    <w:p w:rsidR="007562B8">
      <w:pPr>
        <w:rPr>
          <w:rFonts w:ascii="Times New Roman" w:hAnsi="Times New Roman"/>
        </w:rPr>
      </w:pPr>
    </w:p>
    <w:p w:rsidR="007B6C63" w:rsidRPr="000B0581" w:rsidP="000B0581">
      <w:pPr>
        <w:keepNext/>
        <w:tabs>
          <w:tab w:val="left" w:pos="-1440"/>
        </w:tabs>
        <w:ind w:left="720" w:hanging="360"/>
        <w:rPr>
          <w:rFonts w:ascii="Times New Roman" w:hAnsi="Times New Roman"/>
          <w:b/>
          <w:u w:val="single"/>
        </w:rPr>
      </w:pPr>
      <w:r>
        <w:rPr>
          <w:rFonts w:ascii="Times New Roman" w:hAnsi="Times New Roman"/>
        </w:rPr>
        <w:t>13.</w:t>
      </w:r>
      <w:r>
        <w:rPr>
          <w:rFonts w:ascii="Times New Roman" w:hAnsi="Times New Roman"/>
        </w:rPr>
        <w:tab/>
      </w:r>
      <w:r w:rsidRPr="000B0581" w:rsidR="00523B22">
        <w:rPr>
          <w:rFonts w:ascii="Times New Roman" w:hAnsi="Times New Roman"/>
          <w:b/>
          <w:bCs/>
          <w:iCs/>
          <w:u w:val="single"/>
        </w:rPr>
        <w:t>Estimate</w:t>
      </w:r>
      <w:r w:rsidRPr="000B0581" w:rsidR="00523B22">
        <w:rPr>
          <w:rFonts w:ascii="Times New Roman" w:hAnsi="Times New Roman"/>
          <w:b/>
          <w:bCs/>
          <w:szCs w:val="24"/>
          <w:u w:val="single"/>
        </w:rPr>
        <w:t xml:space="preserve"> of </w:t>
      </w:r>
      <w:r w:rsidRPr="000B0581" w:rsidR="00523B22">
        <w:rPr>
          <w:rFonts w:ascii="Times New Roman" w:hAnsi="Times New Roman"/>
          <w:b/>
          <w:u w:val="single"/>
        </w:rPr>
        <w:t>start</w:t>
      </w:r>
      <w:r w:rsidRPr="000B0581" w:rsidR="00523B22">
        <w:rPr>
          <w:rFonts w:ascii="Times New Roman" w:hAnsi="Times New Roman"/>
          <w:b/>
          <w:bCs/>
          <w:szCs w:val="24"/>
          <w:u w:val="single"/>
        </w:rPr>
        <w:t>-up costs to respondents:</w:t>
      </w:r>
    </w:p>
    <w:p w:rsidR="007B6C63" w:rsidRPr="000B0581">
      <w:pPr>
        <w:rPr>
          <w:rFonts w:ascii="Times New Roman" w:hAnsi="Times New Roman"/>
          <w:b/>
          <w:u w:val="single"/>
        </w:rPr>
      </w:pPr>
    </w:p>
    <w:p w:rsidR="007B6C63" w:rsidP="000B0581">
      <w:pPr>
        <w:ind w:left="720"/>
        <w:rPr>
          <w:rFonts w:ascii="Times New Roman" w:hAnsi="Times New Roman"/>
        </w:rPr>
      </w:pPr>
      <w:r>
        <w:rPr>
          <w:rFonts w:ascii="Times New Roman" w:hAnsi="Times New Roman"/>
        </w:rPr>
        <w:t>No</w:t>
      </w:r>
      <w:r w:rsidR="000B0581">
        <w:rPr>
          <w:rFonts w:ascii="Times New Roman" w:hAnsi="Times New Roman"/>
        </w:rPr>
        <w:t>ne</w:t>
      </w:r>
      <w:r>
        <w:rPr>
          <w:rFonts w:ascii="Times New Roman" w:hAnsi="Times New Roman"/>
        </w:rPr>
        <w:t>.</w:t>
      </w:r>
    </w:p>
    <w:p w:rsidR="007B6C63">
      <w:pPr>
        <w:rPr>
          <w:rFonts w:ascii="Times New Roman" w:hAnsi="Times New Roman"/>
        </w:rPr>
      </w:pPr>
    </w:p>
    <w:p w:rsidR="007B6C63" w:rsidP="00A1019D">
      <w:pPr>
        <w:tabs>
          <w:tab w:val="left" w:pos="-1440"/>
        </w:tabs>
        <w:ind w:left="720" w:hanging="360"/>
        <w:rPr>
          <w:rFonts w:ascii="Times New Roman" w:hAnsi="Times New Roman"/>
        </w:rPr>
      </w:pPr>
      <w:r>
        <w:rPr>
          <w:rFonts w:ascii="Times New Roman" w:hAnsi="Times New Roman"/>
        </w:rPr>
        <w:t>14.</w:t>
      </w:r>
      <w:r>
        <w:rPr>
          <w:rFonts w:ascii="Times New Roman" w:hAnsi="Times New Roman"/>
        </w:rPr>
        <w:tab/>
      </w:r>
      <w:r w:rsidRPr="00A1019D" w:rsidR="00523B22">
        <w:rPr>
          <w:rFonts w:ascii="Times New Roman" w:hAnsi="Times New Roman"/>
          <w:b/>
          <w:bCs/>
          <w:iCs/>
          <w:u w:val="single"/>
        </w:rPr>
        <w:t>Estimate</w:t>
      </w:r>
      <w:r w:rsidRPr="00D64624" w:rsidR="00523B22">
        <w:rPr>
          <w:rFonts w:ascii="Times New Roman" w:hAnsi="Times New Roman"/>
          <w:b/>
          <w:bCs/>
          <w:iCs/>
          <w:szCs w:val="24"/>
          <w:u w:val="single"/>
        </w:rPr>
        <w:t xml:space="preserve"> of annualized costs to the government:</w:t>
      </w:r>
    </w:p>
    <w:p w:rsidR="007B6C63">
      <w:pPr>
        <w:ind w:firstLine="720"/>
        <w:rPr>
          <w:rFonts w:ascii="Times New Roman" w:hAnsi="Times New Roman"/>
        </w:rPr>
      </w:pPr>
    </w:p>
    <w:p w:rsidR="007B6C63" w:rsidP="000B0581">
      <w:pPr>
        <w:ind w:left="720"/>
        <w:rPr>
          <w:rFonts w:ascii="Times New Roman" w:hAnsi="Times New Roman"/>
        </w:rPr>
      </w:pPr>
      <w:r w:rsidRPr="000B0581">
        <w:rPr>
          <w:rFonts w:ascii="Times New Roman" w:hAnsi="Times New Roman"/>
          <w:szCs w:val="24"/>
        </w:rPr>
        <w:t>None</w:t>
      </w:r>
      <w:r>
        <w:rPr>
          <w:rFonts w:ascii="Times New Roman" w:hAnsi="Times New Roman"/>
        </w:rPr>
        <w:t>.</w:t>
      </w:r>
    </w:p>
    <w:p w:rsidR="007B6C63">
      <w:pPr>
        <w:rPr>
          <w:rFonts w:ascii="Times New Roman" w:hAnsi="Times New Roman"/>
        </w:rPr>
      </w:pPr>
    </w:p>
    <w:p w:rsidR="007B6C63" w:rsidP="00B61AD2">
      <w:pPr>
        <w:keepNext/>
        <w:tabs>
          <w:tab w:val="left" w:pos="-1440"/>
        </w:tabs>
        <w:ind w:left="720" w:hanging="360"/>
        <w:rPr>
          <w:rFonts w:ascii="Times New Roman" w:hAnsi="Times New Roman"/>
        </w:rPr>
      </w:pPr>
      <w:r>
        <w:rPr>
          <w:rFonts w:ascii="Times New Roman" w:hAnsi="Times New Roman"/>
        </w:rPr>
        <w:t>15.</w:t>
      </w:r>
      <w:r>
        <w:rPr>
          <w:rFonts w:ascii="Times New Roman" w:hAnsi="Times New Roman"/>
        </w:rPr>
        <w:tab/>
      </w:r>
      <w:r w:rsidRPr="000B0581" w:rsidR="00523B22">
        <w:rPr>
          <w:rFonts w:ascii="Times New Roman" w:hAnsi="Times New Roman"/>
          <w:b/>
          <w:bCs/>
          <w:iCs/>
          <w:u w:val="single"/>
        </w:rPr>
        <w:t>Analysis</w:t>
      </w:r>
      <w:r w:rsidRPr="000B0581" w:rsidR="00523B22">
        <w:rPr>
          <w:rFonts w:ascii="Times New Roman" w:hAnsi="Times New Roman"/>
          <w:b/>
          <w:bCs/>
          <w:iCs/>
          <w:szCs w:val="24"/>
          <w:u w:val="single"/>
        </w:rPr>
        <w:t xml:space="preserve"> </w:t>
      </w:r>
      <w:r w:rsidRPr="000B0581" w:rsidR="00523B22">
        <w:rPr>
          <w:rFonts w:ascii="Times New Roman" w:hAnsi="Times New Roman"/>
          <w:b/>
          <w:u w:val="single"/>
        </w:rPr>
        <w:t>of</w:t>
      </w:r>
      <w:r w:rsidRPr="000B0581" w:rsidR="00523B22">
        <w:rPr>
          <w:rFonts w:ascii="Times New Roman" w:hAnsi="Times New Roman"/>
          <w:b/>
          <w:bCs/>
          <w:iCs/>
          <w:szCs w:val="24"/>
          <w:u w:val="single"/>
        </w:rPr>
        <w:t xml:space="preserve"> change in burden:</w:t>
      </w:r>
    </w:p>
    <w:p w:rsidR="007B6C63" w:rsidP="00B61AD2">
      <w:pPr>
        <w:keepNext/>
        <w:rPr>
          <w:rFonts w:ascii="Times New Roman" w:hAnsi="Times New Roman"/>
        </w:rPr>
      </w:pPr>
    </w:p>
    <w:p w:rsidR="00D35001" w:rsidP="00067FB3">
      <w:pPr>
        <w:keepNext/>
        <w:ind w:left="720"/>
        <w:rPr>
          <w:rFonts w:ascii="Times New Roman" w:hAnsi="Times New Roman"/>
        </w:rPr>
      </w:pPr>
      <w:r>
        <w:rPr>
          <w:rFonts w:ascii="Times New Roman" w:hAnsi="Times New Roman"/>
        </w:rPr>
        <w:t>The change in burden is due to the change in methodology for calculating the estimated annual burden for this information collection.  See discussion in Section 12 above.</w:t>
      </w:r>
      <w:bookmarkStart w:id="0" w:name="_GoBack"/>
      <w:bookmarkEnd w:id="0"/>
    </w:p>
    <w:p w:rsidR="00067FB3" w:rsidRPr="00A1019D" w:rsidP="00067FB3">
      <w:pPr>
        <w:keepNext/>
        <w:ind w:left="720"/>
        <w:rPr>
          <w:rFonts w:ascii="Times New Roman" w:hAnsi="Times New Roman"/>
          <w:b/>
          <w:bCs/>
          <w:iCs/>
          <w:u w:val="single"/>
        </w:rPr>
      </w:pPr>
    </w:p>
    <w:p w:rsidR="00937218" w:rsidRPr="00D64624" w:rsidP="00A1019D">
      <w:pPr>
        <w:tabs>
          <w:tab w:val="left" w:pos="-1440"/>
        </w:tabs>
        <w:ind w:left="720" w:hanging="360"/>
        <w:rPr>
          <w:rFonts w:ascii="Times New Roman" w:hAnsi="Times New Roman"/>
          <w:b/>
          <w:szCs w:val="24"/>
          <w:u w:val="single"/>
        </w:rPr>
      </w:pPr>
      <w:r>
        <w:rPr>
          <w:rFonts w:ascii="Times New Roman" w:hAnsi="Times New Roman"/>
        </w:rPr>
        <w:t>16.</w:t>
      </w:r>
      <w:r>
        <w:rPr>
          <w:rFonts w:ascii="Times New Roman" w:hAnsi="Times New Roman"/>
        </w:rPr>
        <w:tab/>
      </w:r>
      <w:r w:rsidRPr="00A1019D">
        <w:rPr>
          <w:rFonts w:ascii="Times New Roman" w:hAnsi="Times New Roman"/>
          <w:b/>
          <w:bCs/>
          <w:iCs/>
          <w:u w:val="single"/>
        </w:rPr>
        <w:t>Information</w:t>
      </w:r>
      <w:r w:rsidRPr="00D64624">
        <w:rPr>
          <w:rFonts w:ascii="Times New Roman" w:hAnsi="Times New Roman"/>
          <w:b/>
          <w:szCs w:val="24"/>
          <w:u w:val="single"/>
        </w:rPr>
        <w:t xml:space="preserve"> regarding collections whose results are planned to be published for statistical use:</w:t>
      </w:r>
    </w:p>
    <w:p w:rsidR="007B6C63">
      <w:pPr>
        <w:rPr>
          <w:rFonts w:ascii="Times New Roman" w:hAnsi="Times New Roman"/>
        </w:rPr>
      </w:pPr>
    </w:p>
    <w:p w:rsidR="007B6C63" w:rsidP="000B0581">
      <w:pPr>
        <w:ind w:left="720"/>
        <w:rPr>
          <w:rFonts w:ascii="Times New Roman" w:hAnsi="Times New Roman"/>
        </w:rPr>
      </w:pPr>
      <w:r w:rsidRPr="00EA1531">
        <w:rPr>
          <w:rFonts w:ascii="Times New Roman" w:hAnsi="Times New Roman"/>
          <w:spacing w:val="-3"/>
          <w:szCs w:val="24"/>
        </w:rPr>
        <w:t>The information is not published.</w:t>
      </w:r>
    </w:p>
    <w:p w:rsidR="007B6C63">
      <w:pPr>
        <w:rPr>
          <w:rFonts w:ascii="Times New Roman" w:hAnsi="Times New Roman"/>
        </w:rPr>
      </w:pPr>
    </w:p>
    <w:p w:rsidR="007B6C63" w:rsidP="00A1019D">
      <w:pPr>
        <w:tabs>
          <w:tab w:val="left" w:pos="-1440"/>
        </w:tabs>
        <w:ind w:left="720" w:hanging="360"/>
        <w:rPr>
          <w:rFonts w:ascii="Times New Roman" w:hAnsi="Times New Roman"/>
        </w:rPr>
      </w:pPr>
      <w:r>
        <w:rPr>
          <w:rFonts w:ascii="Times New Roman" w:hAnsi="Times New Roman"/>
        </w:rPr>
        <w:t>17.</w:t>
      </w:r>
      <w:r>
        <w:rPr>
          <w:rFonts w:ascii="Times New Roman" w:hAnsi="Times New Roman"/>
        </w:rPr>
        <w:tab/>
      </w:r>
      <w:r w:rsidRPr="00637FBA" w:rsidR="00637FBA">
        <w:rPr>
          <w:rFonts w:ascii="Times New Roman" w:hAnsi="Times New Roman"/>
          <w:b/>
          <w:u w:val="single"/>
        </w:rPr>
        <w:t xml:space="preserve">Exceptions to </w:t>
      </w:r>
      <w:r w:rsidRPr="00A1019D" w:rsidR="00937218">
        <w:rPr>
          <w:rFonts w:ascii="Times New Roman" w:hAnsi="Times New Roman"/>
          <w:b/>
          <w:bCs/>
          <w:iCs/>
          <w:u w:val="single"/>
        </w:rPr>
        <w:t>Display</w:t>
      </w:r>
      <w:r w:rsidRPr="00937218" w:rsidR="00937218">
        <w:rPr>
          <w:rFonts w:ascii="Times New Roman" w:hAnsi="Times New Roman"/>
          <w:b/>
          <w:u w:val="single"/>
        </w:rPr>
        <w:t xml:space="preserve"> of expiration d</w:t>
      </w:r>
      <w:r w:rsidRPr="00937218">
        <w:rPr>
          <w:rFonts w:ascii="Times New Roman" w:hAnsi="Times New Roman"/>
          <w:b/>
          <w:u w:val="single"/>
        </w:rPr>
        <w:t>ate</w:t>
      </w:r>
      <w:r w:rsidRPr="00937218" w:rsidR="00937218">
        <w:rPr>
          <w:rFonts w:ascii="Times New Roman" w:hAnsi="Times New Roman"/>
          <w:b/>
          <w:u w:val="single"/>
        </w:rPr>
        <w:t>:</w:t>
      </w:r>
    </w:p>
    <w:p w:rsidR="007B6C63">
      <w:pPr>
        <w:rPr>
          <w:rFonts w:ascii="Times New Roman" w:hAnsi="Times New Roman"/>
        </w:rPr>
      </w:pPr>
    </w:p>
    <w:p w:rsidR="007B6C63" w:rsidP="005119ED">
      <w:pPr>
        <w:ind w:left="720"/>
        <w:rPr>
          <w:rFonts w:ascii="Times New Roman" w:hAnsi="Times New Roman"/>
          <w:szCs w:val="24"/>
        </w:rPr>
      </w:pPr>
      <w:r>
        <w:rPr>
          <w:rFonts w:ascii="Times New Roman" w:hAnsi="Times New Roman"/>
        </w:rPr>
        <w:t>None.</w:t>
      </w:r>
    </w:p>
    <w:p w:rsidR="005119ED">
      <w:pPr>
        <w:rPr>
          <w:rFonts w:ascii="Times New Roman" w:hAnsi="Times New Roman"/>
        </w:rPr>
      </w:pPr>
    </w:p>
    <w:p w:rsidR="007B6C63" w:rsidP="00A1019D">
      <w:pPr>
        <w:tabs>
          <w:tab w:val="left" w:pos="-1440"/>
        </w:tabs>
        <w:ind w:left="720" w:hanging="360"/>
        <w:rPr>
          <w:rFonts w:ascii="Times New Roman" w:hAnsi="Times New Roman"/>
        </w:rPr>
      </w:pPr>
      <w:r>
        <w:rPr>
          <w:rFonts w:ascii="Times New Roman" w:hAnsi="Times New Roman"/>
        </w:rPr>
        <w:t>18.</w:t>
      </w:r>
      <w:r>
        <w:rPr>
          <w:rFonts w:ascii="Times New Roman" w:hAnsi="Times New Roman"/>
        </w:rPr>
        <w:tab/>
      </w:r>
      <w:r w:rsidRPr="00A1019D" w:rsidR="00937218">
        <w:rPr>
          <w:rFonts w:ascii="Times New Roman" w:hAnsi="Times New Roman"/>
          <w:b/>
          <w:bCs/>
          <w:iCs/>
          <w:u w:val="single"/>
        </w:rPr>
        <w:t>Exceptions</w:t>
      </w:r>
      <w:r w:rsidRPr="00937218" w:rsidR="00937218">
        <w:rPr>
          <w:rFonts w:ascii="Times New Roman" w:hAnsi="Times New Roman"/>
          <w:b/>
          <w:u w:val="single"/>
        </w:rPr>
        <w:t xml:space="preserve"> to c</w:t>
      </w:r>
      <w:r w:rsidRPr="00937218">
        <w:rPr>
          <w:rFonts w:ascii="Times New Roman" w:hAnsi="Times New Roman"/>
          <w:b/>
          <w:u w:val="single"/>
        </w:rPr>
        <w:t>ertification</w:t>
      </w:r>
      <w:r w:rsidRPr="00937218" w:rsidR="00937218">
        <w:rPr>
          <w:rFonts w:ascii="Times New Roman" w:hAnsi="Times New Roman"/>
          <w:b/>
          <w:u w:val="single"/>
        </w:rPr>
        <w:t>:</w:t>
      </w:r>
    </w:p>
    <w:p w:rsidR="007B6C63" w:rsidP="00FC41DF">
      <w:pPr>
        <w:tabs>
          <w:tab w:val="left" w:pos="-1440"/>
        </w:tabs>
        <w:ind w:firstLine="360"/>
        <w:rPr>
          <w:rFonts w:ascii="Times New Roman" w:hAnsi="Times New Roman"/>
        </w:rPr>
      </w:pPr>
    </w:p>
    <w:p w:rsidR="007B6C63" w:rsidP="000B0581">
      <w:pPr>
        <w:ind w:left="720"/>
        <w:rPr>
          <w:rFonts w:ascii="Times New Roman" w:hAnsi="Times New Roman"/>
        </w:rPr>
      </w:pPr>
      <w:r w:rsidRPr="000B0581">
        <w:rPr>
          <w:rFonts w:ascii="Times New Roman" w:hAnsi="Times New Roman"/>
          <w:szCs w:val="24"/>
        </w:rPr>
        <w:t>None</w:t>
      </w:r>
      <w:r>
        <w:rPr>
          <w:rFonts w:ascii="Times New Roman" w:hAnsi="Times New Roman"/>
        </w:rPr>
        <w:t>.</w:t>
      </w:r>
    </w:p>
    <w:p w:rsidR="007B6C63" w:rsidP="000B0581">
      <w:pPr>
        <w:ind w:left="720"/>
        <w:rPr>
          <w:rFonts w:ascii="Times New Roman" w:hAnsi="Times New Roman"/>
        </w:rPr>
      </w:pPr>
    </w:p>
    <w:p w:rsidR="007B6C63" w:rsidP="00715C41">
      <w:pPr>
        <w:keepNext/>
        <w:tabs>
          <w:tab w:val="left" w:pos="-1440"/>
        </w:tabs>
        <w:rPr>
          <w:rFonts w:ascii="Times New Roman" w:hAnsi="Times New Roman"/>
        </w:rPr>
      </w:pPr>
      <w:r>
        <w:rPr>
          <w:rFonts w:ascii="Times New Roman" w:hAnsi="Times New Roman"/>
        </w:rPr>
        <w:t>B.</w:t>
      </w:r>
      <w:r>
        <w:rPr>
          <w:rFonts w:ascii="Times New Roman" w:hAnsi="Times New Roman"/>
        </w:rPr>
        <w:tab/>
      </w:r>
      <w:r w:rsidR="00937218">
        <w:rPr>
          <w:rFonts w:ascii="Times New Roman" w:hAnsi="Times New Roman"/>
          <w:b/>
          <w:szCs w:val="24"/>
        </w:rPr>
        <w:t>COLLECTION OF INFORMATION EMPLOYING STATISTICAL METHODS</w:t>
      </w:r>
    </w:p>
    <w:p w:rsidR="007B6C63" w:rsidP="00715C41">
      <w:pPr>
        <w:keepNext/>
        <w:rPr>
          <w:rFonts w:ascii="Times New Roman" w:hAnsi="Times New Roman"/>
        </w:rPr>
      </w:pPr>
    </w:p>
    <w:p w:rsidR="007B6C63" w:rsidP="00715C41">
      <w:pPr>
        <w:keepNext/>
        <w:ind w:left="720"/>
        <w:rPr>
          <w:rFonts w:ascii="Times New Roman" w:hAnsi="Times New Roman"/>
        </w:rPr>
      </w:pPr>
      <w:r>
        <w:rPr>
          <w:rFonts w:ascii="Times New Roman" w:hAnsi="Times New Roman"/>
        </w:rPr>
        <w:t>Not applicable.</w:t>
      </w:r>
    </w:p>
    <w:p w:rsidR="007B6C63">
      <w:pPr>
        <w:rPr>
          <w:rFonts w:ascii="Times New Roman" w:hAnsi="Times New Roman"/>
        </w:rPr>
      </w:pPr>
    </w:p>
    <w:p w:rsidR="007B6C63">
      <w:pPr>
        <w:rPr>
          <w:rFonts w:ascii="Times New Roman" w:hAnsi="Times New Roman"/>
        </w:rPr>
      </w:pPr>
    </w:p>
    <w:sectPr>
      <w:headerReference w:type="even" r:id="rId6"/>
      <w:headerReference w:type="default" r:id="rId7"/>
      <w:footerReference w:type="even" r:id="rId8"/>
      <w:footerReference w:type="default" r:id="rId9"/>
      <w:headerReference w:type="first" r:id="rId10"/>
      <w:footerReference w:type="first" r:id="rId11"/>
      <w:endnotePr>
        <w:numFmt w:val="decimal"/>
      </w:endnotePr>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PS">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Source Sans Pro Semibold">
    <w:panose1 w:val="020B06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D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6C63">
    <w:pPr>
      <w:spacing w:line="240" w:lineRule="exact"/>
    </w:pPr>
  </w:p>
  <w:p w:rsidR="007B6C63">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FD7DD5">
      <w:rPr>
        <w:rFonts w:ascii="Times New Roman" w:hAnsi="Times New Roman"/>
        <w:noProof/>
      </w:rPr>
      <w:t>5</w:t>
    </w:r>
    <w:r>
      <w:rPr>
        <w:rFonts w:ascii="Times New Roman" w:hAnsi="Times New Roman"/>
      </w:rPr>
      <w:fldChar w:fldCharType="end"/>
    </w:r>
  </w:p>
  <w:p w:rsidR="007B6C6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37C14">
      <w:r>
        <w:separator/>
      </w:r>
    </w:p>
  </w:footnote>
  <w:footnote w:type="continuationSeparator" w:id="1">
    <w:p w:rsidR="00C37C14">
      <w:r>
        <w:continuationSeparator/>
      </w:r>
    </w:p>
  </w:footnote>
  <w:footnote w:id="2">
    <w:p w:rsidR="00192149" w:rsidRPr="0070630D">
      <w:pPr>
        <w:pStyle w:val="FootnoteText"/>
        <w:rPr>
          <w:rFonts w:ascii="Times New Roman" w:hAnsi="Times New Roman"/>
        </w:rPr>
      </w:pPr>
      <w:r w:rsidRPr="0070630D">
        <w:rPr>
          <w:rStyle w:val="FootnoteReference"/>
          <w:rFonts w:ascii="Times New Roman" w:hAnsi="Times New Roman"/>
          <w:vertAlign w:val="superscript"/>
        </w:rPr>
        <w:footnoteRef/>
      </w:r>
      <w:r w:rsidRPr="0070630D">
        <w:rPr>
          <w:rFonts w:ascii="Times New Roman" w:hAnsi="Times New Roman"/>
          <w:vertAlign w:val="superscript"/>
        </w:rPr>
        <w:t xml:space="preserve"> </w:t>
      </w:r>
      <w:r w:rsidRPr="0070630D">
        <w:rPr>
          <w:rFonts w:ascii="Times New Roman" w:hAnsi="Times New Roman"/>
          <w:i/>
        </w:rPr>
        <w:t>See</w:t>
      </w:r>
      <w:r w:rsidRPr="0070630D">
        <w:rPr>
          <w:rFonts w:ascii="Times New Roman" w:hAnsi="Times New Roman"/>
        </w:rPr>
        <w:t xml:space="preserve"> </w:t>
      </w:r>
      <w:r w:rsidR="0070630D">
        <w:rPr>
          <w:rFonts w:ascii="Times New Roman" w:hAnsi="Times New Roman"/>
        </w:rPr>
        <w:t>89 FR 65242 (August 9, 2024), at 65256.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D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007">
    <w:pPr>
      <w:pStyle w:val="Header"/>
    </w:pPr>
    <w:r>
      <w:rPr>
        <w:noProof/>
        <w:snapToGrid/>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 name="MSIPCMb76840caa149066ce16d45bd" descr="{&quot;HashCode&quot;:474619262,&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C679FA" w:rsidRPr="00C679FA" w:rsidP="00C679FA">
                          <w:pPr>
                            <w:jc w:val="center"/>
                            <w:rPr>
                              <w:rFonts w:ascii="Source Sans Pro Semibold" w:hAnsi="Source Sans Pro Semibold"/>
                              <w:color w:val="00000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b76840caa149066ce16d45bd" o:spid="_x0000_s2049" type="#_x0000_t202" alt="{&quot;HashCode&quot;:474619262,&quot;Height&quot;:792.0,&quot;Width&quot;:612.0,&quot;Placement&quot;:&quot;Header&quot;,&quot;Index&quot;:&quot;Primary&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59264" o:allowincell="f" filled="f" stroked="f" strokeweight="0.5pt">
              <v:textbox inset=",0,,0">
                <w:txbxContent>
                  <w:p w:rsidR="00C679FA" w:rsidRPr="00C679FA" w:rsidP="00C679FA">
                    <w:pPr>
                      <w:jc w:val="center"/>
                      <w:rPr>
                        <w:rFonts w:ascii="Source Sans Pro Semibold" w:hAnsi="Source Sans Pro Semibold"/>
                        <w:color w:val="000000"/>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D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730539"/>
    <w:multiLevelType w:val="hybridMultilevel"/>
    <w:tmpl w:val="99B432C6"/>
    <w:lvl w:ilvl="0">
      <w:start w:val="1"/>
      <w:numFmt w:val="decimal"/>
      <w:lvlText w:val="%1."/>
      <w:lvlJc w:val="left"/>
      <w:pPr>
        <w:ind w:left="1440" w:hanging="720"/>
      </w:pPr>
      <w:rPr>
        <w:rFonts w:hint="default"/>
        <w:u w:val="none"/>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5623CFC"/>
    <w:multiLevelType w:val="hybridMultilevel"/>
    <w:tmpl w:val="2FF4FEAA"/>
    <w:lvl w:ilvl="0">
      <w:start w:val="16"/>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BA5A7B"/>
    <w:multiLevelType w:val="hybridMultilevel"/>
    <w:tmpl w:val="4F6C3130"/>
    <w:lvl w:ilvl="0">
      <w:start w:val="1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2B1D2F0A"/>
    <w:multiLevelType w:val="hybridMultilevel"/>
    <w:tmpl w:val="84E49C2C"/>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4">
    <w:nsid w:val="3C1D696F"/>
    <w:multiLevelType w:val="hybridMultilevel"/>
    <w:tmpl w:val="369A3B94"/>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697F7C56"/>
    <w:multiLevelType w:val="hybridMultilevel"/>
    <w:tmpl w:val="8A3C8062"/>
    <w:lvl w:ilvl="0">
      <w:start w:val="1"/>
      <w:numFmt w:val="lowerLetter"/>
      <w:lvlText w:val="%1."/>
      <w:lvlJc w:val="left"/>
      <w:pPr>
        <w:ind w:left="3240" w:hanging="360"/>
      </w:p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6">
    <w:nsid w:val="6AA22678"/>
    <w:multiLevelType w:val="hybridMultilevel"/>
    <w:tmpl w:val="F4B0C610"/>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788721FE"/>
    <w:multiLevelType w:val="singleLevel"/>
    <w:tmpl w:val="6F94DAD4"/>
    <w:lvl w:ilvl="0">
      <w:start w:val="3"/>
      <w:numFmt w:val="decimal"/>
      <w:lvlText w:val="%1."/>
      <w:lvlJc w:val="left"/>
      <w:pPr>
        <w:tabs>
          <w:tab w:val="num" w:pos="720"/>
        </w:tabs>
        <w:ind w:left="720" w:hanging="720"/>
      </w:pPr>
      <w:rPr>
        <w:rFonts w:hint="default"/>
      </w:rPr>
    </w:lvl>
  </w:abstractNum>
  <w:num w:numId="1">
    <w:abstractNumId w:val="7"/>
  </w:num>
  <w:num w:numId="2">
    <w:abstractNumId w:val="2"/>
  </w:num>
  <w:num w:numId="3">
    <w:abstractNumId w:val="1"/>
  </w:num>
  <w:num w:numId="4">
    <w:abstractNumId w:val="4"/>
  </w:num>
  <w:num w:numId="5">
    <w:abstractNumId w:val="0"/>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removePersonalInformation/>
  <w:removeDateAndTime/>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F79"/>
    <w:rsid w:val="000002C9"/>
    <w:rsid w:val="00003E86"/>
    <w:rsid w:val="00015D89"/>
    <w:rsid w:val="000171AA"/>
    <w:rsid w:val="00030152"/>
    <w:rsid w:val="00067FB3"/>
    <w:rsid w:val="00076A5B"/>
    <w:rsid w:val="000855E4"/>
    <w:rsid w:val="00093D0F"/>
    <w:rsid w:val="000B0581"/>
    <w:rsid w:val="000B5588"/>
    <w:rsid w:val="000C4F75"/>
    <w:rsid w:val="000F7E08"/>
    <w:rsid w:val="00125A5D"/>
    <w:rsid w:val="001305D1"/>
    <w:rsid w:val="00162CDD"/>
    <w:rsid w:val="00175893"/>
    <w:rsid w:val="00177720"/>
    <w:rsid w:val="001778A3"/>
    <w:rsid w:val="00182279"/>
    <w:rsid w:val="0018494E"/>
    <w:rsid w:val="00192149"/>
    <w:rsid w:val="001D01DE"/>
    <w:rsid w:val="001D78D3"/>
    <w:rsid w:val="00220586"/>
    <w:rsid w:val="002331BC"/>
    <w:rsid w:val="00234383"/>
    <w:rsid w:val="00234F5A"/>
    <w:rsid w:val="00240097"/>
    <w:rsid w:val="00243D0C"/>
    <w:rsid w:val="00245E41"/>
    <w:rsid w:val="00246351"/>
    <w:rsid w:val="00254B08"/>
    <w:rsid w:val="0025784A"/>
    <w:rsid w:val="002668A9"/>
    <w:rsid w:val="00266C54"/>
    <w:rsid w:val="00273C3A"/>
    <w:rsid w:val="00276213"/>
    <w:rsid w:val="00285D59"/>
    <w:rsid w:val="002A35F4"/>
    <w:rsid w:val="002A5F6B"/>
    <w:rsid w:val="002B1AFA"/>
    <w:rsid w:val="002F26D8"/>
    <w:rsid w:val="002F27A4"/>
    <w:rsid w:val="00304C3E"/>
    <w:rsid w:val="003253C8"/>
    <w:rsid w:val="003514D6"/>
    <w:rsid w:val="003566BB"/>
    <w:rsid w:val="003570A0"/>
    <w:rsid w:val="00371017"/>
    <w:rsid w:val="00386C94"/>
    <w:rsid w:val="003A055C"/>
    <w:rsid w:val="003B3219"/>
    <w:rsid w:val="003E3404"/>
    <w:rsid w:val="003E5901"/>
    <w:rsid w:val="003F0288"/>
    <w:rsid w:val="003F1A3A"/>
    <w:rsid w:val="003F2FF8"/>
    <w:rsid w:val="00405B4A"/>
    <w:rsid w:val="00414ECF"/>
    <w:rsid w:val="00435A15"/>
    <w:rsid w:val="00437618"/>
    <w:rsid w:val="00454007"/>
    <w:rsid w:val="004678BF"/>
    <w:rsid w:val="00470B79"/>
    <w:rsid w:val="0048245A"/>
    <w:rsid w:val="004A5959"/>
    <w:rsid w:val="004B2F21"/>
    <w:rsid w:val="004B5423"/>
    <w:rsid w:val="004C250D"/>
    <w:rsid w:val="004C364E"/>
    <w:rsid w:val="004C5B45"/>
    <w:rsid w:val="004D7214"/>
    <w:rsid w:val="005119ED"/>
    <w:rsid w:val="00523B22"/>
    <w:rsid w:val="005307A3"/>
    <w:rsid w:val="0054621E"/>
    <w:rsid w:val="00563449"/>
    <w:rsid w:val="0056624C"/>
    <w:rsid w:val="005709AF"/>
    <w:rsid w:val="0059161E"/>
    <w:rsid w:val="005A25A8"/>
    <w:rsid w:val="005A6C6D"/>
    <w:rsid w:val="005B79C4"/>
    <w:rsid w:val="005C5B63"/>
    <w:rsid w:val="005D08E2"/>
    <w:rsid w:val="005D3684"/>
    <w:rsid w:val="005D7A5A"/>
    <w:rsid w:val="005E62DB"/>
    <w:rsid w:val="005F2F35"/>
    <w:rsid w:val="00615BAD"/>
    <w:rsid w:val="00624A74"/>
    <w:rsid w:val="00630C5C"/>
    <w:rsid w:val="00635269"/>
    <w:rsid w:val="0063734B"/>
    <w:rsid w:val="00637FBA"/>
    <w:rsid w:val="00653821"/>
    <w:rsid w:val="00655078"/>
    <w:rsid w:val="006823E7"/>
    <w:rsid w:val="00686F68"/>
    <w:rsid w:val="006B0048"/>
    <w:rsid w:val="006B3465"/>
    <w:rsid w:val="0070630D"/>
    <w:rsid w:val="0071052F"/>
    <w:rsid w:val="00715C41"/>
    <w:rsid w:val="00717C67"/>
    <w:rsid w:val="00733431"/>
    <w:rsid w:val="007522EF"/>
    <w:rsid w:val="007562B8"/>
    <w:rsid w:val="007729D8"/>
    <w:rsid w:val="00775F26"/>
    <w:rsid w:val="00796D18"/>
    <w:rsid w:val="007B6C63"/>
    <w:rsid w:val="007B75C8"/>
    <w:rsid w:val="0080546E"/>
    <w:rsid w:val="00820F79"/>
    <w:rsid w:val="0082575F"/>
    <w:rsid w:val="00826F32"/>
    <w:rsid w:val="008332CE"/>
    <w:rsid w:val="00834179"/>
    <w:rsid w:val="00844536"/>
    <w:rsid w:val="00846A1A"/>
    <w:rsid w:val="00856473"/>
    <w:rsid w:val="008565C5"/>
    <w:rsid w:val="00862421"/>
    <w:rsid w:val="00863A45"/>
    <w:rsid w:val="00881712"/>
    <w:rsid w:val="008A7B8F"/>
    <w:rsid w:val="008B2102"/>
    <w:rsid w:val="008C525B"/>
    <w:rsid w:val="009104FE"/>
    <w:rsid w:val="00913902"/>
    <w:rsid w:val="00913CBA"/>
    <w:rsid w:val="00921EFB"/>
    <w:rsid w:val="00937218"/>
    <w:rsid w:val="009557A1"/>
    <w:rsid w:val="0096157F"/>
    <w:rsid w:val="00961ADD"/>
    <w:rsid w:val="00990A9E"/>
    <w:rsid w:val="0099247D"/>
    <w:rsid w:val="009A3180"/>
    <w:rsid w:val="009B62D9"/>
    <w:rsid w:val="009B7A15"/>
    <w:rsid w:val="009C2BFF"/>
    <w:rsid w:val="009C759A"/>
    <w:rsid w:val="009F3C7D"/>
    <w:rsid w:val="00A0001C"/>
    <w:rsid w:val="00A1019D"/>
    <w:rsid w:val="00A152B6"/>
    <w:rsid w:val="00A21073"/>
    <w:rsid w:val="00A21CE3"/>
    <w:rsid w:val="00A249E9"/>
    <w:rsid w:val="00A26153"/>
    <w:rsid w:val="00A270BF"/>
    <w:rsid w:val="00A43991"/>
    <w:rsid w:val="00A47463"/>
    <w:rsid w:val="00A50655"/>
    <w:rsid w:val="00A56F70"/>
    <w:rsid w:val="00A81BD7"/>
    <w:rsid w:val="00AB0163"/>
    <w:rsid w:val="00AF3A4A"/>
    <w:rsid w:val="00AF614A"/>
    <w:rsid w:val="00B06BE7"/>
    <w:rsid w:val="00B1017D"/>
    <w:rsid w:val="00B13760"/>
    <w:rsid w:val="00B17BBF"/>
    <w:rsid w:val="00B17F71"/>
    <w:rsid w:val="00B36309"/>
    <w:rsid w:val="00B37DD6"/>
    <w:rsid w:val="00B61AD2"/>
    <w:rsid w:val="00B64991"/>
    <w:rsid w:val="00B66881"/>
    <w:rsid w:val="00B75F0F"/>
    <w:rsid w:val="00B76DC2"/>
    <w:rsid w:val="00B977B5"/>
    <w:rsid w:val="00BA2182"/>
    <w:rsid w:val="00BA551E"/>
    <w:rsid w:val="00BD64F8"/>
    <w:rsid w:val="00BD7F95"/>
    <w:rsid w:val="00BF3B99"/>
    <w:rsid w:val="00BF7AE1"/>
    <w:rsid w:val="00C06C77"/>
    <w:rsid w:val="00C14D80"/>
    <w:rsid w:val="00C15DEE"/>
    <w:rsid w:val="00C24049"/>
    <w:rsid w:val="00C37C14"/>
    <w:rsid w:val="00C46E88"/>
    <w:rsid w:val="00C66621"/>
    <w:rsid w:val="00C679FA"/>
    <w:rsid w:val="00C750AB"/>
    <w:rsid w:val="00C772BC"/>
    <w:rsid w:val="00C8275D"/>
    <w:rsid w:val="00C858DF"/>
    <w:rsid w:val="00CB1E4E"/>
    <w:rsid w:val="00CB2ED5"/>
    <w:rsid w:val="00CC0F60"/>
    <w:rsid w:val="00CC7A55"/>
    <w:rsid w:val="00CF2C13"/>
    <w:rsid w:val="00D0274E"/>
    <w:rsid w:val="00D14890"/>
    <w:rsid w:val="00D1720C"/>
    <w:rsid w:val="00D35001"/>
    <w:rsid w:val="00D50321"/>
    <w:rsid w:val="00D50914"/>
    <w:rsid w:val="00D55074"/>
    <w:rsid w:val="00D55987"/>
    <w:rsid w:val="00D5697B"/>
    <w:rsid w:val="00D64624"/>
    <w:rsid w:val="00D65C01"/>
    <w:rsid w:val="00D71C2D"/>
    <w:rsid w:val="00D746BF"/>
    <w:rsid w:val="00D765D6"/>
    <w:rsid w:val="00D804A5"/>
    <w:rsid w:val="00DA5092"/>
    <w:rsid w:val="00DB2FBD"/>
    <w:rsid w:val="00DD29EA"/>
    <w:rsid w:val="00DE2D0B"/>
    <w:rsid w:val="00DE506D"/>
    <w:rsid w:val="00E37F0E"/>
    <w:rsid w:val="00E50911"/>
    <w:rsid w:val="00E56F35"/>
    <w:rsid w:val="00E7318E"/>
    <w:rsid w:val="00E76A29"/>
    <w:rsid w:val="00E9755C"/>
    <w:rsid w:val="00EA1531"/>
    <w:rsid w:val="00EC3226"/>
    <w:rsid w:val="00EC335B"/>
    <w:rsid w:val="00F01C6F"/>
    <w:rsid w:val="00F040F7"/>
    <w:rsid w:val="00F04445"/>
    <w:rsid w:val="00F33B5F"/>
    <w:rsid w:val="00F34CBE"/>
    <w:rsid w:val="00F3508E"/>
    <w:rsid w:val="00F42703"/>
    <w:rsid w:val="00F568B8"/>
    <w:rsid w:val="00F80F29"/>
    <w:rsid w:val="00F90EAE"/>
    <w:rsid w:val="00F9430B"/>
    <w:rsid w:val="00F969D8"/>
    <w:rsid w:val="00FB759A"/>
    <w:rsid w:val="00FC0FB9"/>
    <w:rsid w:val="00FC41DF"/>
    <w:rsid w:val="00FC6915"/>
    <w:rsid w:val="00FC6E6C"/>
    <w:rsid w:val="00FD7D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03E31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12,BVI fnr,EN Footnote Reference,Footnote,Footnote Reference Superscript,Footnote reference number,Footnote symbol,SUPERS,Style 14,Style 16,Style 19,Style 35,Style 39,Style 6,Voetnootverwijzing,fr,note TESI"/>
    <w:uiPriority w:val="99"/>
    <w:qFormat/>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unhideWhenUsed/>
    <w:qFormat/>
    <w:rsid w:val="00386C94"/>
    <w:pPr>
      <w:widowControl/>
    </w:pPr>
    <w:rPr>
      <w:rFonts w:ascii="Arial Narrow" w:hAnsi="Arial Narrow"/>
      <w:snapToGrid/>
      <w:u w:val="single"/>
    </w:rPr>
  </w:style>
  <w:style w:type="character" w:customStyle="1" w:styleId="BodyTextChar">
    <w:name w:val="Body Text Char"/>
    <w:link w:val="BodyText"/>
    <w:rsid w:val="00386C94"/>
    <w:rPr>
      <w:rFonts w:ascii="Arial Narrow" w:hAnsi="Arial Narrow"/>
      <w:sz w:val="24"/>
      <w:u w:val="single"/>
    </w:rPr>
  </w:style>
  <w:style w:type="paragraph" w:styleId="FootnoteText">
    <w:name w:val="footnote text"/>
    <w:aliases w:val="ALTS FOOTNOTE,Car,Footnote Text Char Char,Footnote Text Char Char Char Char,Footnote Text Char Char Char Char Char Char Char Char Char Char Char Char Char Char Char Char Char,Footnote Text Char1 Char Char,Style 15,fn,ft"/>
    <w:basedOn w:val="Normal"/>
    <w:link w:val="FootnoteTextChar"/>
    <w:uiPriority w:val="99"/>
    <w:qFormat/>
    <w:rsid w:val="00881712"/>
    <w:pPr>
      <w:autoSpaceDE w:val="0"/>
      <w:autoSpaceDN w:val="0"/>
      <w:adjustRightInd w:val="0"/>
    </w:pPr>
    <w:rPr>
      <w:rFonts w:ascii="CourierPS" w:hAnsi="CourierPS"/>
      <w:snapToGrid/>
      <w:sz w:val="20"/>
    </w:rPr>
  </w:style>
  <w:style w:type="character" w:customStyle="1" w:styleId="FootnoteTextChar">
    <w:name w:val="Footnote Text Char"/>
    <w:aliases w:val="ALTS FOOTNOTE Char,Car Char,Footnote Text Char Char Char,Footnote Text Char Char Char Char Char,Footnote Text Char Char Char Char Char Char Char Char Char Char Char Char Char Char Char Char Char Char,Footnote Text Char1 Char Char Char"/>
    <w:link w:val="FootnoteText"/>
    <w:uiPriority w:val="99"/>
    <w:rsid w:val="00881712"/>
    <w:rPr>
      <w:rFonts w:ascii="CourierPS" w:hAnsi="CourierPS"/>
    </w:rPr>
  </w:style>
  <w:style w:type="character" w:styleId="Hyperlink">
    <w:name w:val="Hyperlink"/>
    <w:uiPriority w:val="99"/>
    <w:unhideWhenUsed/>
    <w:rsid w:val="00881712"/>
    <w:rPr>
      <w:color w:val="0000FF"/>
      <w:u w:val="single"/>
    </w:rPr>
  </w:style>
  <w:style w:type="table" w:styleId="TableGrid">
    <w:name w:val="Table Grid"/>
    <w:basedOn w:val="TableNormal"/>
    <w:uiPriority w:val="39"/>
    <w:rsid w:val="002A5F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709AF"/>
  </w:style>
  <w:style w:type="character" w:customStyle="1" w:styleId="UnresolvedMention">
    <w:name w:val="Unresolved Mention"/>
    <w:uiPriority w:val="99"/>
    <w:semiHidden/>
    <w:unhideWhenUsed/>
    <w:rsid w:val="00B76DC2"/>
    <w:rPr>
      <w:color w:val="605E5C"/>
      <w:shd w:val="clear" w:color="auto" w:fill="E1DFDD"/>
    </w:rPr>
  </w:style>
  <w:style w:type="character" w:styleId="FollowedHyperlink">
    <w:name w:val="FollowedHyperlink"/>
    <w:rsid w:val="00B76DC2"/>
    <w:rPr>
      <w:color w:val="954F72"/>
      <w:u w:val="single"/>
    </w:rPr>
  </w:style>
  <w:style w:type="paragraph" w:styleId="ListParagraph">
    <w:name w:val="List Paragraph"/>
    <w:basedOn w:val="Normal"/>
    <w:uiPriority w:val="34"/>
    <w:qFormat/>
    <w:rsid w:val="004C250D"/>
    <w:pPr>
      <w:spacing w:after="200" w:line="276" w:lineRule="auto"/>
      <w:ind w:left="720"/>
      <w:contextualSpacing/>
    </w:pPr>
    <w:rPr>
      <w:rFonts w:asciiTheme="minorHAnsi" w:eastAsiaTheme="minorHAnsi" w:hAnsiTheme="minorHAnsi" w:cstheme="minorBidi"/>
      <w:snapToGrid/>
      <w:sz w:val="22"/>
      <w:szCs w:val="22"/>
    </w:rPr>
  </w:style>
  <w:style w:type="paragraph" w:styleId="NoSpacing">
    <w:name w:val="No Spacing"/>
    <w:uiPriority w:val="1"/>
    <w:qFormat/>
    <w:rsid w:val="004C250D"/>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A51E9-A907-4144-A4BF-6002AA5FB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1777</Words>
  <Characters>10528</Characters>
  <Application>Microsoft Office Word</Application>
  <DocSecurity>0</DocSecurity>
  <Lines>87</Lines>
  <Paragraphs>24</Paragraphs>
  <ScaleCrop>false</ScaleCrop>
  <Company/>
  <LinksUpToDate>false</LinksUpToDate>
  <CharactersWithSpaces>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2024-08-09T16:24:00Z</dcterms:created>
  <dcterms:modified xsi:type="dcterms:W3CDTF">2024-08-09T16:24:00Z</dcterms:modified>
</cp:coreProperties>
</file>