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31A90" w:rsidRPr="00D807AF" w14:paraId="09B0694F" w14:textId="77777777">
      <w:pPr>
        <w:pStyle w:val="Footer"/>
        <w:tabs>
          <w:tab w:val="clear" w:pos="4320"/>
          <w:tab w:val="center" w:pos="4680"/>
          <w:tab w:val="clear" w:pos="8640"/>
        </w:tabs>
        <w:jc w:val="center"/>
        <w:rPr>
          <w:rFonts w:ascii="Times New Roman" w:hAnsi="Times New Roman"/>
          <w:b/>
        </w:rPr>
      </w:pPr>
      <w:r w:rsidRPr="00D807AF">
        <w:rPr>
          <w:rFonts w:ascii="Times New Roman" w:hAnsi="Times New Roman"/>
          <w:b/>
        </w:rPr>
        <w:t>SUPPORTING STATEMENT</w:t>
      </w:r>
    </w:p>
    <w:p w:rsidR="00731A90" w:rsidRPr="00D807AF" w14:paraId="4FC4B64B" w14:textId="77777777">
      <w:pPr>
        <w:tabs>
          <w:tab w:val="center" w:pos="4680"/>
        </w:tabs>
        <w:jc w:val="center"/>
        <w:rPr>
          <w:rFonts w:ascii="Times New Roman" w:hAnsi="Times New Roman"/>
          <w:b/>
        </w:rPr>
      </w:pPr>
      <w:r>
        <w:rPr>
          <w:rFonts w:ascii="Times New Roman" w:hAnsi="Times New Roman"/>
          <w:b/>
        </w:rPr>
        <w:t>Computer Security Incident Notification</w:t>
      </w:r>
      <w:r w:rsidR="00AD4167">
        <w:rPr>
          <w:rFonts w:ascii="Times New Roman" w:hAnsi="Times New Roman"/>
          <w:b/>
        </w:rPr>
        <w:t xml:space="preserve"> </w:t>
      </w:r>
    </w:p>
    <w:p w:rsidR="00731A90" w:rsidRPr="00D807AF" w14:paraId="489236BC" w14:textId="04BABD13">
      <w:pPr>
        <w:tabs>
          <w:tab w:val="center" w:pos="4680"/>
        </w:tabs>
        <w:jc w:val="center"/>
        <w:rPr>
          <w:rFonts w:ascii="Times New Roman" w:hAnsi="Times New Roman"/>
          <w:b/>
        </w:rPr>
      </w:pPr>
      <w:r w:rsidRPr="00D807AF">
        <w:rPr>
          <w:rFonts w:ascii="Times New Roman" w:hAnsi="Times New Roman"/>
          <w:b/>
        </w:rPr>
        <w:t>(</w:t>
      </w:r>
      <w:r w:rsidR="00D807AF">
        <w:rPr>
          <w:rFonts w:ascii="Times New Roman" w:hAnsi="Times New Roman"/>
          <w:b/>
        </w:rPr>
        <w:t xml:space="preserve">OMB Control No. </w:t>
      </w:r>
      <w:r w:rsidRPr="00D807AF">
        <w:rPr>
          <w:rFonts w:ascii="Times New Roman" w:hAnsi="Times New Roman"/>
          <w:b/>
        </w:rPr>
        <w:t>3064-</w:t>
      </w:r>
      <w:r w:rsidR="003D21CE">
        <w:rPr>
          <w:rFonts w:ascii="Times New Roman" w:hAnsi="Times New Roman"/>
          <w:b/>
        </w:rPr>
        <w:t>214</w:t>
      </w:r>
      <w:r w:rsidRPr="00D807AF">
        <w:rPr>
          <w:rFonts w:ascii="Times New Roman" w:hAnsi="Times New Roman"/>
          <w:b/>
        </w:rPr>
        <w:t>)</w:t>
      </w:r>
    </w:p>
    <w:p w:rsidR="00731A90" w14:paraId="2C4A9BD2" w14:textId="77777777">
      <w:pPr>
        <w:rPr>
          <w:rFonts w:ascii="Times New Roman" w:hAnsi="Times New Roman"/>
        </w:rPr>
      </w:pPr>
    </w:p>
    <w:p w:rsidR="00731A90" w14:paraId="454892BE" w14:textId="77777777">
      <w:pPr>
        <w:rPr>
          <w:rFonts w:ascii="Times New Roman" w:hAnsi="Times New Roman"/>
          <w:u w:val="single"/>
        </w:rPr>
      </w:pPr>
      <w:r>
        <w:rPr>
          <w:rFonts w:ascii="Times New Roman" w:hAnsi="Times New Roman"/>
          <w:u w:val="single"/>
        </w:rPr>
        <w:t>INTRODUCTION</w:t>
      </w:r>
    </w:p>
    <w:p w:rsidR="00731A90" w14:paraId="0C32597F" w14:textId="77777777">
      <w:pPr>
        <w:rPr>
          <w:rFonts w:ascii="Times New Roman" w:hAnsi="Times New Roman"/>
          <w:u w:val="single"/>
        </w:rPr>
      </w:pPr>
    </w:p>
    <w:p w:rsidR="00DB04B6" w:rsidP="00F601BE" w14:paraId="02A001C8" w14:textId="668ECAAB">
      <w:pPr>
        <w:ind w:left="720"/>
        <w:rPr>
          <w:rFonts w:ascii="Times New Roman" w:hAnsi="Times New Roman"/>
          <w:szCs w:val="24"/>
          <w:lang w:bidi="en-US"/>
        </w:rPr>
      </w:pPr>
      <w:r>
        <w:rPr>
          <w:rFonts w:ascii="Times New Roman" w:hAnsi="Times New Roman"/>
        </w:rPr>
        <w:t xml:space="preserve">The </w:t>
      </w:r>
      <w:r w:rsidRPr="00A658D8" w:rsidR="0077603D">
        <w:rPr>
          <w:rFonts w:ascii="Times New Roman" w:hAnsi="Times New Roman"/>
          <w:szCs w:val="24"/>
        </w:rPr>
        <w:t xml:space="preserve">Federal Deposit Insurance Corporation (FDIC) </w:t>
      </w:r>
      <w:r w:rsidR="0077603D">
        <w:rPr>
          <w:rFonts w:ascii="Times New Roman" w:hAnsi="Times New Roman"/>
          <w:szCs w:val="24"/>
        </w:rPr>
        <w:t xml:space="preserve">is </w:t>
      </w:r>
      <w:r w:rsidRPr="00A658D8" w:rsidR="0077603D">
        <w:rPr>
          <w:rFonts w:ascii="Times New Roman" w:hAnsi="Times New Roman"/>
          <w:szCs w:val="24"/>
        </w:rPr>
        <w:t xml:space="preserve">requesting </w:t>
      </w:r>
      <w:r w:rsidR="00826890">
        <w:rPr>
          <w:rFonts w:ascii="Times New Roman" w:hAnsi="Times New Roman"/>
          <w:szCs w:val="24"/>
        </w:rPr>
        <w:t xml:space="preserve">OMB approval of a </w:t>
      </w:r>
      <w:r w:rsidR="003D21CE">
        <w:rPr>
          <w:rFonts w:ascii="Times New Roman" w:hAnsi="Times New Roman"/>
          <w:szCs w:val="24"/>
        </w:rPr>
        <w:t xml:space="preserve">n extension, without change, of this </w:t>
      </w:r>
      <w:r w:rsidR="00826890">
        <w:rPr>
          <w:rFonts w:ascii="Times New Roman" w:hAnsi="Times New Roman"/>
          <w:szCs w:val="24"/>
        </w:rPr>
        <w:t xml:space="preserve">information collection </w:t>
      </w:r>
      <w:r w:rsidR="002D22A8">
        <w:rPr>
          <w:rFonts w:ascii="Times New Roman" w:hAnsi="Times New Roman"/>
          <w:szCs w:val="24"/>
          <w:lang w:bidi="en-US"/>
        </w:rPr>
        <w:t xml:space="preserve">that </w:t>
      </w:r>
      <w:r w:rsidRPr="0010010B" w:rsidR="0010010B">
        <w:rPr>
          <w:rFonts w:ascii="Times New Roman" w:hAnsi="Times New Roman"/>
          <w:szCs w:val="24"/>
          <w:lang w:bidi="en-US"/>
        </w:rPr>
        <w:t>require</w:t>
      </w:r>
      <w:r w:rsidR="002D22A8">
        <w:rPr>
          <w:rFonts w:ascii="Times New Roman" w:hAnsi="Times New Roman"/>
          <w:szCs w:val="24"/>
          <w:lang w:bidi="en-US"/>
        </w:rPr>
        <w:t>s</w:t>
      </w:r>
      <w:r w:rsidRPr="0010010B" w:rsidR="0010010B">
        <w:rPr>
          <w:rFonts w:ascii="Times New Roman" w:hAnsi="Times New Roman"/>
          <w:szCs w:val="24"/>
          <w:lang w:bidi="en-US"/>
        </w:rPr>
        <w:t xml:space="preserve"> a banking organization to provide its primary federal regulator with prompt notification of any “computer-security incident” that rises to the le</w:t>
      </w:r>
      <w:r w:rsidR="0010010B">
        <w:rPr>
          <w:rFonts w:ascii="Times New Roman" w:hAnsi="Times New Roman"/>
          <w:szCs w:val="24"/>
          <w:lang w:bidi="en-US"/>
        </w:rPr>
        <w:t>vel of a “notification incident</w:t>
      </w:r>
      <w:r w:rsidRPr="0010010B" w:rsidR="0010010B">
        <w:rPr>
          <w:rFonts w:ascii="Times New Roman" w:hAnsi="Times New Roman"/>
          <w:szCs w:val="24"/>
          <w:lang w:bidi="en-US"/>
        </w:rPr>
        <w:t>”</w:t>
      </w:r>
      <w:r w:rsidR="0010010B">
        <w:rPr>
          <w:rFonts w:ascii="Times New Roman" w:hAnsi="Times New Roman"/>
          <w:szCs w:val="24"/>
          <w:lang w:bidi="en-US"/>
        </w:rPr>
        <w:t xml:space="preserve"> as defined in the rule.</w:t>
      </w:r>
      <w:r w:rsidR="002D22A8">
        <w:rPr>
          <w:rFonts w:ascii="Times New Roman" w:hAnsi="Times New Roman"/>
          <w:szCs w:val="24"/>
          <w:lang w:bidi="en-US"/>
        </w:rPr>
        <w:t xml:space="preserve">  The rule </w:t>
      </w:r>
      <w:r w:rsidRPr="0010010B" w:rsidR="002D22A8">
        <w:rPr>
          <w:rFonts w:ascii="Times New Roman" w:hAnsi="Times New Roman"/>
          <w:szCs w:val="24"/>
          <w:lang w:bidi="en-US"/>
        </w:rPr>
        <w:t>requires</w:t>
      </w:r>
      <w:r w:rsidRPr="0010010B" w:rsidR="0010010B">
        <w:rPr>
          <w:rFonts w:ascii="Times New Roman" w:hAnsi="Times New Roman"/>
          <w:szCs w:val="24"/>
          <w:lang w:bidi="en-US"/>
        </w:rPr>
        <w:t xml:space="preserve"> such notification upon the occurrence of a notification incident as soon </w:t>
      </w:r>
      <w:r w:rsidR="007B3D35">
        <w:rPr>
          <w:rFonts w:ascii="Times New Roman" w:hAnsi="Times New Roman"/>
          <w:szCs w:val="24"/>
          <w:lang w:bidi="en-US"/>
        </w:rPr>
        <w:t>as possible and no later than 36</w:t>
      </w:r>
      <w:r w:rsidRPr="0010010B" w:rsidR="0010010B">
        <w:rPr>
          <w:rFonts w:ascii="Times New Roman" w:hAnsi="Times New Roman"/>
          <w:szCs w:val="24"/>
          <w:lang w:bidi="en-US"/>
        </w:rPr>
        <w:t xml:space="preserve"> hours after the banking organization has determined that the incident occurred.  This notification requirement is intended to serve as an early alert to a banking organization’s primary federal regulator and is not intended to provide an assessmen</w:t>
      </w:r>
      <w:r w:rsidR="002D22A8">
        <w:rPr>
          <w:rFonts w:ascii="Times New Roman" w:hAnsi="Times New Roman"/>
          <w:szCs w:val="24"/>
          <w:lang w:bidi="en-US"/>
        </w:rPr>
        <w:t>t of the incident.  The</w:t>
      </w:r>
      <w:r w:rsidRPr="0010010B" w:rsidR="0010010B">
        <w:rPr>
          <w:rFonts w:ascii="Times New Roman" w:hAnsi="Times New Roman"/>
          <w:szCs w:val="24"/>
          <w:lang w:bidi="en-US"/>
        </w:rPr>
        <w:t xml:space="preserve"> rul</w:t>
      </w:r>
      <w:r w:rsidR="002D22A8">
        <w:rPr>
          <w:rFonts w:ascii="Times New Roman" w:hAnsi="Times New Roman"/>
          <w:szCs w:val="24"/>
          <w:lang w:bidi="en-US"/>
        </w:rPr>
        <w:t xml:space="preserve">e </w:t>
      </w:r>
      <w:r w:rsidRPr="0010010B" w:rsidR="0010010B">
        <w:rPr>
          <w:rFonts w:ascii="Times New Roman" w:hAnsi="Times New Roman"/>
          <w:szCs w:val="24"/>
          <w:lang w:bidi="en-US"/>
        </w:rPr>
        <w:t>allow</w:t>
      </w:r>
      <w:r w:rsidR="002D22A8">
        <w:rPr>
          <w:rFonts w:ascii="Times New Roman" w:hAnsi="Times New Roman"/>
          <w:szCs w:val="24"/>
          <w:lang w:bidi="en-US"/>
        </w:rPr>
        <w:t>s</w:t>
      </w:r>
      <w:r w:rsidRPr="0010010B" w:rsidR="0010010B">
        <w:rPr>
          <w:rFonts w:ascii="Times New Roman" w:hAnsi="Times New Roman"/>
          <w:szCs w:val="24"/>
          <w:lang w:bidi="en-US"/>
        </w:rPr>
        <w:t xml:space="preserve"> a banking organization to authorize or contract with a bank service provider to allow the bank service provider to make the relevant notifications to the banking organization’s primary federal regulator on the banking organization’s behalf.</w:t>
      </w:r>
    </w:p>
    <w:p w:rsidR="0010010B" w:rsidRPr="00DB04B6" w:rsidP="00DB04B6" w14:paraId="4F710250" w14:textId="77777777">
      <w:pPr>
        <w:rPr>
          <w:rFonts w:ascii="Times New Roman" w:hAnsi="Times New Roman"/>
        </w:rPr>
      </w:pPr>
    </w:p>
    <w:p w:rsidR="00DB04B6" w:rsidP="004D1876" w14:paraId="3D729ACB" w14:textId="77777777">
      <w:pPr>
        <w:rPr>
          <w:rFonts w:ascii="Times New Roman" w:hAnsi="Times New Roman"/>
        </w:rPr>
      </w:pPr>
    </w:p>
    <w:p w:rsidR="00731A90" w14:paraId="70A94585" w14:textId="77777777">
      <w:pPr>
        <w:rPr>
          <w:rFonts w:ascii="Times New Roman" w:hAnsi="Times New Roman"/>
          <w:u w:val="single"/>
        </w:rPr>
      </w:pPr>
      <w:r>
        <w:rPr>
          <w:rFonts w:ascii="Times New Roman" w:hAnsi="Times New Roman"/>
        </w:rPr>
        <w:t>A.</w:t>
      </w:r>
      <w:r>
        <w:rPr>
          <w:rFonts w:ascii="Times New Roman" w:hAnsi="Times New Roman"/>
        </w:rPr>
        <w:tab/>
      </w:r>
      <w:r>
        <w:rPr>
          <w:rFonts w:ascii="Times New Roman" w:hAnsi="Times New Roman"/>
          <w:u w:val="single"/>
        </w:rPr>
        <w:t>JUSTIFICATION</w:t>
      </w:r>
    </w:p>
    <w:p w:rsidR="00731A90" w14:paraId="28DCEF1C" w14:textId="77777777">
      <w:pPr>
        <w:rPr>
          <w:rFonts w:ascii="Times New Roman" w:hAnsi="Times New Roman"/>
        </w:rPr>
      </w:pPr>
    </w:p>
    <w:p w:rsidR="00731A90" w:rsidP="0001734D" w14:paraId="3ECDDF50" w14:textId="77777777">
      <w:pPr>
        <w:rPr>
          <w:rFonts w:ascii="Times New Roman" w:hAnsi="Times New Roman"/>
        </w:rPr>
      </w:pPr>
      <w:r>
        <w:rPr>
          <w:rFonts w:ascii="Times New Roman" w:hAnsi="Times New Roman"/>
        </w:rPr>
        <w:t>1.</w:t>
      </w:r>
      <w:r>
        <w:rPr>
          <w:rFonts w:ascii="Times New Roman" w:hAnsi="Times New Roman"/>
        </w:rPr>
        <w:tab/>
      </w:r>
      <w:r w:rsidRPr="00B662BE" w:rsidR="008F53AC">
        <w:rPr>
          <w:rFonts w:ascii="Times New Roman" w:hAnsi="Times New Roman"/>
          <w:bCs/>
          <w:szCs w:val="24"/>
          <w:u w:val="single"/>
        </w:rPr>
        <w:t>Circumstances that make the collection necessary:</w:t>
      </w:r>
    </w:p>
    <w:p w:rsidR="00731A90" w14:paraId="7AFCC73E" w14:textId="77777777">
      <w:pPr>
        <w:ind w:firstLine="1440"/>
        <w:rPr>
          <w:rFonts w:ascii="Times New Roman" w:hAnsi="Times New Roman"/>
        </w:rPr>
      </w:pPr>
    </w:p>
    <w:p w:rsidR="0001734D" w:rsidP="00F601BE" w14:paraId="4E7484CB" w14:textId="77777777">
      <w:pPr>
        <w:ind w:left="720"/>
        <w:rPr>
          <w:rFonts w:ascii="Times New Roman" w:hAnsi="Times New Roman"/>
          <w:snapToGrid/>
          <w:szCs w:val="24"/>
        </w:rPr>
      </w:pPr>
      <w:r w:rsidRPr="0001734D">
        <w:rPr>
          <w:rFonts w:ascii="Times New Roman" w:hAnsi="Times New Roman"/>
          <w:snapToGrid/>
          <w:szCs w:val="24"/>
        </w:rPr>
        <w:t xml:space="preserve">Internet crime and cyberattacks reported to federal law enforcement have increased in frequency and </w:t>
      </w:r>
      <w:r w:rsidRPr="00F601BE">
        <w:rPr>
          <w:rFonts w:ascii="Times New Roman" w:hAnsi="Times New Roman"/>
          <w:szCs w:val="24"/>
        </w:rPr>
        <w:t>severity</w:t>
      </w:r>
      <w:r w:rsidRPr="0001734D">
        <w:rPr>
          <w:rFonts w:ascii="Times New Roman" w:hAnsi="Times New Roman"/>
          <w:snapToGrid/>
          <w:szCs w:val="24"/>
        </w:rPr>
        <w:t xml:space="preserve"> in recent years.</w:t>
      </w:r>
      <w:r>
        <w:rPr>
          <w:rFonts w:ascii="Times New Roman" w:hAnsi="Times New Roman"/>
          <w:snapToGrid/>
          <w:szCs w:val="24"/>
          <w:vertAlign w:val="superscript"/>
        </w:rPr>
        <w:footnoteReference w:id="2"/>
      </w:r>
      <w:r w:rsidRPr="0001734D">
        <w:rPr>
          <w:rFonts w:ascii="Times New Roman" w:hAnsi="Times New Roman"/>
          <w:snapToGrid/>
          <w:szCs w:val="24"/>
        </w:rPr>
        <w:t xml:space="preserve">  These types of attacks may use destructive </w:t>
      </w:r>
      <w:r w:rsidRPr="0001734D">
        <w:rPr>
          <w:rFonts w:ascii="Times New Roman" w:hAnsi="Times New Roman"/>
          <w:snapToGrid/>
          <w:szCs w:val="24"/>
        </w:rPr>
        <w:t>malware</w:t>
      </w:r>
      <w:r w:rsidRPr="0001734D">
        <w:rPr>
          <w:rFonts w:ascii="Times New Roman" w:hAnsi="Times New Roman"/>
          <w:snapToGrid/>
          <w:szCs w:val="24"/>
        </w:rPr>
        <w:t xml:space="preserve"> or other cybersecurity exploits to target weaknesses in the computers or networks of banking organizations supervised by the agencies.</w:t>
      </w:r>
      <w:r>
        <w:rPr>
          <w:rFonts w:ascii="Times New Roman" w:hAnsi="Times New Roman"/>
          <w:snapToGrid/>
          <w:szCs w:val="24"/>
          <w:vertAlign w:val="superscript"/>
        </w:rPr>
        <w:footnoteReference w:id="3"/>
      </w:r>
      <w:r w:rsidRPr="0001734D">
        <w:rPr>
          <w:rFonts w:ascii="Times New Roman" w:hAnsi="Times New Roman"/>
          <w:snapToGrid/>
          <w:szCs w:val="24"/>
        </w:rPr>
        <w:t xml:space="preserve">  Some exploits have the potential to alter, delete, or otherwise render a banking organization’s data and systems unusable.  Depending on the scope of an incident, a banking organization’s data and system backups may also be affected, which can severely affect its ability to recover operations.</w:t>
      </w:r>
      <w:r w:rsidR="0042786A">
        <w:rPr>
          <w:rFonts w:ascii="Times New Roman" w:hAnsi="Times New Roman"/>
          <w:snapToGrid/>
          <w:szCs w:val="24"/>
        </w:rPr>
        <w:t xml:space="preserve"> </w:t>
      </w:r>
      <w:r w:rsidRPr="0001734D">
        <w:rPr>
          <w:rFonts w:ascii="Times New Roman" w:hAnsi="Times New Roman"/>
          <w:snapToGrid/>
          <w:szCs w:val="24"/>
        </w:rPr>
        <w:t xml:space="preserve">In addition, banking organizations have become increasingly reliant on bank service providers to </w:t>
      </w:r>
      <w:r w:rsidRPr="0001734D">
        <w:rPr>
          <w:rFonts w:ascii="Times New Roman" w:hAnsi="Times New Roman"/>
          <w:szCs w:val="24"/>
          <w:lang w:bidi="en-US"/>
        </w:rPr>
        <w:t>provide</w:t>
      </w:r>
      <w:r w:rsidRPr="0001734D">
        <w:rPr>
          <w:rFonts w:ascii="Times New Roman" w:hAnsi="Times New Roman"/>
          <w:snapToGrid/>
          <w:szCs w:val="24"/>
        </w:rPr>
        <w:t xml:space="preserve"> essential technology-related products and services.  These bank service providers are al</w:t>
      </w:r>
      <w:r w:rsidR="0042786A">
        <w:rPr>
          <w:rFonts w:ascii="Times New Roman" w:hAnsi="Times New Roman"/>
          <w:snapToGrid/>
          <w:szCs w:val="24"/>
        </w:rPr>
        <w:t>so vulnerable to cyber threats.</w:t>
      </w:r>
    </w:p>
    <w:p w:rsidR="0042786A" w:rsidRPr="0001734D" w:rsidP="0001734D" w14:paraId="67172F8B" w14:textId="77777777">
      <w:pPr>
        <w:rPr>
          <w:rFonts w:ascii="Times New Roman" w:hAnsi="Times New Roman"/>
          <w:snapToGrid/>
          <w:szCs w:val="24"/>
        </w:rPr>
      </w:pPr>
    </w:p>
    <w:p w:rsidR="0042786A" w:rsidP="00F601BE" w14:paraId="7F87D27D" w14:textId="77777777">
      <w:pPr>
        <w:ind w:left="720"/>
        <w:rPr>
          <w:rFonts w:ascii="Times New Roman" w:hAnsi="Times New Roman"/>
          <w:snapToGrid/>
          <w:szCs w:val="24"/>
        </w:rPr>
      </w:pPr>
      <w:r w:rsidRPr="0001734D">
        <w:rPr>
          <w:rFonts w:ascii="Times New Roman" w:hAnsi="Times New Roman"/>
          <w:snapToGrid/>
          <w:szCs w:val="24"/>
        </w:rPr>
        <w:t xml:space="preserve">The agencies believe that it is critically important that the primary federal regulator of a banking </w:t>
      </w:r>
      <w:r w:rsidRPr="0001734D">
        <w:rPr>
          <w:rFonts w:ascii="Times New Roman" w:hAnsi="Times New Roman"/>
          <w:szCs w:val="24"/>
        </w:rPr>
        <w:t>organization</w:t>
      </w:r>
      <w:r w:rsidRPr="0001734D">
        <w:rPr>
          <w:rFonts w:ascii="Times New Roman" w:hAnsi="Times New Roman"/>
          <w:snapToGrid/>
          <w:szCs w:val="24"/>
        </w:rPr>
        <w:t xml:space="preserve"> be notified as soon as possible of a significant “computer-security incident”</w:t>
      </w:r>
      <w:r>
        <w:rPr>
          <w:rFonts w:ascii="Times New Roman" w:hAnsi="Times New Roman"/>
          <w:snapToGrid/>
          <w:szCs w:val="24"/>
          <w:vertAlign w:val="superscript"/>
        </w:rPr>
        <w:footnoteReference w:id="4"/>
      </w:r>
      <w:r w:rsidRPr="0001734D">
        <w:rPr>
          <w:rFonts w:ascii="Times New Roman" w:hAnsi="Times New Roman"/>
          <w:snapToGrid/>
          <w:szCs w:val="24"/>
        </w:rPr>
        <w:t xml:space="preserve"> that could prevent the banking organization from carrying out banking </w:t>
      </w:r>
      <w:r w:rsidRPr="0001734D">
        <w:rPr>
          <w:rFonts w:ascii="Times New Roman" w:hAnsi="Times New Roman"/>
          <w:snapToGrid/>
          <w:szCs w:val="24"/>
        </w:rPr>
        <w:t>operations, result in customers being unable to access their deposit and other accounts, or may jeopardize the viability of the operations of the individual banking organization or the stability of the financial sector.</w:t>
      </w:r>
      <w:r>
        <w:rPr>
          <w:rFonts w:ascii="Times New Roman" w:hAnsi="Times New Roman"/>
          <w:snapToGrid/>
          <w:szCs w:val="24"/>
          <w:vertAlign w:val="superscript"/>
        </w:rPr>
        <w:footnoteReference w:id="5"/>
      </w:r>
      <w:r w:rsidR="002D22A8">
        <w:rPr>
          <w:rFonts w:ascii="Times New Roman" w:hAnsi="Times New Roman"/>
          <w:snapToGrid/>
          <w:szCs w:val="24"/>
        </w:rPr>
        <w:t xml:space="preserve">  The</w:t>
      </w:r>
      <w:r w:rsidRPr="0001734D">
        <w:rPr>
          <w:rFonts w:ascii="Times New Roman" w:hAnsi="Times New Roman"/>
          <w:snapToGrid/>
          <w:szCs w:val="24"/>
        </w:rPr>
        <w:t xml:space="preserve"> rule refers to these significant computer-security incidents as “notification incidents.”  The relevant agency receiving notice of notification incidents could assess the nature and severity of the incident, including whether it is isolated or widespread.  The agency would then be </w:t>
      </w:r>
      <w:r w:rsidRPr="0001734D">
        <w:rPr>
          <w:rFonts w:ascii="Times New Roman" w:hAnsi="Times New Roman"/>
          <w:snapToGrid/>
          <w:szCs w:val="24"/>
        </w:rPr>
        <w:t>in a position</w:t>
      </w:r>
      <w:r w:rsidRPr="0001734D">
        <w:rPr>
          <w:rFonts w:ascii="Times New Roman" w:hAnsi="Times New Roman"/>
          <w:snapToGrid/>
          <w:szCs w:val="24"/>
        </w:rPr>
        <w:t xml:space="preserve"> to take actions including, as appropriate, alerting other banking organizations and regulatory agencies, while protecting confidential supervisory information and facilitating requests for assistance.  These actions could help to mitigate the impact of the incident, preserve the safe and sound operation of the banking organization, and reduce the risks to the financial sector.</w:t>
      </w:r>
    </w:p>
    <w:p w:rsidR="0001734D" w:rsidRPr="0001734D" w:rsidP="0001734D" w14:paraId="18A3144D" w14:textId="77777777">
      <w:pPr>
        <w:rPr>
          <w:rFonts w:ascii="Times New Roman" w:hAnsi="Times New Roman"/>
          <w:snapToGrid/>
          <w:szCs w:val="24"/>
        </w:rPr>
      </w:pPr>
      <w:r w:rsidRPr="0001734D">
        <w:rPr>
          <w:rFonts w:ascii="Times New Roman" w:hAnsi="Times New Roman"/>
          <w:snapToGrid/>
          <w:szCs w:val="24"/>
        </w:rPr>
        <w:t xml:space="preserve">  </w:t>
      </w:r>
    </w:p>
    <w:p w:rsidR="00B0375D" w:rsidP="00F601BE" w14:paraId="434E906F" w14:textId="77777777">
      <w:pPr>
        <w:ind w:left="720"/>
        <w:rPr>
          <w:rFonts w:ascii="Times New Roman" w:hAnsi="Times New Roman"/>
          <w:snapToGrid/>
          <w:szCs w:val="24"/>
        </w:rPr>
      </w:pPr>
      <w:r w:rsidRPr="0001734D">
        <w:rPr>
          <w:rFonts w:ascii="Times New Roman" w:hAnsi="Times New Roman"/>
          <w:snapToGrid/>
          <w:szCs w:val="24"/>
        </w:rPr>
        <w:t>This notification requirement is intended to serve as an early alert to a banking organization’s primary federal regulator and is not intended to include an assessmen</w:t>
      </w:r>
      <w:r w:rsidR="002D22A8">
        <w:rPr>
          <w:rFonts w:ascii="Times New Roman" w:hAnsi="Times New Roman"/>
          <w:snapToGrid/>
          <w:szCs w:val="24"/>
        </w:rPr>
        <w:t xml:space="preserve">t of the incident.  The rule </w:t>
      </w:r>
      <w:r w:rsidRPr="0001734D">
        <w:rPr>
          <w:rFonts w:ascii="Times New Roman" w:hAnsi="Times New Roman"/>
          <w:snapToGrid/>
          <w:szCs w:val="24"/>
        </w:rPr>
        <w:t>allow</w:t>
      </w:r>
      <w:r w:rsidR="002D22A8">
        <w:rPr>
          <w:rFonts w:ascii="Times New Roman" w:hAnsi="Times New Roman"/>
          <w:snapToGrid/>
          <w:szCs w:val="24"/>
        </w:rPr>
        <w:t>s</w:t>
      </w:r>
      <w:r w:rsidRPr="0001734D">
        <w:rPr>
          <w:rFonts w:ascii="Times New Roman" w:hAnsi="Times New Roman"/>
          <w:snapToGrid/>
          <w:szCs w:val="24"/>
        </w:rPr>
        <w:t xml:space="preserve"> a banking organization to authorize or contract with a bank service provider to allow the bank service provider to make the relevant </w:t>
      </w:r>
      <w:r w:rsidRPr="00F601BE">
        <w:rPr>
          <w:rFonts w:ascii="Times New Roman" w:hAnsi="Times New Roman"/>
          <w:szCs w:val="24"/>
        </w:rPr>
        <w:t>notifications</w:t>
      </w:r>
      <w:r w:rsidRPr="0001734D">
        <w:rPr>
          <w:rFonts w:ascii="Times New Roman" w:hAnsi="Times New Roman"/>
          <w:snapToGrid/>
          <w:szCs w:val="24"/>
        </w:rPr>
        <w:t xml:space="preserve"> to the banking organization’s primary federal regulator on the banking organization’s behalf.  Moreover, a bank service provider as defined herein and in accordance with the Bank Service Company Act (BSCA)</w:t>
      </w:r>
      <w:r>
        <w:rPr>
          <w:rFonts w:ascii="Times New Roman" w:hAnsi="Times New Roman"/>
          <w:snapToGrid/>
          <w:szCs w:val="24"/>
          <w:vertAlign w:val="superscript"/>
        </w:rPr>
        <w:footnoteReference w:id="6"/>
      </w:r>
      <w:r w:rsidR="002D22A8">
        <w:rPr>
          <w:rFonts w:ascii="Times New Roman" w:hAnsi="Times New Roman"/>
          <w:snapToGrid/>
          <w:szCs w:val="24"/>
        </w:rPr>
        <w:t xml:space="preserve"> is</w:t>
      </w:r>
      <w:r w:rsidRPr="0001734D">
        <w:rPr>
          <w:rFonts w:ascii="Times New Roman" w:hAnsi="Times New Roman"/>
          <w:snapToGrid/>
          <w:szCs w:val="24"/>
        </w:rPr>
        <w:t xml:space="preserve"> required to notify affected banking organization customers within four hours of when it experiences a computer-security incident that it reasonably believes could disrupt, degrade, or impair services provided subject to the BSCA for four or more hours.  “Bank service providers” would include both bank service companies and third-party service providers, under the BSCA.</w:t>
      </w:r>
    </w:p>
    <w:p w:rsidR="009D2490" w:rsidRPr="00373ED8" w:rsidP="009D2490" w14:paraId="3807D096" w14:textId="77777777">
      <w:pPr>
        <w:ind w:left="1440"/>
        <w:rPr>
          <w:rFonts w:ascii="Times New Roman" w:hAnsi="Times New Roman"/>
        </w:rPr>
      </w:pPr>
    </w:p>
    <w:p w:rsidR="004D1876" w:rsidRPr="00373ED8" w:rsidP="00D00726" w14:paraId="1ED9D14D" w14:textId="77777777">
      <w:pPr>
        <w:rPr>
          <w:rFonts w:ascii="Times New Roman" w:hAnsi="Times New Roman"/>
        </w:rPr>
      </w:pPr>
      <w:r w:rsidRPr="00373ED8">
        <w:rPr>
          <w:rFonts w:ascii="Times New Roman" w:hAnsi="Times New Roman"/>
        </w:rPr>
        <w:t>2.</w:t>
      </w:r>
      <w:r w:rsidRPr="00373ED8">
        <w:rPr>
          <w:rFonts w:ascii="Times New Roman" w:hAnsi="Times New Roman"/>
        </w:rPr>
        <w:tab/>
      </w:r>
      <w:r w:rsidRPr="00373ED8">
        <w:rPr>
          <w:rFonts w:ascii="Times New Roman" w:hAnsi="Times New Roman"/>
          <w:u w:val="single"/>
        </w:rPr>
        <w:t>Use of the information:</w:t>
      </w:r>
    </w:p>
    <w:p w:rsidR="004D1876" w:rsidRPr="00373ED8" w:rsidP="004D1876" w14:paraId="253F4367" w14:textId="77777777">
      <w:pPr>
        <w:ind w:left="1440"/>
        <w:rPr>
          <w:rFonts w:ascii="Times New Roman" w:hAnsi="Times New Roman"/>
        </w:rPr>
      </w:pPr>
    </w:p>
    <w:p w:rsidR="004D1876" w:rsidP="00F601BE" w14:paraId="07098463" w14:textId="0AD23F7F">
      <w:pPr>
        <w:ind w:left="720"/>
        <w:rPr>
          <w:rFonts w:ascii="Times New Roman" w:hAnsi="Times New Roman"/>
        </w:rPr>
      </w:pPr>
      <w:r>
        <w:rPr>
          <w:rFonts w:ascii="Times New Roman" w:hAnsi="Times New Roman"/>
        </w:rPr>
        <w:t>The</w:t>
      </w:r>
      <w:r w:rsidRPr="00D00726" w:rsidR="00D00726">
        <w:rPr>
          <w:rFonts w:ascii="Times New Roman" w:hAnsi="Times New Roman"/>
        </w:rPr>
        <w:t xml:space="preserve"> notification requirement</w:t>
      </w:r>
      <w:r>
        <w:rPr>
          <w:rFonts w:ascii="Times New Roman" w:hAnsi="Times New Roman"/>
        </w:rPr>
        <w:t xml:space="preserve"> </w:t>
      </w:r>
      <w:r w:rsidRPr="00D00726" w:rsidR="00D00726">
        <w:rPr>
          <w:rFonts w:ascii="Times New Roman" w:hAnsi="Times New Roman"/>
        </w:rPr>
        <w:t xml:space="preserve">is intended to serve as an early alert to a banking organization’s primary federal regulator and is not intended to include an assessment of the incident.  </w:t>
      </w:r>
      <w:r w:rsidR="00C06EF0">
        <w:rPr>
          <w:rFonts w:ascii="Times New Roman" w:hAnsi="Times New Roman"/>
        </w:rPr>
        <w:t>Additionally</w:t>
      </w:r>
      <w:r w:rsidRPr="00D00726" w:rsidR="00D00726">
        <w:rPr>
          <w:rFonts w:ascii="Times New Roman" w:hAnsi="Times New Roman"/>
        </w:rPr>
        <w:t>, a bank se</w:t>
      </w:r>
      <w:r w:rsidR="00C06EF0">
        <w:rPr>
          <w:rFonts w:ascii="Times New Roman" w:hAnsi="Times New Roman"/>
        </w:rPr>
        <w:t>rvice provider as defined in the rule</w:t>
      </w:r>
      <w:r w:rsidRPr="00D00726" w:rsidR="00D00726">
        <w:rPr>
          <w:rFonts w:ascii="Times New Roman" w:hAnsi="Times New Roman"/>
        </w:rPr>
        <w:t xml:space="preserve"> and in accordance with the Bank Service Company Act (BSCA)</w:t>
      </w:r>
      <w:r>
        <w:rPr>
          <w:rFonts w:ascii="Times New Roman" w:hAnsi="Times New Roman"/>
          <w:vertAlign w:val="superscript"/>
        </w:rPr>
        <w:footnoteReference w:id="7"/>
      </w:r>
      <w:r w:rsidRPr="00D00726" w:rsidR="00D00726">
        <w:rPr>
          <w:rFonts w:ascii="Times New Roman" w:hAnsi="Times New Roman"/>
        </w:rPr>
        <w:t xml:space="preserve"> </w:t>
      </w:r>
      <w:r w:rsidR="00C06EF0">
        <w:rPr>
          <w:rFonts w:ascii="Times New Roman" w:hAnsi="Times New Roman"/>
        </w:rPr>
        <w:t>is</w:t>
      </w:r>
      <w:r w:rsidRPr="00D00726" w:rsidR="00D00726">
        <w:rPr>
          <w:rFonts w:ascii="Times New Roman" w:hAnsi="Times New Roman"/>
        </w:rPr>
        <w:t xml:space="preserve"> required to notify affected banking organization customers within four hours of when it experiences a computer-security incident that it reasonably believes could disrupt, degrade, or impair services provided subject to the BSCA for four or more hours.</w:t>
      </w:r>
    </w:p>
    <w:p w:rsidR="004D1876" w:rsidP="004D1876" w14:paraId="132885C3" w14:textId="77777777">
      <w:pPr>
        <w:ind w:left="2880"/>
        <w:rPr>
          <w:rFonts w:ascii="Times New Roman" w:hAnsi="Times New Roman"/>
        </w:rPr>
      </w:pPr>
    </w:p>
    <w:p w:rsidR="00731A90" w:rsidP="00540CBF" w14:paraId="14A03B5F" w14:textId="77777777">
      <w:pPr>
        <w:rPr>
          <w:rFonts w:ascii="Times New Roman" w:hAnsi="Times New Roman"/>
        </w:rPr>
      </w:pPr>
      <w:r>
        <w:rPr>
          <w:rFonts w:ascii="Times New Roman" w:hAnsi="Times New Roman"/>
        </w:rPr>
        <w:t>3.</w:t>
      </w:r>
      <w:r>
        <w:rPr>
          <w:rFonts w:ascii="Times New Roman" w:hAnsi="Times New Roman"/>
        </w:rPr>
        <w:tab/>
      </w:r>
      <w:r w:rsidRPr="00540CBF" w:rsidR="00D807AF">
        <w:rPr>
          <w:rFonts w:ascii="Times New Roman" w:hAnsi="Times New Roman"/>
          <w:u w:val="single"/>
        </w:rPr>
        <w:t>Consideration</w:t>
      </w:r>
      <w:r w:rsidRPr="00B662BE" w:rsidR="00D807AF">
        <w:rPr>
          <w:rFonts w:ascii="Times New Roman" w:hAnsi="Times New Roman"/>
          <w:bCs/>
          <w:szCs w:val="24"/>
          <w:u w:val="single"/>
        </w:rPr>
        <w:t xml:space="preserve"> of the use of improved information technology:</w:t>
      </w:r>
    </w:p>
    <w:p w:rsidR="00731A90" w14:paraId="62126175" w14:textId="77777777">
      <w:pPr>
        <w:rPr>
          <w:rFonts w:ascii="Times New Roman" w:hAnsi="Times New Roman"/>
        </w:rPr>
      </w:pPr>
    </w:p>
    <w:p w:rsidR="0077603D" w:rsidRPr="0077603D" w:rsidP="0037682F" w14:paraId="7631BD50" w14:textId="77777777">
      <w:pPr>
        <w:ind w:left="720"/>
        <w:rPr>
          <w:rFonts w:ascii="Times New Roman" w:hAnsi="Times New Roman"/>
          <w:snapToGrid/>
          <w:szCs w:val="24"/>
        </w:rPr>
      </w:pPr>
      <w:r w:rsidRPr="0037682F">
        <w:rPr>
          <w:rFonts w:ascii="Times New Roman" w:hAnsi="Times New Roman"/>
          <w:szCs w:val="24"/>
        </w:rPr>
        <w:t>Respondents</w:t>
      </w:r>
      <w:r w:rsidRPr="0077603D">
        <w:rPr>
          <w:rFonts w:ascii="Times New Roman" w:hAnsi="Times New Roman"/>
          <w:snapToGrid/>
          <w:szCs w:val="24"/>
        </w:rPr>
        <w:t xml:space="preserve"> may use any information technology that permits review by FDIC examiners.</w:t>
      </w:r>
    </w:p>
    <w:p w:rsidR="0077603D" w:rsidP="00B26610" w14:paraId="6D3890E8" w14:textId="77777777">
      <w:pPr>
        <w:ind w:left="1440"/>
        <w:rPr>
          <w:rFonts w:ascii="Times New Roman" w:hAnsi="Times New Roman"/>
          <w:color w:val="000000"/>
          <w:szCs w:val="24"/>
        </w:rPr>
      </w:pPr>
    </w:p>
    <w:p w:rsidR="00731A90" w:rsidP="00540CBF" w14:paraId="2E1C1562" w14:textId="77777777">
      <w:pPr>
        <w:rPr>
          <w:rFonts w:ascii="Times New Roman" w:hAnsi="Times New Roman"/>
        </w:rPr>
      </w:pPr>
      <w:r>
        <w:rPr>
          <w:rFonts w:ascii="Times New Roman" w:hAnsi="Times New Roman"/>
        </w:rPr>
        <w:t>4.</w:t>
      </w:r>
      <w:r>
        <w:rPr>
          <w:rFonts w:ascii="Times New Roman" w:hAnsi="Times New Roman"/>
        </w:rPr>
        <w:tab/>
      </w:r>
      <w:r w:rsidR="00D807AF">
        <w:rPr>
          <w:rFonts w:ascii="Times New Roman" w:hAnsi="Times New Roman"/>
          <w:u w:val="single"/>
        </w:rPr>
        <w:t>Efforts to identify d</w:t>
      </w:r>
      <w:r>
        <w:rPr>
          <w:rFonts w:ascii="Times New Roman" w:hAnsi="Times New Roman"/>
          <w:u w:val="single"/>
        </w:rPr>
        <w:t>uplication</w:t>
      </w:r>
      <w:r w:rsidR="008F53AC">
        <w:rPr>
          <w:rFonts w:ascii="Times New Roman" w:hAnsi="Times New Roman"/>
          <w:u w:val="single"/>
        </w:rPr>
        <w:t>:</w:t>
      </w:r>
    </w:p>
    <w:p w:rsidR="00731A90" w14:paraId="066D293F" w14:textId="77777777">
      <w:pPr>
        <w:rPr>
          <w:rFonts w:ascii="Times New Roman" w:hAnsi="Times New Roman"/>
        </w:rPr>
      </w:pPr>
    </w:p>
    <w:p w:rsidR="00AD4167" w:rsidP="0037682F" w14:paraId="24D404CB" w14:textId="77777777">
      <w:pPr>
        <w:ind w:left="720"/>
        <w:rPr>
          <w:rFonts w:ascii="Times New Roman" w:hAnsi="Times New Roman"/>
          <w:szCs w:val="24"/>
        </w:rPr>
      </w:pPr>
      <w:r w:rsidRPr="00D00726">
        <w:rPr>
          <w:rFonts w:ascii="Times New Roman" w:hAnsi="Times New Roman"/>
        </w:rPr>
        <w:t>Current</w:t>
      </w:r>
      <w:r w:rsidRPr="00B25DD3">
        <w:rPr>
          <w:rFonts w:ascii="Times New Roman" w:hAnsi="Times New Roman"/>
          <w:szCs w:val="24"/>
        </w:rPr>
        <w:t xml:space="preserve"> reporting requirements do not sufficiently comprehend the risks posed by notification</w:t>
      </w:r>
      <w:r w:rsidRPr="00B25DD3">
        <w:rPr>
          <w:rFonts w:ascii="Times New Roman" w:hAnsi="Times New Roman"/>
          <w:szCs w:val="24"/>
        </w:rPr>
        <w:t xml:space="preserve"> </w:t>
      </w:r>
      <w:r w:rsidRPr="00B25DD3">
        <w:rPr>
          <w:rFonts w:ascii="Times New Roman" w:hAnsi="Times New Roman"/>
          <w:szCs w:val="24"/>
        </w:rPr>
        <w:t>incidents.  For example, under certain circumstances, a banking organization that has been a victim of a notification</w:t>
      </w:r>
      <w:r w:rsidRPr="00B25DD3">
        <w:rPr>
          <w:rFonts w:ascii="Times New Roman" w:hAnsi="Times New Roman"/>
          <w:szCs w:val="24"/>
        </w:rPr>
        <w:t xml:space="preserve"> </w:t>
      </w:r>
      <w:r w:rsidRPr="00B25DD3">
        <w:rPr>
          <w:rFonts w:ascii="Times New Roman" w:hAnsi="Times New Roman"/>
          <w:szCs w:val="24"/>
        </w:rPr>
        <w:t>incident may have to file a Suspicious Activity Report (SAR) to identify suspicious activity that might signal criminal actions (</w:t>
      </w:r>
      <w:r w:rsidRPr="00B25DD3">
        <w:rPr>
          <w:rFonts w:ascii="Times New Roman" w:hAnsi="Times New Roman"/>
          <w:i/>
          <w:szCs w:val="24"/>
        </w:rPr>
        <w:t>e.g.</w:t>
      </w:r>
      <w:r w:rsidRPr="00B25DD3">
        <w:rPr>
          <w:rFonts w:ascii="Times New Roman" w:hAnsi="Times New Roman"/>
          <w:szCs w:val="24"/>
        </w:rPr>
        <w:t xml:space="preserve">, money laundering or tax evasion).  </w:t>
      </w:r>
      <w:r w:rsidRPr="00540CBF">
        <w:rPr>
          <w:rFonts w:ascii="Times New Roman" w:hAnsi="Times New Roman"/>
          <w:u w:val="single"/>
        </w:rPr>
        <w:t>However</w:t>
      </w:r>
      <w:r w:rsidRPr="00B25DD3">
        <w:rPr>
          <w:rFonts w:ascii="Times New Roman" w:hAnsi="Times New Roman"/>
          <w:szCs w:val="24"/>
        </w:rPr>
        <w:t xml:space="preserve">, information from SARs, when available, may not cover all computer-security incidents </w:t>
      </w:r>
      <w:r w:rsidRPr="00540CBF">
        <w:rPr>
          <w:rFonts w:ascii="Times New Roman" w:hAnsi="Times New Roman"/>
          <w:u w:val="single"/>
        </w:rPr>
        <w:t>impacting</w:t>
      </w:r>
      <w:r w:rsidRPr="00B25DD3">
        <w:rPr>
          <w:rFonts w:ascii="Times New Roman" w:hAnsi="Times New Roman"/>
          <w:szCs w:val="24"/>
        </w:rPr>
        <w:t xml:space="preserve"> operations, and those incidents that are reported are often not reported timely enough for the agencies to take steps to reduce risks to the banking organization or the financial sec</w:t>
      </w:r>
      <w:r w:rsidR="00C06EF0">
        <w:rPr>
          <w:rFonts w:ascii="Times New Roman" w:hAnsi="Times New Roman"/>
          <w:szCs w:val="24"/>
        </w:rPr>
        <w:t>tor, if necessary.  The</w:t>
      </w:r>
      <w:r w:rsidRPr="00B25DD3">
        <w:rPr>
          <w:rFonts w:ascii="Times New Roman" w:hAnsi="Times New Roman"/>
          <w:szCs w:val="24"/>
        </w:rPr>
        <w:t xml:space="preserve"> rule is narrowly focused to address the need for timely alerts of notification incidents without interfering with or expanding other applicable reporting requirements.</w:t>
      </w:r>
    </w:p>
    <w:p w:rsidR="00731A90" w14:paraId="74C8AE58" w14:textId="77777777">
      <w:pPr>
        <w:ind w:left="720"/>
        <w:rPr>
          <w:rFonts w:ascii="Times New Roman" w:hAnsi="Times New Roman"/>
        </w:rPr>
      </w:pPr>
    </w:p>
    <w:p w:rsidR="00731A90" w:rsidP="0037682F" w14:paraId="51D55490" w14:textId="77777777">
      <w:pPr>
        <w:ind w:left="720" w:hanging="720"/>
        <w:outlineLvl w:val="0"/>
        <w:rPr>
          <w:rFonts w:ascii="Times New Roman" w:hAnsi="Times New Roman"/>
          <w:u w:val="single"/>
        </w:rPr>
      </w:pPr>
      <w:r>
        <w:rPr>
          <w:rFonts w:ascii="Times New Roman" w:hAnsi="Times New Roman"/>
        </w:rPr>
        <w:t>5.</w:t>
      </w:r>
      <w:r>
        <w:rPr>
          <w:rFonts w:ascii="Times New Roman" w:hAnsi="Times New Roman"/>
        </w:rPr>
        <w:tab/>
      </w:r>
      <w:r w:rsidRPr="0037682F" w:rsidR="00D807AF">
        <w:rPr>
          <w:rFonts w:ascii="Times New Roman" w:hAnsi="Times New Roman"/>
          <w:szCs w:val="24"/>
          <w:u w:val="single"/>
        </w:rPr>
        <w:t>Methods</w:t>
      </w:r>
      <w:r w:rsidRPr="008873E8" w:rsidR="00D807AF">
        <w:rPr>
          <w:rFonts w:ascii="Times New Roman" w:hAnsi="Times New Roman"/>
          <w:bCs/>
          <w:szCs w:val="24"/>
          <w:u w:val="single"/>
        </w:rPr>
        <w:t xml:space="preserve"> used to minimize burden if the collection has a significant impact on a substantial number of small entities:</w:t>
      </w:r>
    </w:p>
    <w:p w:rsidR="00731A90" w14:paraId="0019F60D" w14:textId="77777777">
      <w:pPr>
        <w:ind w:left="1440"/>
        <w:rPr>
          <w:rFonts w:ascii="Times New Roman" w:hAnsi="Times New Roman"/>
        </w:rPr>
      </w:pPr>
    </w:p>
    <w:p w:rsidR="00714873" w:rsidRPr="005D1420" w:rsidP="0037682F" w14:paraId="7F010D1D" w14:textId="77777777">
      <w:pPr>
        <w:ind w:left="720"/>
        <w:rPr>
          <w:rFonts w:ascii="Times New Roman" w:hAnsi="Times New Roman"/>
          <w:color w:val="1F497D"/>
        </w:rPr>
      </w:pPr>
      <w:r w:rsidRPr="005D1420">
        <w:rPr>
          <w:rFonts w:ascii="Times New Roman" w:hAnsi="Times New Roman"/>
        </w:rPr>
        <w:t xml:space="preserve">This </w:t>
      </w:r>
      <w:r w:rsidR="00E34CD4">
        <w:rPr>
          <w:rFonts w:ascii="Times New Roman" w:hAnsi="Times New Roman"/>
        </w:rPr>
        <w:t xml:space="preserve"> information</w:t>
      </w:r>
      <w:r w:rsidR="00E34CD4">
        <w:rPr>
          <w:rFonts w:ascii="Times New Roman" w:hAnsi="Times New Roman"/>
        </w:rPr>
        <w:t xml:space="preserve"> </w:t>
      </w:r>
      <w:r w:rsidRPr="00F601BE">
        <w:rPr>
          <w:rFonts w:ascii="Times New Roman" w:hAnsi="Times New Roman"/>
        </w:rPr>
        <w:t>collection</w:t>
      </w:r>
      <w:r w:rsidR="00E34CD4">
        <w:rPr>
          <w:rFonts w:ascii="Times New Roman" w:hAnsi="Times New Roman"/>
        </w:rPr>
        <w:t xml:space="preserve"> would </w:t>
      </w:r>
      <w:r w:rsidRPr="005D1420">
        <w:rPr>
          <w:rFonts w:ascii="Times New Roman" w:hAnsi="Times New Roman"/>
        </w:rPr>
        <w:t xml:space="preserve">not have a significant impact on a substantial number of </w:t>
      </w:r>
      <w:r w:rsidRPr="0037682F">
        <w:rPr>
          <w:rFonts w:ascii="Times New Roman" w:hAnsi="Times New Roman"/>
          <w:szCs w:val="24"/>
        </w:rPr>
        <w:t>small</w:t>
      </w:r>
      <w:r w:rsidRPr="005D1420">
        <w:rPr>
          <w:rFonts w:ascii="Times New Roman" w:hAnsi="Times New Roman"/>
        </w:rPr>
        <w:t xml:space="preserve"> entities.</w:t>
      </w:r>
    </w:p>
    <w:p w:rsidR="00714873" w:rsidP="00BF48CF" w14:paraId="6660FACF" w14:textId="77777777">
      <w:pPr>
        <w:ind w:left="1440"/>
        <w:rPr>
          <w:rFonts w:ascii="Times New Roman" w:hAnsi="Times New Roman"/>
          <w:szCs w:val="24"/>
        </w:rPr>
      </w:pPr>
    </w:p>
    <w:p w:rsidR="00731A90" w:rsidP="00D34AFE" w14:paraId="3182C69E" w14:textId="77777777">
      <w:pPr>
        <w:rPr>
          <w:rFonts w:ascii="Times New Roman" w:hAnsi="Times New Roman"/>
        </w:rPr>
      </w:pPr>
      <w:r>
        <w:rPr>
          <w:rFonts w:ascii="Times New Roman" w:hAnsi="Times New Roman"/>
        </w:rPr>
        <w:t>6.</w:t>
      </w:r>
      <w:r>
        <w:rPr>
          <w:rFonts w:ascii="Times New Roman" w:hAnsi="Times New Roman"/>
        </w:rPr>
        <w:tab/>
      </w:r>
      <w:r w:rsidRPr="00D34AFE">
        <w:rPr>
          <w:rFonts w:ascii="Times New Roman" w:hAnsi="Times New Roman"/>
          <w:u w:val="single"/>
        </w:rPr>
        <w:t>C</w:t>
      </w:r>
      <w:r w:rsidRPr="008873E8" w:rsidR="00D807AF">
        <w:rPr>
          <w:rFonts w:ascii="Times New Roman" w:hAnsi="Times New Roman"/>
          <w:bCs/>
          <w:szCs w:val="24"/>
          <w:u w:val="single"/>
        </w:rPr>
        <w:t>onsequences to the Federal program if the collection were conducted less frequently:</w:t>
      </w:r>
    </w:p>
    <w:p w:rsidR="00731A90" w:rsidP="00BF48CF" w14:paraId="010A7910" w14:textId="77777777">
      <w:pPr>
        <w:ind w:left="1440"/>
        <w:rPr>
          <w:rFonts w:ascii="Times New Roman" w:hAnsi="Times New Roman"/>
        </w:rPr>
      </w:pPr>
    </w:p>
    <w:p w:rsidR="00BF48CF" w:rsidP="0037682F" w14:paraId="09D3103D" w14:textId="77777777">
      <w:pPr>
        <w:ind w:left="720"/>
        <w:rPr>
          <w:rFonts w:ascii="Times New Roman" w:hAnsi="Times New Roman"/>
          <w:szCs w:val="24"/>
          <w:u w:val="single"/>
        </w:rPr>
      </w:pPr>
      <w:r>
        <w:rPr>
          <w:rFonts w:ascii="Times New Roman" w:hAnsi="Times New Roman"/>
          <w:szCs w:val="24"/>
        </w:rPr>
        <w:t xml:space="preserve">Less frequent collection </w:t>
      </w:r>
      <w:r w:rsidR="00D34AFE">
        <w:rPr>
          <w:rFonts w:ascii="Times New Roman" w:hAnsi="Times New Roman"/>
          <w:szCs w:val="24"/>
        </w:rPr>
        <w:t>c</w:t>
      </w:r>
      <w:r>
        <w:rPr>
          <w:rFonts w:ascii="Times New Roman" w:hAnsi="Times New Roman"/>
          <w:szCs w:val="24"/>
        </w:rPr>
        <w:t xml:space="preserve">ould result in </w:t>
      </w:r>
      <w:r w:rsidRPr="00D34AFE" w:rsidR="00D34AFE">
        <w:rPr>
          <w:rFonts w:ascii="Times New Roman" w:hAnsi="Times New Roman"/>
          <w:szCs w:val="24"/>
        </w:rPr>
        <w:t xml:space="preserve">incidents not </w:t>
      </w:r>
      <w:r w:rsidR="00D34AFE">
        <w:rPr>
          <w:rFonts w:ascii="Times New Roman" w:hAnsi="Times New Roman"/>
          <w:szCs w:val="24"/>
        </w:rPr>
        <w:t xml:space="preserve">being </w:t>
      </w:r>
      <w:r w:rsidRPr="00D34AFE" w:rsidR="00D34AFE">
        <w:rPr>
          <w:rFonts w:ascii="Times New Roman" w:hAnsi="Times New Roman"/>
          <w:szCs w:val="24"/>
        </w:rPr>
        <w:t xml:space="preserve">reported </w:t>
      </w:r>
      <w:r w:rsidR="00E255C2">
        <w:rPr>
          <w:rFonts w:ascii="Times New Roman" w:hAnsi="Times New Roman"/>
          <w:szCs w:val="24"/>
        </w:rPr>
        <w:t xml:space="preserve">in a </w:t>
      </w:r>
      <w:r w:rsidRPr="00D34AFE" w:rsidR="00D34AFE">
        <w:rPr>
          <w:rFonts w:ascii="Times New Roman" w:hAnsi="Times New Roman"/>
          <w:szCs w:val="24"/>
        </w:rPr>
        <w:t xml:space="preserve">timely </w:t>
      </w:r>
      <w:r w:rsidR="00E255C2">
        <w:rPr>
          <w:rFonts w:ascii="Times New Roman" w:hAnsi="Times New Roman"/>
          <w:szCs w:val="24"/>
        </w:rPr>
        <w:t>manner</w:t>
      </w:r>
      <w:r w:rsidRPr="00D34AFE" w:rsidR="00D34AFE">
        <w:rPr>
          <w:rFonts w:ascii="Times New Roman" w:hAnsi="Times New Roman"/>
          <w:szCs w:val="24"/>
        </w:rPr>
        <w:t xml:space="preserve"> </w:t>
      </w:r>
      <w:r w:rsidR="00E255C2">
        <w:rPr>
          <w:rFonts w:ascii="Times New Roman" w:hAnsi="Times New Roman"/>
          <w:szCs w:val="24"/>
        </w:rPr>
        <w:t xml:space="preserve">and could hinder </w:t>
      </w:r>
      <w:r w:rsidRPr="00D34AFE" w:rsidR="00D34AFE">
        <w:rPr>
          <w:rFonts w:ascii="Times New Roman" w:hAnsi="Times New Roman"/>
          <w:szCs w:val="24"/>
        </w:rPr>
        <w:t>the agencies</w:t>
      </w:r>
      <w:r w:rsidR="00E255C2">
        <w:rPr>
          <w:rFonts w:ascii="Times New Roman" w:hAnsi="Times New Roman"/>
          <w:szCs w:val="24"/>
        </w:rPr>
        <w:t xml:space="preserve">’ ability </w:t>
      </w:r>
      <w:r w:rsidRPr="00D34AFE" w:rsidR="00E255C2">
        <w:rPr>
          <w:rFonts w:ascii="Times New Roman" w:hAnsi="Times New Roman"/>
          <w:szCs w:val="24"/>
        </w:rPr>
        <w:t>to</w:t>
      </w:r>
      <w:r w:rsidRPr="00D34AFE" w:rsidR="00D34AFE">
        <w:rPr>
          <w:rFonts w:ascii="Times New Roman" w:hAnsi="Times New Roman"/>
          <w:szCs w:val="24"/>
        </w:rPr>
        <w:t xml:space="preserve"> take steps to reduce risks to banking organization</w:t>
      </w:r>
      <w:r w:rsidR="00D34AFE">
        <w:rPr>
          <w:rFonts w:ascii="Times New Roman" w:hAnsi="Times New Roman"/>
          <w:szCs w:val="24"/>
        </w:rPr>
        <w:t>s</w:t>
      </w:r>
      <w:r w:rsidRPr="00D34AFE" w:rsidR="00D34AFE">
        <w:rPr>
          <w:rFonts w:ascii="Times New Roman" w:hAnsi="Times New Roman"/>
          <w:szCs w:val="24"/>
        </w:rPr>
        <w:t xml:space="preserve"> </w:t>
      </w:r>
      <w:r w:rsidR="00E255C2">
        <w:rPr>
          <w:rFonts w:ascii="Times New Roman" w:hAnsi="Times New Roman"/>
          <w:szCs w:val="24"/>
        </w:rPr>
        <w:t>or to t</w:t>
      </w:r>
      <w:r w:rsidRPr="00D34AFE" w:rsidR="00D34AFE">
        <w:rPr>
          <w:rFonts w:ascii="Times New Roman" w:hAnsi="Times New Roman"/>
          <w:szCs w:val="24"/>
        </w:rPr>
        <w:t>he</w:t>
      </w:r>
      <w:r w:rsidR="00E255C2">
        <w:rPr>
          <w:rFonts w:ascii="Times New Roman" w:hAnsi="Times New Roman"/>
          <w:szCs w:val="24"/>
        </w:rPr>
        <w:t xml:space="preserve"> financial sector</w:t>
      </w:r>
      <w:r>
        <w:rPr>
          <w:rFonts w:ascii="Times New Roman" w:hAnsi="Times New Roman"/>
          <w:szCs w:val="24"/>
        </w:rPr>
        <w:t xml:space="preserve">. </w:t>
      </w:r>
    </w:p>
    <w:p w:rsidR="00731A90" w14:paraId="0122BB33" w14:textId="77777777">
      <w:pPr>
        <w:rPr>
          <w:rFonts w:ascii="Times New Roman" w:hAnsi="Times New Roman"/>
        </w:rPr>
      </w:pPr>
    </w:p>
    <w:p w:rsidR="00D807AF" w:rsidRPr="001F2A5D" w:rsidP="00E255C2" w14:paraId="2C7433A3" w14:textId="77777777">
      <w:pPr>
        <w:rPr>
          <w:rFonts w:ascii="Times New Roman" w:hAnsi="Times New Roman"/>
          <w:szCs w:val="24"/>
        </w:rPr>
      </w:pPr>
      <w:r>
        <w:rPr>
          <w:rFonts w:ascii="Times New Roman" w:hAnsi="Times New Roman"/>
        </w:rPr>
        <w:t>7.</w:t>
      </w:r>
      <w:r>
        <w:rPr>
          <w:rFonts w:ascii="Times New Roman" w:hAnsi="Times New Roman"/>
        </w:rPr>
        <w:tab/>
      </w:r>
      <w:r w:rsidRPr="008873E8">
        <w:rPr>
          <w:rFonts w:ascii="Times New Roman" w:hAnsi="Times New Roman"/>
          <w:bCs/>
          <w:szCs w:val="24"/>
          <w:u w:val="single"/>
        </w:rPr>
        <w:t>Special circumstances necessitating collection inconsistent with 5 CFR Part 1320.5(d)(2):</w:t>
      </w:r>
      <w:r>
        <w:rPr>
          <w:rFonts w:ascii="Times New Roman" w:hAnsi="Times New Roman"/>
          <w:bCs/>
          <w:szCs w:val="24"/>
          <w:u w:val="single"/>
        </w:rPr>
        <w:t xml:space="preserve"> </w:t>
      </w:r>
    </w:p>
    <w:p w:rsidR="00731A90" w14:paraId="00EDB479" w14:textId="77777777">
      <w:pPr>
        <w:rPr>
          <w:rFonts w:ascii="Times New Roman" w:hAnsi="Times New Roman"/>
        </w:rPr>
      </w:pPr>
    </w:p>
    <w:p w:rsidR="00D807AF" w:rsidP="0037682F" w14:paraId="3A31286D" w14:textId="77777777">
      <w:pPr>
        <w:ind w:left="720"/>
        <w:rPr>
          <w:szCs w:val="24"/>
        </w:rPr>
      </w:pPr>
      <w:r w:rsidRPr="0037682F">
        <w:rPr>
          <w:rFonts w:ascii="Times New Roman" w:hAnsi="Times New Roman"/>
          <w:szCs w:val="24"/>
        </w:rPr>
        <w:t>There are no special circumstances. This information collection is conducted in accordance with the guidelines in 5 CFR 1320.5(d)(2).</w:t>
      </w:r>
      <w:r w:rsidRPr="001F2A5D">
        <w:rPr>
          <w:szCs w:val="24"/>
        </w:rPr>
        <w:t xml:space="preserve"> </w:t>
      </w:r>
    </w:p>
    <w:p w:rsidR="00731A90" w14:paraId="0AE8A65C" w14:textId="77777777">
      <w:pPr>
        <w:rPr>
          <w:rFonts w:ascii="Times New Roman" w:hAnsi="Times New Roman"/>
        </w:rPr>
      </w:pPr>
    </w:p>
    <w:p w:rsidR="00D807AF" w:rsidRPr="001F2A5D" w:rsidP="00E255C2" w14:paraId="1A42BE50" w14:textId="77777777">
      <w:pPr>
        <w:rPr>
          <w:rFonts w:ascii="Times New Roman" w:hAnsi="Times New Roman"/>
          <w:szCs w:val="24"/>
        </w:rPr>
      </w:pPr>
      <w:r>
        <w:rPr>
          <w:rFonts w:ascii="Times New Roman" w:hAnsi="Times New Roman"/>
        </w:rPr>
        <w:t>8.</w:t>
      </w:r>
      <w:r>
        <w:rPr>
          <w:rFonts w:ascii="Times New Roman" w:hAnsi="Times New Roman"/>
        </w:rPr>
        <w:tab/>
      </w:r>
      <w:r w:rsidRPr="008873E8">
        <w:rPr>
          <w:rFonts w:ascii="Times New Roman" w:hAnsi="Times New Roman"/>
          <w:bCs/>
          <w:szCs w:val="24"/>
          <w:u w:val="single"/>
        </w:rPr>
        <w:t>Efforts to consult with persons outside the agency:</w:t>
      </w:r>
    </w:p>
    <w:p w:rsidR="00731A90" w:rsidP="00D807AF" w14:paraId="0D8BC0F5" w14:textId="77777777">
      <w:pPr>
        <w:ind w:firstLine="720"/>
        <w:rPr>
          <w:rFonts w:ascii="Times New Roman" w:hAnsi="Times New Roman"/>
        </w:rPr>
      </w:pPr>
    </w:p>
    <w:p w:rsidR="00731A90" w:rsidP="0037682F" w14:paraId="45762BD4" w14:textId="4890EBDE">
      <w:pPr>
        <w:ind w:left="720"/>
        <w:rPr>
          <w:rFonts w:ascii="Times New Roman" w:eastAsia="Calibri" w:hAnsi="Times New Roman"/>
          <w:snapToGrid/>
          <w:szCs w:val="24"/>
        </w:rPr>
      </w:pPr>
      <w:r w:rsidRPr="000712DC">
        <w:rPr>
          <w:rFonts w:ascii="Times New Roman" w:eastAsia="Calibri" w:hAnsi="Times New Roman"/>
          <w:snapToGrid/>
          <w:szCs w:val="24"/>
        </w:rPr>
        <w:t xml:space="preserve">On </w:t>
      </w:r>
      <w:r w:rsidR="003D21CE">
        <w:rPr>
          <w:rFonts w:ascii="Times New Roman" w:eastAsia="Calibri" w:hAnsi="Times New Roman"/>
          <w:snapToGrid/>
          <w:szCs w:val="24"/>
        </w:rPr>
        <w:t>November 5, 2024</w:t>
      </w:r>
      <w:r w:rsidR="00C8488C">
        <w:rPr>
          <w:rFonts w:ascii="Times New Roman" w:eastAsia="Calibri" w:hAnsi="Times New Roman"/>
          <w:snapToGrid/>
          <w:szCs w:val="24"/>
        </w:rPr>
        <w:t>, the agencies published a notice in the Federal Register (8</w:t>
      </w:r>
      <w:r w:rsidR="003D21CE">
        <w:rPr>
          <w:rFonts w:ascii="Times New Roman" w:eastAsia="Calibri" w:hAnsi="Times New Roman"/>
          <w:snapToGrid/>
          <w:szCs w:val="24"/>
        </w:rPr>
        <w:t>9</w:t>
      </w:r>
      <w:r w:rsidR="00C8488C">
        <w:rPr>
          <w:rFonts w:ascii="Times New Roman" w:eastAsia="Calibri" w:hAnsi="Times New Roman"/>
          <w:snapToGrid/>
          <w:szCs w:val="24"/>
        </w:rPr>
        <w:t xml:space="preserve"> FR </w:t>
      </w:r>
      <w:r w:rsidR="003D21CE">
        <w:rPr>
          <w:rFonts w:ascii="Times New Roman" w:eastAsia="Calibri" w:hAnsi="Times New Roman"/>
          <w:snapToGrid/>
          <w:szCs w:val="24"/>
        </w:rPr>
        <w:t>87877</w:t>
      </w:r>
      <w:r w:rsidR="00C8488C">
        <w:rPr>
          <w:rFonts w:ascii="Times New Roman" w:eastAsia="Calibri" w:hAnsi="Times New Roman"/>
          <w:snapToGrid/>
          <w:szCs w:val="24"/>
        </w:rPr>
        <w:t xml:space="preserve">) requesting comment </w:t>
      </w:r>
      <w:r w:rsidR="003D21CE">
        <w:rPr>
          <w:rFonts w:ascii="Times New Roman" w:eastAsia="Calibri" w:hAnsi="Times New Roman"/>
          <w:snapToGrid/>
          <w:szCs w:val="24"/>
        </w:rPr>
        <w:t xml:space="preserve">for a period of 60 days </w:t>
      </w:r>
      <w:r w:rsidR="00C8488C">
        <w:rPr>
          <w:rFonts w:ascii="Times New Roman" w:eastAsia="Calibri" w:hAnsi="Times New Roman"/>
          <w:snapToGrid/>
          <w:szCs w:val="24"/>
        </w:rPr>
        <w:t xml:space="preserve">on the </w:t>
      </w:r>
      <w:r w:rsidR="003D21CE">
        <w:rPr>
          <w:rFonts w:ascii="Times New Roman" w:eastAsia="Calibri" w:hAnsi="Times New Roman"/>
          <w:snapToGrid/>
          <w:szCs w:val="24"/>
        </w:rPr>
        <w:t xml:space="preserve">proposed renewal of this </w:t>
      </w:r>
      <w:r w:rsidR="00C8488C">
        <w:rPr>
          <w:rFonts w:ascii="Times New Roman" w:eastAsia="Calibri" w:hAnsi="Times New Roman"/>
          <w:snapToGrid/>
          <w:szCs w:val="24"/>
        </w:rPr>
        <w:t>information collection</w:t>
      </w:r>
      <w:r w:rsidR="00C06EF0">
        <w:rPr>
          <w:rFonts w:ascii="Times New Roman" w:eastAsia="Calibri" w:hAnsi="Times New Roman"/>
          <w:snapToGrid/>
          <w:szCs w:val="24"/>
        </w:rPr>
        <w:t xml:space="preserve">.  </w:t>
      </w:r>
      <w:r w:rsidR="003D21CE">
        <w:rPr>
          <w:rFonts w:ascii="Times New Roman" w:eastAsia="Calibri" w:hAnsi="Times New Roman"/>
          <w:snapToGrid/>
          <w:szCs w:val="24"/>
        </w:rPr>
        <w:t>No comments were received.</w:t>
      </w:r>
    </w:p>
    <w:p w:rsidR="00FC1474" w:rsidP="00C8488C" w14:paraId="617C4007" w14:textId="77777777">
      <w:pPr>
        <w:widowControl/>
        <w:autoSpaceDE w:val="0"/>
        <w:autoSpaceDN w:val="0"/>
        <w:adjustRightInd w:val="0"/>
        <w:rPr>
          <w:rFonts w:ascii="Times New Roman" w:eastAsia="Calibri" w:hAnsi="Times New Roman"/>
          <w:snapToGrid/>
          <w:szCs w:val="24"/>
        </w:rPr>
      </w:pPr>
    </w:p>
    <w:p w:rsidR="00FC1474" w:rsidRPr="00FC1474" w:rsidP="00FC1474" w14:paraId="76B1287A" w14:textId="77777777">
      <w:pPr>
        <w:widowControl/>
        <w:autoSpaceDE w:val="0"/>
        <w:autoSpaceDN w:val="0"/>
        <w:adjustRightInd w:val="0"/>
        <w:rPr>
          <w:rFonts w:ascii="Times New Roman" w:hAnsi="Times New Roman"/>
        </w:rPr>
      </w:pPr>
      <w:r>
        <w:rPr>
          <w:rFonts w:ascii="Times New Roman" w:hAnsi="Times New Roman"/>
        </w:rPr>
        <w:t>9.</w:t>
      </w:r>
      <w:r>
        <w:rPr>
          <w:rFonts w:ascii="Times New Roman" w:hAnsi="Times New Roman"/>
        </w:rPr>
        <w:tab/>
      </w:r>
      <w:r w:rsidRPr="00FC1474">
        <w:rPr>
          <w:rFonts w:ascii="Times New Roman" w:hAnsi="Times New Roman"/>
          <w:u w:val="single"/>
        </w:rPr>
        <w:t>Payment or Gift to Respondents</w:t>
      </w:r>
    </w:p>
    <w:p w:rsidR="00FC1474" w:rsidRPr="00FC1474" w:rsidP="00FC1474" w14:paraId="056ACBA8" w14:textId="77777777">
      <w:pPr>
        <w:widowControl/>
        <w:autoSpaceDE w:val="0"/>
        <w:autoSpaceDN w:val="0"/>
        <w:adjustRightInd w:val="0"/>
        <w:rPr>
          <w:rFonts w:ascii="Times New Roman" w:hAnsi="Times New Roman"/>
        </w:rPr>
      </w:pPr>
    </w:p>
    <w:p w:rsidR="00FC1474" w:rsidP="0037682F" w14:paraId="6D139EE8" w14:textId="77777777">
      <w:pPr>
        <w:ind w:left="720"/>
        <w:rPr>
          <w:rFonts w:ascii="Times New Roman" w:hAnsi="Times New Roman"/>
        </w:rPr>
      </w:pPr>
      <w:r w:rsidRPr="00FC1474">
        <w:rPr>
          <w:rFonts w:ascii="Times New Roman" w:hAnsi="Times New Roman"/>
        </w:rPr>
        <w:t xml:space="preserve"> </w:t>
      </w:r>
      <w:r w:rsidRPr="0037682F">
        <w:rPr>
          <w:rFonts w:ascii="Times New Roman" w:eastAsia="Calibri" w:hAnsi="Times New Roman"/>
          <w:snapToGrid/>
          <w:szCs w:val="24"/>
        </w:rPr>
        <w:t>None</w:t>
      </w:r>
      <w:r w:rsidRPr="00FC1474">
        <w:rPr>
          <w:rFonts w:ascii="Times New Roman" w:hAnsi="Times New Roman"/>
        </w:rPr>
        <w:t>.</w:t>
      </w:r>
    </w:p>
    <w:p w:rsidR="00FC1474" w14:paraId="24C410EF" w14:textId="77777777">
      <w:pPr>
        <w:rPr>
          <w:rFonts w:ascii="Times New Roman" w:hAnsi="Times New Roman"/>
        </w:rPr>
      </w:pPr>
    </w:p>
    <w:p w:rsidR="00731A90" w:rsidP="00C8488C" w14:paraId="10CA74F9" w14:textId="77777777">
      <w:pPr>
        <w:rPr>
          <w:rFonts w:ascii="Times New Roman" w:hAnsi="Times New Roman"/>
        </w:rPr>
      </w:pPr>
      <w:r>
        <w:rPr>
          <w:rFonts w:ascii="Times New Roman" w:hAnsi="Times New Roman"/>
        </w:rPr>
        <w:t>10.</w:t>
      </w:r>
      <w:r>
        <w:rPr>
          <w:rFonts w:ascii="Times New Roman" w:hAnsi="Times New Roman"/>
        </w:rPr>
        <w:tab/>
      </w:r>
      <w:r w:rsidRPr="00647F97" w:rsidR="00D807AF">
        <w:rPr>
          <w:rFonts w:ascii="Times New Roman TUR" w:hAnsi="Times New Roman TUR" w:cs="Times New Roman TUR"/>
          <w:bCs/>
          <w:u w:val="single"/>
        </w:rPr>
        <w:t>Any assurance of confidentiality:</w:t>
      </w:r>
    </w:p>
    <w:p w:rsidR="00731A90" w14:paraId="41F62742" w14:textId="77777777">
      <w:pPr>
        <w:rPr>
          <w:rFonts w:ascii="Times New Roman" w:hAnsi="Times New Roman"/>
        </w:rPr>
      </w:pPr>
    </w:p>
    <w:p w:rsidR="0077603D" w:rsidRPr="00A658D8" w:rsidP="0037682F" w14:paraId="1B4CEEAA" w14:textId="77777777">
      <w:pPr>
        <w:ind w:left="720"/>
        <w:rPr>
          <w:rFonts w:ascii="Times New Roman" w:hAnsi="Times New Roman"/>
          <w:szCs w:val="24"/>
          <w:u w:val="single"/>
        </w:rPr>
      </w:pPr>
      <w:r w:rsidRPr="0037682F">
        <w:rPr>
          <w:rFonts w:ascii="Times New Roman" w:eastAsia="Calibri" w:hAnsi="Times New Roman"/>
          <w:snapToGrid/>
          <w:szCs w:val="24"/>
        </w:rPr>
        <w:t>Information</w:t>
      </w:r>
      <w:r>
        <w:rPr>
          <w:rFonts w:ascii="Times New Roman" w:hAnsi="Times New Roman"/>
          <w:szCs w:val="24"/>
        </w:rPr>
        <w:t xml:space="preserve"> will be kep</w:t>
      </w:r>
      <w:r w:rsidR="00FC1474">
        <w:rPr>
          <w:rFonts w:ascii="Times New Roman" w:hAnsi="Times New Roman"/>
          <w:szCs w:val="24"/>
        </w:rPr>
        <w:t>t</w:t>
      </w:r>
      <w:r>
        <w:rPr>
          <w:rFonts w:ascii="Times New Roman" w:hAnsi="Times New Roman"/>
          <w:szCs w:val="24"/>
        </w:rPr>
        <w:t xml:space="preserve"> private to the extent allowed by law.</w:t>
      </w:r>
      <w:r w:rsidRPr="00A658D8">
        <w:rPr>
          <w:rFonts w:ascii="Times New Roman" w:hAnsi="Times New Roman"/>
          <w:szCs w:val="24"/>
        </w:rPr>
        <w:t xml:space="preserve"> </w:t>
      </w:r>
    </w:p>
    <w:p w:rsidR="00FC1474" w14:paraId="716CA182" w14:textId="77777777">
      <w:pPr>
        <w:ind w:firstLine="720"/>
        <w:rPr>
          <w:rFonts w:ascii="Times New Roman" w:hAnsi="Times New Roman"/>
        </w:rPr>
      </w:pPr>
    </w:p>
    <w:p w:rsidR="00731A90" w:rsidP="00FC1474" w14:paraId="6F7CE971" w14:textId="77777777">
      <w:pPr>
        <w:rPr>
          <w:rFonts w:ascii="Times New Roman" w:hAnsi="Times New Roman"/>
        </w:rPr>
      </w:pPr>
      <w:r>
        <w:rPr>
          <w:rFonts w:ascii="Times New Roman" w:hAnsi="Times New Roman"/>
        </w:rPr>
        <w:t>11.</w:t>
      </w:r>
      <w:r>
        <w:rPr>
          <w:rFonts w:ascii="Times New Roman" w:hAnsi="Times New Roman"/>
        </w:rPr>
        <w:tab/>
      </w:r>
      <w:r w:rsidRPr="00647F97" w:rsidR="00D807AF">
        <w:rPr>
          <w:rFonts w:ascii="Times New Roman TUR" w:hAnsi="Times New Roman TUR" w:cs="Times New Roman TUR"/>
          <w:bCs/>
          <w:u w:val="single"/>
        </w:rPr>
        <w:t>Justification for questions of a sensitive nature:</w:t>
      </w:r>
    </w:p>
    <w:p w:rsidR="00731A90" w14:paraId="26147F93" w14:textId="77777777">
      <w:pPr>
        <w:rPr>
          <w:rFonts w:ascii="Times New Roman" w:hAnsi="Times New Roman"/>
        </w:rPr>
      </w:pPr>
    </w:p>
    <w:p w:rsidR="00731A90" w:rsidP="0037682F" w14:paraId="7B6EF70D" w14:textId="77777777">
      <w:pPr>
        <w:ind w:left="720"/>
        <w:rPr>
          <w:rFonts w:ascii="Times New Roman" w:hAnsi="Times New Roman"/>
        </w:rPr>
      </w:pPr>
      <w:r>
        <w:rPr>
          <w:rFonts w:ascii="Times New Roman" w:hAnsi="Times New Roman"/>
        </w:rPr>
        <w:t xml:space="preserve">No </w:t>
      </w:r>
      <w:r w:rsidRPr="0037682F">
        <w:rPr>
          <w:rFonts w:ascii="Times New Roman" w:eastAsia="Calibri" w:hAnsi="Times New Roman"/>
          <w:snapToGrid/>
          <w:szCs w:val="24"/>
        </w:rPr>
        <w:t>sensitive</w:t>
      </w:r>
      <w:r>
        <w:rPr>
          <w:rFonts w:ascii="Times New Roman" w:hAnsi="Times New Roman"/>
        </w:rPr>
        <w:t xml:space="preserve"> information is to be collected</w:t>
      </w:r>
      <w:r>
        <w:rPr>
          <w:rFonts w:ascii="Times New Roman" w:hAnsi="Times New Roman"/>
        </w:rPr>
        <w:t xml:space="preserve">. </w:t>
      </w:r>
    </w:p>
    <w:p w:rsidR="009E7B87" w:rsidP="009E7B87" w14:paraId="6B08A6F4" w14:textId="77777777">
      <w:pPr>
        <w:ind w:left="1440"/>
        <w:rPr>
          <w:rFonts w:ascii="Times New Roman" w:hAnsi="Times New Roman"/>
        </w:rPr>
      </w:pPr>
    </w:p>
    <w:p w:rsidR="00731A90" w:rsidP="00FC1474" w14:paraId="45F9DAF2" w14:textId="77777777">
      <w:pPr>
        <w:rPr>
          <w:rFonts w:ascii="Times New Roman" w:hAnsi="Times New Roman"/>
          <w:szCs w:val="24"/>
          <w:u w:val="single"/>
        </w:rPr>
      </w:pPr>
      <w:r w:rsidRPr="008F53AC">
        <w:rPr>
          <w:rFonts w:ascii="Times New Roman" w:hAnsi="Times New Roman"/>
        </w:rPr>
        <w:t>12.</w:t>
      </w:r>
      <w:r w:rsidRPr="008F53AC">
        <w:rPr>
          <w:rFonts w:ascii="Times New Roman" w:hAnsi="Times New Roman"/>
        </w:rPr>
        <w:tab/>
      </w:r>
      <w:r w:rsidRPr="008F53AC" w:rsidR="009F4532">
        <w:rPr>
          <w:rFonts w:ascii="Times New Roman" w:hAnsi="Times New Roman"/>
          <w:szCs w:val="24"/>
          <w:u w:val="single"/>
        </w:rPr>
        <w:t>Estimate of hour burden including annualized hourly costs:</w:t>
      </w:r>
    </w:p>
    <w:p w:rsidR="009778B4" w14:paraId="1D515CF1" w14:textId="77777777">
      <w:pPr>
        <w:ind w:firstLine="720"/>
        <w:rPr>
          <w:rFonts w:ascii="Times New Roman" w:hAnsi="Times New Roman"/>
          <w:szCs w:val="24"/>
          <w:u w:val="single"/>
        </w:rPr>
      </w:pPr>
    </w:p>
    <w:p w:rsidR="007C3CA6" w:rsidRPr="007C3CA6" w:rsidP="0000073B" w14:paraId="4626B534" w14:textId="77777777">
      <w:pPr>
        <w:suppressAutoHyphens/>
        <w:autoSpaceDE w:val="0"/>
        <w:autoSpaceDN w:val="0"/>
        <w:spacing w:after="240" w:line="260" w:lineRule="exact"/>
        <w:ind w:firstLine="720"/>
        <w:rPr>
          <w:rFonts w:ascii="Times New Roman" w:eastAsia="Source Sans Pro" w:hAnsi="Times New Roman"/>
          <w:b/>
          <w:snapToGrid/>
          <w:szCs w:val="24"/>
          <w:lang w:bidi="en-US"/>
        </w:rPr>
      </w:pPr>
      <w:r w:rsidRPr="007C3CA6">
        <w:rPr>
          <w:rFonts w:ascii="Times New Roman" w:eastAsia="Source Sans Pro" w:hAnsi="Times New Roman"/>
          <w:b/>
          <w:snapToGrid/>
          <w:szCs w:val="24"/>
          <w:lang w:bidi="en-US"/>
        </w:rPr>
        <w:t>Estimated Number of Respondents and Responses per Respondent</w:t>
      </w:r>
    </w:p>
    <w:p w:rsidR="007C3CA6" w:rsidRPr="007C3CA6" w:rsidP="0000073B" w14:paraId="56026667" w14:textId="01B5ABA2">
      <w:pPr>
        <w:spacing w:after="120"/>
        <w:ind w:left="720"/>
        <w:rPr>
          <w:rFonts w:ascii="Times New Roman" w:eastAsia="Source Sans Pro" w:hAnsi="Times New Roman"/>
          <w:snapToGrid/>
          <w:szCs w:val="24"/>
          <w:lang w:bidi="en-US"/>
        </w:rPr>
      </w:pPr>
      <w:r w:rsidRPr="007C3CA6">
        <w:rPr>
          <w:rFonts w:ascii="Times New Roman" w:eastAsia="Source Sans Pro" w:hAnsi="Times New Roman"/>
          <w:snapToGrid/>
          <w:szCs w:val="24"/>
          <w:lang w:bidi="en-US"/>
        </w:rPr>
        <w:t xml:space="preserve">Potential respondents to the ICs in this ICR include FDIC-supervised IDIs and third-party bank service providers. As of </w:t>
      </w:r>
      <w:r w:rsidRPr="007C3CA6">
        <w:rPr>
          <w:rFonts w:ascii="Times New Roman" w:eastAsia="Calibri" w:hAnsi="Times New Roman"/>
          <w:snapToGrid/>
          <w:szCs w:val="24"/>
        </w:rPr>
        <w:t>June</w:t>
      </w:r>
      <w:r w:rsidRPr="007C3CA6">
        <w:rPr>
          <w:rFonts w:ascii="Times New Roman" w:eastAsia="Source Sans Pro" w:hAnsi="Times New Roman"/>
          <w:snapToGrid/>
          <w:szCs w:val="24"/>
          <w:lang w:bidi="en-US"/>
        </w:rPr>
        <w:t xml:space="preserve"> 30, 2024, the FDIC supervise</w:t>
      </w:r>
      <w:r w:rsidR="00A61FFE">
        <w:rPr>
          <w:rFonts w:ascii="Times New Roman" w:eastAsia="Source Sans Pro" w:hAnsi="Times New Roman"/>
          <w:snapToGrid/>
          <w:szCs w:val="24"/>
          <w:lang w:bidi="en-US"/>
        </w:rPr>
        <w:t>d</w:t>
      </w:r>
      <w:r w:rsidRPr="007C3CA6">
        <w:rPr>
          <w:rFonts w:ascii="Times New Roman" w:eastAsia="Source Sans Pro" w:hAnsi="Times New Roman"/>
          <w:snapToGrid/>
          <w:szCs w:val="24"/>
          <w:lang w:bidi="en-US"/>
        </w:rPr>
        <w:t xml:space="preserve"> 2,902</w:t>
      </w:r>
      <w:r w:rsidRPr="007C3CA6">
        <w:rPr>
          <w:rFonts w:ascii="Times New Roman" w:eastAsia="Source Sans Pro" w:hAnsi="Times New Roman"/>
          <w:b/>
          <w:bCs/>
          <w:snapToGrid/>
          <w:szCs w:val="24"/>
          <w:lang w:bidi="en-US"/>
        </w:rPr>
        <w:t xml:space="preserve"> </w:t>
      </w:r>
      <w:r w:rsidRPr="007C3CA6">
        <w:rPr>
          <w:rFonts w:ascii="Times New Roman" w:eastAsia="Source Sans Pro" w:hAnsi="Times New Roman"/>
          <w:snapToGrid/>
          <w:szCs w:val="24"/>
          <w:lang w:bidi="en-US"/>
        </w:rPr>
        <w:t>IDIs. Of these, 2,173</w:t>
      </w:r>
      <w:r w:rsidRPr="007C3CA6">
        <w:rPr>
          <w:rFonts w:ascii="Times New Roman" w:eastAsia="Source Sans Pro" w:hAnsi="Times New Roman"/>
          <w:b/>
          <w:bCs/>
          <w:snapToGrid/>
          <w:szCs w:val="24"/>
          <w:lang w:bidi="en-US"/>
        </w:rPr>
        <w:t xml:space="preserve"> </w:t>
      </w:r>
      <w:r w:rsidRPr="007C3CA6">
        <w:rPr>
          <w:rFonts w:ascii="Times New Roman" w:eastAsia="Source Sans Pro" w:hAnsi="Times New Roman"/>
          <w:snapToGrid/>
          <w:szCs w:val="24"/>
          <w:lang w:bidi="en-US"/>
        </w:rPr>
        <w:t>are considered small for purposes of the Regulatory Flexibility Act (RFA).</w:t>
      </w:r>
      <w:r>
        <w:rPr>
          <w:rFonts w:ascii="Times New Roman" w:eastAsia="Source Sans Pro" w:hAnsi="Times New Roman"/>
          <w:snapToGrid/>
          <w:szCs w:val="24"/>
          <w:vertAlign w:val="superscript"/>
          <w:lang w:bidi="en-US"/>
        </w:rPr>
        <w:footnoteReference w:id="8"/>
      </w:r>
      <w:r w:rsidRPr="007C3CA6">
        <w:rPr>
          <w:rFonts w:ascii="Times New Roman" w:eastAsia="Source Sans Pro" w:hAnsi="Times New Roman"/>
          <w:snapToGrid/>
          <w:szCs w:val="24"/>
          <w:lang w:bidi="en-US"/>
        </w:rPr>
        <w:t xml:space="preserve"> The FDIC does not have data available to identify the total number of bank service providers that provide services to the IDIs that it supervises. </w:t>
      </w:r>
    </w:p>
    <w:p w:rsidR="007C3CA6" w:rsidRPr="007C3CA6" w:rsidP="003454F4" w14:paraId="10D034B8" w14:textId="03A67B39">
      <w:pPr>
        <w:spacing w:after="120"/>
        <w:ind w:left="720"/>
        <w:rPr>
          <w:rFonts w:ascii="Times New Roman" w:eastAsia="Source Sans Pro" w:hAnsi="Times New Roman"/>
          <w:snapToGrid/>
          <w:szCs w:val="24"/>
          <w:lang w:bidi="en-US"/>
        </w:rPr>
      </w:pPr>
      <w:bookmarkStart w:id="0" w:name="_Hlk180571075"/>
      <w:r w:rsidRPr="007C3CA6">
        <w:rPr>
          <w:rFonts w:ascii="Times New Roman" w:eastAsia="Source Sans Pro" w:hAnsi="Times New Roman"/>
          <w:snapToGrid/>
          <w:szCs w:val="24"/>
          <w:lang w:bidi="en-US"/>
        </w:rPr>
        <w:t xml:space="preserve">The first IC in this ICR is incurred when an IDI notifies its primary federal banking regulator within 36 hours after it has determined a “notification incident” has occurred (IC #1). To estimate the number of respondents to this IC, </w:t>
      </w:r>
      <w:r w:rsidR="00E950DE">
        <w:rPr>
          <w:rFonts w:ascii="Times New Roman" w:eastAsia="Source Sans Pro" w:hAnsi="Times New Roman"/>
          <w:snapToGrid/>
          <w:szCs w:val="24"/>
          <w:lang w:bidi="en-US"/>
        </w:rPr>
        <w:t>FDIC</w:t>
      </w:r>
      <w:r w:rsidRPr="007C3CA6">
        <w:rPr>
          <w:rFonts w:ascii="Times New Roman" w:eastAsia="Source Sans Pro" w:hAnsi="Times New Roman"/>
          <w:snapToGrid/>
          <w:szCs w:val="24"/>
          <w:lang w:bidi="en-US"/>
        </w:rPr>
        <w:t xml:space="preserve"> used supervisory data to identify instances where FDIC-supervised IDIs had notified the FDIC of cybersecurity-related incidents. </w:t>
      </w:r>
      <w:r w:rsidR="003454F4">
        <w:rPr>
          <w:rFonts w:ascii="Times New Roman" w:eastAsia="Source Sans Pro" w:hAnsi="Times New Roman"/>
          <w:snapToGrid/>
          <w:szCs w:val="24"/>
          <w:lang w:bidi="en-US"/>
        </w:rPr>
        <w:t xml:space="preserve">Between </w:t>
      </w:r>
      <w:r w:rsidRPr="007C3CA6">
        <w:rPr>
          <w:rFonts w:ascii="Times New Roman" w:eastAsia="Source Sans Pro" w:hAnsi="Times New Roman"/>
          <w:snapToGrid/>
          <w:szCs w:val="24"/>
          <w:lang w:bidi="en-US"/>
        </w:rPr>
        <w:t xml:space="preserve">April 1, 2022 – the effective date of the 2021 Final Rule – </w:t>
      </w:r>
      <w:r w:rsidR="003454F4">
        <w:rPr>
          <w:rFonts w:ascii="Times New Roman" w:eastAsia="Source Sans Pro" w:hAnsi="Times New Roman"/>
          <w:snapToGrid/>
          <w:szCs w:val="24"/>
          <w:lang w:bidi="en-US"/>
        </w:rPr>
        <w:t>and</w:t>
      </w:r>
      <w:r w:rsidRPr="007C3CA6">
        <w:rPr>
          <w:rFonts w:ascii="Times New Roman" w:eastAsia="Source Sans Pro" w:hAnsi="Times New Roman"/>
          <w:snapToGrid/>
          <w:szCs w:val="24"/>
          <w:lang w:bidi="en-US"/>
        </w:rPr>
        <w:t xml:space="preserve"> August 31, 2024. The FDIC </w:t>
      </w:r>
      <w:r w:rsidR="003454F4">
        <w:rPr>
          <w:rFonts w:ascii="Times New Roman" w:eastAsia="Source Sans Pro" w:hAnsi="Times New Roman"/>
          <w:snapToGrid/>
          <w:szCs w:val="24"/>
          <w:lang w:bidi="en-US"/>
        </w:rPr>
        <w:t>identified</w:t>
      </w:r>
      <w:r w:rsidRPr="007C3CA6">
        <w:rPr>
          <w:rFonts w:ascii="Times New Roman" w:eastAsia="Source Sans Pro" w:hAnsi="Times New Roman"/>
          <w:snapToGrid/>
          <w:szCs w:val="24"/>
          <w:lang w:bidi="en-US"/>
        </w:rPr>
        <w:t xml:space="preserve"> 206 records of </w:t>
      </w:r>
      <w:r w:rsidR="003454F4">
        <w:rPr>
          <w:rFonts w:ascii="Times New Roman" w:eastAsia="Source Sans Pro" w:hAnsi="Times New Roman"/>
          <w:snapToGrid/>
          <w:szCs w:val="24"/>
          <w:lang w:bidi="en-US"/>
        </w:rPr>
        <w:t>relevant notifications</w:t>
      </w:r>
      <w:r w:rsidRPr="007C3CA6">
        <w:rPr>
          <w:rFonts w:ascii="Times New Roman" w:eastAsia="Source Sans Pro" w:hAnsi="Times New Roman"/>
          <w:snapToGrid/>
          <w:szCs w:val="24"/>
          <w:lang w:bidi="en-US"/>
        </w:rPr>
        <w:t>. The 206 estimated notifications were submitted by 166 unique IDIs, 161 of which were supervised by the FDIC. Of these 161 IDIs, 79, or approximately 49 percent, are considered small for purposes of the RFA as of June 30, 2024.</w:t>
      </w:r>
      <w:r>
        <w:rPr>
          <w:rFonts w:ascii="Times New Roman" w:eastAsia="Source Sans Pro" w:hAnsi="Times New Roman"/>
          <w:snapToGrid/>
          <w:szCs w:val="24"/>
          <w:vertAlign w:val="superscript"/>
          <w:lang w:bidi="en-US"/>
        </w:rPr>
        <w:footnoteReference w:id="9"/>
      </w:r>
    </w:p>
    <w:p w:rsidR="007C3CA6" w:rsidRPr="007C3CA6" w:rsidP="003454F4" w14:paraId="1E832214" w14:textId="7926D814">
      <w:pPr>
        <w:spacing w:after="120"/>
        <w:ind w:left="720"/>
        <w:rPr>
          <w:rFonts w:ascii="Times New Roman" w:eastAsia="Source Sans Pro" w:hAnsi="Times New Roman"/>
          <w:snapToGrid/>
          <w:szCs w:val="24"/>
          <w:lang w:bidi="en-US"/>
        </w:rPr>
      </w:pPr>
      <w:r w:rsidRPr="007C3CA6">
        <w:rPr>
          <w:rFonts w:ascii="Times New Roman" w:eastAsia="Source Sans Pro" w:hAnsi="Times New Roman"/>
          <w:snapToGrid/>
          <w:szCs w:val="24"/>
          <w:lang w:bidi="en-US"/>
        </w:rPr>
        <w:t xml:space="preserve">The period between April 1, </w:t>
      </w:r>
      <w:r w:rsidRPr="007C3CA6">
        <w:rPr>
          <w:rFonts w:ascii="Times New Roman" w:eastAsia="Source Sans Pro" w:hAnsi="Times New Roman"/>
          <w:snapToGrid/>
          <w:szCs w:val="24"/>
          <w:lang w:bidi="en-US"/>
        </w:rPr>
        <w:t>2022</w:t>
      </w:r>
      <w:r w:rsidRPr="007C3CA6">
        <w:rPr>
          <w:rFonts w:ascii="Times New Roman" w:eastAsia="Source Sans Pro" w:hAnsi="Times New Roman"/>
          <w:snapToGrid/>
          <w:szCs w:val="24"/>
          <w:lang w:bidi="en-US"/>
        </w:rPr>
        <w:t xml:space="preserve"> through August 31, 2024 comprises 883 days, or approximately 2.419 years. Using the unique number of FDIC-supervised IDIs that submitted notifications identified by this analysis over this </w:t>
      </w:r>
      <w:r w:rsidRPr="007C3CA6">
        <w:rPr>
          <w:rFonts w:ascii="Times New Roman" w:eastAsia="Source Sans Pro" w:hAnsi="Times New Roman"/>
          <w:snapToGrid/>
          <w:szCs w:val="24"/>
          <w:lang w:bidi="en-US"/>
        </w:rPr>
        <w:t>time period</w:t>
      </w:r>
      <w:r w:rsidRPr="007C3CA6">
        <w:rPr>
          <w:rFonts w:ascii="Times New Roman" w:eastAsia="Source Sans Pro" w:hAnsi="Times New Roman"/>
          <w:snapToGrid/>
          <w:szCs w:val="24"/>
          <w:lang w:bidi="en-US"/>
        </w:rPr>
        <w:t xml:space="preserve"> – 161 IDIs – </w:t>
      </w:r>
      <w:r w:rsidR="00B277C4">
        <w:rPr>
          <w:rFonts w:ascii="Times New Roman" w:eastAsia="Source Sans Pro" w:hAnsi="Times New Roman"/>
          <w:snapToGrid/>
          <w:szCs w:val="24"/>
          <w:lang w:bidi="en-US"/>
        </w:rPr>
        <w:t>results</w:t>
      </w:r>
      <w:r w:rsidRPr="007C3CA6">
        <w:rPr>
          <w:rFonts w:ascii="Times New Roman" w:eastAsia="Source Sans Pro" w:hAnsi="Times New Roman"/>
          <w:snapToGrid/>
          <w:szCs w:val="24"/>
          <w:lang w:bidi="en-US"/>
        </w:rPr>
        <w:t xml:space="preserve"> </w:t>
      </w:r>
      <w:r w:rsidR="00B277C4">
        <w:rPr>
          <w:rFonts w:ascii="Times New Roman" w:eastAsia="Source Sans Pro" w:hAnsi="Times New Roman"/>
          <w:snapToGrid/>
          <w:szCs w:val="24"/>
          <w:lang w:bidi="en-US"/>
        </w:rPr>
        <w:t>in</w:t>
      </w:r>
      <w:r w:rsidRPr="007C3CA6">
        <w:rPr>
          <w:rFonts w:ascii="Times New Roman" w:eastAsia="Source Sans Pro" w:hAnsi="Times New Roman"/>
          <w:snapToGrid/>
          <w:szCs w:val="24"/>
          <w:lang w:bidi="en-US"/>
        </w:rPr>
        <w:t xml:space="preserve"> an estimate of approximately 67 annual respondents (161 / 2.419 </w:t>
      </w:r>
      <w:bookmarkStart w:id="1" w:name="_Hlk180670185"/>
      <w:r w:rsidRPr="007C3CA6">
        <w:rPr>
          <w:rFonts w:ascii="Times New Roman" w:eastAsia="Source Sans Pro" w:hAnsi="Times New Roman"/>
          <w:snapToGrid/>
          <w:szCs w:val="24"/>
          <w:lang w:bidi="en-US"/>
        </w:rPr>
        <w:t>≈</w:t>
      </w:r>
      <w:bookmarkEnd w:id="1"/>
      <w:r w:rsidRPr="007C3CA6">
        <w:rPr>
          <w:rFonts w:ascii="Times New Roman" w:eastAsia="Source Sans Pro" w:hAnsi="Times New Roman"/>
          <w:snapToGrid/>
          <w:szCs w:val="24"/>
          <w:lang w:bidi="en-US"/>
        </w:rPr>
        <w:t xml:space="preserve"> 67). Therefore, over a three-year PRA renewal period,</w:t>
      </w:r>
      <w:r w:rsidR="00B277C4">
        <w:rPr>
          <w:rFonts w:ascii="Times New Roman" w:eastAsia="Source Sans Pro" w:hAnsi="Times New Roman"/>
          <w:snapToGrid/>
          <w:szCs w:val="24"/>
          <w:lang w:bidi="en-US"/>
        </w:rPr>
        <w:t xml:space="preserve"> FDIC</w:t>
      </w:r>
      <w:r w:rsidRPr="007C3CA6">
        <w:rPr>
          <w:rFonts w:ascii="Times New Roman" w:eastAsia="Source Sans Pro" w:hAnsi="Times New Roman"/>
          <w:snapToGrid/>
          <w:szCs w:val="24"/>
          <w:lang w:bidi="en-US"/>
        </w:rPr>
        <w:t xml:space="preserve"> estimate</w:t>
      </w:r>
      <w:r w:rsidR="00B277C4">
        <w:rPr>
          <w:rFonts w:ascii="Times New Roman" w:eastAsia="Source Sans Pro" w:hAnsi="Times New Roman"/>
          <w:snapToGrid/>
          <w:szCs w:val="24"/>
          <w:lang w:bidi="en-US"/>
        </w:rPr>
        <w:t>s</w:t>
      </w:r>
      <w:r w:rsidRPr="007C3CA6">
        <w:rPr>
          <w:rFonts w:ascii="Times New Roman" w:eastAsia="Source Sans Pro" w:hAnsi="Times New Roman"/>
          <w:snapToGrid/>
          <w:szCs w:val="24"/>
          <w:lang w:bidi="en-US"/>
        </w:rPr>
        <w:t xml:space="preserve"> that approximately 67 FDIC-supervised IDIs will submit at least one notification annually. Taking the percentage of total respondents over this period that are small – 49 percent – I</w:t>
      </w:r>
      <w:r w:rsidR="00B277C4">
        <w:rPr>
          <w:rFonts w:ascii="Times New Roman" w:eastAsia="Source Sans Pro" w:hAnsi="Times New Roman"/>
          <w:snapToGrid/>
          <w:szCs w:val="24"/>
          <w:lang w:bidi="en-US"/>
        </w:rPr>
        <w:t>FDIC</w:t>
      </w:r>
      <w:r w:rsidRPr="007C3CA6">
        <w:rPr>
          <w:rFonts w:ascii="Times New Roman" w:eastAsia="Source Sans Pro" w:hAnsi="Times New Roman"/>
          <w:snapToGrid/>
          <w:szCs w:val="24"/>
          <w:lang w:bidi="en-US"/>
        </w:rPr>
        <w:t xml:space="preserve"> estimate</w:t>
      </w:r>
      <w:r w:rsidR="00B277C4">
        <w:rPr>
          <w:rFonts w:ascii="Times New Roman" w:eastAsia="Source Sans Pro" w:hAnsi="Times New Roman"/>
          <w:snapToGrid/>
          <w:szCs w:val="24"/>
          <w:lang w:bidi="en-US"/>
        </w:rPr>
        <w:t>s</w:t>
      </w:r>
      <w:r w:rsidRPr="007C3CA6">
        <w:rPr>
          <w:rFonts w:ascii="Times New Roman" w:eastAsia="Source Sans Pro" w:hAnsi="Times New Roman"/>
          <w:snapToGrid/>
          <w:szCs w:val="24"/>
          <w:lang w:bidi="en-US"/>
        </w:rPr>
        <w:t xml:space="preserve"> that approximately 33 small FDIC-supervised IDIs will submit at least one notification annually.</w:t>
      </w:r>
    </w:p>
    <w:bookmarkEnd w:id="0"/>
    <w:p w:rsidR="007C3CA6" w:rsidRPr="007C3CA6" w:rsidP="003454F4" w14:paraId="27BF2BB0" w14:textId="34CFE9DE">
      <w:pPr>
        <w:spacing w:after="120"/>
        <w:ind w:left="720"/>
        <w:rPr>
          <w:rFonts w:ascii="Times New Roman" w:eastAsia="Source Sans Pro" w:hAnsi="Times New Roman"/>
          <w:snapToGrid/>
          <w:szCs w:val="24"/>
          <w:lang w:bidi="en-US"/>
        </w:rPr>
      </w:pPr>
      <w:r w:rsidRPr="007C3CA6">
        <w:rPr>
          <w:rFonts w:ascii="Times New Roman" w:eastAsia="Source Sans Pro" w:hAnsi="Times New Roman"/>
          <w:snapToGrid/>
          <w:szCs w:val="24"/>
          <w:lang w:bidi="en-US"/>
        </w:rPr>
        <w:t xml:space="preserve">The estimate of 67 annual respondents is a decrease from the previous estimate of 96 annual respondents in the 2022 ICR. This decrease is due to a change in </w:t>
      </w:r>
      <w:r w:rsidR="009D4B70">
        <w:rPr>
          <w:rFonts w:ascii="Times New Roman" w:eastAsia="Source Sans Pro" w:hAnsi="Times New Roman"/>
          <w:snapToGrid/>
          <w:szCs w:val="24"/>
          <w:lang w:bidi="en-US"/>
        </w:rPr>
        <w:t xml:space="preserve">estimation </w:t>
      </w:r>
      <w:r w:rsidRPr="007C3CA6">
        <w:rPr>
          <w:rFonts w:ascii="Times New Roman" w:eastAsia="Source Sans Pro" w:hAnsi="Times New Roman"/>
          <w:snapToGrid/>
          <w:szCs w:val="24"/>
          <w:lang w:bidi="en-US"/>
        </w:rPr>
        <w:t>methodology from the 2022 ICR, which used an ex-ante estimation procedure to estimate “notification incidents” due to the nonexistence of Subpart C at the time.</w:t>
      </w:r>
    </w:p>
    <w:p w:rsidR="007C3CA6" w:rsidRPr="007C3CA6" w:rsidP="003454F4" w14:paraId="6BFBD148" w14:textId="302523C6">
      <w:pPr>
        <w:spacing w:after="120"/>
        <w:ind w:left="720"/>
        <w:rPr>
          <w:rFonts w:ascii="Times New Roman" w:eastAsia="Source Sans Pro" w:hAnsi="Times New Roman"/>
          <w:snapToGrid/>
          <w:szCs w:val="24"/>
          <w:lang w:bidi="en-US"/>
        </w:rPr>
      </w:pPr>
      <w:r w:rsidRPr="007C3CA6">
        <w:rPr>
          <w:rFonts w:ascii="Times New Roman" w:eastAsia="Source Sans Pro" w:hAnsi="Times New Roman"/>
          <w:snapToGrid/>
          <w:szCs w:val="24"/>
          <w:lang w:bidi="en-US"/>
        </w:rPr>
        <w:t>FDIC-supervised IDIs submitted 201</w:t>
      </w:r>
      <w:r w:rsidRPr="007C3CA6">
        <w:rPr>
          <w:rFonts w:ascii="Times New Roman" w:eastAsia="Source Sans Pro" w:hAnsi="Times New Roman"/>
          <w:b/>
          <w:bCs/>
          <w:snapToGrid/>
          <w:szCs w:val="24"/>
          <w:lang w:bidi="en-US"/>
        </w:rPr>
        <w:t xml:space="preserve"> </w:t>
      </w:r>
      <w:r w:rsidRPr="007C3CA6">
        <w:rPr>
          <w:rFonts w:ascii="Times New Roman" w:eastAsia="Source Sans Pro" w:hAnsi="Times New Roman"/>
          <w:snapToGrid/>
          <w:szCs w:val="24"/>
          <w:lang w:bidi="en-US"/>
        </w:rPr>
        <w:t xml:space="preserve">notifications in the period from April 1, </w:t>
      </w:r>
      <w:r w:rsidRPr="007C3CA6" w:rsidR="00A61FFE">
        <w:rPr>
          <w:rFonts w:ascii="Times New Roman" w:eastAsia="Source Sans Pro" w:hAnsi="Times New Roman"/>
          <w:snapToGrid/>
          <w:szCs w:val="24"/>
          <w:lang w:bidi="en-US"/>
        </w:rPr>
        <w:t>2022,</w:t>
      </w:r>
      <w:r w:rsidRPr="007C3CA6">
        <w:rPr>
          <w:rFonts w:ascii="Times New Roman" w:eastAsia="Source Sans Pro" w:hAnsi="Times New Roman"/>
          <w:snapToGrid/>
          <w:szCs w:val="24"/>
          <w:lang w:bidi="en-US"/>
        </w:rPr>
        <w:t xml:space="preserve"> through August 31, 2024. To estimate the number of responses per respondent, </w:t>
      </w:r>
      <w:r w:rsidR="00A61FFE">
        <w:rPr>
          <w:rFonts w:ascii="Times New Roman" w:eastAsia="Source Sans Pro" w:hAnsi="Times New Roman"/>
          <w:snapToGrid/>
          <w:szCs w:val="24"/>
          <w:lang w:bidi="en-US"/>
        </w:rPr>
        <w:t>FDIC</w:t>
      </w:r>
      <w:r w:rsidRPr="007C3CA6">
        <w:rPr>
          <w:rFonts w:ascii="Times New Roman" w:eastAsia="Source Sans Pro" w:hAnsi="Times New Roman"/>
          <w:snapToGrid/>
          <w:szCs w:val="24"/>
          <w:lang w:bidi="en-US"/>
        </w:rPr>
        <w:t xml:space="preserve"> divide</w:t>
      </w:r>
      <w:r w:rsidR="00A61FFE">
        <w:rPr>
          <w:rFonts w:ascii="Times New Roman" w:eastAsia="Source Sans Pro" w:hAnsi="Times New Roman"/>
          <w:snapToGrid/>
          <w:szCs w:val="24"/>
          <w:lang w:bidi="en-US"/>
        </w:rPr>
        <w:t>s</w:t>
      </w:r>
      <w:r w:rsidRPr="007C3CA6">
        <w:rPr>
          <w:rFonts w:ascii="Times New Roman" w:eastAsia="Source Sans Pro" w:hAnsi="Times New Roman"/>
          <w:snapToGrid/>
          <w:szCs w:val="24"/>
          <w:lang w:bidi="en-US"/>
        </w:rPr>
        <w:t xml:space="preserve"> the total number of notifications submitted by FDIC-supervised IDIs over this period – 201</w:t>
      </w:r>
      <w:r w:rsidRPr="007C3CA6">
        <w:rPr>
          <w:rFonts w:ascii="Times New Roman" w:eastAsia="Source Sans Pro" w:hAnsi="Times New Roman"/>
          <w:b/>
          <w:bCs/>
          <w:snapToGrid/>
          <w:szCs w:val="24"/>
          <w:lang w:bidi="en-US"/>
        </w:rPr>
        <w:t xml:space="preserve"> </w:t>
      </w:r>
      <w:r w:rsidRPr="007C3CA6">
        <w:rPr>
          <w:rFonts w:ascii="Times New Roman" w:eastAsia="Source Sans Pro" w:hAnsi="Times New Roman"/>
          <w:snapToGrid/>
          <w:szCs w:val="24"/>
          <w:lang w:bidi="en-US"/>
        </w:rPr>
        <w:t>– by the total number of FDIC-supervised IDIs that submitted at least one notification over this same period – 161. This results in an estimated number of responses per respondent for IC #1 of approximately 1.25</w:t>
      </w:r>
      <w:r w:rsidRPr="007C3CA6">
        <w:rPr>
          <w:rFonts w:ascii="Times New Roman" w:eastAsia="Source Sans Pro" w:hAnsi="Times New Roman"/>
          <w:bCs/>
          <w:snapToGrid/>
          <w:szCs w:val="24"/>
          <w:lang w:bidi="en-US"/>
        </w:rPr>
        <w:t>.</w:t>
      </w:r>
      <w:r w:rsidRPr="007C3CA6">
        <w:rPr>
          <w:rFonts w:ascii="Times New Roman" w:eastAsia="Source Sans Pro" w:hAnsi="Times New Roman"/>
          <w:b/>
          <w:bCs/>
          <w:snapToGrid/>
          <w:szCs w:val="24"/>
          <w:lang w:bidi="en-US"/>
        </w:rPr>
        <w:t xml:space="preserve"> </w:t>
      </w:r>
      <w:r w:rsidRPr="007C3CA6">
        <w:rPr>
          <w:rFonts w:ascii="Times New Roman" w:eastAsia="Source Sans Pro" w:hAnsi="Times New Roman"/>
          <w:snapToGrid/>
          <w:szCs w:val="24"/>
          <w:lang w:bidi="en-US"/>
        </w:rPr>
        <w:t xml:space="preserve">This is an increase from the previous estimate of one response per respondent in the 2022 ICR. This increase is due to a change in methodology from the 2022 ICR, which assumed a single annual response per </w:t>
      </w:r>
      <w:r w:rsidRPr="007C3CA6">
        <w:rPr>
          <w:rFonts w:ascii="Times New Roman" w:eastAsia="Source Sans Pro" w:hAnsi="Times New Roman"/>
          <w:snapToGrid/>
          <w:szCs w:val="24"/>
          <w:lang w:bidi="en-US"/>
        </w:rPr>
        <w:t xml:space="preserve">respondent. </w:t>
      </w:r>
    </w:p>
    <w:p w:rsidR="007C3CA6" w:rsidRPr="007C3CA6" w:rsidP="003454F4" w14:paraId="3698A8E6" w14:textId="3D4412C2">
      <w:pPr>
        <w:spacing w:after="120"/>
        <w:ind w:left="720"/>
        <w:rPr>
          <w:rFonts w:ascii="Times New Roman" w:eastAsia="Source Sans Pro" w:hAnsi="Times New Roman"/>
          <w:snapToGrid/>
          <w:szCs w:val="24"/>
          <w:lang w:bidi="en-US"/>
        </w:rPr>
      </w:pPr>
      <w:r w:rsidRPr="007C3CA6">
        <w:rPr>
          <w:rFonts w:ascii="Times New Roman" w:eastAsia="Source Sans Pro" w:hAnsi="Times New Roman"/>
          <w:snapToGrid/>
          <w:szCs w:val="24"/>
          <w:lang w:bidi="en-US"/>
        </w:rPr>
        <w:t xml:space="preserve">The second IC in this ICR is incurred when a bank service provider notifies each affected IDI when the bank service provider determines that it has experienced a computer security incident that has “materially disrupted or </w:t>
      </w:r>
      <w:r w:rsidRPr="007C3CA6" w:rsidR="00A61FFE">
        <w:rPr>
          <w:rFonts w:ascii="Times New Roman" w:eastAsia="Source Sans Pro" w:hAnsi="Times New Roman"/>
          <w:snapToGrid/>
          <w:szCs w:val="24"/>
          <w:lang w:bidi="en-US"/>
        </w:rPr>
        <w:t>degraded or</w:t>
      </w:r>
      <w:r w:rsidRPr="007C3CA6">
        <w:rPr>
          <w:rFonts w:ascii="Times New Roman" w:eastAsia="Source Sans Pro" w:hAnsi="Times New Roman"/>
          <w:snapToGrid/>
          <w:szCs w:val="24"/>
          <w:lang w:bidi="en-US"/>
        </w:rPr>
        <w:t xml:space="preserve"> is reasonably likely to materially disrupt or degrade”</w:t>
      </w:r>
      <w:r>
        <w:rPr>
          <w:rFonts w:ascii="Times New Roman" w:eastAsia="Source Sans Pro" w:hAnsi="Times New Roman"/>
          <w:snapToGrid/>
          <w:szCs w:val="24"/>
          <w:vertAlign w:val="superscript"/>
          <w:lang w:bidi="en-US"/>
        </w:rPr>
        <w:footnoteReference w:id="10"/>
      </w:r>
      <w:r w:rsidRPr="007C3CA6">
        <w:rPr>
          <w:rFonts w:ascii="Times New Roman" w:eastAsia="Source Sans Pro" w:hAnsi="Times New Roman"/>
          <w:snapToGrid/>
          <w:szCs w:val="24"/>
          <w:lang w:bidi="en-US"/>
        </w:rPr>
        <w:t xml:space="preserve"> services provided to such IDIs for four or more hours (IC #2). The FDIC does not have the data necessary to estimate the total number of notifications issued by bank service providers of FDIC-supervised IDIs. Therefore, to estimate the number of respondents for this IC, we used the methodology used in the 2022 ICR. The methodology assumes a 2 percent per year frequency of such incidents from bank service providers. To estimate the number of bank service providers, the </w:t>
      </w:r>
      <w:r w:rsidR="00B65A99">
        <w:rPr>
          <w:rFonts w:ascii="Times New Roman" w:eastAsia="Source Sans Pro" w:hAnsi="Times New Roman"/>
          <w:snapToGrid/>
          <w:szCs w:val="24"/>
          <w:lang w:bidi="en-US"/>
        </w:rPr>
        <w:t>FDIC</w:t>
      </w:r>
      <w:r w:rsidRPr="007C3CA6">
        <w:rPr>
          <w:rFonts w:ascii="Times New Roman" w:eastAsia="Source Sans Pro" w:hAnsi="Times New Roman"/>
          <w:snapToGrid/>
          <w:szCs w:val="24"/>
          <w:lang w:bidi="en-US"/>
        </w:rPr>
        <w:t xml:space="preserve"> uses the number of firms classified as “Computer Systems Design and Related Services”, as defined by the North American Industry Classification System (NAICS).</w:t>
      </w:r>
      <w:r>
        <w:rPr>
          <w:rFonts w:ascii="Times New Roman" w:eastAsia="Source Sans Pro" w:hAnsi="Times New Roman"/>
          <w:snapToGrid/>
          <w:szCs w:val="24"/>
          <w:vertAlign w:val="superscript"/>
          <w:lang w:bidi="en-US"/>
        </w:rPr>
        <w:footnoteReference w:id="11"/>
      </w:r>
      <w:r w:rsidRPr="007C3CA6">
        <w:rPr>
          <w:rFonts w:ascii="Times New Roman" w:eastAsia="Source Sans Pro" w:hAnsi="Times New Roman"/>
          <w:snapToGrid/>
          <w:szCs w:val="24"/>
          <w:lang w:bidi="en-US"/>
        </w:rPr>
        <w:t xml:space="preserve"> According to NAICS data as of 2021, the latest period for which data is available, there are 124,779 firms under this classification (NAICS code 5415). Using the assumption above, the </w:t>
      </w:r>
      <w:r w:rsidR="00B65A99">
        <w:rPr>
          <w:rFonts w:ascii="Times New Roman" w:eastAsia="Source Sans Pro" w:hAnsi="Times New Roman"/>
          <w:snapToGrid/>
          <w:szCs w:val="24"/>
          <w:lang w:bidi="en-US"/>
        </w:rPr>
        <w:t>FDIC</w:t>
      </w:r>
      <w:r w:rsidRPr="007C3CA6">
        <w:rPr>
          <w:rFonts w:ascii="Times New Roman" w:eastAsia="Source Sans Pro" w:hAnsi="Times New Roman"/>
          <w:snapToGrid/>
          <w:szCs w:val="24"/>
          <w:lang w:bidi="en-US"/>
        </w:rPr>
        <w:t xml:space="preserve"> estimates that there will be approximately 2,496 incidents annually. </w:t>
      </w:r>
    </w:p>
    <w:p w:rsidR="007C3CA6" w:rsidRPr="007C3CA6" w:rsidP="003454F4" w14:paraId="19944F35" w14:textId="43FA85D0">
      <w:pPr>
        <w:spacing w:after="120"/>
        <w:ind w:left="720"/>
        <w:rPr>
          <w:rFonts w:ascii="Times New Roman" w:eastAsia="Source Sans Pro" w:hAnsi="Times New Roman"/>
          <w:snapToGrid/>
          <w:szCs w:val="24"/>
          <w:lang w:bidi="en-US"/>
        </w:rPr>
      </w:pPr>
      <w:r w:rsidRPr="007C3CA6">
        <w:rPr>
          <w:rFonts w:ascii="Times New Roman" w:eastAsia="Source Sans Pro" w:hAnsi="Times New Roman"/>
          <w:snapToGrid/>
          <w:szCs w:val="24"/>
          <w:lang w:bidi="en-US"/>
        </w:rPr>
        <w:t>There is no data available currently on the number of bank service providers that meet the definition of a small entity</w:t>
      </w:r>
      <w:r>
        <w:rPr>
          <w:rFonts w:ascii="Times New Roman" w:eastAsia="Source Sans Pro" w:hAnsi="Times New Roman"/>
          <w:snapToGrid/>
          <w:szCs w:val="24"/>
          <w:vertAlign w:val="superscript"/>
          <w:lang w:bidi="en-US"/>
        </w:rPr>
        <w:footnoteReference w:id="12"/>
      </w:r>
      <w:r w:rsidRPr="007C3CA6">
        <w:rPr>
          <w:rFonts w:ascii="Times New Roman" w:eastAsia="Source Sans Pro" w:hAnsi="Times New Roman"/>
          <w:snapToGrid/>
          <w:szCs w:val="24"/>
          <w:lang w:bidi="en-US"/>
        </w:rPr>
        <w:t xml:space="preserve"> for purposes of the RFA. Instead, </w:t>
      </w:r>
      <w:r w:rsidR="00B65A99">
        <w:rPr>
          <w:rFonts w:ascii="Times New Roman" w:eastAsia="Source Sans Pro" w:hAnsi="Times New Roman"/>
          <w:snapToGrid/>
          <w:szCs w:val="24"/>
          <w:lang w:bidi="en-US"/>
        </w:rPr>
        <w:t>FDIC</w:t>
      </w:r>
      <w:r w:rsidRPr="007C3CA6">
        <w:rPr>
          <w:rFonts w:ascii="Times New Roman" w:eastAsia="Source Sans Pro" w:hAnsi="Times New Roman"/>
          <w:snapToGrid/>
          <w:szCs w:val="24"/>
          <w:lang w:bidi="en-US"/>
        </w:rPr>
        <w:t xml:space="preserve"> used the Small Business Administration (SBA) Office of Advocacy’s definition of a small business, which is an independent business with fewer than 500 employees.</w:t>
      </w:r>
      <w:r>
        <w:rPr>
          <w:rFonts w:ascii="Times New Roman" w:eastAsia="Source Sans Pro" w:hAnsi="Times New Roman"/>
          <w:snapToGrid/>
          <w:szCs w:val="24"/>
          <w:vertAlign w:val="superscript"/>
          <w:lang w:bidi="en-US"/>
        </w:rPr>
        <w:footnoteReference w:id="13"/>
      </w:r>
      <w:r w:rsidRPr="007C3CA6">
        <w:rPr>
          <w:rFonts w:ascii="Times New Roman" w:eastAsia="Source Sans Pro" w:hAnsi="Times New Roman"/>
          <w:snapToGrid/>
          <w:szCs w:val="24"/>
          <w:lang w:bidi="en-US"/>
        </w:rPr>
        <w:t xml:space="preserve"> Using this definition, </w:t>
      </w:r>
      <w:r w:rsidR="00B65A99">
        <w:rPr>
          <w:rFonts w:ascii="Times New Roman" w:eastAsia="Source Sans Pro" w:hAnsi="Times New Roman"/>
          <w:snapToGrid/>
          <w:szCs w:val="24"/>
          <w:lang w:bidi="en-US"/>
        </w:rPr>
        <w:t>FDIC</w:t>
      </w:r>
      <w:r w:rsidRPr="007C3CA6">
        <w:rPr>
          <w:rFonts w:ascii="Times New Roman" w:eastAsia="Source Sans Pro" w:hAnsi="Times New Roman"/>
          <w:snapToGrid/>
          <w:szCs w:val="24"/>
          <w:lang w:bidi="en-US"/>
        </w:rPr>
        <w:t xml:space="preserve"> calculated the fraction of all active bank service providers using the NAICS classification above with fewer than 500 employees. Of the 124,779 firms under this classification, 123,839, or approximately 99 percent, have fewer than 500 employees. To estimate the number of respondents that would be considered as small for IC #2, I</w:t>
      </w:r>
      <w:r w:rsidR="00B65A99">
        <w:rPr>
          <w:rFonts w:ascii="Times New Roman" w:eastAsia="Source Sans Pro" w:hAnsi="Times New Roman"/>
          <w:snapToGrid/>
          <w:szCs w:val="24"/>
          <w:lang w:bidi="en-US"/>
        </w:rPr>
        <w:t xml:space="preserve">FDIC </w:t>
      </w:r>
      <w:r w:rsidRPr="007C3CA6">
        <w:rPr>
          <w:rFonts w:ascii="Times New Roman" w:eastAsia="Source Sans Pro" w:hAnsi="Times New Roman"/>
          <w:snapToGrid/>
          <w:szCs w:val="24"/>
          <w:lang w:bidi="en-US"/>
        </w:rPr>
        <w:t>multipl</w:t>
      </w:r>
      <w:r w:rsidR="00B65A99">
        <w:rPr>
          <w:rFonts w:ascii="Times New Roman" w:eastAsia="Source Sans Pro" w:hAnsi="Times New Roman"/>
          <w:snapToGrid/>
          <w:szCs w:val="24"/>
          <w:lang w:bidi="en-US"/>
        </w:rPr>
        <w:t>ies</w:t>
      </w:r>
      <w:r w:rsidRPr="007C3CA6">
        <w:rPr>
          <w:rFonts w:ascii="Times New Roman" w:eastAsia="Source Sans Pro" w:hAnsi="Times New Roman"/>
          <w:snapToGrid/>
          <w:szCs w:val="24"/>
          <w:lang w:bidi="en-US"/>
        </w:rPr>
        <w:t xml:space="preserve"> the estimate of 2,496 annual respondents by the proportion of bank service providers that </w:t>
      </w:r>
      <w:r w:rsidR="00B65A99">
        <w:rPr>
          <w:rFonts w:ascii="Times New Roman" w:eastAsia="Source Sans Pro" w:hAnsi="Times New Roman"/>
          <w:snapToGrid/>
          <w:szCs w:val="24"/>
          <w:lang w:bidi="en-US"/>
        </w:rPr>
        <w:t>it</w:t>
      </w:r>
      <w:r w:rsidRPr="007C3CA6">
        <w:rPr>
          <w:rFonts w:ascii="Times New Roman" w:eastAsia="Source Sans Pro" w:hAnsi="Times New Roman"/>
          <w:snapToGrid/>
          <w:szCs w:val="24"/>
          <w:lang w:bidi="en-US"/>
        </w:rPr>
        <w:t xml:space="preserve"> estimate</w:t>
      </w:r>
      <w:r w:rsidR="00B65A99">
        <w:rPr>
          <w:rFonts w:ascii="Times New Roman" w:eastAsia="Source Sans Pro" w:hAnsi="Times New Roman"/>
          <w:snapToGrid/>
          <w:szCs w:val="24"/>
          <w:lang w:bidi="en-US"/>
        </w:rPr>
        <w:t>s</w:t>
      </w:r>
      <w:r w:rsidRPr="007C3CA6">
        <w:rPr>
          <w:rFonts w:ascii="Times New Roman" w:eastAsia="Source Sans Pro" w:hAnsi="Times New Roman"/>
          <w:snapToGrid/>
          <w:szCs w:val="24"/>
          <w:lang w:bidi="en-US"/>
        </w:rPr>
        <w:t xml:space="preserve"> to be small – 99 percent. Thus, approximately 2,471 annual respondents (2,496 * 0.99 ≈ 2,471) to IC #2 would be considered small for purposes of the RFA.</w:t>
      </w:r>
    </w:p>
    <w:p w:rsidR="007C3CA6" w:rsidRPr="007C3CA6" w:rsidP="003454F4" w14:paraId="69AF5AF3" w14:textId="215B424D">
      <w:pPr>
        <w:spacing w:after="120"/>
        <w:ind w:left="720"/>
        <w:rPr>
          <w:rFonts w:ascii="Times New Roman" w:eastAsia="Source Sans Pro" w:hAnsi="Times New Roman"/>
          <w:snapToGrid/>
          <w:szCs w:val="24"/>
          <w:lang w:bidi="en-US"/>
        </w:rPr>
      </w:pPr>
      <w:r w:rsidRPr="007C3CA6">
        <w:rPr>
          <w:rFonts w:ascii="Times New Roman" w:eastAsia="Source Sans Pro" w:hAnsi="Times New Roman"/>
          <w:snapToGrid/>
          <w:szCs w:val="24"/>
          <w:lang w:bidi="en-US"/>
        </w:rPr>
        <w:t xml:space="preserve">Finally, the methodology apportions this estimated number of incidents equally across the three federal banking agencies – the FDIC, OCC, and Federal Reserve Board. Therefore, of the 2,496 incidents estimated using this </w:t>
      </w:r>
      <w:r w:rsidRPr="007C3CA6" w:rsidR="004C52BF">
        <w:rPr>
          <w:rFonts w:ascii="Times New Roman" w:eastAsia="Source Sans Pro" w:hAnsi="Times New Roman"/>
          <w:snapToGrid/>
          <w:szCs w:val="24"/>
          <w:lang w:bidi="en-US"/>
        </w:rPr>
        <w:t>methodology</w:t>
      </w:r>
      <w:r w:rsidRPr="007C3CA6">
        <w:rPr>
          <w:rFonts w:ascii="Times New Roman" w:eastAsia="Source Sans Pro" w:hAnsi="Times New Roman"/>
          <w:snapToGrid/>
          <w:szCs w:val="24"/>
          <w:lang w:bidi="en-US"/>
        </w:rPr>
        <w:t xml:space="preserve">, the FDIC assumes the burden for 832 (2,496 * (1/3) = 832) of these. Using the estimated percentage of bank service providers that are small - 99 percent - </w:t>
      </w:r>
      <w:r w:rsidR="00B65A99">
        <w:rPr>
          <w:rFonts w:ascii="Times New Roman" w:eastAsia="Source Sans Pro" w:hAnsi="Times New Roman"/>
          <w:snapToGrid/>
          <w:szCs w:val="24"/>
          <w:lang w:bidi="en-US"/>
        </w:rPr>
        <w:t>FDIC</w:t>
      </w:r>
      <w:r w:rsidRPr="007C3CA6">
        <w:rPr>
          <w:rFonts w:ascii="Times New Roman" w:eastAsia="Source Sans Pro" w:hAnsi="Times New Roman"/>
          <w:snapToGrid/>
          <w:szCs w:val="24"/>
          <w:lang w:bidi="en-US"/>
        </w:rPr>
        <w:t xml:space="preserve"> estimate</w:t>
      </w:r>
      <w:r w:rsidR="00B65A99">
        <w:rPr>
          <w:rFonts w:ascii="Times New Roman" w:eastAsia="Source Sans Pro" w:hAnsi="Times New Roman"/>
          <w:snapToGrid/>
          <w:szCs w:val="24"/>
          <w:lang w:bidi="en-US"/>
        </w:rPr>
        <w:t>s</w:t>
      </w:r>
      <w:r w:rsidRPr="007C3CA6">
        <w:rPr>
          <w:rFonts w:ascii="Times New Roman" w:eastAsia="Source Sans Pro" w:hAnsi="Times New Roman"/>
          <w:snapToGrid/>
          <w:szCs w:val="24"/>
          <w:lang w:bidi="en-US"/>
        </w:rPr>
        <w:t xml:space="preserve"> that approximately 824 (832 * 0.99 ≈ 824) of these incidents will come from small bank service providers.</w:t>
      </w:r>
    </w:p>
    <w:p w:rsidR="007C3CA6" w:rsidRPr="007C3CA6" w:rsidP="003454F4" w14:paraId="07410D0C" w14:textId="77777777">
      <w:pPr>
        <w:spacing w:after="120"/>
        <w:ind w:left="720"/>
        <w:rPr>
          <w:rFonts w:ascii="Times New Roman" w:eastAsia="Source Sans Pro" w:hAnsi="Times New Roman"/>
          <w:snapToGrid/>
          <w:szCs w:val="24"/>
          <w:lang w:bidi="en-US"/>
        </w:rPr>
      </w:pPr>
      <w:r w:rsidRPr="007C3CA6">
        <w:rPr>
          <w:rFonts w:ascii="Times New Roman" w:eastAsia="Source Sans Pro" w:hAnsi="Times New Roman"/>
          <w:snapToGrid/>
          <w:szCs w:val="24"/>
          <w:lang w:bidi="en-US"/>
        </w:rPr>
        <w:t xml:space="preserve">The estimate of 832 annual respondents to IC #2 is an increase from the previous estimate of 802 annual respondents in the 2022 ICR. This increase is due to an increase in the number of firms classified as “Computer Systems Designed and Related services” in </w:t>
      </w:r>
      <w:r w:rsidRPr="007C3CA6">
        <w:rPr>
          <w:rFonts w:ascii="Times New Roman" w:eastAsia="Source Sans Pro" w:hAnsi="Times New Roman"/>
          <w:snapToGrid/>
          <w:szCs w:val="24"/>
          <w:lang w:bidi="en-US"/>
        </w:rPr>
        <w:t>this ICR – at 124,779 firms using 2021 NAICS data - compared to the 2022 ICR – at 120,392 firms using 2018 NAICS data.</w:t>
      </w:r>
    </w:p>
    <w:p w:rsidR="007C3CA6" w:rsidRPr="007C3CA6" w:rsidP="003454F4" w14:paraId="659E46FF" w14:textId="4569B733">
      <w:pPr>
        <w:spacing w:after="120"/>
        <w:ind w:left="720"/>
        <w:rPr>
          <w:rFonts w:ascii="Times New Roman" w:eastAsia="Source Sans Pro" w:hAnsi="Times New Roman"/>
          <w:snapToGrid/>
          <w:szCs w:val="24"/>
          <w:lang w:bidi="en-US"/>
        </w:rPr>
      </w:pPr>
      <w:r w:rsidRPr="007C3CA6">
        <w:rPr>
          <w:rFonts w:ascii="Times New Roman" w:eastAsia="Source Sans Pro" w:hAnsi="Times New Roman"/>
          <w:snapToGrid/>
          <w:szCs w:val="24"/>
          <w:lang w:bidi="en-US"/>
        </w:rPr>
        <w:t xml:space="preserve">Respondents under IC #2 may be providing services to multiple IDIs. According to Subpart C, service providers are required to provide notifications to all IDIs that are affected by a computer security incident that meets the criteria described above. For purposes of this ICR, a response to IC #2 comprises all the activities that the bank service providers must perform to meet the requirements of subpart C </w:t>
      </w:r>
      <w:r w:rsidRPr="007C3CA6">
        <w:rPr>
          <w:rFonts w:ascii="Times New Roman" w:eastAsia="Source Sans Pro" w:hAnsi="Times New Roman"/>
          <w:snapToGrid/>
          <w:szCs w:val="24"/>
          <w:lang w:bidi="en-US"/>
        </w:rPr>
        <w:t>if and when</w:t>
      </w:r>
      <w:r w:rsidRPr="007C3CA6">
        <w:rPr>
          <w:rFonts w:ascii="Times New Roman" w:eastAsia="Source Sans Pro" w:hAnsi="Times New Roman"/>
          <w:snapToGrid/>
          <w:szCs w:val="24"/>
          <w:lang w:bidi="en-US"/>
        </w:rPr>
        <w:t xml:space="preserve"> it experiences a computer-security incident that meets the conditions under 12 CFR 304.24. Given the methodology above that assumes that each of the 2,496 incidents per year are connected to a single respondent,</w:t>
      </w:r>
      <w:r w:rsidR="00B65A99">
        <w:rPr>
          <w:rFonts w:ascii="Times New Roman" w:eastAsia="Source Sans Pro" w:hAnsi="Times New Roman"/>
          <w:snapToGrid/>
          <w:szCs w:val="24"/>
          <w:lang w:bidi="en-US"/>
        </w:rPr>
        <w:t xml:space="preserve"> FDIC</w:t>
      </w:r>
      <w:r w:rsidRPr="007C3CA6">
        <w:rPr>
          <w:rFonts w:ascii="Times New Roman" w:eastAsia="Source Sans Pro" w:hAnsi="Times New Roman"/>
          <w:snapToGrid/>
          <w:szCs w:val="24"/>
          <w:lang w:bidi="en-US"/>
        </w:rPr>
        <w:t xml:space="preserve"> use</w:t>
      </w:r>
      <w:r w:rsidR="00B65A99">
        <w:rPr>
          <w:rFonts w:ascii="Times New Roman" w:eastAsia="Source Sans Pro" w:hAnsi="Times New Roman"/>
          <w:snapToGrid/>
          <w:szCs w:val="24"/>
          <w:lang w:bidi="en-US"/>
        </w:rPr>
        <w:t>s</w:t>
      </w:r>
      <w:r w:rsidRPr="007C3CA6">
        <w:rPr>
          <w:rFonts w:ascii="Times New Roman" w:eastAsia="Source Sans Pro" w:hAnsi="Times New Roman"/>
          <w:snapToGrid/>
          <w:szCs w:val="24"/>
          <w:lang w:bidi="en-US"/>
        </w:rPr>
        <w:t xml:space="preserve"> a count of one annual response per respondent for this IC. This estimate remains unchanged from the estimate in the 2022 ICR.</w:t>
      </w:r>
    </w:p>
    <w:p w:rsidR="006373B7" w:rsidRPr="006373B7" w:rsidP="006373B7" w14:paraId="0ECBFA37" w14:textId="77777777">
      <w:pPr>
        <w:suppressAutoHyphens/>
        <w:autoSpaceDE w:val="0"/>
        <w:autoSpaceDN w:val="0"/>
        <w:spacing w:after="240" w:line="260" w:lineRule="exact"/>
        <w:ind w:firstLine="720"/>
        <w:rPr>
          <w:rFonts w:ascii="Times New Roman" w:eastAsia="Source Sans Pro" w:hAnsi="Times New Roman"/>
          <w:b/>
          <w:snapToGrid/>
          <w:szCs w:val="24"/>
          <w:lang w:bidi="en-US"/>
        </w:rPr>
      </w:pPr>
      <w:r w:rsidRPr="006373B7">
        <w:rPr>
          <w:rFonts w:ascii="Times New Roman" w:eastAsia="Source Sans Pro" w:hAnsi="Times New Roman"/>
          <w:b/>
          <w:snapToGrid/>
          <w:szCs w:val="24"/>
          <w:lang w:bidi="en-US"/>
        </w:rPr>
        <w:t xml:space="preserve">Estimated Hourly Burden </w:t>
      </w:r>
    </w:p>
    <w:p w:rsidR="006373B7" w:rsidRPr="006373B7" w:rsidP="006373B7" w14:paraId="424ACC5F" w14:textId="385C3B65">
      <w:pPr>
        <w:spacing w:after="120"/>
        <w:ind w:left="720"/>
        <w:rPr>
          <w:rFonts w:ascii="Times New Roman" w:eastAsia="Source Sans Pro" w:hAnsi="Times New Roman"/>
          <w:snapToGrid/>
          <w:szCs w:val="24"/>
          <w:lang w:bidi="en-US"/>
        </w:rPr>
      </w:pPr>
      <w:r w:rsidRPr="006373B7">
        <w:rPr>
          <w:rFonts w:ascii="Times New Roman" w:eastAsia="Source Sans Pro" w:hAnsi="Times New Roman"/>
          <w:snapToGrid/>
          <w:szCs w:val="24"/>
          <w:lang w:bidi="en-US"/>
        </w:rPr>
        <w:t xml:space="preserve">The 2022 ICR estimated that, for both ICs in this ICR, respondents will incur approximately three hours of burden. For IC #1, this estimate pertains to all the activities conducted by an IDI to notify its primary federal regulator. For IC #2, this estimate pertains to all activities that a bank service provider conducts to notify bank-designated points-of-contact at each affected IDI after it has experienced a notification incident (IC #2). The </w:t>
      </w:r>
      <w:r w:rsidR="005F3E37">
        <w:rPr>
          <w:rFonts w:ascii="Times New Roman" w:eastAsia="Source Sans Pro" w:hAnsi="Times New Roman"/>
          <w:snapToGrid/>
          <w:szCs w:val="24"/>
          <w:lang w:bidi="en-US"/>
        </w:rPr>
        <w:t>FDIC</w:t>
      </w:r>
      <w:r w:rsidRPr="006373B7">
        <w:rPr>
          <w:rFonts w:ascii="Times New Roman" w:eastAsia="Source Sans Pro" w:hAnsi="Times New Roman"/>
          <w:snapToGrid/>
          <w:szCs w:val="24"/>
          <w:lang w:bidi="en-US"/>
        </w:rPr>
        <w:t xml:space="preserve"> has reviewed this estimate and the underlying regulatory requirements in Subpart C – which have not changed since the publication of the 2022 ICR – and confirms that, based on </w:t>
      </w:r>
      <w:r w:rsidR="005F3E37">
        <w:rPr>
          <w:rFonts w:ascii="Times New Roman" w:eastAsia="Source Sans Pro" w:hAnsi="Times New Roman"/>
          <w:snapToGrid/>
          <w:szCs w:val="24"/>
          <w:lang w:bidi="en-US"/>
        </w:rPr>
        <w:t>its</w:t>
      </w:r>
      <w:r w:rsidRPr="006373B7">
        <w:rPr>
          <w:rFonts w:ascii="Times New Roman" w:eastAsia="Source Sans Pro" w:hAnsi="Times New Roman"/>
          <w:snapToGrid/>
          <w:szCs w:val="24"/>
          <w:lang w:bidi="en-US"/>
        </w:rPr>
        <w:t xml:space="preserve"> supervisory experience, this estimate remains reasonable and appropriate.</w:t>
      </w:r>
    </w:p>
    <w:p w:rsidR="006373B7" w:rsidRPr="006373B7" w:rsidP="006373B7" w14:paraId="4A8F41C9" w14:textId="77777777">
      <w:pPr>
        <w:spacing w:after="120"/>
        <w:ind w:left="720"/>
        <w:rPr>
          <w:rFonts w:ascii="Times New Roman" w:eastAsia="Source Sans Pro" w:hAnsi="Times New Roman"/>
          <w:snapToGrid/>
          <w:szCs w:val="24"/>
          <w:lang w:bidi="en-US"/>
        </w:rPr>
      </w:pPr>
      <w:r w:rsidRPr="006373B7">
        <w:rPr>
          <w:rFonts w:ascii="Times New Roman" w:eastAsia="Source Sans Pro" w:hAnsi="Times New Roman"/>
          <w:snapToGrid/>
          <w:szCs w:val="24"/>
          <w:lang w:bidi="en-US"/>
        </w:rPr>
        <w:t xml:space="preserve">The estimated annual burden for the ICs in this ICR, in hours, is the product of the estimated number of respondents, number of responses per respondent per year, and hours per response, as summarized in Table 1 below. The total estimated annual burden for this ICR is 2,748 hours, an increase of 54 hours from the 2022 ICR (2,694 hours). This increase is due to an increase in the estimated number of respondents in IC #2. This increase is attenuated by a decrease in the estimated annual burden for IC #1. </w:t>
      </w:r>
    </w:p>
    <w:p w:rsidR="007C3CA6" w:rsidRPr="003454F4" w14:paraId="7992F178" w14:textId="77777777">
      <w:pPr>
        <w:ind w:firstLine="720"/>
        <w:rPr>
          <w:rFonts w:ascii="Times New Roman" w:hAnsi="Times New Roman"/>
          <w:szCs w:val="24"/>
          <w:u w:val="single"/>
        </w:rPr>
      </w:pPr>
    </w:p>
    <w:tbl>
      <w:tblPr>
        <w:tblW w:w="9340" w:type="dxa"/>
        <w:tblCellMar>
          <w:top w:w="15" w:type="dxa"/>
        </w:tblCellMar>
        <w:tblLook w:val="04A0"/>
      </w:tblPr>
      <w:tblGrid>
        <w:gridCol w:w="2308"/>
        <w:gridCol w:w="1604"/>
        <w:gridCol w:w="1388"/>
        <w:gridCol w:w="1584"/>
        <w:gridCol w:w="1098"/>
        <w:gridCol w:w="1136"/>
        <w:gridCol w:w="222"/>
      </w:tblGrid>
      <w:tr w14:paraId="6BABF38B" w14:textId="77777777" w:rsidTr="00F11342">
        <w:tblPrEx>
          <w:tblW w:w="9340" w:type="dxa"/>
          <w:tblCellMar>
            <w:top w:w="15" w:type="dxa"/>
          </w:tblCellMar>
          <w:tblLook w:val="04A0"/>
        </w:tblPrEx>
        <w:trPr>
          <w:gridAfter w:val="1"/>
          <w:wAfter w:w="222" w:type="dxa"/>
          <w:trHeight w:val="360"/>
        </w:trPr>
        <w:tc>
          <w:tcPr>
            <w:tcW w:w="911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D34A52" w:rsidRPr="00D34A52" w:rsidP="00D34A52" w14:paraId="03D70A1F" w14:textId="77777777">
            <w:pPr>
              <w:widowControl/>
              <w:jc w:val="center"/>
              <w:rPr>
                <w:rFonts w:ascii="Times New Roman" w:hAnsi="Times New Roman"/>
                <w:snapToGrid/>
                <w:color w:val="000000"/>
                <w:szCs w:val="24"/>
              </w:rPr>
            </w:pPr>
            <w:r w:rsidRPr="00D34A52">
              <w:rPr>
                <w:rFonts w:ascii="Times New Roman" w:hAnsi="Times New Roman"/>
                <w:snapToGrid/>
                <w:color w:val="000000"/>
                <w:szCs w:val="24"/>
              </w:rPr>
              <w:t>Table 1. Summary of Estimated Annual Burden (OMB No. 3064-0214)</w:t>
            </w:r>
          </w:p>
        </w:tc>
      </w:tr>
      <w:tr w14:paraId="4FD7BF1B" w14:textId="77777777" w:rsidTr="00F11342">
        <w:tblPrEx>
          <w:tblW w:w="9340" w:type="dxa"/>
          <w:tblCellMar>
            <w:top w:w="15" w:type="dxa"/>
          </w:tblCellMar>
          <w:tblLook w:val="04A0"/>
        </w:tblPrEx>
        <w:trPr>
          <w:gridAfter w:val="1"/>
          <w:wAfter w:w="222" w:type="dxa"/>
          <w:trHeight w:val="840"/>
        </w:trPr>
        <w:tc>
          <w:tcPr>
            <w:tcW w:w="2308" w:type="dxa"/>
            <w:tcBorders>
              <w:top w:val="nil"/>
              <w:left w:val="single" w:sz="8" w:space="0" w:color="auto"/>
              <w:bottom w:val="single" w:sz="8" w:space="0" w:color="auto"/>
              <w:right w:val="single" w:sz="8" w:space="0" w:color="auto"/>
            </w:tcBorders>
            <w:shd w:val="clear" w:color="auto" w:fill="auto"/>
            <w:vAlign w:val="center"/>
            <w:hideMark/>
          </w:tcPr>
          <w:p w:rsidR="00D34A52" w:rsidRPr="00D34A52" w:rsidP="00D34A52" w14:paraId="3EAB02BF" w14:textId="77777777">
            <w:pPr>
              <w:widowControl/>
              <w:rPr>
                <w:rFonts w:ascii="Times New Roman" w:hAnsi="Times New Roman"/>
                <w:snapToGrid/>
                <w:color w:val="000000"/>
                <w:sz w:val="20"/>
              </w:rPr>
            </w:pPr>
            <w:r w:rsidRPr="00D34A52">
              <w:rPr>
                <w:rFonts w:ascii="Times New Roman" w:hAnsi="Times New Roman"/>
                <w:snapToGrid/>
                <w:color w:val="000000"/>
                <w:sz w:val="20"/>
              </w:rPr>
              <w:t>Information Collection (IC) (Obligation to Respond)</w:t>
            </w:r>
          </w:p>
        </w:tc>
        <w:tc>
          <w:tcPr>
            <w:tcW w:w="1604" w:type="dxa"/>
            <w:tcBorders>
              <w:top w:val="nil"/>
              <w:left w:val="nil"/>
              <w:bottom w:val="single" w:sz="8" w:space="0" w:color="auto"/>
              <w:right w:val="single" w:sz="8" w:space="0" w:color="auto"/>
            </w:tcBorders>
            <w:shd w:val="clear" w:color="auto" w:fill="auto"/>
            <w:vAlign w:val="center"/>
            <w:hideMark/>
          </w:tcPr>
          <w:p w:rsidR="00D34A52" w:rsidRPr="00D34A52" w:rsidP="00D34A52" w14:paraId="41953EEA"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Type of Burden</w:t>
            </w:r>
            <w:r w:rsidRPr="00D34A52">
              <w:rPr>
                <w:rFonts w:ascii="Times New Roman" w:hAnsi="Times New Roman"/>
                <w:snapToGrid/>
                <w:color w:val="000000"/>
                <w:sz w:val="20"/>
              </w:rPr>
              <w:br/>
              <w:t>(Frequency of Response)</w:t>
            </w:r>
          </w:p>
        </w:tc>
        <w:tc>
          <w:tcPr>
            <w:tcW w:w="1388" w:type="dxa"/>
            <w:tcBorders>
              <w:top w:val="nil"/>
              <w:left w:val="nil"/>
              <w:bottom w:val="single" w:sz="8" w:space="0" w:color="auto"/>
              <w:right w:val="single" w:sz="8" w:space="0" w:color="auto"/>
            </w:tcBorders>
            <w:shd w:val="clear" w:color="auto" w:fill="auto"/>
            <w:vAlign w:val="center"/>
            <w:hideMark/>
          </w:tcPr>
          <w:p w:rsidR="00D34A52" w:rsidRPr="00D34A52" w:rsidP="00D34A52" w14:paraId="159B7592"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 xml:space="preserve"> Number of Respondents</w:t>
            </w:r>
          </w:p>
        </w:tc>
        <w:tc>
          <w:tcPr>
            <w:tcW w:w="1584" w:type="dxa"/>
            <w:tcBorders>
              <w:top w:val="nil"/>
              <w:left w:val="nil"/>
              <w:bottom w:val="single" w:sz="8" w:space="0" w:color="auto"/>
              <w:right w:val="single" w:sz="8" w:space="0" w:color="auto"/>
            </w:tcBorders>
            <w:shd w:val="clear" w:color="auto" w:fill="auto"/>
            <w:vAlign w:val="center"/>
            <w:hideMark/>
          </w:tcPr>
          <w:p w:rsidR="00D34A52" w:rsidRPr="00D34A52" w:rsidP="00D34A52" w14:paraId="07FA1E5C"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 xml:space="preserve"> Number of Responses per Respondent</w:t>
            </w:r>
          </w:p>
        </w:tc>
        <w:tc>
          <w:tcPr>
            <w:tcW w:w="1098" w:type="dxa"/>
            <w:tcBorders>
              <w:top w:val="nil"/>
              <w:left w:val="nil"/>
              <w:bottom w:val="single" w:sz="8" w:space="0" w:color="auto"/>
              <w:right w:val="single" w:sz="8" w:space="0" w:color="auto"/>
            </w:tcBorders>
            <w:shd w:val="clear" w:color="auto" w:fill="auto"/>
            <w:vAlign w:val="center"/>
            <w:hideMark/>
          </w:tcPr>
          <w:p w:rsidR="00D34A52" w:rsidRPr="00D34A52" w:rsidP="00D34A52" w14:paraId="216B6B5E"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Time per Response (HH:MM)</w:t>
            </w:r>
          </w:p>
        </w:tc>
        <w:tc>
          <w:tcPr>
            <w:tcW w:w="1136" w:type="dxa"/>
            <w:tcBorders>
              <w:top w:val="nil"/>
              <w:left w:val="nil"/>
              <w:bottom w:val="single" w:sz="8" w:space="0" w:color="auto"/>
              <w:right w:val="single" w:sz="8" w:space="0" w:color="auto"/>
            </w:tcBorders>
            <w:shd w:val="clear" w:color="auto" w:fill="auto"/>
            <w:vAlign w:val="center"/>
            <w:hideMark/>
          </w:tcPr>
          <w:p w:rsidR="00D34A52" w:rsidRPr="00D34A52" w:rsidP="00D34A52" w14:paraId="3102B49D"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Annual Burden (Hours)</w:t>
            </w:r>
          </w:p>
        </w:tc>
      </w:tr>
      <w:tr w14:paraId="38AD70B4" w14:textId="77777777" w:rsidTr="00F11342">
        <w:tblPrEx>
          <w:tblW w:w="9340" w:type="dxa"/>
          <w:tblCellMar>
            <w:top w:w="15" w:type="dxa"/>
          </w:tblCellMar>
          <w:tblLook w:val="04A0"/>
        </w:tblPrEx>
        <w:trPr>
          <w:gridAfter w:val="1"/>
          <w:wAfter w:w="222" w:type="dxa"/>
          <w:trHeight w:val="840"/>
        </w:trPr>
        <w:tc>
          <w:tcPr>
            <w:tcW w:w="2308" w:type="dxa"/>
            <w:tcBorders>
              <w:top w:val="nil"/>
              <w:left w:val="single" w:sz="8" w:space="0" w:color="auto"/>
              <w:bottom w:val="single" w:sz="8" w:space="0" w:color="auto"/>
              <w:right w:val="single" w:sz="8" w:space="0" w:color="auto"/>
            </w:tcBorders>
            <w:shd w:val="clear" w:color="auto" w:fill="auto"/>
            <w:vAlign w:val="center"/>
            <w:hideMark/>
          </w:tcPr>
          <w:p w:rsidR="00D34A52" w:rsidRPr="00D34A52" w:rsidP="00D34A52" w14:paraId="22CB4102" w14:textId="77777777">
            <w:pPr>
              <w:widowControl/>
              <w:rPr>
                <w:rFonts w:ascii="Times New Roman" w:hAnsi="Times New Roman"/>
                <w:snapToGrid/>
                <w:color w:val="000000"/>
                <w:sz w:val="20"/>
              </w:rPr>
            </w:pPr>
            <w:r w:rsidRPr="00D34A52">
              <w:rPr>
                <w:rFonts w:ascii="Times New Roman" w:hAnsi="Times New Roman"/>
                <w:snapToGrid/>
                <w:color w:val="000000"/>
                <w:sz w:val="20"/>
              </w:rPr>
              <w:t>1. Notification Incident Reporting, 12 CFR 304.23 (Mandatory)</w:t>
            </w:r>
          </w:p>
        </w:tc>
        <w:tc>
          <w:tcPr>
            <w:tcW w:w="1604" w:type="dxa"/>
            <w:tcBorders>
              <w:top w:val="nil"/>
              <w:left w:val="nil"/>
              <w:bottom w:val="single" w:sz="8" w:space="0" w:color="auto"/>
              <w:right w:val="single" w:sz="8" w:space="0" w:color="auto"/>
            </w:tcBorders>
            <w:shd w:val="clear" w:color="auto" w:fill="auto"/>
            <w:vAlign w:val="center"/>
            <w:hideMark/>
          </w:tcPr>
          <w:p w:rsidR="00D34A52" w:rsidRPr="00D34A52" w:rsidP="00D34A52" w14:paraId="6A89A72A"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 xml:space="preserve">Reporting </w:t>
            </w:r>
            <w:r w:rsidRPr="00D34A52">
              <w:rPr>
                <w:rFonts w:ascii="Times New Roman" w:hAnsi="Times New Roman"/>
                <w:snapToGrid/>
                <w:color w:val="000000"/>
                <w:sz w:val="20"/>
              </w:rPr>
              <w:br/>
              <w:t>(On Occasion)</w:t>
            </w:r>
          </w:p>
        </w:tc>
        <w:tc>
          <w:tcPr>
            <w:tcW w:w="1388" w:type="dxa"/>
            <w:tcBorders>
              <w:top w:val="nil"/>
              <w:left w:val="nil"/>
              <w:bottom w:val="single" w:sz="8" w:space="0" w:color="auto"/>
              <w:right w:val="single" w:sz="8" w:space="0" w:color="auto"/>
            </w:tcBorders>
            <w:shd w:val="clear" w:color="auto" w:fill="auto"/>
            <w:noWrap/>
            <w:vAlign w:val="center"/>
            <w:hideMark/>
          </w:tcPr>
          <w:p w:rsidR="00D34A52" w:rsidRPr="00D34A52" w:rsidP="00D34A52" w14:paraId="3DDEF45D" w14:textId="77777777">
            <w:pPr>
              <w:widowControl/>
              <w:jc w:val="right"/>
              <w:rPr>
                <w:rFonts w:ascii="Times New Roman" w:hAnsi="Times New Roman"/>
                <w:snapToGrid/>
                <w:color w:val="000000"/>
                <w:sz w:val="20"/>
              </w:rPr>
            </w:pPr>
            <w:r w:rsidRPr="00D34A52">
              <w:rPr>
                <w:rFonts w:ascii="Times New Roman" w:hAnsi="Times New Roman"/>
                <w:snapToGrid/>
                <w:color w:val="000000"/>
                <w:sz w:val="20"/>
              </w:rPr>
              <w:t>67</w:t>
            </w:r>
          </w:p>
        </w:tc>
        <w:tc>
          <w:tcPr>
            <w:tcW w:w="1584" w:type="dxa"/>
            <w:tcBorders>
              <w:top w:val="nil"/>
              <w:left w:val="nil"/>
              <w:bottom w:val="single" w:sz="8" w:space="0" w:color="auto"/>
              <w:right w:val="single" w:sz="8" w:space="0" w:color="auto"/>
            </w:tcBorders>
            <w:shd w:val="clear" w:color="auto" w:fill="auto"/>
            <w:noWrap/>
            <w:vAlign w:val="center"/>
            <w:hideMark/>
          </w:tcPr>
          <w:p w:rsidR="00D34A52" w:rsidRPr="00D34A52" w:rsidP="00D34A52" w14:paraId="2D516229" w14:textId="77777777">
            <w:pPr>
              <w:widowControl/>
              <w:jc w:val="right"/>
              <w:rPr>
                <w:rFonts w:ascii="Times New Roman" w:hAnsi="Times New Roman"/>
                <w:snapToGrid/>
                <w:color w:val="000000"/>
                <w:sz w:val="20"/>
              </w:rPr>
            </w:pPr>
            <w:r w:rsidRPr="00D34A52">
              <w:rPr>
                <w:rFonts w:ascii="Times New Roman" w:hAnsi="Times New Roman"/>
                <w:snapToGrid/>
                <w:color w:val="000000"/>
                <w:sz w:val="20"/>
              </w:rPr>
              <w:t>1.25</w:t>
            </w:r>
          </w:p>
        </w:tc>
        <w:tc>
          <w:tcPr>
            <w:tcW w:w="1098" w:type="dxa"/>
            <w:tcBorders>
              <w:top w:val="nil"/>
              <w:left w:val="nil"/>
              <w:bottom w:val="single" w:sz="8" w:space="0" w:color="auto"/>
              <w:right w:val="nil"/>
            </w:tcBorders>
            <w:shd w:val="clear" w:color="auto" w:fill="auto"/>
            <w:vAlign w:val="center"/>
            <w:hideMark/>
          </w:tcPr>
          <w:p w:rsidR="00D34A52" w:rsidRPr="00D34A52" w:rsidP="00D34A52" w14:paraId="262F9896" w14:textId="77777777">
            <w:pPr>
              <w:widowControl/>
              <w:jc w:val="right"/>
              <w:rPr>
                <w:rFonts w:ascii="Times New Roman" w:hAnsi="Times New Roman"/>
                <w:snapToGrid/>
                <w:color w:val="000000"/>
                <w:sz w:val="20"/>
              </w:rPr>
            </w:pPr>
            <w:r w:rsidRPr="00D34A52">
              <w:rPr>
                <w:rFonts w:ascii="Times New Roman" w:hAnsi="Times New Roman"/>
                <w:snapToGrid/>
                <w:color w:val="000000"/>
                <w:sz w:val="20"/>
              </w:rPr>
              <w:t>03:00</w:t>
            </w:r>
          </w:p>
        </w:tc>
        <w:tc>
          <w:tcPr>
            <w:tcW w:w="1136" w:type="dxa"/>
            <w:tcBorders>
              <w:top w:val="nil"/>
              <w:left w:val="single" w:sz="8" w:space="0" w:color="auto"/>
              <w:bottom w:val="single" w:sz="8" w:space="0" w:color="auto"/>
              <w:right w:val="single" w:sz="8" w:space="0" w:color="auto"/>
            </w:tcBorders>
            <w:shd w:val="clear" w:color="auto" w:fill="auto"/>
            <w:noWrap/>
            <w:vAlign w:val="center"/>
            <w:hideMark/>
          </w:tcPr>
          <w:p w:rsidR="00D34A52" w:rsidRPr="00D34A52" w:rsidP="00D34A52" w14:paraId="0AFD763B" w14:textId="77777777">
            <w:pPr>
              <w:widowControl/>
              <w:jc w:val="right"/>
              <w:rPr>
                <w:rFonts w:ascii="Times New Roman" w:hAnsi="Times New Roman"/>
                <w:snapToGrid/>
                <w:color w:val="000000"/>
                <w:sz w:val="20"/>
              </w:rPr>
            </w:pPr>
            <w:r w:rsidRPr="00D34A52">
              <w:rPr>
                <w:rFonts w:ascii="Times New Roman" w:hAnsi="Times New Roman"/>
                <w:snapToGrid/>
                <w:color w:val="000000"/>
                <w:sz w:val="20"/>
              </w:rPr>
              <w:t>252</w:t>
            </w:r>
          </w:p>
        </w:tc>
      </w:tr>
      <w:tr w14:paraId="5155172B" w14:textId="77777777" w:rsidTr="00F11342">
        <w:tblPrEx>
          <w:tblW w:w="9340" w:type="dxa"/>
          <w:tblCellMar>
            <w:top w:w="15" w:type="dxa"/>
          </w:tblCellMar>
          <w:tblLook w:val="04A0"/>
        </w:tblPrEx>
        <w:trPr>
          <w:gridAfter w:val="1"/>
          <w:wAfter w:w="222" w:type="dxa"/>
          <w:trHeight w:val="840"/>
        </w:trPr>
        <w:tc>
          <w:tcPr>
            <w:tcW w:w="2308" w:type="dxa"/>
            <w:tcBorders>
              <w:top w:val="nil"/>
              <w:left w:val="single" w:sz="8" w:space="0" w:color="auto"/>
              <w:bottom w:val="single" w:sz="8" w:space="0" w:color="auto"/>
              <w:right w:val="single" w:sz="8" w:space="0" w:color="auto"/>
            </w:tcBorders>
            <w:shd w:val="clear" w:color="auto" w:fill="auto"/>
            <w:vAlign w:val="center"/>
            <w:hideMark/>
          </w:tcPr>
          <w:p w:rsidR="00D34A52" w:rsidRPr="00D34A52" w:rsidP="00D34A52" w14:paraId="70C976DD" w14:textId="77777777">
            <w:pPr>
              <w:widowControl/>
              <w:rPr>
                <w:rFonts w:ascii="Times New Roman" w:hAnsi="Times New Roman"/>
                <w:snapToGrid/>
                <w:color w:val="000000"/>
                <w:sz w:val="20"/>
              </w:rPr>
            </w:pPr>
            <w:r w:rsidRPr="00D34A52">
              <w:rPr>
                <w:rFonts w:ascii="Times New Roman" w:hAnsi="Times New Roman"/>
                <w:snapToGrid/>
                <w:color w:val="000000"/>
                <w:sz w:val="20"/>
              </w:rPr>
              <w:t>2. Service Provider Notification, 12 CFR 304.24 (Mandatory)</w:t>
            </w:r>
          </w:p>
        </w:tc>
        <w:tc>
          <w:tcPr>
            <w:tcW w:w="1604" w:type="dxa"/>
            <w:tcBorders>
              <w:top w:val="nil"/>
              <w:left w:val="nil"/>
              <w:bottom w:val="single" w:sz="8" w:space="0" w:color="auto"/>
              <w:right w:val="single" w:sz="8" w:space="0" w:color="auto"/>
            </w:tcBorders>
            <w:shd w:val="clear" w:color="auto" w:fill="auto"/>
            <w:vAlign w:val="center"/>
            <w:hideMark/>
          </w:tcPr>
          <w:p w:rsidR="00D34A52" w:rsidRPr="00D34A52" w:rsidP="00D34A52" w14:paraId="7BE1F571"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Third-Party Disclosure</w:t>
            </w:r>
            <w:r w:rsidRPr="00D34A52">
              <w:rPr>
                <w:rFonts w:ascii="Times New Roman" w:hAnsi="Times New Roman"/>
                <w:snapToGrid/>
                <w:color w:val="000000"/>
                <w:sz w:val="20"/>
              </w:rPr>
              <w:br/>
              <w:t>(On Occasion)</w:t>
            </w:r>
          </w:p>
        </w:tc>
        <w:tc>
          <w:tcPr>
            <w:tcW w:w="1388" w:type="dxa"/>
            <w:tcBorders>
              <w:top w:val="nil"/>
              <w:left w:val="nil"/>
              <w:bottom w:val="single" w:sz="8" w:space="0" w:color="auto"/>
              <w:right w:val="single" w:sz="8" w:space="0" w:color="auto"/>
            </w:tcBorders>
            <w:shd w:val="clear" w:color="auto" w:fill="auto"/>
            <w:noWrap/>
            <w:vAlign w:val="center"/>
            <w:hideMark/>
          </w:tcPr>
          <w:p w:rsidR="00D34A52" w:rsidRPr="00D34A52" w:rsidP="00D34A52" w14:paraId="2691E551" w14:textId="77777777">
            <w:pPr>
              <w:widowControl/>
              <w:jc w:val="right"/>
              <w:rPr>
                <w:rFonts w:ascii="Times New Roman" w:hAnsi="Times New Roman"/>
                <w:snapToGrid/>
                <w:color w:val="000000"/>
                <w:sz w:val="20"/>
              </w:rPr>
            </w:pPr>
            <w:r w:rsidRPr="00D34A52">
              <w:rPr>
                <w:rFonts w:ascii="Times New Roman" w:hAnsi="Times New Roman"/>
                <w:snapToGrid/>
                <w:color w:val="000000"/>
                <w:sz w:val="20"/>
              </w:rPr>
              <w:t>832</w:t>
            </w:r>
          </w:p>
        </w:tc>
        <w:tc>
          <w:tcPr>
            <w:tcW w:w="1584" w:type="dxa"/>
            <w:tcBorders>
              <w:top w:val="nil"/>
              <w:left w:val="nil"/>
              <w:bottom w:val="single" w:sz="8" w:space="0" w:color="auto"/>
              <w:right w:val="single" w:sz="8" w:space="0" w:color="auto"/>
            </w:tcBorders>
            <w:shd w:val="clear" w:color="auto" w:fill="auto"/>
            <w:noWrap/>
            <w:vAlign w:val="center"/>
            <w:hideMark/>
          </w:tcPr>
          <w:p w:rsidR="00D34A52" w:rsidRPr="00D34A52" w:rsidP="00D34A52" w14:paraId="4617123E" w14:textId="77777777">
            <w:pPr>
              <w:widowControl/>
              <w:jc w:val="right"/>
              <w:rPr>
                <w:rFonts w:ascii="Times New Roman" w:hAnsi="Times New Roman"/>
                <w:snapToGrid/>
                <w:color w:val="000000"/>
                <w:sz w:val="20"/>
              </w:rPr>
            </w:pPr>
            <w:r w:rsidRPr="00D34A52">
              <w:rPr>
                <w:rFonts w:ascii="Times New Roman" w:hAnsi="Times New Roman"/>
                <w:snapToGrid/>
                <w:color w:val="000000"/>
                <w:sz w:val="20"/>
              </w:rPr>
              <w:t>1</w:t>
            </w:r>
          </w:p>
        </w:tc>
        <w:tc>
          <w:tcPr>
            <w:tcW w:w="1098" w:type="dxa"/>
            <w:tcBorders>
              <w:top w:val="nil"/>
              <w:left w:val="nil"/>
              <w:bottom w:val="single" w:sz="8" w:space="0" w:color="auto"/>
              <w:right w:val="nil"/>
            </w:tcBorders>
            <w:shd w:val="clear" w:color="auto" w:fill="auto"/>
            <w:vAlign w:val="center"/>
            <w:hideMark/>
          </w:tcPr>
          <w:p w:rsidR="00D34A52" w:rsidRPr="00D34A52" w:rsidP="00D34A52" w14:paraId="7E23A8BD" w14:textId="77777777">
            <w:pPr>
              <w:widowControl/>
              <w:jc w:val="right"/>
              <w:rPr>
                <w:rFonts w:ascii="Times New Roman" w:hAnsi="Times New Roman"/>
                <w:snapToGrid/>
                <w:color w:val="000000"/>
                <w:sz w:val="20"/>
              </w:rPr>
            </w:pPr>
            <w:r w:rsidRPr="00D34A52">
              <w:rPr>
                <w:rFonts w:ascii="Times New Roman" w:hAnsi="Times New Roman"/>
                <w:snapToGrid/>
                <w:color w:val="000000"/>
                <w:sz w:val="20"/>
              </w:rPr>
              <w:t>03:00</w:t>
            </w:r>
          </w:p>
        </w:tc>
        <w:tc>
          <w:tcPr>
            <w:tcW w:w="1136" w:type="dxa"/>
            <w:tcBorders>
              <w:top w:val="nil"/>
              <w:left w:val="single" w:sz="8" w:space="0" w:color="auto"/>
              <w:bottom w:val="single" w:sz="8" w:space="0" w:color="auto"/>
              <w:right w:val="single" w:sz="8" w:space="0" w:color="auto"/>
            </w:tcBorders>
            <w:shd w:val="clear" w:color="auto" w:fill="auto"/>
            <w:noWrap/>
            <w:vAlign w:val="center"/>
            <w:hideMark/>
          </w:tcPr>
          <w:p w:rsidR="00D34A52" w:rsidRPr="00D34A52" w:rsidP="00D34A52" w14:paraId="390D6128" w14:textId="77777777">
            <w:pPr>
              <w:widowControl/>
              <w:jc w:val="right"/>
              <w:rPr>
                <w:rFonts w:ascii="Times New Roman" w:hAnsi="Times New Roman"/>
                <w:snapToGrid/>
                <w:color w:val="000000"/>
                <w:sz w:val="20"/>
              </w:rPr>
            </w:pPr>
            <w:r w:rsidRPr="00D34A52">
              <w:rPr>
                <w:rFonts w:ascii="Times New Roman" w:hAnsi="Times New Roman"/>
                <w:snapToGrid/>
                <w:color w:val="000000"/>
                <w:sz w:val="20"/>
              </w:rPr>
              <w:t>2,496</w:t>
            </w:r>
          </w:p>
        </w:tc>
      </w:tr>
      <w:tr w14:paraId="45FD6352" w14:textId="77777777" w:rsidTr="00F11342">
        <w:tblPrEx>
          <w:tblW w:w="9340" w:type="dxa"/>
          <w:tblCellMar>
            <w:top w:w="15" w:type="dxa"/>
          </w:tblCellMar>
          <w:tblLook w:val="04A0"/>
        </w:tblPrEx>
        <w:trPr>
          <w:gridAfter w:val="1"/>
          <w:wAfter w:w="222" w:type="dxa"/>
          <w:trHeight w:val="300"/>
        </w:trPr>
        <w:tc>
          <w:tcPr>
            <w:tcW w:w="7982" w:type="dxa"/>
            <w:gridSpan w:val="5"/>
            <w:tcBorders>
              <w:top w:val="single" w:sz="8" w:space="0" w:color="auto"/>
              <w:left w:val="single" w:sz="8" w:space="0" w:color="auto"/>
              <w:bottom w:val="single" w:sz="8" w:space="0" w:color="auto"/>
              <w:right w:val="nil"/>
            </w:tcBorders>
            <w:shd w:val="clear" w:color="000000" w:fill="FFFFFF"/>
            <w:noWrap/>
            <w:vAlign w:val="center"/>
            <w:hideMark/>
          </w:tcPr>
          <w:p w:rsidR="00D34A52" w:rsidRPr="00D34A52" w:rsidP="00D34A52" w14:paraId="4866AC14" w14:textId="77777777">
            <w:pPr>
              <w:widowControl/>
              <w:jc w:val="right"/>
              <w:rPr>
                <w:rFonts w:ascii="Times New Roman" w:hAnsi="Times New Roman"/>
                <w:b/>
                <w:bCs/>
                <w:i/>
                <w:iCs/>
                <w:snapToGrid/>
                <w:color w:val="000000"/>
                <w:sz w:val="22"/>
                <w:szCs w:val="22"/>
              </w:rPr>
            </w:pPr>
            <w:r w:rsidRPr="00D34A52">
              <w:rPr>
                <w:rFonts w:ascii="Times New Roman" w:hAnsi="Times New Roman"/>
                <w:b/>
                <w:bCs/>
                <w:i/>
                <w:iCs/>
                <w:snapToGrid/>
                <w:color w:val="000000"/>
                <w:sz w:val="22"/>
                <w:szCs w:val="22"/>
              </w:rPr>
              <w:t>Total Annual Burden (Hours):</w:t>
            </w:r>
          </w:p>
        </w:tc>
        <w:tc>
          <w:tcPr>
            <w:tcW w:w="1136" w:type="dxa"/>
            <w:tcBorders>
              <w:top w:val="nil"/>
              <w:left w:val="nil"/>
              <w:bottom w:val="single" w:sz="8" w:space="0" w:color="auto"/>
              <w:right w:val="single" w:sz="8" w:space="0" w:color="auto"/>
            </w:tcBorders>
            <w:shd w:val="clear" w:color="auto" w:fill="auto"/>
            <w:noWrap/>
            <w:vAlign w:val="bottom"/>
            <w:hideMark/>
          </w:tcPr>
          <w:p w:rsidR="00D34A52" w:rsidRPr="00D34A52" w:rsidP="00D34A52" w14:paraId="25E464D7" w14:textId="77777777">
            <w:pPr>
              <w:widowControl/>
              <w:jc w:val="right"/>
              <w:rPr>
                <w:rFonts w:ascii="Times New Roman" w:hAnsi="Times New Roman"/>
                <w:b/>
                <w:bCs/>
                <w:i/>
                <w:iCs/>
                <w:snapToGrid/>
                <w:color w:val="000000"/>
                <w:sz w:val="22"/>
                <w:szCs w:val="22"/>
              </w:rPr>
            </w:pPr>
            <w:r w:rsidRPr="00D34A52">
              <w:rPr>
                <w:rFonts w:ascii="Times New Roman" w:hAnsi="Times New Roman"/>
                <w:b/>
                <w:bCs/>
                <w:i/>
                <w:iCs/>
                <w:snapToGrid/>
                <w:color w:val="000000"/>
                <w:sz w:val="22"/>
                <w:szCs w:val="22"/>
              </w:rPr>
              <w:t>2,748</w:t>
            </w:r>
          </w:p>
        </w:tc>
      </w:tr>
      <w:tr w14:paraId="13FAC7B6" w14:textId="77777777" w:rsidTr="00F11342">
        <w:tblPrEx>
          <w:tblW w:w="9340" w:type="dxa"/>
          <w:tblCellMar>
            <w:top w:w="15" w:type="dxa"/>
          </w:tblCellMar>
          <w:tblLook w:val="04A0"/>
        </w:tblPrEx>
        <w:trPr>
          <w:gridAfter w:val="1"/>
          <w:wAfter w:w="222" w:type="dxa"/>
          <w:trHeight w:val="252"/>
        </w:trPr>
        <w:tc>
          <w:tcPr>
            <w:tcW w:w="9118" w:type="dxa"/>
            <w:gridSpan w:val="6"/>
            <w:tcBorders>
              <w:top w:val="single" w:sz="8" w:space="0" w:color="auto"/>
              <w:left w:val="single" w:sz="8" w:space="0" w:color="auto"/>
              <w:bottom w:val="nil"/>
              <w:right w:val="single" w:sz="8" w:space="0" w:color="000000"/>
            </w:tcBorders>
            <w:shd w:val="clear" w:color="auto" w:fill="auto"/>
            <w:noWrap/>
            <w:hideMark/>
          </w:tcPr>
          <w:p w:rsidR="00D34A52" w:rsidRPr="00D34A52" w:rsidP="00D34A52" w14:paraId="24D82B1D" w14:textId="77777777">
            <w:pPr>
              <w:widowControl/>
              <w:rPr>
                <w:rFonts w:ascii="Times New Roman" w:hAnsi="Times New Roman"/>
                <w:snapToGrid/>
                <w:color w:val="000000"/>
                <w:sz w:val="18"/>
                <w:szCs w:val="18"/>
              </w:rPr>
            </w:pPr>
            <w:r w:rsidRPr="00D34A52">
              <w:rPr>
                <w:rFonts w:ascii="Times New Roman" w:hAnsi="Times New Roman"/>
                <w:snapToGrid/>
                <w:color w:val="000000"/>
                <w:sz w:val="18"/>
                <w:szCs w:val="18"/>
              </w:rPr>
              <w:t>Source: FDIC.</w:t>
            </w:r>
          </w:p>
        </w:tc>
      </w:tr>
      <w:tr w14:paraId="377B755B" w14:textId="77777777" w:rsidTr="00F11342">
        <w:tblPrEx>
          <w:tblW w:w="9340" w:type="dxa"/>
          <w:tblCellMar>
            <w:top w:w="15" w:type="dxa"/>
          </w:tblCellMar>
          <w:tblLook w:val="04A0"/>
        </w:tblPrEx>
        <w:trPr>
          <w:gridAfter w:val="1"/>
          <w:wAfter w:w="222" w:type="dxa"/>
          <w:trHeight w:val="288"/>
        </w:trPr>
        <w:tc>
          <w:tcPr>
            <w:tcW w:w="9118" w:type="dxa"/>
            <w:gridSpan w:val="6"/>
            <w:vMerge w:val="restart"/>
            <w:tcBorders>
              <w:top w:val="nil"/>
              <w:left w:val="single" w:sz="8" w:space="0" w:color="auto"/>
              <w:bottom w:val="single" w:sz="8" w:space="0" w:color="000000"/>
              <w:right w:val="single" w:sz="8" w:space="0" w:color="000000"/>
            </w:tcBorders>
            <w:shd w:val="clear" w:color="auto" w:fill="auto"/>
            <w:vAlign w:val="center"/>
            <w:hideMark/>
          </w:tcPr>
          <w:p w:rsidR="00D34A52" w:rsidRPr="00D34A52" w:rsidP="00D34A52" w14:paraId="16CC523C" w14:textId="77777777">
            <w:pPr>
              <w:widowControl/>
              <w:rPr>
                <w:rFonts w:ascii="Times New Roman" w:hAnsi="Times New Roman"/>
                <w:snapToGrid/>
                <w:color w:val="000000"/>
                <w:sz w:val="18"/>
                <w:szCs w:val="18"/>
              </w:rPr>
            </w:pPr>
            <w:r w:rsidRPr="00D34A52">
              <w:rPr>
                <w:rFonts w:ascii="Times New Roman" w:hAnsi="Times New Roman"/>
                <w:snapToGrid/>
                <w:color w:val="000000"/>
                <w:sz w:val="18"/>
                <w:szCs w:val="18"/>
              </w:rPr>
              <w:t xml:space="preserve">Note: The estimated annual IC time burden is the product, rounded to the nearest hour, of the estimated annual number of responses and the estimated time per response for a given IC. The estimated annual number of responses is the product, rounded to the nearest whole number, of the estimated annual number of respondents and the estimated annual number of </w:t>
            </w:r>
            <w:r w:rsidRPr="00D34A52">
              <w:rPr>
                <w:rFonts w:ascii="Times New Roman" w:hAnsi="Times New Roman"/>
                <w:snapToGrid/>
                <w:color w:val="000000"/>
                <w:sz w:val="18"/>
                <w:szCs w:val="18"/>
              </w:rPr>
              <w:t>responses per respondent. This methodology ensures the estimated annual burdens in the table are consistent with the values recorded in OMB’s consolidated information system.</w:t>
            </w:r>
          </w:p>
        </w:tc>
      </w:tr>
      <w:tr w14:paraId="420A93F3" w14:textId="77777777" w:rsidTr="00F11342">
        <w:tblPrEx>
          <w:tblW w:w="9340" w:type="dxa"/>
          <w:tblCellMar>
            <w:top w:w="15" w:type="dxa"/>
          </w:tblCellMar>
          <w:tblLook w:val="04A0"/>
        </w:tblPrEx>
        <w:trPr>
          <w:trHeight w:val="288"/>
        </w:trPr>
        <w:tc>
          <w:tcPr>
            <w:tcW w:w="9118" w:type="dxa"/>
            <w:gridSpan w:val="6"/>
            <w:vMerge/>
            <w:tcBorders>
              <w:top w:val="nil"/>
              <w:left w:val="single" w:sz="8" w:space="0" w:color="auto"/>
              <w:bottom w:val="single" w:sz="8" w:space="0" w:color="000000"/>
              <w:right w:val="single" w:sz="8" w:space="0" w:color="000000"/>
            </w:tcBorders>
            <w:vAlign w:val="center"/>
            <w:hideMark/>
          </w:tcPr>
          <w:p w:rsidR="00D34A52" w:rsidRPr="00D34A52" w:rsidP="00D34A52" w14:paraId="1651E852" w14:textId="77777777">
            <w:pPr>
              <w:widowControl/>
              <w:rPr>
                <w:rFonts w:ascii="Times New Roman" w:hAnsi="Times New Roman"/>
                <w:snapToGrid/>
                <w:color w:val="000000"/>
                <w:sz w:val="18"/>
                <w:szCs w:val="18"/>
              </w:rPr>
            </w:pPr>
          </w:p>
        </w:tc>
        <w:tc>
          <w:tcPr>
            <w:tcW w:w="222" w:type="dxa"/>
            <w:tcBorders>
              <w:top w:val="nil"/>
              <w:left w:val="nil"/>
              <w:bottom w:val="nil"/>
              <w:right w:val="nil"/>
            </w:tcBorders>
            <w:shd w:val="clear" w:color="auto" w:fill="auto"/>
            <w:noWrap/>
            <w:vAlign w:val="bottom"/>
            <w:hideMark/>
          </w:tcPr>
          <w:p w:rsidR="00D34A52" w:rsidRPr="00D34A52" w:rsidP="00D34A52" w14:paraId="5F4A5779" w14:textId="77777777">
            <w:pPr>
              <w:widowControl/>
              <w:rPr>
                <w:rFonts w:ascii="Times New Roman" w:hAnsi="Times New Roman"/>
                <w:snapToGrid/>
                <w:color w:val="000000"/>
                <w:sz w:val="18"/>
                <w:szCs w:val="18"/>
              </w:rPr>
            </w:pPr>
          </w:p>
        </w:tc>
      </w:tr>
      <w:tr w14:paraId="4301A5E1" w14:textId="77777777" w:rsidTr="00F11342">
        <w:tblPrEx>
          <w:tblW w:w="9340" w:type="dxa"/>
          <w:tblCellMar>
            <w:top w:w="15" w:type="dxa"/>
          </w:tblCellMar>
          <w:tblLook w:val="04A0"/>
        </w:tblPrEx>
        <w:trPr>
          <w:trHeight w:val="312"/>
        </w:trPr>
        <w:tc>
          <w:tcPr>
            <w:tcW w:w="9118" w:type="dxa"/>
            <w:gridSpan w:val="6"/>
            <w:vMerge/>
            <w:tcBorders>
              <w:top w:val="nil"/>
              <w:left w:val="single" w:sz="8" w:space="0" w:color="auto"/>
              <w:bottom w:val="single" w:sz="8" w:space="0" w:color="000000"/>
              <w:right w:val="single" w:sz="8" w:space="0" w:color="000000"/>
            </w:tcBorders>
            <w:vAlign w:val="center"/>
            <w:hideMark/>
          </w:tcPr>
          <w:p w:rsidR="00D34A52" w:rsidRPr="00D34A52" w:rsidP="00D34A52" w14:paraId="2ADAA6B2" w14:textId="77777777">
            <w:pPr>
              <w:widowControl/>
              <w:rPr>
                <w:rFonts w:ascii="Times New Roman" w:hAnsi="Times New Roman"/>
                <w:snapToGrid/>
                <w:color w:val="000000"/>
                <w:sz w:val="18"/>
                <w:szCs w:val="18"/>
              </w:rPr>
            </w:pPr>
          </w:p>
        </w:tc>
        <w:tc>
          <w:tcPr>
            <w:tcW w:w="222" w:type="dxa"/>
            <w:tcBorders>
              <w:top w:val="nil"/>
              <w:left w:val="nil"/>
              <w:bottom w:val="nil"/>
              <w:right w:val="nil"/>
            </w:tcBorders>
            <w:shd w:val="clear" w:color="auto" w:fill="auto"/>
            <w:noWrap/>
            <w:vAlign w:val="bottom"/>
            <w:hideMark/>
          </w:tcPr>
          <w:p w:rsidR="00D34A52" w:rsidRPr="00D34A52" w:rsidP="00D34A52" w14:paraId="2139D734" w14:textId="77777777">
            <w:pPr>
              <w:widowControl/>
              <w:rPr>
                <w:rFonts w:ascii="Times New Roman" w:hAnsi="Times New Roman"/>
                <w:snapToGrid/>
                <w:sz w:val="20"/>
              </w:rPr>
            </w:pPr>
          </w:p>
        </w:tc>
      </w:tr>
      <w:tr w14:paraId="5C48FC4C" w14:textId="77777777" w:rsidTr="00F11342">
        <w:tblPrEx>
          <w:tblW w:w="9340" w:type="dxa"/>
          <w:tblCellMar>
            <w:top w:w="15" w:type="dxa"/>
          </w:tblCellMar>
          <w:tblLook w:val="04A0"/>
        </w:tblPrEx>
        <w:trPr>
          <w:trHeight w:val="348"/>
        </w:trPr>
        <w:tc>
          <w:tcPr>
            <w:tcW w:w="9118" w:type="dxa"/>
            <w:gridSpan w:val="6"/>
            <w:vMerge/>
            <w:tcBorders>
              <w:top w:val="nil"/>
              <w:left w:val="single" w:sz="8" w:space="0" w:color="auto"/>
              <w:bottom w:val="single" w:sz="8" w:space="0" w:color="000000"/>
              <w:right w:val="single" w:sz="8" w:space="0" w:color="000000"/>
            </w:tcBorders>
            <w:vAlign w:val="center"/>
            <w:hideMark/>
          </w:tcPr>
          <w:p w:rsidR="00D34A52" w:rsidRPr="00D34A52" w:rsidP="00D34A52" w14:paraId="31458739" w14:textId="77777777">
            <w:pPr>
              <w:widowControl/>
              <w:rPr>
                <w:rFonts w:ascii="Times New Roman" w:hAnsi="Times New Roman"/>
                <w:snapToGrid/>
                <w:color w:val="000000"/>
                <w:sz w:val="18"/>
                <w:szCs w:val="18"/>
              </w:rPr>
            </w:pPr>
          </w:p>
        </w:tc>
        <w:tc>
          <w:tcPr>
            <w:tcW w:w="222" w:type="dxa"/>
            <w:tcBorders>
              <w:top w:val="nil"/>
              <w:left w:val="nil"/>
              <w:bottom w:val="nil"/>
              <w:right w:val="nil"/>
            </w:tcBorders>
            <w:shd w:val="clear" w:color="auto" w:fill="auto"/>
            <w:noWrap/>
            <w:vAlign w:val="bottom"/>
            <w:hideMark/>
          </w:tcPr>
          <w:p w:rsidR="00D34A52" w:rsidRPr="00D34A52" w:rsidP="00D34A52" w14:paraId="5361716B" w14:textId="77777777">
            <w:pPr>
              <w:widowControl/>
              <w:rPr>
                <w:rFonts w:ascii="Times New Roman" w:hAnsi="Times New Roman"/>
                <w:snapToGrid/>
                <w:sz w:val="20"/>
              </w:rPr>
            </w:pPr>
          </w:p>
        </w:tc>
      </w:tr>
    </w:tbl>
    <w:p w:rsidR="00FC1474" w:rsidP="00B45163" w14:paraId="55675A06" w14:textId="77777777">
      <w:pPr>
        <w:rPr>
          <w:rFonts w:ascii="Times New Roman" w:hAnsi="Times New Roman"/>
        </w:rPr>
      </w:pPr>
    </w:p>
    <w:p w:rsidR="00D34A52" w:rsidRPr="00D34A52" w:rsidP="00D34A52" w14:paraId="6CA772F3" w14:textId="000D05C8">
      <w:pPr>
        <w:suppressAutoHyphens/>
        <w:autoSpaceDE w:val="0"/>
        <w:autoSpaceDN w:val="0"/>
        <w:spacing w:after="240" w:line="260" w:lineRule="exact"/>
        <w:ind w:firstLine="720"/>
        <w:rPr>
          <w:rFonts w:ascii="Times New Roman" w:eastAsia="Source Sans Pro" w:hAnsi="Times New Roman"/>
          <w:b/>
          <w:snapToGrid/>
          <w:szCs w:val="24"/>
          <w:lang w:bidi="en-US"/>
        </w:rPr>
      </w:pPr>
      <w:r w:rsidRPr="00D34A52">
        <w:rPr>
          <w:rFonts w:ascii="Times New Roman" w:eastAsia="Source Sans Pro" w:hAnsi="Times New Roman"/>
          <w:b/>
          <w:snapToGrid/>
          <w:szCs w:val="24"/>
          <w:lang w:bidi="en-US"/>
        </w:rPr>
        <w:t>Total Estimated Hourly Labor Compensation Rates</w:t>
      </w:r>
    </w:p>
    <w:p w:rsidR="00D34A52" w:rsidRPr="00D34A52" w:rsidP="00D34A52" w14:paraId="6EF1BE4C" w14:textId="1DCF71B9">
      <w:pPr>
        <w:spacing w:after="120"/>
        <w:ind w:left="720"/>
        <w:rPr>
          <w:rFonts w:ascii="Times New Roman" w:hAnsi="Times New Roman"/>
          <w:snapToGrid/>
          <w:szCs w:val="24"/>
        </w:rPr>
      </w:pPr>
      <w:r w:rsidRPr="00D34A52">
        <w:rPr>
          <w:rFonts w:ascii="Times New Roman" w:hAnsi="Times New Roman"/>
          <w:snapToGrid/>
          <w:szCs w:val="24"/>
        </w:rPr>
        <w:t xml:space="preserve">To estimate the average cost of compensation per hour, </w:t>
      </w:r>
      <w:r>
        <w:rPr>
          <w:rFonts w:ascii="Times New Roman" w:hAnsi="Times New Roman"/>
          <w:snapToGrid/>
          <w:szCs w:val="24"/>
        </w:rPr>
        <w:t>FDIC</w:t>
      </w:r>
      <w:r w:rsidRPr="00D34A52">
        <w:rPr>
          <w:rFonts w:ascii="Times New Roman" w:hAnsi="Times New Roman"/>
          <w:snapToGrid/>
          <w:szCs w:val="24"/>
        </w:rPr>
        <w:t xml:space="preserve"> use</w:t>
      </w:r>
      <w:r>
        <w:rPr>
          <w:rFonts w:ascii="Times New Roman" w:hAnsi="Times New Roman"/>
          <w:snapToGrid/>
          <w:szCs w:val="24"/>
        </w:rPr>
        <w:t>s</w:t>
      </w:r>
      <w:r w:rsidRPr="00D34A52">
        <w:rPr>
          <w:rFonts w:ascii="Times New Roman" w:hAnsi="Times New Roman"/>
          <w:snapToGrid/>
          <w:szCs w:val="24"/>
        </w:rPr>
        <w:t xml:space="preserve"> the 75th percentile hourly wages reported by the Bureau of Labor Statistics (BLS) National Industry-Specific </w:t>
      </w:r>
      <w:r w:rsidRPr="00D34A52">
        <w:rPr>
          <w:rFonts w:ascii="Times New Roman" w:eastAsia="Source Sans Pro" w:hAnsi="Times New Roman"/>
          <w:snapToGrid/>
          <w:szCs w:val="24"/>
          <w:lang w:bidi="en-US"/>
        </w:rPr>
        <w:t>Occupational Employment and Wage Estimates (OEWS) for the relevant occupations in</w:t>
      </w:r>
      <w:r w:rsidRPr="00D34A52">
        <w:rPr>
          <w:rFonts w:ascii="Times New Roman" w:hAnsi="Times New Roman"/>
          <w:snapToGrid/>
          <w:szCs w:val="24"/>
        </w:rPr>
        <w:t xml:space="preserve"> the Depository Credit Intermediation sector. However, the latest OEWS wage data are as of May 2023 and do not include non-wage compensation. To adjust these wages for use in the memo, </w:t>
      </w:r>
      <w:r>
        <w:rPr>
          <w:rFonts w:ascii="Times New Roman" w:hAnsi="Times New Roman"/>
          <w:snapToGrid/>
          <w:szCs w:val="24"/>
        </w:rPr>
        <w:t>FDIC</w:t>
      </w:r>
      <w:r w:rsidRPr="00D34A52">
        <w:rPr>
          <w:rFonts w:ascii="Times New Roman" w:hAnsi="Times New Roman"/>
          <w:snapToGrid/>
          <w:szCs w:val="24"/>
        </w:rPr>
        <w:t xml:space="preserve"> multipl</w:t>
      </w:r>
      <w:r>
        <w:rPr>
          <w:rFonts w:ascii="Times New Roman" w:hAnsi="Times New Roman"/>
          <w:snapToGrid/>
          <w:szCs w:val="24"/>
        </w:rPr>
        <w:t>ies</w:t>
      </w:r>
      <w:r w:rsidRPr="00D34A52">
        <w:rPr>
          <w:rFonts w:ascii="Times New Roman" w:hAnsi="Times New Roman"/>
          <w:snapToGrid/>
          <w:szCs w:val="24"/>
        </w:rPr>
        <w:t xml:space="preserve"> the OEWS hourly wages by approximately 1.53 to account for non-wage compensation, using the BLS Employer Cost of Employee Compensation (ECEC) data as of March 2023 (the latest published release prior to the OEWS wage data). I</w:t>
      </w:r>
      <w:r>
        <w:rPr>
          <w:rFonts w:ascii="Times New Roman" w:hAnsi="Times New Roman"/>
          <w:snapToGrid/>
          <w:szCs w:val="24"/>
        </w:rPr>
        <w:t>t</w:t>
      </w:r>
      <w:r w:rsidRPr="00D34A52">
        <w:rPr>
          <w:rFonts w:ascii="Times New Roman" w:hAnsi="Times New Roman"/>
          <w:snapToGrid/>
          <w:szCs w:val="24"/>
        </w:rPr>
        <w:t xml:space="preserve"> then multipl</w:t>
      </w:r>
      <w:r>
        <w:rPr>
          <w:rFonts w:ascii="Times New Roman" w:hAnsi="Times New Roman"/>
          <w:snapToGrid/>
          <w:szCs w:val="24"/>
        </w:rPr>
        <w:t>ies</w:t>
      </w:r>
      <w:r w:rsidRPr="00D34A52">
        <w:rPr>
          <w:rFonts w:ascii="Times New Roman" w:hAnsi="Times New Roman"/>
          <w:snapToGrid/>
          <w:szCs w:val="24"/>
        </w:rPr>
        <w:t xml:space="preserve"> the resulting compensation rates by approximately 1.05 to account for the change in the seasonally adjusted Employment Cost Index for the Credit Intermediation and Related Activities sector (NAICS Code 522) between March 2023 and June 2024.</w:t>
      </w:r>
    </w:p>
    <w:p w:rsidR="00D34A52" w:rsidRPr="00D34A52" w:rsidP="00D34A52" w14:paraId="4B1E6AB6" w14:textId="77777777">
      <w:pPr>
        <w:widowControl/>
        <w:textAlignment w:val="baseline"/>
        <w:rPr>
          <w:rFonts w:ascii="Times New Roman" w:hAnsi="Times New Roman"/>
          <w:snapToGrid/>
          <w:szCs w:val="24"/>
        </w:rPr>
      </w:pPr>
    </w:p>
    <w:p w:rsidR="00D34A52" w:rsidRPr="00D34A52" w:rsidP="00D34A52" w14:paraId="650784AF" w14:textId="7D690146">
      <w:pPr>
        <w:spacing w:after="120"/>
        <w:ind w:left="720"/>
        <w:rPr>
          <w:rFonts w:ascii="Times New Roman" w:eastAsia="Source Sans Pro" w:hAnsi="Times New Roman"/>
          <w:snapToGrid/>
          <w:szCs w:val="24"/>
          <w:lang w:bidi="en-US"/>
        </w:rPr>
      </w:pPr>
      <w:r w:rsidRPr="00D34A52">
        <w:rPr>
          <w:rFonts w:ascii="Times New Roman" w:eastAsia="Source Sans Pro" w:hAnsi="Times New Roman"/>
          <w:snapToGrid/>
          <w:szCs w:val="24"/>
          <w:lang w:bidi="en-US"/>
        </w:rPr>
        <w:t xml:space="preserve">After making these adjustments, </w:t>
      </w:r>
      <w:r>
        <w:rPr>
          <w:rFonts w:ascii="Times New Roman" w:eastAsia="Source Sans Pro" w:hAnsi="Times New Roman"/>
          <w:snapToGrid/>
          <w:szCs w:val="24"/>
          <w:lang w:bidi="en-US"/>
        </w:rPr>
        <w:t>FDIC</w:t>
      </w:r>
      <w:r w:rsidRPr="00D34A52">
        <w:rPr>
          <w:rFonts w:ascii="Times New Roman" w:eastAsia="Source Sans Pro" w:hAnsi="Times New Roman"/>
          <w:snapToGrid/>
          <w:szCs w:val="24"/>
          <w:lang w:bidi="en-US"/>
        </w:rPr>
        <w:t xml:space="preserve"> weight</w:t>
      </w:r>
      <w:r>
        <w:rPr>
          <w:rFonts w:ascii="Times New Roman" w:eastAsia="Source Sans Pro" w:hAnsi="Times New Roman"/>
          <w:snapToGrid/>
          <w:szCs w:val="24"/>
          <w:lang w:bidi="en-US"/>
        </w:rPr>
        <w:t>s</w:t>
      </w:r>
      <w:r w:rsidRPr="00D34A52">
        <w:rPr>
          <w:rFonts w:ascii="Times New Roman" w:eastAsia="Source Sans Pro" w:hAnsi="Times New Roman"/>
          <w:snapToGrid/>
          <w:szCs w:val="24"/>
          <w:lang w:bidi="en-US"/>
        </w:rPr>
        <w:t xml:space="preserve"> the total hourly compensation by the relevant shares of the occupations shown in Table 2. After reviewing the two ICs in this ICR, as well as the associated requirements in Subpart C, the </w:t>
      </w:r>
      <w:r>
        <w:rPr>
          <w:rFonts w:ascii="Times New Roman" w:eastAsia="Source Sans Pro" w:hAnsi="Times New Roman"/>
          <w:snapToGrid/>
          <w:szCs w:val="24"/>
          <w:lang w:bidi="en-US"/>
        </w:rPr>
        <w:t>FDIC</w:t>
      </w:r>
      <w:r w:rsidRPr="00D34A52">
        <w:rPr>
          <w:rFonts w:ascii="Times New Roman" w:eastAsia="Source Sans Pro" w:hAnsi="Times New Roman"/>
          <w:snapToGrid/>
          <w:szCs w:val="24"/>
          <w:lang w:bidi="en-US"/>
        </w:rPr>
        <w:t xml:space="preserve"> estimates that the labor allocated for both the ICs in this ICR would be allocated as follows: IT Specialists would perform 60 percent; Executives and Managers would perform 25 percent; Lawyers would perform 10 percent; and Clerical workers would perform five percent.</w:t>
      </w:r>
      <w:r>
        <w:rPr>
          <w:rFonts w:ascii="Times New Roman" w:eastAsia="Source Sans Pro" w:hAnsi="Times New Roman"/>
          <w:snapToGrid/>
          <w:szCs w:val="24"/>
          <w:lang w:bidi="en-US"/>
        </w:rPr>
        <w:t xml:space="preserve"> FDIC</w:t>
      </w:r>
      <w:r w:rsidRPr="00D34A52">
        <w:rPr>
          <w:rFonts w:ascii="Times New Roman" w:eastAsia="Source Sans Pro" w:hAnsi="Times New Roman"/>
          <w:snapToGrid/>
          <w:szCs w:val="24"/>
          <w:lang w:bidi="en-US"/>
        </w:rPr>
        <w:t xml:space="preserve"> weight</w:t>
      </w:r>
      <w:r>
        <w:rPr>
          <w:rFonts w:ascii="Times New Roman" w:eastAsia="Source Sans Pro" w:hAnsi="Times New Roman"/>
          <w:snapToGrid/>
          <w:szCs w:val="24"/>
          <w:lang w:bidi="en-US"/>
        </w:rPr>
        <w:t>s</w:t>
      </w:r>
      <w:r w:rsidRPr="00D34A52">
        <w:rPr>
          <w:rFonts w:ascii="Times New Roman" w:eastAsia="Source Sans Pro" w:hAnsi="Times New Roman"/>
          <w:snapToGrid/>
          <w:szCs w:val="24"/>
          <w:lang w:bidi="en-US"/>
        </w:rPr>
        <w:t xml:space="preserve"> the hourly compensation rate for each IC by its annual estimated burden hours and sum the resulting wage rates across the two ICs in this ICR to obtain an estimated weighted average hourly cost of $123.26 for this ICR. </w:t>
      </w:r>
    </w:p>
    <w:p w:rsidR="00D34A52" w:rsidRPr="00D34A52" w:rsidP="00D34A52" w14:paraId="6C7A0C35" w14:textId="77777777">
      <w:pPr>
        <w:autoSpaceDE w:val="0"/>
        <w:autoSpaceDN w:val="0"/>
        <w:spacing w:line="280" w:lineRule="exact"/>
        <w:ind w:firstLine="720"/>
        <w:contextualSpacing/>
        <w:rPr>
          <w:rFonts w:ascii="Source Sans Pro" w:eastAsia="Source Sans Pro" w:hAnsi="Source Sans Pro" w:cs="Source Sans Pro"/>
          <w:snapToGrid/>
          <w:sz w:val="20"/>
          <w:szCs w:val="19"/>
          <w:lang w:bidi="en-US"/>
        </w:rPr>
      </w:pPr>
    </w:p>
    <w:tbl>
      <w:tblPr>
        <w:tblW w:w="10236" w:type="dxa"/>
        <w:tblCellMar>
          <w:top w:w="15" w:type="dxa"/>
        </w:tblCellMar>
        <w:tblLook w:val="04A0"/>
      </w:tblPr>
      <w:tblGrid>
        <w:gridCol w:w="2166"/>
        <w:gridCol w:w="835"/>
        <w:gridCol w:w="1000"/>
        <w:gridCol w:w="1000"/>
        <w:gridCol w:w="900"/>
        <w:gridCol w:w="1000"/>
        <w:gridCol w:w="1000"/>
        <w:gridCol w:w="900"/>
        <w:gridCol w:w="1400"/>
        <w:gridCol w:w="222"/>
      </w:tblGrid>
      <w:tr w14:paraId="44CE1A41" w14:textId="77777777" w:rsidTr="00F11342">
        <w:tblPrEx>
          <w:tblW w:w="10236" w:type="dxa"/>
          <w:tblCellMar>
            <w:top w:w="15" w:type="dxa"/>
          </w:tblCellMar>
          <w:tblLook w:val="04A0"/>
        </w:tblPrEx>
        <w:trPr>
          <w:gridAfter w:val="1"/>
          <w:wAfter w:w="36" w:type="dxa"/>
          <w:trHeight w:val="360"/>
        </w:trPr>
        <w:tc>
          <w:tcPr>
            <w:tcW w:w="10200" w:type="dxa"/>
            <w:gridSpan w:val="9"/>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34A52" w:rsidRPr="00D34A52" w:rsidP="00D34A52" w14:paraId="213336E8" w14:textId="77777777">
            <w:pPr>
              <w:widowControl/>
              <w:jc w:val="center"/>
              <w:rPr>
                <w:rFonts w:ascii="Times New Roman" w:hAnsi="Times New Roman"/>
                <w:snapToGrid/>
                <w:color w:val="000000"/>
                <w:szCs w:val="24"/>
              </w:rPr>
            </w:pPr>
            <w:r w:rsidRPr="00D34A52">
              <w:rPr>
                <w:rFonts w:ascii="Times New Roman" w:hAnsi="Times New Roman"/>
                <w:snapToGrid/>
                <w:color w:val="000000"/>
                <w:szCs w:val="24"/>
              </w:rPr>
              <w:t>Table 2. Summary of Hourly Burden Cost Estimate (OMB No. 3064-0214)</w:t>
            </w:r>
          </w:p>
        </w:tc>
      </w:tr>
      <w:tr w14:paraId="6BF44011" w14:textId="77777777" w:rsidTr="00F11342">
        <w:tblPrEx>
          <w:tblW w:w="10236" w:type="dxa"/>
          <w:tblCellMar>
            <w:top w:w="15" w:type="dxa"/>
          </w:tblCellMar>
          <w:tblLook w:val="04A0"/>
        </w:tblPrEx>
        <w:trPr>
          <w:gridAfter w:val="1"/>
          <w:wAfter w:w="36" w:type="dxa"/>
          <w:trHeight w:val="600"/>
        </w:trPr>
        <w:tc>
          <w:tcPr>
            <w:tcW w:w="2742" w:type="dxa"/>
            <w:vMerge w:val="restart"/>
            <w:tcBorders>
              <w:top w:val="nil"/>
              <w:left w:val="single" w:sz="8" w:space="0" w:color="auto"/>
              <w:bottom w:val="single" w:sz="8" w:space="0" w:color="auto"/>
              <w:right w:val="single" w:sz="8" w:space="0" w:color="auto"/>
            </w:tcBorders>
            <w:shd w:val="clear" w:color="auto" w:fill="auto"/>
            <w:vAlign w:val="center"/>
            <w:hideMark/>
          </w:tcPr>
          <w:p w:rsidR="00D34A52" w:rsidRPr="00D34A52" w:rsidP="00D34A52" w14:paraId="31D1FD64" w14:textId="77777777">
            <w:pPr>
              <w:widowControl/>
              <w:rPr>
                <w:rFonts w:ascii="Times New Roman" w:hAnsi="Times New Roman"/>
                <w:snapToGrid/>
                <w:color w:val="000000"/>
                <w:sz w:val="20"/>
              </w:rPr>
            </w:pPr>
            <w:r w:rsidRPr="00D34A52">
              <w:rPr>
                <w:rFonts w:ascii="Times New Roman" w:hAnsi="Times New Roman"/>
                <w:snapToGrid/>
                <w:color w:val="000000"/>
                <w:sz w:val="20"/>
              </w:rPr>
              <w:t xml:space="preserve">Information Collection (IC) (Obligation to Respond) </w:t>
            </w:r>
          </w:p>
        </w:tc>
        <w:tc>
          <w:tcPr>
            <w:tcW w:w="860" w:type="dxa"/>
            <w:vMerge w:val="restart"/>
            <w:tcBorders>
              <w:top w:val="nil"/>
              <w:left w:val="single" w:sz="8" w:space="0" w:color="auto"/>
              <w:bottom w:val="single" w:sz="8" w:space="0" w:color="auto"/>
              <w:right w:val="single" w:sz="8" w:space="0" w:color="auto"/>
            </w:tcBorders>
            <w:shd w:val="clear" w:color="auto" w:fill="auto"/>
            <w:vAlign w:val="center"/>
            <w:hideMark/>
          </w:tcPr>
          <w:p w:rsidR="00D34A52" w:rsidRPr="00D34A52" w:rsidP="00D34A52" w14:paraId="5FF2ADA2"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 xml:space="preserve">Hourly Weight </w:t>
            </w:r>
            <w:r w:rsidRPr="00D34A52">
              <w:rPr>
                <w:rFonts w:ascii="Times New Roman" w:hAnsi="Times New Roman"/>
                <w:snapToGrid/>
                <w:color w:val="000000"/>
                <w:sz w:val="20"/>
              </w:rPr>
              <w:br/>
              <w:t>(%)</w:t>
            </w:r>
          </w:p>
        </w:tc>
        <w:tc>
          <w:tcPr>
            <w:tcW w:w="5198" w:type="dxa"/>
            <w:gridSpan w:val="6"/>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D34A52" w:rsidRPr="00D34A52" w:rsidP="00D34A52" w14:paraId="7BFC048D"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 xml:space="preserve">Percentage Shares of Hours Spent by and </w:t>
            </w:r>
            <w:r w:rsidRPr="00D34A52">
              <w:rPr>
                <w:rFonts w:ascii="Times New Roman" w:hAnsi="Times New Roman"/>
                <w:snapToGrid/>
                <w:color w:val="000000"/>
                <w:sz w:val="20"/>
              </w:rPr>
              <w:br/>
              <w:t xml:space="preserve">Hourly Compensation Rates for each Occupation Group </w:t>
            </w:r>
            <w:r w:rsidRPr="00D34A52">
              <w:rPr>
                <w:rFonts w:ascii="Times New Roman" w:hAnsi="Times New Roman"/>
                <w:snapToGrid/>
                <w:color w:val="000000"/>
                <w:sz w:val="20"/>
              </w:rPr>
              <w:br/>
              <w:t>(by Collection)</w:t>
            </w:r>
          </w:p>
        </w:tc>
        <w:tc>
          <w:tcPr>
            <w:tcW w:w="1400" w:type="dxa"/>
            <w:vMerge w:val="restart"/>
            <w:tcBorders>
              <w:top w:val="nil"/>
              <w:left w:val="single" w:sz="8" w:space="0" w:color="auto"/>
              <w:bottom w:val="single" w:sz="8" w:space="0" w:color="auto"/>
              <w:right w:val="single" w:sz="8" w:space="0" w:color="auto"/>
            </w:tcBorders>
            <w:shd w:val="clear" w:color="auto" w:fill="auto"/>
            <w:vAlign w:val="center"/>
            <w:hideMark/>
          </w:tcPr>
          <w:p w:rsidR="00D34A52" w:rsidRPr="00D34A52" w:rsidP="00D34A52" w14:paraId="0E479A39"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Estimated Hourly Compensation Rate</w:t>
            </w:r>
          </w:p>
        </w:tc>
      </w:tr>
      <w:tr w14:paraId="14ADBC52" w14:textId="77777777" w:rsidTr="00F11342">
        <w:tblPrEx>
          <w:tblW w:w="10236" w:type="dxa"/>
          <w:tblCellMar>
            <w:top w:w="15" w:type="dxa"/>
          </w:tblCellMar>
          <w:tblLook w:val="04A0"/>
        </w:tblPrEx>
        <w:trPr>
          <w:trHeight w:val="864"/>
        </w:trPr>
        <w:tc>
          <w:tcPr>
            <w:tcW w:w="2742" w:type="dxa"/>
            <w:vMerge/>
            <w:tcBorders>
              <w:top w:val="nil"/>
              <w:left w:val="single" w:sz="8" w:space="0" w:color="auto"/>
              <w:bottom w:val="single" w:sz="8" w:space="0" w:color="auto"/>
              <w:right w:val="single" w:sz="8" w:space="0" w:color="auto"/>
            </w:tcBorders>
            <w:vAlign w:val="center"/>
            <w:hideMark/>
          </w:tcPr>
          <w:p w:rsidR="00D34A52" w:rsidRPr="00D34A52" w:rsidP="00D34A52" w14:paraId="144AB155" w14:textId="77777777">
            <w:pPr>
              <w:widowControl/>
              <w:rPr>
                <w:rFonts w:ascii="Times New Roman" w:hAnsi="Times New Roman"/>
                <w:snapToGrid/>
                <w:color w:val="000000"/>
                <w:sz w:val="20"/>
              </w:rPr>
            </w:pPr>
          </w:p>
        </w:tc>
        <w:tc>
          <w:tcPr>
            <w:tcW w:w="860" w:type="dxa"/>
            <w:vMerge/>
            <w:tcBorders>
              <w:top w:val="nil"/>
              <w:left w:val="single" w:sz="8" w:space="0" w:color="auto"/>
              <w:bottom w:val="single" w:sz="8" w:space="0" w:color="auto"/>
              <w:right w:val="single" w:sz="8" w:space="0" w:color="auto"/>
            </w:tcBorders>
            <w:vAlign w:val="center"/>
            <w:hideMark/>
          </w:tcPr>
          <w:p w:rsidR="00D34A52" w:rsidRPr="00D34A52" w:rsidP="00D34A52" w14:paraId="1081C5C0" w14:textId="77777777">
            <w:pPr>
              <w:widowControl/>
              <w:rPr>
                <w:rFonts w:ascii="Times New Roman" w:hAnsi="Times New Roman"/>
                <w:snapToGrid/>
                <w:color w:val="000000"/>
                <w:sz w:val="20"/>
              </w:rPr>
            </w:pPr>
          </w:p>
        </w:tc>
        <w:tc>
          <w:tcPr>
            <w:tcW w:w="5198" w:type="dxa"/>
            <w:gridSpan w:val="6"/>
            <w:vMerge/>
            <w:tcBorders>
              <w:top w:val="single" w:sz="8" w:space="0" w:color="auto"/>
              <w:left w:val="single" w:sz="8" w:space="0" w:color="auto"/>
              <w:bottom w:val="single" w:sz="8" w:space="0" w:color="auto"/>
              <w:right w:val="single" w:sz="8" w:space="0" w:color="auto"/>
            </w:tcBorders>
            <w:vAlign w:val="center"/>
            <w:hideMark/>
          </w:tcPr>
          <w:p w:rsidR="00D34A52" w:rsidRPr="00D34A52" w:rsidP="00D34A52" w14:paraId="5D8C0F3F" w14:textId="77777777">
            <w:pPr>
              <w:widowControl/>
              <w:rPr>
                <w:rFonts w:ascii="Times New Roman" w:hAnsi="Times New Roman"/>
                <w:snapToGrid/>
                <w:color w:val="000000"/>
                <w:sz w:val="20"/>
              </w:rPr>
            </w:pPr>
          </w:p>
        </w:tc>
        <w:tc>
          <w:tcPr>
            <w:tcW w:w="1400" w:type="dxa"/>
            <w:vMerge/>
            <w:tcBorders>
              <w:top w:val="nil"/>
              <w:left w:val="single" w:sz="8" w:space="0" w:color="auto"/>
              <w:bottom w:val="single" w:sz="8" w:space="0" w:color="auto"/>
              <w:right w:val="single" w:sz="8" w:space="0" w:color="auto"/>
            </w:tcBorders>
            <w:vAlign w:val="center"/>
            <w:hideMark/>
          </w:tcPr>
          <w:p w:rsidR="00D34A52" w:rsidRPr="00D34A52" w:rsidP="00D34A52" w14:paraId="6131BC13" w14:textId="77777777">
            <w:pPr>
              <w:widowControl/>
              <w:rPr>
                <w:rFonts w:ascii="Times New Roman" w:hAnsi="Times New Roman"/>
                <w:snapToGrid/>
                <w:color w:val="000000"/>
                <w:sz w:val="20"/>
              </w:rPr>
            </w:pPr>
          </w:p>
        </w:tc>
        <w:tc>
          <w:tcPr>
            <w:tcW w:w="36" w:type="dxa"/>
            <w:tcBorders>
              <w:top w:val="nil"/>
              <w:left w:val="nil"/>
              <w:bottom w:val="nil"/>
              <w:right w:val="nil"/>
            </w:tcBorders>
            <w:shd w:val="clear" w:color="auto" w:fill="auto"/>
            <w:noWrap/>
            <w:vAlign w:val="bottom"/>
            <w:hideMark/>
          </w:tcPr>
          <w:p w:rsidR="00D34A52" w:rsidRPr="00D34A52" w:rsidP="00D34A52" w14:paraId="4C091D16" w14:textId="77777777">
            <w:pPr>
              <w:widowControl/>
              <w:jc w:val="center"/>
              <w:rPr>
                <w:rFonts w:ascii="Times New Roman" w:hAnsi="Times New Roman"/>
                <w:snapToGrid/>
                <w:color w:val="000000"/>
                <w:sz w:val="20"/>
              </w:rPr>
            </w:pPr>
          </w:p>
        </w:tc>
      </w:tr>
      <w:tr w14:paraId="2DCC2E23" w14:textId="77777777" w:rsidTr="00F11342">
        <w:tblPrEx>
          <w:tblW w:w="10236" w:type="dxa"/>
          <w:tblCellMar>
            <w:top w:w="15" w:type="dxa"/>
          </w:tblCellMar>
          <w:tblLook w:val="04A0"/>
        </w:tblPrEx>
        <w:trPr>
          <w:trHeight w:val="360"/>
        </w:trPr>
        <w:tc>
          <w:tcPr>
            <w:tcW w:w="2742" w:type="dxa"/>
            <w:vMerge/>
            <w:tcBorders>
              <w:top w:val="nil"/>
              <w:left w:val="single" w:sz="8" w:space="0" w:color="auto"/>
              <w:bottom w:val="single" w:sz="8" w:space="0" w:color="auto"/>
              <w:right w:val="single" w:sz="8" w:space="0" w:color="auto"/>
            </w:tcBorders>
            <w:vAlign w:val="center"/>
            <w:hideMark/>
          </w:tcPr>
          <w:p w:rsidR="00D34A52" w:rsidRPr="00D34A52" w:rsidP="00D34A52" w14:paraId="681E5BC5" w14:textId="77777777">
            <w:pPr>
              <w:widowControl/>
              <w:rPr>
                <w:rFonts w:ascii="Times New Roman" w:hAnsi="Times New Roman"/>
                <w:snapToGrid/>
                <w:color w:val="000000"/>
                <w:sz w:val="20"/>
              </w:rPr>
            </w:pPr>
          </w:p>
        </w:tc>
        <w:tc>
          <w:tcPr>
            <w:tcW w:w="860" w:type="dxa"/>
            <w:vMerge/>
            <w:tcBorders>
              <w:top w:val="nil"/>
              <w:left w:val="single" w:sz="8" w:space="0" w:color="auto"/>
              <w:bottom w:val="single" w:sz="8" w:space="0" w:color="auto"/>
              <w:right w:val="single" w:sz="8" w:space="0" w:color="auto"/>
            </w:tcBorders>
            <w:vAlign w:val="center"/>
            <w:hideMark/>
          </w:tcPr>
          <w:p w:rsidR="00D34A52" w:rsidRPr="00D34A52" w:rsidP="00D34A52" w14:paraId="6FB3876E" w14:textId="77777777">
            <w:pPr>
              <w:widowControl/>
              <w:rPr>
                <w:rFonts w:ascii="Times New Roman" w:hAnsi="Times New Roman"/>
                <w:snapToGrid/>
                <w:color w:val="000000"/>
                <w:sz w:val="20"/>
              </w:rPr>
            </w:pPr>
          </w:p>
        </w:tc>
        <w:tc>
          <w:tcPr>
            <w:tcW w:w="920" w:type="dxa"/>
            <w:vMerge w:val="restart"/>
            <w:tcBorders>
              <w:top w:val="nil"/>
              <w:left w:val="single" w:sz="8" w:space="0" w:color="auto"/>
              <w:bottom w:val="single" w:sz="8" w:space="0" w:color="auto"/>
              <w:right w:val="single" w:sz="8" w:space="0" w:color="auto"/>
            </w:tcBorders>
            <w:shd w:val="clear" w:color="auto" w:fill="auto"/>
            <w:vAlign w:val="center"/>
            <w:hideMark/>
          </w:tcPr>
          <w:p w:rsidR="00D34A52" w:rsidRPr="00D34A52" w:rsidP="00D34A52" w14:paraId="555F7242"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Exec. &amp; Mgr.      ($146.13)</w:t>
            </w:r>
          </w:p>
        </w:tc>
        <w:tc>
          <w:tcPr>
            <w:tcW w:w="820" w:type="dxa"/>
            <w:vMerge w:val="restart"/>
            <w:tcBorders>
              <w:top w:val="nil"/>
              <w:left w:val="single" w:sz="8" w:space="0" w:color="auto"/>
              <w:bottom w:val="single" w:sz="8" w:space="0" w:color="auto"/>
              <w:right w:val="single" w:sz="8" w:space="0" w:color="auto"/>
            </w:tcBorders>
            <w:shd w:val="clear" w:color="auto" w:fill="auto"/>
            <w:vAlign w:val="center"/>
            <w:hideMark/>
          </w:tcPr>
          <w:p w:rsidR="00D34A52" w:rsidRPr="00D34A52" w:rsidP="00D34A52" w14:paraId="49AF2C03"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Lawyer</w:t>
            </w:r>
            <w:r w:rsidRPr="00D34A52">
              <w:rPr>
                <w:rFonts w:ascii="Times New Roman" w:hAnsi="Times New Roman"/>
                <w:snapToGrid/>
                <w:color w:val="000000"/>
                <w:sz w:val="20"/>
              </w:rPr>
              <w:t xml:space="preserve">   (</w:t>
            </w:r>
            <w:r w:rsidRPr="00D34A52">
              <w:rPr>
                <w:rFonts w:ascii="Times New Roman" w:hAnsi="Times New Roman"/>
                <w:snapToGrid/>
                <w:color w:val="000000"/>
                <w:sz w:val="20"/>
              </w:rPr>
              <w:t>$182.07)</w:t>
            </w:r>
          </w:p>
        </w:tc>
        <w:tc>
          <w:tcPr>
            <w:tcW w:w="900" w:type="dxa"/>
            <w:vMerge w:val="restart"/>
            <w:tcBorders>
              <w:top w:val="nil"/>
              <w:left w:val="single" w:sz="8" w:space="0" w:color="auto"/>
              <w:bottom w:val="single" w:sz="8" w:space="0" w:color="auto"/>
              <w:right w:val="single" w:sz="8" w:space="0" w:color="auto"/>
            </w:tcBorders>
            <w:shd w:val="clear" w:color="auto" w:fill="auto"/>
            <w:vAlign w:val="center"/>
            <w:hideMark/>
          </w:tcPr>
          <w:p w:rsidR="00D34A52" w:rsidRPr="00D34A52" w:rsidP="00D34A52" w14:paraId="6038475B"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Compl. Ofc.   ($77.07)</w:t>
            </w:r>
          </w:p>
        </w:tc>
        <w:tc>
          <w:tcPr>
            <w:tcW w:w="798" w:type="dxa"/>
            <w:vMerge w:val="restart"/>
            <w:tcBorders>
              <w:top w:val="nil"/>
              <w:left w:val="single" w:sz="8" w:space="0" w:color="auto"/>
              <w:bottom w:val="single" w:sz="8" w:space="0" w:color="auto"/>
              <w:right w:val="single" w:sz="8" w:space="0" w:color="auto"/>
            </w:tcBorders>
            <w:shd w:val="clear" w:color="auto" w:fill="auto"/>
            <w:vAlign w:val="center"/>
            <w:hideMark/>
          </w:tcPr>
          <w:p w:rsidR="00D34A52" w:rsidRPr="00D34A52" w:rsidP="00D34A52" w14:paraId="6A1646D9"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 xml:space="preserve">IT </w:t>
            </w:r>
            <w:r w:rsidRPr="00D34A52">
              <w:rPr>
                <w:rFonts w:ascii="Times New Roman" w:hAnsi="Times New Roman"/>
                <w:snapToGrid/>
                <w:color w:val="000000"/>
                <w:sz w:val="20"/>
              </w:rPr>
              <w:t xml:space="preserve">   (</w:t>
            </w:r>
            <w:r w:rsidRPr="00D34A52">
              <w:rPr>
                <w:rFonts w:ascii="Times New Roman" w:hAnsi="Times New Roman"/>
                <w:snapToGrid/>
                <w:color w:val="000000"/>
                <w:sz w:val="20"/>
              </w:rPr>
              <w:t>$110.91)</w:t>
            </w:r>
          </w:p>
        </w:tc>
        <w:tc>
          <w:tcPr>
            <w:tcW w:w="960" w:type="dxa"/>
            <w:vMerge w:val="restart"/>
            <w:tcBorders>
              <w:top w:val="nil"/>
              <w:left w:val="single" w:sz="8" w:space="0" w:color="auto"/>
              <w:bottom w:val="single" w:sz="8" w:space="0" w:color="auto"/>
              <w:right w:val="single" w:sz="8" w:space="0" w:color="auto"/>
            </w:tcBorders>
            <w:shd w:val="clear" w:color="auto" w:fill="auto"/>
            <w:vAlign w:val="center"/>
            <w:hideMark/>
          </w:tcPr>
          <w:p w:rsidR="00D34A52" w:rsidRPr="00D34A52" w:rsidP="00D34A52" w14:paraId="73A8D609"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Fin. Anlst.    ($100.28)</w:t>
            </w:r>
          </w:p>
        </w:tc>
        <w:tc>
          <w:tcPr>
            <w:tcW w:w="800" w:type="dxa"/>
            <w:vMerge w:val="restart"/>
            <w:tcBorders>
              <w:top w:val="nil"/>
              <w:left w:val="single" w:sz="8" w:space="0" w:color="auto"/>
              <w:bottom w:val="single" w:sz="8" w:space="0" w:color="auto"/>
              <w:right w:val="single" w:sz="8" w:space="0" w:color="auto"/>
            </w:tcBorders>
            <w:shd w:val="clear" w:color="auto" w:fill="auto"/>
            <w:vAlign w:val="center"/>
            <w:hideMark/>
          </w:tcPr>
          <w:p w:rsidR="00D34A52" w:rsidRPr="00D34A52" w:rsidP="00D34A52" w14:paraId="2F2803FE"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 xml:space="preserve">Clerical </w:t>
            </w:r>
            <w:r w:rsidRPr="00D34A52">
              <w:rPr>
                <w:rFonts w:ascii="Times New Roman" w:hAnsi="Times New Roman"/>
                <w:snapToGrid/>
                <w:color w:val="000000"/>
                <w:sz w:val="20"/>
              </w:rPr>
              <w:t xml:space="preserve">   (</w:t>
            </w:r>
            <w:r w:rsidRPr="00D34A52">
              <w:rPr>
                <w:rFonts w:ascii="Times New Roman" w:hAnsi="Times New Roman"/>
                <w:snapToGrid/>
                <w:color w:val="000000"/>
                <w:sz w:val="20"/>
              </w:rPr>
              <w:t>$39.39)</w:t>
            </w:r>
          </w:p>
        </w:tc>
        <w:tc>
          <w:tcPr>
            <w:tcW w:w="1400" w:type="dxa"/>
            <w:vMerge/>
            <w:tcBorders>
              <w:top w:val="nil"/>
              <w:left w:val="single" w:sz="8" w:space="0" w:color="auto"/>
              <w:bottom w:val="single" w:sz="8" w:space="0" w:color="auto"/>
              <w:right w:val="single" w:sz="8" w:space="0" w:color="auto"/>
            </w:tcBorders>
            <w:vAlign w:val="center"/>
            <w:hideMark/>
          </w:tcPr>
          <w:p w:rsidR="00D34A52" w:rsidRPr="00D34A52" w:rsidP="00D34A52" w14:paraId="2D2DF054" w14:textId="77777777">
            <w:pPr>
              <w:widowControl/>
              <w:rPr>
                <w:rFonts w:ascii="Times New Roman" w:hAnsi="Times New Roman"/>
                <w:snapToGrid/>
                <w:color w:val="000000"/>
                <w:sz w:val="20"/>
              </w:rPr>
            </w:pPr>
          </w:p>
        </w:tc>
        <w:tc>
          <w:tcPr>
            <w:tcW w:w="36" w:type="dxa"/>
            <w:vAlign w:val="center"/>
            <w:hideMark/>
          </w:tcPr>
          <w:p w:rsidR="00D34A52" w:rsidRPr="00D34A52" w:rsidP="00D34A52" w14:paraId="5669A42D" w14:textId="77777777">
            <w:pPr>
              <w:widowControl/>
              <w:rPr>
                <w:rFonts w:ascii="Times New Roman" w:hAnsi="Times New Roman"/>
                <w:snapToGrid/>
                <w:sz w:val="20"/>
              </w:rPr>
            </w:pPr>
          </w:p>
        </w:tc>
      </w:tr>
      <w:tr w14:paraId="4A628889" w14:textId="77777777" w:rsidTr="00F11342">
        <w:tblPrEx>
          <w:tblW w:w="10236" w:type="dxa"/>
          <w:tblCellMar>
            <w:top w:w="15" w:type="dxa"/>
          </w:tblCellMar>
          <w:tblLook w:val="04A0"/>
        </w:tblPrEx>
        <w:trPr>
          <w:trHeight w:val="840"/>
        </w:trPr>
        <w:tc>
          <w:tcPr>
            <w:tcW w:w="2742" w:type="dxa"/>
            <w:vMerge/>
            <w:tcBorders>
              <w:top w:val="nil"/>
              <w:left w:val="single" w:sz="8" w:space="0" w:color="auto"/>
              <w:bottom w:val="single" w:sz="8" w:space="0" w:color="auto"/>
              <w:right w:val="single" w:sz="8" w:space="0" w:color="auto"/>
            </w:tcBorders>
            <w:vAlign w:val="center"/>
            <w:hideMark/>
          </w:tcPr>
          <w:p w:rsidR="00D34A52" w:rsidRPr="00D34A52" w:rsidP="00D34A52" w14:paraId="0D12BBC0" w14:textId="77777777">
            <w:pPr>
              <w:widowControl/>
              <w:rPr>
                <w:rFonts w:ascii="Times New Roman" w:hAnsi="Times New Roman"/>
                <w:snapToGrid/>
                <w:color w:val="000000"/>
                <w:sz w:val="20"/>
              </w:rPr>
            </w:pPr>
          </w:p>
        </w:tc>
        <w:tc>
          <w:tcPr>
            <w:tcW w:w="860" w:type="dxa"/>
            <w:vMerge/>
            <w:tcBorders>
              <w:top w:val="nil"/>
              <w:left w:val="single" w:sz="8" w:space="0" w:color="auto"/>
              <w:bottom w:val="single" w:sz="8" w:space="0" w:color="auto"/>
              <w:right w:val="single" w:sz="8" w:space="0" w:color="auto"/>
            </w:tcBorders>
            <w:vAlign w:val="center"/>
            <w:hideMark/>
          </w:tcPr>
          <w:p w:rsidR="00D34A52" w:rsidRPr="00D34A52" w:rsidP="00D34A52" w14:paraId="22B96FB8" w14:textId="77777777">
            <w:pPr>
              <w:widowControl/>
              <w:rPr>
                <w:rFonts w:ascii="Times New Roman" w:hAnsi="Times New Roman"/>
                <w:snapToGrid/>
                <w:color w:val="000000"/>
                <w:sz w:val="20"/>
              </w:rPr>
            </w:pPr>
          </w:p>
        </w:tc>
        <w:tc>
          <w:tcPr>
            <w:tcW w:w="920" w:type="dxa"/>
            <w:vMerge/>
            <w:tcBorders>
              <w:top w:val="nil"/>
              <w:left w:val="single" w:sz="8" w:space="0" w:color="auto"/>
              <w:bottom w:val="single" w:sz="8" w:space="0" w:color="auto"/>
              <w:right w:val="single" w:sz="8" w:space="0" w:color="auto"/>
            </w:tcBorders>
            <w:vAlign w:val="center"/>
            <w:hideMark/>
          </w:tcPr>
          <w:p w:rsidR="00D34A52" w:rsidRPr="00D34A52" w:rsidP="00D34A52" w14:paraId="3EFFBDCF" w14:textId="77777777">
            <w:pPr>
              <w:widowControl/>
              <w:rPr>
                <w:rFonts w:ascii="Times New Roman" w:hAnsi="Times New Roman"/>
                <w:snapToGrid/>
                <w:color w:val="000000"/>
                <w:sz w:val="20"/>
              </w:rPr>
            </w:pPr>
          </w:p>
        </w:tc>
        <w:tc>
          <w:tcPr>
            <w:tcW w:w="820" w:type="dxa"/>
            <w:vMerge/>
            <w:tcBorders>
              <w:top w:val="nil"/>
              <w:left w:val="single" w:sz="8" w:space="0" w:color="auto"/>
              <w:bottom w:val="single" w:sz="8" w:space="0" w:color="auto"/>
              <w:right w:val="single" w:sz="8" w:space="0" w:color="auto"/>
            </w:tcBorders>
            <w:vAlign w:val="center"/>
            <w:hideMark/>
          </w:tcPr>
          <w:p w:rsidR="00D34A52" w:rsidRPr="00D34A52" w:rsidP="00D34A52" w14:paraId="7421917A" w14:textId="77777777">
            <w:pPr>
              <w:widowControl/>
              <w:rPr>
                <w:rFonts w:ascii="Times New Roman" w:hAnsi="Times New Roman"/>
                <w:snapToGrid/>
                <w:color w:val="000000"/>
                <w:sz w:val="20"/>
              </w:rPr>
            </w:pPr>
          </w:p>
        </w:tc>
        <w:tc>
          <w:tcPr>
            <w:tcW w:w="900" w:type="dxa"/>
            <w:vMerge/>
            <w:tcBorders>
              <w:top w:val="nil"/>
              <w:left w:val="single" w:sz="8" w:space="0" w:color="auto"/>
              <w:bottom w:val="single" w:sz="8" w:space="0" w:color="auto"/>
              <w:right w:val="single" w:sz="8" w:space="0" w:color="auto"/>
            </w:tcBorders>
            <w:vAlign w:val="center"/>
            <w:hideMark/>
          </w:tcPr>
          <w:p w:rsidR="00D34A52" w:rsidRPr="00D34A52" w:rsidP="00D34A52" w14:paraId="46D6E902" w14:textId="77777777">
            <w:pPr>
              <w:widowControl/>
              <w:rPr>
                <w:rFonts w:ascii="Times New Roman" w:hAnsi="Times New Roman"/>
                <w:snapToGrid/>
                <w:color w:val="000000"/>
                <w:sz w:val="20"/>
              </w:rPr>
            </w:pPr>
          </w:p>
        </w:tc>
        <w:tc>
          <w:tcPr>
            <w:tcW w:w="798" w:type="dxa"/>
            <w:vMerge/>
            <w:tcBorders>
              <w:top w:val="nil"/>
              <w:left w:val="single" w:sz="8" w:space="0" w:color="auto"/>
              <w:bottom w:val="single" w:sz="8" w:space="0" w:color="auto"/>
              <w:right w:val="single" w:sz="8" w:space="0" w:color="auto"/>
            </w:tcBorders>
            <w:vAlign w:val="center"/>
            <w:hideMark/>
          </w:tcPr>
          <w:p w:rsidR="00D34A52" w:rsidRPr="00D34A52" w:rsidP="00D34A52" w14:paraId="3DB5DCF3" w14:textId="77777777">
            <w:pPr>
              <w:widowControl/>
              <w:rPr>
                <w:rFonts w:ascii="Times New Roman" w:hAnsi="Times New Roman"/>
                <w:snapToGrid/>
                <w:color w:val="000000"/>
                <w:sz w:val="20"/>
              </w:rPr>
            </w:pPr>
          </w:p>
        </w:tc>
        <w:tc>
          <w:tcPr>
            <w:tcW w:w="960" w:type="dxa"/>
            <w:vMerge/>
            <w:tcBorders>
              <w:top w:val="nil"/>
              <w:left w:val="single" w:sz="8" w:space="0" w:color="auto"/>
              <w:bottom w:val="single" w:sz="8" w:space="0" w:color="auto"/>
              <w:right w:val="single" w:sz="8" w:space="0" w:color="auto"/>
            </w:tcBorders>
            <w:vAlign w:val="center"/>
            <w:hideMark/>
          </w:tcPr>
          <w:p w:rsidR="00D34A52" w:rsidRPr="00D34A52" w:rsidP="00D34A52" w14:paraId="04EA2D59" w14:textId="77777777">
            <w:pPr>
              <w:widowControl/>
              <w:rPr>
                <w:rFonts w:ascii="Times New Roman" w:hAnsi="Times New Roman"/>
                <w:snapToGrid/>
                <w:color w:val="000000"/>
                <w:sz w:val="20"/>
              </w:rPr>
            </w:pPr>
          </w:p>
        </w:tc>
        <w:tc>
          <w:tcPr>
            <w:tcW w:w="800" w:type="dxa"/>
            <w:vMerge/>
            <w:tcBorders>
              <w:top w:val="nil"/>
              <w:left w:val="single" w:sz="8" w:space="0" w:color="auto"/>
              <w:bottom w:val="single" w:sz="8" w:space="0" w:color="auto"/>
              <w:right w:val="single" w:sz="8" w:space="0" w:color="auto"/>
            </w:tcBorders>
            <w:vAlign w:val="center"/>
            <w:hideMark/>
          </w:tcPr>
          <w:p w:rsidR="00D34A52" w:rsidRPr="00D34A52" w:rsidP="00D34A52" w14:paraId="26DA655B" w14:textId="77777777">
            <w:pPr>
              <w:widowControl/>
              <w:rPr>
                <w:rFonts w:ascii="Times New Roman" w:hAnsi="Times New Roman"/>
                <w:snapToGrid/>
                <w:color w:val="000000"/>
                <w:sz w:val="20"/>
              </w:rPr>
            </w:pPr>
          </w:p>
        </w:tc>
        <w:tc>
          <w:tcPr>
            <w:tcW w:w="1400" w:type="dxa"/>
            <w:vMerge/>
            <w:tcBorders>
              <w:top w:val="nil"/>
              <w:left w:val="single" w:sz="8" w:space="0" w:color="auto"/>
              <w:bottom w:val="single" w:sz="8" w:space="0" w:color="auto"/>
              <w:right w:val="single" w:sz="8" w:space="0" w:color="auto"/>
            </w:tcBorders>
            <w:vAlign w:val="center"/>
            <w:hideMark/>
          </w:tcPr>
          <w:p w:rsidR="00D34A52" w:rsidRPr="00D34A52" w:rsidP="00D34A52" w14:paraId="236F2C7A" w14:textId="77777777">
            <w:pPr>
              <w:widowControl/>
              <w:rPr>
                <w:rFonts w:ascii="Times New Roman" w:hAnsi="Times New Roman"/>
                <w:snapToGrid/>
                <w:color w:val="000000"/>
                <w:sz w:val="20"/>
              </w:rPr>
            </w:pPr>
          </w:p>
        </w:tc>
        <w:tc>
          <w:tcPr>
            <w:tcW w:w="36" w:type="dxa"/>
            <w:tcBorders>
              <w:top w:val="nil"/>
              <w:left w:val="nil"/>
              <w:bottom w:val="nil"/>
              <w:right w:val="nil"/>
            </w:tcBorders>
            <w:shd w:val="clear" w:color="auto" w:fill="auto"/>
            <w:noWrap/>
            <w:vAlign w:val="bottom"/>
            <w:hideMark/>
          </w:tcPr>
          <w:p w:rsidR="00D34A52" w:rsidRPr="00D34A52" w:rsidP="00D34A52" w14:paraId="7B0A04AE" w14:textId="77777777">
            <w:pPr>
              <w:widowControl/>
              <w:jc w:val="center"/>
              <w:rPr>
                <w:rFonts w:ascii="Times New Roman" w:hAnsi="Times New Roman"/>
                <w:snapToGrid/>
                <w:color w:val="000000"/>
                <w:sz w:val="20"/>
              </w:rPr>
            </w:pPr>
          </w:p>
        </w:tc>
      </w:tr>
      <w:tr w14:paraId="52CB1C59" w14:textId="77777777" w:rsidTr="00F11342">
        <w:tblPrEx>
          <w:tblW w:w="10236" w:type="dxa"/>
          <w:tblCellMar>
            <w:top w:w="15" w:type="dxa"/>
          </w:tblCellMar>
          <w:tblLook w:val="04A0"/>
        </w:tblPrEx>
        <w:trPr>
          <w:trHeight w:val="840"/>
        </w:trPr>
        <w:tc>
          <w:tcPr>
            <w:tcW w:w="2742" w:type="dxa"/>
            <w:tcBorders>
              <w:top w:val="nil"/>
              <w:left w:val="single" w:sz="8" w:space="0" w:color="auto"/>
              <w:bottom w:val="single" w:sz="8" w:space="0" w:color="auto"/>
              <w:right w:val="single" w:sz="8" w:space="0" w:color="auto"/>
            </w:tcBorders>
            <w:shd w:val="clear" w:color="auto" w:fill="auto"/>
            <w:vAlign w:val="center"/>
            <w:hideMark/>
          </w:tcPr>
          <w:p w:rsidR="00D34A52" w:rsidRPr="00D34A52" w:rsidP="00D34A52" w14:paraId="411CDD64" w14:textId="77777777">
            <w:pPr>
              <w:widowControl/>
              <w:rPr>
                <w:rFonts w:ascii="Times New Roman" w:hAnsi="Times New Roman"/>
                <w:snapToGrid/>
                <w:color w:val="000000"/>
                <w:sz w:val="20"/>
              </w:rPr>
            </w:pPr>
            <w:r w:rsidRPr="00D34A52">
              <w:rPr>
                <w:rFonts w:ascii="Times New Roman" w:hAnsi="Times New Roman"/>
                <w:snapToGrid/>
                <w:color w:val="000000"/>
                <w:sz w:val="20"/>
              </w:rPr>
              <w:t>1. Notification Incident Reporting, 12 CFR 304.23 (Mandatory)</w:t>
            </w:r>
          </w:p>
        </w:tc>
        <w:tc>
          <w:tcPr>
            <w:tcW w:w="860" w:type="dxa"/>
            <w:tcBorders>
              <w:top w:val="nil"/>
              <w:left w:val="nil"/>
              <w:bottom w:val="single" w:sz="8" w:space="0" w:color="auto"/>
              <w:right w:val="single" w:sz="8" w:space="0" w:color="auto"/>
            </w:tcBorders>
            <w:shd w:val="clear" w:color="auto" w:fill="auto"/>
            <w:vAlign w:val="center"/>
            <w:hideMark/>
          </w:tcPr>
          <w:p w:rsidR="00D34A52" w:rsidRPr="00D34A52" w:rsidP="00D34A52" w14:paraId="0B661535"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9.17</w:t>
            </w:r>
          </w:p>
        </w:tc>
        <w:tc>
          <w:tcPr>
            <w:tcW w:w="920" w:type="dxa"/>
            <w:tcBorders>
              <w:top w:val="nil"/>
              <w:left w:val="nil"/>
              <w:bottom w:val="single" w:sz="8" w:space="0" w:color="auto"/>
              <w:right w:val="single" w:sz="8" w:space="0" w:color="auto"/>
            </w:tcBorders>
            <w:shd w:val="clear" w:color="auto" w:fill="auto"/>
            <w:vAlign w:val="center"/>
            <w:hideMark/>
          </w:tcPr>
          <w:p w:rsidR="00D34A52" w:rsidRPr="00D34A52" w:rsidP="00D34A52" w14:paraId="6648377E"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25</w:t>
            </w:r>
          </w:p>
        </w:tc>
        <w:tc>
          <w:tcPr>
            <w:tcW w:w="820" w:type="dxa"/>
            <w:tcBorders>
              <w:top w:val="nil"/>
              <w:left w:val="nil"/>
              <w:bottom w:val="single" w:sz="8" w:space="0" w:color="auto"/>
              <w:right w:val="single" w:sz="8" w:space="0" w:color="auto"/>
            </w:tcBorders>
            <w:shd w:val="clear" w:color="auto" w:fill="auto"/>
            <w:vAlign w:val="center"/>
            <w:hideMark/>
          </w:tcPr>
          <w:p w:rsidR="00D34A52" w:rsidRPr="00D34A52" w:rsidP="00D34A52" w14:paraId="7B85C12D"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10</w:t>
            </w:r>
          </w:p>
        </w:tc>
        <w:tc>
          <w:tcPr>
            <w:tcW w:w="900" w:type="dxa"/>
            <w:tcBorders>
              <w:top w:val="nil"/>
              <w:left w:val="nil"/>
              <w:bottom w:val="single" w:sz="8" w:space="0" w:color="auto"/>
              <w:right w:val="single" w:sz="8" w:space="0" w:color="auto"/>
            </w:tcBorders>
            <w:shd w:val="clear" w:color="auto" w:fill="auto"/>
            <w:vAlign w:val="center"/>
            <w:hideMark/>
          </w:tcPr>
          <w:p w:rsidR="00D34A52" w:rsidRPr="00D34A52" w:rsidP="00D34A52" w14:paraId="5550C479"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0</w:t>
            </w:r>
          </w:p>
        </w:tc>
        <w:tc>
          <w:tcPr>
            <w:tcW w:w="798" w:type="dxa"/>
            <w:tcBorders>
              <w:top w:val="nil"/>
              <w:left w:val="nil"/>
              <w:bottom w:val="single" w:sz="8" w:space="0" w:color="auto"/>
              <w:right w:val="single" w:sz="8" w:space="0" w:color="auto"/>
            </w:tcBorders>
            <w:shd w:val="clear" w:color="auto" w:fill="auto"/>
            <w:vAlign w:val="center"/>
            <w:hideMark/>
          </w:tcPr>
          <w:p w:rsidR="00D34A52" w:rsidRPr="00D34A52" w:rsidP="00D34A52" w14:paraId="168E29CE"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60</w:t>
            </w:r>
          </w:p>
        </w:tc>
        <w:tc>
          <w:tcPr>
            <w:tcW w:w="960" w:type="dxa"/>
            <w:tcBorders>
              <w:top w:val="nil"/>
              <w:left w:val="nil"/>
              <w:bottom w:val="single" w:sz="8" w:space="0" w:color="auto"/>
              <w:right w:val="single" w:sz="8" w:space="0" w:color="auto"/>
            </w:tcBorders>
            <w:shd w:val="clear" w:color="auto" w:fill="auto"/>
            <w:vAlign w:val="center"/>
            <w:hideMark/>
          </w:tcPr>
          <w:p w:rsidR="00D34A52" w:rsidRPr="00D34A52" w:rsidP="00D34A52" w14:paraId="66E68120"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D34A52" w:rsidRPr="00D34A52" w:rsidP="00D34A52" w14:paraId="33F498CB"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5</w:t>
            </w:r>
          </w:p>
        </w:tc>
        <w:tc>
          <w:tcPr>
            <w:tcW w:w="1400" w:type="dxa"/>
            <w:tcBorders>
              <w:top w:val="nil"/>
              <w:left w:val="nil"/>
              <w:bottom w:val="single" w:sz="8" w:space="0" w:color="auto"/>
              <w:right w:val="single" w:sz="8" w:space="0" w:color="auto"/>
            </w:tcBorders>
            <w:shd w:val="clear" w:color="auto" w:fill="auto"/>
            <w:vAlign w:val="center"/>
            <w:hideMark/>
          </w:tcPr>
          <w:p w:rsidR="00D34A52" w:rsidRPr="00D34A52" w:rsidP="00D34A52" w14:paraId="49967A5D" w14:textId="77777777">
            <w:pPr>
              <w:widowControl/>
              <w:ind w:firstLine="200" w:firstLineChars="100"/>
              <w:jc w:val="right"/>
              <w:rPr>
                <w:rFonts w:ascii="Times New Roman" w:hAnsi="Times New Roman"/>
                <w:snapToGrid/>
                <w:color w:val="000000"/>
                <w:sz w:val="20"/>
              </w:rPr>
            </w:pPr>
            <w:r w:rsidRPr="00D34A52">
              <w:rPr>
                <w:rFonts w:ascii="Times New Roman" w:hAnsi="Times New Roman"/>
                <w:snapToGrid/>
                <w:color w:val="000000"/>
                <w:sz w:val="20"/>
              </w:rPr>
              <w:t xml:space="preserve">$123.26 </w:t>
            </w:r>
          </w:p>
        </w:tc>
        <w:tc>
          <w:tcPr>
            <w:tcW w:w="36" w:type="dxa"/>
            <w:vAlign w:val="center"/>
            <w:hideMark/>
          </w:tcPr>
          <w:p w:rsidR="00D34A52" w:rsidRPr="00D34A52" w:rsidP="00D34A52" w14:paraId="2CE11ABA" w14:textId="77777777">
            <w:pPr>
              <w:widowControl/>
              <w:rPr>
                <w:rFonts w:ascii="Times New Roman" w:hAnsi="Times New Roman"/>
                <w:snapToGrid/>
                <w:sz w:val="20"/>
              </w:rPr>
            </w:pPr>
          </w:p>
        </w:tc>
      </w:tr>
      <w:tr w14:paraId="64F7F5D9" w14:textId="77777777" w:rsidTr="00F11342">
        <w:tblPrEx>
          <w:tblW w:w="10236" w:type="dxa"/>
          <w:tblCellMar>
            <w:top w:w="15" w:type="dxa"/>
          </w:tblCellMar>
          <w:tblLook w:val="04A0"/>
        </w:tblPrEx>
        <w:trPr>
          <w:trHeight w:val="840"/>
        </w:trPr>
        <w:tc>
          <w:tcPr>
            <w:tcW w:w="2742" w:type="dxa"/>
            <w:tcBorders>
              <w:top w:val="nil"/>
              <w:left w:val="single" w:sz="8" w:space="0" w:color="auto"/>
              <w:bottom w:val="single" w:sz="8" w:space="0" w:color="auto"/>
              <w:right w:val="single" w:sz="8" w:space="0" w:color="auto"/>
            </w:tcBorders>
            <w:shd w:val="clear" w:color="auto" w:fill="auto"/>
            <w:vAlign w:val="center"/>
            <w:hideMark/>
          </w:tcPr>
          <w:p w:rsidR="00D34A52" w:rsidRPr="00D34A52" w:rsidP="00D34A52" w14:paraId="550B66CF" w14:textId="77777777">
            <w:pPr>
              <w:widowControl/>
              <w:rPr>
                <w:rFonts w:ascii="Times New Roman" w:hAnsi="Times New Roman"/>
                <w:snapToGrid/>
                <w:color w:val="000000"/>
                <w:sz w:val="20"/>
              </w:rPr>
            </w:pPr>
            <w:r w:rsidRPr="00D34A52">
              <w:rPr>
                <w:rFonts w:ascii="Times New Roman" w:hAnsi="Times New Roman"/>
                <w:snapToGrid/>
                <w:color w:val="000000"/>
                <w:sz w:val="20"/>
              </w:rPr>
              <w:t>2. Service Provider Notification, 12 CFR 304.24 (Mandatory)</w:t>
            </w:r>
          </w:p>
        </w:tc>
        <w:tc>
          <w:tcPr>
            <w:tcW w:w="860" w:type="dxa"/>
            <w:tcBorders>
              <w:top w:val="nil"/>
              <w:left w:val="nil"/>
              <w:bottom w:val="single" w:sz="8" w:space="0" w:color="auto"/>
              <w:right w:val="single" w:sz="8" w:space="0" w:color="auto"/>
            </w:tcBorders>
            <w:shd w:val="clear" w:color="auto" w:fill="auto"/>
            <w:vAlign w:val="center"/>
            <w:hideMark/>
          </w:tcPr>
          <w:p w:rsidR="00D34A52" w:rsidRPr="00D34A52" w:rsidP="00D34A52" w14:paraId="3174034B"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90.83</w:t>
            </w:r>
          </w:p>
        </w:tc>
        <w:tc>
          <w:tcPr>
            <w:tcW w:w="920" w:type="dxa"/>
            <w:tcBorders>
              <w:top w:val="nil"/>
              <w:left w:val="nil"/>
              <w:bottom w:val="single" w:sz="8" w:space="0" w:color="auto"/>
              <w:right w:val="single" w:sz="8" w:space="0" w:color="auto"/>
            </w:tcBorders>
            <w:shd w:val="clear" w:color="auto" w:fill="auto"/>
            <w:vAlign w:val="center"/>
            <w:hideMark/>
          </w:tcPr>
          <w:p w:rsidR="00D34A52" w:rsidRPr="00D34A52" w:rsidP="00D34A52" w14:paraId="4AAF23E5"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25</w:t>
            </w:r>
          </w:p>
        </w:tc>
        <w:tc>
          <w:tcPr>
            <w:tcW w:w="820" w:type="dxa"/>
            <w:tcBorders>
              <w:top w:val="nil"/>
              <w:left w:val="nil"/>
              <w:bottom w:val="single" w:sz="8" w:space="0" w:color="auto"/>
              <w:right w:val="single" w:sz="8" w:space="0" w:color="auto"/>
            </w:tcBorders>
            <w:shd w:val="clear" w:color="auto" w:fill="auto"/>
            <w:vAlign w:val="center"/>
            <w:hideMark/>
          </w:tcPr>
          <w:p w:rsidR="00D34A52" w:rsidRPr="00D34A52" w:rsidP="00D34A52" w14:paraId="3C00E541"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10</w:t>
            </w:r>
          </w:p>
        </w:tc>
        <w:tc>
          <w:tcPr>
            <w:tcW w:w="900" w:type="dxa"/>
            <w:tcBorders>
              <w:top w:val="nil"/>
              <w:left w:val="nil"/>
              <w:bottom w:val="single" w:sz="8" w:space="0" w:color="auto"/>
              <w:right w:val="single" w:sz="8" w:space="0" w:color="auto"/>
            </w:tcBorders>
            <w:shd w:val="clear" w:color="auto" w:fill="auto"/>
            <w:vAlign w:val="center"/>
            <w:hideMark/>
          </w:tcPr>
          <w:p w:rsidR="00D34A52" w:rsidRPr="00D34A52" w:rsidP="00D34A52" w14:paraId="0967B905"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0</w:t>
            </w:r>
          </w:p>
        </w:tc>
        <w:tc>
          <w:tcPr>
            <w:tcW w:w="798" w:type="dxa"/>
            <w:tcBorders>
              <w:top w:val="nil"/>
              <w:left w:val="nil"/>
              <w:bottom w:val="single" w:sz="8" w:space="0" w:color="auto"/>
              <w:right w:val="single" w:sz="8" w:space="0" w:color="auto"/>
            </w:tcBorders>
            <w:shd w:val="clear" w:color="auto" w:fill="auto"/>
            <w:vAlign w:val="center"/>
            <w:hideMark/>
          </w:tcPr>
          <w:p w:rsidR="00D34A52" w:rsidRPr="00D34A52" w:rsidP="00D34A52" w14:paraId="6B31B674"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60</w:t>
            </w:r>
          </w:p>
        </w:tc>
        <w:tc>
          <w:tcPr>
            <w:tcW w:w="960" w:type="dxa"/>
            <w:tcBorders>
              <w:top w:val="nil"/>
              <w:left w:val="nil"/>
              <w:bottom w:val="single" w:sz="8" w:space="0" w:color="auto"/>
              <w:right w:val="single" w:sz="8" w:space="0" w:color="auto"/>
            </w:tcBorders>
            <w:shd w:val="clear" w:color="auto" w:fill="auto"/>
            <w:vAlign w:val="center"/>
            <w:hideMark/>
          </w:tcPr>
          <w:p w:rsidR="00D34A52" w:rsidRPr="00D34A52" w:rsidP="00D34A52" w14:paraId="6D315E79"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D34A52" w:rsidRPr="00D34A52" w:rsidP="00D34A52" w14:paraId="1A023C2C" w14:textId="77777777">
            <w:pPr>
              <w:widowControl/>
              <w:jc w:val="center"/>
              <w:rPr>
                <w:rFonts w:ascii="Times New Roman" w:hAnsi="Times New Roman"/>
                <w:snapToGrid/>
                <w:color w:val="000000"/>
                <w:sz w:val="20"/>
              </w:rPr>
            </w:pPr>
            <w:r w:rsidRPr="00D34A52">
              <w:rPr>
                <w:rFonts w:ascii="Times New Roman" w:hAnsi="Times New Roman"/>
                <w:snapToGrid/>
                <w:color w:val="000000"/>
                <w:sz w:val="20"/>
              </w:rPr>
              <w:t>5</w:t>
            </w:r>
          </w:p>
        </w:tc>
        <w:tc>
          <w:tcPr>
            <w:tcW w:w="1400" w:type="dxa"/>
            <w:tcBorders>
              <w:top w:val="nil"/>
              <w:left w:val="nil"/>
              <w:bottom w:val="single" w:sz="8" w:space="0" w:color="auto"/>
              <w:right w:val="single" w:sz="8" w:space="0" w:color="auto"/>
            </w:tcBorders>
            <w:shd w:val="clear" w:color="auto" w:fill="auto"/>
            <w:vAlign w:val="center"/>
            <w:hideMark/>
          </w:tcPr>
          <w:p w:rsidR="00D34A52" w:rsidRPr="00D34A52" w:rsidP="00D34A52" w14:paraId="62CB3355" w14:textId="77777777">
            <w:pPr>
              <w:widowControl/>
              <w:ind w:firstLine="200" w:firstLineChars="100"/>
              <w:jc w:val="right"/>
              <w:rPr>
                <w:rFonts w:ascii="Times New Roman" w:hAnsi="Times New Roman"/>
                <w:snapToGrid/>
                <w:color w:val="000000"/>
                <w:sz w:val="20"/>
              </w:rPr>
            </w:pPr>
            <w:r w:rsidRPr="00D34A52">
              <w:rPr>
                <w:rFonts w:ascii="Times New Roman" w:hAnsi="Times New Roman"/>
                <w:snapToGrid/>
                <w:color w:val="000000"/>
                <w:sz w:val="20"/>
              </w:rPr>
              <w:t xml:space="preserve">$123.26 </w:t>
            </w:r>
          </w:p>
        </w:tc>
        <w:tc>
          <w:tcPr>
            <w:tcW w:w="36" w:type="dxa"/>
            <w:vAlign w:val="center"/>
            <w:hideMark/>
          </w:tcPr>
          <w:p w:rsidR="00D34A52" w:rsidRPr="00D34A52" w:rsidP="00D34A52" w14:paraId="287D2B6E" w14:textId="77777777">
            <w:pPr>
              <w:widowControl/>
              <w:rPr>
                <w:rFonts w:ascii="Times New Roman" w:hAnsi="Times New Roman"/>
                <w:snapToGrid/>
                <w:sz w:val="20"/>
              </w:rPr>
            </w:pPr>
          </w:p>
        </w:tc>
      </w:tr>
      <w:tr w14:paraId="672D6C3A" w14:textId="77777777" w:rsidTr="00F11342">
        <w:tblPrEx>
          <w:tblW w:w="10236" w:type="dxa"/>
          <w:tblCellMar>
            <w:top w:w="15" w:type="dxa"/>
          </w:tblCellMar>
          <w:tblLook w:val="04A0"/>
        </w:tblPrEx>
        <w:trPr>
          <w:trHeight w:val="300"/>
        </w:trPr>
        <w:tc>
          <w:tcPr>
            <w:tcW w:w="8800" w:type="dxa"/>
            <w:gridSpan w:val="8"/>
            <w:tcBorders>
              <w:top w:val="single" w:sz="8" w:space="0" w:color="auto"/>
              <w:left w:val="single" w:sz="8" w:space="0" w:color="auto"/>
              <w:bottom w:val="nil"/>
              <w:right w:val="single" w:sz="8" w:space="0" w:color="auto"/>
            </w:tcBorders>
            <w:shd w:val="clear" w:color="auto" w:fill="auto"/>
            <w:vAlign w:val="center"/>
            <w:hideMark/>
          </w:tcPr>
          <w:p w:rsidR="00D34A52" w:rsidRPr="00D34A52" w:rsidP="00D34A52" w14:paraId="179F6C56" w14:textId="77777777">
            <w:pPr>
              <w:widowControl/>
              <w:jc w:val="right"/>
              <w:rPr>
                <w:rFonts w:ascii="Times New Roman" w:hAnsi="Times New Roman"/>
                <w:b/>
                <w:bCs/>
                <w:i/>
                <w:iCs/>
                <w:snapToGrid/>
                <w:color w:val="000000"/>
                <w:sz w:val="22"/>
                <w:szCs w:val="22"/>
              </w:rPr>
            </w:pPr>
            <w:r w:rsidRPr="00D34A52">
              <w:rPr>
                <w:rFonts w:ascii="Times New Roman" w:hAnsi="Times New Roman"/>
                <w:b/>
                <w:bCs/>
                <w:i/>
                <w:iCs/>
                <w:snapToGrid/>
                <w:color w:val="000000"/>
                <w:sz w:val="22"/>
                <w:szCs w:val="22"/>
              </w:rPr>
              <w:t>Weighted Average Hourly Compensation Rate:</w:t>
            </w:r>
          </w:p>
        </w:tc>
        <w:tc>
          <w:tcPr>
            <w:tcW w:w="1400" w:type="dxa"/>
            <w:tcBorders>
              <w:top w:val="nil"/>
              <w:left w:val="nil"/>
              <w:bottom w:val="nil"/>
              <w:right w:val="single" w:sz="8" w:space="0" w:color="auto"/>
            </w:tcBorders>
            <w:shd w:val="clear" w:color="auto" w:fill="auto"/>
            <w:vAlign w:val="center"/>
            <w:hideMark/>
          </w:tcPr>
          <w:p w:rsidR="00D34A52" w:rsidRPr="00D34A52" w:rsidP="00D34A52" w14:paraId="5A0BE54D" w14:textId="77777777">
            <w:pPr>
              <w:widowControl/>
              <w:ind w:firstLine="220" w:firstLineChars="100"/>
              <w:jc w:val="right"/>
              <w:rPr>
                <w:rFonts w:ascii="Times New Roman" w:hAnsi="Times New Roman"/>
                <w:b/>
                <w:bCs/>
                <w:i/>
                <w:iCs/>
                <w:snapToGrid/>
                <w:color w:val="000000"/>
                <w:sz w:val="22"/>
                <w:szCs w:val="22"/>
              </w:rPr>
            </w:pPr>
            <w:r w:rsidRPr="00D34A52">
              <w:rPr>
                <w:rFonts w:ascii="Times New Roman" w:hAnsi="Times New Roman"/>
                <w:b/>
                <w:bCs/>
                <w:i/>
                <w:iCs/>
                <w:snapToGrid/>
                <w:color w:val="000000"/>
                <w:sz w:val="22"/>
                <w:szCs w:val="22"/>
              </w:rPr>
              <w:t xml:space="preserve">$123.26 </w:t>
            </w:r>
          </w:p>
        </w:tc>
        <w:tc>
          <w:tcPr>
            <w:tcW w:w="36" w:type="dxa"/>
            <w:vAlign w:val="center"/>
            <w:hideMark/>
          </w:tcPr>
          <w:p w:rsidR="00D34A52" w:rsidRPr="00D34A52" w:rsidP="00D34A52" w14:paraId="15688E72" w14:textId="77777777">
            <w:pPr>
              <w:widowControl/>
              <w:rPr>
                <w:rFonts w:ascii="Times New Roman" w:hAnsi="Times New Roman"/>
                <w:snapToGrid/>
                <w:sz w:val="20"/>
              </w:rPr>
            </w:pPr>
          </w:p>
        </w:tc>
      </w:tr>
      <w:tr w14:paraId="7D2DFA24" w14:textId="77777777" w:rsidTr="00F11342">
        <w:tblPrEx>
          <w:tblW w:w="10236" w:type="dxa"/>
          <w:tblCellMar>
            <w:top w:w="15" w:type="dxa"/>
          </w:tblCellMar>
          <w:tblLook w:val="04A0"/>
        </w:tblPrEx>
        <w:trPr>
          <w:trHeight w:val="252"/>
        </w:trPr>
        <w:tc>
          <w:tcPr>
            <w:tcW w:w="10200" w:type="dxa"/>
            <w:gridSpan w:val="9"/>
            <w:vMerge w:val="restart"/>
            <w:tcBorders>
              <w:top w:val="single" w:sz="8" w:space="0" w:color="auto"/>
              <w:left w:val="single" w:sz="8" w:space="0" w:color="auto"/>
              <w:bottom w:val="nil"/>
              <w:right w:val="single" w:sz="8" w:space="0" w:color="000000"/>
            </w:tcBorders>
            <w:shd w:val="clear" w:color="auto" w:fill="auto"/>
            <w:vAlign w:val="center"/>
            <w:hideMark/>
          </w:tcPr>
          <w:p w:rsidR="00D34A52" w:rsidRPr="00D34A52" w:rsidP="00D34A52" w14:paraId="549DCB7B" w14:textId="77777777">
            <w:pPr>
              <w:widowControl/>
              <w:rPr>
                <w:rFonts w:ascii="Times New Roman" w:hAnsi="Times New Roman"/>
                <w:snapToGrid/>
                <w:color w:val="000000"/>
                <w:sz w:val="18"/>
                <w:szCs w:val="18"/>
              </w:rPr>
            </w:pPr>
            <w:r w:rsidRPr="00D34A52">
              <w:rPr>
                <w:rFonts w:ascii="Times New Roman" w:hAnsi="Times New Roman"/>
                <w:snapToGrid/>
                <w:color w:val="000000"/>
                <w:sz w:val="18"/>
                <w:szCs w:val="18"/>
              </w:rPr>
              <w:t xml:space="preserve">Source: Bureau of Labor Statistics: 'National Industry-Specific Occupational Employment and Wage Estimates: Industry: Credit Intermediation and Related Activities (5221 And 5223 only)' (May 2023), Employer Cost of Employee Compensation (March 2023), and Employment Cost Index (March 2023 and June 2024). Standard Occupational Classification (SOC) Codes: Exec. And Mgr = 11-0000 Management Occupations; Lawyer = 23-0000 Legal Occupations; Compl. Ofc. = 13-1040 Compliance Officers; IT = 15-0000 Computer and Mathematical Occupations; Fin. Anlst. = 13-2051 Financial and Investment Analysts; Clerical = 43-0000 Office and Administrative Support Occupations. </w:t>
            </w:r>
          </w:p>
        </w:tc>
        <w:tc>
          <w:tcPr>
            <w:tcW w:w="36" w:type="dxa"/>
            <w:vAlign w:val="center"/>
            <w:hideMark/>
          </w:tcPr>
          <w:p w:rsidR="00D34A52" w:rsidRPr="00D34A52" w:rsidP="00D34A52" w14:paraId="4494026D" w14:textId="77777777">
            <w:pPr>
              <w:widowControl/>
              <w:rPr>
                <w:rFonts w:ascii="Times New Roman" w:hAnsi="Times New Roman"/>
                <w:snapToGrid/>
                <w:sz w:val="20"/>
              </w:rPr>
            </w:pPr>
          </w:p>
        </w:tc>
      </w:tr>
      <w:tr w14:paraId="2D3F07E0" w14:textId="77777777" w:rsidTr="00F11342">
        <w:tblPrEx>
          <w:tblW w:w="10236" w:type="dxa"/>
          <w:tblCellMar>
            <w:top w:w="15" w:type="dxa"/>
          </w:tblCellMar>
          <w:tblLook w:val="04A0"/>
        </w:tblPrEx>
        <w:trPr>
          <w:trHeight w:val="288"/>
        </w:trPr>
        <w:tc>
          <w:tcPr>
            <w:tcW w:w="10200" w:type="dxa"/>
            <w:gridSpan w:val="9"/>
            <w:vMerge/>
            <w:tcBorders>
              <w:top w:val="single" w:sz="8" w:space="0" w:color="auto"/>
              <w:left w:val="single" w:sz="8" w:space="0" w:color="auto"/>
              <w:bottom w:val="nil"/>
              <w:right w:val="single" w:sz="8" w:space="0" w:color="000000"/>
            </w:tcBorders>
            <w:vAlign w:val="center"/>
            <w:hideMark/>
          </w:tcPr>
          <w:p w:rsidR="00D34A52" w:rsidRPr="00D34A52" w:rsidP="00D34A52" w14:paraId="67E24284" w14:textId="77777777">
            <w:pPr>
              <w:widowControl/>
              <w:rPr>
                <w:rFonts w:ascii="Times New Roman" w:hAnsi="Times New Roman"/>
                <w:snapToGrid/>
                <w:color w:val="000000"/>
                <w:sz w:val="18"/>
                <w:szCs w:val="18"/>
              </w:rPr>
            </w:pPr>
          </w:p>
        </w:tc>
        <w:tc>
          <w:tcPr>
            <w:tcW w:w="36" w:type="dxa"/>
            <w:tcBorders>
              <w:top w:val="nil"/>
              <w:left w:val="nil"/>
              <w:bottom w:val="nil"/>
              <w:right w:val="nil"/>
            </w:tcBorders>
            <w:shd w:val="clear" w:color="auto" w:fill="auto"/>
            <w:noWrap/>
            <w:vAlign w:val="bottom"/>
            <w:hideMark/>
          </w:tcPr>
          <w:p w:rsidR="00D34A52" w:rsidRPr="00D34A52" w:rsidP="00D34A52" w14:paraId="6E1EC380" w14:textId="77777777">
            <w:pPr>
              <w:widowControl/>
              <w:rPr>
                <w:rFonts w:ascii="Times New Roman" w:hAnsi="Times New Roman"/>
                <w:snapToGrid/>
                <w:color w:val="000000"/>
                <w:sz w:val="18"/>
                <w:szCs w:val="18"/>
              </w:rPr>
            </w:pPr>
          </w:p>
        </w:tc>
      </w:tr>
      <w:tr w14:paraId="77DE0DFE" w14:textId="77777777" w:rsidTr="00F11342">
        <w:tblPrEx>
          <w:tblW w:w="10236" w:type="dxa"/>
          <w:tblCellMar>
            <w:top w:w="15" w:type="dxa"/>
          </w:tblCellMar>
          <w:tblLook w:val="04A0"/>
        </w:tblPrEx>
        <w:trPr>
          <w:trHeight w:val="288"/>
        </w:trPr>
        <w:tc>
          <w:tcPr>
            <w:tcW w:w="10200" w:type="dxa"/>
            <w:gridSpan w:val="9"/>
            <w:vMerge/>
            <w:tcBorders>
              <w:top w:val="single" w:sz="8" w:space="0" w:color="auto"/>
              <w:left w:val="single" w:sz="8" w:space="0" w:color="auto"/>
              <w:bottom w:val="nil"/>
              <w:right w:val="single" w:sz="8" w:space="0" w:color="000000"/>
            </w:tcBorders>
            <w:vAlign w:val="center"/>
            <w:hideMark/>
          </w:tcPr>
          <w:p w:rsidR="00D34A52" w:rsidRPr="00D34A52" w:rsidP="00D34A52" w14:paraId="661DF84F" w14:textId="77777777">
            <w:pPr>
              <w:widowControl/>
              <w:rPr>
                <w:rFonts w:ascii="Times New Roman" w:hAnsi="Times New Roman"/>
                <w:snapToGrid/>
                <w:color w:val="000000"/>
                <w:sz w:val="18"/>
                <w:szCs w:val="18"/>
              </w:rPr>
            </w:pPr>
          </w:p>
        </w:tc>
        <w:tc>
          <w:tcPr>
            <w:tcW w:w="36" w:type="dxa"/>
            <w:tcBorders>
              <w:top w:val="nil"/>
              <w:left w:val="nil"/>
              <w:bottom w:val="nil"/>
              <w:right w:val="nil"/>
            </w:tcBorders>
            <w:shd w:val="clear" w:color="auto" w:fill="auto"/>
            <w:noWrap/>
            <w:vAlign w:val="bottom"/>
            <w:hideMark/>
          </w:tcPr>
          <w:p w:rsidR="00D34A52" w:rsidRPr="00D34A52" w:rsidP="00D34A52" w14:paraId="26CBEA08" w14:textId="77777777">
            <w:pPr>
              <w:widowControl/>
              <w:rPr>
                <w:rFonts w:ascii="Times New Roman" w:hAnsi="Times New Roman"/>
                <w:snapToGrid/>
                <w:sz w:val="20"/>
              </w:rPr>
            </w:pPr>
          </w:p>
        </w:tc>
      </w:tr>
      <w:tr w14:paraId="237A9B4E" w14:textId="77777777" w:rsidTr="00F11342">
        <w:tblPrEx>
          <w:tblW w:w="10236" w:type="dxa"/>
          <w:tblCellMar>
            <w:top w:w="15" w:type="dxa"/>
          </w:tblCellMar>
          <w:tblLook w:val="04A0"/>
        </w:tblPrEx>
        <w:trPr>
          <w:trHeight w:val="312"/>
        </w:trPr>
        <w:tc>
          <w:tcPr>
            <w:tcW w:w="10200" w:type="dxa"/>
            <w:gridSpan w:val="9"/>
            <w:vMerge/>
            <w:tcBorders>
              <w:top w:val="single" w:sz="8" w:space="0" w:color="auto"/>
              <w:left w:val="single" w:sz="8" w:space="0" w:color="auto"/>
              <w:bottom w:val="nil"/>
              <w:right w:val="single" w:sz="8" w:space="0" w:color="000000"/>
            </w:tcBorders>
            <w:vAlign w:val="center"/>
            <w:hideMark/>
          </w:tcPr>
          <w:p w:rsidR="00D34A52" w:rsidRPr="00D34A52" w:rsidP="00D34A52" w14:paraId="1CCBC85B" w14:textId="77777777">
            <w:pPr>
              <w:widowControl/>
              <w:rPr>
                <w:rFonts w:ascii="Times New Roman" w:hAnsi="Times New Roman"/>
                <w:snapToGrid/>
                <w:color w:val="000000"/>
                <w:sz w:val="18"/>
                <w:szCs w:val="18"/>
              </w:rPr>
            </w:pPr>
          </w:p>
        </w:tc>
        <w:tc>
          <w:tcPr>
            <w:tcW w:w="36" w:type="dxa"/>
            <w:tcBorders>
              <w:top w:val="nil"/>
              <w:left w:val="nil"/>
              <w:bottom w:val="nil"/>
              <w:right w:val="nil"/>
            </w:tcBorders>
            <w:shd w:val="clear" w:color="auto" w:fill="auto"/>
            <w:noWrap/>
            <w:vAlign w:val="bottom"/>
            <w:hideMark/>
          </w:tcPr>
          <w:p w:rsidR="00D34A52" w:rsidRPr="00D34A52" w:rsidP="00D34A52" w14:paraId="50D200EE" w14:textId="77777777">
            <w:pPr>
              <w:widowControl/>
              <w:rPr>
                <w:rFonts w:ascii="Times New Roman" w:hAnsi="Times New Roman"/>
                <w:snapToGrid/>
                <w:sz w:val="20"/>
              </w:rPr>
            </w:pPr>
          </w:p>
        </w:tc>
      </w:tr>
      <w:tr w14:paraId="5AE9275A" w14:textId="77777777" w:rsidTr="00F11342">
        <w:tblPrEx>
          <w:tblW w:w="10236" w:type="dxa"/>
          <w:tblCellMar>
            <w:top w:w="15" w:type="dxa"/>
          </w:tblCellMar>
          <w:tblLook w:val="04A0"/>
        </w:tblPrEx>
        <w:trPr>
          <w:trHeight w:val="348"/>
        </w:trPr>
        <w:tc>
          <w:tcPr>
            <w:tcW w:w="10200" w:type="dxa"/>
            <w:gridSpan w:val="9"/>
            <w:vMerge w:val="restart"/>
            <w:tcBorders>
              <w:top w:val="nil"/>
              <w:left w:val="single" w:sz="8" w:space="0" w:color="auto"/>
              <w:bottom w:val="single" w:sz="8" w:space="0" w:color="auto"/>
              <w:right w:val="single" w:sz="8" w:space="0" w:color="auto"/>
            </w:tcBorders>
            <w:shd w:val="clear" w:color="auto" w:fill="auto"/>
            <w:vAlign w:val="center"/>
            <w:hideMark/>
          </w:tcPr>
          <w:p w:rsidR="00D34A52" w:rsidRPr="00D34A52" w:rsidP="00D34A52" w14:paraId="31A4C7F1" w14:textId="77777777">
            <w:pPr>
              <w:widowControl/>
              <w:rPr>
                <w:rFonts w:ascii="Times New Roman" w:hAnsi="Times New Roman"/>
                <w:snapToGrid/>
                <w:color w:val="000000"/>
                <w:sz w:val="18"/>
                <w:szCs w:val="18"/>
              </w:rPr>
            </w:pPr>
            <w:r w:rsidRPr="00D34A52">
              <w:rPr>
                <w:rFonts w:ascii="Times New Roman" w:hAnsi="Times New Roman"/>
                <w:snapToGrid/>
                <w:color w:val="000000"/>
                <w:sz w:val="18"/>
                <w:szCs w:val="18"/>
              </w:rPr>
              <w:t>Note: The estimated hourly compensation rate for a given IC is the average of the hourly compensation rates for the occupations used to comply with that IC, weighted by the estimated share of hours spent by each occupation. The weighted average hourly compensation rate for the entire ICR is the average of the estimated hourly compensation rates for all ICs, weighted by the share of hourly burden for IC. These hourly weights, as shown in the “Hourly Weight” column of this table, are the quotients of the estimated number of annual burden hours for each IC and the total estimated number of annual burden hours across all ICs.</w:t>
            </w:r>
          </w:p>
        </w:tc>
        <w:tc>
          <w:tcPr>
            <w:tcW w:w="36" w:type="dxa"/>
            <w:vAlign w:val="center"/>
            <w:hideMark/>
          </w:tcPr>
          <w:p w:rsidR="00D34A52" w:rsidRPr="00D34A52" w:rsidP="00D34A52" w14:paraId="199742C4" w14:textId="77777777">
            <w:pPr>
              <w:widowControl/>
              <w:rPr>
                <w:rFonts w:ascii="Times New Roman" w:hAnsi="Times New Roman"/>
                <w:snapToGrid/>
                <w:sz w:val="20"/>
              </w:rPr>
            </w:pPr>
          </w:p>
        </w:tc>
      </w:tr>
      <w:tr w14:paraId="602BF32F" w14:textId="77777777" w:rsidTr="00F11342">
        <w:tblPrEx>
          <w:tblW w:w="10236" w:type="dxa"/>
          <w:tblCellMar>
            <w:top w:w="15" w:type="dxa"/>
          </w:tblCellMar>
          <w:tblLook w:val="04A0"/>
        </w:tblPrEx>
        <w:trPr>
          <w:trHeight w:val="288"/>
        </w:trPr>
        <w:tc>
          <w:tcPr>
            <w:tcW w:w="10200" w:type="dxa"/>
            <w:gridSpan w:val="9"/>
            <w:vMerge/>
            <w:tcBorders>
              <w:top w:val="nil"/>
              <w:left w:val="single" w:sz="8" w:space="0" w:color="auto"/>
              <w:bottom w:val="single" w:sz="8" w:space="0" w:color="auto"/>
              <w:right w:val="single" w:sz="8" w:space="0" w:color="auto"/>
            </w:tcBorders>
            <w:vAlign w:val="center"/>
            <w:hideMark/>
          </w:tcPr>
          <w:p w:rsidR="00D34A52" w:rsidRPr="00D34A52" w:rsidP="00D34A52" w14:paraId="3D9792D8" w14:textId="77777777">
            <w:pPr>
              <w:widowControl/>
              <w:rPr>
                <w:rFonts w:ascii="Times New Roman" w:hAnsi="Times New Roman"/>
                <w:snapToGrid/>
                <w:color w:val="000000"/>
                <w:sz w:val="18"/>
                <w:szCs w:val="18"/>
              </w:rPr>
            </w:pPr>
          </w:p>
        </w:tc>
        <w:tc>
          <w:tcPr>
            <w:tcW w:w="36" w:type="dxa"/>
            <w:tcBorders>
              <w:top w:val="nil"/>
              <w:left w:val="nil"/>
              <w:bottom w:val="nil"/>
              <w:right w:val="nil"/>
            </w:tcBorders>
            <w:shd w:val="clear" w:color="auto" w:fill="auto"/>
            <w:noWrap/>
            <w:vAlign w:val="bottom"/>
            <w:hideMark/>
          </w:tcPr>
          <w:p w:rsidR="00D34A52" w:rsidRPr="00D34A52" w:rsidP="00D34A52" w14:paraId="7AE93890" w14:textId="77777777">
            <w:pPr>
              <w:widowControl/>
              <w:rPr>
                <w:rFonts w:ascii="Times New Roman" w:hAnsi="Times New Roman"/>
                <w:snapToGrid/>
                <w:color w:val="000000"/>
                <w:sz w:val="18"/>
                <w:szCs w:val="18"/>
              </w:rPr>
            </w:pPr>
          </w:p>
        </w:tc>
      </w:tr>
      <w:tr w14:paraId="4E23DC39" w14:textId="77777777" w:rsidTr="00F11342">
        <w:tblPrEx>
          <w:tblW w:w="10236" w:type="dxa"/>
          <w:tblCellMar>
            <w:top w:w="15" w:type="dxa"/>
          </w:tblCellMar>
          <w:tblLook w:val="04A0"/>
        </w:tblPrEx>
        <w:trPr>
          <w:trHeight w:val="288"/>
        </w:trPr>
        <w:tc>
          <w:tcPr>
            <w:tcW w:w="10200" w:type="dxa"/>
            <w:gridSpan w:val="9"/>
            <w:vMerge/>
            <w:tcBorders>
              <w:top w:val="nil"/>
              <w:left w:val="single" w:sz="8" w:space="0" w:color="auto"/>
              <w:bottom w:val="single" w:sz="8" w:space="0" w:color="auto"/>
              <w:right w:val="single" w:sz="8" w:space="0" w:color="auto"/>
            </w:tcBorders>
            <w:vAlign w:val="center"/>
            <w:hideMark/>
          </w:tcPr>
          <w:p w:rsidR="00D34A52" w:rsidRPr="00D34A52" w:rsidP="00D34A52" w14:paraId="111D2A1E" w14:textId="77777777">
            <w:pPr>
              <w:widowControl/>
              <w:rPr>
                <w:rFonts w:ascii="Times New Roman" w:hAnsi="Times New Roman"/>
                <w:snapToGrid/>
                <w:color w:val="000000"/>
                <w:sz w:val="18"/>
                <w:szCs w:val="18"/>
              </w:rPr>
            </w:pPr>
          </w:p>
        </w:tc>
        <w:tc>
          <w:tcPr>
            <w:tcW w:w="36" w:type="dxa"/>
            <w:tcBorders>
              <w:top w:val="nil"/>
              <w:left w:val="nil"/>
              <w:bottom w:val="nil"/>
              <w:right w:val="nil"/>
            </w:tcBorders>
            <w:shd w:val="clear" w:color="auto" w:fill="auto"/>
            <w:noWrap/>
            <w:vAlign w:val="bottom"/>
            <w:hideMark/>
          </w:tcPr>
          <w:p w:rsidR="00D34A52" w:rsidRPr="00D34A52" w:rsidP="00D34A52" w14:paraId="26E584C9" w14:textId="77777777">
            <w:pPr>
              <w:widowControl/>
              <w:rPr>
                <w:rFonts w:ascii="Times New Roman" w:hAnsi="Times New Roman"/>
                <w:snapToGrid/>
                <w:sz w:val="20"/>
              </w:rPr>
            </w:pPr>
          </w:p>
        </w:tc>
      </w:tr>
      <w:tr w14:paraId="1B132EE3" w14:textId="77777777" w:rsidTr="00F11342">
        <w:tblPrEx>
          <w:tblW w:w="10236" w:type="dxa"/>
          <w:tblCellMar>
            <w:top w:w="15" w:type="dxa"/>
          </w:tblCellMar>
          <w:tblLook w:val="04A0"/>
        </w:tblPrEx>
        <w:trPr>
          <w:trHeight w:val="300"/>
        </w:trPr>
        <w:tc>
          <w:tcPr>
            <w:tcW w:w="10200" w:type="dxa"/>
            <w:gridSpan w:val="9"/>
            <w:vMerge/>
            <w:tcBorders>
              <w:top w:val="nil"/>
              <w:left w:val="single" w:sz="8" w:space="0" w:color="auto"/>
              <w:bottom w:val="single" w:sz="8" w:space="0" w:color="auto"/>
              <w:right w:val="single" w:sz="8" w:space="0" w:color="auto"/>
            </w:tcBorders>
            <w:vAlign w:val="center"/>
            <w:hideMark/>
          </w:tcPr>
          <w:p w:rsidR="00D34A52" w:rsidRPr="00D34A52" w:rsidP="00D34A52" w14:paraId="50C4624E" w14:textId="77777777">
            <w:pPr>
              <w:widowControl/>
              <w:rPr>
                <w:rFonts w:ascii="Times New Roman" w:hAnsi="Times New Roman"/>
                <w:snapToGrid/>
                <w:color w:val="000000"/>
                <w:sz w:val="18"/>
                <w:szCs w:val="18"/>
              </w:rPr>
            </w:pPr>
          </w:p>
        </w:tc>
        <w:tc>
          <w:tcPr>
            <w:tcW w:w="36" w:type="dxa"/>
            <w:tcBorders>
              <w:top w:val="nil"/>
              <w:left w:val="nil"/>
              <w:bottom w:val="nil"/>
              <w:right w:val="nil"/>
            </w:tcBorders>
            <w:shd w:val="clear" w:color="auto" w:fill="auto"/>
            <w:noWrap/>
            <w:vAlign w:val="bottom"/>
            <w:hideMark/>
          </w:tcPr>
          <w:p w:rsidR="00D34A52" w:rsidRPr="00D34A52" w:rsidP="00D34A52" w14:paraId="18FC1DE2" w14:textId="77777777">
            <w:pPr>
              <w:widowControl/>
              <w:rPr>
                <w:rFonts w:ascii="Times New Roman" w:hAnsi="Times New Roman"/>
                <w:snapToGrid/>
                <w:sz w:val="20"/>
              </w:rPr>
            </w:pPr>
          </w:p>
        </w:tc>
      </w:tr>
    </w:tbl>
    <w:p w:rsidR="00D34A52" w:rsidRPr="00D34A52" w:rsidP="00D34A52" w14:paraId="49FA6E64" w14:textId="77777777">
      <w:pPr>
        <w:widowControl/>
        <w:ind w:firstLine="720"/>
        <w:textAlignment w:val="baseline"/>
        <w:rPr>
          <w:rFonts w:ascii="Source Sans Pro" w:hAnsi="Source Sans Pro"/>
          <w:snapToGrid/>
          <w:sz w:val="20"/>
        </w:rPr>
      </w:pPr>
    </w:p>
    <w:p w:rsidR="00D34A52" w:rsidRPr="00D34A52" w:rsidP="00D34A52" w14:paraId="2769C773" w14:textId="77777777">
      <w:pPr>
        <w:suppressAutoHyphens/>
        <w:autoSpaceDE w:val="0"/>
        <w:autoSpaceDN w:val="0"/>
        <w:ind w:right="-86"/>
        <w:rPr>
          <w:rFonts w:ascii="Times New Roman" w:eastAsia="Source Sans Pro" w:hAnsi="Times New Roman"/>
          <w:b/>
          <w:snapToGrid/>
          <w:szCs w:val="24"/>
          <w:lang w:bidi="en-US"/>
        </w:rPr>
      </w:pPr>
    </w:p>
    <w:p w:rsidR="00D34A52" w:rsidRPr="00D34A52" w:rsidP="00D34A52" w14:paraId="20154771" w14:textId="77777777">
      <w:pPr>
        <w:spacing w:after="120"/>
        <w:ind w:left="720"/>
        <w:rPr>
          <w:rFonts w:ascii="Times New Roman" w:eastAsia="Source Sans Pro" w:hAnsi="Times New Roman"/>
          <w:b/>
          <w:snapToGrid/>
          <w:szCs w:val="24"/>
          <w:lang w:bidi="en-US"/>
        </w:rPr>
      </w:pPr>
      <w:r w:rsidRPr="00D34A52">
        <w:rPr>
          <w:rFonts w:ascii="Times New Roman" w:eastAsia="Source Sans Pro" w:hAnsi="Times New Roman"/>
          <w:snapToGrid/>
          <w:szCs w:val="24"/>
          <w:lang w:bidi="en-US"/>
        </w:rPr>
        <w:t>Total</w:t>
      </w:r>
      <w:r w:rsidRPr="00D34A52">
        <w:rPr>
          <w:rFonts w:ascii="Times New Roman" w:eastAsia="Source Sans Pro" w:hAnsi="Times New Roman"/>
          <w:b/>
          <w:snapToGrid/>
          <w:szCs w:val="24"/>
          <w:lang w:bidi="en-US"/>
        </w:rPr>
        <w:t xml:space="preserve"> Estimated Compliance Cost</w:t>
      </w:r>
    </w:p>
    <w:p w:rsidR="00D34A52" w:rsidRPr="00D34A52" w:rsidP="00D34A52" w14:paraId="6B628A85" w14:textId="77777777">
      <w:pPr>
        <w:suppressAutoHyphens/>
        <w:autoSpaceDE w:val="0"/>
        <w:autoSpaceDN w:val="0"/>
        <w:ind w:right="-86" w:firstLine="720"/>
        <w:rPr>
          <w:rFonts w:ascii="Times New Roman" w:eastAsia="Source Sans Pro" w:hAnsi="Times New Roman"/>
          <w:b/>
          <w:snapToGrid/>
          <w:szCs w:val="24"/>
          <w:lang w:bidi="en-US"/>
        </w:rPr>
      </w:pPr>
    </w:p>
    <w:p w:rsidR="00CF552E" w:rsidRPr="00D34A52" w:rsidP="00D34A52" w14:paraId="08CDE616" w14:textId="17324E7B">
      <w:pPr>
        <w:spacing w:after="120"/>
        <w:ind w:left="720"/>
        <w:rPr>
          <w:rStyle w:val="documentbody1"/>
          <w:rFonts w:ascii="Times New Roman" w:eastAsia="Source Sans Pro" w:hAnsi="Times New Roman"/>
          <w:snapToGrid/>
          <w:sz w:val="24"/>
          <w:szCs w:val="24"/>
          <w:lang w:bidi="en-US"/>
        </w:rPr>
      </w:pPr>
      <w:r w:rsidRPr="00D34A52">
        <w:rPr>
          <w:rFonts w:ascii="Times New Roman" w:eastAsia="Source Sans Pro" w:hAnsi="Times New Roman"/>
          <w:snapToGrid/>
          <w:szCs w:val="24"/>
          <w:lang w:bidi="en-US"/>
        </w:rPr>
        <w:t xml:space="preserve">Given the above analyses, and applying the estimates summarized in Tables 1 and 2, the estimated total annual cost of compliance for this ICR is </w:t>
      </w:r>
      <w:r w:rsidRPr="00D34A52">
        <w:rPr>
          <w:rFonts w:ascii="Times New Roman" w:eastAsia="Source Sans Pro" w:hAnsi="Times New Roman"/>
          <w:b/>
          <w:snapToGrid/>
          <w:szCs w:val="24"/>
          <w:lang w:bidi="en-US"/>
        </w:rPr>
        <w:t>$338,718</w:t>
      </w:r>
      <w:r w:rsidRPr="00D34A52">
        <w:rPr>
          <w:rFonts w:ascii="Times New Roman" w:eastAsia="Source Sans Pro" w:hAnsi="Times New Roman"/>
          <w:snapToGrid/>
          <w:szCs w:val="24"/>
          <w:lang w:bidi="en-US"/>
        </w:rPr>
        <w:t xml:space="preserve"> (2,748 hours / year * $123.26 / hour = $338,718 a year), as shown in Table 3. This is an increase of $28,908 from the 2022 ICR ($309,810). This increase can be explained both by an increase in the total estimated annual burden of IC #2, as well as an increase in the estimated hourly compensation rate from $115 in the 2022 ICR to $123.26 in this ICR. This increase is attenuated by changes to the estimation methodology for IC #1, resulting in a lower total annual burden for that IC.</w:t>
      </w:r>
      <w:r w:rsidRPr="00D34A52" w:rsidR="00B81846">
        <w:rPr>
          <w:rFonts w:ascii="Times New Roman" w:hAnsi="Times New Roman"/>
          <w:snapToGrid/>
          <w:szCs w:val="24"/>
        </w:rPr>
        <w:t xml:space="preserve"> </w:t>
      </w:r>
    </w:p>
    <w:p w:rsidR="009778B4" w:rsidRPr="00BA19E0" w:rsidP="00497E0B" w14:paraId="5E009EDA" w14:textId="77777777">
      <w:pPr>
        <w:pStyle w:val="CommentText"/>
        <w:ind w:left="1440"/>
        <w:rPr>
          <w:rStyle w:val="documentbody1"/>
          <w:color w:val="000000"/>
          <w:sz w:val="24"/>
          <w:szCs w:val="24"/>
          <w:u w:val="single"/>
        </w:rPr>
      </w:pPr>
    </w:p>
    <w:p w:rsidR="009F4532" w:rsidRPr="001F2A5D" w:rsidP="00FC1474" w14:paraId="58DAE843" w14:textId="77777777">
      <w:pPr>
        <w:outlineLvl w:val="0"/>
        <w:rPr>
          <w:rFonts w:ascii="Times New Roman" w:hAnsi="Times New Roman"/>
          <w:szCs w:val="24"/>
          <w:u w:val="single"/>
        </w:rPr>
      </w:pPr>
      <w:r>
        <w:rPr>
          <w:rFonts w:ascii="Times New Roman" w:hAnsi="Times New Roman"/>
        </w:rPr>
        <w:t>13.</w:t>
      </w:r>
      <w:r>
        <w:rPr>
          <w:rFonts w:ascii="Times New Roman" w:hAnsi="Times New Roman"/>
        </w:rPr>
        <w:tab/>
      </w:r>
      <w:r w:rsidRPr="009E60FB">
        <w:rPr>
          <w:rFonts w:ascii="Times New Roman" w:hAnsi="Times New Roman"/>
          <w:bCs/>
          <w:szCs w:val="24"/>
          <w:u w:val="single"/>
        </w:rPr>
        <w:t>Estimate of start-up costs to respondents:</w:t>
      </w:r>
    </w:p>
    <w:p w:rsidR="00731A90" w14:paraId="610D2EBA" w14:textId="77777777">
      <w:pPr>
        <w:rPr>
          <w:rFonts w:ascii="Times New Roman" w:hAnsi="Times New Roman"/>
        </w:rPr>
      </w:pPr>
    </w:p>
    <w:p w:rsidR="00731A90" w:rsidP="0037682F" w14:paraId="51C66DFC" w14:textId="77777777">
      <w:pPr>
        <w:ind w:left="720"/>
        <w:rPr>
          <w:rFonts w:ascii="Times New Roman" w:hAnsi="Times New Roman"/>
        </w:rPr>
      </w:pPr>
      <w:r w:rsidRPr="0037682F">
        <w:rPr>
          <w:rFonts w:ascii="Times New Roman" w:eastAsia="Calibri" w:hAnsi="Times New Roman"/>
          <w:snapToGrid/>
          <w:szCs w:val="24"/>
        </w:rPr>
        <w:t>None</w:t>
      </w:r>
      <w:r>
        <w:rPr>
          <w:rFonts w:ascii="Times New Roman" w:hAnsi="Times New Roman"/>
        </w:rPr>
        <w:t xml:space="preserve">. </w:t>
      </w:r>
    </w:p>
    <w:p w:rsidR="00731A90" w14:paraId="44764346" w14:textId="77777777">
      <w:pPr>
        <w:rPr>
          <w:rFonts w:ascii="Times New Roman" w:hAnsi="Times New Roman"/>
        </w:rPr>
      </w:pPr>
    </w:p>
    <w:p w:rsidR="00731A90" w:rsidP="00FC1474" w14:paraId="07FFAF65" w14:textId="77777777">
      <w:pPr>
        <w:rPr>
          <w:rFonts w:ascii="Times New Roman" w:hAnsi="Times New Roman"/>
          <w:bCs/>
          <w:szCs w:val="24"/>
          <w:u w:val="single"/>
        </w:rPr>
      </w:pPr>
      <w:r>
        <w:rPr>
          <w:rFonts w:ascii="Times New Roman" w:hAnsi="Times New Roman"/>
        </w:rPr>
        <w:t>14.</w:t>
      </w:r>
      <w:r>
        <w:rPr>
          <w:rFonts w:ascii="Times New Roman" w:hAnsi="Times New Roman"/>
        </w:rPr>
        <w:tab/>
      </w:r>
      <w:r w:rsidRPr="009E60FB" w:rsidR="009F4532">
        <w:rPr>
          <w:rFonts w:ascii="Times New Roman" w:hAnsi="Times New Roman"/>
          <w:bCs/>
          <w:szCs w:val="24"/>
          <w:u w:val="single"/>
        </w:rPr>
        <w:t>Estimate of annualized costs to the government:</w:t>
      </w:r>
    </w:p>
    <w:p w:rsidR="009F4532" w:rsidP="009F4532" w14:paraId="76F87CCC" w14:textId="77777777">
      <w:pPr>
        <w:ind w:firstLine="720"/>
        <w:rPr>
          <w:rFonts w:ascii="Times New Roman" w:hAnsi="Times New Roman"/>
        </w:rPr>
      </w:pPr>
    </w:p>
    <w:p w:rsidR="007E3A41" w:rsidP="0037682F" w14:paraId="35D88669" w14:textId="77777777">
      <w:pPr>
        <w:ind w:left="720"/>
        <w:rPr>
          <w:rFonts w:ascii="Times New Roman" w:hAnsi="Times New Roman"/>
        </w:rPr>
      </w:pPr>
      <w:r w:rsidRPr="0037682F">
        <w:rPr>
          <w:rFonts w:ascii="Times New Roman" w:eastAsia="Calibri" w:hAnsi="Times New Roman"/>
          <w:snapToGrid/>
          <w:szCs w:val="24"/>
        </w:rPr>
        <w:t>None</w:t>
      </w:r>
      <w:r w:rsidR="0077603D">
        <w:rPr>
          <w:rFonts w:ascii="Times New Roman" w:hAnsi="Times New Roman"/>
        </w:rPr>
        <w:t>.</w:t>
      </w:r>
    </w:p>
    <w:p w:rsidR="007E3A41" w14:paraId="4EA93DFD" w14:textId="77777777">
      <w:pPr>
        <w:ind w:firstLine="720"/>
        <w:rPr>
          <w:rFonts w:ascii="Times New Roman" w:hAnsi="Times New Roman"/>
        </w:rPr>
      </w:pPr>
    </w:p>
    <w:p w:rsidR="009F4532" w:rsidRPr="001F2A5D" w:rsidP="00FC1474" w14:paraId="4DBBF690" w14:textId="77777777">
      <w:pPr>
        <w:outlineLvl w:val="0"/>
        <w:rPr>
          <w:rFonts w:ascii="Times New Roman" w:hAnsi="Times New Roman"/>
          <w:szCs w:val="24"/>
        </w:rPr>
      </w:pPr>
      <w:r>
        <w:rPr>
          <w:rFonts w:ascii="Times New Roman" w:hAnsi="Times New Roman"/>
        </w:rPr>
        <w:t>15.</w:t>
      </w:r>
      <w:r>
        <w:rPr>
          <w:rFonts w:ascii="Times New Roman" w:hAnsi="Times New Roman"/>
        </w:rPr>
        <w:tab/>
      </w:r>
      <w:r w:rsidRPr="009E60FB">
        <w:rPr>
          <w:rFonts w:ascii="Times New Roman" w:hAnsi="Times New Roman"/>
          <w:szCs w:val="24"/>
          <w:u w:val="single"/>
        </w:rPr>
        <w:t>Analysis of change in burden:</w:t>
      </w:r>
    </w:p>
    <w:p w:rsidR="00731A90" w14:paraId="3EEEE27B" w14:textId="77777777">
      <w:pPr>
        <w:ind w:firstLine="720"/>
        <w:rPr>
          <w:rFonts w:ascii="Times New Roman" w:hAnsi="Times New Roman"/>
        </w:rPr>
      </w:pPr>
    </w:p>
    <w:p w:rsidR="0077603D" w:rsidRPr="0037682F" w:rsidP="0037682F" w14:paraId="6D735F4C" w14:textId="4A9BD6E8">
      <w:pPr>
        <w:ind w:left="720"/>
        <w:rPr>
          <w:rFonts w:ascii="Times New Roman" w:hAnsi="Times New Roman"/>
          <w:snapToGrid/>
          <w:szCs w:val="24"/>
        </w:rPr>
      </w:pPr>
      <w:r>
        <w:rPr>
          <w:rFonts w:ascii="Times New Roman" w:eastAsia="Calibri" w:hAnsi="Times New Roman"/>
          <w:snapToGrid/>
          <w:szCs w:val="24"/>
        </w:rPr>
        <w:t xml:space="preserve">See section 12 </w:t>
      </w:r>
      <w:r>
        <w:rPr>
          <w:rFonts w:ascii="Times New Roman" w:eastAsia="Calibri" w:hAnsi="Times New Roman"/>
          <w:snapToGrid/>
          <w:szCs w:val="24"/>
        </w:rPr>
        <w:t>above.</w:t>
      </w:r>
      <w:r w:rsidRPr="0037682F" w:rsidR="00FC1474">
        <w:rPr>
          <w:rFonts w:ascii="Times New Roman" w:hAnsi="Times New Roman"/>
          <w:snapToGrid/>
          <w:szCs w:val="24"/>
        </w:rPr>
        <w:t>.</w:t>
      </w:r>
    </w:p>
    <w:p w:rsidR="00731A90" w14:paraId="7E1BE5E9" w14:textId="77777777">
      <w:pPr>
        <w:rPr>
          <w:rFonts w:ascii="Times New Roman" w:hAnsi="Times New Roman"/>
        </w:rPr>
      </w:pPr>
    </w:p>
    <w:p w:rsidR="009F4532" w:rsidRPr="001F2A5D" w:rsidP="00FC1474" w14:paraId="0F500CDD" w14:textId="77777777">
      <w:pPr>
        <w:ind w:left="720" w:hanging="720"/>
        <w:outlineLvl w:val="0"/>
        <w:rPr>
          <w:rFonts w:ascii="Times New Roman" w:hAnsi="Times New Roman"/>
          <w:szCs w:val="24"/>
        </w:rPr>
      </w:pPr>
      <w:r>
        <w:rPr>
          <w:rFonts w:ascii="Times New Roman" w:hAnsi="Times New Roman"/>
        </w:rPr>
        <w:t>16.</w:t>
      </w:r>
      <w:r>
        <w:rPr>
          <w:rFonts w:ascii="Times New Roman" w:hAnsi="Times New Roman"/>
        </w:rPr>
        <w:tab/>
      </w:r>
      <w:r w:rsidRPr="00E47BDF">
        <w:rPr>
          <w:rFonts w:ascii="Times New Roman" w:hAnsi="Times New Roman"/>
          <w:szCs w:val="24"/>
          <w:u w:val="single"/>
        </w:rPr>
        <w:t>Information regarding collections whose results</w:t>
      </w:r>
      <w:r w:rsidRPr="006A7DD6">
        <w:rPr>
          <w:rFonts w:ascii="Times New Roman" w:hAnsi="Times New Roman"/>
          <w:szCs w:val="24"/>
          <w:u w:val="single"/>
        </w:rPr>
        <w:t xml:space="preserve"> are planned to be published for statistical use:</w:t>
      </w:r>
    </w:p>
    <w:p w:rsidR="00731A90" w14:paraId="0D0A3F73" w14:textId="77777777">
      <w:pPr>
        <w:rPr>
          <w:rFonts w:ascii="Times New Roman" w:hAnsi="Times New Roman"/>
        </w:rPr>
      </w:pPr>
    </w:p>
    <w:p w:rsidR="00731A90" w:rsidP="0037682F" w14:paraId="5D30C4FD" w14:textId="77777777">
      <w:pPr>
        <w:ind w:left="720"/>
        <w:rPr>
          <w:rFonts w:ascii="Times New Roman" w:hAnsi="Times New Roman"/>
        </w:rPr>
      </w:pPr>
      <w:r>
        <w:rPr>
          <w:rFonts w:ascii="Times New Roman" w:hAnsi="Times New Roman"/>
        </w:rPr>
        <w:t xml:space="preserve">No </w:t>
      </w:r>
      <w:r w:rsidRPr="0037682F">
        <w:rPr>
          <w:rFonts w:ascii="Times New Roman" w:eastAsia="Calibri" w:hAnsi="Times New Roman"/>
          <w:snapToGrid/>
          <w:szCs w:val="24"/>
        </w:rPr>
        <w:t>publication</w:t>
      </w:r>
      <w:r>
        <w:rPr>
          <w:rFonts w:ascii="Times New Roman" w:hAnsi="Times New Roman"/>
        </w:rPr>
        <w:t xml:space="preserve"> will be made of this information.</w:t>
      </w:r>
    </w:p>
    <w:p w:rsidR="00731A90" w14:paraId="3302102D" w14:textId="77777777">
      <w:pPr>
        <w:rPr>
          <w:rFonts w:ascii="Times New Roman" w:hAnsi="Times New Roman"/>
        </w:rPr>
      </w:pPr>
    </w:p>
    <w:p w:rsidR="00731A90" w:rsidP="00FC1474" w14:paraId="71336842" w14:textId="77777777">
      <w:pPr>
        <w:rPr>
          <w:rFonts w:ascii="Times New Roman" w:hAnsi="Times New Roman"/>
        </w:rPr>
      </w:pPr>
      <w:r>
        <w:rPr>
          <w:rFonts w:ascii="Times New Roman" w:hAnsi="Times New Roman"/>
        </w:rPr>
        <w:t>17.</w:t>
      </w:r>
      <w:r>
        <w:rPr>
          <w:rFonts w:ascii="Times New Roman" w:hAnsi="Times New Roman"/>
        </w:rPr>
        <w:tab/>
      </w:r>
      <w:r w:rsidRPr="009E60FB" w:rsidR="009F4532">
        <w:rPr>
          <w:rFonts w:ascii="Times New Roman" w:hAnsi="Times New Roman"/>
          <w:szCs w:val="24"/>
          <w:u w:val="single"/>
        </w:rPr>
        <w:t>Display of expiration date</w:t>
      </w:r>
      <w:r w:rsidR="009F4532">
        <w:rPr>
          <w:rFonts w:ascii="Times New Roman" w:hAnsi="Times New Roman"/>
          <w:szCs w:val="24"/>
          <w:u w:val="single"/>
        </w:rPr>
        <w:t>:</w:t>
      </w:r>
    </w:p>
    <w:p w:rsidR="00731A90" w14:paraId="5C33AAFB" w14:textId="77777777">
      <w:pPr>
        <w:rPr>
          <w:rFonts w:ascii="Times New Roman" w:hAnsi="Times New Roman"/>
        </w:rPr>
      </w:pPr>
    </w:p>
    <w:p w:rsidR="00731A90" w:rsidP="0037682F" w14:paraId="45333487" w14:textId="77777777">
      <w:pPr>
        <w:ind w:left="720"/>
        <w:rPr>
          <w:rFonts w:ascii="Times New Roman" w:hAnsi="Times New Roman"/>
        </w:rPr>
      </w:pPr>
      <w:r>
        <w:rPr>
          <w:rFonts w:ascii="Times New Roman" w:hAnsi="Times New Roman"/>
        </w:rPr>
        <w:t xml:space="preserve">Not </w:t>
      </w:r>
      <w:r w:rsidRPr="0037682F">
        <w:rPr>
          <w:rFonts w:ascii="Times New Roman" w:eastAsia="Calibri" w:hAnsi="Times New Roman"/>
          <w:snapToGrid/>
          <w:szCs w:val="24"/>
        </w:rPr>
        <w:t>applicable</w:t>
      </w:r>
      <w:r>
        <w:rPr>
          <w:rFonts w:ascii="Times New Roman" w:hAnsi="Times New Roman"/>
        </w:rPr>
        <w:t>.</w:t>
      </w:r>
    </w:p>
    <w:p w:rsidR="00731A90" w14:paraId="5872F49C" w14:textId="77777777">
      <w:pPr>
        <w:rPr>
          <w:rFonts w:ascii="Times New Roman" w:hAnsi="Times New Roman"/>
        </w:rPr>
      </w:pPr>
    </w:p>
    <w:p w:rsidR="00731A90" w:rsidP="00FC1474" w14:paraId="4D1EEF25" w14:textId="77777777">
      <w:pPr>
        <w:rPr>
          <w:rFonts w:ascii="Times New Roman" w:hAnsi="Times New Roman"/>
        </w:rPr>
      </w:pPr>
      <w:r>
        <w:rPr>
          <w:rFonts w:ascii="Times New Roman" w:hAnsi="Times New Roman"/>
        </w:rPr>
        <w:t>18.</w:t>
      </w:r>
      <w:r>
        <w:rPr>
          <w:rFonts w:ascii="Times New Roman" w:hAnsi="Times New Roman"/>
        </w:rPr>
        <w:tab/>
      </w:r>
      <w:r>
        <w:rPr>
          <w:rFonts w:ascii="Times New Roman" w:hAnsi="Times New Roman"/>
          <w:u w:val="single"/>
        </w:rPr>
        <w:t>Exceptions to Certification</w:t>
      </w:r>
      <w:r>
        <w:rPr>
          <w:rFonts w:ascii="Times New Roman" w:hAnsi="Times New Roman"/>
        </w:rPr>
        <w:t xml:space="preserve">  </w:t>
      </w:r>
    </w:p>
    <w:p w:rsidR="00731A90" w14:paraId="36C93C8D" w14:textId="77777777">
      <w:pPr>
        <w:rPr>
          <w:rFonts w:ascii="Times New Roman" w:hAnsi="Times New Roman"/>
        </w:rPr>
      </w:pPr>
    </w:p>
    <w:p w:rsidR="00731A90" w:rsidP="0037682F" w14:paraId="6124CC74" w14:textId="77777777">
      <w:pPr>
        <w:ind w:left="720"/>
        <w:rPr>
          <w:rFonts w:ascii="Times New Roman" w:hAnsi="Times New Roman"/>
        </w:rPr>
      </w:pPr>
      <w:r w:rsidRPr="0037682F">
        <w:rPr>
          <w:rFonts w:ascii="Times New Roman" w:eastAsia="Calibri" w:hAnsi="Times New Roman"/>
          <w:snapToGrid/>
          <w:szCs w:val="24"/>
        </w:rPr>
        <w:t>None</w:t>
      </w:r>
      <w:r>
        <w:rPr>
          <w:rFonts w:ascii="Times New Roman" w:hAnsi="Times New Roman"/>
        </w:rPr>
        <w:t>.</w:t>
      </w:r>
    </w:p>
    <w:p w:rsidR="00731A90" w14:paraId="5BC4792C" w14:textId="77777777">
      <w:pPr>
        <w:rPr>
          <w:rFonts w:ascii="Times New Roman" w:hAnsi="Times New Roman"/>
        </w:rPr>
      </w:pPr>
    </w:p>
    <w:p w:rsidR="00731A90" w14:paraId="1B697091" w14:textId="77777777">
      <w:pPr>
        <w:numPr>
          <w:ilvl w:val="0"/>
          <w:numId w:val="3"/>
        </w:numPr>
        <w:rPr>
          <w:rFonts w:ascii="Times New Roman" w:hAnsi="Times New Roman"/>
          <w:u w:val="single"/>
        </w:rPr>
      </w:pPr>
      <w:r w:rsidRPr="001F2A5D">
        <w:rPr>
          <w:rFonts w:ascii="Times New Roman" w:hAnsi="Times New Roman"/>
          <w:szCs w:val="24"/>
          <w:u w:val="single"/>
        </w:rPr>
        <w:t>Collection of Information Employing Statistical Methods</w:t>
      </w:r>
      <w:r>
        <w:rPr>
          <w:rFonts w:ascii="Times New Roman" w:hAnsi="Times New Roman"/>
          <w:u w:val="single"/>
        </w:rPr>
        <w:t xml:space="preserve"> </w:t>
      </w:r>
    </w:p>
    <w:p w:rsidR="00731A90" w14:paraId="37102D83" w14:textId="77777777">
      <w:pPr>
        <w:rPr>
          <w:rFonts w:ascii="Times New Roman" w:hAnsi="Times New Roman"/>
          <w:u w:val="single"/>
        </w:rPr>
      </w:pPr>
    </w:p>
    <w:p w:rsidR="00731A90" w:rsidP="0037682F" w14:paraId="02AED555" w14:textId="77777777">
      <w:pPr>
        <w:ind w:left="720"/>
        <w:rPr>
          <w:rFonts w:ascii="Times New Roman" w:hAnsi="Times New Roman"/>
        </w:rPr>
      </w:pPr>
      <w:r w:rsidRPr="0037682F">
        <w:rPr>
          <w:rFonts w:ascii="Times New Roman" w:eastAsia="Calibri" w:hAnsi="Times New Roman"/>
          <w:snapToGrid/>
          <w:szCs w:val="24"/>
        </w:rPr>
        <w:t>Not</w:t>
      </w:r>
      <w:r>
        <w:rPr>
          <w:rFonts w:ascii="Times New Roman" w:hAnsi="Times New Roman"/>
        </w:rPr>
        <w:t xml:space="preserve"> Applicable</w:t>
      </w:r>
      <w:r w:rsidR="00DB04B6">
        <w:rPr>
          <w:rFonts w:ascii="Times New Roman" w:hAnsi="Times New Roman"/>
        </w:rPr>
        <w:t>.</w:t>
      </w:r>
    </w:p>
    <w:p w:rsidR="00731A90" w14:paraId="083AD016" w14:textId="77777777">
      <w:pPr>
        <w:rPr>
          <w:rFonts w:ascii="Times New Roman" w:hAnsi="Times New Roman"/>
        </w:rPr>
      </w:pPr>
    </w:p>
    <w:p w:rsidR="00731A90" w14:paraId="534D83EE" w14:textId="77777777">
      <w:pPr>
        <w:rPr>
          <w:rFonts w:ascii="Times New Roman" w:hAnsi="Times New Roman"/>
        </w:rPr>
      </w:pPr>
    </w:p>
    <w:p w:rsidR="00731A90" w14:paraId="5FCB2B2C" w14:textId="77777777">
      <w:pPr>
        <w:rPr>
          <w:rFonts w:ascii="Times New Roman" w:hAnsi="Times New Roman"/>
        </w:rPr>
      </w:pPr>
    </w:p>
    <w:p w:rsidR="00731A90" w14:paraId="10443338" w14:textId="77777777"/>
    <w:sectPr w:rsidSect="0023731B">
      <w:footerReference w:type="default" r:id="rId6"/>
      <w:endnotePr>
        <w:numFmt w:val="decimal"/>
      </w:endnotePr>
      <w:type w:val="continuous"/>
      <w:pgSz w:w="12240" w:h="15840"/>
      <w:pgMar w:top="1080" w:right="1440" w:bottom="1080" w:left="1440" w:header="432"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TUR">
    <w:altName w:val="Times New Roman"/>
    <w:charset w:val="00"/>
    <w:family w:val="roman"/>
    <w:pitch w:val="variable"/>
    <w:sig w:usb0="E0002EFF" w:usb1="C000785B" w:usb2="00000009" w:usb3="00000000" w:csb0="000001FF" w:csb1="00000000"/>
  </w:font>
  <w:font w:name="Source Sans Pro">
    <w:panose1 w:val="020B0503030403020204"/>
    <w:charset w:val="00"/>
    <w:family w:val="swiss"/>
    <w:notTrueType/>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2F33" w14:paraId="5BD445BE" w14:textId="77777777">
    <w:pPr>
      <w:spacing w:line="240" w:lineRule="exact"/>
    </w:pPr>
  </w:p>
  <w:p w:rsidR="00782F33" w14:paraId="7984753E" w14:textId="77777777">
    <w:pPr>
      <w:framePr w:w="9361" w:wrap="notBeside" w:vAnchor="text" w:hAnchor="text" w:x="1" w:y="1"/>
      <w:jc w:val="center"/>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7B3D35">
      <w:rPr>
        <w:rFonts w:ascii="Times New Roman" w:hAnsi="Times New Roman"/>
        <w:noProof/>
      </w:rPr>
      <w:t>3</w:t>
    </w:r>
    <w:r>
      <w:rPr>
        <w:rFonts w:ascii="Times New Roman" w:hAnsi="Times New Roman"/>
      </w:rPr>
      <w:fldChar w:fldCharType="end"/>
    </w:r>
  </w:p>
  <w:p w:rsidR="00782F33" w14:paraId="6992C8F4"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D44F3" w14:paraId="405E655B" w14:textId="77777777">
      <w:r>
        <w:separator/>
      </w:r>
    </w:p>
  </w:footnote>
  <w:footnote w:type="continuationSeparator" w:id="1">
    <w:p w:rsidR="003D44F3" w14:paraId="78ED1653" w14:textId="77777777">
      <w:r>
        <w:continuationSeparator/>
      </w:r>
    </w:p>
  </w:footnote>
  <w:footnote w:id="2">
    <w:p w:rsidR="0001734D" w:rsidRPr="00662259" w:rsidP="0001734D" w14:paraId="13BECBD2" w14:textId="77777777">
      <w:pPr>
        <w:pStyle w:val="FootnoteText"/>
        <w:rPr>
          <w:i/>
        </w:rPr>
      </w:pPr>
      <w:r w:rsidRPr="00662259">
        <w:rPr>
          <w:rStyle w:val="FootnoteReference"/>
        </w:rPr>
        <w:footnoteRef/>
      </w:r>
      <w:r w:rsidRPr="00662259">
        <w:t xml:space="preserve"> </w:t>
      </w:r>
      <w:r w:rsidRPr="00662259">
        <w:rPr>
          <w:i/>
        </w:rPr>
        <w:t>See</w:t>
      </w:r>
      <w:r w:rsidRPr="00662259">
        <w:t xml:space="preserve"> Federal Bureau of Investigation, Internet Crime Complaint Center, </w:t>
      </w:r>
      <w:r w:rsidRPr="00662259">
        <w:rPr>
          <w:i/>
        </w:rPr>
        <w:t>2019 Internet Crime Report</w:t>
      </w:r>
      <w:r w:rsidRPr="00662259">
        <w:t xml:space="preserve"> at 5 (last accessed Sept. 4, 2020), </w:t>
      </w:r>
      <w:r w:rsidRPr="00662259">
        <w:rPr>
          <w:i/>
        </w:rPr>
        <w:t xml:space="preserve">available at https://pdf.ic3.gov/2019_IC3Report.pdf.  </w:t>
      </w:r>
    </w:p>
  </w:footnote>
  <w:footnote w:id="3">
    <w:p w:rsidR="0001734D" w:rsidRPr="00662259" w:rsidP="0001734D" w14:paraId="199DF7BB" w14:textId="77777777">
      <w:pPr>
        <w:pStyle w:val="FootnoteText"/>
      </w:pPr>
      <w:r w:rsidRPr="00662259">
        <w:rPr>
          <w:rStyle w:val="FootnoteReference"/>
        </w:rPr>
        <w:footnoteRef/>
      </w:r>
      <w:r w:rsidRPr="00662259">
        <w:t xml:space="preserve"> </w:t>
      </w:r>
      <w:r w:rsidRPr="00662259">
        <w:rPr>
          <w:i/>
        </w:rPr>
        <w:t xml:space="preserve">See Cybercriminals and Fraudsters: How Bad Actors Are Exploiting the Financial System During the COVID-19 Pandemic: Virtual Hearing Before the Subcommittee on National Security, International Development and Monetary Policy of the U.S. House Committee on Financial Services 116th Congress </w:t>
      </w:r>
      <w:r w:rsidRPr="00542830">
        <w:t xml:space="preserve">(2020) </w:t>
      </w:r>
      <w:r w:rsidRPr="00662259">
        <w:rPr>
          <w:i/>
        </w:rPr>
        <w:t>(</w:t>
      </w:r>
      <w:r w:rsidRPr="00662259">
        <w:t xml:space="preserve">written statement of Tom Kellerman, Head of Cybersecurity Strategy, VMware, Inc.), </w:t>
      </w:r>
      <w:r w:rsidRPr="00662259">
        <w:rPr>
          <w:i/>
        </w:rPr>
        <w:t>available at https://financialservices.house.gov/uploadedfiles/hhrg-116-ba10-wstate-kellermannt-20200616.pdf</w:t>
      </w:r>
      <w:r w:rsidRPr="00662259">
        <w:t>.</w:t>
      </w:r>
    </w:p>
  </w:footnote>
  <w:footnote w:id="4">
    <w:p w:rsidR="0001734D" w:rsidRPr="00662259" w:rsidP="0001734D" w14:paraId="5C357C80" w14:textId="77777777">
      <w:pPr>
        <w:pStyle w:val="FootnoteText"/>
        <w:rPr>
          <w:i/>
        </w:rPr>
      </w:pPr>
      <w:r w:rsidRPr="00662259">
        <w:rPr>
          <w:rStyle w:val="FootnoteReference"/>
        </w:rPr>
        <w:footnoteRef/>
      </w:r>
      <w:r w:rsidR="002D22A8">
        <w:t xml:space="preserve"> As defined by the</w:t>
      </w:r>
      <w:r w:rsidRPr="00662259">
        <w:t xml:space="preserve"> rule, a </w:t>
      </w:r>
      <w:r w:rsidRPr="00662259">
        <w:rPr>
          <w:i/>
        </w:rPr>
        <w:t>computer-security incident</w:t>
      </w:r>
      <w:r w:rsidRPr="00662259">
        <w:t xml:space="preserve"> is an occurrence that results in actual or potential jeopardy to the confidentiality, integrity, or availability of an information system or the information the system processes, stores, or transmits; or constitutes a violation or imminent threat of violation of security policies, security procedures, or acceptable use policies</w:t>
      </w:r>
      <w:r>
        <w:t>.</w:t>
      </w:r>
      <w:r w:rsidRPr="00662259">
        <w:t xml:space="preserve">  To promote uniformity of terms, the agencies have sought to </w:t>
      </w:r>
      <w:r w:rsidRPr="00662259">
        <w:t>align this term to the fullest extent</w:t>
      </w:r>
      <w:r w:rsidRPr="00662259">
        <w:t xml:space="preserve"> possible with an existing definition from the National Institute of Standards and Technology (NIST).  </w:t>
      </w:r>
      <w:r w:rsidRPr="00662259">
        <w:rPr>
          <w:i/>
        </w:rPr>
        <w:t>See</w:t>
      </w:r>
      <w:r w:rsidRPr="00662259">
        <w:t xml:space="preserve"> NIST, Computer Security Resource Center, </w:t>
      </w:r>
      <w:r w:rsidRPr="00662259">
        <w:rPr>
          <w:i/>
        </w:rPr>
        <w:t>Glossary</w:t>
      </w:r>
      <w:r w:rsidRPr="00662259">
        <w:t xml:space="preserve"> (last accessed Sept. 20, 2020), </w:t>
      </w:r>
      <w:r w:rsidRPr="00662259">
        <w:rPr>
          <w:i/>
        </w:rPr>
        <w:t xml:space="preserve">available at </w:t>
      </w:r>
    </w:p>
    <w:p w:rsidR="0001734D" w:rsidRPr="00662259" w:rsidP="0001734D" w14:paraId="0AF623DA" w14:textId="77777777">
      <w:pPr>
        <w:pStyle w:val="FootnoteText"/>
      </w:pPr>
      <w:r w:rsidRPr="00662259">
        <w:rPr>
          <w:i/>
        </w:rPr>
        <w:t xml:space="preserve"> https://csrc.nist.gov/glossary/term/Dictionary</w:t>
      </w:r>
      <w:r w:rsidRPr="00662259">
        <w:t>.</w:t>
      </w:r>
    </w:p>
  </w:footnote>
  <w:footnote w:id="5">
    <w:p w:rsidR="0001734D" w:rsidRPr="00662259" w:rsidP="0001734D" w14:paraId="1FCA2482" w14:textId="77777777">
      <w:pPr>
        <w:pStyle w:val="FootnoteText"/>
      </w:pPr>
      <w:r w:rsidRPr="00662259">
        <w:rPr>
          <w:rStyle w:val="FootnoteReference"/>
        </w:rPr>
        <w:footnoteRef/>
      </w:r>
      <w:r w:rsidRPr="00662259">
        <w:t xml:space="preserve"> These computer-security</w:t>
      </w:r>
      <w:r w:rsidRPr="00662259">
        <w:t xml:space="preserve"> </w:t>
      </w:r>
      <w:r w:rsidRPr="00662259">
        <w:t xml:space="preserve">incidents may include major computer-system failures, cyber-related interruptions, such as coordinated denial of service and ransomware attacks, or other types of significant operational interruptions.  </w:t>
      </w:r>
    </w:p>
  </w:footnote>
  <w:footnote w:id="6">
    <w:p w:rsidR="0001734D" w:rsidP="0001734D" w14:paraId="28E75F8D" w14:textId="77777777">
      <w:pPr>
        <w:pStyle w:val="FootnoteText"/>
      </w:pPr>
      <w:r>
        <w:rPr>
          <w:rStyle w:val="FootnoteReference"/>
        </w:rPr>
        <w:footnoteRef/>
      </w:r>
      <w:r>
        <w:t xml:space="preserve"> 12 U.S.C. § 1861–67.</w:t>
      </w:r>
    </w:p>
  </w:footnote>
  <w:footnote w:id="7">
    <w:p w:rsidR="00D00726" w:rsidP="00D00726" w14:paraId="4F497345" w14:textId="77777777">
      <w:pPr>
        <w:pStyle w:val="FootnoteText"/>
      </w:pPr>
      <w:r>
        <w:rPr>
          <w:rStyle w:val="FootnoteReference"/>
        </w:rPr>
        <w:footnoteRef/>
      </w:r>
      <w:r>
        <w:t xml:space="preserve"> 12 U.S.C. § 1861–67.</w:t>
      </w:r>
    </w:p>
  </w:footnote>
  <w:footnote w:id="8">
    <w:p w:rsidR="007C3CA6" w:rsidP="007C3CA6" w14:paraId="041682FA" w14:textId="77777777">
      <w:pPr>
        <w:pStyle w:val="FootnoteText"/>
      </w:pPr>
      <w:r w:rsidRPr="003454F4">
        <w:rPr>
          <w:rStyle w:val="FootnoteReference"/>
          <w:vertAlign w:val="superscript"/>
        </w:rPr>
        <w:footnoteRef/>
      </w:r>
      <w:r>
        <w:t xml:space="preserve"> </w:t>
      </w:r>
      <w:r w:rsidRPr="00945645">
        <w:t>The SBA defines a small banking organization as having $850 million or less in assets, where an organization’s “assets are determined by averaging the assets reported on its four quarterly financial statements for the preceding year.” See 13 CFR 121.201 (as amended by 87 FR 69118, effective December 19, 2022). In its determination, the “SBA counts the receipts, employees, or other measure of size of the concern whose size is at issue and all of its domestic and foreign affiliates.” See 13 CFR 121.103. Following these regulations, the FDIC uses an insured depository institution’s affiliated and acquired assets, averaged over the preceding four quarters, to determine whether the insured depository institution is “small” for the purposes of RFA.</w:t>
      </w:r>
    </w:p>
  </w:footnote>
  <w:footnote w:id="9">
    <w:p w:rsidR="007C3CA6" w:rsidP="007C3CA6" w14:paraId="3E64BE1A" w14:textId="77777777">
      <w:pPr>
        <w:pStyle w:val="FootnoteText"/>
      </w:pPr>
      <w:r w:rsidRPr="003454F4">
        <w:rPr>
          <w:rStyle w:val="FootnoteReference"/>
          <w:vertAlign w:val="superscript"/>
        </w:rPr>
        <w:footnoteRef/>
      </w:r>
      <w:r>
        <w:t xml:space="preserve"> FDIC Call Report data for the four-quarter period ending on June 30, 2024, or ending in the most recent period for which the IDI submitted Call Report data.</w:t>
      </w:r>
    </w:p>
  </w:footnote>
  <w:footnote w:id="10">
    <w:p w:rsidR="007C3CA6" w:rsidP="007C3CA6" w14:paraId="39DDD039" w14:textId="77777777">
      <w:pPr>
        <w:pStyle w:val="FootnoteText"/>
      </w:pPr>
      <w:r>
        <w:rPr>
          <w:rStyle w:val="FootnoteReference"/>
        </w:rPr>
        <w:footnoteRef/>
      </w:r>
      <w:r>
        <w:t xml:space="preserve"> See 12 C.F.R. </w:t>
      </w:r>
      <w:r w:rsidRPr="009A5794">
        <w:t>§</w:t>
      </w:r>
      <w:r>
        <w:t>304.24</w:t>
      </w:r>
    </w:p>
  </w:footnote>
  <w:footnote w:id="11">
    <w:p w:rsidR="007C3CA6" w:rsidP="007C3CA6" w14:paraId="0D8A0050" w14:textId="77777777">
      <w:pPr>
        <w:pStyle w:val="FootnoteText"/>
      </w:pPr>
      <w:r>
        <w:rPr>
          <w:rStyle w:val="FootnoteReference"/>
        </w:rPr>
        <w:footnoteRef/>
      </w:r>
      <w:r>
        <w:t xml:space="preserve"> See U.S. Census Bureau, 2021 Statistics of U.S. Businesses (SUSB) Annual Data, Tables by Establishment Industry, </w:t>
      </w:r>
      <w:hyperlink r:id="rId1" w:history="1">
        <w:r w:rsidRPr="007774AA">
          <w:rPr>
            <w:rStyle w:val="Hyperlink"/>
          </w:rPr>
          <w:t>https://www.census.gov/data/tables/2021/econ/susb/2021-susb-annual.html</w:t>
        </w:r>
      </w:hyperlink>
      <w:r>
        <w:t xml:space="preserve">. </w:t>
      </w:r>
    </w:p>
  </w:footnote>
  <w:footnote w:id="12">
    <w:p w:rsidR="007C3CA6" w:rsidP="007C3CA6" w14:paraId="023ABC3B" w14:textId="77777777">
      <w:pPr>
        <w:pStyle w:val="FootnoteText"/>
      </w:pPr>
      <w:r>
        <w:rPr>
          <w:rStyle w:val="FootnoteReference"/>
        </w:rPr>
        <w:footnoteRef/>
      </w:r>
      <w:r>
        <w:t xml:space="preserve"> </w:t>
      </w:r>
      <w:r w:rsidRPr="00CB43E9">
        <w:t>T</w:t>
      </w:r>
      <w:r w:rsidRPr="00104302">
        <w:t xml:space="preserve">he </w:t>
      </w:r>
      <w:r>
        <w:t xml:space="preserve">SBA does not have an exact dollar or employment threshold to be considered as small for NAICS code 5415. However, the </w:t>
      </w:r>
      <w:r w:rsidRPr="00104302">
        <w:t>SB</w:t>
      </w:r>
      <w:r>
        <w:t>A</w:t>
      </w:r>
      <w:r w:rsidRPr="00104302">
        <w:t xml:space="preserve"> defines a small </w:t>
      </w:r>
      <w:r>
        <w:t xml:space="preserve">office of “Computer Systems Design Services” (NAICS 541512) and “Custom Computer Programming Services” (NAICS 541511) as having $34 million or less in annual receipts. </w:t>
      </w:r>
      <w:r w:rsidRPr="00104302">
        <w:rPr>
          <w:i/>
        </w:rPr>
        <w:t>See</w:t>
      </w:r>
      <w:r w:rsidRPr="00104302">
        <w:t xml:space="preserve"> 13 CFR 121.201.</w:t>
      </w:r>
    </w:p>
  </w:footnote>
  <w:footnote w:id="13">
    <w:p w:rsidR="007C3CA6" w:rsidP="007C3CA6" w14:paraId="2253DBA2" w14:textId="77777777">
      <w:pPr>
        <w:pStyle w:val="FootnoteText"/>
      </w:pPr>
      <w:r>
        <w:rPr>
          <w:rStyle w:val="FootnoteReference"/>
        </w:rPr>
        <w:footnoteRef/>
      </w:r>
      <w:r>
        <w:t xml:space="preserve"> </w:t>
      </w:r>
      <w:r>
        <w:rPr>
          <w:color w:val="000000"/>
          <w:shd w:val="clear" w:color="auto" w:fill="FFFFFF"/>
        </w:rPr>
        <w:t xml:space="preserve">U.S. SBA </w:t>
      </w:r>
      <w:r>
        <w:t>Office of Advocacy, “</w:t>
      </w:r>
      <w:r w:rsidRPr="001E787A">
        <w:t>Frequently Asked Questions About Small Business, 2023</w:t>
      </w:r>
      <w:r>
        <w:t xml:space="preserve">,” available at </w:t>
      </w:r>
      <w:hyperlink r:id="rId2" w:history="1">
        <w:r w:rsidRPr="00CB723F">
          <w:rPr>
            <w:rStyle w:val="Hyperlink"/>
          </w:rPr>
          <w:t>https://advocacy.sba.gov/2023/03/07/frequently-asked-questions-about-small-business-2023/</w:t>
        </w:r>
      </w:hyperlink>
      <w:r>
        <w:t xml:space="preserve"> (accessed October 25</w:t>
      </w:r>
      <w:r w:rsidRPr="006F23A9">
        <w:t>, 202</w:t>
      </w:r>
      <w:r>
        <w:t xml:space="preserve">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147137"/>
    <w:multiLevelType w:val="hybridMultilevel"/>
    <w:tmpl w:val="212623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D90D6B"/>
    <w:multiLevelType w:val="singleLevel"/>
    <w:tmpl w:val="0310F3F2"/>
    <w:lvl w:ilvl="0">
      <w:start w:val="5"/>
      <w:numFmt w:val="decimal"/>
      <w:lvlText w:val="%1."/>
      <w:lvlJc w:val="left"/>
      <w:pPr>
        <w:tabs>
          <w:tab w:val="num" w:pos="1080"/>
        </w:tabs>
        <w:ind w:left="1080" w:hanging="360"/>
      </w:pPr>
      <w:rPr>
        <w:rFonts w:hint="default"/>
        <w:u w:val="none"/>
      </w:rPr>
    </w:lvl>
  </w:abstractNum>
  <w:abstractNum w:abstractNumId="2">
    <w:nsid w:val="1C4943B0"/>
    <w:multiLevelType w:val="singleLevel"/>
    <w:tmpl w:val="D0143ED4"/>
    <w:lvl w:ilvl="0">
      <w:start w:val="2"/>
      <w:numFmt w:val="upperLetter"/>
      <w:lvlText w:val="%1."/>
      <w:lvlJc w:val="left"/>
      <w:pPr>
        <w:tabs>
          <w:tab w:val="num" w:pos="720"/>
        </w:tabs>
        <w:ind w:left="720" w:hanging="720"/>
      </w:pPr>
      <w:rPr>
        <w:rFonts w:hint="default"/>
        <w:u w:val="none"/>
      </w:rPr>
    </w:lvl>
  </w:abstractNum>
  <w:abstractNum w:abstractNumId="3">
    <w:nsid w:val="27C30C12"/>
    <w:multiLevelType w:val="hybridMultilevel"/>
    <w:tmpl w:val="6682191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7BD0B0B"/>
    <w:multiLevelType w:val="hybridMultilevel"/>
    <w:tmpl w:val="AAFCFEC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5">
    <w:nsid w:val="51D231EC"/>
    <w:multiLevelType w:val="hybridMultilevel"/>
    <w:tmpl w:val="38080B4A"/>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6">
    <w:nsid w:val="52AE2A1D"/>
    <w:multiLevelType w:val="singleLevel"/>
    <w:tmpl w:val="C816AFFE"/>
    <w:lvl w:ilvl="0">
      <w:start w:val="5"/>
      <w:numFmt w:val="decimal"/>
      <w:lvlText w:val="%1."/>
      <w:lvlJc w:val="left"/>
      <w:pPr>
        <w:tabs>
          <w:tab w:val="num" w:pos="2160"/>
        </w:tabs>
        <w:ind w:left="2160" w:hanging="720"/>
      </w:pPr>
      <w:rPr>
        <w:rFonts w:hint="default"/>
        <w:u w:val="none"/>
      </w:rPr>
    </w:lvl>
  </w:abstractNum>
  <w:abstractNum w:abstractNumId="7">
    <w:nsid w:val="5ABF20BD"/>
    <w:multiLevelType w:val="singleLevel"/>
    <w:tmpl w:val="6A5EFD16"/>
    <w:lvl w:ilvl="0">
      <w:start w:val="1"/>
      <w:numFmt w:val="decimal"/>
      <w:lvlText w:val="(%1)"/>
      <w:lvlJc w:val="left"/>
      <w:pPr>
        <w:tabs>
          <w:tab w:val="num" w:pos="360"/>
        </w:tabs>
        <w:ind w:left="360" w:hanging="360"/>
      </w:pPr>
      <w:rPr>
        <w:rFonts w:hint="default"/>
      </w:rPr>
    </w:lvl>
  </w:abstractNum>
  <w:abstractNum w:abstractNumId="8">
    <w:nsid w:val="618C7D97"/>
    <w:multiLevelType w:val="hybridMultilevel"/>
    <w:tmpl w:val="CC7C564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9">
    <w:nsid w:val="7B4B3676"/>
    <w:multiLevelType w:val="hybridMultilevel"/>
    <w:tmpl w:val="0C6CEE0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7D2C5665"/>
    <w:multiLevelType w:val="hybridMultilevel"/>
    <w:tmpl w:val="823CA48E"/>
    <w:lvl w:ilvl="0">
      <w:start w:val="1"/>
      <w:numFmt w:val="bullet"/>
      <w:lvlText w:val=""/>
      <w:lvlJc w:val="left"/>
      <w:pPr>
        <w:ind w:left="1710" w:hanging="360"/>
      </w:pPr>
      <w:rPr>
        <w:rFonts w:ascii="Symbol" w:hAnsi="Symbol" w:hint="default"/>
      </w:rPr>
    </w:lvl>
    <w:lvl w:ilvl="1" w:tentative="1">
      <w:start w:val="1"/>
      <w:numFmt w:val="bullet"/>
      <w:lvlText w:val="o"/>
      <w:lvlJc w:val="left"/>
      <w:pPr>
        <w:ind w:left="2430" w:hanging="360"/>
      </w:pPr>
      <w:rPr>
        <w:rFonts w:ascii="Courier New" w:hAnsi="Courier New" w:hint="default"/>
      </w:rPr>
    </w:lvl>
    <w:lvl w:ilvl="2" w:tentative="1">
      <w:start w:val="1"/>
      <w:numFmt w:val="bullet"/>
      <w:lvlText w:val=""/>
      <w:lvlJc w:val="left"/>
      <w:pPr>
        <w:ind w:left="3150" w:hanging="360"/>
      </w:pPr>
      <w:rPr>
        <w:rFonts w:ascii="Wingdings" w:hAnsi="Wingdings" w:hint="default"/>
      </w:rPr>
    </w:lvl>
    <w:lvl w:ilvl="3" w:tentative="1">
      <w:start w:val="1"/>
      <w:numFmt w:val="bullet"/>
      <w:lvlText w:val=""/>
      <w:lvlJc w:val="left"/>
      <w:pPr>
        <w:ind w:left="3870" w:hanging="360"/>
      </w:pPr>
      <w:rPr>
        <w:rFonts w:ascii="Symbol" w:hAnsi="Symbol" w:hint="default"/>
      </w:rPr>
    </w:lvl>
    <w:lvl w:ilvl="4" w:tentative="1">
      <w:start w:val="1"/>
      <w:numFmt w:val="bullet"/>
      <w:lvlText w:val="o"/>
      <w:lvlJc w:val="left"/>
      <w:pPr>
        <w:ind w:left="4590" w:hanging="360"/>
      </w:pPr>
      <w:rPr>
        <w:rFonts w:ascii="Courier New" w:hAnsi="Courier New" w:hint="default"/>
      </w:rPr>
    </w:lvl>
    <w:lvl w:ilvl="5" w:tentative="1">
      <w:start w:val="1"/>
      <w:numFmt w:val="bullet"/>
      <w:lvlText w:val=""/>
      <w:lvlJc w:val="left"/>
      <w:pPr>
        <w:ind w:left="5310" w:hanging="360"/>
      </w:pPr>
      <w:rPr>
        <w:rFonts w:ascii="Wingdings" w:hAnsi="Wingdings" w:hint="default"/>
      </w:rPr>
    </w:lvl>
    <w:lvl w:ilvl="6" w:tentative="1">
      <w:start w:val="1"/>
      <w:numFmt w:val="bullet"/>
      <w:lvlText w:val=""/>
      <w:lvlJc w:val="left"/>
      <w:pPr>
        <w:ind w:left="6030" w:hanging="360"/>
      </w:pPr>
      <w:rPr>
        <w:rFonts w:ascii="Symbol" w:hAnsi="Symbol" w:hint="default"/>
      </w:rPr>
    </w:lvl>
    <w:lvl w:ilvl="7" w:tentative="1">
      <w:start w:val="1"/>
      <w:numFmt w:val="bullet"/>
      <w:lvlText w:val="o"/>
      <w:lvlJc w:val="left"/>
      <w:pPr>
        <w:ind w:left="6750" w:hanging="360"/>
      </w:pPr>
      <w:rPr>
        <w:rFonts w:ascii="Courier New" w:hAnsi="Courier New" w:hint="default"/>
      </w:rPr>
    </w:lvl>
    <w:lvl w:ilvl="8" w:tentative="1">
      <w:start w:val="1"/>
      <w:numFmt w:val="bullet"/>
      <w:lvlText w:val=""/>
      <w:lvlJc w:val="left"/>
      <w:pPr>
        <w:ind w:left="7470" w:hanging="360"/>
      </w:pPr>
      <w:rPr>
        <w:rFonts w:ascii="Wingdings" w:hAnsi="Wingdings" w:hint="default"/>
      </w:rPr>
    </w:lvl>
  </w:abstractNum>
  <w:num w:numId="1" w16cid:durableId="544605167">
    <w:abstractNumId w:val="6"/>
  </w:num>
  <w:num w:numId="2" w16cid:durableId="518396290">
    <w:abstractNumId w:val="1"/>
  </w:num>
  <w:num w:numId="3" w16cid:durableId="728459474">
    <w:abstractNumId w:val="2"/>
  </w:num>
  <w:num w:numId="4" w16cid:durableId="2000378272">
    <w:abstractNumId w:val="0"/>
  </w:num>
  <w:num w:numId="5" w16cid:durableId="167717412">
    <w:abstractNumId w:val="10"/>
  </w:num>
  <w:num w:numId="6" w16cid:durableId="553271023">
    <w:abstractNumId w:val="8"/>
  </w:num>
  <w:num w:numId="7" w16cid:durableId="1515194851">
    <w:abstractNumId w:val="4"/>
  </w:num>
  <w:num w:numId="8" w16cid:durableId="838886219">
    <w:abstractNumId w:val="5"/>
  </w:num>
  <w:num w:numId="9" w16cid:durableId="1582256128">
    <w:abstractNumId w:val="9"/>
  </w:num>
  <w:num w:numId="10" w16cid:durableId="1808551084">
    <w:abstractNumId w:val="3"/>
  </w:num>
  <w:num w:numId="11" w16cid:durableId="6142909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4A3"/>
    <w:rsid w:val="0000073B"/>
    <w:rsid w:val="0001734D"/>
    <w:rsid w:val="0003174D"/>
    <w:rsid w:val="000712DC"/>
    <w:rsid w:val="000C5523"/>
    <w:rsid w:val="000D7176"/>
    <w:rsid w:val="000F3F68"/>
    <w:rsid w:val="0010010B"/>
    <w:rsid w:val="0010261C"/>
    <w:rsid w:val="00104302"/>
    <w:rsid w:val="0016736A"/>
    <w:rsid w:val="00173189"/>
    <w:rsid w:val="0018551F"/>
    <w:rsid w:val="00195400"/>
    <w:rsid w:val="001A08D8"/>
    <w:rsid w:val="001A10B6"/>
    <w:rsid w:val="001C4726"/>
    <w:rsid w:val="001D433C"/>
    <w:rsid w:val="001D7BBE"/>
    <w:rsid w:val="001E004B"/>
    <w:rsid w:val="001E3175"/>
    <w:rsid w:val="001E787A"/>
    <w:rsid w:val="001F2A5D"/>
    <w:rsid w:val="0023731B"/>
    <w:rsid w:val="0024688B"/>
    <w:rsid w:val="002657D0"/>
    <w:rsid w:val="00284533"/>
    <w:rsid w:val="002847B4"/>
    <w:rsid w:val="0029442A"/>
    <w:rsid w:val="002D22A8"/>
    <w:rsid w:val="002D58BF"/>
    <w:rsid w:val="002E28C3"/>
    <w:rsid w:val="00324E6B"/>
    <w:rsid w:val="003454F4"/>
    <w:rsid w:val="00370E35"/>
    <w:rsid w:val="00373ED8"/>
    <w:rsid w:val="0037682F"/>
    <w:rsid w:val="003B5197"/>
    <w:rsid w:val="003C37B8"/>
    <w:rsid w:val="003D21CE"/>
    <w:rsid w:val="003D44F3"/>
    <w:rsid w:val="00401A8A"/>
    <w:rsid w:val="00414D83"/>
    <w:rsid w:val="0042786A"/>
    <w:rsid w:val="00462F60"/>
    <w:rsid w:val="00464A98"/>
    <w:rsid w:val="00497E0B"/>
    <w:rsid w:val="004C4367"/>
    <w:rsid w:val="004C52BF"/>
    <w:rsid w:val="004D1876"/>
    <w:rsid w:val="004D6D84"/>
    <w:rsid w:val="004E7B81"/>
    <w:rsid w:val="00503AAC"/>
    <w:rsid w:val="00540CBF"/>
    <w:rsid w:val="00542830"/>
    <w:rsid w:val="00565D70"/>
    <w:rsid w:val="00574D7A"/>
    <w:rsid w:val="005D1420"/>
    <w:rsid w:val="005D2FE1"/>
    <w:rsid w:val="005F15BB"/>
    <w:rsid w:val="005F3E37"/>
    <w:rsid w:val="00606638"/>
    <w:rsid w:val="0061500B"/>
    <w:rsid w:val="00622986"/>
    <w:rsid w:val="006373B7"/>
    <w:rsid w:val="00647F97"/>
    <w:rsid w:val="00652F4C"/>
    <w:rsid w:val="00662259"/>
    <w:rsid w:val="00673498"/>
    <w:rsid w:val="00692309"/>
    <w:rsid w:val="00696A8B"/>
    <w:rsid w:val="00697A37"/>
    <w:rsid w:val="006A13B2"/>
    <w:rsid w:val="006A7DD6"/>
    <w:rsid w:val="006B4247"/>
    <w:rsid w:val="006D6B34"/>
    <w:rsid w:val="006E11B2"/>
    <w:rsid w:val="006E2977"/>
    <w:rsid w:val="006F23A9"/>
    <w:rsid w:val="00712DCA"/>
    <w:rsid w:val="00714873"/>
    <w:rsid w:val="00723A34"/>
    <w:rsid w:val="00727480"/>
    <w:rsid w:val="00731A90"/>
    <w:rsid w:val="0077603D"/>
    <w:rsid w:val="007774AA"/>
    <w:rsid w:val="00782F33"/>
    <w:rsid w:val="007844D0"/>
    <w:rsid w:val="00784EE8"/>
    <w:rsid w:val="007B274F"/>
    <w:rsid w:val="007B3D35"/>
    <w:rsid w:val="007C3CA6"/>
    <w:rsid w:val="007C6837"/>
    <w:rsid w:val="007D1404"/>
    <w:rsid w:val="007E3A41"/>
    <w:rsid w:val="007F2127"/>
    <w:rsid w:val="00805511"/>
    <w:rsid w:val="00807C1A"/>
    <w:rsid w:val="00817925"/>
    <w:rsid w:val="00826890"/>
    <w:rsid w:val="0086426A"/>
    <w:rsid w:val="008731F0"/>
    <w:rsid w:val="00876F23"/>
    <w:rsid w:val="008873E8"/>
    <w:rsid w:val="008F53AC"/>
    <w:rsid w:val="00900A97"/>
    <w:rsid w:val="009065F7"/>
    <w:rsid w:val="00945645"/>
    <w:rsid w:val="00967A7E"/>
    <w:rsid w:val="009778B4"/>
    <w:rsid w:val="0099128A"/>
    <w:rsid w:val="00994D3E"/>
    <w:rsid w:val="009A5794"/>
    <w:rsid w:val="009A6AB2"/>
    <w:rsid w:val="009B6429"/>
    <w:rsid w:val="009D2490"/>
    <w:rsid w:val="009D4B70"/>
    <w:rsid w:val="009E60FB"/>
    <w:rsid w:val="009E7B87"/>
    <w:rsid w:val="009F4532"/>
    <w:rsid w:val="00A15307"/>
    <w:rsid w:val="00A302FF"/>
    <w:rsid w:val="00A61FFE"/>
    <w:rsid w:val="00A63E49"/>
    <w:rsid w:val="00A658D8"/>
    <w:rsid w:val="00A700DA"/>
    <w:rsid w:val="00AA31FB"/>
    <w:rsid w:val="00AA35E1"/>
    <w:rsid w:val="00AC0651"/>
    <w:rsid w:val="00AD251A"/>
    <w:rsid w:val="00AD2B69"/>
    <w:rsid w:val="00AD4167"/>
    <w:rsid w:val="00B0375D"/>
    <w:rsid w:val="00B25DD3"/>
    <w:rsid w:val="00B26610"/>
    <w:rsid w:val="00B277C4"/>
    <w:rsid w:val="00B45163"/>
    <w:rsid w:val="00B46EDD"/>
    <w:rsid w:val="00B65A99"/>
    <w:rsid w:val="00B662BE"/>
    <w:rsid w:val="00B6692C"/>
    <w:rsid w:val="00B723D8"/>
    <w:rsid w:val="00B81846"/>
    <w:rsid w:val="00B92CD6"/>
    <w:rsid w:val="00BA19E0"/>
    <w:rsid w:val="00BA29C4"/>
    <w:rsid w:val="00BB1C99"/>
    <w:rsid w:val="00BD18FD"/>
    <w:rsid w:val="00BF2DBF"/>
    <w:rsid w:val="00BF402A"/>
    <w:rsid w:val="00BF48CF"/>
    <w:rsid w:val="00C06EF0"/>
    <w:rsid w:val="00C2633A"/>
    <w:rsid w:val="00C46EA0"/>
    <w:rsid w:val="00C51500"/>
    <w:rsid w:val="00C56B13"/>
    <w:rsid w:val="00C806D4"/>
    <w:rsid w:val="00C8488C"/>
    <w:rsid w:val="00C900EC"/>
    <w:rsid w:val="00C96990"/>
    <w:rsid w:val="00CB43E9"/>
    <w:rsid w:val="00CB723F"/>
    <w:rsid w:val="00CF1995"/>
    <w:rsid w:val="00CF552E"/>
    <w:rsid w:val="00D00726"/>
    <w:rsid w:val="00D0769B"/>
    <w:rsid w:val="00D10113"/>
    <w:rsid w:val="00D34A52"/>
    <w:rsid w:val="00D34AFE"/>
    <w:rsid w:val="00D53288"/>
    <w:rsid w:val="00D664A3"/>
    <w:rsid w:val="00D807AF"/>
    <w:rsid w:val="00D83947"/>
    <w:rsid w:val="00DB04B6"/>
    <w:rsid w:val="00E255C2"/>
    <w:rsid w:val="00E26D96"/>
    <w:rsid w:val="00E34CD4"/>
    <w:rsid w:val="00E46DF8"/>
    <w:rsid w:val="00E47BDF"/>
    <w:rsid w:val="00E5596D"/>
    <w:rsid w:val="00E62CBF"/>
    <w:rsid w:val="00E72F1F"/>
    <w:rsid w:val="00E950DE"/>
    <w:rsid w:val="00F27662"/>
    <w:rsid w:val="00F27809"/>
    <w:rsid w:val="00F601BE"/>
    <w:rsid w:val="00F80067"/>
    <w:rsid w:val="00F9008E"/>
    <w:rsid w:val="00F9659A"/>
    <w:rsid w:val="00FC1474"/>
    <w:rsid w:val="00FC63BC"/>
    <w:rsid w:val="00FD4F9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C9384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Reference),12,BVI fnr,EN Footnote Reference,Exposant 3 Point,Footnote,Footnote Reference Superscript,Footnote reference number,Footnote symbol,SUPERS,Style 16,Style 19,Style 39,Times 10 Point,Voetnootverwijzing,fr,note TESI"/>
    <w:uiPriority w:val="99"/>
    <w:qFormat/>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FootnoteText">
    <w:name w:val="footnote text"/>
    <w:aliases w:val="Footnote Text Char,Footnote Text Char Char Char,Footnote Text Char Char Char Char Char,Footnote Text Char Char Char Char Char Char Char Char Char Char Char Char Char Char Char Char Char Char,Footnote Text Char1 Char Char Char,fn Char"/>
    <w:basedOn w:val="Normal"/>
    <w:link w:val="FootnoteTextChar1"/>
    <w:uiPriority w:val="99"/>
    <w:rsid w:val="004D1876"/>
    <w:pPr>
      <w:widowControl/>
    </w:pPr>
    <w:rPr>
      <w:rFonts w:ascii="Times New Roman" w:hAnsi="Times New Roman"/>
      <w:snapToGrid/>
      <w:sz w:val="20"/>
    </w:rPr>
  </w:style>
  <w:style w:type="character" w:customStyle="1" w:styleId="FootnoteTextChar1">
    <w:name w:val="Footnote Text Char1"/>
    <w:aliases w:val="Footnote Text Char Char,Footnote Text Char Char Char Char,Footnote Text Char Char Char Char Char Char Char Char Char Char Char Char Char Char Char Char Char Char Char,Footnote Text Char1 Char Char Char Char,fn Char Char"/>
    <w:link w:val="FootnoteText"/>
    <w:semiHidden/>
    <w:locked/>
    <w:rsid w:val="004D1876"/>
    <w:rPr>
      <w:lang w:val="en-US" w:eastAsia="en-US" w:bidi="ar-SA"/>
    </w:rPr>
  </w:style>
  <w:style w:type="paragraph" w:styleId="NormalWeb">
    <w:name w:val="Normal (Web)"/>
    <w:basedOn w:val="Normal"/>
    <w:rsid w:val="004D1876"/>
    <w:pPr>
      <w:widowControl/>
      <w:spacing w:before="100" w:beforeAutospacing="1" w:after="100" w:afterAutospacing="1"/>
    </w:pPr>
    <w:rPr>
      <w:rFonts w:ascii="Times New Roman" w:hAnsi="Times New Roman"/>
      <w:snapToGrid/>
      <w:szCs w:val="24"/>
    </w:rPr>
  </w:style>
  <w:style w:type="paragraph" w:styleId="NoSpacing">
    <w:name w:val="No Spacing"/>
    <w:qFormat/>
    <w:rsid w:val="004D1876"/>
    <w:rPr>
      <w:rFonts w:ascii="Calibri" w:hAnsi="Calibri"/>
      <w:sz w:val="22"/>
      <w:szCs w:val="22"/>
    </w:rPr>
  </w:style>
  <w:style w:type="paragraph" w:styleId="ListParagraph">
    <w:name w:val="List Paragraph"/>
    <w:basedOn w:val="Normal"/>
    <w:qFormat/>
    <w:rsid w:val="004D1876"/>
    <w:pPr>
      <w:widowControl/>
      <w:ind w:left="720"/>
      <w:contextualSpacing/>
    </w:pPr>
    <w:rPr>
      <w:rFonts w:ascii="Times New Roman" w:hAnsi="Times New Roman"/>
      <w:snapToGrid/>
      <w:szCs w:val="22"/>
    </w:rPr>
  </w:style>
  <w:style w:type="paragraph" w:styleId="CommentText">
    <w:name w:val="annotation text"/>
    <w:basedOn w:val="Normal"/>
    <w:link w:val="CommentTextChar"/>
    <w:rsid w:val="005D2FE1"/>
    <w:pPr>
      <w:widowControl/>
    </w:pPr>
    <w:rPr>
      <w:rFonts w:ascii="Times New Roman" w:hAnsi="Times New Roman"/>
      <w:snapToGrid/>
      <w:sz w:val="20"/>
    </w:rPr>
  </w:style>
  <w:style w:type="character" w:styleId="CommentReference">
    <w:name w:val="annotation reference"/>
    <w:rsid w:val="005D2FE1"/>
    <w:rPr>
      <w:rFonts w:ascii="Times New Roman" w:hAnsi="Times New Roman" w:cs="Times New Roman"/>
      <w:sz w:val="16"/>
    </w:rPr>
  </w:style>
  <w:style w:type="character" w:customStyle="1" w:styleId="CommentTextChar">
    <w:name w:val="Comment Text Char"/>
    <w:link w:val="CommentText"/>
    <w:locked/>
    <w:rsid w:val="005D2FE1"/>
    <w:rPr>
      <w:lang w:val="en-US" w:eastAsia="en-US" w:bidi="ar-SA"/>
    </w:rPr>
  </w:style>
  <w:style w:type="character" w:customStyle="1" w:styleId="documentbody1">
    <w:name w:val="documentbody1"/>
    <w:rsid w:val="005D2FE1"/>
    <w:rPr>
      <w:rFonts w:ascii="Verdana" w:hAnsi="Verdana"/>
      <w:sz w:val="19"/>
    </w:rPr>
  </w:style>
  <w:style w:type="paragraph" w:styleId="CommentSubject">
    <w:name w:val="annotation subject"/>
    <w:basedOn w:val="CommentText"/>
    <w:next w:val="CommentText"/>
    <w:link w:val="CommentSubjectChar"/>
    <w:rsid w:val="00C46EA0"/>
    <w:pPr>
      <w:widowControl w:val="0"/>
    </w:pPr>
    <w:rPr>
      <w:rFonts w:ascii="Courier" w:hAnsi="Courier"/>
      <w:b/>
      <w:bCs/>
      <w:snapToGrid w:val="0"/>
    </w:rPr>
  </w:style>
  <w:style w:type="character" w:customStyle="1" w:styleId="CommentSubjectChar">
    <w:name w:val="Comment Subject Char"/>
    <w:link w:val="CommentSubject"/>
    <w:rsid w:val="00C46EA0"/>
    <w:rPr>
      <w:rFonts w:ascii="Courier" w:hAnsi="Courier"/>
      <w:b/>
      <w:bCs/>
      <w:snapToGrid w:val="0"/>
      <w:lang w:val="en-US" w:eastAsia="en-US" w:bidi="ar-SA"/>
    </w:rPr>
  </w:style>
  <w:style w:type="table" w:customStyle="1" w:styleId="TableGrid1">
    <w:name w:val="Table Grid1"/>
    <w:basedOn w:val="TableNormal"/>
    <w:next w:val="TableGrid"/>
    <w:uiPriority w:val="59"/>
    <w:rsid w:val="002847B4"/>
    <w:pPr>
      <w:jc w:val="both"/>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84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847B4"/>
    <w:rPr>
      <w:rFonts w:ascii="Courier" w:hAnsi="Courier"/>
      <w:snapToGrid w:val="0"/>
      <w:sz w:val="24"/>
    </w:rPr>
  </w:style>
  <w:style w:type="paragraph" w:styleId="BodyTextIndent">
    <w:name w:val="Body Text Indent"/>
    <w:basedOn w:val="Normal"/>
    <w:link w:val="BodyTextIndentChar"/>
    <w:rsid w:val="00D807AF"/>
    <w:pPr>
      <w:ind w:left="720"/>
    </w:pPr>
    <w:rPr>
      <w:rFonts w:ascii="Times New Roman" w:hAnsi="Times New Roman"/>
    </w:rPr>
  </w:style>
  <w:style w:type="character" w:customStyle="1" w:styleId="BodyTextIndentChar">
    <w:name w:val="Body Text Indent Char"/>
    <w:link w:val="BodyTextIndent"/>
    <w:rsid w:val="00D807AF"/>
    <w:rPr>
      <w:snapToGrid w:val="0"/>
      <w:sz w:val="24"/>
    </w:rPr>
  </w:style>
  <w:style w:type="paragraph" w:styleId="BlockText">
    <w:name w:val="Block Text"/>
    <w:basedOn w:val="Normal"/>
    <w:rsid w:val="00DB04B6"/>
    <w:pPr>
      <w:widowControl/>
      <w:tabs>
        <w:tab w:val="left" w:pos="-240"/>
        <w:tab w:val="left" w:pos="480"/>
        <w:tab w:val="left" w:pos="1080"/>
        <w:tab w:val="left" w:pos="1680"/>
        <w:tab w:val="left" w:pos="2280"/>
        <w:tab w:val="left" w:pos="2880"/>
        <w:tab w:val="left" w:pos="3600"/>
        <w:tab w:val="left" w:pos="4320"/>
        <w:tab w:val="left" w:pos="5040"/>
        <w:tab w:val="left" w:pos="5760"/>
        <w:tab w:val="right" w:pos="6480"/>
        <w:tab w:val="left" w:pos="7200"/>
        <w:tab w:val="left" w:pos="7920"/>
      </w:tabs>
      <w:ind w:left="1080" w:right="960"/>
    </w:pPr>
    <w:rPr>
      <w:rFonts w:ascii="Times New Roman" w:hAnsi="Times New Roman"/>
    </w:rPr>
  </w:style>
  <w:style w:type="paragraph" w:styleId="BodyText">
    <w:name w:val="Body Text"/>
    <w:basedOn w:val="Normal"/>
    <w:link w:val="BodyTextChar"/>
    <w:rsid w:val="0077603D"/>
    <w:pPr>
      <w:spacing w:after="120"/>
    </w:pPr>
  </w:style>
  <w:style w:type="character" w:customStyle="1" w:styleId="BodyTextChar">
    <w:name w:val="Body Text Char"/>
    <w:link w:val="BodyText"/>
    <w:rsid w:val="0077603D"/>
    <w:rPr>
      <w:rFonts w:ascii="Courier" w:hAnsi="Courier"/>
      <w:snapToGrid w:val="0"/>
      <w:sz w:val="24"/>
    </w:rPr>
  </w:style>
  <w:style w:type="character" w:styleId="Hyperlink">
    <w:name w:val="Hyperlink"/>
    <w:basedOn w:val="DefaultParagraphFont"/>
    <w:uiPriority w:val="99"/>
    <w:unhideWhenUsed/>
    <w:rsid w:val="007C3C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www.census.gov/data/tables/2021/econ/susb/2021-susb-annual.html" TargetMode="External" /><Relationship Id="rId2" Type="http://schemas.openxmlformats.org/officeDocument/2006/relationships/hyperlink" Target="https://advocacy.sba.gov/2023/03/07/frequently-asked-questions-about-small-business-202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04A59-A0F1-4E7C-84CD-9A9492861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3234</Words>
  <Characters>17820</Characters>
  <Application>Microsoft Office Word</Application>
  <DocSecurity>0</DocSecurity>
  <Lines>148</Lines>
  <Paragraphs>42</Paragraphs>
  <ScaleCrop>false</ScaleCrop>
  <Company/>
  <LinksUpToDate>false</LinksUpToDate>
  <CharactersWithSpaces>21012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2025-01-15T18:46:00Z</dcterms:created>
  <dcterms:modified xsi:type="dcterms:W3CDTF">2025-01-15T18:46:00Z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e8ab8c-433c-4394-a4fb-cd2d5c4d0a5e_ActionId">
    <vt:lpwstr>099cb263-00b9-46b5-886d-4d6887aac328</vt:lpwstr>
  </property>
  <property fmtid="{D5CDD505-2E9C-101B-9397-08002B2CF9AE}" pid="3" name="MSIP_Label_3be8ab8c-433c-4394-a4fb-cd2d5c4d0a5e_ContentBits">
    <vt:lpwstr>0</vt:lpwstr>
  </property>
  <property fmtid="{D5CDD505-2E9C-101B-9397-08002B2CF9AE}" pid="4" name="MSIP_Label_3be8ab8c-433c-4394-a4fb-cd2d5c4d0a5e_Enabled">
    <vt:lpwstr>true</vt:lpwstr>
  </property>
  <property fmtid="{D5CDD505-2E9C-101B-9397-08002B2CF9AE}" pid="5" name="MSIP_Label_3be8ab8c-433c-4394-a4fb-cd2d5c4d0a5e_Method">
    <vt:lpwstr>Privileged</vt:lpwstr>
  </property>
  <property fmtid="{D5CDD505-2E9C-101B-9397-08002B2CF9AE}" pid="6" name="MSIP_Label_3be8ab8c-433c-4394-a4fb-cd2d5c4d0a5e_Name">
    <vt:lpwstr>None</vt:lpwstr>
  </property>
  <property fmtid="{D5CDD505-2E9C-101B-9397-08002B2CF9AE}" pid="7" name="MSIP_Label_3be8ab8c-433c-4394-a4fb-cd2d5c4d0a5e_SetDate">
    <vt:lpwstr>2025-01-15T18:46:29Z</vt:lpwstr>
  </property>
  <property fmtid="{D5CDD505-2E9C-101B-9397-08002B2CF9AE}" pid="8" name="MSIP_Label_3be8ab8c-433c-4394-a4fb-cd2d5c4d0a5e_SiteId">
    <vt:lpwstr>26c83bc9-31c1-4d77-a523-0816095aba31</vt:lpwstr>
  </property>
</Properties>
</file>