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58AB" w14:paraId="0730800C" w14:textId="674F4C47">
      <w:pPr>
        <w:tabs>
          <w:tab w:val="center" w:pos="4680"/>
        </w:tabs>
        <w:spacing w:line="240" w:lineRule="auto"/>
        <w:jc w:val="center"/>
      </w:pPr>
      <w:r>
        <w:fldChar w:fldCharType="begin"/>
      </w:r>
      <w:r>
        <w:instrText xml:space="preserve"> SEQ CHAPTER \h \r 1</w:instrText>
      </w:r>
      <w:r>
        <w:fldChar w:fldCharType="separate"/>
      </w:r>
      <w:r>
        <w:fldChar w:fldCharType="end"/>
      </w:r>
      <w:r>
        <w:t>DRAFT SUPPORTING STATEMENT</w:t>
      </w:r>
    </w:p>
    <w:p w:rsidR="00BA58AB" w14:paraId="6AACFAE3" w14:textId="77777777">
      <w:pPr>
        <w:tabs>
          <w:tab w:val="center" w:pos="4680"/>
        </w:tabs>
        <w:spacing w:line="240" w:lineRule="auto"/>
        <w:jc w:val="center"/>
      </w:pPr>
      <w:r>
        <w:t>FOR</w:t>
      </w:r>
    </w:p>
    <w:p w:rsidR="00BA58AB" w14:paraId="0921CEF4" w14:textId="77777777">
      <w:pPr>
        <w:spacing w:line="240" w:lineRule="auto"/>
        <w:jc w:val="center"/>
      </w:pPr>
      <w:r>
        <w:t>INFORMATION COLLECTIONS CONTAINED IN</w:t>
      </w:r>
    </w:p>
    <w:p w:rsidR="00BA58AB" w:rsidP="58BFDC3D" w14:paraId="1F22BD66" w14:textId="58790B23">
      <w:pPr>
        <w:spacing w:line="240" w:lineRule="auto"/>
        <w:jc w:val="center"/>
      </w:pPr>
      <w:r>
        <w:t xml:space="preserve">THE </w:t>
      </w:r>
      <w:r w:rsidR="66A77307">
        <w:t>ALTERNATIVE PHYSICAL SECURITY REQUIREMENTS FOR ADVANCED REACTORS</w:t>
      </w:r>
      <w:r>
        <w:t xml:space="preserve"> </w:t>
      </w:r>
    </w:p>
    <w:p w:rsidR="00BA58AB" w14:paraId="12C8C035" w14:textId="77777777">
      <w:pPr>
        <w:spacing w:line="240" w:lineRule="auto"/>
        <w:jc w:val="center"/>
      </w:pPr>
      <w:r>
        <w:t>PROPOSED RULE</w:t>
      </w:r>
    </w:p>
    <w:p w:rsidR="00BA58AB" w14:paraId="3A82760A" w14:textId="77777777">
      <w:pPr>
        <w:spacing w:line="240" w:lineRule="auto"/>
        <w:jc w:val="center"/>
      </w:pPr>
    </w:p>
    <w:p w:rsidR="00BA58AB" w14:paraId="39F72DBB" w14:textId="595866C8">
      <w:pPr>
        <w:spacing w:line="240" w:lineRule="auto"/>
        <w:jc w:val="center"/>
      </w:pPr>
      <w:r>
        <w:t xml:space="preserve">10 CFR PART </w:t>
      </w:r>
      <w:r w:rsidR="3C6D369F">
        <w:t>73</w:t>
      </w:r>
    </w:p>
    <w:p w:rsidR="00BA58AB" w14:paraId="5AA23F71" w14:textId="11857398">
      <w:pPr>
        <w:spacing w:line="240" w:lineRule="auto"/>
        <w:jc w:val="center"/>
      </w:pPr>
      <w:r>
        <w:t>PHYSICAL PROTECTION OF PLANTS AND MATERIALS</w:t>
      </w:r>
    </w:p>
    <w:p w:rsidR="00BA58AB" w14:paraId="1D68AA18" w14:textId="77777777">
      <w:pPr>
        <w:tabs>
          <w:tab w:val="center" w:pos="4680"/>
        </w:tabs>
        <w:spacing w:line="240" w:lineRule="auto"/>
        <w:jc w:val="center"/>
      </w:pPr>
    </w:p>
    <w:p w:rsidR="00BA58AB" w14:paraId="53521E9A" w14:textId="62D564C9">
      <w:pPr>
        <w:tabs>
          <w:tab w:val="center" w:pos="4680"/>
        </w:tabs>
        <w:spacing w:line="240" w:lineRule="auto"/>
        <w:jc w:val="center"/>
      </w:pPr>
      <w:r>
        <w:t>(</w:t>
      </w:r>
      <w:r w:rsidR="00F12346">
        <w:t xml:space="preserve">OMB Clearance No. </w:t>
      </w:r>
      <w:r>
        <w:t>3150-</w:t>
      </w:r>
      <w:r w:rsidR="00A022FA">
        <w:t>0002</w:t>
      </w:r>
      <w:r>
        <w:t>)</w:t>
      </w:r>
    </w:p>
    <w:p w:rsidR="00BA58AB" w14:paraId="106CE984" w14:textId="77777777">
      <w:pPr>
        <w:tabs>
          <w:tab w:val="center" w:pos="4680"/>
        </w:tabs>
        <w:spacing w:line="240" w:lineRule="auto"/>
        <w:jc w:val="center"/>
      </w:pPr>
      <w:r>
        <w:t>REVISION</w:t>
      </w:r>
    </w:p>
    <w:p w:rsidR="00BA58AB" w14:paraId="3D473230" w14:textId="77777777">
      <w:pPr>
        <w:spacing w:line="240" w:lineRule="auto"/>
      </w:pPr>
    </w:p>
    <w:p w:rsidR="00BA58AB" w14:paraId="6F5D2EFB" w14:textId="77777777">
      <w:pPr>
        <w:spacing w:line="240" w:lineRule="auto"/>
      </w:pPr>
    </w:p>
    <w:p w:rsidR="00BA58AB" w14:paraId="64E04154" w14:textId="77777777">
      <w:pPr>
        <w:spacing w:line="240" w:lineRule="auto"/>
      </w:pPr>
      <w:r>
        <w:rPr>
          <w:u w:val="single"/>
        </w:rPr>
        <w:t>Abstract</w:t>
      </w:r>
    </w:p>
    <w:p w:rsidR="00BA58AB" w14:paraId="0A370DF5" w14:textId="77777777">
      <w:pPr>
        <w:spacing w:line="240" w:lineRule="auto"/>
      </w:pPr>
    </w:p>
    <w:p w:rsidR="00BA58AB" w:rsidP="00B26E06" w14:paraId="7D1F2CB1" w14:textId="2209BEFD">
      <w:pPr>
        <w:spacing w:line="240" w:lineRule="auto"/>
      </w:pPr>
      <w:r>
        <w:t xml:space="preserve">The U.S. Nuclear Regulatory Commission (NRC) is proposing to </w:t>
      </w:r>
      <w:r>
        <w:rPr>
          <w:rFonts w:eastAsia="Times New Roman"/>
        </w:rPr>
        <w:t>amend its regulations to create a</w:t>
      </w:r>
      <w:r w:rsidR="0644796D">
        <w:rPr>
          <w:rFonts w:eastAsia="Times New Roman"/>
        </w:rPr>
        <w:t xml:space="preserve"> limited number of </w:t>
      </w:r>
      <w:r w:rsidR="00614FFF">
        <w:rPr>
          <w:rFonts w:eastAsia="Times New Roman"/>
        </w:rPr>
        <w:t xml:space="preserve">voluntary </w:t>
      </w:r>
      <w:r w:rsidR="00084AF6">
        <w:rPr>
          <w:rFonts w:eastAsia="Times New Roman"/>
        </w:rPr>
        <w:t xml:space="preserve">alternative </w:t>
      </w:r>
      <w:r w:rsidR="002B4D88">
        <w:t>physical security</w:t>
      </w:r>
      <w:r w:rsidR="00084AF6">
        <w:t xml:space="preserve"> </w:t>
      </w:r>
      <w:r w:rsidR="1CEACA56">
        <w:rPr>
          <w:rFonts w:eastAsia="Times New Roman"/>
        </w:rPr>
        <w:t>requirements</w:t>
      </w:r>
      <w:r>
        <w:rPr>
          <w:rFonts w:eastAsia="Times New Roman"/>
        </w:rPr>
        <w:t xml:space="preserve"> </w:t>
      </w:r>
      <w:r>
        <w:t xml:space="preserve">in Title 10 of the </w:t>
      </w:r>
      <w:r w:rsidRPr="58BFDC3D">
        <w:rPr>
          <w:i/>
          <w:iCs/>
        </w:rPr>
        <w:t>Code of Federal Regulations</w:t>
      </w:r>
      <w:r>
        <w:t xml:space="preserve"> (10 CFR) </w:t>
      </w:r>
      <w:r w:rsidR="511CEFCC">
        <w:t xml:space="preserve">for </w:t>
      </w:r>
      <w:r w:rsidR="2FD1AC0A">
        <w:t>advanced</w:t>
      </w:r>
      <w:r w:rsidR="511CEFCC">
        <w:t xml:space="preserve"> reactors</w:t>
      </w:r>
      <w:r w:rsidR="00972C92">
        <w:t xml:space="preserve"> used to generate power</w:t>
      </w:r>
      <w:r w:rsidR="511CEFCC">
        <w:t>.</w:t>
      </w:r>
      <w:r>
        <w:t xml:space="preserve">  For the purposes of this proposed rule, the term “</w:t>
      </w:r>
      <w:r w:rsidR="43AEE935">
        <w:t>ad</w:t>
      </w:r>
      <w:r w:rsidR="05DCE121">
        <w:t>v</w:t>
      </w:r>
      <w:r w:rsidR="43AEE935">
        <w:t>anced reactors</w:t>
      </w:r>
      <w:r>
        <w:t xml:space="preserve">” refers to </w:t>
      </w:r>
      <w:r w:rsidR="00DF604F">
        <w:t xml:space="preserve">power reactors that are </w:t>
      </w:r>
      <w:r w:rsidR="004B602F">
        <w:t xml:space="preserve">either </w:t>
      </w:r>
      <w:r>
        <w:t xml:space="preserve">non-light-water reactors (non-LWRs) </w:t>
      </w:r>
      <w:r w:rsidR="004B602F">
        <w:t>or</w:t>
      </w:r>
      <w:r w:rsidR="6A1EBD2F">
        <w:t xml:space="preserve"> small modular reactors (SMRs)</w:t>
      </w:r>
      <w:r>
        <w:t xml:space="preserve"> that would be licensed under 10 CFR Part 50, “Domestic Licensing of Production and Utilization Facilities”</w:t>
      </w:r>
      <w:r w:rsidR="62B54FDB">
        <w:t xml:space="preserve"> or under 10 CFR Part 52, “</w:t>
      </w:r>
      <w:r w:rsidR="00B26E06">
        <w:t>Licenses, Certifications, and Approvals for Nuclear Power Plants</w:t>
      </w:r>
      <w:r w:rsidR="62B54FDB">
        <w:t>.”</w:t>
      </w:r>
      <w:r>
        <w:t xml:space="preserve">   </w:t>
      </w:r>
    </w:p>
    <w:p w:rsidR="00BA58AB" w14:paraId="30028773" w14:textId="77777777">
      <w:pPr>
        <w:spacing w:line="240" w:lineRule="auto"/>
      </w:pPr>
    </w:p>
    <w:p w:rsidR="00F71010" w14:paraId="0094E401" w14:textId="7991C943">
      <w:pPr>
        <w:spacing w:line="240" w:lineRule="auto"/>
      </w:pPr>
      <w:r>
        <w:t>The physical security requirements for power reactors are</w:t>
      </w:r>
      <w:r w:rsidR="0078602F">
        <w:t xml:space="preserve"> contained under 10 CF</w:t>
      </w:r>
      <w:r w:rsidR="00DB054E">
        <w:t>R</w:t>
      </w:r>
      <w:r w:rsidR="0078602F">
        <w:t xml:space="preserve"> Part 73, “</w:t>
      </w:r>
      <w:r w:rsidRPr="00E726EE" w:rsidR="0078602F">
        <w:t>Physical Protection of Plants and Materials</w:t>
      </w:r>
      <w:r w:rsidR="0078602F">
        <w:t>,</w:t>
      </w:r>
      <w:r w:rsidRPr="00E726EE" w:rsidR="0078602F">
        <w:t>” (3150-0002)</w:t>
      </w:r>
      <w:r w:rsidR="0037391C">
        <w:t>, more specifically 10 CF</w:t>
      </w:r>
      <w:r w:rsidR="00000F00">
        <w:t>R</w:t>
      </w:r>
      <w:r w:rsidR="0037391C">
        <w:t xml:space="preserve"> 73.55, “</w:t>
      </w:r>
      <w:r w:rsidR="009C1BAC">
        <w:t xml:space="preserve">Requirements for physical </w:t>
      </w:r>
      <w:r w:rsidR="00C82A8C">
        <w:t>protection of licensed activities in nuclear power reactors against radiological sabotage.”</w:t>
      </w:r>
      <w:r w:rsidR="0078602F">
        <w:t xml:space="preserve">  </w:t>
      </w:r>
      <w:r w:rsidR="007603D3">
        <w:t>All power reactor applicants must include a physical security plan demonstrating how they will meet these security requirements when submitting their license application</w:t>
      </w:r>
      <w:r w:rsidR="00A666CE">
        <w:t xml:space="preserve"> under Part 50 or Part 52</w:t>
      </w:r>
      <w:r w:rsidR="007603D3">
        <w:t xml:space="preserve">.  </w:t>
      </w:r>
      <w:r w:rsidR="00A51023">
        <w:t xml:space="preserve">The current physical security framework contains a mixture of performance-based and prescriptive requirements.  These requirements and their associated guidance were </w:t>
      </w:r>
      <w:r w:rsidRPr="00865620" w:rsidR="00795B76">
        <w:t>initially developed for large LWRs and non-power reactors</w:t>
      </w:r>
      <w:r w:rsidR="00F46A58">
        <w:t>.</w:t>
      </w:r>
      <w:r w:rsidRPr="00865620" w:rsidR="00795B76">
        <w:t xml:space="preserve"> </w:t>
      </w:r>
      <w:r w:rsidR="00F46A58">
        <w:t xml:space="preserve"> </w:t>
      </w:r>
      <w:r w:rsidR="002650AB">
        <w:t xml:space="preserve">Accordingly, application of these requirements to future SMRs and non-LWRs </w:t>
      </w:r>
      <w:r w:rsidRPr="00865620" w:rsidR="009C1BAC">
        <w:t>may</w:t>
      </w:r>
      <w:r w:rsidRPr="00865620" w:rsidR="00795B76">
        <w:t xml:space="preserve"> not address advances in safety research and </w:t>
      </w:r>
      <w:r>
        <w:t>advanced reactor designs that potentially reduce the security risk associated with the operation of these facilities.</w:t>
      </w:r>
    </w:p>
    <w:p w:rsidR="00F71010" w14:paraId="552358F3" w14:textId="77777777">
      <w:pPr>
        <w:spacing w:line="240" w:lineRule="auto"/>
      </w:pPr>
    </w:p>
    <w:p w:rsidR="00AE40BC" w:rsidP="00223305" w14:paraId="016E6B90" w14:textId="47F892D3">
      <w:pPr>
        <w:spacing w:line="240" w:lineRule="auto"/>
      </w:pPr>
      <w:r>
        <w:t>The proposed rule provides for five specific alternatives to existing physical security requirements in 10 C</w:t>
      </w:r>
      <w:r w:rsidR="005E18F8">
        <w:t>F</w:t>
      </w:r>
      <w:r>
        <w:t xml:space="preserve">R 73.55.  These alternatives include:  </w:t>
      </w:r>
    </w:p>
    <w:p w:rsidR="00AE40BC" w:rsidP="00223305" w14:paraId="04560207" w14:textId="77777777">
      <w:pPr>
        <w:spacing w:line="240" w:lineRule="auto"/>
      </w:pPr>
    </w:p>
    <w:p w:rsidR="00AE40BC" w:rsidRPr="0078659A" w:rsidP="00AE40BC" w14:paraId="4FD7E4A2" w14:textId="77777777">
      <w:pPr>
        <w:pStyle w:val="ListParagraph"/>
        <w:numPr>
          <w:ilvl w:val="0"/>
          <w:numId w:val="13"/>
        </w:numPr>
        <w:spacing w:line="240" w:lineRule="auto"/>
      </w:pPr>
      <w:r>
        <w:rPr>
          <w:rFonts w:eastAsia="Times New Roman"/>
        </w:rPr>
        <w:t>No minimum number of onsite armed responders</w:t>
      </w:r>
    </w:p>
    <w:p w:rsidR="00AE40BC" w:rsidRPr="006C1349" w:rsidP="00AE40BC" w14:paraId="286B0AF2" w14:textId="77777777">
      <w:pPr>
        <w:pStyle w:val="ListParagraph"/>
        <w:numPr>
          <w:ilvl w:val="0"/>
          <w:numId w:val="13"/>
        </w:numPr>
        <w:spacing w:line="240" w:lineRule="auto"/>
      </w:pPr>
      <w:r>
        <w:rPr>
          <w:rFonts w:eastAsia="Times New Roman"/>
        </w:rPr>
        <w:t>Potentially zero onsite armed responders and reliance on offsite law enforcement or other armed responders to interdict and neutralize</w:t>
      </w:r>
    </w:p>
    <w:p w:rsidR="00AE40BC" w:rsidRPr="00D21FA2" w:rsidP="00AE40BC" w14:paraId="2D8FB590" w14:textId="77777777">
      <w:pPr>
        <w:pStyle w:val="ListParagraph"/>
        <w:numPr>
          <w:ilvl w:val="0"/>
          <w:numId w:val="13"/>
        </w:numPr>
        <w:spacing w:line="240" w:lineRule="auto"/>
      </w:pPr>
      <w:r>
        <w:rPr>
          <w:rFonts w:eastAsia="Times New Roman"/>
        </w:rPr>
        <w:t>Alternative means for physical barriers</w:t>
      </w:r>
    </w:p>
    <w:p w:rsidR="00AE40BC" w:rsidRPr="00C5065C" w:rsidP="00AE40BC" w14:paraId="7D35325F" w14:textId="77777777">
      <w:pPr>
        <w:pStyle w:val="ListParagraph"/>
        <w:numPr>
          <w:ilvl w:val="0"/>
          <w:numId w:val="13"/>
        </w:numPr>
        <w:spacing w:line="240" w:lineRule="auto"/>
      </w:pPr>
      <w:r>
        <w:rPr>
          <w:rFonts w:eastAsia="Times New Roman"/>
        </w:rPr>
        <w:t>Secondary Alarm Station located offsite</w:t>
      </w:r>
    </w:p>
    <w:p w:rsidR="00AE40BC" w:rsidRPr="00AE77D9" w:rsidP="00AE40BC" w14:paraId="7CDA5747" w14:textId="77777777">
      <w:pPr>
        <w:pStyle w:val="ListParagraph"/>
        <w:numPr>
          <w:ilvl w:val="0"/>
          <w:numId w:val="13"/>
        </w:numPr>
        <w:spacing w:line="240" w:lineRule="auto"/>
      </w:pPr>
      <w:r>
        <w:rPr>
          <w:rFonts w:eastAsia="Times New Roman"/>
        </w:rPr>
        <w:t>Offsite Secondary alarm station/equipment to be a non-vital area</w:t>
      </w:r>
    </w:p>
    <w:p w:rsidR="00AE40BC" w:rsidRPr="0078659A" w:rsidP="00AE40BC" w14:paraId="5F5326DE" w14:textId="77777777">
      <w:pPr>
        <w:pStyle w:val="ListParagraph"/>
        <w:spacing w:line="240" w:lineRule="auto"/>
      </w:pPr>
    </w:p>
    <w:p w:rsidR="00AE40BC" w:rsidP="00992A8C" w14:paraId="6091AE48" w14:textId="09539EB5">
      <w:r>
        <w:t xml:space="preserve">In order for an advanced reactor facility to use the alternatives in the proposed rule, the applicant or licensee of that facility would first have to satisfy the </w:t>
      </w:r>
      <w:r w:rsidR="006B1DE4">
        <w:t>proposed</w:t>
      </w:r>
      <w:r>
        <w:t xml:space="preserve"> eligibility </w:t>
      </w:r>
      <w:r w:rsidRPr="0051388F">
        <w:t>criterion under new paragraph, 10 CFR 73.55(s)(1).</w:t>
      </w:r>
      <w:r>
        <w:t xml:space="preserve">  </w:t>
      </w:r>
      <w:r w:rsidR="00C67733">
        <w:t xml:space="preserve">The results of the eligibility analyses would be reported through the license application required in 10 CFR Part 50 or Part 52, depending on the type of license application sought by the applicant, or reported through the change process </w:t>
      </w:r>
      <w:r w:rsidR="00C67733">
        <w:t xml:space="preserve">under 10 CFR 50.54(p).  </w:t>
      </w:r>
      <w:r>
        <w:t xml:space="preserve">Eligible advanced reactor applicants and licensees could then elect to implement one or more of the proposed alternative physical security requirements instead of meeting </w:t>
      </w:r>
      <w:r w:rsidR="007F2848">
        <w:t xml:space="preserve">the corresponding </w:t>
      </w:r>
      <w:r>
        <w:t xml:space="preserve">existing security requirement.  </w:t>
      </w:r>
    </w:p>
    <w:p w:rsidR="0051388F" w:rsidP="00992A8C" w14:paraId="2752685B" w14:textId="77777777">
      <w:pPr>
        <w:spacing w:line="240" w:lineRule="auto"/>
        <w:rPr>
          <w:rFonts w:eastAsia="Times New Roman"/>
        </w:rPr>
      </w:pPr>
    </w:p>
    <w:p w:rsidR="00BA58AB" w14:paraId="4E979B23" w14:textId="77777777">
      <w:pPr>
        <w:spacing w:line="240" w:lineRule="auto"/>
        <w:rPr>
          <w:i/>
        </w:rPr>
      </w:pPr>
      <w:r>
        <w:rPr>
          <w:i/>
        </w:rPr>
        <w:t>Affected Sections Containing Information Collections</w:t>
      </w:r>
    </w:p>
    <w:p w:rsidR="00837904" w:rsidP="00837904" w14:paraId="47E44442" w14:textId="77777777">
      <w:pPr>
        <w:spacing w:line="240" w:lineRule="auto"/>
      </w:pPr>
    </w:p>
    <w:p w:rsidR="00837904" w:rsidP="00837904" w14:paraId="03832A50" w14:textId="0A6EA667">
      <w:pPr>
        <w:spacing w:line="240" w:lineRule="auto"/>
      </w:pPr>
      <w:r>
        <w:t>Table 1 identifies the information collections, broken out by 10 CFR Part</w:t>
      </w:r>
      <w:r w:rsidR="008256AF">
        <w:t>, affected by the proposed rule</w:t>
      </w:r>
      <w:r>
        <w:t xml:space="preserve">.  </w:t>
      </w:r>
    </w:p>
    <w:p w:rsidR="00BA58AB" w14:paraId="292759D8" w14:textId="77777777">
      <w:pPr>
        <w:spacing w:line="240" w:lineRule="auto"/>
      </w:pPr>
    </w:p>
    <w:p w:rsidR="00BA58AB" w14:paraId="65AE7BEC" w14:textId="77777777">
      <w:pPr>
        <w:spacing w:line="240" w:lineRule="auto"/>
        <w:jc w:val="center"/>
        <w:rPr>
          <w:b/>
        </w:rPr>
      </w:pPr>
      <w:r>
        <w:rPr>
          <w:b/>
        </w:rPr>
        <w:t>Table 1</w:t>
      </w:r>
    </w:p>
    <w:p w:rsidR="00BA58AB" w14:paraId="71D4FF5F" w14:textId="77777777">
      <w:pPr>
        <w:spacing w:line="240" w:lineRule="auto"/>
        <w:jc w:val="center"/>
        <w:rPr>
          <w:b/>
        </w:rPr>
      </w:pPr>
      <w:r>
        <w:rPr>
          <w:b/>
        </w:rPr>
        <w:t>10 CFR Sections Affected by the Proposed Rule</w:t>
      </w:r>
    </w:p>
    <w:tbl>
      <w:tblPr>
        <w:tblStyle w:val="TableGrid"/>
        <w:tblW w:w="4746" w:type="dxa"/>
        <w:jc w:val="center"/>
        <w:tblLook w:val="04A0"/>
      </w:tblPr>
      <w:tblGrid>
        <w:gridCol w:w="2738"/>
        <w:gridCol w:w="2008"/>
      </w:tblGrid>
      <w:tr w14:paraId="43383154" w14:textId="77777777" w:rsidTr="0046519D">
        <w:tblPrEx>
          <w:tblW w:w="4746" w:type="dxa"/>
          <w:jc w:val="center"/>
          <w:tblLook w:val="04A0"/>
        </w:tblPrEx>
        <w:trPr>
          <w:jc w:val="center"/>
        </w:trPr>
        <w:tc>
          <w:tcPr>
            <w:tcW w:w="2738" w:type="dxa"/>
          </w:tcPr>
          <w:p w:rsidR="006A1CB3" w:rsidP="002440EC" w14:paraId="5FF0072D" w14:textId="0755F280">
            <w:r>
              <w:t xml:space="preserve">Section </w:t>
            </w:r>
            <w:r w:rsidR="002B42D7">
              <w:t>n</w:t>
            </w:r>
            <w:r>
              <w:t>umber</w:t>
            </w:r>
            <w:r w:rsidR="004031CA">
              <w:t xml:space="preserve"> of </w:t>
            </w:r>
            <w:r w:rsidR="002B42D7">
              <w:t>n</w:t>
            </w:r>
            <w:r w:rsidR="004031CA">
              <w:t xml:space="preserve">ew </w:t>
            </w:r>
            <w:r w:rsidR="002B42D7">
              <w:t>p</w:t>
            </w:r>
            <w:r w:rsidR="004031CA">
              <w:t xml:space="preserve">roposed </w:t>
            </w:r>
            <w:r w:rsidR="002B42D7">
              <w:t>s</w:t>
            </w:r>
            <w:r w:rsidR="004031CA">
              <w:t>ection</w:t>
            </w:r>
          </w:p>
        </w:tc>
        <w:tc>
          <w:tcPr>
            <w:tcW w:w="2008" w:type="dxa"/>
          </w:tcPr>
          <w:p w:rsidR="006A1CB3" w14:paraId="16502776" w14:textId="77777777">
            <w:r>
              <w:t>OMB clearance number (by Part)</w:t>
            </w:r>
          </w:p>
        </w:tc>
      </w:tr>
      <w:tr w14:paraId="3B960F0D" w14:textId="77777777" w:rsidTr="00C65066">
        <w:tblPrEx>
          <w:tblW w:w="4746" w:type="dxa"/>
          <w:jc w:val="center"/>
          <w:tblLook w:val="04A0"/>
        </w:tblPrEx>
        <w:trPr>
          <w:jc w:val="center"/>
        </w:trPr>
        <w:tc>
          <w:tcPr>
            <w:tcW w:w="2738" w:type="dxa"/>
          </w:tcPr>
          <w:p w:rsidR="006A1CB3" w:rsidP="00FC2DA8" w14:paraId="4AF09FEF" w14:textId="0D7BE7CD">
            <w:pPr>
              <w:jc w:val="center"/>
              <w:rPr>
                <w:b/>
                <w:bCs/>
              </w:rPr>
            </w:pPr>
            <w:r w:rsidRPr="58BFDC3D">
              <w:rPr>
                <w:b/>
                <w:bCs/>
              </w:rPr>
              <w:t xml:space="preserve">10 </w:t>
            </w:r>
            <w:r w:rsidRPr="00B038B0">
              <w:rPr>
                <w:b/>
                <w:bCs/>
              </w:rPr>
              <w:t xml:space="preserve">CFR Part </w:t>
            </w:r>
            <w:r>
              <w:rPr>
                <w:b/>
                <w:bCs/>
              </w:rPr>
              <w:t>50</w:t>
            </w:r>
          </w:p>
        </w:tc>
        <w:tc>
          <w:tcPr>
            <w:tcW w:w="2008" w:type="dxa"/>
          </w:tcPr>
          <w:p w:rsidR="006A1CB3" w:rsidP="00FC2DA8" w14:paraId="0C34673A" w14:textId="0744D1D3">
            <w:pPr>
              <w:jc w:val="center"/>
              <w:rPr>
                <w:b/>
                <w:bCs/>
              </w:rPr>
            </w:pPr>
            <w:r w:rsidRPr="58BFDC3D">
              <w:rPr>
                <w:b/>
                <w:bCs/>
              </w:rPr>
              <w:t>3150-</w:t>
            </w:r>
            <w:r>
              <w:rPr>
                <w:b/>
                <w:bCs/>
              </w:rPr>
              <w:t>001</w:t>
            </w:r>
            <w:r w:rsidR="0020348D">
              <w:rPr>
                <w:b/>
                <w:bCs/>
              </w:rPr>
              <w:t>1</w:t>
            </w:r>
          </w:p>
        </w:tc>
      </w:tr>
      <w:tr w14:paraId="21215323" w14:textId="77777777" w:rsidTr="00C65066">
        <w:tblPrEx>
          <w:tblW w:w="4746" w:type="dxa"/>
          <w:jc w:val="center"/>
          <w:tblLook w:val="04A0"/>
        </w:tblPrEx>
        <w:trPr>
          <w:jc w:val="center"/>
        </w:trPr>
        <w:tc>
          <w:tcPr>
            <w:tcW w:w="2738" w:type="dxa"/>
          </w:tcPr>
          <w:p w:rsidR="006A1CB3" w:rsidP="00FC2DA8" w14:paraId="79B2FA87" w14:textId="006A89A4">
            <w:pPr>
              <w:spacing w:line="276" w:lineRule="auto"/>
            </w:pPr>
            <w:r>
              <w:t>50.34(c)(4)</w:t>
            </w:r>
          </w:p>
        </w:tc>
        <w:tc>
          <w:tcPr>
            <w:tcW w:w="2008" w:type="dxa"/>
          </w:tcPr>
          <w:p w:rsidR="006A1CB3" w:rsidP="00FC2DA8" w14:paraId="624218DB" w14:textId="77777777"/>
        </w:tc>
      </w:tr>
      <w:tr w14:paraId="02DBF272" w14:textId="77777777" w:rsidTr="00C65066">
        <w:tblPrEx>
          <w:tblW w:w="4746" w:type="dxa"/>
          <w:jc w:val="center"/>
          <w:tblLook w:val="04A0"/>
        </w:tblPrEx>
        <w:trPr>
          <w:jc w:val="center"/>
        </w:trPr>
        <w:tc>
          <w:tcPr>
            <w:tcW w:w="2738" w:type="dxa"/>
          </w:tcPr>
          <w:p w:rsidR="006A1CB3" w14:paraId="4305ACAF" w14:textId="2ED4EA74">
            <w:r>
              <w:t>50.54(p)(5)</w:t>
            </w:r>
          </w:p>
        </w:tc>
        <w:tc>
          <w:tcPr>
            <w:tcW w:w="2008" w:type="dxa"/>
          </w:tcPr>
          <w:p w:rsidR="006A1CB3" w14:paraId="4BBE8646" w14:textId="77777777"/>
        </w:tc>
      </w:tr>
      <w:tr w14:paraId="272801CC" w14:textId="77777777" w:rsidTr="00C65066">
        <w:tblPrEx>
          <w:tblW w:w="4746" w:type="dxa"/>
          <w:jc w:val="center"/>
          <w:tblLook w:val="04A0"/>
        </w:tblPrEx>
        <w:trPr>
          <w:jc w:val="center"/>
        </w:trPr>
        <w:tc>
          <w:tcPr>
            <w:tcW w:w="2738" w:type="dxa"/>
          </w:tcPr>
          <w:p w:rsidR="006A1CB3" w14:paraId="5603AC6C" w14:textId="77777777"/>
        </w:tc>
        <w:tc>
          <w:tcPr>
            <w:tcW w:w="2008" w:type="dxa"/>
          </w:tcPr>
          <w:p w:rsidR="006A1CB3" w14:paraId="65FA8EAA" w14:textId="77777777"/>
        </w:tc>
      </w:tr>
      <w:tr w14:paraId="12E8B88D" w14:textId="77777777" w:rsidTr="00C65066">
        <w:tblPrEx>
          <w:tblW w:w="4746" w:type="dxa"/>
          <w:jc w:val="center"/>
          <w:tblLook w:val="04A0"/>
        </w:tblPrEx>
        <w:trPr>
          <w:jc w:val="center"/>
        </w:trPr>
        <w:tc>
          <w:tcPr>
            <w:tcW w:w="2738" w:type="dxa"/>
          </w:tcPr>
          <w:p w:rsidR="006A1CB3" w:rsidP="00FC2DA8" w14:paraId="0C8D2145" w14:textId="55336F91">
            <w:pPr>
              <w:jc w:val="center"/>
              <w:rPr>
                <w:b/>
                <w:bCs/>
              </w:rPr>
            </w:pPr>
            <w:r w:rsidRPr="58BFDC3D">
              <w:rPr>
                <w:b/>
                <w:bCs/>
              </w:rPr>
              <w:t xml:space="preserve">10 </w:t>
            </w:r>
            <w:r w:rsidRPr="00B038B0">
              <w:rPr>
                <w:b/>
                <w:bCs/>
              </w:rPr>
              <w:t xml:space="preserve">CFR Part </w:t>
            </w:r>
            <w:r>
              <w:rPr>
                <w:b/>
                <w:bCs/>
              </w:rPr>
              <w:t>52</w:t>
            </w:r>
          </w:p>
        </w:tc>
        <w:tc>
          <w:tcPr>
            <w:tcW w:w="2008" w:type="dxa"/>
          </w:tcPr>
          <w:p w:rsidR="006A1CB3" w:rsidP="00FC2DA8" w14:paraId="1D4214E2" w14:textId="39333B8C">
            <w:pPr>
              <w:jc w:val="center"/>
              <w:rPr>
                <w:b/>
                <w:bCs/>
              </w:rPr>
            </w:pPr>
            <w:r w:rsidRPr="58BFDC3D">
              <w:rPr>
                <w:b/>
                <w:bCs/>
              </w:rPr>
              <w:t>3150-</w:t>
            </w:r>
            <w:r>
              <w:rPr>
                <w:b/>
                <w:bCs/>
              </w:rPr>
              <w:t>015</w:t>
            </w:r>
            <w:r w:rsidR="00F25A03">
              <w:rPr>
                <w:b/>
                <w:bCs/>
              </w:rPr>
              <w:t>1</w:t>
            </w:r>
          </w:p>
        </w:tc>
      </w:tr>
      <w:tr w14:paraId="710B504F" w14:textId="77777777" w:rsidTr="00C65066">
        <w:tblPrEx>
          <w:tblW w:w="4746" w:type="dxa"/>
          <w:jc w:val="center"/>
          <w:tblLook w:val="04A0"/>
        </w:tblPrEx>
        <w:trPr>
          <w:jc w:val="center"/>
        </w:trPr>
        <w:tc>
          <w:tcPr>
            <w:tcW w:w="2738" w:type="dxa"/>
          </w:tcPr>
          <w:p w:rsidR="006A1CB3" w:rsidP="00FC2DA8" w14:paraId="04FCBD69" w14:textId="39271477">
            <w:pPr>
              <w:spacing w:line="276" w:lineRule="auto"/>
            </w:pPr>
            <w:r>
              <w:t>52.79(a)(35)(iii)</w:t>
            </w:r>
          </w:p>
        </w:tc>
        <w:tc>
          <w:tcPr>
            <w:tcW w:w="2008" w:type="dxa"/>
          </w:tcPr>
          <w:p w:rsidR="006A1CB3" w:rsidP="00FC2DA8" w14:paraId="6EFB23DB" w14:textId="77777777">
            <w:pPr>
              <w:jc w:val="center"/>
            </w:pPr>
          </w:p>
        </w:tc>
      </w:tr>
      <w:tr w14:paraId="7FAA0ADE" w14:textId="77777777" w:rsidTr="00C65066">
        <w:tblPrEx>
          <w:tblW w:w="4746" w:type="dxa"/>
          <w:jc w:val="center"/>
          <w:tblLook w:val="04A0"/>
        </w:tblPrEx>
        <w:trPr>
          <w:jc w:val="center"/>
        </w:trPr>
        <w:tc>
          <w:tcPr>
            <w:tcW w:w="2738" w:type="dxa"/>
          </w:tcPr>
          <w:p w:rsidR="006A1CB3" w:rsidP="00FC2DA8" w14:paraId="5A14ED1F" w14:textId="2DE03E68">
            <w:pPr>
              <w:spacing w:line="276" w:lineRule="auto"/>
            </w:pPr>
          </w:p>
        </w:tc>
        <w:tc>
          <w:tcPr>
            <w:tcW w:w="2008" w:type="dxa"/>
          </w:tcPr>
          <w:p w:rsidR="006A1CB3" w:rsidP="00FC2DA8" w14:paraId="6FD99301" w14:textId="77777777"/>
        </w:tc>
      </w:tr>
      <w:tr w14:paraId="59757ACD" w14:textId="77777777" w:rsidTr="00C65066">
        <w:tblPrEx>
          <w:tblW w:w="4746" w:type="dxa"/>
          <w:jc w:val="center"/>
          <w:tblLook w:val="04A0"/>
        </w:tblPrEx>
        <w:trPr>
          <w:jc w:val="center"/>
        </w:trPr>
        <w:tc>
          <w:tcPr>
            <w:tcW w:w="2738" w:type="dxa"/>
          </w:tcPr>
          <w:p w:rsidR="006A1CB3" w:rsidP="00C65066" w14:paraId="396FF610" w14:textId="6B93A232">
            <w:pPr>
              <w:spacing w:line="276" w:lineRule="auto"/>
              <w:jc w:val="center"/>
            </w:pPr>
            <w:r w:rsidRPr="58BFDC3D">
              <w:rPr>
                <w:b/>
                <w:bCs/>
              </w:rPr>
              <w:t xml:space="preserve">10 </w:t>
            </w:r>
            <w:r w:rsidRPr="00B038B0">
              <w:rPr>
                <w:b/>
                <w:bCs/>
              </w:rPr>
              <w:t>CFR Part 73</w:t>
            </w:r>
          </w:p>
        </w:tc>
        <w:tc>
          <w:tcPr>
            <w:tcW w:w="2008" w:type="dxa"/>
          </w:tcPr>
          <w:p w:rsidR="006A1CB3" w:rsidP="00C65066" w14:paraId="173F90C4" w14:textId="19C23FB8">
            <w:pPr>
              <w:jc w:val="center"/>
            </w:pPr>
            <w:r w:rsidRPr="004B5D4F">
              <w:rPr>
                <w:b/>
                <w:bCs/>
              </w:rPr>
              <w:t>3150-0002</w:t>
            </w:r>
          </w:p>
        </w:tc>
      </w:tr>
      <w:tr w14:paraId="6AF21DFD" w14:textId="77777777" w:rsidTr="00C65066">
        <w:tblPrEx>
          <w:tblW w:w="4746" w:type="dxa"/>
          <w:jc w:val="center"/>
          <w:tblLook w:val="04A0"/>
        </w:tblPrEx>
        <w:trPr>
          <w:jc w:val="center"/>
        </w:trPr>
        <w:tc>
          <w:tcPr>
            <w:tcW w:w="2738" w:type="dxa"/>
          </w:tcPr>
          <w:p w:rsidR="006A1CB3" w:rsidP="00440065" w14:paraId="1B6EE0C2" w14:textId="69116A82">
            <w:r>
              <w:t>73.55(s)(1)</w:t>
            </w:r>
            <w:r w:rsidRPr="0084777B" w:rsidR="008846FB">
              <w:t>(i</w:t>
            </w:r>
            <w:r w:rsidR="00084842">
              <w:t>v</w:t>
            </w:r>
            <w:r w:rsidRPr="0084777B" w:rsidR="008846FB">
              <w:t>)</w:t>
            </w:r>
          </w:p>
        </w:tc>
        <w:tc>
          <w:tcPr>
            <w:tcW w:w="2008" w:type="dxa"/>
          </w:tcPr>
          <w:p w:rsidR="006A1CB3" w:rsidP="00440065" w14:paraId="07B1334B" w14:textId="77777777"/>
        </w:tc>
      </w:tr>
      <w:tr w14:paraId="65E721D1" w14:textId="77777777" w:rsidTr="00C65066">
        <w:tblPrEx>
          <w:tblW w:w="4746" w:type="dxa"/>
          <w:jc w:val="center"/>
          <w:tblLook w:val="04A0"/>
        </w:tblPrEx>
        <w:trPr>
          <w:jc w:val="center"/>
        </w:trPr>
        <w:tc>
          <w:tcPr>
            <w:tcW w:w="2738" w:type="dxa"/>
          </w:tcPr>
          <w:p w:rsidR="006A1CB3" w:rsidP="00440065" w14:paraId="53231778" w14:textId="2014228B">
            <w:r>
              <w:t>73.55(s)(2)</w:t>
            </w:r>
            <w:r w:rsidRPr="0084777B" w:rsidR="00AE3EAB">
              <w:t>(ii)(A)(</w:t>
            </w:r>
            <w:r w:rsidRPr="00992A8C" w:rsidR="00AE3EAB">
              <w:rPr>
                <w:i/>
                <w:iCs/>
              </w:rPr>
              <w:t>3</w:t>
            </w:r>
            <w:r w:rsidRPr="0084777B" w:rsidR="00AE3EAB">
              <w:t>)</w:t>
            </w:r>
          </w:p>
        </w:tc>
        <w:tc>
          <w:tcPr>
            <w:tcW w:w="2008" w:type="dxa"/>
          </w:tcPr>
          <w:p w:rsidR="006A1CB3" w:rsidP="00440065" w14:paraId="044827AC" w14:textId="77777777"/>
        </w:tc>
      </w:tr>
    </w:tbl>
    <w:p w:rsidR="00BA58AB" w:rsidP="00C65066" w14:paraId="04409807" w14:textId="3F7DFAD9">
      <w:pPr>
        <w:spacing w:line="240" w:lineRule="auto"/>
        <w:rPr>
          <w:i/>
          <w:sz w:val="18"/>
        </w:rPr>
      </w:pPr>
    </w:p>
    <w:p w:rsidR="00784621" w:rsidRPr="000F2DD1" w:rsidP="000F2DD1" w14:paraId="27B6AB82" w14:textId="5B04CE95">
      <w:pPr>
        <w:spacing w:line="240" w:lineRule="auto"/>
      </w:pPr>
      <w:r w:rsidRPr="000F2DD1">
        <w:t xml:space="preserve"> </w:t>
      </w:r>
    </w:p>
    <w:p w:rsidR="00BA58AB" w14:paraId="6919C260" w14:textId="25DE5DE4">
      <w:pPr>
        <w:spacing w:line="240" w:lineRule="auto"/>
        <w:rPr>
          <w:i/>
        </w:rPr>
      </w:pPr>
      <w:r>
        <w:rPr>
          <w:i/>
        </w:rPr>
        <w:t>Affected Entities</w:t>
      </w:r>
    </w:p>
    <w:p w:rsidR="00BA58AB" w14:paraId="1C42B9CA" w14:textId="77777777">
      <w:pPr>
        <w:spacing w:line="240" w:lineRule="auto"/>
      </w:pPr>
    </w:p>
    <w:p w:rsidR="009D4EBC" w:rsidRPr="000F2DD1" w:rsidP="009D4EBC" w14:paraId="5676034C" w14:textId="47A866EC">
      <w:pPr>
        <w:spacing w:line="240" w:lineRule="auto"/>
      </w:pPr>
      <w:r>
        <w:t>The proposed revisions to 10 CFR Part</w:t>
      </w:r>
      <w:r w:rsidR="351CF107">
        <w:t xml:space="preserve"> 73</w:t>
      </w:r>
      <w:r>
        <w:t xml:space="preserve"> would affect SMR and </w:t>
      </w:r>
      <w:r w:rsidR="1483FF7F">
        <w:t xml:space="preserve">non-LWR </w:t>
      </w:r>
      <w:r>
        <w:t xml:space="preserve">licensees or license applicants that are </w:t>
      </w:r>
      <w:r w:rsidR="00102BC0">
        <w:t>subject to</w:t>
      </w:r>
      <w:r>
        <w:t xml:space="preserve"> 10 CFR </w:t>
      </w:r>
      <w:r w:rsidR="5706E076">
        <w:t>73.55</w:t>
      </w:r>
      <w:r w:rsidR="5D2BF253">
        <w:t xml:space="preserve"> </w:t>
      </w:r>
      <w:r w:rsidR="57B07406">
        <w:t>(</w:t>
      </w:r>
      <w:r w:rsidR="3702E69F">
        <w:t>i</w:t>
      </w:r>
      <w:r w:rsidR="57B07406">
        <w:t xml:space="preserve">.e., power production </w:t>
      </w:r>
      <w:r w:rsidR="70E0F3E5">
        <w:t xml:space="preserve">nuclear </w:t>
      </w:r>
      <w:r w:rsidRPr="00EE518A" w:rsidR="57B07406">
        <w:t xml:space="preserve">reactors licensed under </w:t>
      </w:r>
      <w:r w:rsidRPr="00EE518A" w:rsidR="5D2BF253">
        <w:t>10 CFR Part 50 or Part 52</w:t>
      </w:r>
      <w:r w:rsidRPr="00EE518A" w:rsidR="2E5E12EE">
        <w:t>)</w:t>
      </w:r>
      <w:r w:rsidRPr="00EE518A">
        <w:t xml:space="preserve">.  </w:t>
      </w:r>
      <w:r w:rsidR="00EF3C9D">
        <w:t>There are currently no licensed SMRs or non-LWRs.</w:t>
      </w:r>
      <w:r w:rsidR="00D051DB">
        <w:t xml:space="preserve"> </w:t>
      </w:r>
      <w:r w:rsidRPr="00EE518A">
        <w:rPr>
          <w:rFonts w:eastAsia="Times New Roman"/>
        </w:rPr>
        <w:t xml:space="preserve">This proposed rule and guidance could affect </w:t>
      </w:r>
      <w:r w:rsidRPr="00EE518A" w:rsidR="00EE518A">
        <w:rPr>
          <w:rFonts w:eastAsia="Times New Roman"/>
        </w:rPr>
        <w:t>future</w:t>
      </w:r>
      <w:r w:rsidRPr="00EE518A">
        <w:rPr>
          <w:rFonts w:eastAsia="Times New Roman"/>
        </w:rPr>
        <w:t xml:space="preserve"> SMR and non-LWR </w:t>
      </w:r>
      <w:r w:rsidRPr="00EE518A">
        <w:t>licensees</w:t>
      </w:r>
      <w:r w:rsidR="003C176D">
        <w:t xml:space="preserve"> or license applicants</w:t>
      </w:r>
      <w:r w:rsidRPr="00EE518A">
        <w:t xml:space="preserve"> that would be licensed after the effective date of the final rule</w:t>
      </w:r>
      <w:r w:rsidRPr="00EE518A">
        <w:rPr>
          <w:rFonts w:eastAsia="Times New Roman"/>
        </w:rPr>
        <w:t>.</w:t>
      </w:r>
      <w:r w:rsidRPr="33A3527E">
        <w:rPr>
          <w:rFonts w:eastAsia="Times New Roman"/>
        </w:rPr>
        <w:t xml:space="preserve">  </w:t>
      </w:r>
      <w:r>
        <w:t xml:space="preserve">As shown in </w:t>
      </w:r>
      <w:r w:rsidRPr="006C5A3F">
        <w:t xml:space="preserve">Table 2, the NRC staff estimates </w:t>
      </w:r>
      <w:r w:rsidRPr="006C5A3F" w:rsidR="00AC3F80">
        <w:t xml:space="preserve">a total of </w:t>
      </w:r>
      <w:r w:rsidRPr="006C5A3F" w:rsidR="00EE518A">
        <w:t>ten</w:t>
      </w:r>
      <w:r w:rsidRPr="006C5A3F">
        <w:t xml:space="preserve"> SMR </w:t>
      </w:r>
      <w:r w:rsidRPr="006C5A3F" w:rsidR="00AC3F80">
        <w:t>and</w:t>
      </w:r>
      <w:r w:rsidRPr="006C5A3F">
        <w:t xml:space="preserve"> non-LWR license applications would be reviewed</w:t>
      </w:r>
      <w:r w:rsidRPr="006C5A3F" w:rsidR="003B4ABF">
        <w:t xml:space="preserve"> </w:t>
      </w:r>
      <w:r w:rsidRPr="006C5A3F">
        <w:t xml:space="preserve">during the 3-year period covered by this supporting statement, or an average of </w:t>
      </w:r>
      <w:r w:rsidR="002108E1">
        <w:t>3.3</w:t>
      </w:r>
      <w:r w:rsidR="000863E4">
        <w:t>3</w:t>
      </w:r>
      <w:r w:rsidRPr="006C5A3F">
        <w:t xml:space="preserve"> respondent</w:t>
      </w:r>
      <w:r w:rsidR="00623655">
        <w:t>s</w:t>
      </w:r>
      <w:r w:rsidRPr="006C5A3F">
        <w:t xml:space="preserve"> annually.  </w:t>
      </w:r>
      <w:r w:rsidRPr="006C5A3F">
        <w:t xml:space="preserve">There is one </w:t>
      </w:r>
      <w:r w:rsidR="00937EA5">
        <w:t>operating license (</w:t>
      </w:r>
      <w:r w:rsidRPr="006C5A3F">
        <w:t>OL</w:t>
      </w:r>
      <w:r w:rsidR="00937EA5">
        <w:t>)</w:t>
      </w:r>
      <w:r w:rsidRPr="006C5A3F">
        <w:t xml:space="preserve"> application</w:t>
      </w:r>
      <w:r w:rsidRPr="006C5A3F" w:rsidR="00235447">
        <w:t xml:space="preserve"> (</w:t>
      </w:r>
      <w:r w:rsidRPr="006C5A3F" w:rsidR="00D4627B">
        <w:t>to be licensed under 10 CFR Part 50)</w:t>
      </w:r>
      <w:r w:rsidRPr="006C5A3F" w:rsidR="001A13A0">
        <w:t xml:space="preserve"> with an average of </w:t>
      </w:r>
      <w:r w:rsidR="00583C4F">
        <w:t>0.3</w:t>
      </w:r>
      <w:r w:rsidR="000863E4">
        <w:t>3</w:t>
      </w:r>
      <w:r w:rsidRPr="006C5A3F" w:rsidR="001A13A0">
        <w:t xml:space="preserve"> application</w:t>
      </w:r>
      <w:r w:rsidR="00583C4F">
        <w:t>s</w:t>
      </w:r>
      <w:r w:rsidRPr="006C5A3F" w:rsidR="001A13A0">
        <w:t xml:space="preserve"> </w:t>
      </w:r>
      <w:r w:rsidRPr="006C5A3F" w:rsidR="00EA3520">
        <w:t>annually,</w:t>
      </w:r>
      <w:r w:rsidRPr="006C5A3F">
        <w:t xml:space="preserve"> and nine </w:t>
      </w:r>
      <w:r w:rsidR="00AB1336">
        <w:t>combined license (</w:t>
      </w:r>
      <w:r w:rsidRPr="006C5A3F">
        <w:t>COL</w:t>
      </w:r>
      <w:r w:rsidR="00AB1336">
        <w:t>)</w:t>
      </w:r>
      <w:r w:rsidRPr="006C5A3F">
        <w:t xml:space="preserve"> applications </w:t>
      </w:r>
      <w:r w:rsidRPr="006C5A3F" w:rsidR="00D4627B">
        <w:t>(to be licensed under 10 CFR Part 52)</w:t>
      </w:r>
      <w:r w:rsidRPr="006C5A3F">
        <w:t xml:space="preserve">, </w:t>
      </w:r>
      <w:r w:rsidRPr="006C5A3F" w:rsidR="00272A7C">
        <w:t>with</w:t>
      </w:r>
      <w:r w:rsidRPr="006C5A3F">
        <w:t xml:space="preserve"> an average of </w:t>
      </w:r>
      <w:r w:rsidRPr="006C5A3F" w:rsidR="00272A7C">
        <w:t>three</w:t>
      </w:r>
      <w:r w:rsidRPr="006C5A3F">
        <w:t xml:space="preserve"> </w:t>
      </w:r>
      <w:r w:rsidRPr="006C5A3F" w:rsidR="00272A7C">
        <w:t>applications</w:t>
      </w:r>
      <w:r w:rsidRPr="006C5A3F">
        <w:t xml:space="preserve"> annually</w:t>
      </w:r>
      <w:r w:rsidRPr="006C5A3F" w:rsidR="003B7AD7">
        <w:t>, expected during this clearance period</w:t>
      </w:r>
      <w:r w:rsidRPr="006C5A3F">
        <w:t>.</w:t>
      </w:r>
      <w:r w:rsidRPr="006C5A3F" w:rsidR="00272A7C">
        <w:t xml:space="preserve">  </w:t>
      </w:r>
      <w:r w:rsidRPr="006C5A3F" w:rsidR="0093691B">
        <w:t>The</w:t>
      </w:r>
      <w:r w:rsidRPr="0093691B" w:rsidR="00272A7C">
        <w:t xml:space="preserve"> information collections </w:t>
      </w:r>
      <w:r w:rsidRPr="0093691B" w:rsidR="00854254">
        <w:t>affected by this proposed rule are associated with information submitted as part of an OL or a COL application.</w:t>
      </w:r>
    </w:p>
    <w:p w:rsidR="00FC6A98" w:rsidP="009D4EBC" w14:paraId="731A3542" w14:textId="7DAAB48E">
      <w:pPr>
        <w:spacing w:line="240" w:lineRule="auto"/>
      </w:pPr>
    </w:p>
    <w:p w:rsidR="00CA442D" w:rsidRPr="00C65066" w:rsidP="009D4EBC" w14:paraId="13048953" w14:textId="1A5107B7">
      <w:pPr>
        <w:spacing w:line="240" w:lineRule="auto"/>
      </w:pPr>
      <w:r>
        <w:t xml:space="preserve">As a result, the NRC staff estimates that the proposed rule </w:t>
      </w:r>
      <w:r w:rsidR="00C03ADE">
        <w:t>would</w:t>
      </w:r>
      <w:r>
        <w:t xml:space="preserve"> impact 3.3</w:t>
      </w:r>
      <w:r w:rsidR="006604B3">
        <w:t>3</w:t>
      </w:r>
      <w:r>
        <w:t xml:space="preserve"> respondents annually under Part 73 during the 3-year period covered by this supporting statement.</w:t>
      </w:r>
    </w:p>
    <w:p w:rsidR="00BA58AB" w14:paraId="36479D7D" w14:textId="77777777">
      <w:pPr>
        <w:spacing w:line="240" w:lineRule="auto"/>
      </w:pPr>
    </w:p>
    <w:p w:rsidR="00BA58AB" w14:paraId="7471993A" w14:textId="77777777">
      <w:pPr>
        <w:spacing w:line="240" w:lineRule="auto"/>
        <w:jc w:val="center"/>
        <w:rPr>
          <w:b/>
        </w:rPr>
      </w:pPr>
      <w:r>
        <w:rPr>
          <w:b/>
        </w:rPr>
        <w:t>Table 2</w:t>
      </w:r>
    </w:p>
    <w:p w:rsidR="00BA58AB" w:rsidRPr="0072054E" w14:paraId="45103796" w14:textId="00A96BED">
      <w:pPr>
        <w:spacing w:line="240" w:lineRule="auto"/>
        <w:jc w:val="center"/>
        <w:rPr>
          <w:b/>
        </w:rPr>
      </w:pPr>
      <w:r>
        <w:rPr>
          <w:b/>
        </w:rPr>
        <w:t>Annual Respondents</w:t>
      </w:r>
      <w:r w:rsidRPr="0072054E" w:rsidR="00795B76">
        <w:rPr>
          <w:b/>
        </w:rPr>
        <w:t xml:space="preserve"> by </w:t>
      </w:r>
      <w:r w:rsidR="00513AE2">
        <w:rPr>
          <w:b/>
        </w:rPr>
        <w:t>10 CFR Part</w:t>
      </w:r>
      <w:r>
        <w:rPr>
          <w:b/>
        </w:rPr>
        <w:t xml:space="preserve"> (2024-2026)</w:t>
      </w:r>
    </w:p>
    <w:tbl>
      <w:tblPr>
        <w:tblStyle w:val="TableGrid"/>
        <w:tblW w:w="4083" w:type="pct"/>
        <w:jc w:val="center"/>
        <w:tblLook w:val="04A0"/>
      </w:tblPr>
      <w:tblGrid>
        <w:gridCol w:w="1830"/>
        <w:gridCol w:w="2381"/>
        <w:gridCol w:w="3424"/>
      </w:tblGrid>
      <w:tr w14:paraId="11948EBF" w14:textId="77777777" w:rsidTr="006154A3">
        <w:tblPrEx>
          <w:tblW w:w="4083" w:type="pct"/>
          <w:jc w:val="center"/>
          <w:tblLook w:val="04A0"/>
        </w:tblPrEx>
        <w:trPr>
          <w:jc w:val="center"/>
        </w:trPr>
        <w:tc>
          <w:tcPr>
            <w:tcW w:w="1198" w:type="pct"/>
            <w:vMerge w:val="restart"/>
            <w:vAlign w:val="center"/>
          </w:tcPr>
          <w:p w:rsidR="006154A3" w:rsidRPr="00B37C42" w:rsidP="006154A3" w14:paraId="4858C022" w14:textId="5106584B">
            <w:pPr>
              <w:jc w:val="center"/>
              <w:rPr>
                <w:b/>
                <w:bCs/>
              </w:rPr>
            </w:pPr>
          </w:p>
        </w:tc>
        <w:tc>
          <w:tcPr>
            <w:tcW w:w="1559" w:type="pct"/>
          </w:tcPr>
          <w:p w:rsidR="006154A3" w:rsidRPr="00C65066" w:rsidP="006154A3" w14:paraId="2D139D90" w14:textId="25EBB948">
            <w:pPr>
              <w:rPr>
                <w:b/>
                <w:bCs/>
              </w:rPr>
            </w:pPr>
            <w:r w:rsidRPr="000F2DD1">
              <w:rPr>
                <w:b/>
              </w:rPr>
              <w:t>Part 50 (OL)</w:t>
            </w:r>
          </w:p>
        </w:tc>
        <w:tc>
          <w:tcPr>
            <w:tcW w:w="2242" w:type="pct"/>
          </w:tcPr>
          <w:p w:rsidR="006154A3" w:rsidRPr="000F2DD1" w:rsidP="006154A3" w14:paraId="64905EDF" w14:textId="23871C64">
            <w:pPr>
              <w:jc w:val="center"/>
              <w:rPr>
                <w:b/>
              </w:rPr>
            </w:pPr>
            <w:r w:rsidRPr="000F2DD1">
              <w:rPr>
                <w:b/>
              </w:rPr>
              <w:t>0</w:t>
            </w:r>
            <w:r w:rsidRPr="00876F94">
              <w:rPr>
                <w:b/>
                <w:bCs/>
              </w:rPr>
              <w:t>.</w:t>
            </w:r>
            <w:r w:rsidR="007A1070">
              <w:rPr>
                <w:b/>
                <w:bCs/>
              </w:rPr>
              <w:t>3</w:t>
            </w:r>
            <w:r w:rsidRPr="00876F94">
              <w:rPr>
                <w:b/>
                <w:bCs/>
              </w:rPr>
              <w:t>3</w:t>
            </w:r>
          </w:p>
        </w:tc>
      </w:tr>
      <w:tr w14:paraId="75DEA7AA" w14:textId="77777777" w:rsidTr="006154A3">
        <w:tblPrEx>
          <w:tblW w:w="4083" w:type="pct"/>
          <w:jc w:val="center"/>
          <w:tblLook w:val="04A0"/>
        </w:tblPrEx>
        <w:trPr>
          <w:jc w:val="center"/>
        </w:trPr>
        <w:tc>
          <w:tcPr>
            <w:tcW w:w="1198" w:type="pct"/>
            <w:vMerge/>
            <w:vAlign w:val="center"/>
          </w:tcPr>
          <w:p w:rsidR="006154A3" w:rsidRPr="000F2DD1" w:rsidP="006154A3" w14:paraId="31879C74" w14:textId="5F9D12E8">
            <w:pPr>
              <w:jc w:val="center"/>
              <w:rPr>
                <w:b/>
              </w:rPr>
            </w:pPr>
          </w:p>
        </w:tc>
        <w:tc>
          <w:tcPr>
            <w:tcW w:w="1559" w:type="pct"/>
          </w:tcPr>
          <w:p w:rsidR="006154A3" w:rsidRPr="000F2DD1" w:rsidP="006154A3" w14:paraId="5841D218" w14:textId="7E8E13C5">
            <w:pPr>
              <w:rPr>
                <w:b/>
              </w:rPr>
            </w:pPr>
            <w:r w:rsidRPr="000F2DD1">
              <w:rPr>
                <w:b/>
              </w:rPr>
              <w:t>Part 52 (COL)</w:t>
            </w:r>
          </w:p>
        </w:tc>
        <w:tc>
          <w:tcPr>
            <w:tcW w:w="2242" w:type="pct"/>
          </w:tcPr>
          <w:p w:rsidR="006154A3" w:rsidRPr="000F2DD1" w:rsidP="006154A3" w14:paraId="7025D163" w14:textId="4DF419C5">
            <w:pPr>
              <w:jc w:val="center"/>
              <w:rPr>
                <w:b/>
              </w:rPr>
            </w:pPr>
            <w:r w:rsidRPr="000F2DD1">
              <w:rPr>
                <w:b/>
              </w:rPr>
              <w:t>3</w:t>
            </w:r>
          </w:p>
        </w:tc>
      </w:tr>
      <w:tr w14:paraId="7AB833E0" w14:textId="77777777" w:rsidTr="006154A3">
        <w:tblPrEx>
          <w:tblW w:w="4083" w:type="pct"/>
          <w:jc w:val="center"/>
          <w:tblLook w:val="04A0"/>
        </w:tblPrEx>
        <w:trPr>
          <w:jc w:val="center"/>
        </w:trPr>
        <w:tc>
          <w:tcPr>
            <w:tcW w:w="1198" w:type="pct"/>
            <w:vMerge/>
            <w:vAlign w:val="center"/>
          </w:tcPr>
          <w:p w:rsidR="006154A3" w:rsidRPr="00C65066" w:rsidP="006154A3" w14:paraId="38A2CC4B" w14:textId="77777777">
            <w:pPr>
              <w:jc w:val="center"/>
              <w:rPr>
                <w:b/>
                <w:bCs/>
              </w:rPr>
            </w:pPr>
          </w:p>
        </w:tc>
        <w:tc>
          <w:tcPr>
            <w:tcW w:w="1559" w:type="pct"/>
          </w:tcPr>
          <w:p w:rsidR="006154A3" w:rsidRPr="00C65066" w:rsidP="006154A3" w14:paraId="5F9AC7D7" w14:textId="679E04F8">
            <w:pPr>
              <w:rPr>
                <w:b/>
                <w:bCs/>
              </w:rPr>
            </w:pPr>
            <w:r w:rsidRPr="00C65066">
              <w:rPr>
                <w:b/>
                <w:bCs/>
              </w:rPr>
              <w:t>Part 73 (all)</w:t>
            </w:r>
          </w:p>
        </w:tc>
        <w:tc>
          <w:tcPr>
            <w:tcW w:w="2242" w:type="pct"/>
          </w:tcPr>
          <w:p w:rsidR="006154A3" w:rsidRPr="00C65066" w:rsidP="006154A3" w14:paraId="4FF164E3" w14:textId="193FFC26">
            <w:pPr>
              <w:jc w:val="center"/>
              <w:rPr>
                <w:b/>
                <w:bCs/>
              </w:rPr>
            </w:pPr>
            <w:r w:rsidRPr="00876F94">
              <w:rPr>
                <w:b/>
                <w:bCs/>
              </w:rPr>
              <w:t>3.3</w:t>
            </w:r>
            <w:r w:rsidR="007A1070">
              <w:rPr>
                <w:b/>
                <w:bCs/>
              </w:rPr>
              <w:t>3</w:t>
            </w:r>
          </w:p>
        </w:tc>
      </w:tr>
    </w:tbl>
    <w:p w:rsidR="00AB4B0D" w:rsidP="00AB4B0D" w14:paraId="51390498" w14:textId="77777777">
      <w:pPr>
        <w:spacing w:line="240" w:lineRule="auto"/>
        <w:jc w:val="center"/>
        <w:rPr>
          <w:b/>
        </w:rPr>
      </w:pPr>
    </w:p>
    <w:p w:rsidR="00BA58AB" w:rsidP="00992A8C" w14:paraId="114790F0" w14:textId="77777777">
      <w:pPr>
        <w:keepNext/>
        <w:spacing w:line="240" w:lineRule="auto"/>
        <w:rPr>
          <w:i/>
        </w:rPr>
      </w:pPr>
      <w:r w:rsidRPr="0072054E">
        <w:rPr>
          <w:i/>
        </w:rPr>
        <w:t>Information Collections</w:t>
      </w:r>
    </w:p>
    <w:p w:rsidR="00BA58AB" w:rsidP="00992A8C" w14:paraId="01900528" w14:textId="77777777">
      <w:pPr>
        <w:keepNext/>
        <w:spacing w:line="240" w:lineRule="auto"/>
      </w:pPr>
    </w:p>
    <w:p w:rsidR="00CC7A0C" w:rsidP="00992A8C" w14:paraId="62E0CFB3" w14:textId="22813817">
      <w:pPr>
        <w:keepNext/>
        <w:tabs>
          <w:tab w:val="left" w:pos="1980"/>
        </w:tabs>
        <w:spacing w:line="240" w:lineRule="auto"/>
      </w:pPr>
      <w:r>
        <w:t xml:space="preserve">The changes in the proposed rule would impact reporting requirements associated with </w:t>
      </w:r>
      <w:r w:rsidR="00B76C93">
        <w:t xml:space="preserve">the </w:t>
      </w:r>
      <w:r w:rsidR="00747FB9">
        <w:t xml:space="preserve">alternative performance-based physical security </w:t>
      </w:r>
      <w:r w:rsidR="00B76C93">
        <w:t>plan</w:t>
      </w:r>
      <w:r w:rsidR="003E3EA2">
        <w:t xml:space="preserve"> requirements and associated eligibility analysis requirements in 10 CFR 73.55.  </w:t>
      </w:r>
      <w:r>
        <w:t xml:space="preserve">However, </w:t>
      </w:r>
      <w:r w:rsidR="006F0637">
        <w:t xml:space="preserve">because the results of the analyses </w:t>
      </w:r>
      <w:r w:rsidR="00A17FAA">
        <w:t xml:space="preserve">described under 10 CFR 73.55 </w:t>
      </w:r>
      <w:r w:rsidR="00E94BA9">
        <w:t xml:space="preserve">would be </w:t>
      </w:r>
      <w:r w:rsidR="00A17FAA">
        <w:t xml:space="preserve">reported through the license application </w:t>
      </w:r>
      <w:r w:rsidR="00A43575">
        <w:t>required in 10 CFR Part 50 or Part 52</w:t>
      </w:r>
      <w:r w:rsidR="00F269D2">
        <w:t>, depending on the type of license application sought by the applicant, the information collection burden associated with these requirements is captured in the Part 50 or Part 52</w:t>
      </w:r>
      <w:r>
        <w:t xml:space="preserve"> supporting statements and discussed in more detail there.  </w:t>
      </w:r>
    </w:p>
    <w:p w:rsidR="00CC7A0C" w:rsidP="00CC7A0C" w14:paraId="6CE4863C" w14:textId="77777777">
      <w:pPr>
        <w:tabs>
          <w:tab w:val="left" w:pos="1980"/>
        </w:tabs>
        <w:spacing w:line="240" w:lineRule="auto"/>
      </w:pPr>
    </w:p>
    <w:p w:rsidR="009E535B" w:rsidRPr="0084777B" w:rsidP="00C65066" w14:paraId="3BC92275" w14:textId="50B92E07">
      <w:pPr>
        <w:tabs>
          <w:tab w:val="left" w:pos="1980"/>
        </w:tabs>
        <w:spacing w:line="240" w:lineRule="auto"/>
      </w:pPr>
      <w:r>
        <w:t>T</w:t>
      </w:r>
      <w:r w:rsidRPr="0084777B" w:rsidR="0020551D">
        <w:t xml:space="preserve">he changes in the proposed rule would </w:t>
      </w:r>
      <w:r>
        <w:t xml:space="preserve">also </w:t>
      </w:r>
      <w:r w:rsidRPr="0084777B" w:rsidR="0020551D">
        <w:t>impact recordkeeping and third-party disc</w:t>
      </w:r>
      <w:r w:rsidRPr="0084777B" w:rsidR="00D90602">
        <w:t xml:space="preserve">losure information collection requirements </w:t>
      </w:r>
      <w:r w:rsidRPr="0084777B" w:rsidR="00CC4FBA">
        <w:t xml:space="preserve">that are captured in this </w:t>
      </w:r>
      <w:r w:rsidRPr="0084777B" w:rsidR="00D90602">
        <w:t>Part 73</w:t>
      </w:r>
      <w:r w:rsidRPr="0084777B" w:rsidR="00CC4FBA">
        <w:t xml:space="preserve"> supporting statement</w:t>
      </w:r>
      <w:r w:rsidRPr="0084777B" w:rsidR="00D90602">
        <w:t>.</w:t>
      </w:r>
      <w:r w:rsidRPr="0084777B" w:rsidR="00CC4FBA">
        <w:t xml:space="preserve">  Specifically, </w:t>
      </w:r>
      <w:r w:rsidRPr="0084777B" w:rsidR="00912CCD">
        <w:t xml:space="preserve">the proposed rule would </w:t>
      </w:r>
      <w:r w:rsidRPr="0084777B" w:rsidR="00265197">
        <w:t>establish</w:t>
      </w:r>
      <w:r w:rsidRPr="0084777B" w:rsidR="008C4970">
        <w:t xml:space="preserve"> in 10 CFR 73.55(s)(1)(iv) </w:t>
      </w:r>
      <w:r w:rsidRPr="0084777B" w:rsidR="00265197">
        <w:t>a new</w:t>
      </w:r>
      <w:r w:rsidRPr="0084777B" w:rsidR="006D7B15">
        <w:t xml:space="preserve"> recordkeeping</w:t>
      </w:r>
      <w:r w:rsidRPr="0084777B" w:rsidR="00265197">
        <w:t xml:space="preserve"> </w:t>
      </w:r>
      <w:r w:rsidRPr="0084777B" w:rsidR="00F14D36">
        <w:t>requirement for licensees or applicant</w:t>
      </w:r>
      <w:r w:rsidRPr="0084777B" w:rsidR="008C4970">
        <w:t>s</w:t>
      </w:r>
      <w:r w:rsidRPr="0084777B" w:rsidR="00F14D36">
        <w:t xml:space="preserve"> </w:t>
      </w:r>
      <w:r w:rsidRPr="0084777B" w:rsidR="008C4970">
        <w:t xml:space="preserve">to make </w:t>
      </w:r>
      <w:r w:rsidRPr="0084777B" w:rsidR="000E4994">
        <w:t xml:space="preserve">available for audit or inspection the </w:t>
      </w:r>
      <w:r w:rsidRPr="0084777B" w:rsidR="008C4970">
        <w:t xml:space="preserve">technical analysis related to the </w:t>
      </w:r>
      <w:r w:rsidRPr="0084777B" w:rsidR="00865C1C">
        <w:t>eligibility</w:t>
      </w:r>
      <w:r w:rsidRPr="0084777B" w:rsidR="008C4970">
        <w:t xml:space="preserve"> criterion in </w:t>
      </w:r>
      <w:r w:rsidR="00724CC8">
        <w:t xml:space="preserve">new </w:t>
      </w:r>
      <w:r w:rsidRPr="0084777B" w:rsidR="008C4970">
        <w:t>10 CFR 73.55(s)(1)(ii)</w:t>
      </w:r>
      <w:r w:rsidRPr="0084777B" w:rsidR="00040A68">
        <w:t>, and maintain the analysis until the certifications</w:t>
      </w:r>
      <w:r w:rsidR="00EF7A60">
        <w:t xml:space="preserve"> of the cessation of operations</w:t>
      </w:r>
      <w:r w:rsidRPr="0084777B" w:rsidR="00040A68">
        <w:t xml:space="preserve"> required by </w:t>
      </w:r>
      <w:r w:rsidRPr="0084777B" w:rsidR="008373ED">
        <w:t>10 CFR</w:t>
      </w:r>
      <w:r w:rsidRPr="0084777B" w:rsidR="00040A68">
        <w:t xml:space="preserve"> 50.82(a)(1) or </w:t>
      </w:r>
      <w:r w:rsidRPr="0084777B" w:rsidR="008373ED">
        <w:t>10 CFR</w:t>
      </w:r>
      <w:r w:rsidRPr="0084777B" w:rsidR="00040A68">
        <w:t xml:space="preserve"> 52.110(a) have been </w:t>
      </w:r>
      <w:r w:rsidR="00990838">
        <w:t>submitted to</w:t>
      </w:r>
      <w:r w:rsidRPr="0084777B" w:rsidR="00040A68">
        <w:t xml:space="preserve"> the NRC</w:t>
      </w:r>
      <w:r w:rsidRPr="0084777B" w:rsidR="008C4970">
        <w:t>.</w:t>
      </w:r>
      <w:r w:rsidRPr="0084777B" w:rsidR="00865C1C">
        <w:t xml:space="preserve"> Furthermore, </w:t>
      </w:r>
      <w:r w:rsidRPr="0084777B" w:rsidR="00260963">
        <w:t xml:space="preserve">the proposed rule would establish in </w:t>
      </w:r>
      <w:r w:rsidRPr="0084777B">
        <w:t>10 CFR 73.55(s)(2)(ii)(A)(</w:t>
      </w:r>
      <w:r w:rsidRPr="00992A8C">
        <w:rPr>
          <w:i/>
          <w:iCs/>
        </w:rPr>
        <w:t>3</w:t>
      </w:r>
      <w:r w:rsidRPr="0084777B">
        <w:t xml:space="preserve">) </w:t>
      </w:r>
      <w:r w:rsidRPr="0084777B" w:rsidR="00E6739B">
        <w:t>a</w:t>
      </w:r>
      <w:r w:rsidRPr="0084777B">
        <w:t xml:space="preserve"> new third-party </w:t>
      </w:r>
      <w:r w:rsidRPr="0084777B" w:rsidR="00540D2F">
        <w:t xml:space="preserve">disclosure </w:t>
      </w:r>
      <w:r w:rsidRPr="0084777B">
        <w:t xml:space="preserve">requirement </w:t>
      </w:r>
      <w:r w:rsidRPr="0084777B" w:rsidR="00260963">
        <w:t>for</w:t>
      </w:r>
      <w:r w:rsidRPr="0084777B">
        <w:t xml:space="preserve"> Part 50 and Part 52 licensees </w:t>
      </w:r>
      <w:r w:rsidRPr="0084777B" w:rsidR="00260963">
        <w:t>to</w:t>
      </w:r>
      <w:r w:rsidRPr="0084777B">
        <w:t xml:space="preserve"> </w:t>
      </w:r>
      <w:bookmarkStart w:id="0" w:name="_Hlk102145788"/>
      <w:r w:rsidRPr="0084777B">
        <w:t>make available periodic familiarization training and facility information to offsite law enforcement.</w:t>
      </w:r>
    </w:p>
    <w:bookmarkEnd w:id="0"/>
    <w:p w:rsidR="00D90602" w:rsidRPr="0084777B" w14:paraId="2FB9026C" w14:textId="77777777">
      <w:pPr>
        <w:tabs>
          <w:tab w:val="left" w:pos="1980"/>
        </w:tabs>
        <w:spacing w:line="240" w:lineRule="auto"/>
      </w:pPr>
    </w:p>
    <w:p w:rsidR="00BA58AB" w14:paraId="0147C70C" w14:textId="3FC31D2F">
      <w:pPr>
        <w:tabs>
          <w:tab w:val="left" w:pos="1980"/>
        </w:tabs>
        <w:spacing w:line="240" w:lineRule="auto"/>
      </w:pPr>
      <w:r w:rsidRPr="0084777B">
        <w:t>A more detailed description of the proposed rule changes is provided at the end of this supporting statement in “Description of Information Collection Requirements.”</w:t>
      </w:r>
      <w:r>
        <w:t xml:space="preserve">  </w:t>
      </w:r>
    </w:p>
    <w:p w:rsidR="0009467E" w:rsidP="000F2DD1" w14:paraId="0BC6DC3B" w14:textId="77777777">
      <w:pPr>
        <w:spacing w:line="240" w:lineRule="auto"/>
      </w:pPr>
    </w:p>
    <w:p w:rsidR="00BA58AB" w14:paraId="1691BA4D" w14:textId="7DE88FD1">
      <w:pPr>
        <w:numPr>
          <w:ilvl w:val="0"/>
          <w:numId w:val="1"/>
        </w:numPr>
        <w:spacing w:line="240" w:lineRule="auto"/>
      </w:pPr>
      <w:r>
        <w:t>JUSTIFICATION</w:t>
      </w:r>
    </w:p>
    <w:p w:rsidR="00BA58AB" w14:paraId="6FA4D717" w14:textId="77777777">
      <w:pPr>
        <w:spacing w:line="240" w:lineRule="auto"/>
        <w:ind w:left="360"/>
      </w:pPr>
    </w:p>
    <w:p w:rsidR="00BA58AB" w:rsidRPr="003A7327" w14:paraId="21DC7343" w14:textId="77777777">
      <w:pPr>
        <w:numPr>
          <w:ilvl w:val="0"/>
          <w:numId w:val="2"/>
        </w:numPr>
        <w:spacing w:line="240" w:lineRule="auto"/>
        <w:rPr>
          <w:u w:val="single"/>
        </w:rPr>
      </w:pPr>
      <w:r w:rsidRPr="003A7327">
        <w:rPr>
          <w:u w:val="single"/>
        </w:rPr>
        <w:t>Need For the Collection of Information</w:t>
      </w:r>
    </w:p>
    <w:p w:rsidR="00BA58AB" w14:paraId="213E8604" w14:textId="77777777">
      <w:pPr>
        <w:spacing w:line="240" w:lineRule="auto"/>
        <w:rPr>
          <w:u w:val="single"/>
        </w:rPr>
      </w:pPr>
    </w:p>
    <w:p w:rsidR="00BA58AB" w:rsidRPr="003A7327" w14:paraId="76A81587" w14:textId="2EBCDC62">
      <w:pPr>
        <w:spacing w:line="240" w:lineRule="auto"/>
        <w:ind w:left="1080"/>
      </w:pPr>
      <w:r>
        <w:t xml:space="preserve">The information collection requirements in the proposed rule are a voluntary alternative to </w:t>
      </w:r>
      <w:r w:rsidR="005F7CE0">
        <w:t xml:space="preserve">certain </w:t>
      </w:r>
      <w:r>
        <w:t xml:space="preserve">existing </w:t>
      </w:r>
      <w:r w:rsidR="00C415B2">
        <w:t>physical security</w:t>
      </w:r>
      <w:r>
        <w:t xml:space="preserve"> requirements in 10 CFR Part </w:t>
      </w:r>
      <w:r w:rsidR="00C415B2">
        <w:t>73</w:t>
      </w:r>
      <w:r>
        <w:t xml:space="preserve">.  </w:t>
      </w:r>
      <w:r w:rsidR="003A616C">
        <w:t>Eligible l</w:t>
      </w:r>
      <w:r>
        <w:t>icensees and applicants</w:t>
      </w:r>
      <w:r w:rsidR="00900B97">
        <w:t xml:space="preserve"> would be able </w:t>
      </w:r>
      <w:r>
        <w:t xml:space="preserve">to </w:t>
      </w:r>
      <w:r w:rsidR="00A42843">
        <w:t>use</w:t>
      </w:r>
      <w:r>
        <w:t xml:space="preserve"> performance-based</w:t>
      </w:r>
      <w:r w:rsidR="001C4D10">
        <w:t xml:space="preserve"> </w:t>
      </w:r>
      <w:r w:rsidR="009C287E">
        <w:t>alternative physical security requirements</w:t>
      </w:r>
      <w:r>
        <w:t xml:space="preserve">.  </w:t>
      </w:r>
      <w:r w:rsidRPr="001F1D93" w:rsidR="001F1D93">
        <w:t xml:space="preserve">The new </w:t>
      </w:r>
      <w:r w:rsidR="00856952">
        <w:t>recordkeeping requirement</w:t>
      </w:r>
      <w:r w:rsidR="008D42F8">
        <w:t xml:space="preserve"> </w:t>
      </w:r>
      <w:r w:rsidR="00CD6674">
        <w:t>would</w:t>
      </w:r>
      <w:r w:rsidRPr="001F1D93" w:rsidR="001F1D93">
        <w:t xml:space="preserve"> ensure </w:t>
      </w:r>
      <w:r w:rsidR="00D94E5A">
        <w:t xml:space="preserve">that </w:t>
      </w:r>
      <w:r w:rsidRPr="001F1D93" w:rsidR="001F1D93">
        <w:t xml:space="preserve">the NRC </w:t>
      </w:r>
      <w:r w:rsidR="00D94E5A">
        <w:t>can maintain proper oversight and enforcement</w:t>
      </w:r>
      <w:r w:rsidR="00401B97">
        <w:t>, as well as give</w:t>
      </w:r>
      <w:r w:rsidR="00A1650D">
        <w:t xml:space="preserve"> the NRC the up-to-date information that it needs </w:t>
      </w:r>
      <w:r w:rsidRPr="001F1D93" w:rsidR="001F1D93">
        <w:t xml:space="preserve">to review whether an applicant or licensee has demonstrated </w:t>
      </w:r>
      <w:r w:rsidR="00CD6674">
        <w:t xml:space="preserve">that it has </w:t>
      </w:r>
      <w:r w:rsidRPr="001F1D93" w:rsidR="001F1D93">
        <w:t xml:space="preserve">met the </w:t>
      </w:r>
      <w:r w:rsidR="006F7F9B">
        <w:t xml:space="preserve">eligibility requirements to use </w:t>
      </w:r>
      <w:r w:rsidRPr="001F1D93" w:rsidR="001F1D93">
        <w:t xml:space="preserve">any of the </w:t>
      </w:r>
      <w:r w:rsidR="003C76D3">
        <w:t>alternative physical security requirements</w:t>
      </w:r>
      <w:r w:rsidRPr="001F1D93" w:rsidR="001F1D93">
        <w:t>.</w:t>
      </w:r>
      <w:r w:rsidR="00802EED">
        <w:t xml:space="preserve"> </w:t>
      </w:r>
      <w:r w:rsidR="00015133">
        <w:t xml:space="preserve"> </w:t>
      </w:r>
      <w:r w:rsidR="00802EED">
        <w:t xml:space="preserve">The new </w:t>
      </w:r>
      <w:r w:rsidR="00711614">
        <w:t xml:space="preserve">third-party disclosure requirements </w:t>
      </w:r>
      <w:r w:rsidR="002B03BC">
        <w:t xml:space="preserve">would </w:t>
      </w:r>
      <w:r w:rsidR="00711614">
        <w:t xml:space="preserve">provide </w:t>
      </w:r>
      <w:r w:rsidR="007A286D">
        <w:t xml:space="preserve">necessary training and </w:t>
      </w:r>
      <w:r w:rsidR="00711614">
        <w:t>information</w:t>
      </w:r>
      <w:r w:rsidR="007A286D">
        <w:t xml:space="preserve"> about the facility </w:t>
      </w:r>
      <w:r w:rsidR="00605780">
        <w:t>t</w:t>
      </w:r>
      <w:r w:rsidR="00711614">
        <w:t xml:space="preserve">o </w:t>
      </w:r>
      <w:r w:rsidR="009F268D">
        <w:t>offsite</w:t>
      </w:r>
      <w:r w:rsidR="00711614">
        <w:t xml:space="preserve"> law enforcement</w:t>
      </w:r>
      <w:r w:rsidR="005C31C9">
        <w:t xml:space="preserve"> </w:t>
      </w:r>
      <w:r w:rsidR="00605780">
        <w:t xml:space="preserve">so that they are prepared in the future if called upon to fulfill </w:t>
      </w:r>
      <w:r w:rsidRPr="00112B6B" w:rsidR="005C31C9">
        <w:t xml:space="preserve">the interdiction and neutralization functions for threats up to and including the </w:t>
      </w:r>
      <w:r w:rsidR="00804157">
        <w:t>design</w:t>
      </w:r>
      <w:r w:rsidR="00C81C15">
        <w:t>-</w:t>
      </w:r>
      <w:r w:rsidR="00804157">
        <w:t xml:space="preserve">basis </w:t>
      </w:r>
      <w:r w:rsidR="00C81C15">
        <w:t>threat</w:t>
      </w:r>
      <w:r w:rsidR="00804157">
        <w:t xml:space="preserve"> (</w:t>
      </w:r>
      <w:r w:rsidRPr="00112B6B" w:rsidR="005C31C9">
        <w:t>DBT</w:t>
      </w:r>
      <w:r w:rsidR="00804157">
        <w:t>)</w:t>
      </w:r>
      <w:r w:rsidRPr="00112B6B" w:rsidR="005C31C9">
        <w:t xml:space="preserve"> of radiological sabotage</w:t>
      </w:r>
      <w:r w:rsidR="007A286D">
        <w:t>.</w:t>
      </w:r>
    </w:p>
    <w:p w:rsidR="00BA58AB" w:rsidRPr="003A7327" w14:paraId="294EC039" w14:textId="77777777">
      <w:pPr>
        <w:spacing w:line="240" w:lineRule="auto"/>
        <w:rPr>
          <w:u w:val="single"/>
        </w:rPr>
      </w:pPr>
    </w:p>
    <w:p w:rsidR="00BA58AB" w:rsidRPr="003A7327" w14:paraId="4D311F00" w14:textId="77777777">
      <w:pPr>
        <w:numPr>
          <w:ilvl w:val="0"/>
          <w:numId w:val="2"/>
        </w:numPr>
        <w:spacing w:line="240" w:lineRule="auto"/>
        <w:rPr>
          <w:u w:val="single"/>
        </w:rPr>
      </w:pPr>
      <w:r w:rsidRPr="003A7327">
        <w:rPr>
          <w:u w:val="single"/>
        </w:rPr>
        <w:t>Agency Use and Practical Utility of Information</w:t>
      </w:r>
    </w:p>
    <w:p w:rsidR="00BA58AB" w14:paraId="707F2A19" w14:textId="77777777">
      <w:pPr>
        <w:spacing w:line="240" w:lineRule="auto"/>
        <w:rPr>
          <w:u w:val="single"/>
        </w:rPr>
      </w:pPr>
    </w:p>
    <w:p w:rsidR="00BA58AB" w:rsidP="000F2DD1" w14:paraId="597EFEE3" w14:textId="7B93FBC9">
      <w:pPr>
        <w:kinsoku w:val="0"/>
        <w:overflowPunct w:val="0"/>
        <w:autoSpaceDE w:val="0"/>
        <w:autoSpaceDN w:val="0"/>
        <w:adjustRightInd w:val="0"/>
        <w:spacing w:line="240" w:lineRule="auto"/>
        <w:ind w:left="1080" w:right="256"/>
      </w:pPr>
      <w:r>
        <w:t xml:space="preserve">Applicants or licensees requesting approval to construct or operate utilization or production facilities are required by the Atomic Energy Act of 1954, as amended (AEA), to provide information and data that the NRC may determine necessary to ensure the adequate protection of </w:t>
      </w:r>
      <w:r w:rsidR="009B5F93">
        <w:t xml:space="preserve">the </w:t>
      </w:r>
      <w:r>
        <w:t>health and safety of the public.</w:t>
      </w:r>
      <w:r w:rsidRPr="00715F6B" w:rsidR="00715F6B">
        <w:t xml:space="preserve"> </w:t>
      </w:r>
      <w:r w:rsidR="00015133">
        <w:t xml:space="preserve"> </w:t>
      </w:r>
      <w:r w:rsidRPr="00AB746F" w:rsidR="00715F6B">
        <w:t xml:space="preserve">The NRC staff reviews the information included </w:t>
      </w:r>
      <w:r w:rsidRPr="001763E0" w:rsidR="00715F6B">
        <w:t xml:space="preserve">in applications, reports, and </w:t>
      </w:r>
      <w:r w:rsidRPr="00AB746F" w:rsidR="00715F6B">
        <w:t>records to assess the adequacy of each licensee’s physical plant, equipment,</w:t>
      </w:r>
      <w:r w:rsidRPr="001763E0" w:rsidR="00715F6B">
        <w:t xml:space="preserve"> </w:t>
      </w:r>
      <w:r w:rsidRPr="00AB746F" w:rsidR="00715F6B">
        <w:t>organization, training, experience, procedures, and plans for protection of public</w:t>
      </w:r>
      <w:r w:rsidRPr="001763E0" w:rsidR="00715F6B">
        <w:t xml:space="preserve"> </w:t>
      </w:r>
      <w:r w:rsidRPr="00AB746F" w:rsidR="00715F6B">
        <w:t>health and safety and the common defense and security.</w:t>
      </w:r>
      <w:r w:rsidRPr="001763E0" w:rsidR="00715F6B">
        <w:t xml:space="preserve">  </w:t>
      </w:r>
    </w:p>
    <w:p w:rsidR="00BA58AB" w:rsidP="000F2DD1" w14:paraId="78052367" w14:textId="77777777">
      <w:pPr>
        <w:kinsoku w:val="0"/>
        <w:overflowPunct w:val="0"/>
        <w:autoSpaceDE w:val="0"/>
        <w:autoSpaceDN w:val="0"/>
        <w:adjustRightInd w:val="0"/>
        <w:spacing w:before="6" w:line="240" w:lineRule="auto"/>
        <w:ind w:left="1080"/>
      </w:pPr>
    </w:p>
    <w:p w:rsidR="00BA58AB" w14:paraId="3BE7EF9A" w14:textId="1946E27A">
      <w:pPr>
        <w:spacing w:line="240" w:lineRule="auto"/>
        <w:ind w:left="1080"/>
      </w:pPr>
      <w:r>
        <w:t>The proposed rule would provide</w:t>
      </w:r>
      <w:r w:rsidR="0F48A90C">
        <w:t xml:space="preserve"> </w:t>
      </w:r>
      <w:r w:rsidR="7501B208">
        <w:t>advanced</w:t>
      </w:r>
      <w:r w:rsidR="0F48A90C">
        <w:t xml:space="preserve"> reactor</w:t>
      </w:r>
      <w:r>
        <w:t xml:space="preserve"> licensees the </w:t>
      </w:r>
      <w:r w:rsidR="015DC526">
        <w:t>option</w:t>
      </w:r>
      <w:r w:rsidR="6ACCA9BF">
        <w:t xml:space="preserve"> </w:t>
      </w:r>
      <w:r>
        <w:t xml:space="preserve">to </w:t>
      </w:r>
      <w:r w:rsidR="4F8A8C28">
        <w:t>utilize several</w:t>
      </w:r>
      <w:r w:rsidR="307A6895">
        <w:t xml:space="preserve"> (five)</w:t>
      </w:r>
      <w:r w:rsidR="4F8A8C28">
        <w:t xml:space="preserve"> </w:t>
      </w:r>
      <w:r w:rsidR="002D5432">
        <w:t xml:space="preserve">predetermined alternative physical security </w:t>
      </w:r>
      <w:r w:rsidR="004B67AB">
        <w:t xml:space="preserve">requirements </w:t>
      </w:r>
      <w:r w:rsidR="3F3D0670">
        <w:t xml:space="preserve">under 10 CFR 73.55.  In order to utilize any or all of the alternatives, each </w:t>
      </w:r>
      <w:r w:rsidR="6927800C">
        <w:t>advanced</w:t>
      </w:r>
      <w:r w:rsidR="3F3D0670">
        <w:t xml:space="preserve"> reactor licensee must satisfy the proposed el</w:t>
      </w:r>
      <w:r w:rsidR="65D1D2D8">
        <w:t xml:space="preserve">igibility </w:t>
      </w:r>
      <w:r w:rsidR="00BE0FAE">
        <w:t>criterion</w:t>
      </w:r>
      <w:r w:rsidR="65D1D2D8">
        <w:t xml:space="preserve"> under 10 CFR 73.55</w:t>
      </w:r>
      <w:r w:rsidR="00BE0FAE">
        <w:t>(s)</w:t>
      </w:r>
      <w:r w:rsidR="65D1D2D8">
        <w:t>(</w:t>
      </w:r>
      <w:r w:rsidR="00BE0FAE">
        <w:t>1</w:t>
      </w:r>
      <w:r w:rsidR="65D1D2D8">
        <w:t xml:space="preserve">).  </w:t>
      </w:r>
      <w:r w:rsidR="5ABABB05">
        <w:t xml:space="preserve">The intent of the eligibility </w:t>
      </w:r>
      <w:r w:rsidR="724B7C6B">
        <w:t>criteri</w:t>
      </w:r>
      <w:r w:rsidR="007C581A">
        <w:t>on</w:t>
      </w:r>
      <w:r w:rsidR="724B7C6B">
        <w:t xml:space="preserve"> is to only allow facilities </w:t>
      </w:r>
      <w:r w:rsidR="00270BA5">
        <w:t xml:space="preserve">with radiological risk below a certain level </w:t>
      </w:r>
      <w:r w:rsidR="007C581A">
        <w:t>to</w:t>
      </w:r>
      <w:r w:rsidR="724B7C6B">
        <w:t xml:space="preserve"> be able to implement any of the alternatives</w:t>
      </w:r>
      <w:r w:rsidR="00DE48DF">
        <w:t>, which provide the licensee</w:t>
      </w:r>
      <w:r w:rsidR="00C05D21">
        <w:t xml:space="preserve"> a</w:t>
      </w:r>
      <w:r w:rsidR="00DE48DF">
        <w:t xml:space="preserve"> more flexible and/or reduced means for </w:t>
      </w:r>
      <w:r w:rsidR="00565BA9">
        <w:t xml:space="preserve">achieving a level </w:t>
      </w:r>
      <w:r w:rsidR="0039115A">
        <w:t xml:space="preserve">of </w:t>
      </w:r>
      <w:r w:rsidR="00565BA9">
        <w:t xml:space="preserve">protection that is equivalent to that under the corresponding existing requirement and </w:t>
      </w:r>
      <w:r w:rsidR="00DE48DF">
        <w:t>commensurate with the risks associated with advanced reactors.</w:t>
      </w:r>
      <w:r w:rsidR="6F1114AC">
        <w:t xml:space="preserve">  </w:t>
      </w:r>
      <w:r w:rsidR="00EF0B56">
        <w:t>The proposed rule would require licensees to make</w:t>
      </w:r>
      <w:r w:rsidR="000E4994">
        <w:t xml:space="preserve"> available for audit or inspection the</w:t>
      </w:r>
      <w:r w:rsidR="00EF0B56">
        <w:t xml:space="preserve"> technical analysis demonstrating they meet the eligibility criterion</w:t>
      </w:r>
      <w:r w:rsidR="000E4994">
        <w:t>,</w:t>
      </w:r>
      <w:r w:rsidR="00EF0B56">
        <w:t xml:space="preserve"> </w:t>
      </w:r>
      <w:r w:rsidR="000E4994">
        <w:t>and</w:t>
      </w:r>
      <w:r w:rsidR="00EF0B56">
        <w:t xml:space="preserve"> maintain the analysis until </w:t>
      </w:r>
      <w:r w:rsidRPr="00DA4DD8" w:rsidR="00EF0B56">
        <w:t xml:space="preserve">the certifications required by </w:t>
      </w:r>
      <w:r w:rsidR="00617ECA">
        <w:t>10 CFR</w:t>
      </w:r>
      <w:r w:rsidRPr="00DA4DD8" w:rsidR="00EF0B56">
        <w:t xml:space="preserve"> 50.82(a)(1) or </w:t>
      </w:r>
      <w:r w:rsidR="00617ECA">
        <w:t>10 CFR</w:t>
      </w:r>
      <w:r w:rsidRPr="00DA4DD8" w:rsidR="00EF0B56">
        <w:t xml:space="preserve"> 52.110(a) have been docketed by the NRC</w:t>
      </w:r>
      <w:r w:rsidR="00EF0B56">
        <w:t xml:space="preserve">. </w:t>
      </w:r>
      <w:r w:rsidR="00015133">
        <w:t xml:space="preserve"> </w:t>
      </w:r>
      <w:r w:rsidR="00217B29">
        <w:t xml:space="preserve">The </w:t>
      </w:r>
      <w:r w:rsidR="00225EFA">
        <w:t>information collected under this requirement</w:t>
      </w:r>
      <w:r w:rsidR="008A24D2">
        <w:t xml:space="preserve"> would </w:t>
      </w:r>
      <w:r w:rsidR="003C3AE1">
        <w:t xml:space="preserve">be used by </w:t>
      </w:r>
      <w:r w:rsidR="008A24D2">
        <w:t xml:space="preserve">the NRC to assess whether </w:t>
      </w:r>
      <w:r w:rsidR="0075211E">
        <w:t>the licensee</w:t>
      </w:r>
      <w:r w:rsidR="00853148">
        <w:t xml:space="preserve"> is eligible to use </w:t>
      </w:r>
      <w:r w:rsidR="00225EFA">
        <w:t xml:space="preserve">any of </w:t>
      </w:r>
      <w:r w:rsidR="00192E00">
        <w:t>the</w:t>
      </w:r>
      <w:r w:rsidR="00836BA0">
        <w:t xml:space="preserve"> </w:t>
      </w:r>
      <w:r w:rsidR="002400FC">
        <w:t xml:space="preserve">proposed </w:t>
      </w:r>
      <w:r w:rsidR="00836BA0">
        <w:t>alternative</w:t>
      </w:r>
      <w:r w:rsidR="00853148">
        <w:t xml:space="preserve"> </w:t>
      </w:r>
      <w:r w:rsidR="002400FC">
        <w:t>s</w:t>
      </w:r>
      <w:r w:rsidR="00853148">
        <w:t>ecurity requirements</w:t>
      </w:r>
      <w:r w:rsidR="002400FC">
        <w:t>.</w:t>
      </w:r>
      <w:r w:rsidR="00192E00">
        <w:t xml:space="preserve"> </w:t>
      </w:r>
      <w:r>
        <w:t xml:space="preserve"> </w:t>
      </w:r>
      <w:r w:rsidR="00567191">
        <w:t xml:space="preserve">The proposed rule would also require licensees to </w:t>
      </w:r>
      <w:r w:rsidRPr="00C40987" w:rsidR="00567191">
        <w:t>make available periodic familiarization training and facility information to offsite law enforcement.</w:t>
      </w:r>
      <w:r w:rsidR="00A968EC">
        <w:t xml:space="preserve"> </w:t>
      </w:r>
      <w:r w:rsidR="00015133">
        <w:t xml:space="preserve"> </w:t>
      </w:r>
      <w:r w:rsidR="00212766">
        <w:t xml:space="preserve">The </w:t>
      </w:r>
      <w:r w:rsidR="00137774">
        <w:t xml:space="preserve">training and information received would be used by offsite law enforcement in the event that they were called upon to fulfill </w:t>
      </w:r>
      <w:r w:rsidRPr="00112B6B" w:rsidR="00137774">
        <w:t>the interdiction and neutralization functions for threats up to and including the DBT of radiological sabotage</w:t>
      </w:r>
      <w:r w:rsidR="00137774">
        <w:t>.</w:t>
      </w:r>
    </w:p>
    <w:p w:rsidR="00937941" w:rsidP="000F2DD1" w14:paraId="73434569" w14:textId="77777777">
      <w:pPr>
        <w:spacing w:line="240" w:lineRule="auto"/>
      </w:pPr>
    </w:p>
    <w:p w:rsidR="00BA58AB" w14:paraId="60EFE30F" w14:textId="370F1EC6">
      <w:pPr>
        <w:numPr>
          <w:ilvl w:val="0"/>
          <w:numId w:val="2"/>
        </w:numPr>
        <w:spacing w:line="240" w:lineRule="auto"/>
      </w:pPr>
      <w:r>
        <w:t xml:space="preserve">  </w:t>
      </w:r>
      <w:r>
        <w:rPr>
          <w:u w:val="single"/>
        </w:rPr>
        <w:t>Reduction of Burden Through Information Technology</w:t>
      </w:r>
      <w:r>
        <w:t xml:space="preserve">  </w:t>
      </w:r>
    </w:p>
    <w:p w:rsidR="00BA58AB" w14:paraId="6DE693BC" w14:textId="77777777">
      <w:pPr>
        <w:spacing w:line="240" w:lineRule="auto"/>
      </w:pPr>
    </w:p>
    <w:p w:rsidR="00BA58AB" w14:paraId="191C4660" w14:textId="33F76A42">
      <w:pPr>
        <w:spacing w:line="240" w:lineRule="auto"/>
        <w:ind w:left="1080"/>
      </w:pPr>
      <w:r>
        <w:t xml:space="preserve">The NRC has issued </w:t>
      </w:r>
      <w:hyperlink r:id="rId8" w:history="1">
        <w:r>
          <w:rPr>
            <w:rStyle w:val="Hyperlink"/>
            <w:i/>
          </w:rPr>
          <w:t>Guidance for Electronic Submissions to the NRC</w:t>
        </w:r>
      </w:hyperlink>
      <w:r>
        <w:rPr>
          <w:rStyle w:val="Hyperlink"/>
          <w:u w:val="none"/>
        </w:rPr>
        <w:t>,</w:t>
      </w:r>
      <w: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w:t>
      </w:r>
      <w:r w:rsidR="00425FD1">
        <w:t>,</w:t>
      </w:r>
      <w:r>
        <w:t xml:space="preserve"> CD-ROM, DVD); by facsimile; or by e-mail.</w:t>
      </w:r>
    </w:p>
    <w:p w:rsidR="00681035" w14:paraId="70F28782" w14:textId="77777777">
      <w:pPr>
        <w:spacing w:line="240" w:lineRule="auto"/>
        <w:ind w:left="1080"/>
      </w:pPr>
    </w:p>
    <w:p w:rsidR="00681035" w14:paraId="3CE1401B" w14:textId="51427CBD">
      <w:pPr>
        <w:spacing w:line="240" w:lineRule="auto"/>
        <w:ind w:left="1080"/>
      </w:pPr>
      <w:r>
        <w:t>The proposed rule would not impact the proportion of documents submitted to the NRC electronically (90%).</w:t>
      </w:r>
    </w:p>
    <w:p w:rsidR="00641757" w14:paraId="5991541D" w14:textId="77777777">
      <w:pPr>
        <w:spacing w:line="240" w:lineRule="auto"/>
        <w:ind w:left="1080"/>
      </w:pPr>
    </w:p>
    <w:p w:rsidR="00BA58AB" w14:paraId="6CC49415" w14:textId="77777777">
      <w:pPr>
        <w:numPr>
          <w:ilvl w:val="0"/>
          <w:numId w:val="2"/>
        </w:numPr>
        <w:spacing w:line="240" w:lineRule="auto"/>
        <w:rPr>
          <w:u w:val="single"/>
        </w:rPr>
      </w:pPr>
      <w:r>
        <w:rPr>
          <w:u w:val="single"/>
        </w:rPr>
        <w:t>Effort to Identify Duplication and Use Similar Information</w:t>
      </w:r>
    </w:p>
    <w:p w:rsidR="00BA58AB" w14:paraId="4C71E735" w14:textId="77777777">
      <w:pPr>
        <w:spacing w:line="240" w:lineRule="auto"/>
        <w:rPr>
          <w:u w:val="single"/>
        </w:rPr>
      </w:pPr>
    </w:p>
    <w:p w:rsidR="00BA58AB" w14:paraId="48BFC694" w14:textId="4F6B26A8">
      <w:pPr>
        <w:spacing w:line="240" w:lineRule="auto"/>
        <w:ind w:left="1080"/>
      </w:pPr>
      <w:r>
        <w:t xml:space="preserve">No sources of similar information are available.  There </w:t>
      </w:r>
      <w:r w:rsidR="00E952EC">
        <w:t xml:space="preserve">would be </w:t>
      </w:r>
      <w:r>
        <w:t>no duplication of requirements.</w:t>
      </w:r>
    </w:p>
    <w:p w:rsidR="00BA58AB" w14:paraId="0031EBF1" w14:textId="77777777">
      <w:pPr>
        <w:spacing w:line="240" w:lineRule="auto"/>
        <w:rPr>
          <w:u w:val="single"/>
        </w:rPr>
      </w:pPr>
    </w:p>
    <w:p w:rsidR="00BA58AB" w14:paraId="16353DAB" w14:textId="77777777">
      <w:pPr>
        <w:numPr>
          <w:ilvl w:val="0"/>
          <w:numId w:val="2"/>
        </w:numPr>
        <w:spacing w:line="240" w:lineRule="auto"/>
      </w:pPr>
      <w:r>
        <w:rPr>
          <w:u w:val="single"/>
        </w:rPr>
        <w:t>Effort to Reduce Small Business Burden</w:t>
      </w:r>
    </w:p>
    <w:p w:rsidR="00BA58AB" w14:paraId="138B76AF" w14:textId="77777777">
      <w:pPr>
        <w:spacing w:line="240" w:lineRule="auto"/>
        <w:rPr>
          <w:u w:val="single"/>
        </w:rPr>
      </w:pPr>
    </w:p>
    <w:p w:rsidR="00BA58AB" w14:paraId="6854C3D6" w14:textId="6B175771">
      <w:pPr>
        <w:autoSpaceDE w:val="0"/>
        <w:autoSpaceDN w:val="0"/>
        <w:adjustRightInd w:val="0"/>
        <w:spacing w:line="240" w:lineRule="auto"/>
        <w:ind w:left="1080"/>
      </w:pPr>
      <w:r>
        <w:t xml:space="preserve">None of the anticipated respondents during the upcoming clearance period meet the NRC’s definition of a small entity as defined in 10 CFR 2.810, “NRC </w:t>
      </w:r>
      <w:r w:rsidR="00E952EC">
        <w:t>s</w:t>
      </w:r>
      <w:r>
        <w:t xml:space="preserve">ize </w:t>
      </w:r>
      <w:r w:rsidR="00E952EC">
        <w:t>s</w:t>
      </w:r>
      <w:r>
        <w:t xml:space="preserve">tandards.”  Further, due to the importance of adequate </w:t>
      </w:r>
      <w:r w:rsidR="2AD0B008">
        <w:t xml:space="preserve">physical security </w:t>
      </w:r>
      <w:r>
        <w:t>to ensure the common defense and security and the health and safety of the public, regardless of business size, it is not possible to reduce the burden on small businesses by less frequent or less complete reports, records, plans, and procedures.</w:t>
      </w:r>
    </w:p>
    <w:p w:rsidR="00BA58AB" w14:paraId="16E9D7D8" w14:textId="77777777">
      <w:pPr>
        <w:autoSpaceDE w:val="0"/>
        <w:autoSpaceDN w:val="0"/>
        <w:adjustRightInd w:val="0"/>
        <w:spacing w:line="240" w:lineRule="auto"/>
        <w:ind w:left="1080"/>
      </w:pPr>
    </w:p>
    <w:p w:rsidR="00BA58AB" w:rsidP="00CA57A9" w14:paraId="240A4320" w14:textId="77777777">
      <w:pPr>
        <w:keepNext/>
        <w:numPr>
          <w:ilvl w:val="0"/>
          <w:numId w:val="2"/>
        </w:numPr>
        <w:spacing w:line="240" w:lineRule="auto"/>
      </w:pPr>
      <w:r>
        <w:rPr>
          <w:u w:val="single"/>
        </w:rPr>
        <w:t>Consequences to Federal Program or Policy Activities if the Collection Is Not Conducted or Is Conducted Less Frequently</w:t>
      </w:r>
    </w:p>
    <w:p w:rsidR="00BA58AB" w:rsidP="00CA57A9" w14:paraId="38BDEB4E" w14:textId="77777777">
      <w:pPr>
        <w:keepNext/>
        <w:spacing w:line="240" w:lineRule="auto"/>
      </w:pPr>
    </w:p>
    <w:p w:rsidR="00BA58AB" w:rsidP="00CA57A9" w14:paraId="68F8F084" w14:textId="79828634">
      <w:pPr>
        <w:keepNext/>
        <w:spacing w:line="240" w:lineRule="auto"/>
        <w:ind w:left="1080"/>
      </w:pPr>
      <w:r>
        <w:t xml:space="preserve">If the information is not collected, the NRC </w:t>
      </w:r>
      <w:r w:rsidR="00E952EC">
        <w:t xml:space="preserve">would </w:t>
      </w:r>
      <w:r>
        <w:t xml:space="preserve">not be in a position to assess whether licensees </w:t>
      </w:r>
      <w:r w:rsidR="00EB0A9A">
        <w:t xml:space="preserve">qualify to </w:t>
      </w:r>
      <w:r>
        <w:t>operat</w:t>
      </w:r>
      <w:r w:rsidR="00EB0A9A">
        <w:t>e</w:t>
      </w:r>
      <w:r>
        <w:t xml:space="preserve"> within the specific s</w:t>
      </w:r>
      <w:r w:rsidR="75B75F81">
        <w:t xml:space="preserve">ecurity </w:t>
      </w:r>
      <w:r>
        <w:t xml:space="preserve">requirements applicable to the licensing and operating activities for </w:t>
      </w:r>
      <w:r w:rsidR="00EB36E2">
        <w:t>advanced reactors</w:t>
      </w:r>
      <w:r>
        <w:t>.</w:t>
      </w:r>
    </w:p>
    <w:p w:rsidR="00BA58AB" w14:paraId="312FE859" w14:textId="77777777">
      <w:pPr>
        <w:spacing w:line="240" w:lineRule="auto"/>
        <w:ind w:left="1008"/>
      </w:pPr>
    </w:p>
    <w:p w:rsidR="00BA58AB" w14:paraId="15F1637E" w14:textId="1F637859">
      <w:pPr>
        <w:spacing w:line="240" w:lineRule="auto"/>
        <w:ind w:left="1080"/>
      </w:pPr>
      <w:r>
        <w:t xml:space="preserve">The information and required frequency from licensees that seek to license and operate SMRs and </w:t>
      </w:r>
      <w:r w:rsidR="16E87693">
        <w:t xml:space="preserve">non-LWRs </w:t>
      </w:r>
      <w:r w:rsidR="0070333E">
        <w:t xml:space="preserve">would be </w:t>
      </w:r>
      <w:r>
        <w:t>essential to the NRC’s determination of whether the licensee or applicant has adequate equipment, training, funds, and experience throughout the life of the license to protect the</w:t>
      </w:r>
      <w:r w:rsidR="27A48163">
        <w:t xml:space="preserve"> facility and thus protect</w:t>
      </w:r>
      <w:r>
        <w:t xml:space="preserve"> public health and safety.  If the information were not collected, or collected less frequently, the NRC could be unaware for an extended period of time that an existing or revised </w:t>
      </w:r>
      <w:r w:rsidR="621C0409">
        <w:t xml:space="preserve">security </w:t>
      </w:r>
      <w:r>
        <w:t xml:space="preserve">plan is no longer adequate to protect </w:t>
      </w:r>
      <w:r w:rsidR="202BE7D9">
        <w:t xml:space="preserve">the facility or </w:t>
      </w:r>
      <w:r>
        <w:t>the health and safety of the public and the environment.</w:t>
      </w:r>
    </w:p>
    <w:p w:rsidR="00BA58AB" w14:paraId="6882A559" w14:textId="77777777">
      <w:pPr>
        <w:spacing w:line="240" w:lineRule="auto"/>
      </w:pPr>
    </w:p>
    <w:p w:rsidR="00BA58AB" w14:paraId="770E3998" w14:textId="77777777">
      <w:pPr>
        <w:numPr>
          <w:ilvl w:val="0"/>
          <w:numId w:val="2"/>
        </w:numPr>
        <w:spacing w:line="240" w:lineRule="auto"/>
        <w:rPr>
          <w:u w:val="single"/>
        </w:rPr>
      </w:pPr>
      <w:r>
        <w:rPr>
          <w:u w:val="single"/>
        </w:rPr>
        <w:t>Circumstances Which Justify Variation from OMB Guidelines</w:t>
      </w:r>
    </w:p>
    <w:p w:rsidR="00BA58AB" w14:paraId="77C47C7E" w14:textId="77777777">
      <w:pPr>
        <w:spacing w:line="240" w:lineRule="auto"/>
        <w:rPr>
          <w:u w:val="single"/>
        </w:rPr>
      </w:pPr>
    </w:p>
    <w:p w:rsidR="00BA58AB" w:rsidP="7B4F9662" w14:paraId="47E8ECC7" w14:textId="37A25133">
      <w:pPr>
        <w:spacing w:line="240" w:lineRule="auto"/>
        <w:ind w:left="1080"/>
      </w:pPr>
      <w:r>
        <w:t xml:space="preserve">There are variations from OMB guidelines.  The proposed rule contains requirements, consistent with current </w:t>
      </w:r>
      <w:r w:rsidR="768ECFE4">
        <w:t>security</w:t>
      </w:r>
      <w:r>
        <w:t xml:space="preserve"> requirements, to retain certain recordkeeping documents throughout the life of </w:t>
      </w:r>
      <w:r w:rsidR="00BD06D6">
        <w:t xml:space="preserve">a </w:t>
      </w:r>
      <w:r>
        <w:t xml:space="preserve">license.  An </w:t>
      </w:r>
      <w:r w:rsidR="00BB56E5">
        <w:t>advanced reactor</w:t>
      </w:r>
      <w:r w:rsidR="49C4CEF6">
        <w:t xml:space="preserve"> </w:t>
      </w:r>
      <w:r>
        <w:t xml:space="preserve">facility would be required to have a site-specific </w:t>
      </w:r>
      <w:r w:rsidR="11C8C1B4">
        <w:t xml:space="preserve">security </w:t>
      </w:r>
      <w:r>
        <w:t xml:space="preserve">plan maintained until the license is terminated.  This would include records related to the </w:t>
      </w:r>
      <w:r w:rsidR="004349E2">
        <w:t>security</w:t>
      </w:r>
      <w:r>
        <w:t xml:space="preserve"> </w:t>
      </w:r>
      <w:r w:rsidR="004349E2">
        <w:t>program, the security plan(s)</w:t>
      </w:r>
      <w:r>
        <w:t xml:space="preserve">, changes to </w:t>
      </w:r>
      <w:r w:rsidR="29331ABA">
        <w:t>security</w:t>
      </w:r>
      <w:r>
        <w:t xml:space="preserve"> plans, training and exercise records, and communications with offsite authorities.  By maintaining these records throughout the life of the facility, the NRC can maintain proper oversight and enforcement, to include inspections, as well as give the NRC the up-to-date information it needs to be able to effectively and accurately monitor any </w:t>
      </w:r>
      <w:r w:rsidR="2D181CFB">
        <w:t xml:space="preserve">security-related event </w:t>
      </w:r>
      <w:r>
        <w:t xml:space="preserve">at the facility.  Based on its authority under the AEA, the Commission determined that these requirements are necessary for </w:t>
      </w:r>
      <w:r w:rsidR="00BB56E5">
        <w:t>advanced reactor</w:t>
      </w:r>
      <w:r w:rsidR="0E1F914B">
        <w:t xml:space="preserve"> </w:t>
      </w:r>
      <w:r>
        <w:t xml:space="preserve">facilities to provide for the public health and safety.  </w:t>
      </w:r>
    </w:p>
    <w:p w:rsidR="00BA58AB" w14:paraId="4DD063A3" w14:textId="77777777">
      <w:pPr>
        <w:spacing w:line="240" w:lineRule="auto"/>
        <w:rPr>
          <w:u w:val="single"/>
        </w:rPr>
      </w:pPr>
    </w:p>
    <w:p w:rsidR="00BA58AB" w14:paraId="4E8B39C8" w14:textId="4AABE198">
      <w:pPr>
        <w:keepNext/>
        <w:numPr>
          <w:ilvl w:val="0"/>
          <w:numId w:val="2"/>
        </w:numPr>
        <w:spacing w:line="240" w:lineRule="auto"/>
      </w:pPr>
      <w:r>
        <w:rPr>
          <w:u w:val="single"/>
        </w:rPr>
        <w:t>Consultations Outside the NRC</w:t>
      </w:r>
    </w:p>
    <w:p w:rsidR="00BA58AB" w14:paraId="4E349821" w14:textId="77777777">
      <w:pPr>
        <w:keepNext/>
        <w:spacing w:line="240" w:lineRule="auto"/>
        <w:rPr>
          <w:u w:val="single"/>
        </w:rPr>
      </w:pPr>
    </w:p>
    <w:p w:rsidR="00BA58AB" w:rsidRPr="00A45B1E" w:rsidP="33A3527E" w14:paraId="497D41F8" w14:textId="2521AB68">
      <w:pPr>
        <w:keepNext/>
        <w:spacing w:after="60" w:line="240" w:lineRule="auto"/>
        <w:ind w:left="1080"/>
        <w:rPr>
          <w:i/>
          <w:iCs/>
        </w:rPr>
      </w:pPr>
      <w:r w:rsidRPr="00A45B1E">
        <w:rPr>
          <w:i/>
          <w:iCs/>
        </w:rPr>
        <w:t>Regulatory Basis Issued</w:t>
      </w:r>
    </w:p>
    <w:p w:rsidR="00BA58AB" w:rsidP="33A3527E" w14:paraId="715DDA21" w14:textId="460CA0C2">
      <w:pPr>
        <w:keepNext/>
        <w:spacing w:after="60" w:line="240" w:lineRule="auto"/>
        <w:ind w:left="1080"/>
        <w:rPr>
          <w:highlight w:val="yellow"/>
        </w:rPr>
      </w:pPr>
      <w:r w:rsidRPr="00A45B1E">
        <w:t xml:space="preserve">On </w:t>
      </w:r>
      <w:r w:rsidRPr="00A45B1E" w:rsidR="79F7EEF2">
        <w:t>July 16</w:t>
      </w:r>
      <w:r w:rsidRPr="00A45B1E">
        <w:t xml:space="preserve">, 2019, the NRC issued a regulatory basis for a </w:t>
      </w:r>
      <w:r w:rsidR="006E5B75">
        <w:t>3</w:t>
      </w:r>
      <w:r w:rsidRPr="00A45B1E" w:rsidR="0083402D">
        <w:t>0</w:t>
      </w:r>
      <w:r w:rsidRPr="00A45B1E">
        <w:t>-day public comment period (8</w:t>
      </w:r>
      <w:r w:rsidRPr="00A45B1E" w:rsidR="203A1577">
        <w:t>4</w:t>
      </w:r>
      <w:r w:rsidRPr="00A45B1E">
        <w:t xml:space="preserve"> FR </w:t>
      </w:r>
      <w:r w:rsidRPr="00A45B1E" w:rsidR="35F796F5">
        <w:t>33861</w:t>
      </w:r>
      <w:r w:rsidRPr="00A45B1E">
        <w:t xml:space="preserve">).  In the regulatory basis, the NRC requested feedback from the public on questions related to the scope of the proposed rule, </w:t>
      </w:r>
      <w:r w:rsidRPr="00A45B1E" w:rsidR="3C46048D">
        <w:t xml:space="preserve">risk-informed </w:t>
      </w:r>
      <w:r w:rsidRPr="00A45B1E">
        <w:t>approach, regulatory impacts, and</w:t>
      </w:r>
      <w:r>
        <w:t xml:space="preserve"> cumulative effects of regulation (CER). </w:t>
      </w:r>
    </w:p>
    <w:p w:rsidR="00BA58AB" w:rsidP="7B4F9662" w14:paraId="1F2CAEEC" w14:textId="77777777">
      <w:pPr>
        <w:keepNext/>
        <w:spacing w:after="60" w:line="240" w:lineRule="auto"/>
        <w:ind w:left="1080"/>
      </w:pPr>
    </w:p>
    <w:p w:rsidR="00BA58AB" w:rsidP="33A3527E" w14:paraId="4518B6EC" w14:textId="5C3F1E0D">
      <w:pPr>
        <w:keepNext/>
        <w:spacing w:after="60" w:line="240" w:lineRule="auto"/>
        <w:ind w:left="1080"/>
      </w:pPr>
      <w:r>
        <w:t xml:space="preserve">The NRC received nine comment submissions on the regulatory basis.  The staff considered those comment submissions and the discussions from the public meetings as it developed this proposed rule. </w:t>
      </w:r>
    </w:p>
    <w:p w:rsidR="00BA58AB" w:rsidP="33A3527E" w14:paraId="131CC3BA" w14:textId="4B5710CE">
      <w:pPr>
        <w:keepNext/>
        <w:spacing w:after="60" w:line="240" w:lineRule="auto"/>
        <w:ind w:left="1080"/>
        <w:rPr>
          <w:i/>
          <w:iCs/>
        </w:rPr>
      </w:pPr>
    </w:p>
    <w:p w:rsidR="00BA58AB" w:rsidP="33A3527E" w14:paraId="52BD0819" w14:textId="1F5E5C14">
      <w:pPr>
        <w:keepNext/>
        <w:spacing w:after="60" w:line="240" w:lineRule="auto"/>
        <w:ind w:left="1080"/>
        <w:rPr>
          <w:i/>
          <w:iCs/>
        </w:rPr>
      </w:pPr>
      <w:r w:rsidRPr="33A3527E">
        <w:rPr>
          <w:i/>
          <w:iCs/>
        </w:rPr>
        <w:t>General Public</w:t>
      </w:r>
    </w:p>
    <w:p w:rsidR="00BA58AB" w14:paraId="38EC8651" w14:textId="55BA8A9D">
      <w:pPr>
        <w:spacing w:line="240" w:lineRule="auto"/>
        <w:ind w:left="1080"/>
        <w:rPr>
          <w:rFonts w:eastAsia="Times New Roman"/>
        </w:rPr>
      </w:pPr>
      <w:r w:rsidRPr="33A3527E">
        <w:rPr>
          <w:rFonts w:eastAsia="Times New Roman"/>
        </w:rPr>
        <w:t>The staff held several public meetings during the drafting of the proposed rule</w:t>
      </w:r>
      <w:r w:rsidRPr="33A3527E" w:rsidR="00795B76">
        <w:rPr>
          <w:rFonts w:eastAsia="Times New Roman"/>
        </w:rPr>
        <w:t xml:space="preserve"> to request feedback from interested stakeholders</w:t>
      </w:r>
      <w:r w:rsidRPr="33A3527E" w:rsidR="44E5CECA">
        <w:rPr>
          <w:rFonts w:eastAsia="Times New Roman"/>
        </w:rPr>
        <w:t xml:space="preserve"> </w:t>
      </w:r>
      <w:r w:rsidRPr="33A3527E" w:rsidR="00795B76">
        <w:rPr>
          <w:rFonts w:eastAsia="Times New Roman"/>
        </w:rPr>
        <w:t xml:space="preserve">on a potential </w:t>
      </w:r>
      <w:r w:rsidRPr="33A3527E" w:rsidR="651D6329">
        <w:rPr>
          <w:rFonts w:eastAsia="Times New Roman"/>
        </w:rPr>
        <w:t>risk-informed</w:t>
      </w:r>
      <w:r w:rsidRPr="33A3527E" w:rsidR="00795B76">
        <w:rPr>
          <w:rFonts w:eastAsia="Times New Roman"/>
        </w:rPr>
        <w:t xml:space="preserve"> </w:t>
      </w:r>
      <w:r w:rsidRPr="33A3527E" w:rsidR="79A1CBA8">
        <w:rPr>
          <w:rFonts w:eastAsia="Times New Roman"/>
        </w:rPr>
        <w:t xml:space="preserve">alternatives rulemaking </w:t>
      </w:r>
      <w:r w:rsidRPr="33A3527E" w:rsidR="00795B76">
        <w:rPr>
          <w:rFonts w:eastAsia="Times New Roman"/>
        </w:rPr>
        <w:t>for</w:t>
      </w:r>
      <w:r w:rsidRPr="33A3527E" w:rsidR="68215D39">
        <w:rPr>
          <w:rFonts w:eastAsia="Times New Roman"/>
        </w:rPr>
        <w:t xml:space="preserve"> </w:t>
      </w:r>
      <w:r w:rsidRPr="33A3527E" w:rsidR="7AD56F16">
        <w:rPr>
          <w:rFonts w:eastAsia="Times New Roman"/>
        </w:rPr>
        <w:t>physical</w:t>
      </w:r>
      <w:r w:rsidRPr="33A3527E" w:rsidR="5B7C6506">
        <w:rPr>
          <w:rFonts w:eastAsia="Times New Roman"/>
        </w:rPr>
        <w:t xml:space="preserve"> security for advanced reactors</w:t>
      </w:r>
      <w:r w:rsidRPr="33A3527E" w:rsidR="00795B76">
        <w:rPr>
          <w:rFonts w:eastAsia="Times New Roman"/>
        </w:rPr>
        <w:t xml:space="preserve">.  Based on the feedback received from the stakeholders, the NRC </w:t>
      </w:r>
      <w:r w:rsidRPr="33A3527E" w:rsidR="2BD6B018">
        <w:rPr>
          <w:rFonts w:eastAsia="Times New Roman"/>
        </w:rPr>
        <w:t xml:space="preserve">performed several revisions of the preliminary proposed rule </w:t>
      </w:r>
      <w:r w:rsidRPr="33A3527E" w:rsidR="1ED3A232">
        <w:rPr>
          <w:rFonts w:eastAsia="Times New Roman"/>
        </w:rPr>
        <w:t>language</w:t>
      </w:r>
      <w:r w:rsidRPr="33A3527E" w:rsidR="00795B76">
        <w:rPr>
          <w:rFonts w:eastAsia="Times New Roman"/>
        </w:rPr>
        <w:t>.</w:t>
      </w:r>
      <w:r w:rsidRPr="33A3527E" w:rsidR="37CCD8C4">
        <w:rPr>
          <w:rFonts w:eastAsia="Times New Roman"/>
        </w:rPr>
        <w:t xml:space="preserve">  </w:t>
      </w:r>
      <w:r w:rsidR="00207B5C">
        <w:rPr>
          <w:rFonts w:eastAsia="Times New Roman"/>
        </w:rPr>
        <w:t>The Nuclear Energy Institute</w:t>
      </w:r>
      <w:r w:rsidRPr="33A3527E" w:rsidR="37CCD8C4">
        <w:rPr>
          <w:rFonts w:eastAsia="Times New Roman"/>
        </w:rPr>
        <w:t xml:space="preserve"> submitted </w:t>
      </w:r>
      <w:r w:rsidRPr="33A3527E" w:rsidR="37CCD8C4">
        <w:rPr>
          <w:rFonts w:eastAsia="Times New Roman"/>
        </w:rPr>
        <w:t>several comment</w:t>
      </w:r>
      <w:r w:rsidR="00207B5C">
        <w:rPr>
          <w:rFonts w:eastAsia="Times New Roman"/>
        </w:rPr>
        <w:t>s</w:t>
      </w:r>
      <w:r w:rsidRPr="33A3527E" w:rsidR="502D958A">
        <w:rPr>
          <w:rFonts w:eastAsia="Times New Roman"/>
        </w:rPr>
        <w:t xml:space="preserve"> </w:t>
      </w:r>
      <w:r w:rsidRPr="33A3527E" w:rsidR="5A51108F">
        <w:rPr>
          <w:rFonts w:eastAsia="Times New Roman"/>
        </w:rPr>
        <w:t>in response to</w:t>
      </w:r>
      <w:r w:rsidR="00DE03D3">
        <w:rPr>
          <w:rFonts w:eastAsia="Times New Roman"/>
        </w:rPr>
        <w:t xml:space="preserve"> information presented at </w:t>
      </w:r>
      <w:r w:rsidR="00A05082">
        <w:rPr>
          <w:rFonts w:eastAsia="Times New Roman"/>
        </w:rPr>
        <w:t>two</w:t>
      </w:r>
      <w:r w:rsidRPr="33A3527E" w:rsidR="545AF815">
        <w:rPr>
          <w:rFonts w:eastAsia="Times New Roman"/>
        </w:rPr>
        <w:t xml:space="preserve"> of the public meetings</w:t>
      </w:r>
      <w:r w:rsidR="00ED1F87">
        <w:rPr>
          <w:rFonts w:eastAsia="Times New Roman"/>
        </w:rPr>
        <w:t>.</w:t>
      </w:r>
    </w:p>
    <w:p w:rsidR="00BA58AB" w14:paraId="64E9A618" w14:textId="77777777">
      <w:pPr>
        <w:spacing w:line="240" w:lineRule="auto"/>
        <w:ind w:left="1080"/>
        <w:rPr>
          <w:rFonts w:eastAsia="Times New Roman"/>
        </w:rPr>
      </w:pPr>
    </w:p>
    <w:p w:rsidR="5C009728" w:rsidP="33A3527E" w14:paraId="0F74E3FB" w14:textId="7064901D">
      <w:pPr>
        <w:spacing w:line="240" w:lineRule="auto"/>
        <w:ind w:left="1080"/>
      </w:pPr>
      <w:r>
        <w:t xml:space="preserve">In addition to holding public meetings, the staff released </w:t>
      </w:r>
      <w:r w:rsidR="000135E7">
        <w:t xml:space="preserve">three </w:t>
      </w:r>
      <w:r>
        <w:t xml:space="preserve">preliminary proposed rule language </w:t>
      </w:r>
      <w:r w:rsidR="004B41AF">
        <w:t xml:space="preserve">documents </w:t>
      </w:r>
      <w:r>
        <w:t>over the course of the proposed rule development.</w:t>
      </w:r>
    </w:p>
    <w:p w:rsidR="004B41AF" w:rsidP="33A3527E" w14:paraId="2E14A29B" w14:textId="77777777">
      <w:pPr>
        <w:spacing w:line="240" w:lineRule="auto"/>
        <w:ind w:left="1080"/>
      </w:pPr>
    </w:p>
    <w:p w:rsidR="00BA58AB" w14:paraId="0C204A4A" w14:textId="07C36886">
      <w:pPr>
        <w:spacing w:line="240" w:lineRule="auto"/>
        <w:ind w:left="1080"/>
      </w:pPr>
      <w:r>
        <w:t xml:space="preserve">The NRC will provide another </w:t>
      </w:r>
      <w:r w:rsidRPr="000C2473">
        <w:t>opportunity for public comment when the proposed rule is published</w:t>
      </w:r>
      <w:r w:rsidR="004976AF">
        <w:t>.</w:t>
      </w:r>
      <w:r>
        <w:t xml:space="preserve"> The NRC staff will issue the draft implementing guidance with the proposed rule and draft regulatory analysis to support more informed external stakeholder feedback.  Further, the NRC staff </w:t>
      </w:r>
      <w:r w:rsidR="000C2473">
        <w:t xml:space="preserve">plans </w:t>
      </w:r>
      <w:r>
        <w:t>to hold public meetings throughout the rulemaking process.  Any comments related to information collection requirements in the proposed rule will be addressed at the final rule stage.</w:t>
      </w:r>
    </w:p>
    <w:p w:rsidR="00641757" w:rsidP="00641757" w14:paraId="78023513" w14:textId="77777777">
      <w:pPr>
        <w:spacing w:line="240" w:lineRule="auto"/>
        <w:ind w:left="1080"/>
        <w:rPr>
          <w:i/>
        </w:rPr>
      </w:pPr>
    </w:p>
    <w:p w:rsidR="00BA58AB" w14:paraId="62574CC7" w14:textId="77777777">
      <w:pPr>
        <w:spacing w:after="60" w:line="240" w:lineRule="auto"/>
        <w:ind w:left="1080"/>
        <w:rPr>
          <w:i/>
        </w:rPr>
      </w:pPr>
      <w:r>
        <w:rPr>
          <w:i/>
        </w:rPr>
        <w:t>Tribes and Agreement States</w:t>
      </w:r>
    </w:p>
    <w:p w:rsidR="00BA58AB" w14:paraId="4A295445" w14:textId="4C4F68B1">
      <w:pPr>
        <w:spacing w:line="240" w:lineRule="auto"/>
        <w:ind w:left="1080"/>
      </w:pPr>
      <w:r>
        <w:t>Consistent with the Tribal Policy Statement principles to guide the agency</w:t>
      </w:r>
      <w:r w:rsidR="00350AA1">
        <w:t>’</w:t>
      </w:r>
      <w:r>
        <w:t xml:space="preserve">s Government to Government interactions with American Indian and Alaska Native Tribes, the NRC sent </w:t>
      </w:r>
      <w:r w:rsidR="2F42F018">
        <w:t xml:space="preserve">a State and Tribal Communication (STC) letter </w:t>
      </w:r>
      <w:r>
        <w:t>to all the Tribal nations</w:t>
      </w:r>
      <w:r w:rsidR="230F5EEA">
        <w:t xml:space="preserve"> and states.</w:t>
      </w:r>
      <w:r>
        <w:t xml:space="preserve">  </w:t>
      </w:r>
      <w:r w:rsidR="000E2AD2">
        <w:t>This letter served</w:t>
      </w:r>
      <w:r>
        <w:t xml:space="preserve"> to </w:t>
      </w:r>
      <w:r w:rsidR="000E2AD2">
        <w:t xml:space="preserve">provide additional </w:t>
      </w:r>
      <w:r>
        <w:t>notif</w:t>
      </w:r>
      <w:r w:rsidR="000E2AD2">
        <w:t>ication to</w:t>
      </w:r>
      <w:r>
        <w:t xml:space="preserve"> the Tribal nations of the upcoming proposed rule and how they can participate to provide comments.</w:t>
      </w:r>
    </w:p>
    <w:p w:rsidR="00BA58AB" w:rsidRPr="000F2DD1" w:rsidP="000F2DD1" w14:paraId="3F162A3C" w14:textId="615D6A01">
      <w:pPr>
        <w:spacing w:line="240" w:lineRule="auto"/>
        <w:ind w:left="720"/>
        <w:rPr>
          <w:u w:val="single"/>
        </w:rPr>
      </w:pPr>
    </w:p>
    <w:p w:rsidR="00BA58AB" w14:paraId="505F0B53" w14:textId="77777777">
      <w:pPr>
        <w:numPr>
          <w:ilvl w:val="0"/>
          <w:numId w:val="2"/>
        </w:numPr>
        <w:spacing w:line="240" w:lineRule="auto"/>
      </w:pPr>
      <w:r>
        <w:rPr>
          <w:u w:val="single"/>
        </w:rPr>
        <w:t>Payment or Gift to Respondents</w:t>
      </w:r>
    </w:p>
    <w:p w:rsidR="00BA58AB" w14:paraId="69424C96" w14:textId="77777777">
      <w:pPr>
        <w:spacing w:line="240" w:lineRule="auto"/>
      </w:pPr>
    </w:p>
    <w:p w:rsidR="00BA58AB" w14:paraId="2F8103BD" w14:textId="77777777">
      <w:pPr>
        <w:spacing w:line="240" w:lineRule="auto"/>
        <w:ind w:left="1080"/>
      </w:pPr>
      <w:r>
        <w:t>Not applicable.</w:t>
      </w:r>
    </w:p>
    <w:p w:rsidR="00BA58AB" w14:paraId="03793D0F" w14:textId="77777777">
      <w:pPr>
        <w:spacing w:line="240" w:lineRule="auto"/>
        <w:ind w:left="1080"/>
      </w:pPr>
    </w:p>
    <w:p w:rsidR="00BA58AB" w14:paraId="5D28224B" w14:textId="77777777">
      <w:pPr>
        <w:numPr>
          <w:ilvl w:val="0"/>
          <w:numId w:val="2"/>
        </w:numPr>
        <w:spacing w:line="240" w:lineRule="auto"/>
      </w:pPr>
      <w:r>
        <w:rPr>
          <w:u w:val="single"/>
        </w:rPr>
        <w:t>Confidentiality of Information</w:t>
      </w:r>
    </w:p>
    <w:p w:rsidR="00BA58AB" w14:paraId="67B879C6" w14:textId="77777777">
      <w:pPr>
        <w:spacing w:line="240" w:lineRule="auto"/>
        <w:rPr>
          <w:u w:val="single"/>
        </w:rPr>
      </w:pPr>
    </w:p>
    <w:p w:rsidR="00BA58AB" w14:paraId="2B249BAA" w14:textId="77777777">
      <w:pPr>
        <w:spacing w:line="240" w:lineRule="auto"/>
        <w:ind w:left="1080"/>
      </w:pPr>
      <w:r>
        <w:t xml:space="preserve">Confidential and proprietary information is </w:t>
      </w:r>
      <w:r w:rsidRPr="008B46FA">
        <w:t>protected in accordance with NRC regulations at 10 CFR 9.17(a) and 10 CFR 2.390(b).  However, no information normally considered confidential or proprietary is requested.</w:t>
      </w:r>
    </w:p>
    <w:p w:rsidR="00BA58AB" w14:paraId="36749077" w14:textId="77777777">
      <w:pPr>
        <w:spacing w:line="240" w:lineRule="auto"/>
        <w:ind w:left="1080"/>
        <w:rPr>
          <w:u w:val="single"/>
        </w:rPr>
      </w:pPr>
    </w:p>
    <w:p w:rsidR="00BA58AB" w:rsidRPr="007A5E1B" w14:paraId="30D6F88D" w14:textId="77777777">
      <w:pPr>
        <w:numPr>
          <w:ilvl w:val="0"/>
          <w:numId w:val="2"/>
        </w:numPr>
        <w:spacing w:line="240" w:lineRule="auto"/>
      </w:pPr>
      <w:r w:rsidRPr="00387A6F">
        <w:rPr>
          <w:u w:val="single"/>
        </w:rPr>
        <w:t xml:space="preserve">Justification for Sensitive </w:t>
      </w:r>
      <w:r w:rsidRPr="007A5E1B">
        <w:rPr>
          <w:u w:val="single"/>
        </w:rPr>
        <w:t>Questions</w:t>
      </w:r>
    </w:p>
    <w:p w:rsidR="00BA58AB" w:rsidRPr="007A5E1B" w14:paraId="420A1276" w14:textId="77777777">
      <w:pPr>
        <w:spacing w:line="240" w:lineRule="auto"/>
        <w:rPr>
          <w:u w:val="single"/>
        </w:rPr>
      </w:pPr>
    </w:p>
    <w:p w:rsidR="00BA58AB" w14:paraId="17731F86" w14:textId="77777777">
      <w:pPr>
        <w:spacing w:line="240" w:lineRule="auto"/>
        <w:ind w:left="1080"/>
      </w:pPr>
      <w:r w:rsidRPr="007A5E1B">
        <w:t>The proposed regulations do not request sensitive information</w:t>
      </w:r>
      <w:r>
        <w:t>.</w:t>
      </w:r>
    </w:p>
    <w:p w:rsidR="00BA58AB" w14:paraId="368D0550" w14:textId="77777777">
      <w:pPr>
        <w:spacing w:line="240" w:lineRule="auto"/>
      </w:pPr>
    </w:p>
    <w:p w:rsidR="00BA58AB" w14:paraId="5B11994A" w14:textId="1A516525">
      <w:pPr>
        <w:numPr>
          <w:ilvl w:val="0"/>
          <w:numId w:val="2"/>
        </w:numPr>
        <w:spacing w:line="240" w:lineRule="auto"/>
      </w:pPr>
      <w:r>
        <w:rPr>
          <w:u w:val="single"/>
        </w:rPr>
        <w:t>Estimated Burden and Burden Hour Cost</w:t>
      </w:r>
    </w:p>
    <w:p w:rsidR="00BA58AB" w14:paraId="4D3293CF" w14:textId="77777777">
      <w:pPr>
        <w:spacing w:line="240" w:lineRule="auto"/>
        <w:rPr>
          <w:u w:val="single"/>
        </w:rPr>
      </w:pPr>
    </w:p>
    <w:p w:rsidR="007A6360" w14:paraId="68C50815" w14:textId="0B38FCDB">
      <w:pPr>
        <w:spacing w:line="240" w:lineRule="auto"/>
        <w:ind w:left="1080"/>
      </w:pPr>
      <w:r>
        <w:t>The estimated number of annual respondents is 3.3</w:t>
      </w:r>
      <w:r w:rsidR="00A30AD4">
        <w:t>3</w:t>
      </w:r>
      <w:r>
        <w:t>.</w:t>
      </w:r>
    </w:p>
    <w:p w:rsidR="007A6360" w14:paraId="757A5954" w14:textId="77777777">
      <w:pPr>
        <w:spacing w:line="240" w:lineRule="auto"/>
        <w:ind w:left="1080"/>
      </w:pPr>
    </w:p>
    <w:p w:rsidR="009D7433" w:rsidRPr="000F2DD1" w:rsidP="00641757" w14:paraId="59145BAD" w14:textId="1E88A379">
      <w:pPr>
        <w:spacing w:line="240" w:lineRule="auto"/>
        <w:ind w:left="1080"/>
      </w:pPr>
      <w:r>
        <w:t xml:space="preserve">The </w:t>
      </w:r>
      <w:r w:rsidR="00D7244F">
        <w:t xml:space="preserve">overall </w:t>
      </w:r>
      <w:r>
        <w:t xml:space="preserve">estimated </w:t>
      </w:r>
      <w:r w:rsidR="00941492">
        <w:t xml:space="preserve">burden increase is </w:t>
      </w:r>
      <w:r w:rsidR="008D3376">
        <w:t>8,325</w:t>
      </w:r>
      <w:r w:rsidR="00941492">
        <w:t xml:space="preserve"> hours at an estimated annual cost increase of </w:t>
      </w:r>
      <w:r w:rsidRPr="000F2DD1" w:rsidR="00941492">
        <w:t>$</w:t>
      </w:r>
      <w:r w:rsidR="00314AF4">
        <w:t>2,397,600</w:t>
      </w:r>
      <w:r w:rsidR="00FB35DF">
        <w:t xml:space="preserve"> </w:t>
      </w:r>
      <w:r w:rsidR="00941492">
        <w:t>(</w:t>
      </w:r>
      <w:r w:rsidR="00314AF4">
        <w:t>8,325</w:t>
      </w:r>
      <w:r w:rsidR="00941492">
        <w:t xml:space="preserve"> hrs x $</w:t>
      </w:r>
      <w:r w:rsidRPr="000F2DD1" w:rsidR="00941492">
        <w:t>2</w:t>
      </w:r>
      <w:r w:rsidR="00941492">
        <w:t>88</w:t>
      </w:r>
      <w:r w:rsidR="00BC0617">
        <w:t xml:space="preserve">/hr).  This includes a burden increase of </w:t>
      </w:r>
      <w:r w:rsidR="00314AF4">
        <w:t>8,325</w:t>
      </w:r>
      <w:r w:rsidR="00BC0617">
        <w:t xml:space="preserve"> hours for recordkeeping and a burden increase of </w:t>
      </w:r>
      <w:r w:rsidR="00314AF4">
        <w:t>0</w:t>
      </w:r>
      <w:r w:rsidR="00BC0617">
        <w:t xml:space="preserve"> hours for third-party disclosures</w:t>
      </w:r>
      <w:r w:rsidR="004E16F2">
        <w:t>, because no respondents are anticipated for this requirement during the clearance period</w:t>
      </w:r>
      <w:r w:rsidR="00BC0617">
        <w:t xml:space="preserve">. </w:t>
      </w:r>
      <w:r w:rsidR="00795B76">
        <w:t xml:space="preserve">There is no estimated change in </w:t>
      </w:r>
      <w:r w:rsidR="00C61EAD">
        <w:t>annual reporting because</w:t>
      </w:r>
      <w:r w:rsidR="00EB20AB">
        <w:t xml:space="preserve"> </w:t>
      </w:r>
      <w:r w:rsidR="00D611C5">
        <w:t>t</w:t>
      </w:r>
      <w:r w:rsidR="00EB20AB">
        <w:t xml:space="preserve">he </w:t>
      </w:r>
      <w:r w:rsidR="00EB4104">
        <w:t xml:space="preserve">reporting </w:t>
      </w:r>
      <w:r w:rsidR="00401C26">
        <w:t xml:space="preserve">burden </w:t>
      </w:r>
      <w:r w:rsidR="00EB4104">
        <w:t xml:space="preserve">associated with the </w:t>
      </w:r>
      <w:r w:rsidR="00BB44C9">
        <w:t xml:space="preserve">alternative performance-based physical security </w:t>
      </w:r>
      <w:r w:rsidR="00EB4104">
        <w:t>plan requirements and associated eligibility analysis requirements in 10 CFR 73.55</w:t>
      </w:r>
      <w:r w:rsidR="00EC34F2">
        <w:t xml:space="preserve"> are</w:t>
      </w:r>
      <w:r w:rsidR="00CE3B57">
        <w:t xml:space="preserve"> </w:t>
      </w:r>
      <w:r w:rsidR="00836A45">
        <w:t>captured in</w:t>
      </w:r>
      <w:r w:rsidR="00CE3B57">
        <w:t xml:space="preserve"> the estimated burdens </w:t>
      </w:r>
      <w:r w:rsidR="00170BC5">
        <w:t>in the</w:t>
      </w:r>
      <w:r w:rsidR="00CE3B57">
        <w:t xml:space="preserve"> Part 50 and Part 52 supporting statements.  </w:t>
      </w:r>
    </w:p>
    <w:p w:rsidR="001D51DF" w:rsidP="00641757" w14:paraId="240EAD67" w14:textId="2A7805E0">
      <w:pPr>
        <w:spacing w:line="240" w:lineRule="auto"/>
        <w:ind w:left="1080"/>
        <w:rPr>
          <w:b/>
        </w:rPr>
      </w:pPr>
    </w:p>
    <w:p w:rsidR="00BA58AB" w:rsidP="00CA57A9" w14:paraId="621F1F1C" w14:textId="77777777">
      <w:pPr>
        <w:keepNext/>
        <w:spacing w:line="240" w:lineRule="auto"/>
        <w:jc w:val="center"/>
        <w:rPr>
          <w:b/>
        </w:rPr>
      </w:pPr>
      <w:r>
        <w:rPr>
          <w:b/>
        </w:rPr>
        <w:t>Table 3</w:t>
      </w:r>
    </w:p>
    <w:p w:rsidR="00BA58AB" w:rsidP="00CA57A9" w14:paraId="5EF95514" w14:textId="5881387D">
      <w:pPr>
        <w:keepNext/>
        <w:spacing w:line="240" w:lineRule="auto"/>
        <w:jc w:val="center"/>
        <w:rPr>
          <w:b/>
        </w:rPr>
      </w:pPr>
      <w:r>
        <w:rPr>
          <w:b/>
        </w:rPr>
        <w:t>Total Burden Summary</w:t>
      </w:r>
      <w:r w:rsidR="001C2DC5">
        <w:rPr>
          <w:b/>
        </w:rPr>
        <w:t xml:space="preserve"> (10 CFR Part 73)</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tblPr>
      <w:tblGrid>
        <w:gridCol w:w="1134"/>
        <w:gridCol w:w="2184"/>
        <w:gridCol w:w="1147"/>
        <w:gridCol w:w="979"/>
        <w:gridCol w:w="851"/>
        <w:gridCol w:w="1153"/>
        <w:gridCol w:w="827"/>
        <w:gridCol w:w="1170"/>
      </w:tblGrid>
      <w:tr w14:paraId="1944F529" w14:textId="77777777" w:rsidTr="00C65066">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tblPrEx>
        <w:trPr>
          <w:trHeight w:val="393"/>
          <w:jc w:val="center"/>
        </w:trPr>
        <w:tc>
          <w:tcPr>
            <w:tcW w:w="9445" w:type="dxa"/>
            <w:gridSpan w:val="8"/>
            <w:shd w:val="clear" w:color="auto" w:fill="auto"/>
            <w:tcMar>
              <w:left w:w="58" w:type="dxa"/>
              <w:right w:w="58" w:type="dxa"/>
            </w:tcMar>
            <w:vAlign w:val="center"/>
          </w:tcPr>
          <w:p w:rsidR="00BA58AB" w:rsidRPr="00463B3B" w14:paraId="2A805B8D" w14:textId="64B53827">
            <w:pPr>
              <w:spacing w:line="240" w:lineRule="auto"/>
              <w:jc w:val="center"/>
              <w:rPr>
                <w:color w:val="000000"/>
                <w:sz w:val="16"/>
                <w:szCs w:val="16"/>
              </w:rPr>
            </w:pPr>
            <w:r>
              <w:rPr>
                <w:color w:val="000000"/>
                <w:sz w:val="16"/>
                <w:szCs w:val="16"/>
              </w:rPr>
              <w:t>RECORDKEEPING</w:t>
            </w:r>
          </w:p>
        </w:tc>
      </w:tr>
      <w:tr w14:paraId="7D43A224" w14:textId="77777777" w:rsidTr="00C65066">
        <w:tblPrEx>
          <w:tblW w:w="9445" w:type="dxa"/>
          <w:jc w:val="center"/>
          <w:tblLayout w:type="fixed"/>
          <w:tblCellMar>
            <w:top w:w="29" w:type="dxa"/>
            <w:left w:w="58" w:type="dxa"/>
            <w:bottom w:w="29" w:type="dxa"/>
            <w:right w:w="58" w:type="dxa"/>
          </w:tblCellMar>
          <w:tblLook w:val="04A0"/>
        </w:tblPrEx>
        <w:trPr>
          <w:trHeight w:val="20"/>
          <w:jc w:val="center"/>
        </w:trPr>
        <w:tc>
          <w:tcPr>
            <w:tcW w:w="1134" w:type="dxa"/>
            <w:shd w:val="clear" w:color="auto" w:fill="auto"/>
            <w:vAlign w:val="center"/>
          </w:tcPr>
          <w:p w:rsidR="00640CB3" w:rsidRPr="00716512" w:rsidP="001D1A82" w14:paraId="556BAE92" w14:textId="3A8A2EE3">
            <w:pPr>
              <w:spacing w:line="240" w:lineRule="auto"/>
              <w:jc w:val="center"/>
              <w:rPr>
                <w:color w:val="000000"/>
                <w:sz w:val="16"/>
                <w:szCs w:val="16"/>
              </w:rPr>
            </w:pPr>
            <w:r w:rsidRPr="00463B3B">
              <w:rPr>
                <w:color w:val="000000"/>
                <w:sz w:val="16"/>
                <w:szCs w:val="16"/>
              </w:rPr>
              <w:t>10 CFR Section</w:t>
            </w:r>
          </w:p>
        </w:tc>
        <w:tc>
          <w:tcPr>
            <w:tcW w:w="2184" w:type="dxa"/>
            <w:vAlign w:val="center"/>
          </w:tcPr>
          <w:p w:rsidR="00640CB3" w:rsidRPr="00463B3B" w:rsidP="001D1A82" w14:paraId="1F14E8A3" w14:textId="6235938E">
            <w:pPr>
              <w:spacing w:line="240" w:lineRule="auto"/>
              <w:jc w:val="center"/>
              <w:rPr>
                <w:sz w:val="16"/>
                <w:szCs w:val="16"/>
              </w:rPr>
            </w:pPr>
            <w:r w:rsidRPr="00463B3B">
              <w:rPr>
                <w:color w:val="000000"/>
                <w:sz w:val="16"/>
                <w:szCs w:val="16"/>
              </w:rPr>
              <w:t>Description</w:t>
            </w:r>
          </w:p>
        </w:tc>
        <w:tc>
          <w:tcPr>
            <w:tcW w:w="2977" w:type="dxa"/>
            <w:gridSpan w:val="3"/>
            <w:shd w:val="clear" w:color="auto" w:fill="auto"/>
            <w:vAlign w:val="center"/>
          </w:tcPr>
          <w:p w:rsidR="00640CB3" w:rsidRPr="00463B3B" w:rsidP="001D1A82" w14:paraId="542691DB" w14:textId="170FF2BB">
            <w:pPr>
              <w:spacing w:line="240" w:lineRule="auto"/>
              <w:jc w:val="center"/>
              <w:rPr>
                <w:sz w:val="16"/>
                <w:szCs w:val="16"/>
              </w:rPr>
            </w:pPr>
            <w:r w:rsidRPr="00463B3B">
              <w:rPr>
                <w:color w:val="000000"/>
                <w:sz w:val="16"/>
                <w:szCs w:val="16"/>
              </w:rPr>
              <w:t xml:space="preserve">Annualized Number of </w:t>
            </w:r>
            <w:r>
              <w:rPr>
                <w:color w:val="000000"/>
                <w:sz w:val="16"/>
                <w:szCs w:val="16"/>
              </w:rPr>
              <w:t>Recordkeepers</w:t>
            </w:r>
            <w:r w:rsidR="007D65A3">
              <w:rPr>
                <w:color w:val="000000"/>
                <w:sz w:val="16"/>
                <w:szCs w:val="16"/>
              </w:rPr>
              <w:t>*</w:t>
            </w:r>
          </w:p>
          <w:p w:rsidR="00640CB3" w:rsidRPr="00463B3B" w:rsidP="001D1A82" w14:paraId="786E41B0" w14:textId="72724D85">
            <w:pPr>
              <w:spacing w:line="240" w:lineRule="auto"/>
              <w:jc w:val="center"/>
              <w:rPr>
                <w:sz w:val="16"/>
                <w:szCs w:val="16"/>
              </w:rPr>
            </w:pPr>
          </w:p>
        </w:tc>
        <w:tc>
          <w:tcPr>
            <w:tcW w:w="1153" w:type="dxa"/>
            <w:shd w:val="clear" w:color="auto" w:fill="auto"/>
            <w:vAlign w:val="center"/>
          </w:tcPr>
          <w:p w:rsidR="00640CB3" w:rsidRPr="00463B3B" w:rsidP="001D1A82" w14:paraId="666F7A44" w14:textId="7DAE138D">
            <w:pPr>
              <w:spacing w:line="240" w:lineRule="auto"/>
              <w:jc w:val="center"/>
              <w:rPr>
                <w:color w:val="000000"/>
                <w:sz w:val="16"/>
                <w:szCs w:val="16"/>
              </w:rPr>
            </w:pPr>
            <w:r w:rsidRPr="00463B3B">
              <w:rPr>
                <w:color w:val="000000"/>
                <w:sz w:val="16"/>
                <w:szCs w:val="16"/>
              </w:rPr>
              <w:t xml:space="preserve">Burden Hrs Per </w:t>
            </w:r>
            <w:r w:rsidR="00983A46">
              <w:rPr>
                <w:color w:val="000000"/>
                <w:sz w:val="16"/>
                <w:szCs w:val="16"/>
              </w:rPr>
              <w:t>Recordkeeper</w:t>
            </w:r>
          </w:p>
          <w:p w:rsidR="00640CB3" w:rsidRPr="00463B3B" w:rsidP="001D1A82" w14:paraId="38DB0130" w14:textId="5DB28155">
            <w:pPr>
              <w:spacing w:line="240" w:lineRule="auto"/>
              <w:jc w:val="center"/>
              <w:rPr>
                <w:sz w:val="16"/>
                <w:szCs w:val="16"/>
              </w:rPr>
            </w:pPr>
            <w:r w:rsidRPr="00463B3B">
              <w:rPr>
                <w:color w:val="000000"/>
                <w:sz w:val="16"/>
                <w:szCs w:val="16"/>
              </w:rPr>
              <w:t>(Hrs)</w:t>
            </w:r>
          </w:p>
        </w:tc>
        <w:tc>
          <w:tcPr>
            <w:tcW w:w="827" w:type="dxa"/>
            <w:shd w:val="clear" w:color="auto" w:fill="auto"/>
            <w:vAlign w:val="center"/>
          </w:tcPr>
          <w:p w:rsidR="00640CB3" w:rsidRPr="00463B3B" w:rsidP="001D1A82" w14:paraId="44C958D7" w14:textId="241872AC">
            <w:pPr>
              <w:spacing w:line="240" w:lineRule="auto"/>
              <w:jc w:val="center"/>
              <w:rPr>
                <w:sz w:val="16"/>
                <w:szCs w:val="16"/>
              </w:rPr>
            </w:pPr>
            <w:r w:rsidRPr="00463B3B">
              <w:rPr>
                <w:color w:val="000000"/>
                <w:sz w:val="16"/>
                <w:szCs w:val="16"/>
              </w:rPr>
              <w:t>Total Annual Burden (Hrs)</w:t>
            </w:r>
          </w:p>
        </w:tc>
        <w:tc>
          <w:tcPr>
            <w:tcW w:w="1170" w:type="dxa"/>
            <w:shd w:val="clear" w:color="auto" w:fill="auto"/>
            <w:vAlign w:val="center"/>
          </w:tcPr>
          <w:p w:rsidR="00640CB3" w:rsidRPr="00463B3B" w:rsidP="001D1A82" w14:paraId="58F3ED53" w14:textId="77777777">
            <w:pPr>
              <w:spacing w:line="240" w:lineRule="auto"/>
              <w:jc w:val="center"/>
              <w:rPr>
                <w:color w:val="000000"/>
                <w:sz w:val="16"/>
                <w:szCs w:val="16"/>
              </w:rPr>
            </w:pPr>
            <w:r w:rsidRPr="00463B3B">
              <w:rPr>
                <w:color w:val="000000"/>
                <w:sz w:val="16"/>
                <w:szCs w:val="16"/>
              </w:rPr>
              <w:t>Cost @ $288/Hr</w:t>
            </w:r>
          </w:p>
          <w:p w:rsidR="00640CB3" w:rsidRPr="00463B3B" w:rsidP="001D1A82" w14:paraId="7B62181A" w14:textId="20E475E0">
            <w:pPr>
              <w:spacing w:line="240" w:lineRule="auto"/>
              <w:jc w:val="center"/>
              <w:rPr>
                <w:sz w:val="16"/>
                <w:szCs w:val="16"/>
              </w:rPr>
            </w:pPr>
            <w:r w:rsidRPr="00463B3B">
              <w:rPr>
                <w:color w:val="000000"/>
                <w:sz w:val="16"/>
                <w:szCs w:val="16"/>
              </w:rPr>
              <w:t>($)</w:t>
            </w:r>
          </w:p>
        </w:tc>
      </w:tr>
      <w:tr w14:paraId="79A43B2A" w14:textId="77777777" w:rsidTr="00C65066">
        <w:tblPrEx>
          <w:tblW w:w="9445" w:type="dxa"/>
          <w:jc w:val="center"/>
          <w:tblLayout w:type="fixed"/>
          <w:tblCellMar>
            <w:top w:w="29" w:type="dxa"/>
            <w:left w:w="58" w:type="dxa"/>
            <w:bottom w:w="29" w:type="dxa"/>
            <w:right w:w="58" w:type="dxa"/>
          </w:tblCellMar>
          <w:tblLook w:val="04A0"/>
        </w:tblPrEx>
        <w:trPr>
          <w:trHeight w:val="20"/>
          <w:jc w:val="center"/>
        </w:trPr>
        <w:tc>
          <w:tcPr>
            <w:tcW w:w="1134" w:type="dxa"/>
            <w:shd w:val="clear" w:color="auto" w:fill="auto"/>
            <w:vAlign w:val="center"/>
          </w:tcPr>
          <w:p w:rsidR="00983A46" w:rsidRPr="00463B3B" w:rsidP="001D1A82" w14:paraId="057DDD92" w14:textId="14ECE975">
            <w:pPr>
              <w:spacing w:line="240" w:lineRule="auto"/>
              <w:jc w:val="center"/>
              <w:rPr>
                <w:color w:val="000000"/>
                <w:sz w:val="16"/>
                <w:szCs w:val="16"/>
              </w:rPr>
            </w:pPr>
            <w:r w:rsidRPr="00716512">
              <w:rPr>
                <w:color w:val="000000"/>
                <w:sz w:val="16"/>
                <w:szCs w:val="16"/>
              </w:rPr>
              <w:t>73.55(s)(1)(iv)</w:t>
            </w:r>
          </w:p>
        </w:tc>
        <w:tc>
          <w:tcPr>
            <w:tcW w:w="2184" w:type="dxa"/>
            <w:vAlign w:val="center"/>
          </w:tcPr>
          <w:p w:rsidR="00983A46" w:rsidRPr="00463B3B" w:rsidP="001D1A82" w14:paraId="37678557" w14:textId="708793AC">
            <w:pPr>
              <w:spacing w:line="240" w:lineRule="auto"/>
              <w:jc w:val="center"/>
              <w:rPr>
                <w:color w:val="000000"/>
                <w:sz w:val="16"/>
                <w:szCs w:val="16"/>
              </w:rPr>
            </w:pPr>
            <w:r w:rsidRPr="00463B3B">
              <w:rPr>
                <w:sz w:val="16"/>
                <w:szCs w:val="16"/>
              </w:rPr>
              <w:t xml:space="preserve">Physical security </w:t>
            </w:r>
            <w:r w:rsidR="00CD7A2B">
              <w:rPr>
                <w:sz w:val="16"/>
                <w:szCs w:val="16"/>
              </w:rPr>
              <w:t>alternatives</w:t>
            </w:r>
            <w:r w:rsidR="009224CA">
              <w:rPr>
                <w:sz w:val="16"/>
                <w:szCs w:val="16"/>
              </w:rPr>
              <w:t xml:space="preserve"> – eligibility criterion analysis</w:t>
            </w:r>
          </w:p>
        </w:tc>
        <w:tc>
          <w:tcPr>
            <w:tcW w:w="2977" w:type="dxa"/>
            <w:gridSpan w:val="3"/>
            <w:shd w:val="clear" w:color="auto" w:fill="auto"/>
            <w:vAlign w:val="center"/>
          </w:tcPr>
          <w:p w:rsidR="00983A46" w:rsidRPr="00463B3B" w:rsidP="001D1A82" w14:paraId="127098B8" w14:textId="1C3927B2">
            <w:pPr>
              <w:spacing w:line="240" w:lineRule="auto"/>
              <w:jc w:val="center"/>
              <w:rPr>
                <w:color w:val="000000"/>
                <w:sz w:val="16"/>
                <w:szCs w:val="16"/>
                <w:highlight w:val="yellow"/>
              </w:rPr>
            </w:pPr>
            <w:r>
              <w:rPr>
                <w:sz w:val="16"/>
                <w:szCs w:val="16"/>
              </w:rPr>
              <w:t>3.3</w:t>
            </w:r>
            <w:r w:rsidR="00C25895">
              <w:rPr>
                <w:sz w:val="16"/>
                <w:szCs w:val="16"/>
              </w:rPr>
              <w:t>3</w:t>
            </w:r>
          </w:p>
        </w:tc>
        <w:tc>
          <w:tcPr>
            <w:tcW w:w="1153" w:type="dxa"/>
            <w:shd w:val="clear" w:color="auto" w:fill="auto"/>
            <w:vAlign w:val="center"/>
          </w:tcPr>
          <w:p w:rsidR="00983A46" w:rsidRPr="00463B3B" w:rsidP="001D1A82" w14:paraId="049F7B54" w14:textId="57B49507">
            <w:pPr>
              <w:spacing w:line="240" w:lineRule="auto"/>
              <w:jc w:val="center"/>
              <w:rPr>
                <w:sz w:val="16"/>
                <w:szCs w:val="16"/>
                <w:highlight w:val="yellow"/>
              </w:rPr>
            </w:pPr>
            <w:r>
              <w:rPr>
                <w:sz w:val="16"/>
                <w:szCs w:val="16"/>
              </w:rPr>
              <w:t>2,500</w:t>
            </w:r>
          </w:p>
        </w:tc>
        <w:tc>
          <w:tcPr>
            <w:tcW w:w="827" w:type="dxa"/>
            <w:shd w:val="clear" w:color="auto" w:fill="auto"/>
            <w:vAlign w:val="center"/>
          </w:tcPr>
          <w:p w:rsidR="00983A46" w:rsidRPr="00463B3B" w:rsidP="001D1A82" w14:paraId="754AE6A2" w14:textId="45C624AE">
            <w:pPr>
              <w:spacing w:line="240" w:lineRule="auto"/>
              <w:jc w:val="center"/>
              <w:rPr>
                <w:strike/>
                <w:color w:val="000000"/>
                <w:sz w:val="16"/>
                <w:szCs w:val="16"/>
                <w:highlight w:val="yellow"/>
              </w:rPr>
            </w:pPr>
            <w:r>
              <w:rPr>
                <w:sz w:val="16"/>
                <w:szCs w:val="16"/>
              </w:rPr>
              <w:t>8,325</w:t>
            </w:r>
          </w:p>
        </w:tc>
        <w:tc>
          <w:tcPr>
            <w:tcW w:w="1170" w:type="dxa"/>
            <w:shd w:val="clear" w:color="auto" w:fill="auto"/>
            <w:vAlign w:val="center"/>
          </w:tcPr>
          <w:p w:rsidR="00983A46" w:rsidRPr="00463B3B" w:rsidP="001D1A82" w14:paraId="557EB9A1" w14:textId="744A8D08">
            <w:pPr>
              <w:spacing w:line="240" w:lineRule="auto"/>
              <w:jc w:val="center"/>
              <w:rPr>
                <w:strike/>
                <w:color w:val="000000"/>
                <w:sz w:val="16"/>
                <w:szCs w:val="16"/>
                <w:highlight w:val="yellow"/>
              </w:rPr>
            </w:pPr>
            <w:r>
              <w:rPr>
                <w:sz w:val="16"/>
                <w:szCs w:val="16"/>
              </w:rPr>
              <w:t>$</w:t>
            </w:r>
            <w:r w:rsidR="0043051E">
              <w:rPr>
                <w:sz w:val="16"/>
                <w:szCs w:val="16"/>
              </w:rPr>
              <w:t>2,397,600</w:t>
            </w:r>
          </w:p>
        </w:tc>
      </w:tr>
      <w:tr w14:paraId="28250C0F" w14:textId="472A4B99" w:rsidTr="00C65066">
        <w:tblPrEx>
          <w:tblW w:w="9445" w:type="dxa"/>
          <w:jc w:val="center"/>
          <w:tblLayout w:type="fixed"/>
          <w:tblCellMar>
            <w:top w:w="29" w:type="dxa"/>
            <w:left w:w="58" w:type="dxa"/>
            <w:bottom w:w="29" w:type="dxa"/>
            <w:right w:w="58" w:type="dxa"/>
          </w:tblCellMar>
          <w:tblLook w:val="04A0"/>
        </w:tblPrEx>
        <w:trPr>
          <w:trHeight w:val="20"/>
          <w:jc w:val="center"/>
        </w:trPr>
        <w:tc>
          <w:tcPr>
            <w:tcW w:w="9445" w:type="dxa"/>
            <w:gridSpan w:val="8"/>
            <w:shd w:val="clear" w:color="auto" w:fill="auto"/>
            <w:vAlign w:val="center"/>
          </w:tcPr>
          <w:p w:rsidR="001D1A82" w:rsidRPr="00463B3B" w:rsidP="000F2DD1" w14:paraId="734B3B0B" w14:textId="53418765">
            <w:pPr>
              <w:keepNext/>
              <w:spacing w:line="240" w:lineRule="auto"/>
              <w:jc w:val="center"/>
              <w:rPr>
                <w:color w:val="000000"/>
                <w:sz w:val="16"/>
                <w:szCs w:val="16"/>
              </w:rPr>
            </w:pPr>
            <w:r>
              <w:rPr>
                <w:color w:val="000000"/>
                <w:sz w:val="16"/>
                <w:szCs w:val="16"/>
              </w:rPr>
              <w:t>THIRD PARTY</w:t>
            </w:r>
          </w:p>
        </w:tc>
      </w:tr>
      <w:tr w14:paraId="4B53A33C" w14:textId="77777777" w:rsidTr="00C65066">
        <w:tblPrEx>
          <w:tblW w:w="9445" w:type="dxa"/>
          <w:jc w:val="center"/>
          <w:tblLayout w:type="fixed"/>
          <w:tblCellMar>
            <w:top w:w="29" w:type="dxa"/>
            <w:left w:w="58" w:type="dxa"/>
            <w:bottom w:w="29" w:type="dxa"/>
            <w:right w:w="58" w:type="dxa"/>
          </w:tblCellMar>
          <w:tblLook w:val="04A0"/>
        </w:tblPrEx>
        <w:trPr>
          <w:trHeight w:val="20"/>
          <w:jc w:val="center"/>
        </w:trPr>
        <w:tc>
          <w:tcPr>
            <w:tcW w:w="1134" w:type="dxa"/>
            <w:shd w:val="clear" w:color="auto" w:fill="auto"/>
            <w:vAlign w:val="center"/>
          </w:tcPr>
          <w:p w:rsidR="001D1A82" w:rsidRPr="00716512" w:rsidP="000F2DD1" w14:paraId="00EB77B6" w14:textId="77777777">
            <w:pPr>
              <w:keepNext/>
              <w:spacing w:line="240" w:lineRule="auto"/>
              <w:jc w:val="center"/>
              <w:rPr>
                <w:color w:val="000000"/>
                <w:sz w:val="16"/>
                <w:szCs w:val="16"/>
              </w:rPr>
            </w:pPr>
            <w:r w:rsidRPr="00463B3B">
              <w:rPr>
                <w:color w:val="000000"/>
                <w:sz w:val="16"/>
                <w:szCs w:val="16"/>
              </w:rPr>
              <w:t>10 CFR Section</w:t>
            </w:r>
          </w:p>
        </w:tc>
        <w:tc>
          <w:tcPr>
            <w:tcW w:w="2184" w:type="dxa"/>
            <w:vAlign w:val="center"/>
          </w:tcPr>
          <w:p w:rsidR="001D1A82" w:rsidRPr="00463B3B" w:rsidP="000F2DD1" w14:paraId="645C3F61" w14:textId="77777777">
            <w:pPr>
              <w:keepNext/>
              <w:spacing w:line="240" w:lineRule="auto"/>
              <w:jc w:val="center"/>
              <w:rPr>
                <w:sz w:val="16"/>
                <w:szCs w:val="16"/>
              </w:rPr>
            </w:pPr>
            <w:r w:rsidRPr="00463B3B">
              <w:rPr>
                <w:color w:val="000000"/>
                <w:sz w:val="16"/>
                <w:szCs w:val="16"/>
              </w:rPr>
              <w:t>Description</w:t>
            </w:r>
          </w:p>
        </w:tc>
        <w:tc>
          <w:tcPr>
            <w:tcW w:w="1147" w:type="dxa"/>
            <w:shd w:val="clear" w:color="auto" w:fill="auto"/>
            <w:vAlign w:val="center"/>
          </w:tcPr>
          <w:p w:rsidR="001D1A82" w:rsidRPr="00463B3B" w:rsidP="000F2DD1" w14:paraId="41F86A45" w14:textId="79763EAB">
            <w:pPr>
              <w:keepNext/>
              <w:spacing w:line="240" w:lineRule="auto"/>
              <w:jc w:val="center"/>
              <w:rPr>
                <w:sz w:val="16"/>
                <w:szCs w:val="16"/>
              </w:rPr>
            </w:pPr>
            <w:r w:rsidRPr="00463B3B">
              <w:rPr>
                <w:color w:val="000000"/>
                <w:sz w:val="16"/>
                <w:szCs w:val="16"/>
              </w:rPr>
              <w:t>Annualized Number of Respondents</w:t>
            </w:r>
          </w:p>
        </w:tc>
        <w:tc>
          <w:tcPr>
            <w:tcW w:w="979" w:type="dxa"/>
            <w:shd w:val="clear" w:color="auto" w:fill="auto"/>
            <w:vAlign w:val="center"/>
          </w:tcPr>
          <w:p w:rsidR="001D1A82" w:rsidRPr="00463B3B" w:rsidP="000F2DD1" w14:paraId="7211ABEF" w14:textId="77777777">
            <w:pPr>
              <w:keepNext/>
              <w:spacing w:line="240" w:lineRule="auto"/>
              <w:jc w:val="center"/>
              <w:rPr>
                <w:sz w:val="16"/>
                <w:szCs w:val="16"/>
              </w:rPr>
            </w:pPr>
            <w:r w:rsidRPr="00463B3B">
              <w:rPr>
                <w:color w:val="000000"/>
                <w:sz w:val="16"/>
                <w:szCs w:val="16"/>
              </w:rPr>
              <w:t>Number of Responses Per Respondent</w:t>
            </w:r>
          </w:p>
        </w:tc>
        <w:tc>
          <w:tcPr>
            <w:tcW w:w="851" w:type="dxa"/>
            <w:shd w:val="clear" w:color="auto" w:fill="auto"/>
            <w:vAlign w:val="center"/>
          </w:tcPr>
          <w:p w:rsidR="001D1A82" w:rsidRPr="00463B3B" w:rsidP="000F2DD1" w14:paraId="2AFDEBFB" w14:textId="77777777">
            <w:pPr>
              <w:keepNext/>
              <w:spacing w:line="240" w:lineRule="auto"/>
              <w:jc w:val="center"/>
              <w:rPr>
                <w:sz w:val="16"/>
                <w:szCs w:val="16"/>
              </w:rPr>
            </w:pPr>
            <w:r w:rsidRPr="00463B3B">
              <w:rPr>
                <w:color w:val="000000"/>
                <w:sz w:val="16"/>
                <w:szCs w:val="16"/>
              </w:rPr>
              <w:t>Total Annual Responses</w:t>
            </w:r>
          </w:p>
        </w:tc>
        <w:tc>
          <w:tcPr>
            <w:tcW w:w="1153" w:type="dxa"/>
            <w:shd w:val="clear" w:color="auto" w:fill="auto"/>
            <w:vAlign w:val="center"/>
          </w:tcPr>
          <w:p w:rsidR="001D1A82" w:rsidRPr="00463B3B" w:rsidP="000F2DD1" w14:paraId="6A52D545" w14:textId="77777777">
            <w:pPr>
              <w:keepNext/>
              <w:spacing w:line="240" w:lineRule="auto"/>
              <w:jc w:val="center"/>
              <w:rPr>
                <w:color w:val="000000"/>
                <w:sz w:val="16"/>
                <w:szCs w:val="16"/>
              </w:rPr>
            </w:pPr>
            <w:r w:rsidRPr="00463B3B">
              <w:rPr>
                <w:color w:val="000000"/>
                <w:sz w:val="16"/>
                <w:szCs w:val="16"/>
              </w:rPr>
              <w:t>Burden Hrs Per Response</w:t>
            </w:r>
          </w:p>
          <w:p w:rsidR="001D1A82" w:rsidRPr="00463B3B" w:rsidP="000F2DD1" w14:paraId="06CCB726" w14:textId="77777777">
            <w:pPr>
              <w:keepNext/>
              <w:spacing w:line="240" w:lineRule="auto"/>
              <w:jc w:val="center"/>
              <w:rPr>
                <w:sz w:val="16"/>
                <w:szCs w:val="16"/>
              </w:rPr>
            </w:pPr>
            <w:r w:rsidRPr="00463B3B">
              <w:rPr>
                <w:color w:val="000000"/>
                <w:sz w:val="16"/>
                <w:szCs w:val="16"/>
              </w:rPr>
              <w:t>(Hrs)</w:t>
            </w:r>
          </w:p>
        </w:tc>
        <w:tc>
          <w:tcPr>
            <w:tcW w:w="827" w:type="dxa"/>
            <w:shd w:val="clear" w:color="auto" w:fill="auto"/>
            <w:vAlign w:val="center"/>
          </w:tcPr>
          <w:p w:rsidR="001D1A82" w:rsidRPr="00463B3B" w:rsidP="000F2DD1" w14:paraId="769AE2AD" w14:textId="77777777">
            <w:pPr>
              <w:keepNext/>
              <w:spacing w:line="240" w:lineRule="auto"/>
              <w:jc w:val="center"/>
              <w:rPr>
                <w:sz w:val="16"/>
                <w:szCs w:val="16"/>
              </w:rPr>
            </w:pPr>
            <w:r w:rsidRPr="00463B3B">
              <w:rPr>
                <w:color w:val="000000"/>
                <w:sz w:val="16"/>
                <w:szCs w:val="16"/>
              </w:rPr>
              <w:t>Total Annual Burden (Hrs)</w:t>
            </w:r>
          </w:p>
        </w:tc>
        <w:tc>
          <w:tcPr>
            <w:tcW w:w="1170" w:type="dxa"/>
            <w:shd w:val="clear" w:color="auto" w:fill="auto"/>
            <w:vAlign w:val="center"/>
          </w:tcPr>
          <w:p w:rsidR="001D1A82" w:rsidRPr="00463B3B" w:rsidP="000F2DD1" w14:paraId="2EF6F7B1" w14:textId="77777777">
            <w:pPr>
              <w:keepNext/>
              <w:spacing w:line="240" w:lineRule="auto"/>
              <w:jc w:val="center"/>
              <w:rPr>
                <w:color w:val="000000"/>
                <w:sz w:val="16"/>
                <w:szCs w:val="16"/>
              </w:rPr>
            </w:pPr>
            <w:r w:rsidRPr="00463B3B">
              <w:rPr>
                <w:color w:val="000000"/>
                <w:sz w:val="16"/>
                <w:szCs w:val="16"/>
              </w:rPr>
              <w:t>Cost @ $288/Hr</w:t>
            </w:r>
          </w:p>
          <w:p w:rsidR="001D1A82" w:rsidRPr="00463B3B" w:rsidP="000F2DD1" w14:paraId="53890A0E" w14:textId="77777777">
            <w:pPr>
              <w:keepNext/>
              <w:spacing w:line="240" w:lineRule="auto"/>
              <w:jc w:val="center"/>
              <w:rPr>
                <w:sz w:val="16"/>
                <w:szCs w:val="16"/>
              </w:rPr>
            </w:pPr>
            <w:r w:rsidRPr="00463B3B">
              <w:rPr>
                <w:color w:val="000000"/>
                <w:sz w:val="16"/>
                <w:szCs w:val="16"/>
              </w:rPr>
              <w:t>($)</w:t>
            </w:r>
          </w:p>
        </w:tc>
      </w:tr>
      <w:tr w14:paraId="02B887A4" w14:textId="730EA02A" w:rsidTr="00C65066">
        <w:tblPrEx>
          <w:tblW w:w="9445" w:type="dxa"/>
          <w:jc w:val="center"/>
          <w:tblLayout w:type="fixed"/>
          <w:tblCellMar>
            <w:top w:w="29" w:type="dxa"/>
            <w:left w:w="58" w:type="dxa"/>
            <w:bottom w:w="29" w:type="dxa"/>
            <w:right w:w="58" w:type="dxa"/>
          </w:tblCellMar>
          <w:tblLook w:val="04A0"/>
        </w:tblPrEx>
        <w:trPr>
          <w:trHeight w:val="20"/>
          <w:jc w:val="center"/>
        </w:trPr>
        <w:tc>
          <w:tcPr>
            <w:tcW w:w="1134" w:type="dxa"/>
            <w:shd w:val="clear" w:color="auto" w:fill="auto"/>
            <w:vAlign w:val="center"/>
          </w:tcPr>
          <w:p w:rsidR="001D1A82" w:rsidRPr="0073573D" w:rsidP="000F2DD1" w14:paraId="304C670E" w14:textId="177AD3EC">
            <w:pPr>
              <w:keepNext/>
              <w:spacing w:line="240" w:lineRule="auto"/>
              <w:jc w:val="center"/>
              <w:rPr>
                <w:color w:val="000000"/>
                <w:sz w:val="16"/>
                <w:szCs w:val="16"/>
              </w:rPr>
            </w:pPr>
            <w:r w:rsidRPr="00C2580D">
              <w:rPr>
                <w:color w:val="000000"/>
                <w:sz w:val="16"/>
                <w:szCs w:val="16"/>
              </w:rPr>
              <w:t>73.55(s)(2)(ii)(A)(</w:t>
            </w:r>
            <w:r w:rsidRPr="00992A8C">
              <w:rPr>
                <w:i/>
                <w:iCs/>
                <w:color w:val="000000"/>
                <w:sz w:val="16"/>
                <w:szCs w:val="16"/>
              </w:rPr>
              <w:t>3</w:t>
            </w:r>
            <w:r w:rsidRPr="00C2580D">
              <w:rPr>
                <w:color w:val="000000"/>
                <w:sz w:val="16"/>
                <w:szCs w:val="16"/>
              </w:rPr>
              <w:t>)</w:t>
            </w:r>
          </w:p>
        </w:tc>
        <w:tc>
          <w:tcPr>
            <w:tcW w:w="2184" w:type="dxa"/>
            <w:vAlign w:val="center"/>
          </w:tcPr>
          <w:p w:rsidR="001D1A82" w:rsidRPr="0073573D" w:rsidP="000F2DD1" w14:paraId="5067AEC0" w14:textId="1DB1B2D4">
            <w:pPr>
              <w:keepNext/>
              <w:spacing w:line="240" w:lineRule="auto"/>
              <w:jc w:val="center"/>
              <w:rPr>
                <w:color w:val="000000"/>
                <w:sz w:val="16"/>
                <w:szCs w:val="16"/>
              </w:rPr>
            </w:pPr>
            <w:r>
              <w:rPr>
                <w:sz w:val="16"/>
                <w:szCs w:val="16"/>
              </w:rPr>
              <w:t xml:space="preserve">Physical security alternatives - </w:t>
            </w:r>
            <w:r w:rsidRPr="00353490">
              <w:rPr>
                <w:sz w:val="16"/>
                <w:szCs w:val="16"/>
              </w:rPr>
              <w:t xml:space="preserve">provide necessary information about the facility and make available periodic training to law enforcement or other offsite </w:t>
            </w:r>
            <w:r w:rsidR="00894EFF">
              <w:rPr>
                <w:sz w:val="16"/>
                <w:szCs w:val="16"/>
              </w:rPr>
              <w:t xml:space="preserve">armed </w:t>
            </w:r>
            <w:r w:rsidRPr="00353490">
              <w:rPr>
                <w:sz w:val="16"/>
                <w:szCs w:val="16"/>
              </w:rPr>
              <w:t>responders</w:t>
            </w:r>
          </w:p>
        </w:tc>
        <w:tc>
          <w:tcPr>
            <w:tcW w:w="1147" w:type="dxa"/>
            <w:shd w:val="clear" w:color="auto" w:fill="auto"/>
            <w:vAlign w:val="center"/>
          </w:tcPr>
          <w:p w:rsidR="001D1A82" w:rsidRPr="0073573D" w:rsidP="000F2DD1" w14:paraId="34A7CF99" w14:textId="484F2FFD">
            <w:pPr>
              <w:keepNext/>
              <w:spacing w:line="240" w:lineRule="auto"/>
              <w:jc w:val="center"/>
              <w:rPr>
                <w:color w:val="000000"/>
                <w:sz w:val="16"/>
                <w:szCs w:val="16"/>
              </w:rPr>
            </w:pPr>
            <w:r>
              <w:rPr>
                <w:sz w:val="16"/>
                <w:szCs w:val="16"/>
              </w:rPr>
              <w:t>0</w:t>
            </w:r>
          </w:p>
        </w:tc>
        <w:tc>
          <w:tcPr>
            <w:tcW w:w="979" w:type="dxa"/>
            <w:shd w:val="clear" w:color="auto" w:fill="auto"/>
            <w:vAlign w:val="center"/>
          </w:tcPr>
          <w:p w:rsidR="001D1A82" w:rsidRPr="0073573D" w:rsidP="000F2DD1" w14:paraId="24D3DDE0" w14:textId="7D72E332">
            <w:pPr>
              <w:keepNext/>
              <w:spacing w:line="240" w:lineRule="auto"/>
              <w:jc w:val="center"/>
              <w:rPr>
                <w:color w:val="000000"/>
                <w:sz w:val="16"/>
                <w:szCs w:val="16"/>
              </w:rPr>
            </w:pPr>
            <w:r>
              <w:rPr>
                <w:sz w:val="16"/>
                <w:szCs w:val="16"/>
              </w:rPr>
              <w:t>2</w:t>
            </w:r>
          </w:p>
        </w:tc>
        <w:tc>
          <w:tcPr>
            <w:tcW w:w="851" w:type="dxa"/>
            <w:shd w:val="clear" w:color="auto" w:fill="auto"/>
            <w:vAlign w:val="center"/>
          </w:tcPr>
          <w:p w:rsidR="001D1A82" w:rsidRPr="0073573D" w:rsidP="000F2DD1" w14:paraId="6EF3A42D" w14:textId="20F0DF25">
            <w:pPr>
              <w:keepNext/>
              <w:spacing w:line="240" w:lineRule="auto"/>
              <w:jc w:val="center"/>
              <w:rPr>
                <w:color w:val="000000"/>
                <w:sz w:val="16"/>
                <w:szCs w:val="16"/>
              </w:rPr>
            </w:pPr>
            <w:r>
              <w:rPr>
                <w:sz w:val="16"/>
                <w:szCs w:val="16"/>
              </w:rPr>
              <w:t>0</w:t>
            </w:r>
          </w:p>
        </w:tc>
        <w:tc>
          <w:tcPr>
            <w:tcW w:w="1153" w:type="dxa"/>
            <w:shd w:val="clear" w:color="auto" w:fill="auto"/>
            <w:vAlign w:val="center"/>
          </w:tcPr>
          <w:p w:rsidR="001D1A82" w:rsidRPr="0073573D" w:rsidP="000F2DD1" w14:paraId="13EE4F55" w14:textId="53AD46F0">
            <w:pPr>
              <w:keepNext/>
              <w:spacing w:line="240" w:lineRule="auto"/>
              <w:jc w:val="center"/>
              <w:rPr>
                <w:sz w:val="16"/>
                <w:szCs w:val="16"/>
              </w:rPr>
            </w:pPr>
            <w:r>
              <w:rPr>
                <w:sz w:val="16"/>
                <w:szCs w:val="16"/>
              </w:rPr>
              <w:t>100</w:t>
            </w:r>
          </w:p>
        </w:tc>
        <w:tc>
          <w:tcPr>
            <w:tcW w:w="827" w:type="dxa"/>
            <w:shd w:val="clear" w:color="auto" w:fill="auto"/>
            <w:vAlign w:val="center"/>
          </w:tcPr>
          <w:p w:rsidR="001D1A82" w:rsidRPr="0073573D" w:rsidP="000F2DD1" w14:paraId="38662275" w14:textId="144A8410">
            <w:pPr>
              <w:keepNext/>
              <w:spacing w:line="240" w:lineRule="auto"/>
              <w:jc w:val="center"/>
              <w:rPr>
                <w:strike/>
                <w:color w:val="000000"/>
                <w:sz w:val="16"/>
                <w:szCs w:val="16"/>
              </w:rPr>
            </w:pPr>
            <w:r>
              <w:rPr>
                <w:sz w:val="16"/>
                <w:szCs w:val="16"/>
              </w:rPr>
              <w:t>0</w:t>
            </w:r>
          </w:p>
        </w:tc>
        <w:tc>
          <w:tcPr>
            <w:tcW w:w="1170" w:type="dxa"/>
            <w:shd w:val="clear" w:color="auto" w:fill="auto"/>
            <w:vAlign w:val="center"/>
          </w:tcPr>
          <w:p w:rsidR="001D1A82" w:rsidRPr="00463B3B" w:rsidP="000F2DD1" w14:paraId="4144AD48" w14:textId="69CD7783">
            <w:pPr>
              <w:keepNext/>
              <w:spacing w:line="240" w:lineRule="auto"/>
              <w:jc w:val="center"/>
              <w:rPr>
                <w:strike/>
                <w:color w:val="000000"/>
                <w:sz w:val="16"/>
                <w:szCs w:val="16"/>
                <w:highlight w:val="yellow"/>
              </w:rPr>
            </w:pPr>
            <w:r>
              <w:rPr>
                <w:sz w:val="16"/>
                <w:szCs w:val="16"/>
              </w:rPr>
              <w:t>$</w:t>
            </w:r>
            <w:r w:rsidR="00596960">
              <w:rPr>
                <w:sz w:val="16"/>
                <w:szCs w:val="16"/>
              </w:rPr>
              <w:t>0</w:t>
            </w:r>
          </w:p>
        </w:tc>
      </w:tr>
      <w:tr w14:paraId="22C119B9" w14:textId="77777777" w:rsidTr="00C65066">
        <w:tblPrEx>
          <w:tblW w:w="9445" w:type="dxa"/>
          <w:jc w:val="center"/>
          <w:tblLayout w:type="fixed"/>
          <w:tblCellMar>
            <w:top w:w="29" w:type="dxa"/>
            <w:left w:w="58" w:type="dxa"/>
            <w:bottom w:w="29" w:type="dxa"/>
            <w:right w:w="58" w:type="dxa"/>
          </w:tblCellMar>
          <w:tblLook w:val="04A0"/>
        </w:tblPrEx>
        <w:trPr>
          <w:trHeight w:val="20"/>
          <w:jc w:val="center"/>
        </w:trPr>
        <w:tc>
          <w:tcPr>
            <w:tcW w:w="1134" w:type="dxa"/>
            <w:shd w:val="clear" w:color="auto" w:fill="auto"/>
            <w:vAlign w:val="center"/>
          </w:tcPr>
          <w:p w:rsidR="001D1A82" w:rsidRPr="0073573D" w:rsidP="000F2DD1" w14:paraId="3123FF93" w14:textId="09B91AC7">
            <w:pPr>
              <w:keepNext/>
              <w:spacing w:line="240" w:lineRule="auto"/>
              <w:rPr>
                <w:color w:val="000000"/>
                <w:sz w:val="16"/>
                <w:szCs w:val="16"/>
              </w:rPr>
            </w:pPr>
            <w:r w:rsidRPr="0073573D">
              <w:rPr>
                <w:color w:val="000000"/>
                <w:sz w:val="16"/>
                <w:szCs w:val="16"/>
              </w:rPr>
              <w:t>TOTAL</w:t>
            </w:r>
          </w:p>
        </w:tc>
        <w:tc>
          <w:tcPr>
            <w:tcW w:w="2184" w:type="dxa"/>
            <w:vAlign w:val="center"/>
          </w:tcPr>
          <w:p w:rsidR="001D1A82" w:rsidRPr="0073573D" w:rsidP="000F2DD1" w14:paraId="4D107B40" w14:textId="77777777">
            <w:pPr>
              <w:keepNext/>
              <w:spacing w:line="240" w:lineRule="auto"/>
              <w:jc w:val="center"/>
              <w:rPr>
                <w:color w:val="000000"/>
                <w:sz w:val="16"/>
                <w:szCs w:val="16"/>
              </w:rPr>
            </w:pPr>
          </w:p>
        </w:tc>
        <w:tc>
          <w:tcPr>
            <w:tcW w:w="1147" w:type="dxa"/>
            <w:shd w:val="clear" w:color="auto" w:fill="auto"/>
            <w:vAlign w:val="center"/>
          </w:tcPr>
          <w:p w:rsidR="001D1A82" w:rsidRPr="0073573D" w:rsidP="000F2DD1" w14:paraId="0C551FB8" w14:textId="1D450A47">
            <w:pPr>
              <w:keepNext/>
              <w:spacing w:line="240" w:lineRule="auto"/>
              <w:jc w:val="center"/>
              <w:rPr>
                <w:color w:val="000000"/>
                <w:sz w:val="16"/>
                <w:szCs w:val="16"/>
              </w:rPr>
            </w:pPr>
            <w:r>
              <w:rPr>
                <w:color w:val="000000"/>
                <w:sz w:val="16"/>
                <w:szCs w:val="16"/>
              </w:rPr>
              <w:t>3.33</w:t>
            </w:r>
          </w:p>
        </w:tc>
        <w:tc>
          <w:tcPr>
            <w:tcW w:w="979" w:type="dxa"/>
            <w:shd w:val="clear" w:color="auto" w:fill="auto"/>
            <w:vAlign w:val="center"/>
          </w:tcPr>
          <w:p w:rsidR="001D1A82" w:rsidRPr="0073573D" w:rsidP="000F2DD1" w14:paraId="38AE84AD" w14:textId="77777777">
            <w:pPr>
              <w:keepNext/>
              <w:spacing w:line="240" w:lineRule="auto"/>
              <w:jc w:val="center"/>
              <w:rPr>
                <w:color w:val="000000"/>
                <w:sz w:val="16"/>
                <w:szCs w:val="16"/>
              </w:rPr>
            </w:pPr>
          </w:p>
        </w:tc>
        <w:tc>
          <w:tcPr>
            <w:tcW w:w="851" w:type="dxa"/>
            <w:shd w:val="clear" w:color="auto" w:fill="auto"/>
            <w:vAlign w:val="center"/>
          </w:tcPr>
          <w:p w:rsidR="001D1A82" w:rsidRPr="0073573D" w:rsidP="000F2DD1" w14:paraId="1A24A87B" w14:textId="7CA8124B">
            <w:pPr>
              <w:keepNext/>
              <w:spacing w:line="240" w:lineRule="auto"/>
              <w:jc w:val="center"/>
              <w:rPr>
                <w:color w:val="000000"/>
                <w:sz w:val="16"/>
                <w:szCs w:val="16"/>
              </w:rPr>
            </w:pPr>
            <w:r>
              <w:rPr>
                <w:color w:val="000000"/>
                <w:sz w:val="16"/>
                <w:szCs w:val="16"/>
              </w:rPr>
              <w:t>3.33</w:t>
            </w:r>
          </w:p>
        </w:tc>
        <w:tc>
          <w:tcPr>
            <w:tcW w:w="1153" w:type="dxa"/>
            <w:shd w:val="clear" w:color="auto" w:fill="auto"/>
            <w:vAlign w:val="center"/>
          </w:tcPr>
          <w:p w:rsidR="001D1A82" w:rsidRPr="0073573D" w:rsidP="000F2DD1" w14:paraId="0B60430A" w14:textId="77777777">
            <w:pPr>
              <w:keepNext/>
              <w:spacing w:line="240" w:lineRule="auto"/>
              <w:jc w:val="center"/>
              <w:rPr>
                <w:color w:val="000000"/>
                <w:sz w:val="16"/>
                <w:szCs w:val="16"/>
              </w:rPr>
            </w:pPr>
          </w:p>
        </w:tc>
        <w:tc>
          <w:tcPr>
            <w:tcW w:w="827" w:type="dxa"/>
            <w:shd w:val="clear" w:color="auto" w:fill="auto"/>
            <w:vAlign w:val="center"/>
          </w:tcPr>
          <w:p w:rsidR="001D1A82" w:rsidRPr="0073573D" w:rsidP="000F2DD1" w14:paraId="06F88DA2" w14:textId="56D2B28B">
            <w:pPr>
              <w:keepNext/>
              <w:spacing w:line="240" w:lineRule="auto"/>
              <w:jc w:val="center"/>
              <w:rPr>
                <w:color w:val="000000"/>
                <w:sz w:val="16"/>
                <w:szCs w:val="16"/>
              </w:rPr>
            </w:pPr>
            <w:r>
              <w:rPr>
                <w:color w:val="000000"/>
                <w:sz w:val="16"/>
                <w:szCs w:val="16"/>
              </w:rPr>
              <w:t>8,325</w:t>
            </w:r>
          </w:p>
        </w:tc>
        <w:tc>
          <w:tcPr>
            <w:tcW w:w="1170" w:type="dxa"/>
            <w:shd w:val="clear" w:color="auto" w:fill="auto"/>
            <w:vAlign w:val="center"/>
          </w:tcPr>
          <w:p w:rsidR="001D1A82" w:rsidP="000F2DD1" w14:paraId="085E3FC5" w14:textId="6B115028">
            <w:pPr>
              <w:keepNext/>
              <w:spacing w:line="240" w:lineRule="auto"/>
              <w:jc w:val="center"/>
              <w:rPr>
                <w:color w:val="000000"/>
                <w:sz w:val="16"/>
                <w:szCs w:val="16"/>
              </w:rPr>
            </w:pPr>
            <w:r>
              <w:rPr>
                <w:sz w:val="16"/>
                <w:szCs w:val="16"/>
              </w:rPr>
              <w:t>$</w:t>
            </w:r>
            <w:r w:rsidR="00596960">
              <w:rPr>
                <w:sz w:val="16"/>
                <w:szCs w:val="16"/>
              </w:rPr>
              <w:t>2,397,600</w:t>
            </w:r>
          </w:p>
        </w:tc>
      </w:tr>
    </w:tbl>
    <w:p w:rsidR="007D65A3" w:rsidP="00C65066" w14:paraId="04B5778A" w14:textId="434C3CC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i/>
          <w:sz w:val="18"/>
        </w:rPr>
      </w:pPr>
      <w:r>
        <w:rPr>
          <w:i/>
          <w:sz w:val="18"/>
        </w:rPr>
        <w:t>*</w:t>
      </w:r>
      <w:r w:rsidRPr="00A70FF9" w:rsidR="0018329C">
        <w:rPr>
          <w:sz w:val="18"/>
          <w:szCs w:val="18"/>
        </w:rPr>
        <w:t>Each recordkeeper is counted as a single response.</w:t>
      </w:r>
    </w:p>
    <w:p w:rsidR="00BA58AB" w14:paraId="73AA8C50" w14:textId="77777777">
      <w:pPr>
        <w:spacing w:line="240" w:lineRule="auto"/>
        <w:ind w:left="1080"/>
        <w:rPr>
          <w:i/>
        </w:rPr>
      </w:pPr>
    </w:p>
    <w:p w:rsidR="00B93918" w:rsidRPr="000F2DD1" w:rsidP="008422CB" w14:paraId="5980A324" w14:textId="46042400">
      <w:pPr>
        <w:spacing w:line="240" w:lineRule="auto"/>
        <w:ind w:left="1080"/>
      </w:pPr>
      <w:r>
        <w:t xml:space="preserve">The </w:t>
      </w:r>
      <w:r w:rsidRPr="0073573D">
        <w:t>$</w:t>
      </w:r>
      <w:r w:rsidRPr="0073573D" w:rsidR="00916C48">
        <w:t>288</w:t>
      </w:r>
      <w:r w:rsidRPr="0073573D">
        <w:t xml:space="preserve"> hourly</w:t>
      </w:r>
      <w:r>
        <w:t xml:space="preserve"> rate used in the burden estimates is based on the NRC’s fee for hourly rates as noted in 10 CFR </w:t>
      </w:r>
      <w:r w:rsidRPr="008422CB">
        <w:t>170.20, “Average cost per professional staff</w:t>
      </w:r>
      <w:r w:rsidRPr="008422CB">
        <w:noBreakHyphen/>
        <w:t>hour.”  For more information on the basis of this rate, see the Revision of Fee Schedules; Fee Recovery for Fiscal Year 20</w:t>
      </w:r>
      <w:r w:rsidRPr="008422CB" w:rsidR="004A11E6">
        <w:t>2</w:t>
      </w:r>
      <w:r w:rsidRPr="008422CB" w:rsidR="008378D3">
        <w:t>1</w:t>
      </w:r>
      <w:r w:rsidRPr="008422CB">
        <w:t xml:space="preserve"> (</w:t>
      </w:r>
      <w:r w:rsidRPr="00C65066">
        <w:t>8</w:t>
      </w:r>
      <w:r w:rsidRPr="00C65066" w:rsidR="008422CB">
        <w:t>6</w:t>
      </w:r>
      <w:r w:rsidRPr="000F2DD1">
        <w:t xml:space="preserve"> FR </w:t>
      </w:r>
      <w:r w:rsidRPr="00C65066" w:rsidR="008422CB">
        <w:t>32146</w:t>
      </w:r>
      <w:r w:rsidRPr="000F2DD1">
        <w:t xml:space="preserve">; June </w:t>
      </w:r>
      <w:r w:rsidRPr="00C65066" w:rsidR="008422CB">
        <w:t>16</w:t>
      </w:r>
      <w:r w:rsidRPr="00C65066">
        <w:t>, 20</w:t>
      </w:r>
      <w:r w:rsidRPr="00C65066" w:rsidR="008422CB">
        <w:t>21</w:t>
      </w:r>
      <w:r w:rsidRPr="008422CB">
        <w:t>).</w:t>
      </w:r>
    </w:p>
    <w:p w:rsidR="00BA58AB" w14:paraId="53F1DA6C" w14:textId="77777777">
      <w:pPr>
        <w:spacing w:line="240" w:lineRule="auto"/>
        <w:ind w:left="1080"/>
        <w:rPr>
          <w:i/>
        </w:rPr>
      </w:pPr>
    </w:p>
    <w:p w:rsidR="00BA58AB" w14:paraId="00553EF9" w14:textId="77777777">
      <w:pPr>
        <w:pStyle w:val="Level1"/>
        <w:widowControl/>
        <w:numPr>
          <w:ilvl w:val="0"/>
          <w:numId w:val="2"/>
        </w:numPr>
        <w:rPr>
          <w:rFonts w:ascii="Arial" w:hAnsi="Arial"/>
          <w:sz w:val="22"/>
        </w:rPr>
      </w:pPr>
      <w:r>
        <w:rPr>
          <w:rFonts w:ascii="Arial" w:hAnsi="Arial"/>
          <w:sz w:val="22"/>
          <w:u w:val="single"/>
        </w:rPr>
        <w:t>Estimate of Other Additional Costs</w:t>
      </w:r>
    </w:p>
    <w:p w:rsidR="00BA58AB" w14:paraId="615D92D9" w14:textId="77777777">
      <w:pPr>
        <w:pStyle w:val="Level1"/>
        <w:widowControl/>
        <w:rPr>
          <w:rFonts w:ascii="Arial" w:hAnsi="Arial"/>
          <w:sz w:val="22"/>
        </w:rPr>
      </w:pPr>
    </w:p>
    <w:p w:rsidR="00CF7F0B" w:rsidRPr="007303E8" w:rsidP="00280ED8" w14:paraId="745DF152" w14:textId="0B58B06A">
      <w:pPr>
        <w:pStyle w:val="Level1"/>
        <w:widowControl/>
        <w:tabs>
          <w:tab w:val="left" w:pos="1260"/>
        </w:tabs>
        <w:ind w:left="1080"/>
      </w:pPr>
      <w:r w:rsidRPr="000D5655">
        <w:rPr>
          <w:rFonts w:ascii="Arial" w:hAnsi="Arial" w:cs="Arial"/>
          <w:sz w:val="22"/>
          <w:szCs w:val="22"/>
        </w:rPr>
        <w:t>The quantity of records to be maintained is roughly proportional to the recordkeeping burden and therefore can be used to calculate approximate records storage costs</w:t>
      </w:r>
      <w:r>
        <w:rPr>
          <w:rFonts w:ascii="Arial" w:hAnsi="Arial" w:cs="Arial"/>
          <w:sz w:val="22"/>
          <w:szCs w:val="22"/>
        </w:rPr>
        <w:t xml:space="preserve">. </w:t>
      </w:r>
      <w:r w:rsidRPr="002637EC">
        <w:rPr>
          <w:rFonts w:ascii="Arial" w:hAnsi="Arial" w:cs="Arial"/>
          <w:sz w:val="22"/>
          <w:szCs w:val="22"/>
        </w:rPr>
        <w:t xml:space="preserve">Based on the number of pages maintained for a typical clearance, the records </w:t>
      </w:r>
      <w:r w:rsidRPr="007303E8">
        <w:rPr>
          <w:rFonts w:ascii="Arial" w:hAnsi="Arial" w:cs="Arial"/>
          <w:sz w:val="22"/>
          <w:szCs w:val="22"/>
        </w:rPr>
        <w:t>storage cost has been determined to be equal to .0004 times the recordkeeping burden cost. Therefore, the storage cost for this clearance is estimated to be $</w:t>
      </w:r>
      <w:r w:rsidRPr="007303E8" w:rsidR="00910B86">
        <w:rPr>
          <w:rFonts w:ascii="Arial" w:hAnsi="Arial" w:cs="Arial"/>
          <w:sz w:val="22"/>
          <w:szCs w:val="22"/>
        </w:rPr>
        <w:t>959</w:t>
      </w:r>
      <w:r w:rsidRPr="007303E8">
        <w:rPr>
          <w:rFonts w:ascii="Arial" w:hAnsi="Arial" w:cs="Arial"/>
          <w:sz w:val="22"/>
          <w:szCs w:val="22"/>
        </w:rPr>
        <w:t xml:space="preserve"> (</w:t>
      </w:r>
      <w:r w:rsidRPr="007303E8" w:rsidR="00367332">
        <w:rPr>
          <w:rFonts w:ascii="Arial" w:hAnsi="Arial" w:cs="Arial"/>
          <w:sz w:val="22"/>
          <w:szCs w:val="22"/>
        </w:rPr>
        <w:t>8,325</w:t>
      </w:r>
      <w:r w:rsidRPr="007303E8">
        <w:rPr>
          <w:rFonts w:ascii="Arial" w:hAnsi="Arial" w:cs="Arial"/>
          <w:sz w:val="22"/>
          <w:szCs w:val="22"/>
        </w:rPr>
        <w:t xml:space="preserve"> recordkeeping hours x $288/hour x .0004). The current </w:t>
      </w:r>
      <w:r w:rsidRPr="007303E8" w:rsidR="00503EDE">
        <w:rPr>
          <w:rFonts w:ascii="Arial" w:hAnsi="Arial" w:cs="Arial"/>
          <w:sz w:val="22"/>
          <w:szCs w:val="22"/>
        </w:rPr>
        <w:t>additional costs are</w:t>
      </w:r>
      <w:r w:rsidRPr="007303E8">
        <w:rPr>
          <w:rFonts w:ascii="Arial" w:hAnsi="Arial" w:cs="Arial"/>
          <w:sz w:val="22"/>
          <w:szCs w:val="22"/>
        </w:rPr>
        <w:t xml:space="preserve"> $</w:t>
      </w:r>
      <w:r w:rsidRPr="007303E8" w:rsidR="00A83325">
        <w:rPr>
          <w:rFonts w:ascii="Arial" w:hAnsi="Arial" w:cs="Arial"/>
          <w:sz w:val="22"/>
          <w:szCs w:val="22"/>
        </w:rPr>
        <w:t>553,289</w:t>
      </w:r>
      <w:r w:rsidRPr="007303E8">
        <w:rPr>
          <w:rFonts w:ascii="Arial" w:hAnsi="Arial" w:cs="Arial"/>
          <w:sz w:val="22"/>
          <w:szCs w:val="22"/>
        </w:rPr>
        <w:t xml:space="preserve">. The </w:t>
      </w:r>
      <w:r w:rsidRPr="007303E8" w:rsidR="00503EDE">
        <w:rPr>
          <w:rFonts w:ascii="Arial" w:hAnsi="Arial" w:cs="Arial"/>
          <w:sz w:val="22"/>
          <w:szCs w:val="22"/>
        </w:rPr>
        <w:t>additional</w:t>
      </w:r>
      <w:r w:rsidRPr="007303E8">
        <w:rPr>
          <w:rFonts w:ascii="Arial" w:hAnsi="Arial" w:cs="Arial"/>
          <w:sz w:val="22"/>
          <w:szCs w:val="22"/>
        </w:rPr>
        <w:t xml:space="preserve"> cost</w:t>
      </w:r>
      <w:r w:rsidRPr="007303E8" w:rsidR="00503EDE">
        <w:rPr>
          <w:rFonts w:ascii="Arial" w:hAnsi="Arial" w:cs="Arial"/>
          <w:sz w:val="22"/>
          <w:szCs w:val="22"/>
        </w:rPr>
        <w:t>s</w:t>
      </w:r>
      <w:r w:rsidRPr="007303E8">
        <w:rPr>
          <w:rFonts w:ascii="Arial" w:hAnsi="Arial" w:cs="Arial"/>
          <w:sz w:val="22"/>
          <w:szCs w:val="22"/>
        </w:rPr>
        <w:t xml:space="preserve"> including the proposed rule requirements would be $</w:t>
      </w:r>
      <w:r w:rsidRPr="007303E8" w:rsidR="00E001CB">
        <w:rPr>
          <w:rFonts w:ascii="Arial" w:hAnsi="Arial" w:cs="Arial"/>
          <w:sz w:val="22"/>
          <w:szCs w:val="22"/>
        </w:rPr>
        <w:t>554,248</w:t>
      </w:r>
      <w:r w:rsidRPr="007303E8">
        <w:rPr>
          <w:rFonts w:ascii="Arial" w:hAnsi="Arial" w:cs="Arial"/>
          <w:sz w:val="22"/>
          <w:szCs w:val="22"/>
        </w:rPr>
        <w:t>.</w:t>
      </w:r>
    </w:p>
    <w:p w:rsidR="00BA58AB" w:rsidRPr="007303E8" w14:paraId="2E2793E7" w14:textId="77777777">
      <w:pPr>
        <w:pStyle w:val="Level1"/>
        <w:widowControl/>
        <w:ind w:left="1080"/>
        <w:rPr>
          <w:rFonts w:ascii="Arial" w:hAnsi="Arial"/>
          <w:sz w:val="22"/>
          <w:u w:val="single"/>
        </w:rPr>
      </w:pPr>
    </w:p>
    <w:p w:rsidR="00BA58AB" w:rsidRPr="007303E8" w14:paraId="3F61D491" w14:textId="77777777">
      <w:pPr>
        <w:pStyle w:val="Level1"/>
        <w:widowControl/>
        <w:numPr>
          <w:ilvl w:val="0"/>
          <w:numId w:val="2"/>
        </w:numPr>
        <w:rPr>
          <w:rFonts w:ascii="Arial" w:hAnsi="Arial"/>
          <w:sz w:val="22"/>
        </w:rPr>
      </w:pPr>
      <w:r w:rsidRPr="007303E8">
        <w:rPr>
          <w:rFonts w:ascii="Arial" w:hAnsi="Arial"/>
          <w:sz w:val="22"/>
          <w:u w:val="single"/>
        </w:rPr>
        <w:t>Estimated Annualized Cost to the Federal Government</w:t>
      </w:r>
    </w:p>
    <w:p w:rsidR="00BA58AB" w:rsidRPr="007303E8" w14:paraId="27249BBD" w14:textId="77777777">
      <w:pPr>
        <w:pStyle w:val="Level1"/>
        <w:widowControl/>
        <w:rPr>
          <w:rFonts w:ascii="Arial" w:hAnsi="Arial"/>
          <w:sz w:val="22"/>
          <w:u w:val="single"/>
        </w:rPr>
      </w:pPr>
    </w:p>
    <w:p w:rsidR="00CE6CDA" w:rsidRPr="00013EE0" w:rsidP="000F2DD1" w14:paraId="23604AE8" w14:textId="0EA7C199">
      <w:pPr>
        <w:pStyle w:val="Level1"/>
        <w:widowControl/>
        <w:tabs>
          <w:tab w:val="left" w:pos="1260"/>
        </w:tabs>
        <w:ind w:left="1080"/>
      </w:pPr>
      <w:r w:rsidRPr="007303E8">
        <w:rPr>
          <w:rFonts w:ascii="Arial" w:hAnsi="Arial" w:cs="Arial"/>
          <w:sz w:val="22"/>
          <w:szCs w:val="22"/>
        </w:rPr>
        <w:t xml:space="preserve">The NRC staff do not anticipate any costs to the NRC associated with the recordkeeping and third-party disclosure requirements addressed in this supporting statement.  The NRC staff costs associated with the </w:t>
      </w:r>
      <w:r w:rsidRPr="007303E8" w:rsidR="0073796F">
        <w:rPr>
          <w:rFonts w:ascii="Arial" w:hAnsi="Arial" w:cs="Arial"/>
          <w:sz w:val="22"/>
          <w:szCs w:val="22"/>
        </w:rPr>
        <w:t xml:space="preserve">review, analysis, and processing of the </w:t>
      </w:r>
      <w:r w:rsidRPr="007303E8" w:rsidR="001F7AAE">
        <w:rPr>
          <w:rFonts w:ascii="Arial" w:hAnsi="Arial" w:cs="Arial"/>
          <w:sz w:val="22"/>
          <w:szCs w:val="22"/>
        </w:rPr>
        <w:t xml:space="preserve">alternative performance-based physical security </w:t>
      </w:r>
      <w:r w:rsidRPr="007303E8" w:rsidR="00EC34F2">
        <w:rPr>
          <w:rFonts w:ascii="Arial" w:hAnsi="Arial" w:cs="Arial"/>
          <w:sz w:val="22"/>
          <w:szCs w:val="22"/>
        </w:rPr>
        <w:t>plan and associated eligibility analysis in 10 CFR 73.55</w:t>
      </w:r>
      <w:r w:rsidRPr="007303E8">
        <w:rPr>
          <w:rFonts w:ascii="Arial" w:hAnsi="Arial" w:cs="Arial"/>
          <w:sz w:val="22"/>
          <w:szCs w:val="22"/>
        </w:rPr>
        <w:t xml:space="preserve"> are covered in the Part 50 and Part 52 supporting statements.  </w:t>
      </w:r>
      <w:r w:rsidRPr="007303E8" w:rsidR="00E802D9">
        <w:rPr>
          <w:rFonts w:ascii="Arial" w:hAnsi="Arial" w:cs="Arial"/>
          <w:sz w:val="22"/>
          <w:szCs w:val="22"/>
        </w:rPr>
        <w:t>Therefore, t</w:t>
      </w:r>
      <w:r w:rsidRPr="007303E8">
        <w:rPr>
          <w:rFonts w:ascii="Arial" w:hAnsi="Arial" w:cs="Arial"/>
          <w:sz w:val="22"/>
          <w:szCs w:val="22"/>
        </w:rPr>
        <w:t xml:space="preserve">he cost to the Federal Government </w:t>
      </w:r>
      <w:r w:rsidRPr="007303E8" w:rsidR="00826F12">
        <w:rPr>
          <w:rFonts w:ascii="Arial" w:hAnsi="Arial" w:cs="Arial"/>
          <w:sz w:val="22"/>
          <w:szCs w:val="22"/>
        </w:rPr>
        <w:t xml:space="preserve">captured in this supporting statement </w:t>
      </w:r>
      <w:r w:rsidRPr="007303E8">
        <w:rPr>
          <w:rFonts w:ascii="Arial" w:hAnsi="Arial" w:cs="Arial"/>
          <w:sz w:val="22"/>
          <w:szCs w:val="22"/>
        </w:rPr>
        <w:t>remains unchanged</w:t>
      </w:r>
      <w:r w:rsidRPr="007303E8">
        <w:rPr>
          <w:rFonts w:ascii="Arial" w:hAnsi="Arial"/>
          <w:sz w:val="22"/>
        </w:rPr>
        <w:t xml:space="preserve"> at </w:t>
      </w:r>
      <w:r w:rsidRPr="007303E8">
        <w:rPr>
          <w:rFonts w:ascii="Arial" w:hAnsi="Arial" w:cs="Arial"/>
          <w:sz w:val="22"/>
          <w:szCs w:val="22"/>
        </w:rPr>
        <w:t>$</w:t>
      </w:r>
      <w:r w:rsidRPr="007303E8" w:rsidR="00E001CB">
        <w:rPr>
          <w:rFonts w:ascii="Arial" w:hAnsi="Arial" w:cs="Arial"/>
          <w:sz w:val="22"/>
          <w:szCs w:val="22"/>
        </w:rPr>
        <w:t>1,255,500</w:t>
      </w:r>
      <w:r w:rsidRPr="007303E8">
        <w:rPr>
          <w:rFonts w:ascii="Arial" w:hAnsi="Arial"/>
          <w:sz w:val="22"/>
        </w:rPr>
        <w:t>.</w:t>
      </w:r>
    </w:p>
    <w:p w:rsidR="00CE6CDA" w:rsidP="000F2DD1" w14:paraId="4599A2CA" w14:textId="77777777">
      <w:pPr>
        <w:pStyle w:val="Level1"/>
        <w:widowControl/>
        <w:tabs>
          <w:tab w:val="left" w:pos="1260"/>
        </w:tabs>
        <w:ind w:left="1080"/>
        <w:rPr>
          <w:rFonts w:ascii="Arial" w:hAnsi="Arial" w:cs="Arial"/>
          <w:sz w:val="22"/>
          <w:szCs w:val="22"/>
        </w:rPr>
      </w:pPr>
    </w:p>
    <w:p w:rsidR="00BA58AB" w14:paraId="304D99A5" w14:textId="77777777">
      <w:pPr>
        <w:keepNext/>
        <w:numPr>
          <w:ilvl w:val="0"/>
          <w:numId w:val="2"/>
        </w:numPr>
        <w:spacing w:line="240" w:lineRule="auto"/>
        <w:rPr>
          <w:u w:val="single"/>
        </w:rPr>
      </w:pPr>
      <w:r>
        <w:rPr>
          <w:u w:val="single"/>
        </w:rPr>
        <w:t>Reasons for Change in Burden or Cost</w:t>
      </w:r>
    </w:p>
    <w:p w:rsidR="00BA58AB" w14:paraId="2C0C16F3" w14:textId="77777777">
      <w:pPr>
        <w:keepNext/>
        <w:spacing w:line="240" w:lineRule="auto"/>
        <w:ind w:left="1080"/>
        <w:rPr>
          <w:u w:val="single"/>
        </w:rPr>
      </w:pPr>
    </w:p>
    <w:p w:rsidR="00E824FD" w:rsidP="00E824FD" w14:paraId="03809DCD" w14:textId="586C4BA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ind w:left="1080"/>
      </w:pPr>
      <w:r w:rsidRPr="002C3D31">
        <w:t xml:space="preserve">The proposed rule would </w:t>
      </w:r>
      <w:r w:rsidRPr="00ED7D4C" w:rsidR="00DB0AC5">
        <w:t>increase</w:t>
      </w:r>
      <w:r w:rsidRPr="002C3D31">
        <w:t xml:space="preserve"> the burden for the</w:t>
      </w:r>
      <w:r>
        <w:t xml:space="preserve"> Part </w:t>
      </w:r>
      <w:r w:rsidR="00DB0AC5">
        <w:t>73</w:t>
      </w:r>
      <w:r>
        <w:t xml:space="preserve"> information collection by </w:t>
      </w:r>
      <w:r w:rsidR="008A1E01">
        <w:t>8,325</w:t>
      </w:r>
      <w:r w:rsidRPr="000F2DD1">
        <w:t xml:space="preserve"> </w:t>
      </w:r>
      <w:r w:rsidRPr="007303E8">
        <w:t xml:space="preserve">hours, from </w:t>
      </w:r>
      <w:r w:rsidRPr="007303E8" w:rsidR="00E001CB">
        <w:t>501,471</w:t>
      </w:r>
      <w:r w:rsidRPr="007303E8" w:rsidR="007303E8">
        <w:t xml:space="preserve"> </w:t>
      </w:r>
      <w:r w:rsidRPr="007303E8">
        <w:t xml:space="preserve">hours to </w:t>
      </w:r>
      <w:r w:rsidRPr="007303E8" w:rsidR="007303E8">
        <w:t>509,796</w:t>
      </w:r>
      <w:r w:rsidRPr="007303E8">
        <w:t xml:space="preserve"> hours.</w:t>
      </w:r>
    </w:p>
    <w:p w:rsidR="00A72B4A" w:rsidP="000F2DD1" w14:paraId="4E49C5D5"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ind w:left="1080"/>
      </w:pPr>
    </w:p>
    <w:p w:rsidR="00A72B4A" w:rsidP="00E824FD" w14:paraId="09C26AB5" w14:textId="2170B51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ind w:left="1080"/>
      </w:pPr>
      <w:r>
        <w:t xml:space="preserve">The estimated change to the recordkeeping burden </w:t>
      </w:r>
      <w:r w:rsidR="00FF43C7">
        <w:t xml:space="preserve">is an increase of </w:t>
      </w:r>
      <w:r w:rsidR="008A1E01">
        <w:t>8,325</w:t>
      </w:r>
      <w:r w:rsidR="00FF43C7">
        <w:t xml:space="preserve"> due to t</w:t>
      </w:r>
      <w:r w:rsidRPr="00D1118C" w:rsidR="00FF43C7">
        <w:t xml:space="preserve">he proposed rule requiring </w:t>
      </w:r>
      <w:r w:rsidRPr="00D1118C" w:rsidR="00F31805">
        <w:t xml:space="preserve">future Part 50 and Part 52 licensees that choose to utilize the alternative </w:t>
      </w:r>
      <w:r w:rsidRPr="00D1118C" w:rsidR="00B52385">
        <w:t xml:space="preserve">performance-based physical security plan </w:t>
      </w:r>
      <w:r w:rsidRPr="00D1118C" w:rsidR="00FF43C7">
        <w:t>to m</w:t>
      </w:r>
      <w:r w:rsidRPr="00D1118C" w:rsidR="00B52385">
        <w:t xml:space="preserve">aintain </w:t>
      </w:r>
      <w:r w:rsidRPr="00ED7D4C" w:rsidR="002C3D31">
        <w:t>the technical analysis related to the eligibility criterion in 10 CFR 73.55(s)(1)(ii)</w:t>
      </w:r>
      <w:r w:rsidRPr="00D1118C" w:rsidR="002C3D31">
        <w:t xml:space="preserve"> until the certifications required by </w:t>
      </w:r>
      <w:r w:rsidR="005A4DBA">
        <w:t>10 CFR</w:t>
      </w:r>
      <w:r w:rsidRPr="00D1118C" w:rsidR="002C3D31">
        <w:t xml:space="preserve"> 50.82(a)(1) or </w:t>
      </w:r>
      <w:r w:rsidR="005A4DBA">
        <w:t>10 CFR</w:t>
      </w:r>
      <w:r w:rsidRPr="00D1118C" w:rsidR="002C3D31">
        <w:t xml:space="preserve"> 52.110(a) have been docketed by the NRC</w:t>
      </w:r>
      <w:r w:rsidRPr="00D1118C" w:rsidR="00B52385">
        <w:t>.</w:t>
      </w:r>
    </w:p>
    <w:p w:rsidR="00B52385" w:rsidRPr="000F2DD1" w:rsidP="000F2DD1" w14:paraId="21F8AEBC"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ind w:left="1080"/>
      </w:pPr>
    </w:p>
    <w:p w:rsidR="00E824FD" w:rsidP="00ED7D4C" w14:paraId="44838B84" w14:textId="03A9916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ind w:left="1080"/>
      </w:pPr>
      <w:r>
        <w:t xml:space="preserve">The estimated change to the third-party disclosure burden is an increase of </w:t>
      </w:r>
      <w:r w:rsidR="002E5967">
        <w:t>0</w:t>
      </w:r>
      <w:r>
        <w:t xml:space="preserve"> hours </w:t>
      </w:r>
      <w:r w:rsidR="00406AFE">
        <w:t>because the NRC staff does not expect</w:t>
      </w:r>
      <w:r w:rsidR="003A3140">
        <w:t xml:space="preserve"> that during the clearance period </w:t>
      </w:r>
      <w:r w:rsidR="00406AFE">
        <w:t xml:space="preserve">any </w:t>
      </w:r>
      <w:r w:rsidR="00FF2501">
        <w:t>Part 50 or Part 52 licensees</w:t>
      </w:r>
      <w:r w:rsidR="00C93295">
        <w:t xml:space="preserve">, which </w:t>
      </w:r>
      <w:r w:rsidR="00E1162D">
        <w:t xml:space="preserve">choose to utilize the </w:t>
      </w:r>
      <w:r w:rsidRPr="00ED7D4C" w:rsidR="007517B9">
        <w:t xml:space="preserve">alternative performance-based physical </w:t>
      </w:r>
      <w:r w:rsidRPr="00ED7D4C" w:rsidR="0082155F">
        <w:t>security</w:t>
      </w:r>
      <w:r w:rsidRPr="00ED7D4C" w:rsidR="007517B9">
        <w:t xml:space="preserve"> plan </w:t>
      </w:r>
      <w:r w:rsidR="003B4160">
        <w:t xml:space="preserve">and fulfill interdiction and neutralization functions using </w:t>
      </w:r>
      <w:r w:rsidR="001C3822">
        <w:t>law enforcement</w:t>
      </w:r>
      <w:r w:rsidR="00C93295">
        <w:t>,</w:t>
      </w:r>
      <w:r w:rsidR="001C3822">
        <w:t xml:space="preserve"> </w:t>
      </w:r>
      <w:r w:rsidR="003A3140">
        <w:t xml:space="preserve">to be far enough along in the construction process </w:t>
      </w:r>
      <w:r w:rsidRPr="00ED7D4C" w:rsidR="007517B9">
        <w:t xml:space="preserve">to </w:t>
      </w:r>
      <w:r w:rsidR="00877386">
        <w:t xml:space="preserve">trigger the requirement to </w:t>
      </w:r>
      <w:r w:rsidRPr="00ED7D4C" w:rsidR="00F602E4">
        <w:t>make available periodic familiarization training and facility information to offsite law enforcement.</w:t>
      </w:r>
      <w:r w:rsidR="00CC5FD0">
        <w:t xml:space="preserve">  </w:t>
      </w:r>
      <w:r w:rsidR="00A97D5F">
        <w:t xml:space="preserve">However, </w:t>
      </w:r>
      <w:r w:rsidR="00A53171">
        <w:t>an increase in burden is anticipated in the future when</w:t>
      </w:r>
      <w:r w:rsidR="00E72126">
        <w:t xml:space="preserve"> </w:t>
      </w:r>
      <w:r w:rsidR="00AC62C3">
        <w:t xml:space="preserve">these </w:t>
      </w:r>
      <w:r w:rsidR="00E72126">
        <w:t>licensees would be closer to finishing construction and beginning operation.</w:t>
      </w:r>
      <w:r w:rsidR="00A53171">
        <w:t xml:space="preserve"> </w:t>
      </w:r>
    </w:p>
    <w:p w:rsidR="00B43CE1" w14:paraId="0065603A" w14:textId="4C29496A">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BA58AB" w14:paraId="366F03D8" w14:textId="77777777">
      <w:pPr>
        <w:pStyle w:val="Level1"/>
        <w:widowControl/>
        <w:numPr>
          <w:ilvl w:val="0"/>
          <w:numId w:val="2"/>
        </w:numPr>
        <w:rPr>
          <w:rFonts w:ascii="Arial" w:hAnsi="Arial"/>
          <w:sz w:val="22"/>
        </w:rPr>
      </w:pPr>
      <w:r>
        <w:rPr>
          <w:rFonts w:ascii="Arial" w:hAnsi="Arial"/>
          <w:sz w:val="22"/>
          <w:u w:val="single"/>
        </w:rPr>
        <w:t>Publication for Statistical Use</w:t>
      </w:r>
    </w:p>
    <w:p w:rsidR="00BA58AB" w14:paraId="5BF3354F" w14:textId="77777777">
      <w:pPr>
        <w:pStyle w:val="Level1"/>
        <w:widowControl/>
        <w:rPr>
          <w:rFonts w:ascii="Arial" w:hAnsi="Arial"/>
          <w:sz w:val="22"/>
        </w:rPr>
      </w:pPr>
    </w:p>
    <w:p w:rsidR="00BA58AB" w14:paraId="1C50F5E3" w14:textId="77777777">
      <w:pPr>
        <w:pStyle w:val="Level1"/>
        <w:widowControl/>
        <w:ind w:left="1080"/>
        <w:rPr>
          <w:rFonts w:ascii="Arial" w:hAnsi="Arial"/>
          <w:sz w:val="22"/>
        </w:rPr>
      </w:pPr>
      <w:r>
        <w:rPr>
          <w:rFonts w:ascii="Arial" w:hAnsi="Arial"/>
          <w:sz w:val="22"/>
        </w:rPr>
        <w:t>Not applicable.  The information being collected is not expected to be published for statistical use.</w:t>
      </w:r>
    </w:p>
    <w:p w:rsidR="00BA58AB" w14:paraId="68F5C54D" w14:textId="77777777">
      <w:pPr>
        <w:pStyle w:val="Level1"/>
        <w:widowControl/>
        <w:rPr>
          <w:rFonts w:ascii="Arial" w:hAnsi="Arial"/>
          <w:sz w:val="22"/>
        </w:rPr>
      </w:pPr>
    </w:p>
    <w:p w:rsidR="00BA58AB" w14:paraId="379F11E2" w14:textId="77777777">
      <w:pPr>
        <w:pStyle w:val="Level1"/>
        <w:widowControl/>
        <w:numPr>
          <w:ilvl w:val="0"/>
          <w:numId w:val="2"/>
        </w:numPr>
        <w:rPr>
          <w:rFonts w:ascii="Arial" w:hAnsi="Arial"/>
          <w:sz w:val="22"/>
        </w:rPr>
      </w:pPr>
      <w:r>
        <w:rPr>
          <w:rFonts w:ascii="Arial" w:hAnsi="Arial"/>
          <w:sz w:val="22"/>
          <w:u w:val="single"/>
        </w:rPr>
        <w:t>Reason for Not Displaying the Expiration Date</w:t>
      </w:r>
    </w:p>
    <w:p w:rsidR="00BA58AB" w14:paraId="6C7DEF0E" w14:textId="77777777">
      <w:pPr>
        <w:pStyle w:val="Level1"/>
        <w:widowControl/>
        <w:rPr>
          <w:rFonts w:ascii="Arial" w:hAnsi="Arial"/>
          <w:sz w:val="22"/>
        </w:rPr>
      </w:pPr>
    </w:p>
    <w:p w:rsidR="00BA58AB" w14:paraId="3648D1C4" w14:textId="7DE61379">
      <w:pPr>
        <w:pStyle w:val="Level1"/>
        <w:widowControl/>
        <w:ind w:left="1080"/>
        <w:rPr>
          <w:rFonts w:ascii="Arial" w:hAnsi="Arial"/>
          <w:sz w:val="22"/>
        </w:rPr>
      </w:pPr>
      <w:r>
        <w:rPr>
          <w:rFonts w:ascii="Arial" w:hAnsi="Arial"/>
          <w:sz w:val="22"/>
        </w:rPr>
        <w:t xml:space="preserve">The recordkeeping and </w:t>
      </w:r>
      <w:r w:rsidR="001C3822">
        <w:rPr>
          <w:rFonts w:ascii="Arial" w:hAnsi="Arial"/>
          <w:sz w:val="22"/>
        </w:rPr>
        <w:t xml:space="preserve">third-party disclosure </w:t>
      </w:r>
      <w:r>
        <w:rPr>
          <w:rFonts w:ascii="Arial" w:hAnsi="Arial"/>
          <w:sz w:val="22"/>
        </w:rPr>
        <w:t>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BA58AB" w14:paraId="22A4126A" w14:textId="77777777">
      <w:pPr>
        <w:pStyle w:val="Level1"/>
        <w:widowControl/>
        <w:rPr>
          <w:rFonts w:ascii="Arial" w:hAnsi="Arial"/>
          <w:sz w:val="22"/>
        </w:rPr>
      </w:pPr>
    </w:p>
    <w:p w:rsidR="00BA58AB" w14:paraId="0B63278E" w14:textId="77777777">
      <w:pPr>
        <w:pStyle w:val="Level1"/>
        <w:widowControl/>
        <w:numPr>
          <w:ilvl w:val="0"/>
          <w:numId w:val="2"/>
        </w:numPr>
        <w:rPr>
          <w:rFonts w:ascii="Arial" w:hAnsi="Arial"/>
          <w:sz w:val="22"/>
        </w:rPr>
      </w:pPr>
      <w:r>
        <w:rPr>
          <w:rFonts w:ascii="Arial" w:hAnsi="Arial"/>
          <w:sz w:val="22"/>
          <w:u w:val="single"/>
        </w:rPr>
        <w:t>Exceptions to the Certification Statement</w:t>
      </w:r>
    </w:p>
    <w:p w:rsidR="00BA58AB" w14:paraId="75F12B27" w14:textId="77777777">
      <w:pPr>
        <w:pStyle w:val="Level1"/>
        <w:widowControl/>
        <w:ind w:left="1080"/>
        <w:rPr>
          <w:rFonts w:ascii="Arial" w:hAnsi="Arial"/>
          <w:sz w:val="22"/>
        </w:rPr>
      </w:pPr>
    </w:p>
    <w:p w:rsidR="00BA58AB" w14:paraId="40117CB1" w14:textId="7C518174">
      <w:pPr>
        <w:pStyle w:val="Level1"/>
        <w:widowControl/>
        <w:ind w:left="1080"/>
        <w:rPr>
          <w:rFonts w:ascii="Arial" w:hAnsi="Arial"/>
          <w:sz w:val="22"/>
        </w:rPr>
      </w:pPr>
      <w:r>
        <w:rPr>
          <w:rFonts w:ascii="Arial" w:hAnsi="Arial"/>
          <w:sz w:val="22"/>
        </w:rPr>
        <w:t>None</w:t>
      </w:r>
      <w:r w:rsidR="00E273BD">
        <w:rPr>
          <w:rFonts w:ascii="Arial" w:hAnsi="Arial"/>
          <w:sz w:val="22"/>
        </w:rPr>
        <w:t>.</w:t>
      </w:r>
    </w:p>
    <w:p w:rsidR="00BA58AB" w14:paraId="79E96026" w14:textId="77777777">
      <w:pPr>
        <w:pStyle w:val="Level1"/>
        <w:widowControl/>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BA58AB" w14:paraId="091A8772" w14:textId="77777777">
      <w:pPr>
        <w:pStyle w:val="Level1"/>
        <w:widowControl/>
        <w:numPr>
          <w:ilvl w:val="0"/>
          <w:numId w:val="6"/>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Pr>
          <w:rFonts w:ascii="Arial" w:hAnsi="Arial" w:cs="Arial"/>
          <w:sz w:val="22"/>
          <w:szCs w:val="22"/>
        </w:rPr>
        <w:tab/>
        <w:t>COLLECTIONS OF INFORMATION EMPLOYING STATISTICAL METHODS</w:t>
      </w:r>
    </w:p>
    <w:p w:rsidR="00BA58AB" w14:paraId="59CADAC8" w14:textId="77777777">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p w:rsidR="00BA58AB" w:rsidP="00C65066" w14:paraId="40EE4CD5" w14:textId="073ACF8C">
      <w:pPr>
        <w:tabs>
          <w:tab w:val="left" w:pos="-1170"/>
          <w:tab w:val="left" w:pos="-720"/>
          <w:tab w:val="left" w:pos="0"/>
          <w:tab w:val="left" w:pos="108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pPr>
      <w:r>
        <w:t>Not applicable</w:t>
      </w:r>
      <w:r w:rsidR="00AF566B">
        <w:t>.</w:t>
      </w:r>
    </w:p>
    <w:p w:rsidR="00BA58AB" w:rsidP="000F2DD1" w14:paraId="110651B6" w14:textId="77777777">
      <w:pPr>
        <w:spacing w:after="200" w:line="240" w:lineRule="auto"/>
        <w:sectPr w:rsidSect="00EE3A27">
          <w:headerReference w:type="default" r:id="rId9"/>
          <w:footerReference w:type="default" r:id="rId10"/>
          <w:pgSz w:w="12240" w:h="15840" w:code="1"/>
          <w:pgMar w:top="1440" w:right="1440" w:bottom="1440" w:left="1440" w:header="720" w:footer="720" w:gutter="0"/>
          <w:cols w:space="720"/>
          <w:docGrid w:linePitch="360"/>
        </w:sectPr>
      </w:pPr>
    </w:p>
    <w:p w:rsidR="00D043F5" w:rsidP="00D043F5" w14:paraId="1C1D0DA1" w14:textId="693681F8">
      <w:pPr>
        <w:tabs>
          <w:tab w:val="left" w:pos="1980"/>
        </w:tabs>
        <w:spacing w:line="240" w:lineRule="auto"/>
        <w:jc w:val="center"/>
      </w:pPr>
      <w:r>
        <w:t xml:space="preserve">DESCRIPTION OF INFORMATION COLLECTION REQUIREMENTS CONTAINED IN THE </w:t>
      </w:r>
    </w:p>
    <w:p w:rsidR="00D043F5" w:rsidP="00D043F5" w14:paraId="21A0986E" w14:textId="267925A0">
      <w:pPr>
        <w:spacing w:line="240" w:lineRule="auto"/>
        <w:jc w:val="center"/>
      </w:pPr>
      <w:r>
        <w:t>ALERNATIVE PHYSICAL SECURITY REQUIREMENTS FOR ADVAN</w:t>
      </w:r>
      <w:r w:rsidR="006B3197">
        <w:t>C</w:t>
      </w:r>
      <w:r>
        <w:t>ED REACTORS PROPOSED RULE</w:t>
      </w:r>
    </w:p>
    <w:p w:rsidR="00D043F5" w:rsidP="00D043F5" w14:paraId="29047D9E" w14:textId="1FFA4DC2">
      <w:pPr>
        <w:tabs>
          <w:tab w:val="left" w:pos="1980"/>
        </w:tabs>
        <w:spacing w:line="240" w:lineRule="auto"/>
        <w:jc w:val="center"/>
      </w:pPr>
      <w:r>
        <w:t xml:space="preserve">10 CFR PART </w:t>
      </w:r>
      <w:r w:rsidR="00823364">
        <w:t>73</w:t>
      </w:r>
    </w:p>
    <w:p w:rsidR="00D043F5" w:rsidP="00D043F5" w14:paraId="2C53DF15" w14:textId="77777777">
      <w:pPr>
        <w:tabs>
          <w:tab w:val="left" w:pos="1980"/>
        </w:tabs>
        <w:spacing w:line="240" w:lineRule="auto"/>
        <w:rPr>
          <w:highlight w:val="yellow"/>
        </w:rPr>
      </w:pPr>
    </w:p>
    <w:p w:rsidR="00E726EE" w:rsidRPr="00311629" w:rsidP="00D043F5" w14:paraId="060A6B2B" w14:textId="317AD8B5">
      <w:pPr>
        <w:tabs>
          <w:tab w:val="left" w:pos="1980"/>
        </w:tabs>
        <w:spacing w:line="240" w:lineRule="auto"/>
      </w:pPr>
      <w:r>
        <w:t xml:space="preserve">The 10 CFR </w:t>
      </w:r>
      <w:r w:rsidRPr="00E726EE">
        <w:t>Part 73, “Physical Protection of Plants and Materials” (3150-0002)</w:t>
      </w:r>
      <w:r>
        <w:t xml:space="preserve"> information </w:t>
      </w:r>
      <w:r w:rsidRPr="00311629">
        <w:t>collection requirements that would be impacted by the proposed rule are discussed below.</w:t>
      </w:r>
    </w:p>
    <w:p w:rsidR="00E726EE" w:rsidRPr="00311629" w:rsidP="00E726EE" w14:paraId="51DC5991" w14:textId="77777777">
      <w:pPr>
        <w:spacing w:line="240" w:lineRule="auto"/>
      </w:pPr>
    </w:p>
    <w:p w:rsidR="00D773A2" w:rsidP="00D773A2" w14:paraId="15D972D3" w14:textId="1D6C686B">
      <w:pPr>
        <w:spacing w:line="240" w:lineRule="auto"/>
      </w:pPr>
      <w:r>
        <w:rPr>
          <w:u w:val="single"/>
        </w:rPr>
        <w:t>10 CFR</w:t>
      </w:r>
      <w:r w:rsidR="00795B76">
        <w:rPr>
          <w:u w:val="single"/>
        </w:rPr>
        <w:t xml:space="preserve"> </w:t>
      </w:r>
      <w:r w:rsidR="00FC2DA8">
        <w:rPr>
          <w:u w:val="single"/>
        </w:rPr>
        <w:t>73.55(s)</w:t>
      </w:r>
      <w:r w:rsidR="00795B76">
        <w:t xml:space="preserve"> would contain performance-based </w:t>
      </w:r>
      <w:r w:rsidR="00326EEB">
        <w:t xml:space="preserve">alternative </w:t>
      </w:r>
      <w:r w:rsidR="00506992">
        <w:t xml:space="preserve">physical security </w:t>
      </w:r>
      <w:r w:rsidR="00795B76">
        <w:t>requirements for SMRs</w:t>
      </w:r>
      <w:r w:rsidR="00451A33">
        <w:t xml:space="preserve"> or</w:t>
      </w:r>
      <w:r w:rsidR="00795B76">
        <w:t xml:space="preserve"> non-LWRs.  The current </w:t>
      </w:r>
      <w:r w:rsidR="00FC2DA8">
        <w:t>physical security</w:t>
      </w:r>
      <w:r w:rsidR="00795B76">
        <w:t xml:space="preserve"> framework </w:t>
      </w:r>
      <w:r w:rsidR="0065631E">
        <w:t xml:space="preserve">contains </w:t>
      </w:r>
      <w:r w:rsidR="00933018">
        <w:t>a mixture of performance-based and prescriptive requirements</w:t>
      </w:r>
      <w:r w:rsidR="00795B76">
        <w:t xml:space="preserve"> and consists of meeting </w:t>
      </w:r>
      <w:r w:rsidR="00DA26A0">
        <w:t>10 CFR 73.55 and</w:t>
      </w:r>
      <w:r w:rsidR="00795B76">
        <w:t xml:space="preserve"> meeting Appendix </w:t>
      </w:r>
      <w:r w:rsidR="00946DEB">
        <w:t>B</w:t>
      </w:r>
      <w:r w:rsidR="00795B76">
        <w:t xml:space="preserve"> to 10 CFR Part </w:t>
      </w:r>
      <w:r w:rsidR="00946DEB">
        <w:t>73</w:t>
      </w:r>
      <w:r w:rsidR="00795B76">
        <w:t xml:space="preserve">.  </w:t>
      </w:r>
      <w:r w:rsidRPr="00D84E02" w:rsidR="00795B76">
        <w:t>The</w:t>
      </w:r>
      <w:r w:rsidR="00795B76">
        <w:t xml:space="preserve"> new performance-based </w:t>
      </w:r>
      <w:r w:rsidR="00CD0609">
        <w:t xml:space="preserve">alternatives </w:t>
      </w:r>
      <w:r w:rsidR="00795B76">
        <w:t xml:space="preserve">would provide a means for an </w:t>
      </w:r>
      <w:r w:rsidR="00CD0609">
        <w:t>advanced reactor (</w:t>
      </w:r>
      <w:r w:rsidR="0063395B">
        <w:t>SMR</w:t>
      </w:r>
      <w:r w:rsidR="00CD0609">
        <w:t xml:space="preserve"> or non-</w:t>
      </w:r>
      <w:r w:rsidR="00F25AA3">
        <w:t>LWR</w:t>
      </w:r>
      <w:r w:rsidR="00CD0609">
        <w:t xml:space="preserve">) </w:t>
      </w:r>
      <w:r w:rsidR="00795B76">
        <w:t xml:space="preserve">applicant to </w:t>
      </w:r>
      <w:r w:rsidR="00FA7896">
        <w:t>provide more flexible and/or reduced means for achieving a similar level of physical security</w:t>
      </w:r>
      <w:r w:rsidR="00DC7A9B">
        <w:t xml:space="preserve"> commensurate with the </w:t>
      </w:r>
      <w:r w:rsidR="00490391">
        <w:t xml:space="preserve">risks </w:t>
      </w:r>
      <w:r w:rsidR="003072AF">
        <w:t xml:space="preserve">associated with </w:t>
      </w:r>
      <w:r w:rsidR="002B01B2">
        <w:t>advanced reactors</w:t>
      </w:r>
      <w:r w:rsidR="007B35AC">
        <w:t>, for those particular alternatives identified in the proposed rule,</w:t>
      </w:r>
      <w:r w:rsidR="00795B76">
        <w:t xml:space="preserve"> granted </w:t>
      </w:r>
      <w:r w:rsidR="005A4646">
        <w:t>the applicant</w:t>
      </w:r>
      <w:r w:rsidR="00795B76">
        <w:t xml:space="preserve"> meets the requirements set forth in 10 CFR </w:t>
      </w:r>
      <w:r w:rsidR="00DC7A9B">
        <w:t>73.55(s)(1)</w:t>
      </w:r>
      <w:r w:rsidR="00795B76">
        <w:t>.</w:t>
      </w:r>
      <w:r>
        <w:t xml:space="preserve">  </w:t>
      </w:r>
      <w:r w:rsidR="00F1512B">
        <w:t>T</w:t>
      </w:r>
      <w:r>
        <w:t xml:space="preserve">he proposed rule provides for five specific alternatives to existing physical security requirements in 10 CFR 73.55.  These alternatives include: </w:t>
      </w:r>
    </w:p>
    <w:p w:rsidR="00D773A2" w:rsidP="00D773A2" w14:paraId="5216B516" w14:textId="77777777">
      <w:pPr>
        <w:spacing w:line="240" w:lineRule="auto"/>
        <w:rPr>
          <w:rFonts w:eastAsia="Times New Roman"/>
        </w:rPr>
      </w:pPr>
    </w:p>
    <w:p w:rsidR="00D773A2" w:rsidRPr="0078659A" w:rsidP="00D773A2" w14:paraId="4C2DDBD1" w14:textId="77777777">
      <w:pPr>
        <w:pStyle w:val="ListParagraph"/>
        <w:numPr>
          <w:ilvl w:val="0"/>
          <w:numId w:val="15"/>
        </w:numPr>
        <w:spacing w:line="240" w:lineRule="auto"/>
      </w:pPr>
      <w:r>
        <w:rPr>
          <w:rFonts w:eastAsia="Times New Roman"/>
        </w:rPr>
        <w:t>No minimum number of onsite armed responders</w:t>
      </w:r>
    </w:p>
    <w:p w:rsidR="00D773A2" w:rsidRPr="006C1349" w:rsidP="00D773A2" w14:paraId="1656BE11" w14:textId="77777777">
      <w:pPr>
        <w:pStyle w:val="ListParagraph"/>
        <w:numPr>
          <w:ilvl w:val="0"/>
          <w:numId w:val="15"/>
        </w:numPr>
        <w:spacing w:line="240" w:lineRule="auto"/>
      </w:pPr>
      <w:r>
        <w:rPr>
          <w:rFonts w:eastAsia="Times New Roman"/>
        </w:rPr>
        <w:t>Potentially zero onsite armed responders and reliance on offsite law enforcement or other armed responders to interdict and neutralize</w:t>
      </w:r>
    </w:p>
    <w:p w:rsidR="00D773A2" w:rsidRPr="00D21FA2" w:rsidP="00D773A2" w14:paraId="18C63D30" w14:textId="77777777">
      <w:pPr>
        <w:pStyle w:val="ListParagraph"/>
        <w:numPr>
          <w:ilvl w:val="0"/>
          <w:numId w:val="15"/>
        </w:numPr>
        <w:spacing w:line="240" w:lineRule="auto"/>
      </w:pPr>
      <w:r>
        <w:rPr>
          <w:rFonts w:eastAsia="Times New Roman"/>
        </w:rPr>
        <w:t>Alternative means for physical barriers</w:t>
      </w:r>
    </w:p>
    <w:p w:rsidR="00055F19" w:rsidRPr="00992A8C" w:rsidP="00D773A2" w14:paraId="2FF35839" w14:textId="77777777">
      <w:pPr>
        <w:pStyle w:val="ListParagraph"/>
        <w:numPr>
          <w:ilvl w:val="0"/>
          <w:numId w:val="15"/>
        </w:numPr>
        <w:spacing w:line="240" w:lineRule="auto"/>
      </w:pPr>
      <w:r>
        <w:rPr>
          <w:rFonts w:eastAsia="Times New Roman"/>
        </w:rPr>
        <w:t>Secondary Alarm Station located offsite</w:t>
      </w:r>
    </w:p>
    <w:p w:rsidR="00055F19" w:rsidP="00D773A2" w14:paraId="148252A4" w14:textId="56772B1B">
      <w:pPr>
        <w:pStyle w:val="ListParagraph"/>
        <w:numPr>
          <w:ilvl w:val="0"/>
          <w:numId w:val="15"/>
        </w:numPr>
        <w:spacing w:line="240" w:lineRule="auto"/>
      </w:pPr>
      <w:r w:rsidRPr="00055F19">
        <w:rPr>
          <w:rFonts w:eastAsia="Times New Roman"/>
        </w:rPr>
        <w:t>Offsite Secondary alarm station/equipment to be a non-vital area</w:t>
      </w:r>
      <w:r w:rsidR="000E1D88">
        <w:t xml:space="preserve">  </w:t>
      </w:r>
    </w:p>
    <w:p w:rsidR="00055F19" w:rsidP="00055F19" w14:paraId="0B4AB111" w14:textId="77777777">
      <w:pPr>
        <w:spacing w:line="240" w:lineRule="auto"/>
      </w:pPr>
    </w:p>
    <w:p w:rsidR="00680709" w14:paraId="76809C34" w14:textId="37F8FD50">
      <w:pPr>
        <w:spacing w:line="240" w:lineRule="auto"/>
      </w:pPr>
      <w:r w:rsidRPr="005F5F9B">
        <w:t xml:space="preserve">For this clearance period, </w:t>
      </w:r>
      <w:r w:rsidR="00AE2EDD">
        <w:t xml:space="preserve">the NRC </w:t>
      </w:r>
      <w:r w:rsidRPr="005F5F9B">
        <w:t>expect</w:t>
      </w:r>
      <w:r w:rsidR="00AE2EDD">
        <w:t>s</w:t>
      </w:r>
      <w:r>
        <w:t xml:space="preserve"> that all of the applica</w:t>
      </w:r>
      <w:r w:rsidR="00305DF0">
        <w:t>nts</w:t>
      </w:r>
      <w:r>
        <w:t xml:space="preserve"> would </w:t>
      </w:r>
      <w:r w:rsidR="00305DF0">
        <w:t xml:space="preserve">elect </w:t>
      </w:r>
      <w:r w:rsidR="00FB1881">
        <w:t xml:space="preserve">to use </w:t>
      </w:r>
      <w:r>
        <w:t>all of the proposed five new alternatives.</w:t>
      </w:r>
      <w:r w:rsidR="00C605E5">
        <w:t xml:space="preserve"> </w:t>
      </w:r>
      <w:r w:rsidR="00F7123D">
        <w:t xml:space="preserve"> </w:t>
      </w:r>
      <w:r w:rsidR="00775E79">
        <w:t>There is a reporting burden associated with these requirements, which is imposed at the time the future licensee submits its license application under Part 50 or Part 52 or submits a change under 10 CFR 50.54(p).  Depending on whether the applicant is submitting under Part 50 or Part 52, the burden for these requirements has been captured under the Part 50 (OMB clearance number 3150-0011) or Part 52 (OMB clearance number 3150-0151) supporting statements.  Additional details about these information collection requirements are in the Part 50 and Part 52 supporting statements. (New)</w:t>
      </w:r>
      <w:r w:rsidR="00C767B5">
        <w:t xml:space="preserve"> </w:t>
      </w:r>
    </w:p>
    <w:p w:rsidR="00DD6E1C" w14:paraId="4747924C" w14:textId="77777777">
      <w:pPr>
        <w:spacing w:line="240" w:lineRule="auto"/>
      </w:pPr>
    </w:p>
    <w:p w:rsidR="00680709" w14:paraId="3C707F4B" w14:textId="76A0C756">
      <w:pPr>
        <w:spacing w:line="240" w:lineRule="auto"/>
      </w:pPr>
      <w:r w:rsidRPr="000F2DD1">
        <w:rPr>
          <w:u w:val="single"/>
        </w:rPr>
        <w:t>10 CFR 73.55(s)(</w:t>
      </w:r>
      <w:r w:rsidRPr="00DF5ABE">
        <w:rPr>
          <w:u w:val="single"/>
        </w:rPr>
        <w:t>1)(iv)</w:t>
      </w:r>
      <w:r w:rsidRPr="00DF5ABE">
        <w:t xml:space="preserve"> would add a requirement for licensees or applicants to make available for audit or inspection the technical analysis related to the eligibility criterion in 10 CFR 73.55(s)(1)(ii) </w:t>
      </w:r>
      <w:r w:rsidRPr="002D0084">
        <w:t>and maintain the analysis until the certifications</w:t>
      </w:r>
      <w:r w:rsidR="0068147E">
        <w:t xml:space="preserve"> </w:t>
      </w:r>
      <w:r w:rsidRPr="002D0084">
        <w:t xml:space="preserve">required by </w:t>
      </w:r>
      <w:r w:rsidR="005A4DBA">
        <w:t>10 CFR</w:t>
      </w:r>
      <w:r w:rsidRPr="002D0084">
        <w:t xml:space="preserve"> 50.82(a)(1) or </w:t>
      </w:r>
      <w:r w:rsidR="005A4DBA">
        <w:t>10 CFR</w:t>
      </w:r>
      <w:r w:rsidRPr="002D0084">
        <w:t xml:space="preserve"> 52.110(a) have been docketed by the NRC</w:t>
      </w:r>
      <w:r w:rsidRPr="00DF5ABE">
        <w:t>.</w:t>
      </w:r>
      <w:r w:rsidRPr="002D0084">
        <w:t xml:space="preserve"> There is a reporting burden associated with the requirement to prepare the technical analysis related to the eligibility cri</w:t>
      </w:r>
      <w:r w:rsidR="00577AEF">
        <w:t>t</w:t>
      </w:r>
      <w:r w:rsidRPr="002D0084">
        <w:t xml:space="preserve">erion, which </w:t>
      </w:r>
      <w:r w:rsidR="00AD4770">
        <w:t>would be</w:t>
      </w:r>
      <w:r w:rsidRPr="002D0084">
        <w:t xml:space="preserve"> imposed at the time </w:t>
      </w:r>
      <w:r w:rsidR="00E71A74">
        <w:t xml:space="preserve">a </w:t>
      </w:r>
      <w:r w:rsidRPr="002D0084">
        <w:t>future</w:t>
      </w:r>
      <w:r w:rsidR="00E71A74">
        <w:t xml:space="preserve"> applicant </w:t>
      </w:r>
      <w:r w:rsidRPr="002D0084">
        <w:t>submits its license application under Part 50 or Part 52.  Depending on whether the applicant is submitting</w:t>
      </w:r>
      <w:r>
        <w:t xml:space="preserve"> under Part 50 or Part 52, the </w:t>
      </w:r>
      <w:r w:rsidR="007126C4">
        <w:t xml:space="preserve">reporting </w:t>
      </w:r>
      <w:r>
        <w:t>burden for this has been captured under the Part 50 or Part 52 supporting statements.  There is also a recordkeeping burden associated with this requirement, which is captured in this supporting statement. (New)</w:t>
      </w:r>
      <w:r w:rsidRPr="00D84E02">
        <w:t xml:space="preserve">  </w:t>
      </w:r>
    </w:p>
    <w:p w:rsidR="00680709" w14:paraId="4535AC1D" w14:textId="77777777">
      <w:pPr>
        <w:spacing w:line="240" w:lineRule="auto"/>
      </w:pPr>
    </w:p>
    <w:p w:rsidR="004B00F7" w14:paraId="2FC11F7F" w14:textId="02A7F766">
      <w:pPr>
        <w:spacing w:line="240" w:lineRule="auto"/>
      </w:pPr>
      <w:r w:rsidRPr="000F2DD1">
        <w:rPr>
          <w:u w:val="single"/>
        </w:rPr>
        <w:t>10 CFR 73.55(s)(2)(ii)(A)(</w:t>
      </w:r>
      <w:r w:rsidRPr="00992A8C">
        <w:rPr>
          <w:i/>
          <w:iCs/>
          <w:u w:val="single"/>
        </w:rPr>
        <w:t>3</w:t>
      </w:r>
      <w:r w:rsidRPr="000F2DD1">
        <w:rPr>
          <w:u w:val="single"/>
        </w:rPr>
        <w:t>)</w:t>
      </w:r>
      <w:r>
        <w:t xml:space="preserve"> would add a</w:t>
      </w:r>
      <w:r w:rsidR="00B212CE">
        <w:t xml:space="preserve"> </w:t>
      </w:r>
      <w:r w:rsidR="00112B6B">
        <w:t>requirement to</w:t>
      </w:r>
      <w:r w:rsidRPr="00112B6B" w:rsidR="00112B6B">
        <w:t xml:space="preserve"> provide necessary information about the facility and make available periodic training to law enforcement or other offsite </w:t>
      </w:r>
      <w:r w:rsidR="00894EFF">
        <w:t xml:space="preserve">armed </w:t>
      </w:r>
      <w:r w:rsidRPr="00112B6B" w:rsidR="00112B6B">
        <w:t>responders to fulfill the interdiction and neutralization functions for threats up to and including the DBT of radiological sabotage.</w:t>
      </w:r>
      <w:r w:rsidR="003E3FBB">
        <w:t xml:space="preserve"> There is a third-party disclosure burden associated with this requirement</w:t>
      </w:r>
      <w:r w:rsidR="00641525">
        <w:t>. (New)</w:t>
      </w:r>
      <w:r w:rsidR="00112B6B">
        <w:t xml:space="preserve">  </w:t>
      </w:r>
    </w:p>
    <w:p w:rsidR="00AA7815" w14:paraId="6D3E87E9" w14:textId="12F0DCC0">
      <w:pPr>
        <w:spacing w:line="240" w:lineRule="auto"/>
      </w:pPr>
    </w:p>
    <w:p w:rsidR="004B00F7" w14:paraId="5C9F6A8D" w14:textId="362C0968">
      <w:pPr>
        <w:spacing w:line="240" w:lineRule="auto"/>
      </w:pPr>
    </w:p>
    <w:p w:rsidR="00BA58AB" w:rsidP="00A91485" w14:paraId="4C037FD9" w14:textId="1B236787">
      <w:pPr>
        <w:spacing w:after="200" w:line="240" w:lineRule="auto"/>
      </w:pPr>
      <w:r>
        <w:rPr>
          <w:u w:val="single"/>
        </w:rPr>
        <w:t xml:space="preserve">10 CFR </w:t>
      </w:r>
      <w:r w:rsidRPr="00BE4E63">
        <w:rPr>
          <w:u w:val="single"/>
        </w:rPr>
        <w:t>73.55(s)(2)(ii)(A)(</w:t>
      </w:r>
      <w:r w:rsidRPr="00BE4E63">
        <w:rPr>
          <w:i/>
          <w:iCs/>
          <w:u w:val="single"/>
        </w:rPr>
        <w:t>4</w:t>
      </w:r>
      <w:r w:rsidRPr="00BE4E63">
        <w:rPr>
          <w:u w:val="single"/>
        </w:rPr>
        <w:t>)</w:t>
      </w:r>
      <w:r>
        <w:rPr>
          <w:u w:val="single"/>
        </w:rPr>
        <w:t>-</w:t>
      </w:r>
      <w:r w:rsidRPr="00BE4E63">
        <w:rPr>
          <w:u w:val="single"/>
        </w:rPr>
        <w:t>(</w:t>
      </w:r>
      <w:r w:rsidRPr="00BE4E63">
        <w:rPr>
          <w:i/>
          <w:iCs/>
          <w:u w:val="single"/>
        </w:rPr>
        <w:t>5</w:t>
      </w:r>
      <w:r w:rsidRPr="00BE4E63">
        <w:rPr>
          <w:u w:val="single"/>
        </w:rPr>
        <w:t>)</w:t>
      </w:r>
      <w:r>
        <w:t xml:space="preserve"> would add a requirement for applicants who elect the proposed alternative of relying on law enforcement or other offsite</w:t>
      </w:r>
      <w:r w:rsidR="00A363E7">
        <w:t xml:space="preserve"> armed</w:t>
      </w:r>
      <w:r>
        <w:t xml:space="preserve"> responders to fulfill the interdiction and neutralization functions to identify and plan for the role of law enforcement or other offsite </w:t>
      </w:r>
      <w:r w:rsidR="00A363E7">
        <w:t xml:space="preserve">armed </w:t>
      </w:r>
      <w:r>
        <w:t xml:space="preserve">responders in a safeguards contingency event.  There is a reporting burden associated with these requirements, which is imposed at the time the future licensee submits its license application under Part 50 or Part 52 or submits a change under 10 CFR 50.54(p).  Depending on whether the applicant is submitting under Part 50 or Part 52, the burden for these requirements has been captured under the Part 50 (OMB clearance number 3150-0011) or Part 52 (OMB clearance number 3150-0151) supporting statements.  Additional details about these information collection requirements are in the Part 50 and Part 52 supporting statements. (New)  </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9B5" w14:paraId="58C924A6" w14:textId="77777777">
    <w:r>
      <w:tab/>
    </w:r>
    <w:r>
      <w:tab/>
    </w:r>
    <w:r>
      <w:tab/>
    </w:r>
    <w:r>
      <w:tab/>
    </w:r>
    <w:r>
      <w:tab/>
    </w:r>
    <w:r>
      <w:tab/>
    </w:r>
    <w:r>
      <w:tab/>
    </w:r>
    <w:r>
      <w:tab/>
    </w:r>
    <w:r>
      <w:tab/>
    </w:r>
  </w:p>
  <w:p w:rsidR="00AD39B5" w14:paraId="378FD3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9B5" w14:paraId="2CCE1CB0" w14:textId="77777777">
    <w:r>
      <w:tab/>
    </w:r>
    <w:r>
      <w:tab/>
    </w:r>
    <w:r>
      <w:tab/>
    </w:r>
    <w:r>
      <w:tab/>
    </w:r>
    <w:r>
      <w:tab/>
    </w:r>
    <w:r>
      <w:tab/>
    </w:r>
    <w:r>
      <w:tab/>
    </w:r>
    <w:r>
      <w:tab/>
    </w:r>
    <w:r>
      <w:tab/>
    </w:r>
  </w:p>
  <w:p w:rsidR="00AD39B5" w14:paraId="7A2F5C0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2145452"/>
      <w:docPartObj>
        <w:docPartGallery w:val="Page Numbers (Top of Page)"/>
        <w:docPartUnique/>
      </w:docPartObj>
    </w:sdtPr>
    <w:sdtEndPr>
      <w:rPr>
        <w:rFonts w:ascii="Arial" w:hAnsi="Arial" w:cs="Arial"/>
        <w:noProof/>
        <w:sz w:val="22"/>
        <w:szCs w:val="22"/>
      </w:rPr>
    </w:sdtEndPr>
    <w:sdtContent>
      <w:p w:rsidR="00AD39B5" w14:paraId="683E0532" w14:textId="77777777">
        <w:pPr>
          <w:pStyle w:val="Head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13</w:t>
        </w:r>
        <w:r>
          <w:rPr>
            <w:rFonts w:ascii="Arial" w:hAnsi="Arial" w:cs="Arial"/>
            <w:noProof/>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6052737"/>
      <w:docPartObj>
        <w:docPartGallery w:val="Page Numbers (Top of Page)"/>
        <w:docPartUnique/>
      </w:docPartObj>
    </w:sdtPr>
    <w:sdtEndPr>
      <w:rPr>
        <w:rFonts w:ascii="Arial" w:hAnsi="Arial" w:cs="Arial"/>
        <w:noProof/>
        <w:sz w:val="22"/>
        <w:szCs w:val="22"/>
      </w:rPr>
    </w:sdtEndPr>
    <w:sdtContent>
      <w:p w:rsidR="00AD39B5" w14:paraId="40FDFC66" w14:textId="77777777">
        <w:pPr>
          <w:pStyle w:val="Head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16</w:t>
        </w:r>
        <w:r>
          <w:rPr>
            <w:rFonts w:ascii="Arial" w:hAnsi="Arial" w:cs="Arial"/>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135C621A"/>
    <w:multiLevelType w:val="hybridMultilevel"/>
    <w:tmpl w:val="36A6CB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815DB2"/>
    <w:multiLevelType w:val="hybridMultilevel"/>
    <w:tmpl w:val="60F63B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D960D3"/>
    <w:multiLevelType w:val="hybridMultilevel"/>
    <w:tmpl w:val="CF080CF8"/>
    <w:lvl w:ilvl="0">
      <w:start w:val="10"/>
      <w:numFmt w:val="bullet"/>
      <w:lvlText w:val=""/>
      <w:lvlJc w:val="left"/>
      <w:pPr>
        <w:ind w:left="1080" w:hanging="360"/>
      </w:pPr>
      <w:rPr>
        <w:rFonts w:ascii="Symbol" w:hAnsi="Symbol" w:eastAsiaTheme="minorHAnsi" w:cs="Arial" w:hint="default"/>
        <w:i/>
        <w:sz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9832F1"/>
    <w:multiLevelType w:val="hybridMultilevel"/>
    <w:tmpl w:val="4BD0F54E"/>
    <w:lvl w:ilvl="0">
      <w:start w:val="1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9C765E"/>
    <w:multiLevelType w:val="hybridMultilevel"/>
    <w:tmpl w:val="7752DF9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320E6EC5"/>
    <w:multiLevelType w:val="hybridMultilevel"/>
    <w:tmpl w:val="34EE1E02"/>
    <w:lvl w:ilvl="0">
      <w:start w:val="2"/>
      <w:numFmt w:val="bullet"/>
      <w:lvlText w:val="-"/>
      <w:lvlJc w:val="left"/>
      <w:pPr>
        <w:ind w:left="1890" w:hanging="360"/>
      </w:pPr>
      <w:rPr>
        <w:rFonts w:ascii="Arial" w:eastAsia="Times New Roman" w:hAnsi="Arial" w:cs="Aria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7">
    <w:nsid w:val="32646D6F"/>
    <w:multiLevelType w:val="hybridMultilevel"/>
    <w:tmpl w:val="F7CAA1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33393F62"/>
    <w:multiLevelType w:val="hybridMultilevel"/>
    <w:tmpl w:val="5E3C9D34"/>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866D57"/>
    <w:multiLevelType w:val="hybridMultilevel"/>
    <w:tmpl w:val="4D96D010"/>
    <w:lvl w:ilvl="0">
      <w:start w:val="5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6D5351"/>
    <w:multiLevelType w:val="hybridMultilevel"/>
    <w:tmpl w:val="5E3C9D34"/>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C74E67"/>
    <w:multiLevelType w:val="hybridMultilevel"/>
    <w:tmpl w:val="1EB8D6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8330EF"/>
    <w:multiLevelType w:val="hybridMultilevel"/>
    <w:tmpl w:val="0D7EFF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4BD399C"/>
    <w:multiLevelType w:val="hybridMultilevel"/>
    <w:tmpl w:val="46E078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8041509">
    <w:abstractNumId w:val="13"/>
  </w:num>
  <w:num w:numId="2" w16cid:durableId="1763724625">
    <w:abstractNumId w:val="2"/>
  </w:num>
  <w:num w:numId="3" w16cid:durableId="1405910941">
    <w:abstractNumId w:val="9"/>
  </w:num>
  <w:num w:numId="4" w16cid:durableId="2123184655">
    <w:abstractNumId w:val="7"/>
  </w:num>
  <w:num w:numId="5" w16cid:durableId="918709828">
    <w:abstractNumId w:val="10"/>
  </w:num>
  <w:num w:numId="6" w16cid:durableId="331301794">
    <w:abstractNumId w:val="0"/>
  </w:num>
  <w:num w:numId="7" w16cid:durableId="1779334182">
    <w:abstractNumId w:val="14"/>
  </w:num>
  <w:num w:numId="8" w16cid:durableId="305664562">
    <w:abstractNumId w:val="1"/>
  </w:num>
  <w:num w:numId="9" w16cid:durableId="277103179">
    <w:abstractNumId w:val="6"/>
  </w:num>
  <w:num w:numId="10" w16cid:durableId="1678651593">
    <w:abstractNumId w:val="5"/>
  </w:num>
  <w:num w:numId="11" w16cid:durableId="1342463340">
    <w:abstractNumId w:val="4"/>
  </w:num>
  <w:num w:numId="12" w16cid:durableId="445463085">
    <w:abstractNumId w:val="3"/>
  </w:num>
  <w:num w:numId="13" w16cid:durableId="614824782">
    <w:abstractNumId w:val="11"/>
  </w:num>
  <w:num w:numId="14" w16cid:durableId="1401296001">
    <w:abstractNumId w:val="12"/>
  </w:num>
  <w:num w:numId="15" w16cid:durableId="1768497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AB"/>
    <w:rsid w:val="00000F00"/>
    <w:rsid w:val="00002A48"/>
    <w:rsid w:val="00003737"/>
    <w:rsid w:val="000039E3"/>
    <w:rsid w:val="00005217"/>
    <w:rsid w:val="000053F2"/>
    <w:rsid w:val="000057C3"/>
    <w:rsid w:val="0001155B"/>
    <w:rsid w:val="00011B0D"/>
    <w:rsid w:val="000135E7"/>
    <w:rsid w:val="00013EE0"/>
    <w:rsid w:val="0001495B"/>
    <w:rsid w:val="00015133"/>
    <w:rsid w:val="000155C4"/>
    <w:rsid w:val="0003072D"/>
    <w:rsid w:val="00036ED9"/>
    <w:rsid w:val="000405DE"/>
    <w:rsid w:val="00040A68"/>
    <w:rsid w:val="00040B07"/>
    <w:rsid w:val="00042209"/>
    <w:rsid w:val="0004782B"/>
    <w:rsid w:val="00054F44"/>
    <w:rsid w:val="0005504B"/>
    <w:rsid w:val="00055F19"/>
    <w:rsid w:val="00056D1A"/>
    <w:rsid w:val="000606FC"/>
    <w:rsid w:val="000607BE"/>
    <w:rsid w:val="00060A31"/>
    <w:rsid w:val="00061242"/>
    <w:rsid w:val="00061A7B"/>
    <w:rsid w:val="00061B19"/>
    <w:rsid w:val="00064542"/>
    <w:rsid w:val="0006485C"/>
    <w:rsid w:val="000715F5"/>
    <w:rsid w:val="0007754A"/>
    <w:rsid w:val="00077F78"/>
    <w:rsid w:val="00080EF2"/>
    <w:rsid w:val="00083879"/>
    <w:rsid w:val="00083CAE"/>
    <w:rsid w:val="00084842"/>
    <w:rsid w:val="00084AF6"/>
    <w:rsid w:val="000861C9"/>
    <w:rsid w:val="000863E4"/>
    <w:rsid w:val="0009049E"/>
    <w:rsid w:val="00091BF9"/>
    <w:rsid w:val="0009467E"/>
    <w:rsid w:val="000966E2"/>
    <w:rsid w:val="000A4759"/>
    <w:rsid w:val="000A5044"/>
    <w:rsid w:val="000B119C"/>
    <w:rsid w:val="000B1E80"/>
    <w:rsid w:val="000B6365"/>
    <w:rsid w:val="000C1E95"/>
    <w:rsid w:val="000C2473"/>
    <w:rsid w:val="000C2EBC"/>
    <w:rsid w:val="000C5875"/>
    <w:rsid w:val="000C5EBA"/>
    <w:rsid w:val="000C6D71"/>
    <w:rsid w:val="000D1CED"/>
    <w:rsid w:val="000D27C5"/>
    <w:rsid w:val="000D32DC"/>
    <w:rsid w:val="000D5655"/>
    <w:rsid w:val="000D66ED"/>
    <w:rsid w:val="000D67B0"/>
    <w:rsid w:val="000E1D88"/>
    <w:rsid w:val="000E2155"/>
    <w:rsid w:val="000E2AD2"/>
    <w:rsid w:val="000E4994"/>
    <w:rsid w:val="000F0FBC"/>
    <w:rsid w:val="000F13F8"/>
    <w:rsid w:val="000F2DD1"/>
    <w:rsid w:val="000F3DAA"/>
    <w:rsid w:val="000F4BAE"/>
    <w:rsid w:val="000F7F72"/>
    <w:rsid w:val="001011F5"/>
    <w:rsid w:val="0010140A"/>
    <w:rsid w:val="00101427"/>
    <w:rsid w:val="00102BC0"/>
    <w:rsid w:val="00104BF5"/>
    <w:rsid w:val="001079F1"/>
    <w:rsid w:val="00112B6B"/>
    <w:rsid w:val="001149CF"/>
    <w:rsid w:val="001200EA"/>
    <w:rsid w:val="001202B5"/>
    <w:rsid w:val="00121241"/>
    <w:rsid w:val="001220B5"/>
    <w:rsid w:val="001220F5"/>
    <w:rsid w:val="00124A1B"/>
    <w:rsid w:val="00124F95"/>
    <w:rsid w:val="00125A8D"/>
    <w:rsid w:val="00125D24"/>
    <w:rsid w:val="00127B49"/>
    <w:rsid w:val="00130ABD"/>
    <w:rsid w:val="00130ED9"/>
    <w:rsid w:val="00132139"/>
    <w:rsid w:val="00132800"/>
    <w:rsid w:val="00134945"/>
    <w:rsid w:val="00135A42"/>
    <w:rsid w:val="00137540"/>
    <w:rsid w:val="00137774"/>
    <w:rsid w:val="00140BEA"/>
    <w:rsid w:val="00140CD8"/>
    <w:rsid w:val="00142353"/>
    <w:rsid w:val="00144009"/>
    <w:rsid w:val="00146AE0"/>
    <w:rsid w:val="00146AFB"/>
    <w:rsid w:val="0015046E"/>
    <w:rsid w:val="00153FD8"/>
    <w:rsid w:val="00160179"/>
    <w:rsid w:val="00161900"/>
    <w:rsid w:val="00162F5A"/>
    <w:rsid w:val="001632BF"/>
    <w:rsid w:val="001658A6"/>
    <w:rsid w:val="00170BC5"/>
    <w:rsid w:val="00172201"/>
    <w:rsid w:val="00172EFA"/>
    <w:rsid w:val="00173090"/>
    <w:rsid w:val="00174C44"/>
    <w:rsid w:val="001763E0"/>
    <w:rsid w:val="00176426"/>
    <w:rsid w:val="001766A0"/>
    <w:rsid w:val="00176A3E"/>
    <w:rsid w:val="00176EA6"/>
    <w:rsid w:val="00180EE9"/>
    <w:rsid w:val="00181006"/>
    <w:rsid w:val="001812F1"/>
    <w:rsid w:val="00182AEE"/>
    <w:rsid w:val="0018329C"/>
    <w:rsid w:val="001857AC"/>
    <w:rsid w:val="00187B94"/>
    <w:rsid w:val="00192E00"/>
    <w:rsid w:val="00194696"/>
    <w:rsid w:val="001A13A0"/>
    <w:rsid w:val="001A2559"/>
    <w:rsid w:val="001A45F5"/>
    <w:rsid w:val="001A7A07"/>
    <w:rsid w:val="001A7FFA"/>
    <w:rsid w:val="001B0011"/>
    <w:rsid w:val="001B0C79"/>
    <w:rsid w:val="001B2621"/>
    <w:rsid w:val="001B2E5F"/>
    <w:rsid w:val="001B7586"/>
    <w:rsid w:val="001B7EB5"/>
    <w:rsid w:val="001C2DC5"/>
    <w:rsid w:val="001C3822"/>
    <w:rsid w:val="001C4D10"/>
    <w:rsid w:val="001C7BB1"/>
    <w:rsid w:val="001D1A82"/>
    <w:rsid w:val="001D2703"/>
    <w:rsid w:val="001D2C63"/>
    <w:rsid w:val="001D51DF"/>
    <w:rsid w:val="001D662F"/>
    <w:rsid w:val="001D7973"/>
    <w:rsid w:val="001E18CC"/>
    <w:rsid w:val="001E2994"/>
    <w:rsid w:val="001E345F"/>
    <w:rsid w:val="001E4098"/>
    <w:rsid w:val="001E4C17"/>
    <w:rsid w:val="001F1D93"/>
    <w:rsid w:val="001F36A2"/>
    <w:rsid w:val="001F3F92"/>
    <w:rsid w:val="001F52D0"/>
    <w:rsid w:val="001F5B97"/>
    <w:rsid w:val="001F6370"/>
    <w:rsid w:val="001F72F7"/>
    <w:rsid w:val="001F7AAE"/>
    <w:rsid w:val="00200D3A"/>
    <w:rsid w:val="002012E4"/>
    <w:rsid w:val="00201B4C"/>
    <w:rsid w:val="0020239C"/>
    <w:rsid w:val="0020348D"/>
    <w:rsid w:val="0020551D"/>
    <w:rsid w:val="00207B5C"/>
    <w:rsid w:val="002108E1"/>
    <w:rsid w:val="002115CB"/>
    <w:rsid w:val="00211AD6"/>
    <w:rsid w:val="002123A2"/>
    <w:rsid w:val="00212766"/>
    <w:rsid w:val="002160F2"/>
    <w:rsid w:val="00217B29"/>
    <w:rsid w:val="002200CB"/>
    <w:rsid w:val="00220847"/>
    <w:rsid w:val="00222D50"/>
    <w:rsid w:val="00222F1A"/>
    <w:rsid w:val="0022326B"/>
    <w:rsid w:val="00223305"/>
    <w:rsid w:val="002244A0"/>
    <w:rsid w:val="002254F5"/>
    <w:rsid w:val="002258DD"/>
    <w:rsid w:val="00225EFA"/>
    <w:rsid w:val="00225FD1"/>
    <w:rsid w:val="00226CFD"/>
    <w:rsid w:val="00226D15"/>
    <w:rsid w:val="002318DC"/>
    <w:rsid w:val="00232D05"/>
    <w:rsid w:val="00232F81"/>
    <w:rsid w:val="00235447"/>
    <w:rsid w:val="00235481"/>
    <w:rsid w:val="00235631"/>
    <w:rsid w:val="002364DD"/>
    <w:rsid w:val="00237312"/>
    <w:rsid w:val="002400FC"/>
    <w:rsid w:val="002440EC"/>
    <w:rsid w:val="00246D1E"/>
    <w:rsid w:val="00247400"/>
    <w:rsid w:val="00247AA4"/>
    <w:rsid w:val="00250821"/>
    <w:rsid w:val="002534D0"/>
    <w:rsid w:val="002579C9"/>
    <w:rsid w:val="00260963"/>
    <w:rsid w:val="00260B8F"/>
    <w:rsid w:val="002610F5"/>
    <w:rsid w:val="0026216C"/>
    <w:rsid w:val="002637EC"/>
    <w:rsid w:val="002642A8"/>
    <w:rsid w:val="002650AB"/>
    <w:rsid w:val="00265197"/>
    <w:rsid w:val="00265DDD"/>
    <w:rsid w:val="00266461"/>
    <w:rsid w:val="00267B8C"/>
    <w:rsid w:val="00270877"/>
    <w:rsid w:val="00270BA5"/>
    <w:rsid w:val="00271022"/>
    <w:rsid w:val="00271C9E"/>
    <w:rsid w:val="00272400"/>
    <w:rsid w:val="00272A7C"/>
    <w:rsid w:val="00273631"/>
    <w:rsid w:val="00273725"/>
    <w:rsid w:val="00280ED8"/>
    <w:rsid w:val="0028145D"/>
    <w:rsid w:val="002853B3"/>
    <w:rsid w:val="00287824"/>
    <w:rsid w:val="00290DE4"/>
    <w:rsid w:val="00292B85"/>
    <w:rsid w:val="00295F7B"/>
    <w:rsid w:val="002A10B1"/>
    <w:rsid w:val="002A1C12"/>
    <w:rsid w:val="002A2B43"/>
    <w:rsid w:val="002A588A"/>
    <w:rsid w:val="002AF50C"/>
    <w:rsid w:val="002B01B2"/>
    <w:rsid w:val="002B03BC"/>
    <w:rsid w:val="002B16C3"/>
    <w:rsid w:val="002B1D60"/>
    <w:rsid w:val="002B37EE"/>
    <w:rsid w:val="002B3F2E"/>
    <w:rsid w:val="002B42D7"/>
    <w:rsid w:val="002B488C"/>
    <w:rsid w:val="002B4D88"/>
    <w:rsid w:val="002B6722"/>
    <w:rsid w:val="002C3D31"/>
    <w:rsid w:val="002C3E71"/>
    <w:rsid w:val="002C5507"/>
    <w:rsid w:val="002C5DBB"/>
    <w:rsid w:val="002C5E80"/>
    <w:rsid w:val="002D0084"/>
    <w:rsid w:val="002D3060"/>
    <w:rsid w:val="002D47E1"/>
    <w:rsid w:val="002D5004"/>
    <w:rsid w:val="002D5432"/>
    <w:rsid w:val="002D76B7"/>
    <w:rsid w:val="002E5967"/>
    <w:rsid w:val="002E6210"/>
    <w:rsid w:val="002EB201"/>
    <w:rsid w:val="002F3767"/>
    <w:rsid w:val="002F3993"/>
    <w:rsid w:val="002F4CEC"/>
    <w:rsid w:val="002F5FD4"/>
    <w:rsid w:val="00302D6A"/>
    <w:rsid w:val="0030304A"/>
    <w:rsid w:val="00305DF0"/>
    <w:rsid w:val="003072AF"/>
    <w:rsid w:val="00310FC7"/>
    <w:rsid w:val="00311629"/>
    <w:rsid w:val="00313DAC"/>
    <w:rsid w:val="00314AF4"/>
    <w:rsid w:val="00316190"/>
    <w:rsid w:val="0031733D"/>
    <w:rsid w:val="003175B4"/>
    <w:rsid w:val="00317758"/>
    <w:rsid w:val="00320095"/>
    <w:rsid w:val="00323DF1"/>
    <w:rsid w:val="00324318"/>
    <w:rsid w:val="00326D6C"/>
    <w:rsid w:val="00326EEB"/>
    <w:rsid w:val="00327289"/>
    <w:rsid w:val="00327B16"/>
    <w:rsid w:val="003304A3"/>
    <w:rsid w:val="003337C6"/>
    <w:rsid w:val="003338F7"/>
    <w:rsid w:val="00334C7C"/>
    <w:rsid w:val="0033752D"/>
    <w:rsid w:val="0034023B"/>
    <w:rsid w:val="003409D2"/>
    <w:rsid w:val="003414B5"/>
    <w:rsid w:val="00341CD2"/>
    <w:rsid w:val="0034294F"/>
    <w:rsid w:val="00343D5B"/>
    <w:rsid w:val="00343E75"/>
    <w:rsid w:val="003450F0"/>
    <w:rsid w:val="003452F2"/>
    <w:rsid w:val="00350AA1"/>
    <w:rsid w:val="00353490"/>
    <w:rsid w:val="00354B07"/>
    <w:rsid w:val="00355792"/>
    <w:rsid w:val="00356CD9"/>
    <w:rsid w:val="00362F5D"/>
    <w:rsid w:val="00365E6C"/>
    <w:rsid w:val="00367332"/>
    <w:rsid w:val="0037391C"/>
    <w:rsid w:val="00382EE5"/>
    <w:rsid w:val="00383EBB"/>
    <w:rsid w:val="003845A6"/>
    <w:rsid w:val="0038571D"/>
    <w:rsid w:val="0038749D"/>
    <w:rsid w:val="00387A6F"/>
    <w:rsid w:val="0039115A"/>
    <w:rsid w:val="00391484"/>
    <w:rsid w:val="00394255"/>
    <w:rsid w:val="0039613B"/>
    <w:rsid w:val="003A035B"/>
    <w:rsid w:val="003A0826"/>
    <w:rsid w:val="003A3140"/>
    <w:rsid w:val="003A616C"/>
    <w:rsid w:val="003A7327"/>
    <w:rsid w:val="003B0926"/>
    <w:rsid w:val="003B4160"/>
    <w:rsid w:val="003B4ABF"/>
    <w:rsid w:val="003B6498"/>
    <w:rsid w:val="003B7566"/>
    <w:rsid w:val="003B7AD7"/>
    <w:rsid w:val="003C0595"/>
    <w:rsid w:val="003C07EE"/>
    <w:rsid w:val="003C1715"/>
    <w:rsid w:val="003C176D"/>
    <w:rsid w:val="003C24AA"/>
    <w:rsid w:val="003C3AE1"/>
    <w:rsid w:val="003C5BD5"/>
    <w:rsid w:val="003C76D3"/>
    <w:rsid w:val="003D12EC"/>
    <w:rsid w:val="003D2548"/>
    <w:rsid w:val="003D5DE2"/>
    <w:rsid w:val="003D70E4"/>
    <w:rsid w:val="003D7460"/>
    <w:rsid w:val="003E0BA6"/>
    <w:rsid w:val="003E38CD"/>
    <w:rsid w:val="003E3EA2"/>
    <w:rsid w:val="003E3FBB"/>
    <w:rsid w:val="003E4E08"/>
    <w:rsid w:val="003E6275"/>
    <w:rsid w:val="003E6545"/>
    <w:rsid w:val="003E694F"/>
    <w:rsid w:val="003F18E5"/>
    <w:rsid w:val="003F4DB7"/>
    <w:rsid w:val="003F6965"/>
    <w:rsid w:val="004006A1"/>
    <w:rsid w:val="00401B97"/>
    <w:rsid w:val="00401C26"/>
    <w:rsid w:val="0040273F"/>
    <w:rsid w:val="004031CA"/>
    <w:rsid w:val="004044D1"/>
    <w:rsid w:val="00404A35"/>
    <w:rsid w:val="00404A7F"/>
    <w:rsid w:val="00404B7F"/>
    <w:rsid w:val="00406AFE"/>
    <w:rsid w:val="00410FD7"/>
    <w:rsid w:val="0041229C"/>
    <w:rsid w:val="00413E4C"/>
    <w:rsid w:val="00416248"/>
    <w:rsid w:val="004228CB"/>
    <w:rsid w:val="00422F23"/>
    <w:rsid w:val="00424778"/>
    <w:rsid w:val="00425FD1"/>
    <w:rsid w:val="0043051E"/>
    <w:rsid w:val="004307A7"/>
    <w:rsid w:val="004318A2"/>
    <w:rsid w:val="00433736"/>
    <w:rsid w:val="0043383B"/>
    <w:rsid w:val="004349E2"/>
    <w:rsid w:val="00435661"/>
    <w:rsid w:val="0043583A"/>
    <w:rsid w:val="00440065"/>
    <w:rsid w:val="004433FA"/>
    <w:rsid w:val="00443DF5"/>
    <w:rsid w:val="00445A4F"/>
    <w:rsid w:val="00446937"/>
    <w:rsid w:val="00446C5C"/>
    <w:rsid w:val="004516E7"/>
    <w:rsid w:val="00451A33"/>
    <w:rsid w:val="00454062"/>
    <w:rsid w:val="004560B1"/>
    <w:rsid w:val="00456763"/>
    <w:rsid w:val="0045696F"/>
    <w:rsid w:val="00456FA3"/>
    <w:rsid w:val="00457585"/>
    <w:rsid w:val="00460024"/>
    <w:rsid w:val="00461AC3"/>
    <w:rsid w:val="00463B3B"/>
    <w:rsid w:val="00464D21"/>
    <w:rsid w:val="0046507E"/>
    <w:rsid w:val="0046519D"/>
    <w:rsid w:val="00465E1F"/>
    <w:rsid w:val="00467C62"/>
    <w:rsid w:val="004705E8"/>
    <w:rsid w:val="004706FC"/>
    <w:rsid w:val="00473F5A"/>
    <w:rsid w:val="00477C3B"/>
    <w:rsid w:val="0048485E"/>
    <w:rsid w:val="00484A7D"/>
    <w:rsid w:val="004855B8"/>
    <w:rsid w:val="00487A39"/>
    <w:rsid w:val="00490391"/>
    <w:rsid w:val="00491AF2"/>
    <w:rsid w:val="00492D21"/>
    <w:rsid w:val="00495689"/>
    <w:rsid w:val="0049667B"/>
    <w:rsid w:val="00496C17"/>
    <w:rsid w:val="004976AF"/>
    <w:rsid w:val="004A0117"/>
    <w:rsid w:val="004A11E6"/>
    <w:rsid w:val="004A16E0"/>
    <w:rsid w:val="004A39E9"/>
    <w:rsid w:val="004A4AB0"/>
    <w:rsid w:val="004A5C12"/>
    <w:rsid w:val="004A5D05"/>
    <w:rsid w:val="004A76FD"/>
    <w:rsid w:val="004B00F7"/>
    <w:rsid w:val="004B0510"/>
    <w:rsid w:val="004B1E3C"/>
    <w:rsid w:val="004B2BFD"/>
    <w:rsid w:val="004B41AF"/>
    <w:rsid w:val="004B4B7F"/>
    <w:rsid w:val="004B5BF0"/>
    <w:rsid w:val="004B5D4F"/>
    <w:rsid w:val="004B5FF2"/>
    <w:rsid w:val="004B602F"/>
    <w:rsid w:val="004B67AB"/>
    <w:rsid w:val="004B7A65"/>
    <w:rsid w:val="004C01FA"/>
    <w:rsid w:val="004C189D"/>
    <w:rsid w:val="004C19A6"/>
    <w:rsid w:val="004C55EA"/>
    <w:rsid w:val="004C68A8"/>
    <w:rsid w:val="004C6E67"/>
    <w:rsid w:val="004C7C69"/>
    <w:rsid w:val="004D44CD"/>
    <w:rsid w:val="004D5182"/>
    <w:rsid w:val="004D744A"/>
    <w:rsid w:val="004D76F3"/>
    <w:rsid w:val="004E16F2"/>
    <w:rsid w:val="004E6DA7"/>
    <w:rsid w:val="004F15AE"/>
    <w:rsid w:val="004F2274"/>
    <w:rsid w:val="004F2B1C"/>
    <w:rsid w:val="004F5693"/>
    <w:rsid w:val="004F588C"/>
    <w:rsid w:val="004F7D10"/>
    <w:rsid w:val="0050099E"/>
    <w:rsid w:val="005020E1"/>
    <w:rsid w:val="005031AA"/>
    <w:rsid w:val="00503EDE"/>
    <w:rsid w:val="0050594A"/>
    <w:rsid w:val="00505E98"/>
    <w:rsid w:val="00505FDA"/>
    <w:rsid w:val="00506992"/>
    <w:rsid w:val="00513123"/>
    <w:rsid w:val="0051388F"/>
    <w:rsid w:val="00513AE2"/>
    <w:rsid w:val="00513F39"/>
    <w:rsid w:val="005143ED"/>
    <w:rsid w:val="0051466F"/>
    <w:rsid w:val="00521B7F"/>
    <w:rsid w:val="00522503"/>
    <w:rsid w:val="00523CF5"/>
    <w:rsid w:val="00524A91"/>
    <w:rsid w:val="00530119"/>
    <w:rsid w:val="0053063B"/>
    <w:rsid w:val="00531C29"/>
    <w:rsid w:val="005327EB"/>
    <w:rsid w:val="0053289B"/>
    <w:rsid w:val="005349CE"/>
    <w:rsid w:val="00535904"/>
    <w:rsid w:val="00540D2F"/>
    <w:rsid w:val="00541156"/>
    <w:rsid w:val="00541DF6"/>
    <w:rsid w:val="00544086"/>
    <w:rsid w:val="00544A67"/>
    <w:rsid w:val="00544F61"/>
    <w:rsid w:val="0055087E"/>
    <w:rsid w:val="005508E8"/>
    <w:rsid w:val="00551254"/>
    <w:rsid w:val="00555181"/>
    <w:rsid w:val="005553DD"/>
    <w:rsid w:val="005606A2"/>
    <w:rsid w:val="00560BE9"/>
    <w:rsid w:val="00562334"/>
    <w:rsid w:val="00562D87"/>
    <w:rsid w:val="00565741"/>
    <w:rsid w:val="00565BA9"/>
    <w:rsid w:val="00565C0A"/>
    <w:rsid w:val="00567104"/>
    <w:rsid w:val="00567191"/>
    <w:rsid w:val="00567DAF"/>
    <w:rsid w:val="00577AEF"/>
    <w:rsid w:val="0058070A"/>
    <w:rsid w:val="00580A11"/>
    <w:rsid w:val="005827AE"/>
    <w:rsid w:val="00583C4F"/>
    <w:rsid w:val="005841C9"/>
    <w:rsid w:val="00595E35"/>
    <w:rsid w:val="00596960"/>
    <w:rsid w:val="005972EC"/>
    <w:rsid w:val="005A1259"/>
    <w:rsid w:val="005A3E32"/>
    <w:rsid w:val="005A4646"/>
    <w:rsid w:val="005A4CC1"/>
    <w:rsid w:val="005A4DBA"/>
    <w:rsid w:val="005A56D4"/>
    <w:rsid w:val="005B1DCD"/>
    <w:rsid w:val="005B4452"/>
    <w:rsid w:val="005B5357"/>
    <w:rsid w:val="005B5364"/>
    <w:rsid w:val="005C2B3F"/>
    <w:rsid w:val="005C31C9"/>
    <w:rsid w:val="005C3B20"/>
    <w:rsid w:val="005C5281"/>
    <w:rsid w:val="005D09CE"/>
    <w:rsid w:val="005D17A3"/>
    <w:rsid w:val="005D1CEB"/>
    <w:rsid w:val="005D3F35"/>
    <w:rsid w:val="005D73CB"/>
    <w:rsid w:val="005D77DA"/>
    <w:rsid w:val="005E0420"/>
    <w:rsid w:val="005E0D9F"/>
    <w:rsid w:val="005E18F8"/>
    <w:rsid w:val="005E1BCA"/>
    <w:rsid w:val="005E3F05"/>
    <w:rsid w:val="005E574B"/>
    <w:rsid w:val="005E780A"/>
    <w:rsid w:val="005E7CE5"/>
    <w:rsid w:val="005F02DC"/>
    <w:rsid w:val="005F0704"/>
    <w:rsid w:val="005F2675"/>
    <w:rsid w:val="005F3955"/>
    <w:rsid w:val="005F3ECB"/>
    <w:rsid w:val="005F4496"/>
    <w:rsid w:val="005F5F9B"/>
    <w:rsid w:val="005F7CE0"/>
    <w:rsid w:val="006021FD"/>
    <w:rsid w:val="00602FF3"/>
    <w:rsid w:val="00603C97"/>
    <w:rsid w:val="006047F7"/>
    <w:rsid w:val="00605780"/>
    <w:rsid w:val="006103FB"/>
    <w:rsid w:val="00610DF0"/>
    <w:rsid w:val="00613B14"/>
    <w:rsid w:val="00614FFF"/>
    <w:rsid w:val="006154A3"/>
    <w:rsid w:val="006172E6"/>
    <w:rsid w:val="00617942"/>
    <w:rsid w:val="00617ECA"/>
    <w:rsid w:val="006210B6"/>
    <w:rsid w:val="00621553"/>
    <w:rsid w:val="00623655"/>
    <w:rsid w:val="00623A87"/>
    <w:rsid w:val="00627939"/>
    <w:rsid w:val="0063016F"/>
    <w:rsid w:val="00631788"/>
    <w:rsid w:val="00631B52"/>
    <w:rsid w:val="006330AA"/>
    <w:rsid w:val="0063395B"/>
    <w:rsid w:val="00633B68"/>
    <w:rsid w:val="00635249"/>
    <w:rsid w:val="0064011A"/>
    <w:rsid w:val="0064038D"/>
    <w:rsid w:val="00640CB3"/>
    <w:rsid w:val="0064114D"/>
    <w:rsid w:val="00641525"/>
    <w:rsid w:val="00641757"/>
    <w:rsid w:val="00641ACD"/>
    <w:rsid w:val="00641DBC"/>
    <w:rsid w:val="006425CB"/>
    <w:rsid w:val="006428D8"/>
    <w:rsid w:val="00643975"/>
    <w:rsid w:val="00643BE5"/>
    <w:rsid w:val="00646C2D"/>
    <w:rsid w:val="00650466"/>
    <w:rsid w:val="00650F9A"/>
    <w:rsid w:val="00651450"/>
    <w:rsid w:val="00652190"/>
    <w:rsid w:val="00654563"/>
    <w:rsid w:val="00655705"/>
    <w:rsid w:val="0065631E"/>
    <w:rsid w:val="006604B3"/>
    <w:rsid w:val="00662C8D"/>
    <w:rsid w:val="00663678"/>
    <w:rsid w:val="0066379D"/>
    <w:rsid w:val="00663F20"/>
    <w:rsid w:val="006661A9"/>
    <w:rsid w:val="006673E7"/>
    <w:rsid w:val="0067156F"/>
    <w:rsid w:val="00674E3C"/>
    <w:rsid w:val="006750C2"/>
    <w:rsid w:val="00677606"/>
    <w:rsid w:val="00677794"/>
    <w:rsid w:val="00680709"/>
    <w:rsid w:val="00681035"/>
    <w:rsid w:val="0068147E"/>
    <w:rsid w:val="0068528F"/>
    <w:rsid w:val="00686324"/>
    <w:rsid w:val="00686CD2"/>
    <w:rsid w:val="006872EB"/>
    <w:rsid w:val="00694FB3"/>
    <w:rsid w:val="0069729F"/>
    <w:rsid w:val="00697EE4"/>
    <w:rsid w:val="006A1CB3"/>
    <w:rsid w:val="006A48C1"/>
    <w:rsid w:val="006A55E2"/>
    <w:rsid w:val="006A76B7"/>
    <w:rsid w:val="006B0965"/>
    <w:rsid w:val="006B1DE4"/>
    <w:rsid w:val="006B3197"/>
    <w:rsid w:val="006C05B9"/>
    <w:rsid w:val="006C1349"/>
    <w:rsid w:val="006C5A3F"/>
    <w:rsid w:val="006C61CD"/>
    <w:rsid w:val="006D7B15"/>
    <w:rsid w:val="006E048C"/>
    <w:rsid w:val="006E191F"/>
    <w:rsid w:val="006E21C0"/>
    <w:rsid w:val="006E55C5"/>
    <w:rsid w:val="006E5B75"/>
    <w:rsid w:val="006F0637"/>
    <w:rsid w:val="006F1217"/>
    <w:rsid w:val="006F3495"/>
    <w:rsid w:val="006F50B8"/>
    <w:rsid w:val="006F576E"/>
    <w:rsid w:val="006F7F9B"/>
    <w:rsid w:val="007007A7"/>
    <w:rsid w:val="0070333E"/>
    <w:rsid w:val="00704C5F"/>
    <w:rsid w:val="0070764D"/>
    <w:rsid w:val="00707EBD"/>
    <w:rsid w:val="00711614"/>
    <w:rsid w:val="007126C4"/>
    <w:rsid w:val="00712CFA"/>
    <w:rsid w:val="00713917"/>
    <w:rsid w:val="00713F89"/>
    <w:rsid w:val="00715067"/>
    <w:rsid w:val="00715ACB"/>
    <w:rsid w:val="00715F6B"/>
    <w:rsid w:val="00716512"/>
    <w:rsid w:val="007168A0"/>
    <w:rsid w:val="0072054E"/>
    <w:rsid w:val="00721DF9"/>
    <w:rsid w:val="007228E5"/>
    <w:rsid w:val="00722EB3"/>
    <w:rsid w:val="00724CC8"/>
    <w:rsid w:val="007303E8"/>
    <w:rsid w:val="007306B9"/>
    <w:rsid w:val="0073350F"/>
    <w:rsid w:val="00734F84"/>
    <w:rsid w:val="0073573D"/>
    <w:rsid w:val="0073796F"/>
    <w:rsid w:val="00740AA8"/>
    <w:rsid w:val="00740CD0"/>
    <w:rsid w:val="00741540"/>
    <w:rsid w:val="007428BF"/>
    <w:rsid w:val="00745256"/>
    <w:rsid w:val="00747FB9"/>
    <w:rsid w:val="00750186"/>
    <w:rsid w:val="007517B9"/>
    <w:rsid w:val="0075211E"/>
    <w:rsid w:val="007603D3"/>
    <w:rsid w:val="0077095B"/>
    <w:rsid w:val="00770DFC"/>
    <w:rsid w:val="00770F12"/>
    <w:rsid w:val="0077123D"/>
    <w:rsid w:val="00774DDE"/>
    <w:rsid w:val="00775583"/>
    <w:rsid w:val="00775E79"/>
    <w:rsid w:val="00776987"/>
    <w:rsid w:val="00780D03"/>
    <w:rsid w:val="0078461A"/>
    <w:rsid w:val="00784621"/>
    <w:rsid w:val="00784679"/>
    <w:rsid w:val="0078602F"/>
    <w:rsid w:val="0078659A"/>
    <w:rsid w:val="00787835"/>
    <w:rsid w:val="007918D3"/>
    <w:rsid w:val="00792488"/>
    <w:rsid w:val="00792F20"/>
    <w:rsid w:val="0079453E"/>
    <w:rsid w:val="00795B76"/>
    <w:rsid w:val="00796C35"/>
    <w:rsid w:val="007A1070"/>
    <w:rsid w:val="007A286D"/>
    <w:rsid w:val="007A3D88"/>
    <w:rsid w:val="007A53DF"/>
    <w:rsid w:val="007A5E1B"/>
    <w:rsid w:val="007A6360"/>
    <w:rsid w:val="007A6B89"/>
    <w:rsid w:val="007B35AC"/>
    <w:rsid w:val="007B6462"/>
    <w:rsid w:val="007B65CC"/>
    <w:rsid w:val="007B70FD"/>
    <w:rsid w:val="007B75B7"/>
    <w:rsid w:val="007C0798"/>
    <w:rsid w:val="007C0800"/>
    <w:rsid w:val="007C53DF"/>
    <w:rsid w:val="007C581A"/>
    <w:rsid w:val="007C59C0"/>
    <w:rsid w:val="007D0534"/>
    <w:rsid w:val="007D06AF"/>
    <w:rsid w:val="007D2CA8"/>
    <w:rsid w:val="007D3DAE"/>
    <w:rsid w:val="007D58C0"/>
    <w:rsid w:val="007D65A3"/>
    <w:rsid w:val="007D6B4C"/>
    <w:rsid w:val="007D7854"/>
    <w:rsid w:val="007D7B6D"/>
    <w:rsid w:val="007E1058"/>
    <w:rsid w:val="007E19D8"/>
    <w:rsid w:val="007E29BE"/>
    <w:rsid w:val="007E36C0"/>
    <w:rsid w:val="007E4C9C"/>
    <w:rsid w:val="007F2848"/>
    <w:rsid w:val="007F6107"/>
    <w:rsid w:val="00802EED"/>
    <w:rsid w:val="00804157"/>
    <w:rsid w:val="00810E90"/>
    <w:rsid w:val="00811452"/>
    <w:rsid w:val="0081203F"/>
    <w:rsid w:val="00814522"/>
    <w:rsid w:val="008204F1"/>
    <w:rsid w:val="0082155F"/>
    <w:rsid w:val="00822C7F"/>
    <w:rsid w:val="00823364"/>
    <w:rsid w:val="008236DE"/>
    <w:rsid w:val="008246FD"/>
    <w:rsid w:val="008256AF"/>
    <w:rsid w:val="00826EFF"/>
    <w:rsid w:val="00826F12"/>
    <w:rsid w:val="0082739E"/>
    <w:rsid w:val="00832EE5"/>
    <w:rsid w:val="008335B0"/>
    <w:rsid w:val="00833F5E"/>
    <w:rsid w:val="0083402D"/>
    <w:rsid w:val="00834F82"/>
    <w:rsid w:val="008350D3"/>
    <w:rsid w:val="00835C7F"/>
    <w:rsid w:val="00836A45"/>
    <w:rsid w:val="00836BA0"/>
    <w:rsid w:val="008373ED"/>
    <w:rsid w:val="008378D3"/>
    <w:rsid w:val="00837904"/>
    <w:rsid w:val="008422CB"/>
    <w:rsid w:val="0084777B"/>
    <w:rsid w:val="00851440"/>
    <w:rsid w:val="00853148"/>
    <w:rsid w:val="00854254"/>
    <w:rsid w:val="00856952"/>
    <w:rsid w:val="00857DE3"/>
    <w:rsid w:val="0086396B"/>
    <w:rsid w:val="00864030"/>
    <w:rsid w:val="00865620"/>
    <w:rsid w:val="00865C1C"/>
    <w:rsid w:val="008676E3"/>
    <w:rsid w:val="00870536"/>
    <w:rsid w:val="00872DFD"/>
    <w:rsid w:val="0087414D"/>
    <w:rsid w:val="0087481D"/>
    <w:rsid w:val="00875B4E"/>
    <w:rsid w:val="00876F94"/>
    <w:rsid w:val="0087733F"/>
    <w:rsid w:val="00877386"/>
    <w:rsid w:val="00877A22"/>
    <w:rsid w:val="00880952"/>
    <w:rsid w:val="00883FDA"/>
    <w:rsid w:val="008846FB"/>
    <w:rsid w:val="00884EB3"/>
    <w:rsid w:val="008855A7"/>
    <w:rsid w:val="00885ACE"/>
    <w:rsid w:val="00886B05"/>
    <w:rsid w:val="0089288C"/>
    <w:rsid w:val="00894EFF"/>
    <w:rsid w:val="00895353"/>
    <w:rsid w:val="00896BC8"/>
    <w:rsid w:val="0089757A"/>
    <w:rsid w:val="008A10E2"/>
    <w:rsid w:val="008A1E01"/>
    <w:rsid w:val="008A21FB"/>
    <w:rsid w:val="008A24D2"/>
    <w:rsid w:val="008A51AE"/>
    <w:rsid w:val="008A576E"/>
    <w:rsid w:val="008A7A40"/>
    <w:rsid w:val="008B2F4C"/>
    <w:rsid w:val="008B46FA"/>
    <w:rsid w:val="008B4BCE"/>
    <w:rsid w:val="008B7986"/>
    <w:rsid w:val="008B7FD6"/>
    <w:rsid w:val="008C1E13"/>
    <w:rsid w:val="008C2A67"/>
    <w:rsid w:val="008C3999"/>
    <w:rsid w:val="008C4970"/>
    <w:rsid w:val="008D093B"/>
    <w:rsid w:val="008D17FE"/>
    <w:rsid w:val="008D3376"/>
    <w:rsid w:val="008D42F8"/>
    <w:rsid w:val="008E137F"/>
    <w:rsid w:val="008E16F3"/>
    <w:rsid w:val="008E5F68"/>
    <w:rsid w:val="008F16C4"/>
    <w:rsid w:val="008F3F3C"/>
    <w:rsid w:val="008F65C2"/>
    <w:rsid w:val="00900884"/>
    <w:rsid w:val="00900B97"/>
    <w:rsid w:val="00900DBC"/>
    <w:rsid w:val="00901A97"/>
    <w:rsid w:val="00901B83"/>
    <w:rsid w:val="00906285"/>
    <w:rsid w:val="00907345"/>
    <w:rsid w:val="00910B86"/>
    <w:rsid w:val="00912767"/>
    <w:rsid w:val="00912CCD"/>
    <w:rsid w:val="00914747"/>
    <w:rsid w:val="00916C48"/>
    <w:rsid w:val="00916CD1"/>
    <w:rsid w:val="009224CA"/>
    <w:rsid w:val="00924A94"/>
    <w:rsid w:val="00925F95"/>
    <w:rsid w:val="00933018"/>
    <w:rsid w:val="0093691B"/>
    <w:rsid w:val="00936A81"/>
    <w:rsid w:val="00937823"/>
    <w:rsid w:val="00937941"/>
    <w:rsid w:val="00937EA5"/>
    <w:rsid w:val="0094020D"/>
    <w:rsid w:val="00941492"/>
    <w:rsid w:val="009439BE"/>
    <w:rsid w:val="009439F1"/>
    <w:rsid w:val="00945327"/>
    <w:rsid w:val="00945BC8"/>
    <w:rsid w:val="00946DEB"/>
    <w:rsid w:val="00950B97"/>
    <w:rsid w:val="00956147"/>
    <w:rsid w:val="00957C5E"/>
    <w:rsid w:val="00960179"/>
    <w:rsid w:val="00960F47"/>
    <w:rsid w:val="00962219"/>
    <w:rsid w:val="0096349A"/>
    <w:rsid w:val="0096399B"/>
    <w:rsid w:val="00970242"/>
    <w:rsid w:val="00971731"/>
    <w:rsid w:val="00972C92"/>
    <w:rsid w:val="00976337"/>
    <w:rsid w:val="00977317"/>
    <w:rsid w:val="00980BAE"/>
    <w:rsid w:val="00981ECA"/>
    <w:rsid w:val="00983597"/>
    <w:rsid w:val="00983A46"/>
    <w:rsid w:val="00984EDE"/>
    <w:rsid w:val="00985BAD"/>
    <w:rsid w:val="0098622C"/>
    <w:rsid w:val="009876BD"/>
    <w:rsid w:val="00990838"/>
    <w:rsid w:val="00992398"/>
    <w:rsid w:val="009924E5"/>
    <w:rsid w:val="00992A8C"/>
    <w:rsid w:val="009940F9"/>
    <w:rsid w:val="00994B80"/>
    <w:rsid w:val="009954A8"/>
    <w:rsid w:val="0099632B"/>
    <w:rsid w:val="00996E50"/>
    <w:rsid w:val="009A0DC9"/>
    <w:rsid w:val="009A2D31"/>
    <w:rsid w:val="009A612E"/>
    <w:rsid w:val="009B072D"/>
    <w:rsid w:val="009B289E"/>
    <w:rsid w:val="009B58C3"/>
    <w:rsid w:val="009B5F93"/>
    <w:rsid w:val="009B6F0C"/>
    <w:rsid w:val="009C0C7B"/>
    <w:rsid w:val="009C18F3"/>
    <w:rsid w:val="009C1BAC"/>
    <w:rsid w:val="009C287E"/>
    <w:rsid w:val="009C7384"/>
    <w:rsid w:val="009D0469"/>
    <w:rsid w:val="009D0BF8"/>
    <w:rsid w:val="009D4EBC"/>
    <w:rsid w:val="009D5726"/>
    <w:rsid w:val="009D6037"/>
    <w:rsid w:val="009D6B55"/>
    <w:rsid w:val="009D7433"/>
    <w:rsid w:val="009E04EB"/>
    <w:rsid w:val="009E2262"/>
    <w:rsid w:val="009E4309"/>
    <w:rsid w:val="009E4D81"/>
    <w:rsid w:val="009E535B"/>
    <w:rsid w:val="009F0A8B"/>
    <w:rsid w:val="009F268D"/>
    <w:rsid w:val="009F3DBC"/>
    <w:rsid w:val="009F4A57"/>
    <w:rsid w:val="009F53F2"/>
    <w:rsid w:val="00A022FA"/>
    <w:rsid w:val="00A05082"/>
    <w:rsid w:val="00A06558"/>
    <w:rsid w:val="00A065F4"/>
    <w:rsid w:val="00A068C3"/>
    <w:rsid w:val="00A1066F"/>
    <w:rsid w:val="00A1387C"/>
    <w:rsid w:val="00A13CD0"/>
    <w:rsid w:val="00A13F0B"/>
    <w:rsid w:val="00A14269"/>
    <w:rsid w:val="00A1650D"/>
    <w:rsid w:val="00A1729F"/>
    <w:rsid w:val="00A17FAA"/>
    <w:rsid w:val="00A21382"/>
    <w:rsid w:val="00A21CC0"/>
    <w:rsid w:val="00A22534"/>
    <w:rsid w:val="00A23258"/>
    <w:rsid w:val="00A25E00"/>
    <w:rsid w:val="00A26B18"/>
    <w:rsid w:val="00A30AD4"/>
    <w:rsid w:val="00A312B4"/>
    <w:rsid w:val="00A337C7"/>
    <w:rsid w:val="00A33A6C"/>
    <w:rsid w:val="00A362FB"/>
    <w:rsid w:val="00A363E7"/>
    <w:rsid w:val="00A41090"/>
    <w:rsid w:val="00A412F4"/>
    <w:rsid w:val="00A41643"/>
    <w:rsid w:val="00A42843"/>
    <w:rsid w:val="00A43575"/>
    <w:rsid w:val="00A438C7"/>
    <w:rsid w:val="00A4438E"/>
    <w:rsid w:val="00A45A8A"/>
    <w:rsid w:val="00A45B1E"/>
    <w:rsid w:val="00A45DF7"/>
    <w:rsid w:val="00A47789"/>
    <w:rsid w:val="00A51023"/>
    <w:rsid w:val="00A53171"/>
    <w:rsid w:val="00A5479F"/>
    <w:rsid w:val="00A54BFA"/>
    <w:rsid w:val="00A5669D"/>
    <w:rsid w:val="00A5705F"/>
    <w:rsid w:val="00A57724"/>
    <w:rsid w:val="00A60D01"/>
    <w:rsid w:val="00A6152D"/>
    <w:rsid w:val="00A64648"/>
    <w:rsid w:val="00A64C26"/>
    <w:rsid w:val="00A666CE"/>
    <w:rsid w:val="00A70EBD"/>
    <w:rsid w:val="00A70FF9"/>
    <w:rsid w:val="00A716C5"/>
    <w:rsid w:val="00A72B4A"/>
    <w:rsid w:val="00A72EB9"/>
    <w:rsid w:val="00A72EF3"/>
    <w:rsid w:val="00A77C10"/>
    <w:rsid w:val="00A811BB"/>
    <w:rsid w:val="00A82284"/>
    <w:rsid w:val="00A83021"/>
    <w:rsid w:val="00A83325"/>
    <w:rsid w:val="00A863D4"/>
    <w:rsid w:val="00A86853"/>
    <w:rsid w:val="00A871DE"/>
    <w:rsid w:val="00A91485"/>
    <w:rsid w:val="00A937D7"/>
    <w:rsid w:val="00A94999"/>
    <w:rsid w:val="00A95BC6"/>
    <w:rsid w:val="00A966D4"/>
    <w:rsid w:val="00A968EC"/>
    <w:rsid w:val="00A97D5F"/>
    <w:rsid w:val="00AA2117"/>
    <w:rsid w:val="00AA6F85"/>
    <w:rsid w:val="00AA7527"/>
    <w:rsid w:val="00AA7815"/>
    <w:rsid w:val="00AB1336"/>
    <w:rsid w:val="00AB453F"/>
    <w:rsid w:val="00AB4B0D"/>
    <w:rsid w:val="00AB5787"/>
    <w:rsid w:val="00AB6C15"/>
    <w:rsid w:val="00AB746F"/>
    <w:rsid w:val="00AC10B8"/>
    <w:rsid w:val="00AC14F5"/>
    <w:rsid w:val="00AC3F80"/>
    <w:rsid w:val="00AC4FFD"/>
    <w:rsid w:val="00AC53B0"/>
    <w:rsid w:val="00AC62C3"/>
    <w:rsid w:val="00AD3436"/>
    <w:rsid w:val="00AD39B5"/>
    <w:rsid w:val="00AD3A2E"/>
    <w:rsid w:val="00AD3ADF"/>
    <w:rsid w:val="00AD4770"/>
    <w:rsid w:val="00AD5CC8"/>
    <w:rsid w:val="00AD63B4"/>
    <w:rsid w:val="00AD6B1B"/>
    <w:rsid w:val="00AE2EDD"/>
    <w:rsid w:val="00AE3EAB"/>
    <w:rsid w:val="00AE40BC"/>
    <w:rsid w:val="00AE5ED5"/>
    <w:rsid w:val="00AE60D8"/>
    <w:rsid w:val="00AE6E91"/>
    <w:rsid w:val="00AE72B9"/>
    <w:rsid w:val="00AE77D9"/>
    <w:rsid w:val="00AF2026"/>
    <w:rsid w:val="00AF535A"/>
    <w:rsid w:val="00AF566B"/>
    <w:rsid w:val="00AF603C"/>
    <w:rsid w:val="00AF63E2"/>
    <w:rsid w:val="00B0000A"/>
    <w:rsid w:val="00B00C87"/>
    <w:rsid w:val="00B01A2F"/>
    <w:rsid w:val="00B038B0"/>
    <w:rsid w:val="00B050C6"/>
    <w:rsid w:val="00B06615"/>
    <w:rsid w:val="00B11134"/>
    <w:rsid w:val="00B1231A"/>
    <w:rsid w:val="00B148C8"/>
    <w:rsid w:val="00B15340"/>
    <w:rsid w:val="00B17C2C"/>
    <w:rsid w:val="00B212CE"/>
    <w:rsid w:val="00B21E77"/>
    <w:rsid w:val="00B23068"/>
    <w:rsid w:val="00B25593"/>
    <w:rsid w:val="00B2647B"/>
    <w:rsid w:val="00B26E06"/>
    <w:rsid w:val="00B3089A"/>
    <w:rsid w:val="00B34110"/>
    <w:rsid w:val="00B344DD"/>
    <w:rsid w:val="00B34B40"/>
    <w:rsid w:val="00B352C2"/>
    <w:rsid w:val="00B360FD"/>
    <w:rsid w:val="00B362A3"/>
    <w:rsid w:val="00B37411"/>
    <w:rsid w:val="00B37C42"/>
    <w:rsid w:val="00B4079C"/>
    <w:rsid w:val="00B43CE1"/>
    <w:rsid w:val="00B50D1A"/>
    <w:rsid w:val="00B52385"/>
    <w:rsid w:val="00B5263B"/>
    <w:rsid w:val="00B5324B"/>
    <w:rsid w:val="00B53493"/>
    <w:rsid w:val="00B53C0A"/>
    <w:rsid w:val="00B54132"/>
    <w:rsid w:val="00B552F0"/>
    <w:rsid w:val="00B561BE"/>
    <w:rsid w:val="00B56495"/>
    <w:rsid w:val="00B56E8D"/>
    <w:rsid w:val="00B57908"/>
    <w:rsid w:val="00B609FF"/>
    <w:rsid w:val="00B60B40"/>
    <w:rsid w:val="00B630E0"/>
    <w:rsid w:val="00B652FF"/>
    <w:rsid w:val="00B65AC9"/>
    <w:rsid w:val="00B65D8E"/>
    <w:rsid w:val="00B70339"/>
    <w:rsid w:val="00B72CE9"/>
    <w:rsid w:val="00B75C57"/>
    <w:rsid w:val="00B76C93"/>
    <w:rsid w:val="00B8070B"/>
    <w:rsid w:val="00B8745A"/>
    <w:rsid w:val="00B87BCB"/>
    <w:rsid w:val="00B90154"/>
    <w:rsid w:val="00B90B4F"/>
    <w:rsid w:val="00B938D7"/>
    <w:rsid w:val="00B93918"/>
    <w:rsid w:val="00B950A8"/>
    <w:rsid w:val="00B9687E"/>
    <w:rsid w:val="00B9725E"/>
    <w:rsid w:val="00BA2C79"/>
    <w:rsid w:val="00BA37EC"/>
    <w:rsid w:val="00BA58AB"/>
    <w:rsid w:val="00BB0615"/>
    <w:rsid w:val="00BB10F3"/>
    <w:rsid w:val="00BB3244"/>
    <w:rsid w:val="00BB44C9"/>
    <w:rsid w:val="00BB56E5"/>
    <w:rsid w:val="00BC0617"/>
    <w:rsid w:val="00BC37AD"/>
    <w:rsid w:val="00BC7201"/>
    <w:rsid w:val="00BC739C"/>
    <w:rsid w:val="00BD06D6"/>
    <w:rsid w:val="00BD11CB"/>
    <w:rsid w:val="00BD3164"/>
    <w:rsid w:val="00BE0FAE"/>
    <w:rsid w:val="00BE1DE4"/>
    <w:rsid w:val="00BE4E63"/>
    <w:rsid w:val="00BE685F"/>
    <w:rsid w:val="00BE6F4F"/>
    <w:rsid w:val="00BE7E3F"/>
    <w:rsid w:val="00BF1852"/>
    <w:rsid w:val="00BF4957"/>
    <w:rsid w:val="00BF594E"/>
    <w:rsid w:val="00BF5BFB"/>
    <w:rsid w:val="00BF64AE"/>
    <w:rsid w:val="00C02D48"/>
    <w:rsid w:val="00C03ADE"/>
    <w:rsid w:val="00C05D21"/>
    <w:rsid w:val="00C0E33E"/>
    <w:rsid w:val="00C1212D"/>
    <w:rsid w:val="00C132DC"/>
    <w:rsid w:val="00C13FF8"/>
    <w:rsid w:val="00C14F3C"/>
    <w:rsid w:val="00C17FA4"/>
    <w:rsid w:val="00C20C48"/>
    <w:rsid w:val="00C24E8E"/>
    <w:rsid w:val="00C2580D"/>
    <w:rsid w:val="00C25895"/>
    <w:rsid w:val="00C31009"/>
    <w:rsid w:val="00C311E7"/>
    <w:rsid w:val="00C316B1"/>
    <w:rsid w:val="00C353F0"/>
    <w:rsid w:val="00C37289"/>
    <w:rsid w:val="00C40717"/>
    <w:rsid w:val="00C40987"/>
    <w:rsid w:val="00C415B2"/>
    <w:rsid w:val="00C4318C"/>
    <w:rsid w:val="00C4716D"/>
    <w:rsid w:val="00C473FA"/>
    <w:rsid w:val="00C5065C"/>
    <w:rsid w:val="00C50DA7"/>
    <w:rsid w:val="00C5648E"/>
    <w:rsid w:val="00C605E5"/>
    <w:rsid w:val="00C6079B"/>
    <w:rsid w:val="00C612D2"/>
    <w:rsid w:val="00C61EAD"/>
    <w:rsid w:val="00C6382A"/>
    <w:rsid w:val="00C638C0"/>
    <w:rsid w:val="00C64C9F"/>
    <w:rsid w:val="00C65066"/>
    <w:rsid w:val="00C65E25"/>
    <w:rsid w:val="00C66C08"/>
    <w:rsid w:val="00C66F42"/>
    <w:rsid w:val="00C6705C"/>
    <w:rsid w:val="00C6718D"/>
    <w:rsid w:val="00C67733"/>
    <w:rsid w:val="00C678D7"/>
    <w:rsid w:val="00C72459"/>
    <w:rsid w:val="00C72FFC"/>
    <w:rsid w:val="00C7322D"/>
    <w:rsid w:val="00C75C9B"/>
    <w:rsid w:val="00C767B5"/>
    <w:rsid w:val="00C768DE"/>
    <w:rsid w:val="00C76B4E"/>
    <w:rsid w:val="00C80E84"/>
    <w:rsid w:val="00C81558"/>
    <w:rsid w:val="00C819D1"/>
    <w:rsid w:val="00C81C15"/>
    <w:rsid w:val="00C82A8C"/>
    <w:rsid w:val="00C83142"/>
    <w:rsid w:val="00C83BF2"/>
    <w:rsid w:val="00C865CA"/>
    <w:rsid w:val="00C93295"/>
    <w:rsid w:val="00C93F30"/>
    <w:rsid w:val="00C953C3"/>
    <w:rsid w:val="00CA0416"/>
    <w:rsid w:val="00CA2153"/>
    <w:rsid w:val="00CA3660"/>
    <w:rsid w:val="00CA442D"/>
    <w:rsid w:val="00CA48FB"/>
    <w:rsid w:val="00CA4BAF"/>
    <w:rsid w:val="00CA57A9"/>
    <w:rsid w:val="00CB52D9"/>
    <w:rsid w:val="00CB534D"/>
    <w:rsid w:val="00CB6D8E"/>
    <w:rsid w:val="00CB7327"/>
    <w:rsid w:val="00CB7820"/>
    <w:rsid w:val="00CC0E09"/>
    <w:rsid w:val="00CC4FBA"/>
    <w:rsid w:val="00CC5FD0"/>
    <w:rsid w:val="00CC6458"/>
    <w:rsid w:val="00CC7A0C"/>
    <w:rsid w:val="00CD04F3"/>
    <w:rsid w:val="00CD0609"/>
    <w:rsid w:val="00CD4482"/>
    <w:rsid w:val="00CD4DBC"/>
    <w:rsid w:val="00CD6674"/>
    <w:rsid w:val="00CD6893"/>
    <w:rsid w:val="00CD7929"/>
    <w:rsid w:val="00CD7A2B"/>
    <w:rsid w:val="00CE1C70"/>
    <w:rsid w:val="00CE3411"/>
    <w:rsid w:val="00CE3B57"/>
    <w:rsid w:val="00CE5517"/>
    <w:rsid w:val="00CE551B"/>
    <w:rsid w:val="00CE5B8F"/>
    <w:rsid w:val="00CE61A5"/>
    <w:rsid w:val="00CE6401"/>
    <w:rsid w:val="00CE6CDA"/>
    <w:rsid w:val="00CF047C"/>
    <w:rsid w:val="00CF1257"/>
    <w:rsid w:val="00CF19A6"/>
    <w:rsid w:val="00CF3255"/>
    <w:rsid w:val="00CF4366"/>
    <w:rsid w:val="00CF50DB"/>
    <w:rsid w:val="00CF54BD"/>
    <w:rsid w:val="00CF796C"/>
    <w:rsid w:val="00CF7F0B"/>
    <w:rsid w:val="00D01769"/>
    <w:rsid w:val="00D043F5"/>
    <w:rsid w:val="00D051DB"/>
    <w:rsid w:val="00D060A5"/>
    <w:rsid w:val="00D1024A"/>
    <w:rsid w:val="00D110FB"/>
    <w:rsid w:val="00D1118C"/>
    <w:rsid w:val="00D13A66"/>
    <w:rsid w:val="00D2035E"/>
    <w:rsid w:val="00D20483"/>
    <w:rsid w:val="00D21E7E"/>
    <w:rsid w:val="00D21FA2"/>
    <w:rsid w:val="00D249A2"/>
    <w:rsid w:val="00D2646E"/>
    <w:rsid w:val="00D26738"/>
    <w:rsid w:val="00D26C5D"/>
    <w:rsid w:val="00D26E62"/>
    <w:rsid w:val="00D30481"/>
    <w:rsid w:val="00D351D2"/>
    <w:rsid w:val="00D42D9A"/>
    <w:rsid w:val="00D432DE"/>
    <w:rsid w:val="00D4499E"/>
    <w:rsid w:val="00D449B9"/>
    <w:rsid w:val="00D44F64"/>
    <w:rsid w:val="00D46226"/>
    <w:rsid w:val="00D4627B"/>
    <w:rsid w:val="00D47782"/>
    <w:rsid w:val="00D507C0"/>
    <w:rsid w:val="00D555A1"/>
    <w:rsid w:val="00D611C5"/>
    <w:rsid w:val="00D61E16"/>
    <w:rsid w:val="00D628DF"/>
    <w:rsid w:val="00D631C3"/>
    <w:rsid w:val="00D640F9"/>
    <w:rsid w:val="00D70CB6"/>
    <w:rsid w:val="00D71882"/>
    <w:rsid w:val="00D7244F"/>
    <w:rsid w:val="00D731F7"/>
    <w:rsid w:val="00D73B6A"/>
    <w:rsid w:val="00D7485D"/>
    <w:rsid w:val="00D75BAB"/>
    <w:rsid w:val="00D77034"/>
    <w:rsid w:val="00D773A2"/>
    <w:rsid w:val="00D81698"/>
    <w:rsid w:val="00D816E4"/>
    <w:rsid w:val="00D84E02"/>
    <w:rsid w:val="00D90602"/>
    <w:rsid w:val="00D91DAE"/>
    <w:rsid w:val="00D92623"/>
    <w:rsid w:val="00D94E5A"/>
    <w:rsid w:val="00DA26A0"/>
    <w:rsid w:val="00DA4DD8"/>
    <w:rsid w:val="00DB054E"/>
    <w:rsid w:val="00DB0AC5"/>
    <w:rsid w:val="00DB3E91"/>
    <w:rsid w:val="00DB45DD"/>
    <w:rsid w:val="00DC5C98"/>
    <w:rsid w:val="00DC7A9B"/>
    <w:rsid w:val="00DD1885"/>
    <w:rsid w:val="00DD6260"/>
    <w:rsid w:val="00DD6E1C"/>
    <w:rsid w:val="00DD745B"/>
    <w:rsid w:val="00DE03D3"/>
    <w:rsid w:val="00DE1A7B"/>
    <w:rsid w:val="00DE3C12"/>
    <w:rsid w:val="00DE4475"/>
    <w:rsid w:val="00DE48DF"/>
    <w:rsid w:val="00DE65BC"/>
    <w:rsid w:val="00DE712B"/>
    <w:rsid w:val="00DF0F4E"/>
    <w:rsid w:val="00DF18DD"/>
    <w:rsid w:val="00DF3D29"/>
    <w:rsid w:val="00DF4236"/>
    <w:rsid w:val="00DF5ABE"/>
    <w:rsid w:val="00DF604F"/>
    <w:rsid w:val="00DF606D"/>
    <w:rsid w:val="00DF6532"/>
    <w:rsid w:val="00E001CB"/>
    <w:rsid w:val="00E01130"/>
    <w:rsid w:val="00E025F1"/>
    <w:rsid w:val="00E029F4"/>
    <w:rsid w:val="00E05071"/>
    <w:rsid w:val="00E076B6"/>
    <w:rsid w:val="00E1013E"/>
    <w:rsid w:val="00E112AA"/>
    <w:rsid w:val="00E1162D"/>
    <w:rsid w:val="00E12D08"/>
    <w:rsid w:val="00E1549F"/>
    <w:rsid w:val="00E173B8"/>
    <w:rsid w:val="00E273BD"/>
    <w:rsid w:val="00E28EA3"/>
    <w:rsid w:val="00E31796"/>
    <w:rsid w:val="00E32BA6"/>
    <w:rsid w:val="00E35183"/>
    <w:rsid w:val="00E372C9"/>
    <w:rsid w:val="00E40A52"/>
    <w:rsid w:val="00E42011"/>
    <w:rsid w:val="00E42B06"/>
    <w:rsid w:val="00E45E46"/>
    <w:rsid w:val="00E461EA"/>
    <w:rsid w:val="00E473C3"/>
    <w:rsid w:val="00E51698"/>
    <w:rsid w:val="00E52EBC"/>
    <w:rsid w:val="00E55E79"/>
    <w:rsid w:val="00E600E0"/>
    <w:rsid w:val="00E6063B"/>
    <w:rsid w:val="00E6265D"/>
    <w:rsid w:val="00E63E89"/>
    <w:rsid w:val="00E63EAF"/>
    <w:rsid w:val="00E64F6B"/>
    <w:rsid w:val="00E6739B"/>
    <w:rsid w:val="00E7124A"/>
    <w:rsid w:val="00E71A74"/>
    <w:rsid w:val="00E72126"/>
    <w:rsid w:val="00E726EE"/>
    <w:rsid w:val="00E73336"/>
    <w:rsid w:val="00E73760"/>
    <w:rsid w:val="00E802D9"/>
    <w:rsid w:val="00E824FD"/>
    <w:rsid w:val="00E83352"/>
    <w:rsid w:val="00E85234"/>
    <w:rsid w:val="00E932A6"/>
    <w:rsid w:val="00E93B5E"/>
    <w:rsid w:val="00E9419C"/>
    <w:rsid w:val="00E94BA9"/>
    <w:rsid w:val="00E94C03"/>
    <w:rsid w:val="00E952EC"/>
    <w:rsid w:val="00E962C7"/>
    <w:rsid w:val="00EA31A5"/>
    <w:rsid w:val="00EA3520"/>
    <w:rsid w:val="00EA61DC"/>
    <w:rsid w:val="00EB0A9A"/>
    <w:rsid w:val="00EB20AB"/>
    <w:rsid w:val="00EB36E2"/>
    <w:rsid w:val="00EB4104"/>
    <w:rsid w:val="00EC078B"/>
    <w:rsid w:val="00EC3028"/>
    <w:rsid w:val="00EC34F2"/>
    <w:rsid w:val="00EC3516"/>
    <w:rsid w:val="00EC3947"/>
    <w:rsid w:val="00EC508B"/>
    <w:rsid w:val="00EC6C63"/>
    <w:rsid w:val="00ED1174"/>
    <w:rsid w:val="00ED1F87"/>
    <w:rsid w:val="00ED3A08"/>
    <w:rsid w:val="00ED5527"/>
    <w:rsid w:val="00ED7D4C"/>
    <w:rsid w:val="00EE1F40"/>
    <w:rsid w:val="00EE1F5F"/>
    <w:rsid w:val="00EE3A27"/>
    <w:rsid w:val="00EE518A"/>
    <w:rsid w:val="00EE69FF"/>
    <w:rsid w:val="00EE7B42"/>
    <w:rsid w:val="00EE7FED"/>
    <w:rsid w:val="00EF0B56"/>
    <w:rsid w:val="00EF23D1"/>
    <w:rsid w:val="00EF2988"/>
    <w:rsid w:val="00EF3C9D"/>
    <w:rsid w:val="00EF7A60"/>
    <w:rsid w:val="00F01A37"/>
    <w:rsid w:val="00F039E5"/>
    <w:rsid w:val="00F058A8"/>
    <w:rsid w:val="00F06B87"/>
    <w:rsid w:val="00F07B46"/>
    <w:rsid w:val="00F11204"/>
    <w:rsid w:val="00F11781"/>
    <w:rsid w:val="00F11814"/>
    <w:rsid w:val="00F12346"/>
    <w:rsid w:val="00F14D36"/>
    <w:rsid w:val="00F1512B"/>
    <w:rsid w:val="00F21DB3"/>
    <w:rsid w:val="00F24156"/>
    <w:rsid w:val="00F25A03"/>
    <w:rsid w:val="00F25AA3"/>
    <w:rsid w:val="00F269D2"/>
    <w:rsid w:val="00F31805"/>
    <w:rsid w:val="00F337F2"/>
    <w:rsid w:val="00F34D48"/>
    <w:rsid w:val="00F35AFA"/>
    <w:rsid w:val="00F3635F"/>
    <w:rsid w:val="00F40636"/>
    <w:rsid w:val="00F41023"/>
    <w:rsid w:val="00F41391"/>
    <w:rsid w:val="00F4305C"/>
    <w:rsid w:val="00F43A73"/>
    <w:rsid w:val="00F43C52"/>
    <w:rsid w:val="00F457D8"/>
    <w:rsid w:val="00F462B0"/>
    <w:rsid w:val="00F46460"/>
    <w:rsid w:val="00F46A58"/>
    <w:rsid w:val="00F47CDA"/>
    <w:rsid w:val="00F501D4"/>
    <w:rsid w:val="00F505AC"/>
    <w:rsid w:val="00F50854"/>
    <w:rsid w:val="00F52004"/>
    <w:rsid w:val="00F530DD"/>
    <w:rsid w:val="00F57D61"/>
    <w:rsid w:val="00F602E4"/>
    <w:rsid w:val="00F646BB"/>
    <w:rsid w:val="00F661C7"/>
    <w:rsid w:val="00F7017F"/>
    <w:rsid w:val="00F71010"/>
    <w:rsid w:val="00F7123D"/>
    <w:rsid w:val="00F81634"/>
    <w:rsid w:val="00F818E9"/>
    <w:rsid w:val="00F8577D"/>
    <w:rsid w:val="00F90B09"/>
    <w:rsid w:val="00F90FAC"/>
    <w:rsid w:val="00F91031"/>
    <w:rsid w:val="00F97B70"/>
    <w:rsid w:val="00FA160B"/>
    <w:rsid w:val="00FA2532"/>
    <w:rsid w:val="00FA2F7D"/>
    <w:rsid w:val="00FA4B5C"/>
    <w:rsid w:val="00FA59A0"/>
    <w:rsid w:val="00FA631B"/>
    <w:rsid w:val="00FA7896"/>
    <w:rsid w:val="00FB03BD"/>
    <w:rsid w:val="00FB11DD"/>
    <w:rsid w:val="00FB1881"/>
    <w:rsid w:val="00FB35DF"/>
    <w:rsid w:val="00FB3FAE"/>
    <w:rsid w:val="00FB4BAF"/>
    <w:rsid w:val="00FC1063"/>
    <w:rsid w:val="00FC274B"/>
    <w:rsid w:val="00FC2D37"/>
    <w:rsid w:val="00FC2DA8"/>
    <w:rsid w:val="00FC6A98"/>
    <w:rsid w:val="00FC74D3"/>
    <w:rsid w:val="00FD40B5"/>
    <w:rsid w:val="00FD66BE"/>
    <w:rsid w:val="00FE2379"/>
    <w:rsid w:val="00FE4231"/>
    <w:rsid w:val="00FE4A6F"/>
    <w:rsid w:val="00FE5169"/>
    <w:rsid w:val="00FE5B58"/>
    <w:rsid w:val="00FE79B9"/>
    <w:rsid w:val="00FF2501"/>
    <w:rsid w:val="00FF2AE1"/>
    <w:rsid w:val="00FF399C"/>
    <w:rsid w:val="00FF43C7"/>
    <w:rsid w:val="00FF46F9"/>
    <w:rsid w:val="00FF499E"/>
    <w:rsid w:val="00FF5355"/>
    <w:rsid w:val="00FF6590"/>
    <w:rsid w:val="00FF66D0"/>
    <w:rsid w:val="00FF793D"/>
    <w:rsid w:val="015DC526"/>
    <w:rsid w:val="0168F0AC"/>
    <w:rsid w:val="0254C619"/>
    <w:rsid w:val="027E5F04"/>
    <w:rsid w:val="04134A8C"/>
    <w:rsid w:val="044E6B3B"/>
    <w:rsid w:val="046CE491"/>
    <w:rsid w:val="0492333A"/>
    <w:rsid w:val="04A22F9D"/>
    <w:rsid w:val="04A9F9F7"/>
    <w:rsid w:val="0510456C"/>
    <w:rsid w:val="0546BE6F"/>
    <w:rsid w:val="05A8312C"/>
    <w:rsid w:val="05DCE121"/>
    <w:rsid w:val="05EBF92B"/>
    <w:rsid w:val="05F727C8"/>
    <w:rsid w:val="0632E5C7"/>
    <w:rsid w:val="0644796D"/>
    <w:rsid w:val="0657285B"/>
    <w:rsid w:val="06632E29"/>
    <w:rsid w:val="06716743"/>
    <w:rsid w:val="06940699"/>
    <w:rsid w:val="0744018D"/>
    <w:rsid w:val="07C6F759"/>
    <w:rsid w:val="095ADA34"/>
    <w:rsid w:val="0E1F914B"/>
    <w:rsid w:val="0EE2E07D"/>
    <w:rsid w:val="0F48A90C"/>
    <w:rsid w:val="0F7FE30B"/>
    <w:rsid w:val="107EB0DE"/>
    <w:rsid w:val="10BEC310"/>
    <w:rsid w:val="10D7EB6D"/>
    <w:rsid w:val="10E505AB"/>
    <w:rsid w:val="1152C8AC"/>
    <w:rsid w:val="1188A02B"/>
    <w:rsid w:val="11C8C1B4"/>
    <w:rsid w:val="120A515E"/>
    <w:rsid w:val="1483FF7F"/>
    <w:rsid w:val="163BFF30"/>
    <w:rsid w:val="16E2E782"/>
    <w:rsid w:val="16E87693"/>
    <w:rsid w:val="17D7CF91"/>
    <w:rsid w:val="17DEB952"/>
    <w:rsid w:val="1CEACA56"/>
    <w:rsid w:val="1D2CFAA8"/>
    <w:rsid w:val="1DA44F39"/>
    <w:rsid w:val="1E4DFAD6"/>
    <w:rsid w:val="1EBB0BF2"/>
    <w:rsid w:val="1ED3A232"/>
    <w:rsid w:val="1F26F73D"/>
    <w:rsid w:val="2026A975"/>
    <w:rsid w:val="202BE7D9"/>
    <w:rsid w:val="202D9336"/>
    <w:rsid w:val="203A1577"/>
    <w:rsid w:val="20B12DE8"/>
    <w:rsid w:val="20D2906D"/>
    <w:rsid w:val="20EEC901"/>
    <w:rsid w:val="2160CE41"/>
    <w:rsid w:val="2243EB0F"/>
    <w:rsid w:val="230F5EEA"/>
    <w:rsid w:val="2329597F"/>
    <w:rsid w:val="24B5651A"/>
    <w:rsid w:val="24BA2C23"/>
    <w:rsid w:val="259EA41A"/>
    <w:rsid w:val="25F3291D"/>
    <w:rsid w:val="27A48163"/>
    <w:rsid w:val="27FCCAA2"/>
    <w:rsid w:val="2834886B"/>
    <w:rsid w:val="2837EB51"/>
    <w:rsid w:val="288EABB6"/>
    <w:rsid w:val="28B46B47"/>
    <w:rsid w:val="28E1B64E"/>
    <w:rsid w:val="29331ABA"/>
    <w:rsid w:val="2936B924"/>
    <w:rsid w:val="294AC28A"/>
    <w:rsid w:val="2969C9EF"/>
    <w:rsid w:val="2A6B4813"/>
    <w:rsid w:val="2AD0B008"/>
    <w:rsid w:val="2B7DA129"/>
    <w:rsid w:val="2BD6B018"/>
    <w:rsid w:val="2C0E5E20"/>
    <w:rsid w:val="2C69A85C"/>
    <w:rsid w:val="2D181CFB"/>
    <w:rsid w:val="2D2484D1"/>
    <w:rsid w:val="2DB5F9DE"/>
    <w:rsid w:val="2DBA7303"/>
    <w:rsid w:val="2DE512A5"/>
    <w:rsid w:val="2DFF1F67"/>
    <w:rsid w:val="2E1212D9"/>
    <w:rsid w:val="2E5E12EE"/>
    <w:rsid w:val="2F42F018"/>
    <w:rsid w:val="2FD1AC0A"/>
    <w:rsid w:val="2FF8F0D2"/>
    <w:rsid w:val="302D8791"/>
    <w:rsid w:val="307A6895"/>
    <w:rsid w:val="3136C029"/>
    <w:rsid w:val="317F86CE"/>
    <w:rsid w:val="3183544F"/>
    <w:rsid w:val="328DA7F9"/>
    <w:rsid w:val="33309E32"/>
    <w:rsid w:val="33A3527E"/>
    <w:rsid w:val="33DDE858"/>
    <w:rsid w:val="351CF107"/>
    <w:rsid w:val="3574589D"/>
    <w:rsid w:val="35AC5C8B"/>
    <w:rsid w:val="35C72317"/>
    <w:rsid w:val="35F796F5"/>
    <w:rsid w:val="36BCC875"/>
    <w:rsid w:val="3702E69F"/>
    <w:rsid w:val="37CCD8C4"/>
    <w:rsid w:val="38340259"/>
    <w:rsid w:val="3891D71A"/>
    <w:rsid w:val="38D278B9"/>
    <w:rsid w:val="39130274"/>
    <w:rsid w:val="39D8A4A5"/>
    <w:rsid w:val="39F1CD02"/>
    <w:rsid w:val="3A23FBFB"/>
    <w:rsid w:val="3AF09AD5"/>
    <w:rsid w:val="3B8D9D63"/>
    <w:rsid w:val="3BC977DC"/>
    <w:rsid w:val="3BD66408"/>
    <w:rsid w:val="3C1B9E0F"/>
    <w:rsid w:val="3C1D3C3E"/>
    <w:rsid w:val="3C46048D"/>
    <w:rsid w:val="3C6D369F"/>
    <w:rsid w:val="3CCDDDCE"/>
    <w:rsid w:val="3D0F6102"/>
    <w:rsid w:val="3DAF554B"/>
    <w:rsid w:val="3DFADEA2"/>
    <w:rsid w:val="3F3D0670"/>
    <w:rsid w:val="3FA2B0DC"/>
    <w:rsid w:val="3FC549D1"/>
    <w:rsid w:val="40658AE8"/>
    <w:rsid w:val="408129FB"/>
    <w:rsid w:val="409CE8FF"/>
    <w:rsid w:val="40D0CCAE"/>
    <w:rsid w:val="40D895E9"/>
    <w:rsid w:val="40EF0F32"/>
    <w:rsid w:val="41CC9D50"/>
    <w:rsid w:val="41DAE49F"/>
    <w:rsid w:val="41FCDEE7"/>
    <w:rsid w:val="4285BDE7"/>
    <w:rsid w:val="42946B48"/>
    <w:rsid w:val="4391B98D"/>
    <w:rsid w:val="43AEE935"/>
    <w:rsid w:val="43E4D02C"/>
    <w:rsid w:val="44E5CECA"/>
    <w:rsid w:val="47A2FD1A"/>
    <w:rsid w:val="47D06A2C"/>
    <w:rsid w:val="4903ACCC"/>
    <w:rsid w:val="498FBCE2"/>
    <w:rsid w:val="49C4CEF6"/>
    <w:rsid w:val="4A95F178"/>
    <w:rsid w:val="4AC15F98"/>
    <w:rsid w:val="4C430CE8"/>
    <w:rsid w:val="4D013F43"/>
    <w:rsid w:val="4F8A8C28"/>
    <w:rsid w:val="4FF7ADDD"/>
    <w:rsid w:val="502D958A"/>
    <w:rsid w:val="504BEAB7"/>
    <w:rsid w:val="511CEFCC"/>
    <w:rsid w:val="51BE487C"/>
    <w:rsid w:val="5266A1C1"/>
    <w:rsid w:val="52E76D50"/>
    <w:rsid w:val="530D1873"/>
    <w:rsid w:val="53838B79"/>
    <w:rsid w:val="5394C650"/>
    <w:rsid w:val="545AF815"/>
    <w:rsid w:val="553234E0"/>
    <w:rsid w:val="55CA7E6E"/>
    <w:rsid w:val="560C15AC"/>
    <w:rsid w:val="5664B1BB"/>
    <w:rsid w:val="56B33EB5"/>
    <w:rsid w:val="5706E076"/>
    <w:rsid w:val="57587A37"/>
    <w:rsid w:val="57B07406"/>
    <w:rsid w:val="57F64C4E"/>
    <w:rsid w:val="58BFDC3D"/>
    <w:rsid w:val="5A3230ED"/>
    <w:rsid w:val="5A51108F"/>
    <w:rsid w:val="5ABABB05"/>
    <w:rsid w:val="5B780605"/>
    <w:rsid w:val="5B7C6506"/>
    <w:rsid w:val="5BA17664"/>
    <w:rsid w:val="5BC905CF"/>
    <w:rsid w:val="5C009728"/>
    <w:rsid w:val="5C88591E"/>
    <w:rsid w:val="5C8E4F96"/>
    <w:rsid w:val="5D228039"/>
    <w:rsid w:val="5D2BF253"/>
    <w:rsid w:val="5D2C0BEE"/>
    <w:rsid w:val="5DCA8EC0"/>
    <w:rsid w:val="5E14D124"/>
    <w:rsid w:val="5EB6CCC5"/>
    <w:rsid w:val="5EE74A6F"/>
    <w:rsid w:val="5F8D2594"/>
    <w:rsid w:val="5FCB3D4C"/>
    <w:rsid w:val="5FCCDA19"/>
    <w:rsid w:val="60B1C5C5"/>
    <w:rsid w:val="61DBCB0C"/>
    <w:rsid w:val="61E2FB6A"/>
    <w:rsid w:val="621C0409"/>
    <w:rsid w:val="62230CC5"/>
    <w:rsid w:val="62B54FDB"/>
    <w:rsid w:val="648F1065"/>
    <w:rsid w:val="64A04B3C"/>
    <w:rsid w:val="651D6329"/>
    <w:rsid w:val="65504630"/>
    <w:rsid w:val="657947A3"/>
    <w:rsid w:val="65D1D2D8"/>
    <w:rsid w:val="667CBD24"/>
    <w:rsid w:val="66A77307"/>
    <w:rsid w:val="66D2EE34"/>
    <w:rsid w:val="675C6CEE"/>
    <w:rsid w:val="68041670"/>
    <w:rsid w:val="68215D39"/>
    <w:rsid w:val="6887E6F2"/>
    <w:rsid w:val="6927800C"/>
    <w:rsid w:val="6A1EBD2F"/>
    <w:rsid w:val="6A8D0881"/>
    <w:rsid w:val="6ACCA9BF"/>
    <w:rsid w:val="6B1E5F1F"/>
    <w:rsid w:val="6B4C6AFE"/>
    <w:rsid w:val="6B5F8721"/>
    <w:rsid w:val="6C0389F5"/>
    <w:rsid w:val="6D422FB8"/>
    <w:rsid w:val="6D6B312B"/>
    <w:rsid w:val="6F1114AC"/>
    <w:rsid w:val="6F3A36AB"/>
    <w:rsid w:val="6F6ABBE7"/>
    <w:rsid w:val="6FB76CA3"/>
    <w:rsid w:val="7027C9A7"/>
    <w:rsid w:val="70E0F3E5"/>
    <w:rsid w:val="711EC397"/>
    <w:rsid w:val="718FC603"/>
    <w:rsid w:val="724B7C6B"/>
    <w:rsid w:val="7308C76B"/>
    <w:rsid w:val="74C9898B"/>
    <w:rsid w:val="7501B208"/>
    <w:rsid w:val="754BA36E"/>
    <w:rsid w:val="75B75F81"/>
    <w:rsid w:val="75EBD594"/>
    <w:rsid w:val="76158963"/>
    <w:rsid w:val="7639170A"/>
    <w:rsid w:val="763A1ACF"/>
    <w:rsid w:val="768ECFE4"/>
    <w:rsid w:val="7725F03C"/>
    <w:rsid w:val="77C7E723"/>
    <w:rsid w:val="786531CB"/>
    <w:rsid w:val="795DDEC6"/>
    <w:rsid w:val="79A1CBA8"/>
    <w:rsid w:val="79F7EEF2"/>
    <w:rsid w:val="7AD56F16"/>
    <w:rsid w:val="7AF9AF27"/>
    <w:rsid w:val="7B228A0B"/>
    <w:rsid w:val="7B4F9662"/>
    <w:rsid w:val="7B848B42"/>
    <w:rsid w:val="7C25936C"/>
    <w:rsid w:val="7CF97E23"/>
    <w:rsid w:val="7D3D16E3"/>
    <w:rsid w:val="7E6A2F02"/>
    <w:rsid w:val="7EC9C0AF"/>
    <w:rsid w:val="7F68DAD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4D7F6C"/>
  <w15:docId w15:val="{004871E5-FA21-4EB3-8FC3-95E2F2E9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rFonts w:ascii="Arial" w:hAnsi="Arial" w:cs="Arial"/>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style>
  <w:style w:type="paragraph" w:styleId="Header">
    <w:name w:val="header"/>
    <w:basedOn w:val="Normal"/>
    <w:link w:val="HeaderChar"/>
    <w:uiPriority w:val="99"/>
    <w:pPr>
      <w:tabs>
        <w:tab w:val="center" w:pos="4680"/>
        <w:tab w:val="right" w:pos="9360"/>
      </w:tabs>
      <w:autoSpaceDE w:val="0"/>
      <w:autoSpaceDN w:val="0"/>
      <w:adjustRightInd w:val="0"/>
      <w:spacing w:line="240" w:lineRule="auto"/>
    </w:pPr>
    <w:rPr>
      <w:rFonts w:ascii="Courier 10cpi" w:eastAsia="Times New Roman" w:hAnsi="Courier 10cpi" w:cs="Times New Roman"/>
      <w:sz w:val="20"/>
      <w:szCs w:val="20"/>
    </w:rPr>
  </w:style>
  <w:style w:type="character" w:customStyle="1" w:styleId="HeaderChar">
    <w:name w:val="Header Char"/>
    <w:basedOn w:val="DefaultParagraphFont"/>
    <w:link w:val="Header"/>
    <w:uiPriority w:val="99"/>
    <w:rPr>
      <w:rFonts w:ascii="Courier 10cpi" w:eastAsia="Times New Roman" w:hAnsi="Courier 10cpi" w:cs="Times New Roman"/>
      <w:sz w:val="20"/>
      <w:szCs w:val="20"/>
    </w:rPr>
  </w:style>
  <w:style w:type="character" w:customStyle="1" w:styleId="ListParagraphChar">
    <w:name w:val="List Paragraph Char"/>
    <w:basedOn w:val="DefaultParagraphFont"/>
    <w:link w:val="ListParagraph"/>
    <w:uiPriority w:val="34"/>
    <w:rPr>
      <w:rFonts w:ascii="Arial" w:hAnsi="Arial" w:cs="Arial"/>
    </w:rPr>
  </w:style>
  <w:style w:type="paragraph" w:styleId="Revision">
    <w:name w:val="Revision"/>
    <w:hidden/>
    <w:uiPriority w:val="99"/>
    <w:semiHidden/>
    <w:pPr>
      <w:spacing w:after="0" w:line="240" w:lineRule="auto"/>
    </w:pPr>
    <w:rPr>
      <w:rFonts w:ascii="Arial" w:hAnsi="Arial" w:cs="Arial"/>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hAnsi="Arial" w:cs="Arial"/>
    </w:rPr>
  </w:style>
  <w:style w:type="character" w:styleId="UnresolvedMention">
    <w:name w:val="Unresolved Mention"/>
    <w:basedOn w:val="DefaultParagraphFont"/>
    <w:uiPriority w:val="99"/>
    <w:unhideWhenUsed/>
    <w:rsid w:val="00945BC8"/>
    <w:rPr>
      <w:color w:val="605E5C"/>
      <w:shd w:val="clear" w:color="auto" w:fill="E1DFDD"/>
    </w:rPr>
  </w:style>
  <w:style w:type="character" w:styleId="Mention">
    <w:name w:val="Mention"/>
    <w:basedOn w:val="DefaultParagraphFont"/>
    <w:uiPriority w:val="99"/>
    <w:unhideWhenUsed/>
    <w:rsid w:val="00945B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rc.gov/site-help/electronic-sub-ref-mat.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2F6271A5088E4584F54E4BF5607E5A" ma:contentTypeVersion="13" ma:contentTypeDescription="Create a new document." ma:contentTypeScope="" ma:versionID="2c9d2e1ce6b5d2bdb7b600afdf03d777">
  <xsd:schema xmlns:xsd="http://www.w3.org/2001/XMLSchema" xmlns:xs="http://www.w3.org/2001/XMLSchema" xmlns:p="http://schemas.microsoft.com/office/2006/metadata/properties" xmlns:ns2="26646c57-4335-45e2-ab46-e4748e5d6bf5" xmlns:ns3="63e1947d-5a56-4526-a744-6e2a2825d9a6" targetNamespace="http://schemas.microsoft.com/office/2006/metadata/properties" ma:root="true" ma:fieldsID="ed081a30d4b6073649d8f95463c8119a" ns2:_="" ns3:_="">
    <xsd:import namespace="26646c57-4335-45e2-ab46-e4748e5d6bf5"/>
    <xsd:import namespace="63e1947d-5a56-4526-a744-6e2a2825d9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6c57-4335-45e2-ab46-e4748e5d6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1947d-5a56-4526-a744-6e2a2825d9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fd0624b-3732-4fd5-ab3f-b93374124b6e}" ma:internalName="TaxCatchAll" ma:showField="CatchAllData" ma:web="63e1947d-5a56-4526-a744-6e2a2825d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46c57-4335-45e2-ab46-e4748e5d6bf5">
      <Terms xmlns="http://schemas.microsoft.com/office/infopath/2007/PartnerControls"/>
    </lcf76f155ced4ddcb4097134ff3c332f>
    <TaxCatchAll xmlns="63e1947d-5a56-4526-a744-6e2a2825d9a6" xsi:nil="true"/>
  </documentManagement>
</p:properties>
</file>

<file path=customXml/itemProps1.xml><?xml version="1.0" encoding="utf-8"?>
<ds:datastoreItem xmlns:ds="http://schemas.openxmlformats.org/officeDocument/2006/customXml" ds:itemID="{6C6A4AA8-58E6-4DBB-B772-4E09A5885318}">
  <ds:schemaRefs>
    <ds:schemaRef ds:uri="http://schemas.openxmlformats.org/officeDocument/2006/bibliography"/>
  </ds:schemaRefs>
</ds:datastoreItem>
</file>

<file path=customXml/itemProps2.xml><?xml version="1.0" encoding="utf-8"?>
<ds:datastoreItem xmlns:ds="http://schemas.openxmlformats.org/officeDocument/2006/customXml" ds:itemID="{49048381-7CA7-4D46-A944-FD8E66CF2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6c57-4335-45e2-ab46-e4748e5d6bf5"/>
    <ds:schemaRef ds:uri="63e1947d-5a56-4526-a744-6e2a2825d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DAE50-C316-4863-A0FA-85282FAFCAF9}">
  <ds:schemaRefs>
    <ds:schemaRef ds:uri="http://schemas.microsoft.com/sharepoint/v3/contenttype/forms"/>
  </ds:schemaRefs>
</ds:datastoreItem>
</file>

<file path=customXml/itemProps4.xml><?xml version="1.0" encoding="utf-8"?>
<ds:datastoreItem xmlns:ds="http://schemas.openxmlformats.org/officeDocument/2006/customXml" ds:itemID="{64F734CE-46B1-4327-80F1-3EF8701FC847}">
  <ds:schemaRefs>
    <ds:schemaRef ds:uri="http://schemas.microsoft.com/office/2006/metadata/properties"/>
    <ds:schemaRef ds:uri="http://schemas.microsoft.com/office/infopath/2007/PartnerControls"/>
    <ds:schemaRef ds:uri="26646c57-4335-45e2-ab46-e4748e5d6bf5"/>
    <ds:schemaRef ds:uri="63e1947d-5a56-4526-a744-6e2a2825d9a6"/>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54</TotalTime>
  <Pages>10</Pages>
  <Words>3816</Words>
  <Characters>21755</Characters>
  <Application>Microsoft Office Word</Application>
  <DocSecurity>0</DocSecurity>
  <Lines>181</Lines>
  <Paragraphs>51</Paragraphs>
  <ScaleCrop>false</ScaleCrop>
  <Company>USNRC</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Kristen Benney</cp:lastModifiedBy>
  <cp:revision>7</cp:revision>
  <cp:lastPrinted>2022-05-10T18:13:00Z</cp:lastPrinted>
  <dcterms:created xsi:type="dcterms:W3CDTF">2024-08-08T17:27:00Z</dcterms:created>
  <dcterms:modified xsi:type="dcterms:W3CDTF">2024-08-08T18:48:00Z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0x010100CA2F6271A5088E4584F54E4BF5607E5A</vt:lpwstr>
  </property>
  <property fmtid="{D5CDD505-2E9C-101B-9397-08002B2CF9AE}" pid="4" name="MediaServiceImageTags">
    <vt:lpwstr/>
  </property>
  <property fmtid="{D5CDD505-2E9C-101B-9397-08002B2CF9AE}" pid="5" name="Order">
    <vt:r8>85100</vt:r8>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y fmtid="{D5CDD505-2E9C-101B-9397-08002B2CF9AE}" pid="9" name="_dlc_DocId">
    <vt:lpwstr>CA4TU2V674C5-237960338-1130</vt:lpwstr>
  </property>
  <property fmtid="{D5CDD505-2E9C-101B-9397-08002B2CF9AE}" pid="10" name="_dlc_DocIdItemGuid">
    <vt:lpwstr>97f62a42-2064-49fe-9068-f908b84e8e0f</vt:lpwstr>
  </property>
  <property fmtid="{D5CDD505-2E9C-101B-9397-08002B2CF9AE}" pid="11" name="_dlc_DocIdUrl">
    <vt:lpwstr>https://usnrc.sharepoint.com/teams/NMSS-Emergency-Preparedness-for-SMRs-RULEMAKING/_layouts/15/DocIdRedir.aspx?ID=CA4TU2V674C5-237960338-1130, CA4TU2V674C5-237960338-1130</vt:lpwstr>
  </property>
</Properties>
</file>