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CE1074" w14:paraId="7E088B25" w14:textId="77777777">
      <w:pPr>
        <w:jc w:val="center"/>
      </w:pPr>
    </w:p>
    <w:p w:rsidR="005F1FFC" w:rsidRPr="00BF6D43" w:rsidP="00CE1074"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3225D2" w:rsidRPr="00BF6D43" w:rsidP="00CE1074" w14:paraId="00B8C0D6" w14:textId="6E347E44">
      <w:pPr>
        <w:tabs>
          <w:tab w:val="left" w:pos="3046"/>
        </w:tabs>
        <w:jc w:val="center"/>
        <w:rPr>
          <w:b/>
          <w:caps/>
          <w:sz w:val="24"/>
          <w:szCs w:val="24"/>
        </w:rPr>
      </w:pPr>
      <w:r w:rsidRPr="00E81562">
        <w:rPr>
          <w:b/>
          <w:caps/>
          <w:sz w:val="24"/>
          <w:szCs w:val="24"/>
        </w:rPr>
        <w:t>State Official Notification Rule</w:t>
      </w:r>
    </w:p>
    <w:p w:rsidR="003225D2" w:rsidRPr="00BF6D43" w:rsidP="00CE1074" w14:paraId="4ACA79D4" w14:textId="2C04ABC9">
      <w:pPr>
        <w:jc w:val="center"/>
        <w:rPr>
          <w:b/>
          <w:bCs/>
          <w:sz w:val="24"/>
          <w:szCs w:val="24"/>
        </w:rPr>
      </w:pPr>
      <w:r w:rsidRPr="00BF6D43">
        <w:rPr>
          <w:b/>
          <w:bCs/>
          <w:sz w:val="24"/>
          <w:szCs w:val="24"/>
        </w:rPr>
        <w:t xml:space="preserve">OMB CONTROL NO. </w:t>
      </w:r>
      <w:r w:rsidRPr="00BF6D43" w:rsidR="00E81562">
        <w:rPr>
          <w:b/>
          <w:bCs/>
          <w:sz w:val="24"/>
          <w:szCs w:val="24"/>
        </w:rPr>
        <w:t>3170-0019</w:t>
      </w:r>
    </w:p>
    <w:p w:rsidR="00A4452C" w:rsidRPr="00BF6D43" w:rsidP="00CE1074" w14:paraId="7DC5C315" w14:textId="6EDCE00D">
      <w:pPr>
        <w:tabs>
          <w:tab w:val="left" w:pos="880"/>
        </w:tabs>
        <w:jc w:val="center"/>
        <w:rPr>
          <w:b/>
          <w:caps/>
          <w:sz w:val="24"/>
        </w:rPr>
      </w:pP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 xml:space="preserve">1.  Explain the circumstances that make the collection of information necessary.  Identify any legal or </w:t>
      </w:r>
      <w:r w:rsidRPr="00BF6D43">
        <w:rPr>
          <w:b/>
          <w:bCs/>
          <w:sz w:val="24"/>
        </w:rPr>
        <w:t>administrative requirements that necessitate the collection.  Attach a copy of the appropriate section of each statute and regulation mandating or authorizing the collection of information.</w:t>
      </w:r>
    </w:p>
    <w:p w:rsidR="005F1FFC" w:rsidRPr="00BF6D43" w:rsidP="005F1FFC" w14:paraId="1F5F91FF" w14:textId="77777777">
      <w:pPr>
        <w:rPr>
          <w:sz w:val="24"/>
        </w:rPr>
      </w:pPr>
    </w:p>
    <w:p w:rsidR="00E81562" w:rsidRPr="00BF6D43" w:rsidP="00E81562" w14:paraId="7044E51B" w14:textId="5723A2AE">
      <w:pPr>
        <w:rPr>
          <w:sz w:val="24"/>
        </w:rPr>
      </w:pPr>
      <w:r w:rsidRPr="00E81562">
        <w:rPr>
          <w:sz w:val="24"/>
        </w:rPr>
        <w:t>Section 1042 of the Dodd–Frank Wall Street Reform and Consumer Pr</w:t>
      </w:r>
      <w:r w:rsidRPr="00E81562">
        <w:rPr>
          <w:sz w:val="24"/>
        </w:rPr>
        <w:t>otection Act, 12 U.S.C.</w:t>
      </w:r>
      <w:r w:rsidRPr="00E81562">
        <w:rPr>
          <w:sz w:val="24"/>
        </w:rPr>
        <w:t xml:space="preserve"> 5552 (“the Act”), gave authority to certain state officials to enforce Title X of the Act and regulations prescribed thereunder. Section 1042 also requires that the Bureau issue a rule establishing how states are to provide notice</w:t>
      </w:r>
      <w:r w:rsidRPr="00E81562">
        <w:rPr>
          <w:sz w:val="24"/>
        </w:rPr>
        <w:t xml:space="preserve"> to the Bureau before taking action to enforce the Act (or, in emergency situations, immediately after taking such an action). In accordance with the requirements of the Act, the Bureau issued a final rule (12 CFR § 1082.1) establishing that notice should </w:t>
      </w:r>
      <w:r w:rsidRPr="00E81562">
        <w:rPr>
          <w:sz w:val="24"/>
        </w:rPr>
        <w:t>be provided at least 10 days</w:t>
      </w:r>
      <w:hyperlink w:anchor="_bookmark0" w:history="1">
        <w:r w:rsidRPr="00E81562">
          <w:rPr>
            <w:rStyle w:val="Hyperlink"/>
            <w:sz w:val="24"/>
          </w:rPr>
          <w:t xml:space="preserve"> </w:t>
        </w:r>
      </w:hyperlink>
      <w:r>
        <w:rPr>
          <w:sz w:val="24"/>
          <w:vertAlign w:val="superscript"/>
        </w:rPr>
        <w:footnoteReference w:id="2"/>
      </w:r>
      <w:r w:rsidRPr="00E81562">
        <w:rPr>
          <w:sz w:val="24"/>
        </w:rPr>
        <w:t>before the filing of an action, with certain exceptions, and setting forth a limited set of information which is to be provided with the notice. The notification requirements substantially track the statutory language p</w:t>
      </w:r>
      <w:r w:rsidRPr="00E81562">
        <w:rPr>
          <w:sz w:val="24"/>
        </w:rPr>
        <w:t>rovided at 12 U.S.C. § 5552(b)) and include the following information:</w:t>
      </w:r>
    </w:p>
    <w:p w:rsidR="00E81562" w:rsidRPr="00BF6D43" w:rsidP="00E81562" w14:paraId="18B1552F" w14:textId="77777777">
      <w:pPr>
        <w:pStyle w:val="ListParagraph"/>
        <w:numPr>
          <w:ilvl w:val="0"/>
          <w:numId w:val="19"/>
        </w:numPr>
        <w:rPr>
          <w:rFonts w:ascii="Times New Roman" w:hAnsi="Times New Roman"/>
          <w:sz w:val="24"/>
        </w:rPr>
      </w:pPr>
      <w:r w:rsidRPr="00BF6D43">
        <w:rPr>
          <w:rFonts w:ascii="Times New Roman" w:hAnsi="Times New Roman"/>
          <w:sz w:val="24"/>
        </w:rPr>
        <w:t>the court or body in which the action or proceeding is to be initiated;</w:t>
      </w:r>
    </w:p>
    <w:p w:rsidR="00E81562" w:rsidRPr="00BF6D43" w:rsidP="00E81562" w14:paraId="5E181AB5" w14:textId="77777777">
      <w:pPr>
        <w:pStyle w:val="ListParagraph"/>
        <w:numPr>
          <w:ilvl w:val="0"/>
          <w:numId w:val="19"/>
        </w:numPr>
        <w:rPr>
          <w:rFonts w:ascii="Times New Roman" w:hAnsi="Times New Roman"/>
          <w:sz w:val="24"/>
        </w:rPr>
      </w:pPr>
      <w:r w:rsidRPr="00BF6D43">
        <w:rPr>
          <w:rFonts w:ascii="Times New Roman" w:hAnsi="Times New Roman"/>
          <w:sz w:val="24"/>
        </w:rPr>
        <w:t>the identity of the parties to the action or proceeding;</w:t>
      </w:r>
    </w:p>
    <w:p w:rsidR="00E81562" w:rsidRPr="00BF6D43" w:rsidP="00E81562" w14:paraId="0C1E525B" w14:textId="77777777">
      <w:pPr>
        <w:pStyle w:val="ListParagraph"/>
        <w:numPr>
          <w:ilvl w:val="0"/>
          <w:numId w:val="19"/>
        </w:numPr>
        <w:rPr>
          <w:rFonts w:ascii="Times New Roman" w:hAnsi="Times New Roman"/>
          <w:sz w:val="24"/>
        </w:rPr>
      </w:pPr>
      <w:r w:rsidRPr="00BF6D43">
        <w:rPr>
          <w:rFonts w:ascii="Times New Roman" w:hAnsi="Times New Roman"/>
          <w:sz w:val="24"/>
        </w:rPr>
        <w:t>the nature of the action or proceeding to be initiated;</w:t>
      </w:r>
    </w:p>
    <w:p w:rsidR="00E81562" w:rsidRPr="00BF6D43" w:rsidP="00E81562" w14:paraId="54E6E5DE" w14:textId="77777777">
      <w:pPr>
        <w:pStyle w:val="ListParagraph"/>
        <w:numPr>
          <w:ilvl w:val="0"/>
          <w:numId w:val="19"/>
        </w:numPr>
        <w:rPr>
          <w:rFonts w:ascii="Times New Roman" w:hAnsi="Times New Roman"/>
          <w:sz w:val="24"/>
        </w:rPr>
      </w:pPr>
      <w:r w:rsidRPr="00BF6D43">
        <w:rPr>
          <w:rFonts w:ascii="Times New Roman" w:hAnsi="Times New Roman"/>
          <w:sz w:val="24"/>
        </w:rPr>
        <w:t>the anticipated date of initiating the action or proceeding;</w:t>
      </w:r>
    </w:p>
    <w:p w:rsidR="00E81562" w:rsidRPr="00BF6D43" w:rsidP="00E81562" w14:paraId="0A9C59F9" w14:textId="77777777">
      <w:pPr>
        <w:pStyle w:val="ListParagraph"/>
        <w:numPr>
          <w:ilvl w:val="0"/>
          <w:numId w:val="19"/>
        </w:numPr>
        <w:rPr>
          <w:rFonts w:ascii="Times New Roman" w:hAnsi="Times New Roman"/>
          <w:sz w:val="24"/>
        </w:rPr>
      </w:pPr>
      <w:r w:rsidRPr="00BF6D43">
        <w:rPr>
          <w:rFonts w:ascii="Times New Roman" w:hAnsi="Times New Roman"/>
          <w:sz w:val="24"/>
        </w:rPr>
        <w:t>the alleged facts underlying the action or proceeding;</w:t>
      </w:r>
    </w:p>
    <w:p w:rsidR="00E81562" w:rsidRPr="00BF6D43" w:rsidP="00E81562" w14:paraId="6CC6452C" w14:textId="77777777">
      <w:pPr>
        <w:pStyle w:val="ListParagraph"/>
        <w:numPr>
          <w:ilvl w:val="0"/>
          <w:numId w:val="19"/>
        </w:numPr>
        <w:rPr>
          <w:rFonts w:ascii="Times New Roman" w:hAnsi="Times New Roman"/>
          <w:sz w:val="24"/>
        </w:rPr>
      </w:pPr>
      <w:r w:rsidRPr="00BF6D43">
        <w:rPr>
          <w:rFonts w:ascii="Times New Roman" w:hAnsi="Times New Roman"/>
          <w:sz w:val="24"/>
        </w:rPr>
        <w:t>a contact name, electronic mail address, and phone number of an individual involved with the matter in the office of the State Official with</w:t>
      </w:r>
      <w:r w:rsidRPr="00BF6D43">
        <w:rPr>
          <w:rFonts w:ascii="Times New Roman" w:hAnsi="Times New Roman"/>
          <w:sz w:val="24"/>
        </w:rPr>
        <w:t xml:space="preserve"> whom the Bureau may consult;</w:t>
      </w:r>
    </w:p>
    <w:p w:rsidR="00E81562" w:rsidRPr="00BF6D43" w:rsidP="00E81562" w14:paraId="22EE89E5" w14:textId="77777777">
      <w:pPr>
        <w:pStyle w:val="ListParagraph"/>
        <w:numPr>
          <w:ilvl w:val="0"/>
          <w:numId w:val="19"/>
        </w:numPr>
        <w:rPr>
          <w:rFonts w:ascii="Times New Roman" w:hAnsi="Times New Roman"/>
          <w:sz w:val="24"/>
        </w:rPr>
      </w:pPr>
      <w:r w:rsidRPr="00BF6D43">
        <w:rPr>
          <w:rFonts w:ascii="Times New Roman" w:hAnsi="Times New Roman"/>
          <w:sz w:val="24"/>
        </w:rPr>
        <w:t>a determination as to whether there may be a need to coordinate the prosecution of the action or proceeding so as not to interfere with any action, including any rulemaking, undertaken by the Bureau, a prudential regulator, or</w:t>
      </w:r>
      <w:r w:rsidRPr="00BF6D43">
        <w:rPr>
          <w:rFonts w:ascii="Times New Roman" w:hAnsi="Times New Roman"/>
          <w:sz w:val="24"/>
        </w:rPr>
        <w:t xml:space="preserve"> another Federal agency;</w:t>
      </w:r>
    </w:p>
    <w:p w:rsidR="00E81562" w:rsidRPr="00BF6D43" w:rsidP="00E81562" w14:paraId="49C767FD" w14:textId="77777777">
      <w:pPr>
        <w:pStyle w:val="ListParagraph"/>
        <w:numPr>
          <w:ilvl w:val="0"/>
          <w:numId w:val="19"/>
        </w:numPr>
        <w:rPr>
          <w:rFonts w:ascii="Times New Roman" w:hAnsi="Times New Roman"/>
          <w:sz w:val="24"/>
        </w:rPr>
      </w:pPr>
      <w:r w:rsidRPr="00BF6D43">
        <w:rPr>
          <w:rFonts w:ascii="Times New Roman" w:hAnsi="Times New Roman"/>
          <w:sz w:val="24"/>
        </w:rPr>
        <w:t>a statement by the State Official setting forth any limitations on the disclosure of the substance or fact of the notice to any person or entity outside of the recipient agency; and</w:t>
      </w:r>
    </w:p>
    <w:p w:rsidR="00E81562" w:rsidRPr="00BF6D43" w:rsidP="00E81562" w14:paraId="4032D752" w14:textId="0660C738">
      <w:pPr>
        <w:pStyle w:val="ListParagraph"/>
        <w:numPr>
          <w:ilvl w:val="0"/>
          <w:numId w:val="19"/>
        </w:numPr>
        <w:rPr>
          <w:rFonts w:ascii="Times New Roman" w:hAnsi="Times New Roman"/>
          <w:sz w:val="24"/>
        </w:rPr>
      </w:pPr>
      <w:r w:rsidRPr="00BF6D43">
        <w:rPr>
          <w:rFonts w:ascii="Times New Roman" w:hAnsi="Times New Roman"/>
          <w:sz w:val="24"/>
        </w:rPr>
        <w:t>a complete and un-redacted copy of any complaint,</w:t>
      </w:r>
      <w:r w:rsidRPr="00BF6D43">
        <w:rPr>
          <w:rFonts w:ascii="Times New Roman" w:hAnsi="Times New Roman"/>
          <w:sz w:val="24"/>
        </w:rPr>
        <w:t xml:space="preserve"> motion for relief, or similar document that is the subject of the notice, in its form as of the date the notice is provided.</w:t>
      </w:r>
    </w:p>
    <w:p w:rsidR="00E81562" w:rsidRPr="00E81562" w:rsidP="00E81562" w14:paraId="797B4C30" w14:textId="77777777">
      <w:pPr>
        <w:rPr>
          <w:sz w:val="24"/>
        </w:rPr>
      </w:pPr>
    </w:p>
    <w:p w:rsidR="00E81562" w:rsidRPr="00BF6D43" w:rsidP="00E81562" w14:paraId="3AEDD7B2" w14:textId="77777777">
      <w:pPr>
        <w:rPr>
          <w:sz w:val="24"/>
        </w:rPr>
      </w:pPr>
      <w:r w:rsidRPr="00E81562">
        <w:rPr>
          <w:sz w:val="24"/>
        </w:rPr>
        <w:t>When notice is provided after the initiation of an action, the written description shall also include the following information:</w:t>
      </w:r>
    </w:p>
    <w:p w:rsidR="00E81562" w:rsidRPr="00BF6D43" w:rsidP="00E81562" w14:paraId="466BEB81" w14:textId="77777777">
      <w:pPr>
        <w:pStyle w:val="ListParagraph"/>
        <w:numPr>
          <w:ilvl w:val="0"/>
          <w:numId w:val="20"/>
        </w:numPr>
        <w:rPr>
          <w:rFonts w:ascii="Times New Roman" w:hAnsi="Times New Roman"/>
          <w:sz w:val="24"/>
        </w:rPr>
      </w:pPr>
      <w:r w:rsidRPr="00BF6D43">
        <w:rPr>
          <w:rFonts w:ascii="Times New Roman" w:hAnsi="Times New Roman"/>
          <w:sz w:val="24"/>
        </w:rPr>
        <w:t>a brief description of any preceding that occurred as a result of the initiation of the action or proceeding, including any orders issued by a court or other body;</w:t>
      </w:r>
    </w:p>
    <w:p w:rsidR="00E81562" w:rsidRPr="00BF6D43" w:rsidP="00E81562" w14:paraId="2C3159CC" w14:textId="77777777">
      <w:pPr>
        <w:pStyle w:val="ListParagraph"/>
        <w:numPr>
          <w:ilvl w:val="0"/>
          <w:numId w:val="20"/>
        </w:numPr>
        <w:rPr>
          <w:rFonts w:ascii="Times New Roman" w:hAnsi="Times New Roman"/>
          <w:sz w:val="24"/>
        </w:rPr>
      </w:pPr>
      <w:r w:rsidRPr="00BF6D43">
        <w:rPr>
          <w:rFonts w:ascii="Times New Roman" w:hAnsi="Times New Roman"/>
          <w:sz w:val="24"/>
        </w:rPr>
        <w:t>any case number, matter number, or designation assigned to the action;</w:t>
      </w:r>
    </w:p>
    <w:p w:rsidR="00E81562" w:rsidRPr="00BF6D43" w:rsidP="00E81562" w14:paraId="2F4DA9FC" w14:textId="77777777">
      <w:pPr>
        <w:pStyle w:val="ListParagraph"/>
        <w:numPr>
          <w:ilvl w:val="0"/>
          <w:numId w:val="20"/>
        </w:numPr>
        <w:rPr>
          <w:rFonts w:ascii="Times New Roman" w:hAnsi="Times New Roman"/>
          <w:sz w:val="24"/>
        </w:rPr>
      </w:pPr>
      <w:r w:rsidRPr="00BF6D43">
        <w:rPr>
          <w:rFonts w:ascii="Times New Roman" w:hAnsi="Times New Roman"/>
          <w:sz w:val="24"/>
        </w:rPr>
        <w:t>information on schedu</w:t>
      </w:r>
      <w:r w:rsidRPr="00BF6D43">
        <w:rPr>
          <w:rFonts w:ascii="Times New Roman" w:hAnsi="Times New Roman"/>
          <w:sz w:val="24"/>
        </w:rPr>
        <w:t>led court or other administrative or regulatory proceedings; and</w:t>
      </w:r>
    </w:p>
    <w:p w:rsidR="00E81562" w:rsidRPr="00BF6D43" w:rsidP="00E81562" w14:paraId="5B3E97A1" w14:textId="0738F64D">
      <w:pPr>
        <w:pStyle w:val="ListParagraph"/>
        <w:numPr>
          <w:ilvl w:val="0"/>
          <w:numId w:val="20"/>
        </w:numPr>
        <w:rPr>
          <w:rFonts w:ascii="Times New Roman" w:hAnsi="Times New Roman"/>
          <w:sz w:val="24"/>
        </w:rPr>
      </w:pPr>
      <w:r w:rsidRPr="00BF6D43">
        <w:rPr>
          <w:rFonts w:ascii="Times New Roman" w:hAnsi="Times New Roman"/>
          <w:sz w:val="24"/>
        </w:rPr>
        <w:t>a complete, un-redacted copy of any document filed by any party in relation to the action and any orders issued by the court or other body.</w:t>
      </w:r>
    </w:p>
    <w:p w:rsidR="00E81562" w:rsidRPr="00E81562" w:rsidP="00E81562" w14:paraId="0B4BE4B1" w14:textId="77777777">
      <w:pPr>
        <w:rPr>
          <w:sz w:val="24"/>
        </w:rPr>
      </w:pPr>
    </w:p>
    <w:p w:rsidR="00E81562" w:rsidRPr="00E81562" w:rsidP="00E81562" w14:paraId="79910EAC" w14:textId="77777777">
      <w:pPr>
        <w:rPr>
          <w:sz w:val="24"/>
        </w:rPr>
      </w:pPr>
      <w:r w:rsidRPr="00E81562">
        <w:rPr>
          <w:sz w:val="24"/>
        </w:rPr>
        <w:t>By statute, as noted above, state officials are re</w:t>
      </w:r>
      <w:r w:rsidRPr="00E81562">
        <w:rPr>
          <w:sz w:val="24"/>
        </w:rPr>
        <w:t>quired to provide notice to the Bureau and, as previously indicated, this notice is necessary to ensure that the Bureau is informed of pending matters and can evaluate those matters and determine a course of action. Without this rule, the</w:t>
      </w:r>
    </w:p>
    <w:p w:rsidR="000C39BD" w:rsidRPr="00BF6D43" w:rsidP="00E81562" w14:paraId="55402382" w14:textId="517F035C">
      <w:pPr>
        <w:rPr>
          <w:sz w:val="24"/>
        </w:rPr>
      </w:pPr>
      <w:r w:rsidRPr="00BF6D43">
        <w:rPr>
          <w:sz w:val="24"/>
        </w:rPr>
        <w:t>Bureau’s awarenes</w:t>
      </w:r>
      <w:r w:rsidRPr="00BF6D43">
        <w:rPr>
          <w:sz w:val="24"/>
        </w:rPr>
        <w:t xml:space="preserve">s of how authorities granted by the Act are being implemented will be substantially hindered.  </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w:t>
      </w:r>
      <w:r w:rsidRPr="00BF6D43">
        <w:rPr>
          <w:b/>
          <w:bCs/>
          <w:sz w:val="24"/>
        </w:rPr>
        <w:t xml:space="preserve"> information received from the current collection.</w:t>
      </w:r>
    </w:p>
    <w:p w:rsidR="005F1FFC" w:rsidRPr="00BF6D43" w:rsidP="005F1FFC" w14:paraId="04B2529C" w14:textId="77777777">
      <w:pPr>
        <w:rPr>
          <w:sz w:val="24"/>
        </w:rPr>
      </w:pPr>
    </w:p>
    <w:p w:rsidR="00E81562" w:rsidRPr="00E81562" w:rsidP="00E81562" w14:paraId="0EB08A80" w14:textId="2F2073C9">
      <w:pPr>
        <w:rPr>
          <w:sz w:val="24"/>
        </w:rPr>
      </w:pPr>
      <w:r w:rsidRPr="00E81562">
        <w:rPr>
          <w:sz w:val="24"/>
        </w:rPr>
        <w:t>The data is received by the Bureau from a state each time a state official is planning to file or files an action to enforce the Act or a regulation promulgated thereunder. The data is collected by the Bu</w:t>
      </w:r>
      <w:r w:rsidRPr="00E81562">
        <w:rPr>
          <w:sz w:val="24"/>
        </w:rPr>
        <w:t xml:space="preserve">reau that will share it as necessary and appropriate elsewhere in government, pursuant to the process set out in the rules. It will also be collected by the prudential regulators (sent by the state through postal mail or electronic mail submissions) where </w:t>
      </w:r>
      <w:r w:rsidRPr="00E81562">
        <w:rPr>
          <w:sz w:val="24"/>
        </w:rPr>
        <w:t xml:space="preserve">relevant, pursuant to the statute and the Bureau’s implementing regulation at 12 CFR </w:t>
      </w:r>
      <w:r w:rsidRPr="00E81562">
        <w:rPr>
          <w:sz w:val="24"/>
        </w:rPr>
        <w:t>1082.1(a)(3). Unless used as part of a legal proceeding in which the Bureau is engaged, it is not expected that the information will be shared with the public by those re</w:t>
      </w:r>
      <w:r w:rsidRPr="00E81562">
        <w:rPr>
          <w:sz w:val="24"/>
        </w:rPr>
        <w:t>ceiving the notice, unless the information is already made public by the state official providing the notice.</w:t>
      </w:r>
    </w:p>
    <w:p w:rsidR="00E81562" w:rsidRPr="00E81562" w:rsidP="00E81562" w14:paraId="25BE0208" w14:textId="77777777">
      <w:pPr>
        <w:rPr>
          <w:sz w:val="24"/>
        </w:rPr>
      </w:pPr>
    </w:p>
    <w:p w:rsidR="005F1FFC" w:rsidRPr="00BF6D43" w:rsidP="00E81562" w14:paraId="6EB7D4DB" w14:textId="4C951016">
      <w:r w:rsidRPr="00BF6D43">
        <w:rPr>
          <w:sz w:val="24"/>
        </w:rPr>
        <w:t xml:space="preserve">As discussed above, the information provided in the notice is used by the Bureau (and prudential regulators, where relevant) to stay </w:t>
      </w:r>
      <w:r w:rsidRPr="00BF6D43">
        <w:rPr>
          <w:sz w:val="24"/>
        </w:rPr>
        <w:t xml:space="preserve">informed about the enforcement activities of state officials enforcing the Act and to decide when and how, if at all, to react to such activities.  </w:t>
      </w:r>
    </w:p>
    <w:p w:rsidR="005F1FFC" w:rsidRPr="00BF6D43" w:rsidP="005F1FFC" w14:paraId="1D6DD610" w14:textId="77777777"/>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w:t>
      </w:r>
      <w:r w:rsidRPr="00BF6D43">
        <w:rPr>
          <w:b/>
          <w:bCs/>
          <w:sz w:val="24"/>
          <w:szCs w:val="24"/>
        </w:rPr>
        <w:t>ectronic, mechanical, or other technological collection techniques or other forms of information technology, e.g., permitting electronic submission of responses, and the basis for the decision for adopting this means of collection.  Also, describe any cons</w:t>
      </w:r>
      <w:r w:rsidRPr="00BF6D43">
        <w:rPr>
          <w:b/>
          <w:bCs/>
          <w:sz w:val="24"/>
          <w:szCs w:val="24"/>
        </w:rPr>
        <w:t>ideration of using information technology to reduce burden.</w:t>
      </w:r>
    </w:p>
    <w:p w:rsidR="005F1FFC" w:rsidRPr="00BF6D43" w:rsidP="005F1FFC" w14:paraId="07836B1D" w14:textId="77777777"/>
    <w:p w:rsidR="00AA66A0" w:rsidRPr="00BF6D43" w:rsidP="005F1FFC" w14:paraId="0A417FDF" w14:textId="5CC1B232">
      <w:pPr>
        <w:rPr>
          <w:sz w:val="24"/>
        </w:rPr>
      </w:pPr>
      <w:r w:rsidRPr="00BF6D43">
        <w:rPr>
          <w:sz w:val="24"/>
        </w:rPr>
        <w:t>To ensure that the process of providing notice is both easy and fast, notice to the Bureau is provided by electronic mail. State officials have the option of providing notice electronically or by</w:t>
      </w:r>
      <w:r w:rsidRPr="00BF6D43">
        <w:rPr>
          <w:sz w:val="24"/>
        </w:rPr>
        <w:t xml:space="preserve"> postal mail to prudential regulators</w:t>
      </w:r>
      <w:r w:rsidRPr="00BF6D43" w:rsidR="00532872">
        <w:rPr>
          <w:sz w:val="24"/>
        </w:rPr>
        <w:t>.</w:t>
      </w:r>
    </w:p>
    <w:p w:rsidR="00E939D3" w:rsidRPr="00BF6D43" w:rsidP="00E81562" w14:paraId="7CEBA56C"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RPr="00BF6D43" w:rsidP="005F1FFC" w14:paraId="7339726A" w14:textId="77777777">
      <w:pPr>
        <w:rPr>
          <w:sz w:val="24"/>
        </w:rPr>
      </w:pPr>
    </w:p>
    <w:p w:rsidR="00E939D3" w:rsidRPr="00BF6D43" w:rsidP="005F1FFC" w14:paraId="74479120" w14:textId="597C4FE5">
      <w:pPr>
        <w:rPr>
          <w:sz w:val="24"/>
        </w:rPr>
      </w:pPr>
      <w:r w:rsidRPr="00BF6D43">
        <w:rPr>
          <w:sz w:val="24"/>
        </w:rPr>
        <w:t>The Bureau is not aware</w:t>
      </w:r>
      <w:r w:rsidRPr="00BF6D43">
        <w:rPr>
          <w:sz w:val="24"/>
        </w:rPr>
        <w:t xml:space="preserve"> of any other formal process by which the Bureau would be notified of pending state enforcement actions</w:t>
      </w:r>
      <w:r w:rsidRPr="00BF6D43" w:rsidR="005F1FFC">
        <w:rPr>
          <w:sz w:val="24"/>
        </w:rPr>
        <w:t xml:space="preserve">.  </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RPr="00BF6D43" w:rsidP="00092D91" w14:paraId="6511B9A0" w14:textId="77777777">
      <w:pPr>
        <w:pStyle w:val="BodyText"/>
      </w:pPr>
    </w:p>
    <w:p w:rsidR="005F1FFC" w:rsidRPr="00BF6D43" w:rsidP="005F1FFC" w14:paraId="740B1074" w14:textId="3614ED65">
      <w:pPr>
        <w:pStyle w:val="BodyText"/>
      </w:pPr>
      <w:r w:rsidRPr="00BF6D43">
        <w:t xml:space="preserve">Not </w:t>
      </w:r>
      <w:r w:rsidRPr="00BF6D43">
        <w:t xml:space="preserve">applicable. The information collected will come from state officials. Small businesses or other small entities are not impacted by this collection of information.  </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w:t>
      </w:r>
      <w:r w:rsidRPr="00BF6D43">
        <w:rPr>
          <w:b/>
          <w:bCs/>
          <w:sz w:val="24"/>
          <w:szCs w:val="24"/>
        </w:rPr>
        <w:t xml:space="preserve">not conducted or is conducted less frequently, as well as any technical or legal obstacles to reducing burden. </w:t>
      </w:r>
    </w:p>
    <w:p w:rsidR="005F1FFC" w:rsidRPr="00BF6D43" w:rsidP="005F1FFC" w14:paraId="03B2F609" w14:textId="77777777">
      <w:pPr>
        <w:rPr>
          <w:sz w:val="24"/>
        </w:rPr>
      </w:pPr>
    </w:p>
    <w:p w:rsidR="005F1FFC" w:rsidRPr="00BF6D43" w:rsidP="005F1FFC" w14:paraId="039568CD" w14:textId="063D86E0">
      <w:pPr>
        <w:rPr>
          <w:sz w:val="24"/>
        </w:rPr>
      </w:pPr>
      <w:r w:rsidRPr="00BF6D43">
        <w:rPr>
          <w:sz w:val="24"/>
        </w:rPr>
        <w:t>As discussed above, failing to collect this information may leave the Bureau without the necessary information as to pending state actions in a</w:t>
      </w:r>
      <w:r w:rsidRPr="00BF6D43">
        <w:rPr>
          <w:sz w:val="24"/>
        </w:rPr>
        <w:t xml:space="preserve">n area of law for which the Bureau has primary regulatory authority, which will limit the Bureau’s ability to consult with states and become involved as appropriate before[or after a case is filed. </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w:t>
      </w:r>
      <w:r w:rsidRPr="00BF6D43">
        <w:rPr>
          <w:b/>
          <w:bCs/>
          <w:sz w:val="24"/>
          <w:szCs w:val="24"/>
        </w:rPr>
        <w:t>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w:t>
      </w:r>
      <w:r w:rsidRPr="00BF6D43">
        <w:rPr>
          <w:b/>
          <w:bCs/>
          <w:sz w:val="24"/>
          <w:szCs w:val="24"/>
        </w:rPr>
        <w:t>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w:t>
      </w:r>
      <w:r w:rsidRPr="00BF6D43">
        <w:rPr>
          <w:b/>
          <w:bCs/>
        </w:rPr>
        <w:t>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that includes a pledge of confidentially that is not supported by authority established in statute or regulation, that is not supported by disclosure and </w:t>
      </w:r>
      <w:r w:rsidRPr="00BF6D43">
        <w:rPr>
          <w:b/>
          <w:bCs/>
        </w:rPr>
        <w:t>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w:t>
      </w:r>
      <w:r w:rsidRPr="00BF6D43">
        <w:rPr>
          <w:b/>
          <w:bCs/>
        </w:rPr>
        <w:t>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5F1FFC" w:rsidRPr="00BF6D43" w:rsidP="005F1FFC" w14:paraId="7D149E8F" w14:textId="5B6A91A1">
      <w:pPr>
        <w:rPr>
          <w:sz w:val="24"/>
        </w:rPr>
      </w:pPr>
      <w:r w:rsidRPr="00BF6D43">
        <w:rPr>
          <w:sz w:val="24"/>
        </w:rPr>
        <w:t>There are no special circumstances.</w:t>
      </w:r>
      <w:r w:rsidRPr="00BF6D43" w:rsidR="00BE61FE">
        <w:rPr>
          <w:sz w:val="24"/>
        </w:rPr>
        <w:t xml:space="preserve">  The collection of information is conducted in compliance with OIRA regulations in 5 CFR 1320.5(d)(2). </w:t>
      </w:r>
    </w:p>
    <w:p w:rsidR="005F1FFC" w:rsidRPr="00BF6D43" w:rsidP="005F1FFC" w14:paraId="1B13D641" w14:textId="77777777">
      <w:pPr>
        <w:ind w:left="720"/>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w:t>
      </w:r>
      <w:r w:rsidRPr="00BF6D43">
        <w:rPr>
          <w:b/>
          <w:bCs/>
          <w:sz w:val="24"/>
          <w:szCs w:val="24"/>
        </w:rPr>
        <w:t>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w:t>
      </w:r>
      <w:r w:rsidRPr="00BF6D43">
        <w:rPr>
          <w:b/>
          <w:bCs/>
          <w:sz w:val="24"/>
          <w:szCs w:val="24"/>
        </w:rPr>
        <w:t>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w:t>
      </w:r>
      <w:r w:rsidRPr="00BF6D43">
        <w:rPr>
          <w:b/>
          <w:bCs/>
          <w:sz w:val="24"/>
          <w:szCs w:val="24"/>
        </w:rPr>
        <w:t>sultation with representatives of those from whom information is to be obtained or those who must compile records should occur at least once every 3 years -- even if the collection-of-information activity is the same as in prior periods.  There may be circ</w:t>
      </w:r>
      <w:r w:rsidRPr="00BF6D43">
        <w:rPr>
          <w:b/>
          <w:bCs/>
          <w:sz w:val="24"/>
          <w:szCs w:val="24"/>
        </w:rPr>
        <w:t>umstances that may preclude consultation in a specific situation.  These circumstances should be explained.</w:t>
      </w:r>
    </w:p>
    <w:p w:rsidR="005F1FFC" w:rsidRPr="00BF6D43" w:rsidP="005F1FFC" w14:paraId="3454479C" w14:textId="77777777">
      <w:pPr>
        <w:rPr>
          <w:sz w:val="24"/>
        </w:rPr>
      </w:pPr>
    </w:p>
    <w:p w:rsidR="00BC56A2" w:rsidRPr="00BF6D43" w:rsidP="00BC56A2" w14:paraId="4EF51BBA" w14:textId="1CE4345A">
      <w:pPr>
        <w:rPr>
          <w:bCs/>
          <w:sz w:val="24"/>
        </w:rPr>
      </w:pPr>
      <w:r w:rsidRPr="00BC56A2">
        <w:rPr>
          <w:bCs/>
          <w:sz w:val="24"/>
        </w:rPr>
        <w:t>In accordance with 5 CFR</w:t>
      </w:r>
      <w:r w:rsidR="00A70141">
        <w:rPr>
          <w:bCs/>
          <w:sz w:val="24"/>
        </w:rPr>
        <w:t xml:space="preserve"> </w:t>
      </w:r>
      <w:r w:rsidRPr="00BC56A2">
        <w:rPr>
          <w:bCs/>
          <w:sz w:val="24"/>
        </w:rPr>
        <w:t>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 xml:space="preserve">days to comment </w:t>
      </w:r>
      <w:r w:rsidRPr="00BC56A2">
        <w:rPr>
          <w:bCs/>
          <w:sz w:val="24"/>
        </w:rPr>
        <w:t>on the extension of</w:t>
      </w:r>
      <w:r w:rsidRPr="00BF6D43">
        <w:rPr>
          <w:bCs/>
          <w:sz w:val="24"/>
        </w:rPr>
        <w:t xml:space="preserve"> reporting requirements contained within OMB Control No. 3170-0019.</w:t>
      </w:r>
      <w:r>
        <w:rPr>
          <w:rStyle w:val="FootnoteReference"/>
          <w:bCs/>
          <w:sz w:val="24"/>
        </w:rPr>
        <w:footnoteReference w:id="3"/>
      </w:r>
    </w:p>
    <w:p w:rsidR="004E1F5B" w:rsidRPr="00BC56A2" w:rsidP="00BC56A2" w14:paraId="13830F01" w14:textId="77777777">
      <w:pPr>
        <w:rPr>
          <w:bCs/>
          <w:sz w:val="24"/>
        </w:rPr>
      </w:pPr>
    </w:p>
    <w:p w:rsidR="00BE61FE" w:rsidRPr="00BF6D43" w:rsidP="00BC56A2" w14:paraId="18A7A451" w14:textId="10774153">
      <w:pPr>
        <w:rPr>
          <w:bCs/>
          <w:sz w:val="24"/>
        </w:rPr>
      </w:pPr>
      <w:r w:rsidRPr="00BF6D43">
        <w:rPr>
          <w:bCs/>
          <w:sz w:val="24"/>
        </w:rPr>
        <w:t xml:space="preserve">Also, </w:t>
      </w:r>
      <w:r w:rsidRPr="00BF6D43" w:rsidR="00BC56A2">
        <w:rPr>
          <w:bCs/>
          <w:sz w:val="24"/>
        </w:rPr>
        <w:t>in accordance with 5 CFR</w:t>
      </w:r>
      <w:r w:rsidR="00A70141">
        <w:rPr>
          <w:bCs/>
          <w:sz w:val="24"/>
        </w:rPr>
        <w:t xml:space="preserve"> </w:t>
      </w:r>
      <w:r w:rsidRPr="00BF6D43" w:rsidR="00BC56A2">
        <w:rPr>
          <w:bCs/>
          <w:sz w:val="24"/>
        </w:rPr>
        <w:t xml:space="preserve">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r>
        <w:rPr>
          <w:rStyle w:val="FootnoteReference"/>
          <w:bCs/>
          <w:sz w:val="24"/>
        </w:rPr>
        <w:footnoteReference w:id="4"/>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w:t>
      </w:r>
      <w:r w:rsidRPr="00BF6D43">
        <w:rPr>
          <w:b/>
          <w:bCs/>
          <w:sz w:val="24"/>
          <w:szCs w:val="24"/>
        </w:rPr>
        <w:t>o provide any payments or gifts to respondents, other than remuneration of contractors or grantees.</w:t>
      </w:r>
    </w:p>
    <w:p w:rsidR="005F1FFC" w:rsidRPr="00BF6D43" w:rsidP="005F1FFC" w14:paraId="0EFC2C53" w14:textId="77777777">
      <w:pPr>
        <w:rPr>
          <w:sz w:val="24"/>
        </w:rPr>
      </w:pPr>
    </w:p>
    <w:p w:rsidR="005F1FFC" w:rsidRPr="00BF6D43" w:rsidP="009E1042" w14:paraId="7429A731" w14:textId="5C0D07FC">
      <w:pPr>
        <w:rPr>
          <w:sz w:val="24"/>
          <w:szCs w:val="24"/>
        </w:rPr>
      </w:pPr>
      <w:r w:rsidRPr="00BF6D43">
        <w:rPr>
          <w:sz w:val="24"/>
          <w:szCs w:val="24"/>
        </w:rPr>
        <w:t>Not applicable. This information collection does not provide payments of gifts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 xml:space="preserve">Describe any assurance of </w:t>
      </w:r>
      <w:r w:rsidRPr="00BF6D43">
        <w:rPr>
          <w:b/>
          <w:bCs/>
          <w:sz w:val="24"/>
          <w:szCs w:val="24"/>
        </w:rPr>
        <w:t>confidentiality provided to respondents and the basis for the assurance in statute, regulation, or agency policy.</w:t>
      </w:r>
    </w:p>
    <w:p w:rsidR="005F1FFC" w:rsidRPr="00BF6D43" w:rsidP="005F1FFC" w14:paraId="59FF77B7" w14:textId="77777777">
      <w:pPr>
        <w:ind w:left="720"/>
        <w:rPr>
          <w:sz w:val="24"/>
        </w:rPr>
      </w:pPr>
    </w:p>
    <w:p w:rsidR="0090025B" w:rsidRPr="00BF6D43" w:rsidP="0090025B" w14:paraId="18893585" w14:textId="28DC25C9">
      <w:pPr>
        <w:rPr>
          <w:sz w:val="24"/>
        </w:rPr>
      </w:pPr>
      <w:r w:rsidRPr="0090025B">
        <w:rPr>
          <w:sz w:val="24"/>
        </w:rPr>
        <w:t>As set forth in the rule at 12 CFR</w:t>
      </w:r>
      <w:r w:rsidR="00745B34">
        <w:rPr>
          <w:sz w:val="24"/>
        </w:rPr>
        <w:t xml:space="preserve"> </w:t>
      </w:r>
      <w:r w:rsidRPr="0090025B">
        <w:rPr>
          <w:sz w:val="24"/>
        </w:rPr>
        <w:t>1082.1(e), unless and until the information becomes publicly available, the substance and fact of the no</w:t>
      </w:r>
      <w:r w:rsidRPr="0090025B">
        <w:rPr>
          <w:sz w:val="24"/>
        </w:rPr>
        <w:t>tice will not be disclosed by the Bureau or any relevant prudential regulator who received the notice except:</w:t>
      </w:r>
    </w:p>
    <w:p w:rsidR="0090025B" w:rsidRPr="00BF6D43" w:rsidP="0090025B" w14:paraId="437451E7" w14:textId="77777777">
      <w:pPr>
        <w:pStyle w:val="ListParagraph"/>
        <w:numPr>
          <w:ilvl w:val="0"/>
          <w:numId w:val="21"/>
        </w:numPr>
        <w:rPr>
          <w:rFonts w:ascii="Times New Roman" w:hAnsi="Times New Roman"/>
          <w:sz w:val="24"/>
        </w:rPr>
      </w:pPr>
      <w:r w:rsidRPr="00BF6D43">
        <w:rPr>
          <w:rFonts w:ascii="Times New Roman" w:hAnsi="Times New Roman"/>
          <w:sz w:val="24"/>
        </w:rPr>
        <w:t>as required by law;</w:t>
      </w:r>
    </w:p>
    <w:p w:rsidR="0090025B" w:rsidRPr="00BF6D43" w:rsidP="0090025B" w14:paraId="0ED33072" w14:textId="77777777">
      <w:pPr>
        <w:pStyle w:val="ListParagraph"/>
        <w:numPr>
          <w:ilvl w:val="0"/>
          <w:numId w:val="21"/>
        </w:numPr>
        <w:rPr>
          <w:rFonts w:ascii="Times New Roman" w:hAnsi="Times New Roman"/>
          <w:sz w:val="24"/>
        </w:rPr>
      </w:pPr>
      <w:r w:rsidRPr="00BF6D43">
        <w:rPr>
          <w:rFonts w:ascii="Times New Roman" w:hAnsi="Times New Roman"/>
          <w:sz w:val="24"/>
        </w:rPr>
        <w:t>when the information is or becomes publicly available;</w:t>
      </w:r>
    </w:p>
    <w:p w:rsidR="0090025B" w:rsidRPr="00BF6D43" w:rsidP="0090025B" w14:paraId="03BFBBB2" w14:textId="77777777">
      <w:pPr>
        <w:pStyle w:val="ListParagraph"/>
        <w:numPr>
          <w:ilvl w:val="0"/>
          <w:numId w:val="21"/>
        </w:numPr>
        <w:rPr>
          <w:rFonts w:ascii="Times New Roman" w:hAnsi="Times New Roman"/>
          <w:sz w:val="24"/>
        </w:rPr>
      </w:pPr>
      <w:r w:rsidRPr="00BF6D43">
        <w:rPr>
          <w:rFonts w:ascii="Times New Roman" w:hAnsi="Times New Roman"/>
          <w:sz w:val="24"/>
        </w:rPr>
        <w:t xml:space="preserve">with the permission of the state official who provided the </w:t>
      </w:r>
      <w:r w:rsidRPr="00BF6D43">
        <w:rPr>
          <w:rFonts w:ascii="Times New Roman" w:hAnsi="Times New Roman"/>
          <w:sz w:val="24"/>
        </w:rPr>
        <w:t>notice; or</w:t>
      </w:r>
    </w:p>
    <w:p w:rsidR="0090025B" w:rsidRPr="00BF6D43" w:rsidP="0090025B" w14:paraId="50EF43BD" w14:textId="1EAD91D1">
      <w:pPr>
        <w:pStyle w:val="ListParagraph"/>
        <w:numPr>
          <w:ilvl w:val="0"/>
          <w:numId w:val="21"/>
        </w:numPr>
        <w:rPr>
          <w:rFonts w:ascii="Times New Roman" w:hAnsi="Times New Roman"/>
          <w:sz w:val="24"/>
        </w:rPr>
      </w:pPr>
      <w:r w:rsidRPr="00BF6D43">
        <w:rPr>
          <w:rFonts w:ascii="Times New Roman" w:hAnsi="Times New Roman"/>
          <w:sz w:val="24"/>
        </w:rPr>
        <w:t>by the Bureau to another state of federal entity when necessary to protect the public interest, after consultation with the state official who provided the notice.</w:t>
      </w:r>
    </w:p>
    <w:p w:rsidR="0090025B" w:rsidRPr="0090025B" w:rsidP="0090025B" w14:paraId="060692B7" w14:textId="77777777">
      <w:pPr>
        <w:rPr>
          <w:sz w:val="24"/>
        </w:rPr>
      </w:pPr>
    </w:p>
    <w:p w:rsidR="005F1FFC" w:rsidRPr="00BF6D43" w:rsidP="0090025B" w14:paraId="5356217C" w14:textId="6D905B0D">
      <w:pPr>
        <w:rPr>
          <w:sz w:val="24"/>
        </w:rPr>
      </w:pPr>
      <w:r w:rsidRPr="00BF6D43">
        <w:rPr>
          <w:sz w:val="24"/>
        </w:rPr>
        <w:t>This collection of information does involve the collection of information from o</w:t>
      </w:r>
      <w:r w:rsidRPr="00BF6D43">
        <w:rPr>
          <w:sz w:val="24"/>
        </w:rPr>
        <w:t xml:space="preserve">r about individuals, the Privacy Act of 1974, as amended 5 U.S.C. § 552a. The Bureau has conducted the Supervision, Enforcement, and Fair Lending Data Privacy Impact Assessment and published the </w:t>
      </w:r>
      <w:r w:rsidRPr="00BF6D43">
        <w:rPr>
          <w:i/>
          <w:iCs/>
          <w:sz w:val="24"/>
        </w:rPr>
        <w:t>CFPB.004 Enforcement Database System of Records Notice</w:t>
      </w:r>
      <w:r w:rsidRPr="00BF6D43">
        <w:rPr>
          <w:sz w:val="24"/>
        </w:rPr>
        <w:t xml:space="preserve"> for th</w:t>
      </w:r>
      <w:r w:rsidRPr="00BF6D43">
        <w:rPr>
          <w:sz w:val="24"/>
        </w:rPr>
        <w:t>is collection of information.</w:t>
      </w:r>
    </w:p>
    <w:p w:rsidR="00A93967" w:rsidRPr="00BF6D43" w:rsidP="005F1FFC" w14:paraId="2A4F7C4C" w14:textId="77777777">
      <w:pPr>
        <w:ind w:left="720"/>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w:t>
      </w:r>
      <w:r w:rsidRPr="00BF6D43">
        <w:rPr>
          <w:b/>
          <w:bCs/>
          <w:sz w:val="24"/>
          <w:szCs w:val="24"/>
        </w:rPr>
        <w:t>de the reasons why the agency considers the questions necessary, the specific uses to be made of the information, the explanation to be given to persons from whom the information is requested, and any steps to be taken to obtain their consent.</w:t>
      </w:r>
    </w:p>
    <w:p w:rsidR="005F1FFC" w:rsidRPr="00BF6D43" w:rsidP="005F1FFC" w14:paraId="74706F28" w14:textId="77777777">
      <w:pPr>
        <w:ind w:left="720"/>
        <w:rPr>
          <w:sz w:val="24"/>
        </w:rPr>
      </w:pPr>
    </w:p>
    <w:p w:rsidR="002D789D" w:rsidRPr="00BF6D43" w:rsidP="005F1FFC" w14:paraId="010BF5E9" w14:textId="4C927DAD">
      <w:pPr>
        <w:pStyle w:val="BodyText"/>
      </w:pPr>
      <w:r w:rsidRPr="00BF6D43">
        <w:t>This inform</w:t>
      </w:r>
      <w:r w:rsidRPr="00BF6D43">
        <w:t xml:space="preserve">ation collection does </w:t>
      </w:r>
      <w:r w:rsidRPr="00151990">
        <w:t>not</w:t>
      </w:r>
      <w:r w:rsidRPr="00151990">
        <w:t xml:space="preserve"> collect</w:t>
      </w:r>
      <w:r w:rsidRPr="00BF6D43">
        <w:t xml:space="preserve"> information of a sensitive nature.</w:t>
      </w: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w:t>
      </w:r>
      <w:r w:rsidRPr="00BF6D43">
        <w:rPr>
          <w:b/>
          <w:bCs/>
          <w:sz w:val="24"/>
          <w:szCs w:val="24"/>
        </w:rPr>
        <w:t>xplanation of how the burden was estimated.  Unless directed to do so, agencies should not conduct special surveys to obtain information on which to base hour burden estimates.  Consultation with a sample (fewer than 10) of potential respondents is desirab</w:t>
      </w:r>
      <w:r w:rsidRPr="00BF6D43">
        <w:rPr>
          <w:b/>
          <w:bCs/>
          <w:sz w:val="24"/>
          <w:szCs w:val="24"/>
        </w:rPr>
        <w:t>le.  If the hour burden on respondents is expected to vary widely because of differences in activity, size, or complexity, show the range of estimated hour burden, and explain the reasons for the variance.  General, estimates should not include burden hour</w:t>
      </w:r>
      <w:r w:rsidRPr="00BF6D43">
        <w:rPr>
          <w:b/>
          <w:bCs/>
          <w:sz w:val="24"/>
          <w:szCs w:val="24"/>
        </w:rPr>
        <w:t>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Provide estimates of annualized cost to respondents for the hour burdens for collections of </w:t>
      </w:r>
      <w:r w:rsidRPr="00BF6D43">
        <w:rPr>
          <w:b/>
          <w:bCs/>
          <w:sz w:val="24"/>
          <w:szCs w:val="24"/>
        </w:rPr>
        <w:t>information, identifying and using appropriate wage rate categories.  The cost of contracting out or paying outside parties for information collection activities should not be included here.  Instead, this cost should be included in Item 14.</w:t>
      </w:r>
    </w:p>
    <w:p w:rsidR="007E7E37" w:rsidRPr="00BF6D43" w:rsidP="005F1FFC" w14:paraId="594B415B" w14:textId="77777777">
      <w:pPr>
        <w:rPr>
          <w:b/>
          <w:sz w:val="24"/>
        </w:rPr>
      </w:pPr>
    </w:p>
    <w:p w:rsidR="00BC16BB" w:rsidRPr="00BC16BB" w:rsidP="00BC16BB" w14:paraId="383BA6FE" w14:textId="7C9B8972">
      <w:pPr>
        <w:rPr>
          <w:bCs/>
          <w:sz w:val="24"/>
        </w:rPr>
      </w:pPr>
      <w:r w:rsidRPr="00BC16BB">
        <w:rPr>
          <w:bCs/>
          <w:sz w:val="24"/>
        </w:rPr>
        <w:t>The informati</w:t>
      </w:r>
      <w:r w:rsidRPr="00BC16BB">
        <w:rPr>
          <w:bCs/>
          <w:sz w:val="24"/>
        </w:rPr>
        <w:t xml:space="preserve">on </w:t>
      </w:r>
      <w:r w:rsidRPr="00BF6D43">
        <w:rPr>
          <w:bCs/>
          <w:sz w:val="24"/>
        </w:rPr>
        <w:t>collected</w:t>
      </w:r>
      <w:r w:rsidRPr="00BC16BB">
        <w:rPr>
          <w:bCs/>
          <w:sz w:val="24"/>
        </w:rPr>
        <w:t xml:space="preserve"> under the notice provisions of </w:t>
      </w:r>
      <w:r w:rsidRPr="00BF6D43">
        <w:rPr>
          <w:bCs/>
          <w:sz w:val="24"/>
        </w:rPr>
        <w:t>these</w:t>
      </w:r>
      <w:r w:rsidRPr="00BC16BB">
        <w:rPr>
          <w:bCs/>
          <w:sz w:val="24"/>
        </w:rPr>
        <w:t xml:space="preserve"> rule</w:t>
      </w:r>
      <w:r w:rsidRPr="00BF6D43">
        <w:rPr>
          <w:bCs/>
          <w:sz w:val="24"/>
        </w:rPr>
        <w:t>s</w:t>
      </w:r>
      <w:r w:rsidRPr="00BC16BB">
        <w:rPr>
          <w:bCs/>
          <w:sz w:val="24"/>
        </w:rPr>
        <w:t xml:space="preserve"> </w:t>
      </w:r>
      <w:r w:rsidRPr="00BF6D43">
        <w:rPr>
          <w:bCs/>
          <w:sz w:val="24"/>
        </w:rPr>
        <w:t>is</w:t>
      </w:r>
      <w:r w:rsidRPr="00BC16BB">
        <w:rPr>
          <w:bCs/>
          <w:sz w:val="24"/>
        </w:rPr>
        <w:t xml:space="preserve"> primarily information which state officials providing the notice would have already collected and </w:t>
      </w:r>
      <w:r w:rsidRPr="00BC16BB">
        <w:rPr>
          <w:bCs/>
          <w:sz w:val="24"/>
        </w:rPr>
        <w:t xml:space="preserve">have </w:t>
      </w:r>
      <w:r w:rsidRPr="00BF6D43" w:rsidR="00BD789B">
        <w:rPr>
          <w:bCs/>
          <w:sz w:val="24"/>
        </w:rPr>
        <w:t xml:space="preserve">made </w:t>
      </w:r>
      <w:r w:rsidRPr="00BC16BB">
        <w:rPr>
          <w:bCs/>
          <w:sz w:val="24"/>
        </w:rPr>
        <w:t xml:space="preserve">available at the time notice is given. The requirements apply to all </w:t>
      </w:r>
      <w:r w:rsidRPr="00BF6D43" w:rsidR="00BD789B">
        <w:rPr>
          <w:bCs/>
          <w:sz w:val="24"/>
        </w:rPr>
        <w:t>50</w:t>
      </w:r>
      <w:r w:rsidRPr="00BC16BB">
        <w:rPr>
          <w:bCs/>
          <w:sz w:val="24"/>
        </w:rPr>
        <w:t xml:space="preserve"> states, the District of Columbia, and all</w:t>
      </w:r>
      <w:r w:rsidRPr="00BF6D43" w:rsidR="00BD789B">
        <w:rPr>
          <w:bCs/>
          <w:sz w:val="24"/>
        </w:rPr>
        <w:t xml:space="preserve"> </w:t>
      </w:r>
      <w:r w:rsidRPr="00BC16BB">
        <w:rPr>
          <w:bCs/>
          <w:sz w:val="24"/>
        </w:rPr>
        <w:t>five inhabited U.S. territories</w:t>
      </w:r>
      <w:r w:rsidRPr="00BF6D43" w:rsidR="00BD789B">
        <w:rPr>
          <w:bCs/>
          <w:sz w:val="24"/>
        </w:rPr>
        <w:t xml:space="preserve">. </w:t>
      </w:r>
      <w:r w:rsidRPr="00BC16BB">
        <w:rPr>
          <w:bCs/>
          <w:sz w:val="24"/>
        </w:rPr>
        <w:t xml:space="preserve"> </w:t>
      </w:r>
      <w:r w:rsidRPr="00BF6D43" w:rsidR="00BD789B">
        <w:rPr>
          <w:bCs/>
          <w:sz w:val="24"/>
        </w:rPr>
        <w:t>T</w:t>
      </w:r>
      <w:r w:rsidRPr="00BC16BB">
        <w:rPr>
          <w:bCs/>
          <w:sz w:val="24"/>
        </w:rPr>
        <w:t>herefore</w:t>
      </w:r>
      <w:r w:rsidRPr="00BF6D43" w:rsidR="00BD789B">
        <w:rPr>
          <w:bCs/>
          <w:sz w:val="24"/>
        </w:rPr>
        <w:t>,</w:t>
      </w:r>
      <w:r w:rsidRPr="00BC16BB">
        <w:rPr>
          <w:bCs/>
          <w:sz w:val="24"/>
        </w:rPr>
        <w:t xml:space="preserve"> the total number of potential respondents is 56. It is estimated that compiling and sending the requested information would require no more than 30 minutes</w:t>
      </w:r>
      <w:r w:rsidRPr="00BF6D43" w:rsidR="00BD789B">
        <w:rPr>
          <w:bCs/>
          <w:sz w:val="24"/>
        </w:rPr>
        <w:t xml:space="preserve"> </w:t>
      </w:r>
      <w:r w:rsidRPr="00BC16BB">
        <w:rPr>
          <w:bCs/>
          <w:sz w:val="24"/>
        </w:rPr>
        <w:t xml:space="preserve">of additional </w:t>
      </w:r>
      <w:r w:rsidRPr="00BF6D43" w:rsidR="00BD789B">
        <w:rPr>
          <w:bCs/>
          <w:sz w:val="24"/>
        </w:rPr>
        <w:t>burden</w:t>
      </w:r>
      <w:r w:rsidRPr="00BC16BB">
        <w:rPr>
          <w:bCs/>
          <w:sz w:val="24"/>
        </w:rPr>
        <w:t xml:space="preserve">. Over the past three years, on average the Bureau has </w:t>
      </w:r>
      <w:r w:rsidRPr="00BF6D43" w:rsidR="00BD789B">
        <w:rPr>
          <w:bCs/>
          <w:sz w:val="24"/>
        </w:rPr>
        <w:t>3</w:t>
      </w:r>
      <w:r w:rsidRPr="00BC16BB">
        <w:rPr>
          <w:bCs/>
          <w:sz w:val="24"/>
        </w:rPr>
        <w:t xml:space="preserve"> per year.</w:t>
      </w:r>
    </w:p>
    <w:p w:rsidR="00BC16BB" w:rsidRPr="00BF6D43" w:rsidP="005F1FFC" w14:paraId="18388E76" w14:textId="77777777">
      <w:pPr>
        <w:rPr>
          <w:bCs/>
          <w:sz w:val="24"/>
        </w:rPr>
      </w:pPr>
    </w:p>
    <w:p w:rsidR="005F1FFC" w:rsidRPr="00BF6D43" w:rsidP="005F1FFC" w14:paraId="3717194D" w14:textId="4A8CD79D">
      <w:pPr>
        <w:rPr>
          <w:bCs/>
          <w:sz w:val="24"/>
        </w:rPr>
      </w:pPr>
      <w:r w:rsidRPr="00BF6D43">
        <w:rPr>
          <w:bCs/>
          <w:sz w:val="24"/>
        </w:rPr>
        <w:t>The Bureau estimates the burden of this information collection as follows:</w:t>
      </w:r>
    </w:p>
    <w:p w:rsidR="0090025B" w:rsidRPr="00BF6D43" w:rsidP="005F1FFC" w14:paraId="17C41B7D" w14:textId="77777777">
      <w:pPr>
        <w:rPr>
          <w:bCs/>
          <w:sz w:val="24"/>
        </w:rPr>
      </w:pPr>
    </w:p>
    <w:tbl>
      <w:tblPr>
        <w:tblStyle w:val="TableGrid"/>
        <w:tblW w:w="0" w:type="auto"/>
        <w:tblLook w:val="04A0"/>
      </w:tblPr>
      <w:tblGrid>
        <w:gridCol w:w="1338"/>
        <w:gridCol w:w="1228"/>
        <w:gridCol w:w="1228"/>
        <w:gridCol w:w="1094"/>
        <w:gridCol w:w="988"/>
        <w:gridCol w:w="949"/>
        <w:gridCol w:w="856"/>
        <w:gridCol w:w="949"/>
      </w:tblGrid>
      <w:tr w14:paraId="32C03BB1" w14:textId="77777777" w:rsidTr="00BC16BB">
        <w:tblPrEx>
          <w:tblW w:w="0" w:type="auto"/>
          <w:tblLook w:val="04A0"/>
        </w:tblPrEx>
        <w:tc>
          <w:tcPr>
            <w:tcW w:w="1338" w:type="dxa"/>
            <w:shd w:val="clear" w:color="auto" w:fill="D9D9D9" w:themeFill="background1" w:themeFillShade="D9"/>
          </w:tcPr>
          <w:p w:rsidR="0090025B" w:rsidRPr="00BF6D43" w:rsidP="005F1FFC" w14:paraId="38110A14" w14:textId="54D3543F">
            <w:pPr>
              <w:rPr>
                <w:b/>
                <w:bCs/>
              </w:rPr>
            </w:pPr>
            <w:r w:rsidRPr="00BF6D43">
              <w:rPr>
                <w:b/>
                <w:bCs/>
              </w:rPr>
              <w:t>Information Collection Requirement</w:t>
            </w:r>
          </w:p>
        </w:tc>
        <w:tc>
          <w:tcPr>
            <w:tcW w:w="1228" w:type="dxa"/>
            <w:shd w:val="clear" w:color="auto" w:fill="D9D9D9" w:themeFill="background1" w:themeFillShade="D9"/>
          </w:tcPr>
          <w:p w:rsidR="0090025B" w:rsidRPr="00BF6D43" w:rsidP="005F1FFC" w14:paraId="00BC74AA" w14:textId="082E2449">
            <w:pPr>
              <w:rPr>
                <w:b/>
                <w:bCs/>
              </w:rPr>
            </w:pPr>
            <w:r w:rsidRPr="00BF6D43">
              <w:rPr>
                <w:b/>
                <w:bCs/>
              </w:rPr>
              <w:t>Number of Respondent</w:t>
            </w:r>
          </w:p>
        </w:tc>
        <w:tc>
          <w:tcPr>
            <w:tcW w:w="1228" w:type="dxa"/>
            <w:shd w:val="clear" w:color="auto" w:fill="D9D9D9" w:themeFill="background1" w:themeFillShade="D9"/>
          </w:tcPr>
          <w:p w:rsidR="0090025B" w:rsidRPr="00BF6D43" w:rsidP="005F1FFC" w14:paraId="58D4579A" w14:textId="1A50912F">
            <w:pPr>
              <w:rPr>
                <w:b/>
                <w:bCs/>
              </w:rPr>
            </w:pPr>
            <w:r w:rsidRPr="00BF6D43">
              <w:rPr>
                <w:b/>
                <w:bCs/>
              </w:rPr>
              <w:t>Number of Responses per Respondent</w:t>
            </w:r>
          </w:p>
        </w:tc>
        <w:tc>
          <w:tcPr>
            <w:tcW w:w="1094" w:type="dxa"/>
            <w:shd w:val="clear" w:color="auto" w:fill="D9D9D9" w:themeFill="background1" w:themeFillShade="D9"/>
          </w:tcPr>
          <w:p w:rsidR="0090025B" w:rsidRPr="00BF6D43" w:rsidP="005F1FFC" w14:paraId="6531917A" w14:textId="35F70E41">
            <w:pPr>
              <w:rPr>
                <w:b/>
                <w:bCs/>
              </w:rPr>
            </w:pPr>
            <w:r w:rsidRPr="00BF6D43">
              <w:rPr>
                <w:b/>
                <w:bCs/>
              </w:rPr>
              <w:t>Total Responses</w:t>
            </w:r>
          </w:p>
        </w:tc>
        <w:tc>
          <w:tcPr>
            <w:tcW w:w="988" w:type="dxa"/>
            <w:shd w:val="clear" w:color="auto" w:fill="D9D9D9" w:themeFill="background1" w:themeFillShade="D9"/>
          </w:tcPr>
          <w:p w:rsidR="0090025B" w:rsidRPr="00BF6D43" w:rsidP="005F1FFC" w14:paraId="39A6D528" w14:textId="1AE9708C">
            <w:pPr>
              <w:rPr>
                <w:b/>
                <w:bCs/>
              </w:rPr>
            </w:pPr>
            <w:r w:rsidRPr="00BF6D43">
              <w:rPr>
                <w:b/>
                <w:bCs/>
              </w:rPr>
              <w:t>Average Burden Hours</w:t>
            </w:r>
          </w:p>
        </w:tc>
        <w:tc>
          <w:tcPr>
            <w:tcW w:w="949" w:type="dxa"/>
            <w:shd w:val="clear" w:color="auto" w:fill="D9D9D9" w:themeFill="background1" w:themeFillShade="D9"/>
          </w:tcPr>
          <w:p w:rsidR="0090025B" w:rsidRPr="00BF6D43" w:rsidP="005F1FFC" w14:paraId="504C1F38" w14:textId="2BF4539D">
            <w:pPr>
              <w:rPr>
                <w:b/>
                <w:bCs/>
              </w:rPr>
            </w:pPr>
            <w:r w:rsidRPr="00BF6D43">
              <w:rPr>
                <w:b/>
                <w:bCs/>
              </w:rPr>
              <w:t>Annual Burden Hours</w:t>
            </w:r>
          </w:p>
        </w:tc>
        <w:tc>
          <w:tcPr>
            <w:tcW w:w="856" w:type="dxa"/>
            <w:shd w:val="clear" w:color="auto" w:fill="D9D9D9" w:themeFill="background1" w:themeFillShade="D9"/>
          </w:tcPr>
          <w:p w:rsidR="0090025B" w:rsidRPr="00BF6D43" w:rsidP="005F1FFC" w14:paraId="13569052" w14:textId="33781E4F">
            <w:pPr>
              <w:rPr>
                <w:b/>
                <w:bCs/>
              </w:rPr>
            </w:pPr>
            <w:r w:rsidRPr="00BF6D43">
              <w:rPr>
                <w:b/>
                <w:bCs/>
              </w:rPr>
              <w:t>Wage Rate</w:t>
            </w:r>
          </w:p>
        </w:tc>
        <w:tc>
          <w:tcPr>
            <w:tcW w:w="949" w:type="dxa"/>
            <w:shd w:val="clear" w:color="auto" w:fill="D9D9D9" w:themeFill="background1" w:themeFillShade="D9"/>
          </w:tcPr>
          <w:p w:rsidR="0090025B" w:rsidRPr="00BF6D43" w:rsidP="005F1FFC" w14:paraId="7AEB5F9E" w14:textId="1F25FD6A">
            <w:pPr>
              <w:rPr>
                <w:b/>
                <w:bCs/>
              </w:rPr>
            </w:pPr>
            <w:r w:rsidRPr="00BF6D43">
              <w:rPr>
                <w:b/>
                <w:bCs/>
              </w:rPr>
              <w:t>Total Burden Cost</w:t>
            </w:r>
          </w:p>
        </w:tc>
      </w:tr>
      <w:tr w14:paraId="3C17D82E" w14:textId="77777777" w:rsidTr="00BC16BB">
        <w:tblPrEx>
          <w:tblW w:w="0" w:type="auto"/>
          <w:tblLook w:val="04A0"/>
        </w:tblPrEx>
        <w:tc>
          <w:tcPr>
            <w:tcW w:w="1338" w:type="dxa"/>
          </w:tcPr>
          <w:p w:rsidR="0090025B" w:rsidRPr="00BF6D43" w:rsidP="005F1FFC" w14:paraId="13BEC28E" w14:textId="4E7DAFBD">
            <w:r w:rsidRPr="00BF6D43">
              <w:t>State Official Notification Rules</w:t>
            </w:r>
          </w:p>
        </w:tc>
        <w:tc>
          <w:tcPr>
            <w:tcW w:w="1228" w:type="dxa"/>
          </w:tcPr>
          <w:p w:rsidR="0090025B" w:rsidRPr="00BF6D43" w:rsidP="00BC16BB" w14:paraId="183A7F7B" w14:textId="1E05F068">
            <w:pPr>
              <w:jc w:val="right"/>
            </w:pPr>
            <w:r w:rsidRPr="00BF6D43">
              <w:t>3</w:t>
            </w:r>
          </w:p>
        </w:tc>
        <w:tc>
          <w:tcPr>
            <w:tcW w:w="1228" w:type="dxa"/>
          </w:tcPr>
          <w:p w:rsidR="0090025B" w:rsidRPr="00BF6D43" w:rsidP="00BC16BB" w14:paraId="17394683" w14:textId="64E49547">
            <w:pPr>
              <w:jc w:val="right"/>
            </w:pPr>
            <w:r w:rsidRPr="00BF6D43">
              <w:t>1</w:t>
            </w:r>
          </w:p>
        </w:tc>
        <w:tc>
          <w:tcPr>
            <w:tcW w:w="1094" w:type="dxa"/>
          </w:tcPr>
          <w:p w:rsidR="0090025B" w:rsidRPr="00BF6D43" w:rsidP="00BC16BB" w14:paraId="0B52C53E" w14:textId="303FBA48">
            <w:pPr>
              <w:jc w:val="right"/>
            </w:pPr>
            <w:r w:rsidRPr="00BF6D43">
              <w:t>3</w:t>
            </w:r>
          </w:p>
        </w:tc>
        <w:tc>
          <w:tcPr>
            <w:tcW w:w="988" w:type="dxa"/>
          </w:tcPr>
          <w:p w:rsidR="0090025B" w:rsidRPr="00BF6D43" w:rsidP="00BC16BB" w14:paraId="0165911A" w14:textId="13DF7F97">
            <w:pPr>
              <w:jc w:val="right"/>
            </w:pPr>
            <w:r w:rsidRPr="00BF6D43">
              <w:t>0.5</w:t>
            </w:r>
          </w:p>
        </w:tc>
        <w:tc>
          <w:tcPr>
            <w:tcW w:w="949" w:type="dxa"/>
          </w:tcPr>
          <w:p w:rsidR="0090025B" w:rsidRPr="00BF6D43" w:rsidP="00BC16BB" w14:paraId="307C410D" w14:textId="7E001F0F">
            <w:pPr>
              <w:jc w:val="right"/>
            </w:pPr>
            <w:r w:rsidRPr="00BF6D43">
              <w:t>1.5</w:t>
            </w:r>
          </w:p>
        </w:tc>
        <w:tc>
          <w:tcPr>
            <w:tcW w:w="856" w:type="dxa"/>
          </w:tcPr>
          <w:p w:rsidR="0090025B" w:rsidRPr="00BF6D43" w:rsidP="00BC16BB" w14:paraId="29D868D1" w14:textId="0F1EF30E">
            <w:pPr>
              <w:jc w:val="right"/>
            </w:pPr>
            <w:r w:rsidRPr="00BF6D43">
              <w:t>$33.57</w:t>
            </w:r>
          </w:p>
        </w:tc>
        <w:tc>
          <w:tcPr>
            <w:tcW w:w="949" w:type="dxa"/>
          </w:tcPr>
          <w:p w:rsidR="0090025B" w:rsidRPr="00BF6D43" w:rsidP="00BC16BB" w14:paraId="6E39D7C7" w14:textId="33CC45A4">
            <w:pPr>
              <w:jc w:val="right"/>
            </w:pPr>
            <w:r w:rsidRPr="00BF6D43">
              <w:t>$</w:t>
            </w:r>
            <w:r w:rsidR="00865A6A">
              <w:t>50.3</w:t>
            </w:r>
            <w:r w:rsidR="00A70141">
              <w:t>6</w:t>
            </w:r>
          </w:p>
        </w:tc>
      </w:tr>
    </w:tbl>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 xml:space="preserve">keepers resulting from the collection of information.  (Do not include the cost of any </w:t>
      </w:r>
      <w:r w:rsidRPr="00BF6D43">
        <w:rPr>
          <w:b/>
          <w:sz w:val="24"/>
          <w:szCs w:val="24"/>
        </w:rPr>
        <w:t>hour burden shown in Items 12 and 14).</w:t>
      </w:r>
    </w:p>
    <w:p w:rsidR="005F1FFC" w:rsidRPr="00BF6D43" w:rsidP="005F1FFC" w14:paraId="3715E245" w14:textId="77777777">
      <w:pPr>
        <w:rPr>
          <w:b/>
          <w:sz w:val="24"/>
        </w:rPr>
      </w:pPr>
    </w:p>
    <w:p w:rsidR="005F1FFC" w:rsidRPr="00BF6D43" w:rsidP="00BD789B" w14:paraId="2408796A" w14:textId="3837E5FA">
      <w:pPr>
        <w:rPr>
          <w:sz w:val="24"/>
        </w:rPr>
      </w:pPr>
      <w:r w:rsidRPr="00BF6D43">
        <w:rPr>
          <w:sz w:val="24"/>
        </w:rPr>
        <w:t>There are minimal annualized costs for state officials to collect and to submit this information.  The Bureau considers these costs de minimis as they relate to compiling information and transmission to the Bureau.</w:t>
      </w:r>
    </w:p>
    <w:p w:rsidR="00A93967" w:rsidRPr="00BF6D43" w:rsidP="005F1FFC" w14:paraId="7426A13C"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w:t>
      </w:r>
      <w:r w:rsidRPr="00BF6D43">
        <w:rPr>
          <w:b/>
          <w:bCs/>
          <w:sz w:val="24"/>
          <w:szCs w:val="24"/>
        </w:rPr>
        <w:t>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RPr="00BF6D43" w:rsidP="005F1FFC" w14:paraId="0A689257" w14:textId="77777777">
      <w:pPr>
        <w:ind w:left="720"/>
        <w:rPr>
          <w:sz w:val="24"/>
        </w:rPr>
      </w:pPr>
    </w:p>
    <w:p w:rsidR="005F1FFC" w:rsidRPr="00BF6D43" w:rsidP="00BD789B" w14:paraId="121770EB" w14:textId="37B50436">
      <w:pPr>
        <w:rPr>
          <w:sz w:val="24"/>
          <w:szCs w:val="24"/>
        </w:rPr>
      </w:pPr>
      <w:r w:rsidRPr="00BF6D43">
        <w:rPr>
          <w:sz w:val="24"/>
          <w:szCs w:val="24"/>
        </w:rPr>
        <w:t>The Bureau does not incur any additional Federal annualized co</w:t>
      </w:r>
      <w:r w:rsidRPr="00BF6D43">
        <w:rPr>
          <w:sz w:val="24"/>
          <w:szCs w:val="24"/>
        </w:rPr>
        <w:t>st as a result of this information collection</w:t>
      </w:r>
      <w:r w:rsidRPr="00BF6D43" w:rsidR="0079339F">
        <w:rPr>
          <w:sz w:val="24"/>
          <w:szCs w:val="24"/>
        </w:rPr>
        <w:t>.</w:t>
      </w:r>
    </w:p>
    <w:p w:rsidR="00A93967" w:rsidRPr="00BF6D43" w:rsidP="005F1FFC" w14:paraId="28539FB8"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RPr="00BF6D43" w:rsidP="005F1FFC" w14:paraId="7D933924" w14:textId="77777777">
      <w:pPr>
        <w:numPr>
          <w:ilvl w:val="12"/>
          <w:numId w:val="0"/>
        </w:numPr>
        <w:rPr>
          <w:sz w:val="24"/>
        </w:rPr>
      </w:pPr>
    </w:p>
    <w:p w:rsidR="002D789D" w:rsidRPr="00BF6D43" w:rsidP="002D789D" w14:paraId="14042705" w14:textId="2590B05B">
      <w:pPr>
        <w:rPr>
          <w:color w:val="000000" w:themeColor="text1"/>
          <w:sz w:val="24"/>
        </w:rPr>
      </w:pPr>
      <w:r w:rsidRPr="00BF6D43">
        <w:rPr>
          <w:color w:val="000000" w:themeColor="text1"/>
          <w:sz w:val="24"/>
        </w:rPr>
        <w:t>The</w:t>
      </w:r>
      <w:r w:rsidRPr="00BF6D43" w:rsidR="00253FF0">
        <w:rPr>
          <w:color w:val="000000" w:themeColor="text1"/>
          <w:sz w:val="24"/>
        </w:rPr>
        <w:t>re are no program changes related to the information collection contained within OMB Control No. 3170-0019.</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 xml:space="preserve">or collections of information whose results will be published, outline plans for </w:t>
      </w:r>
      <w:r w:rsidRPr="00BF6D43">
        <w:rPr>
          <w:b/>
          <w:bCs/>
          <w:sz w:val="24"/>
          <w:szCs w:val="24"/>
        </w:rPr>
        <w:t>tabulations, and publication.  Address any complex analytical techniques that will be used.  Provide the time schedule for the entire project, including beginning and ending dates of the collection of information, completion of report, publication dates, a</w:t>
      </w:r>
      <w:r w:rsidRPr="00BF6D43">
        <w:rPr>
          <w:b/>
          <w:bCs/>
          <w:sz w:val="24"/>
          <w:szCs w:val="24"/>
        </w:rPr>
        <w:t>nd other actions</w:t>
      </w:r>
      <w:r w:rsidRPr="00BF6D43">
        <w:rPr>
          <w:sz w:val="24"/>
          <w:szCs w:val="24"/>
        </w:rPr>
        <w:t>.</w:t>
      </w:r>
    </w:p>
    <w:p w:rsidR="00253FF0" w:rsidRPr="00BF6D43" w:rsidP="005F1FFC" w14:paraId="0747BC43" w14:textId="77777777">
      <w:pPr>
        <w:rPr>
          <w:sz w:val="24"/>
        </w:rPr>
      </w:pPr>
    </w:p>
    <w:p w:rsidR="005F1FFC" w:rsidRPr="00BF6D43" w:rsidP="005F1FFC" w14:paraId="3C07C2B3" w14:textId="1B5A8DB8">
      <w:pPr>
        <w:rPr>
          <w:sz w:val="24"/>
        </w:rPr>
      </w:pPr>
      <w:r w:rsidRPr="00BF6D43">
        <w:rPr>
          <w:sz w:val="24"/>
        </w:rPr>
        <w:t>The Bureau does not plan to publish</w:t>
      </w:r>
      <w:r w:rsidRPr="00BF6D43" w:rsidR="003E083F">
        <w:rPr>
          <w:sz w:val="24"/>
        </w:rPr>
        <w:t xml:space="preserve"> the collected information</w:t>
      </w:r>
      <w:r w:rsidRPr="00BF6D43">
        <w:rPr>
          <w:sz w:val="24"/>
        </w:rPr>
        <w:t xml:space="preserve">.  </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520532E0">
      <w:pPr>
        <w:rPr>
          <w:sz w:val="24"/>
        </w:rPr>
      </w:pPr>
      <w:r w:rsidRPr="00BF6D43">
        <w:rPr>
          <w:sz w:val="24"/>
        </w:rPr>
        <w:t>The i</w:t>
      </w:r>
      <w:r w:rsidRPr="00BF6D43">
        <w:rPr>
          <w:sz w:val="24"/>
        </w:rPr>
        <w:t xml:space="preserve">nformation collection is not collected in a manner that allows the display of the current expiration date.  However, the expiration date can be found under the “Information Collections under Review” section of </w:t>
      </w:r>
      <w:hyperlink r:id="rId10" w:history="1">
        <w:r w:rsidRPr="00BF6D43">
          <w:rPr>
            <w:rStyle w:val="Hyperlink"/>
            <w:sz w:val="24"/>
          </w:rPr>
          <w:t>www.regin</w:t>
        </w:r>
        <w:r w:rsidRPr="00BF6D43">
          <w:rPr>
            <w:rStyle w:val="Hyperlink"/>
            <w:sz w:val="24"/>
          </w:rPr>
          <w:t>fo.gov</w:t>
        </w:r>
      </w:hyperlink>
      <w:r w:rsidRPr="00BF6D43">
        <w:rPr>
          <w:sz w:val="24"/>
        </w:rPr>
        <w:t xml:space="preserve"> (</w:t>
      </w:r>
      <w:hyperlink r:id="rId11"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RPr="00BF6D43" w:rsidP="005F1FFC" w14:paraId="6066F545" w14:textId="77777777">
      <w:pPr>
        <w:pStyle w:val="BodyText"/>
      </w:pPr>
    </w:p>
    <w:p w:rsidR="00CA6DAB" w:rsidRPr="00A637BE" w:rsidP="00A0364C" w14:paraId="235F0EA3" w14:textId="420D3C42">
      <w:pPr>
        <w:rPr>
          <w:sz w:val="24"/>
        </w:rPr>
      </w:pPr>
      <w:r w:rsidRPr="00BF6D43">
        <w:rPr>
          <w:sz w:val="24"/>
        </w:rPr>
        <w:t>The Bureau certi</w:t>
      </w:r>
      <w:r w:rsidRPr="00BF6D43">
        <w:rPr>
          <w:sz w:val="24"/>
        </w:rPr>
        <w:t xml:space="preserve">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0CC5" w:rsidP="0079547E" w14:paraId="269C1894" w14:textId="77777777">
      <w:r>
        <w:separator/>
      </w:r>
    </w:p>
  </w:footnote>
  <w:footnote w:type="continuationSeparator" w:id="1">
    <w:p w:rsidR="00710CC5" w:rsidP="0079547E" w14:paraId="1B5A6698" w14:textId="77777777">
      <w:r>
        <w:continuationSeparator/>
      </w:r>
    </w:p>
  </w:footnote>
  <w:footnote w:id="2">
    <w:p w:rsidR="00E81562" w:rsidP="00E81562" w14:paraId="35AA3FF5" w14:textId="340DA8ED">
      <w:pPr>
        <w:spacing w:before="30"/>
        <w:ind w:left="220" w:hanging="1"/>
      </w:pPr>
      <w:r>
        <w:rPr>
          <w:rStyle w:val="FootnoteReference"/>
        </w:rPr>
        <w:footnoteRef/>
      </w:r>
      <w:r>
        <w:t xml:space="preserve"> Pursuant to 12 U.S.C. 5552(b), for “Emergency actions’ 12 CFR </w:t>
      </w:r>
      <w:r>
        <w:t>1082.1(b) requires that notice be provided “as soon as is practicable and not later than 48 hours after initiation of the action.”</w:t>
      </w:r>
    </w:p>
    <w:p w:rsidR="00E81562" w:rsidP="00E81562" w14:paraId="5F647AA9" w14:textId="77777777">
      <w:pPr>
        <w:pStyle w:val="FootnoteText"/>
      </w:pPr>
    </w:p>
  </w:footnote>
  <w:footnote w:id="3">
    <w:p w:rsidR="00BC56A2" w14:paraId="1F586CAA" w14:textId="2F492E0D">
      <w:pPr>
        <w:pStyle w:val="FootnoteText"/>
      </w:pPr>
      <w:r>
        <w:rPr>
          <w:rStyle w:val="FootnoteReference"/>
        </w:rPr>
        <w:footnoteRef/>
      </w:r>
      <w:r>
        <w:t xml:space="preserve"> 8</w:t>
      </w:r>
      <w:r w:rsidR="00232AB4">
        <w:t>9</w:t>
      </w:r>
      <w:r>
        <w:t xml:space="preserve"> FR </w:t>
      </w:r>
      <w:r w:rsidR="000944DA">
        <w:t>47921</w:t>
      </w:r>
      <w:r>
        <w:t xml:space="preserve"> (published on </w:t>
      </w:r>
      <w:r w:rsidR="000944DA">
        <w:t>6</w:t>
      </w:r>
      <w:r>
        <w:t>/</w:t>
      </w:r>
      <w:r w:rsidR="000944DA">
        <w:t>4</w:t>
      </w:r>
      <w:r>
        <w:t>/202</w:t>
      </w:r>
      <w:r w:rsidR="000944DA">
        <w:t>4</w:t>
      </w:r>
      <w:r>
        <w:t>)</w:t>
      </w:r>
      <w:r w:rsidR="009D7886">
        <w:t>.</w:t>
      </w:r>
    </w:p>
  </w:footnote>
  <w:footnote w:id="4">
    <w:p w:rsidR="009D7886" w14:paraId="1530F2D0" w14:textId="7C4A9420">
      <w:pPr>
        <w:pStyle w:val="FootnoteText"/>
      </w:pPr>
      <w:r>
        <w:rPr>
          <w:rStyle w:val="FootnoteReference"/>
        </w:rPr>
        <w:footnoteRef/>
      </w:r>
      <w:r>
        <w:t xml:space="preserve"> 8</w:t>
      </w:r>
      <w:r w:rsidR="00A70141">
        <w:t>9</w:t>
      </w:r>
      <w:r>
        <w:t xml:space="preserve"> FR </w:t>
      </w:r>
      <w:r w:rsidR="000944DA">
        <w:t>67425</w:t>
      </w:r>
      <w:r>
        <w:t xml:space="preserve"> (publi</w:t>
      </w:r>
      <w:r>
        <w:t xml:space="preserve">shed on </w:t>
      </w:r>
      <w:r w:rsidR="000944DA">
        <w:t>8</w:t>
      </w:r>
      <w:r>
        <w:t>/</w:t>
      </w:r>
      <w:r w:rsidR="000944DA">
        <w:t>2</w:t>
      </w:r>
      <w:r>
        <w:t>0/202</w:t>
      </w:r>
      <w:r w:rsidR="00652645">
        <w:t>4</w:t>
      </w:r>
      <w:r>
        <w:t xml:space="preserve">; comment period ends on </w:t>
      </w:r>
      <w:r w:rsidR="00652645">
        <w:t>9</w:t>
      </w:r>
      <w:r>
        <w:t>/</w:t>
      </w:r>
      <w:r w:rsidR="00652645">
        <w:t>19</w:t>
      </w:r>
      <w:r>
        <w:t>/202</w:t>
      </w:r>
      <w:r w:rsidR="00652645">
        <w:t>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E4932DB" w14:textId="3BA9452E">
    <w:pPr>
      <w:pStyle w:val="Header"/>
    </w:pPr>
    <w:r>
      <w:t>State Official Notification Rule</w:t>
    </w:r>
  </w:p>
  <w:p w:rsidR="00EC3124" w14:paraId="2B291C96" w14:textId="0EBE3EE9">
    <w:pPr>
      <w:pStyle w:val="Header"/>
    </w:pPr>
    <w:r>
      <w:t>OMB Control Number: 3170-0019</w:t>
    </w:r>
  </w:p>
  <w:p w:rsidR="00EC3124" w14:paraId="57ED944D" w14:textId="792EA404">
    <w:pPr>
      <w:pStyle w:val="Header"/>
    </w:pPr>
    <w:r>
      <w:t>OMB Expiration Date: 9/30/2024</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7733910">
    <w:abstractNumId w:val="10"/>
  </w:num>
  <w:num w:numId="2" w16cid:durableId="1156458070">
    <w:abstractNumId w:val="8"/>
  </w:num>
  <w:num w:numId="3" w16cid:durableId="765005094">
    <w:abstractNumId w:val="16"/>
  </w:num>
  <w:num w:numId="4" w16cid:durableId="1722751826">
    <w:abstractNumId w:val="7"/>
  </w:num>
  <w:num w:numId="5" w16cid:durableId="1549294796">
    <w:abstractNumId w:val="13"/>
  </w:num>
  <w:num w:numId="6" w16cid:durableId="1685086012">
    <w:abstractNumId w:val="12"/>
  </w:num>
  <w:num w:numId="7" w16cid:durableId="10318084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523454">
    <w:abstractNumId w:val="15"/>
  </w:num>
  <w:num w:numId="9" w16cid:durableId="611059747">
    <w:abstractNumId w:val="14"/>
  </w:num>
  <w:num w:numId="10" w16cid:durableId="43917591">
    <w:abstractNumId w:val="4"/>
  </w:num>
  <w:num w:numId="11" w16cid:durableId="1194805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9808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629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0992037">
    <w:abstractNumId w:val="5"/>
  </w:num>
  <w:num w:numId="15" w16cid:durableId="1147740277">
    <w:abstractNumId w:val="1"/>
  </w:num>
  <w:num w:numId="16" w16cid:durableId="1002969883">
    <w:abstractNumId w:val="17"/>
  </w:num>
  <w:num w:numId="17" w16cid:durableId="1124538836">
    <w:abstractNumId w:val="2"/>
  </w:num>
  <w:num w:numId="18" w16cid:durableId="266931950">
    <w:abstractNumId w:val="6"/>
  </w:num>
  <w:num w:numId="19" w16cid:durableId="1803377991">
    <w:abstractNumId w:val="3"/>
  </w:num>
  <w:num w:numId="20" w16cid:durableId="2018775800">
    <w:abstractNumId w:val="9"/>
  </w:num>
  <w:num w:numId="21" w16cid:durableId="113005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41D35"/>
    <w:rsid w:val="0004229D"/>
    <w:rsid w:val="0005070D"/>
    <w:rsid w:val="000533A4"/>
    <w:rsid w:val="0005687E"/>
    <w:rsid w:val="00057B87"/>
    <w:rsid w:val="0007006A"/>
    <w:rsid w:val="00071C66"/>
    <w:rsid w:val="000763B3"/>
    <w:rsid w:val="00080781"/>
    <w:rsid w:val="00081109"/>
    <w:rsid w:val="00091AE1"/>
    <w:rsid w:val="00092D91"/>
    <w:rsid w:val="0009401F"/>
    <w:rsid w:val="000944DA"/>
    <w:rsid w:val="000A44E3"/>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51990"/>
    <w:rsid w:val="00162371"/>
    <w:rsid w:val="001639C2"/>
    <w:rsid w:val="00166D3B"/>
    <w:rsid w:val="00166FBE"/>
    <w:rsid w:val="00177293"/>
    <w:rsid w:val="00187617"/>
    <w:rsid w:val="001912C5"/>
    <w:rsid w:val="00194264"/>
    <w:rsid w:val="001B12AF"/>
    <w:rsid w:val="001B50EB"/>
    <w:rsid w:val="001C1DAC"/>
    <w:rsid w:val="001C4457"/>
    <w:rsid w:val="001C59A8"/>
    <w:rsid w:val="001D5558"/>
    <w:rsid w:val="001E418A"/>
    <w:rsid w:val="001F0989"/>
    <w:rsid w:val="002029FA"/>
    <w:rsid w:val="002063CD"/>
    <w:rsid w:val="00211F72"/>
    <w:rsid w:val="002153B7"/>
    <w:rsid w:val="002215EA"/>
    <w:rsid w:val="00226237"/>
    <w:rsid w:val="00232AB4"/>
    <w:rsid w:val="002341FB"/>
    <w:rsid w:val="00235BD3"/>
    <w:rsid w:val="00253FF0"/>
    <w:rsid w:val="00255107"/>
    <w:rsid w:val="00256325"/>
    <w:rsid w:val="002678C2"/>
    <w:rsid w:val="00274CC0"/>
    <w:rsid w:val="00294DF4"/>
    <w:rsid w:val="0029506E"/>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6341"/>
    <w:rsid w:val="005D2B19"/>
    <w:rsid w:val="005D6DBE"/>
    <w:rsid w:val="005E5175"/>
    <w:rsid w:val="005F1FFC"/>
    <w:rsid w:val="005F249F"/>
    <w:rsid w:val="00600A9A"/>
    <w:rsid w:val="006213DD"/>
    <w:rsid w:val="00625395"/>
    <w:rsid w:val="00626F36"/>
    <w:rsid w:val="00634112"/>
    <w:rsid w:val="00635204"/>
    <w:rsid w:val="00637913"/>
    <w:rsid w:val="00641707"/>
    <w:rsid w:val="00643848"/>
    <w:rsid w:val="00650767"/>
    <w:rsid w:val="00652645"/>
    <w:rsid w:val="00664D05"/>
    <w:rsid w:val="00665C34"/>
    <w:rsid w:val="0066684F"/>
    <w:rsid w:val="0068349A"/>
    <w:rsid w:val="00690B79"/>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5C7F"/>
    <w:rsid w:val="007319B7"/>
    <w:rsid w:val="00732F4F"/>
    <w:rsid w:val="00733C46"/>
    <w:rsid w:val="007355AA"/>
    <w:rsid w:val="007422D8"/>
    <w:rsid w:val="00744ECB"/>
    <w:rsid w:val="00745B34"/>
    <w:rsid w:val="0074629B"/>
    <w:rsid w:val="00751358"/>
    <w:rsid w:val="00763D5B"/>
    <w:rsid w:val="00765C7B"/>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55E15"/>
    <w:rsid w:val="008573A2"/>
    <w:rsid w:val="008576C7"/>
    <w:rsid w:val="00865A6A"/>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3E92"/>
    <w:rsid w:val="008E5D30"/>
    <w:rsid w:val="008E777F"/>
    <w:rsid w:val="0090025B"/>
    <w:rsid w:val="00904477"/>
    <w:rsid w:val="00905D04"/>
    <w:rsid w:val="0092092B"/>
    <w:rsid w:val="00923029"/>
    <w:rsid w:val="009336CF"/>
    <w:rsid w:val="00936D90"/>
    <w:rsid w:val="00942917"/>
    <w:rsid w:val="00954684"/>
    <w:rsid w:val="00955CDF"/>
    <w:rsid w:val="0096415E"/>
    <w:rsid w:val="009664D0"/>
    <w:rsid w:val="00967432"/>
    <w:rsid w:val="0097154F"/>
    <w:rsid w:val="00973293"/>
    <w:rsid w:val="00977470"/>
    <w:rsid w:val="00990CFC"/>
    <w:rsid w:val="009936CA"/>
    <w:rsid w:val="00994943"/>
    <w:rsid w:val="00996A0D"/>
    <w:rsid w:val="009A13BD"/>
    <w:rsid w:val="009A2524"/>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30AA0"/>
    <w:rsid w:val="00A358CE"/>
    <w:rsid w:val="00A36144"/>
    <w:rsid w:val="00A4452C"/>
    <w:rsid w:val="00A55878"/>
    <w:rsid w:val="00A622E9"/>
    <w:rsid w:val="00A637BE"/>
    <w:rsid w:val="00A70141"/>
    <w:rsid w:val="00A71151"/>
    <w:rsid w:val="00A818AE"/>
    <w:rsid w:val="00A83ED2"/>
    <w:rsid w:val="00A84128"/>
    <w:rsid w:val="00A90DA3"/>
    <w:rsid w:val="00A92A19"/>
    <w:rsid w:val="00A93967"/>
    <w:rsid w:val="00AA633C"/>
    <w:rsid w:val="00AA66A0"/>
    <w:rsid w:val="00AA6EC1"/>
    <w:rsid w:val="00AC2DFF"/>
    <w:rsid w:val="00AD0BCB"/>
    <w:rsid w:val="00AD227E"/>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074"/>
    <w:rsid w:val="00CE13C5"/>
    <w:rsid w:val="00CE2CA6"/>
    <w:rsid w:val="00CE36FF"/>
    <w:rsid w:val="00CE65D6"/>
    <w:rsid w:val="00CE6EF6"/>
    <w:rsid w:val="00CE781E"/>
    <w:rsid w:val="00CF1807"/>
    <w:rsid w:val="00CF54AB"/>
    <w:rsid w:val="00CF6E73"/>
    <w:rsid w:val="00D13CC0"/>
    <w:rsid w:val="00D152D6"/>
    <w:rsid w:val="00D1640B"/>
    <w:rsid w:val="00D1702D"/>
    <w:rsid w:val="00D21CAF"/>
    <w:rsid w:val="00D27EE7"/>
    <w:rsid w:val="00D35E81"/>
    <w:rsid w:val="00D41323"/>
    <w:rsid w:val="00D51A8E"/>
    <w:rsid w:val="00D5266A"/>
    <w:rsid w:val="00D54E06"/>
    <w:rsid w:val="00D561AD"/>
    <w:rsid w:val="00D84541"/>
    <w:rsid w:val="00D86091"/>
    <w:rsid w:val="00D943A1"/>
    <w:rsid w:val="00DA0CF0"/>
    <w:rsid w:val="00DA62F9"/>
    <w:rsid w:val="00DD1FDE"/>
    <w:rsid w:val="00DD20FC"/>
    <w:rsid w:val="00DD3EB0"/>
    <w:rsid w:val="00DD40BE"/>
    <w:rsid w:val="00DD6F06"/>
    <w:rsid w:val="00DE2E05"/>
    <w:rsid w:val="00DE3025"/>
    <w:rsid w:val="00DE6849"/>
    <w:rsid w:val="00DE6E4B"/>
    <w:rsid w:val="00DE70D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21CC"/>
    <w:rsid w:val="00E63DE1"/>
    <w:rsid w:val="00E66CDA"/>
    <w:rsid w:val="00E81562"/>
    <w:rsid w:val="00E81DA1"/>
    <w:rsid w:val="00E85B4C"/>
    <w:rsid w:val="00E939D3"/>
    <w:rsid w:val="00EA1984"/>
    <w:rsid w:val="00EA669E"/>
    <w:rsid w:val="00EB0A8A"/>
    <w:rsid w:val="00EB4DF0"/>
    <w:rsid w:val="00EB554A"/>
    <w:rsid w:val="00EC2804"/>
    <w:rsid w:val="00EC3124"/>
    <w:rsid w:val="00ED26B5"/>
    <w:rsid w:val="00EE293B"/>
    <w:rsid w:val="00EE31E1"/>
    <w:rsid w:val="00EE6C88"/>
    <w:rsid w:val="00F0473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39F0"/>
    <w:rsid w:val="00FD45EB"/>
    <w:rsid w:val="00FD666D"/>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CFPBCDO-2004683907-2128687</_dlc_DocId>
    <_dlc_DocIdUrl xmlns="8097749c-35e3-4292-9c41-d352b303d2cf">
      <Url>https://bcfp365.sharepoint.com/sites/ops-ocdo-pra/_layouts/15/DocIdRedir.aspx?ID=CFPBCDO-2004683907-2128687</Url>
      <Description>CFPBCDO-2004683907-2128687</Description>
    </_dlc_DocIdUrl>
    <md95245a80cd48af84779a6a8432aa88 xmlns="3c358492-2927-472d-85d8-14627d068203">
      <Terms xmlns="http://schemas.microsoft.com/office/infopath/2007/PartnerControls"/>
    </md95245a80cd48af84779a6a8432aa88>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customXml/itemProps2.xml><?xml version="1.0" encoding="utf-8"?>
<ds:datastoreItem xmlns:ds="http://schemas.openxmlformats.org/officeDocument/2006/customXml" ds:itemID="{E1237E67-1FC7-4B30-B20F-939912362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6FB63515-9552-4602-80A9-3E25B9B29895}">
  <ds:schemaRefs>
    <ds:schemaRef ds:uri="3c358492-2927-472d-85d8-14627d068203"/>
    <ds:schemaRef ds:uri="http://schemas.microsoft.com/sharepoint/v3"/>
    <ds:schemaRef ds:uri="http://purl.org/dc/elements/1.1/"/>
    <ds:schemaRef ds:uri="8097749c-35e3-4292-9c41-d352b303d2cf"/>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F16EF156-C27A-4B00-A9F2-1521CCD80E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2447</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BUREAU OF LABOR STATISTICS</vt:lpstr>
    </vt:vector>
  </TitlesOfParts>
  <Company>Bureau of Labor Statistics</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Galleher, Michael (CFPB)</dc:creator>
  <cp:lastModifiedBy>May, Anthony (CFPB)</cp:lastModifiedBy>
  <cp:revision>6</cp:revision>
  <cp:lastPrinted>2017-07-25T10:39:00Z</cp:lastPrinted>
  <dcterms:created xsi:type="dcterms:W3CDTF">2024-09-06T20:21:00Z</dcterms:created>
  <dcterms:modified xsi:type="dcterms:W3CDTF">2024-09-06T20:25:00Z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7a559e38-4cc5-40e8-beef-d0e4fd3c4b63</vt:lpwstr>
  </property>
  <property fmtid="{D5CDD505-2E9C-101B-9397-08002B2CF9AE}" pid="6" name="_ExtendedDescription">
    <vt:lpwstr/>
  </property>
  <property fmtid="{D5CDD505-2E9C-101B-9397-08002B2CF9AE}" pid="7" name="_NewReviewCycle">
    <vt:lpwstr/>
  </property>
</Properties>
</file>