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1C3A" w:rsidP="00C51C3A" w14:paraId="05E868E6" w14:textId="77777777">
      <w:pPr>
        <w:pStyle w:val="ListParagraph"/>
        <w:tabs>
          <w:tab w:val="num" w:pos="0"/>
        </w:tabs>
        <w:ind w:left="0"/>
        <w:jc w:val="center"/>
        <w:rPr>
          <w:b/>
          <w:bCs/>
        </w:rPr>
      </w:pPr>
      <w:r w:rsidRPr="00CC42A3">
        <w:rPr>
          <w:b/>
          <w:bCs/>
        </w:rPr>
        <w:t>SUPPORTING STATEMENT</w:t>
      </w:r>
    </w:p>
    <w:p w:rsidR="00DF66AB" w:rsidP="00C51C3A" w14:paraId="400CFEF2" w14:textId="77777777">
      <w:pPr>
        <w:pStyle w:val="ListParagraph"/>
        <w:tabs>
          <w:tab w:val="num" w:pos="0"/>
        </w:tabs>
        <w:ind w:left="0"/>
        <w:jc w:val="center"/>
        <w:rPr>
          <w:b/>
          <w:bCs/>
        </w:rPr>
      </w:pPr>
      <w:r w:rsidRPr="00CC42A3">
        <w:rPr>
          <w:b/>
          <w:bCs/>
        </w:rPr>
        <w:t xml:space="preserve">for the Paperwork Reduction Act </w:t>
      </w:r>
      <w:r w:rsidRPr="00CC42A3" w:rsidR="008901F2">
        <w:rPr>
          <w:b/>
          <w:bCs/>
        </w:rPr>
        <w:t>Revised</w:t>
      </w:r>
      <w:r w:rsidRPr="00CC42A3">
        <w:rPr>
          <w:b/>
          <w:bCs/>
        </w:rPr>
        <w:t xml:space="preserve"> Information Collection Submission for </w:t>
      </w:r>
    </w:p>
    <w:p w:rsidR="00AD4C34" w:rsidRPr="00CC42A3" w:rsidP="00C51C3A" w14:paraId="4D9D5704" w14:textId="77777777">
      <w:pPr>
        <w:pStyle w:val="ListParagraph"/>
        <w:tabs>
          <w:tab w:val="num" w:pos="0"/>
        </w:tabs>
        <w:ind w:left="0"/>
        <w:jc w:val="center"/>
        <w:rPr>
          <w:b/>
          <w:bCs/>
        </w:rPr>
      </w:pPr>
      <w:r w:rsidRPr="00CC42A3">
        <w:rPr>
          <w:b/>
          <w:bCs/>
        </w:rPr>
        <w:t>Rule 17g-</w:t>
      </w:r>
      <w:r w:rsidR="005D6F1C">
        <w:rPr>
          <w:b/>
          <w:bCs/>
        </w:rPr>
        <w:t>7</w:t>
      </w:r>
      <w:r w:rsidR="00F36271">
        <w:rPr>
          <w:b/>
          <w:bCs/>
        </w:rPr>
        <w:t xml:space="preserve"> </w:t>
      </w:r>
      <w:r w:rsidR="00DF66AB">
        <w:rPr>
          <w:b/>
          <w:bCs/>
        </w:rPr>
        <w:t>-</w:t>
      </w:r>
      <w:r w:rsidR="00F36271">
        <w:rPr>
          <w:b/>
          <w:bCs/>
        </w:rPr>
        <w:t xml:space="preserve"> “</w:t>
      </w:r>
      <w:r w:rsidR="005D6F1C">
        <w:rPr>
          <w:b/>
          <w:bCs/>
        </w:rPr>
        <w:t xml:space="preserve">Disclosure </w:t>
      </w:r>
      <w:r w:rsidR="00E675DC">
        <w:rPr>
          <w:b/>
          <w:bCs/>
        </w:rPr>
        <w:t>r</w:t>
      </w:r>
      <w:r w:rsidR="005D6F1C">
        <w:rPr>
          <w:b/>
          <w:bCs/>
        </w:rPr>
        <w:t>equirements</w:t>
      </w:r>
      <w:r w:rsidR="00F36271">
        <w:rPr>
          <w:b/>
          <w:bCs/>
        </w:rPr>
        <w:t>”</w:t>
      </w:r>
    </w:p>
    <w:p w:rsidR="00DF66AB" w:rsidP="00B909D0" w14:paraId="28200AC6" w14:textId="77777777">
      <w:pPr>
        <w:tabs>
          <w:tab w:val="num" w:pos="450"/>
        </w:tabs>
        <w:rPr>
          <w:b/>
          <w:bCs/>
        </w:rPr>
      </w:pPr>
    </w:p>
    <w:p w:rsidR="00B909D0" w:rsidRPr="00B909D0" w:rsidP="00B909D0" w14:paraId="704A0AFE" w14:textId="77777777">
      <w:pPr>
        <w:tabs>
          <w:tab w:val="num" w:pos="450"/>
        </w:tabs>
        <w:rPr>
          <w:b/>
          <w:bCs/>
        </w:rPr>
      </w:pPr>
    </w:p>
    <w:p w:rsidR="009E493C" w:rsidRPr="00CC42A3" w:rsidP="00DF66AB" w14:paraId="6394B3E6" w14:textId="77777777">
      <w:pPr>
        <w:pStyle w:val="ListParagraph"/>
        <w:numPr>
          <w:ilvl w:val="0"/>
          <w:numId w:val="7"/>
        </w:numPr>
        <w:ind w:left="0" w:firstLine="4"/>
        <w:rPr>
          <w:b/>
          <w:bCs/>
        </w:rPr>
      </w:pPr>
      <w:r w:rsidRPr="00CC42A3">
        <w:rPr>
          <w:b/>
        </w:rPr>
        <w:t>JUSTIFICATION</w:t>
      </w:r>
    </w:p>
    <w:p w:rsidR="009E493C" w:rsidRPr="00CC42A3" w:rsidP="009E493C" w14:paraId="5AC661AF" w14:textId="77777777">
      <w:pPr>
        <w:pStyle w:val="ListParagraph"/>
        <w:ind w:left="0"/>
        <w:rPr>
          <w:b/>
        </w:rPr>
      </w:pPr>
    </w:p>
    <w:p w:rsidR="009E493C" w:rsidRPr="00CC42A3" w:rsidP="00850692" w14:paraId="079E5C55" w14:textId="77777777">
      <w:pPr>
        <w:pStyle w:val="ListParagraph"/>
        <w:numPr>
          <w:ilvl w:val="0"/>
          <w:numId w:val="2"/>
        </w:numPr>
        <w:ind w:left="0" w:firstLine="0"/>
        <w:rPr>
          <w:b/>
        </w:rPr>
      </w:pPr>
      <w:r w:rsidRPr="00CC42A3">
        <w:rPr>
          <w:b/>
        </w:rPr>
        <w:t>Necessity of Information Collection</w:t>
      </w:r>
    </w:p>
    <w:p w:rsidR="00631225" w:rsidRPr="009755E4" w:rsidP="00662CEE" w14:paraId="6148CF9D" w14:textId="77777777">
      <w:bookmarkStart w:id="0" w:name="OLE_LINK1"/>
      <w:bookmarkStart w:id="1" w:name="OLE_LINK2"/>
    </w:p>
    <w:p w:rsidR="007F4CD2" w:rsidP="0093048C" w14:paraId="609AF30B" w14:textId="52427A26">
      <w:pPr>
        <w:ind w:firstLine="720"/>
      </w:pPr>
      <w:r>
        <w:t>Section 15E of the Securities Exchange Act of 1934 (“Exchange Act”),</w:t>
      </w:r>
      <w:r>
        <w:rPr>
          <w:rStyle w:val="FootnoteReference"/>
        </w:rPr>
        <w:footnoteReference w:id="3"/>
      </w:r>
      <w:r>
        <w:t xml:space="preserve"> added to the Exchange Act by the Credit Rating Agency Reform Act of 2006 (“Rating Agency Act”)</w:t>
      </w:r>
      <w:r>
        <w:rPr>
          <w:rStyle w:val="FootnoteReference"/>
        </w:rPr>
        <w:footnoteReference w:id="4"/>
      </w:r>
      <w:r>
        <w:t xml:space="preserve"> and amended by t</w:t>
      </w:r>
      <w:r w:rsidRPr="0085379A">
        <w:t xml:space="preserve">he Dodd-Frank Wall Street Reform and Consumer Protection Act enacted </w:t>
      </w:r>
      <w:r>
        <w:t xml:space="preserve">in </w:t>
      </w:r>
      <w:r w:rsidRPr="0085379A">
        <w:t>2010</w:t>
      </w:r>
      <w:r>
        <w:t>,</w:t>
      </w:r>
      <w:r>
        <w:rPr>
          <w:rStyle w:val="FootnoteReference"/>
        </w:rPr>
        <w:footnoteReference w:id="5"/>
      </w:r>
      <w:r>
        <w:t xml:space="preserve"> </w:t>
      </w:r>
      <w:r w:rsidR="00955593">
        <w:t>sets forth the regulatory framework applicable to credit rating agencies that register with the Securities and Exchange Commission (“Commission” or “SEC”) as nationally recognized statistical rating organizations or NRSROs.</w:t>
      </w:r>
      <w:r w:rsidR="00384805">
        <w:t xml:space="preserve">  Section 15E contains self-executing requirements</w:t>
      </w:r>
      <w:r w:rsidR="00B77906">
        <w:t xml:space="preserve"> </w:t>
      </w:r>
      <w:r>
        <w:t>and authorizes the Commission to adopt implementing registration, recordkeeping, and reporting rules.</w:t>
      </w:r>
      <w:r w:rsidR="001259B5">
        <w:t xml:space="preserve">  </w:t>
      </w:r>
    </w:p>
    <w:p w:rsidR="00CA2CA7" w:rsidP="0093048C" w14:paraId="6F57AB63" w14:textId="77777777">
      <w:pPr>
        <w:ind w:firstLine="720"/>
      </w:pPr>
    </w:p>
    <w:p w:rsidR="00D9565B" w:rsidP="00C90A06" w14:paraId="35092ACC" w14:textId="05056210">
      <w:pPr>
        <w:ind w:firstLine="720"/>
      </w:pPr>
      <w:r>
        <w:t>Rule 1</w:t>
      </w:r>
      <w:r w:rsidR="0065387F">
        <w:t>7g-</w:t>
      </w:r>
      <w:r w:rsidR="008518FF">
        <w:t>7(a)</w:t>
      </w:r>
      <w:r w:rsidR="00741F70">
        <w:t xml:space="preserve">, </w:t>
      </w:r>
      <w:r w:rsidR="00A822C2">
        <w:t>adopted under</w:t>
      </w:r>
      <w:r w:rsidR="000A696A">
        <w:t xml:space="preserve"> </w:t>
      </w:r>
      <w:r w:rsidR="004F002C">
        <w:t>Section</w:t>
      </w:r>
      <w:r w:rsidR="000A696A">
        <w:t>s</w:t>
      </w:r>
      <w:r w:rsidR="004F002C">
        <w:t xml:space="preserve"> 15E(q) and (s)</w:t>
      </w:r>
      <w:r w:rsidR="001C5B5A">
        <w:t xml:space="preserve"> of </w:t>
      </w:r>
      <w:r w:rsidR="000A696A">
        <w:t>the Exchange Act</w:t>
      </w:r>
      <w:r w:rsidR="00E37099">
        <w:t>,</w:t>
      </w:r>
      <w:r>
        <w:rPr>
          <w:rStyle w:val="FootnoteReference"/>
        </w:rPr>
        <w:footnoteReference w:id="6"/>
      </w:r>
      <w:r w:rsidR="002267D8">
        <w:t xml:space="preserve"> </w:t>
      </w:r>
      <w:r w:rsidR="00072C7C">
        <w:t>requires</w:t>
      </w:r>
      <w:r w:rsidR="008B01EA">
        <w:t xml:space="preserve"> </w:t>
      </w:r>
      <w:r w:rsidR="00EE07FA">
        <w:t xml:space="preserve">NRSROs to publish </w:t>
      </w:r>
      <w:r w:rsidR="001C5B5A">
        <w:t xml:space="preserve">certain </w:t>
      </w:r>
      <w:r w:rsidR="00EC40DE">
        <w:t xml:space="preserve">rating </w:t>
      </w:r>
      <w:r w:rsidR="001C5B5A">
        <w:t xml:space="preserve">information when </w:t>
      </w:r>
      <w:r w:rsidR="00EE07FA">
        <w:t xml:space="preserve">taking </w:t>
      </w:r>
      <w:r w:rsidR="00813A61">
        <w:t>a</w:t>
      </w:r>
      <w:r w:rsidR="001C5B5A">
        <w:t xml:space="preserve"> r</w:t>
      </w:r>
      <w:r w:rsidR="00242982">
        <w:t>ating action</w:t>
      </w:r>
      <w:r w:rsidR="00035FA3">
        <w:t xml:space="preserve"> with respect to a credit rating</w:t>
      </w:r>
      <w:r w:rsidR="006347BD">
        <w:t>.</w:t>
      </w:r>
      <w:r>
        <w:rPr>
          <w:rStyle w:val="FootnoteReference"/>
        </w:rPr>
        <w:footnoteReference w:id="7"/>
      </w:r>
      <w:r w:rsidR="006347BD">
        <w:t xml:space="preserve"> </w:t>
      </w:r>
      <w:r w:rsidR="00AC39F1">
        <w:t xml:space="preserve"> </w:t>
      </w:r>
      <w:r w:rsidR="006347BD">
        <w:t xml:space="preserve">The </w:t>
      </w:r>
      <w:r w:rsidR="002F0CDD">
        <w:t xml:space="preserve">information must be disclosed </w:t>
      </w:r>
      <w:r w:rsidR="00455123">
        <w:t>i</w:t>
      </w:r>
      <w:r w:rsidR="002F0CDD">
        <w:t xml:space="preserve">n </w:t>
      </w:r>
      <w:r w:rsidR="00072C7C">
        <w:t>a form</w:t>
      </w:r>
      <w:r w:rsidR="00797AED">
        <w:t xml:space="preserve"> </w:t>
      </w:r>
      <w:r w:rsidR="00A628C1">
        <w:t>containing</w:t>
      </w:r>
      <w:r w:rsidR="00B44C21">
        <w:t xml:space="preserve"> </w:t>
      </w:r>
      <w:r w:rsidR="004A6605">
        <w:t xml:space="preserve">certain </w:t>
      </w:r>
      <w:r w:rsidR="00D45705">
        <w:t xml:space="preserve">specified </w:t>
      </w:r>
      <w:r w:rsidR="00B44C21">
        <w:t>information</w:t>
      </w:r>
      <w:r>
        <w:rPr>
          <w:rStyle w:val="FootnoteReference"/>
        </w:rPr>
        <w:footnoteReference w:id="8"/>
      </w:r>
      <w:r w:rsidR="007F03C0">
        <w:t xml:space="preserve"> </w:t>
      </w:r>
      <w:r w:rsidRPr="00CD3838" w:rsidR="00C14FAE">
        <w:t xml:space="preserve">and </w:t>
      </w:r>
      <w:r w:rsidR="005E5FC4">
        <w:t>must be accompanied by an attestation signed by a representative of the NRSRO.</w:t>
      </w:r>
      <w:r>
        <w:rPr>
          <w:rStyle w:val="FootnoteReference"/>
        </w:rPr>
        <w:footnoteReference w:id="9"/>
      </w:r>
      <w:r w:rsidR="005E5FC4">
        <w:t xml:space="preserve">  </w:t>
      </w:r>
      <w:r w:rsidR="006933AB">
        <w:t xml:space="preserve">The rule </w:t>
      </w:r>
      <w:r w:rsidR="00582B24">
        <w:t xml:space="preserve">also </w:t>
      </w:r>
      <w:r w:rsidR="00AE52FA">
        <w:t xml:space="preserve">requires </w:t>
      </w:r>
      <w:r w:rsidR="00DA3109">
        <w:t xml:space="preserve">NRSROs to </w:t>
      </w:r>
      <w:r w:rsidR="00AE52FA">
        <w:t>publi</w:t>
      </w:r>
      <w:r w:rsidR="00DA3109">
        <w:t>sh</w:t>
      </w:r>
      <w:r w:rsidR="000B00ED">
        <w:t xml:space="preserve"> </w:t>
      </w:r>
      <w:r w:rsidRPr="009755E4" w:rsidR="008D67D1">
        <w:t xml:space="preserve">any </w:t>
      </w:r>
      <w:r w:rsidR="004626D5">
        <w:t>executed</w:t>
      </w:r>
      <w:r w:rsidR="007D2387">
        <w:t xml:space="preserve"> </w:t>
      </w:r>
      <w:r w:rsidR="00A04F5E">
        <w:t xml:space="preserve">certification on </w:t>
      </w:r>
      <w:r w:rsidR="007D2387">
        <w:t xml:space="preserve">Form </w:t>
      </w:r>
      <w:r w:rsidR="003706DD">
        <w:t xml:space="preserve">ABS Due Diligence-15E </w:t>
      </w:r>
      <w:r w:rsidR="008D67D1">
        <w:t xml:space="preserve">received from a </w:t>
      </w:r>
      <w:r w:rsidRPr="009755E4" w:rsidR="008D67D1">
        <w:t>provider of third-party due diligence services</w:t>
      </w:r>
      <w:r w:rsidR="000B00ED">
        <w:t xml:space="preserve"> with respect to </w:t>
      </w:r>
      <w:r w:rsidR="00DF351D">
        <w:t xml:space="preserve">an </w:t>
      </w:r>
      <w:r w:rsidR="00EA32DD">
        <w:t>asset-backed securit</w:t>
      </w:r>
      <w:r w:rsidR="00DF351D">
        <w:t>y</w:t>
      </w:r>
      <w:r w:rsidR="00066921">
        <w:t xml:space="preserve"> subject to </w:t>
      </w:r>
      <w:r w:rsidR="00B246DC">
        <w:t xml:space="preserve">a </w:t>
      </w:r>
      <w:r w:rsidR="00066921">
        <w:t>rating action</w:t>
      </w:r>
      <w:r w:rsidRPr="009755E4" w:rsidR="008D67D1">
        <w:t>.</w:t>
      </w:r>
      <w:r>
        <w:rPr>
          <w:rStyle w:val="FootnoteReference"/>
        </w:rPr>
        <w:footnoteReference w:id="10"/>
      </w:r>
      <w:r w:rsidRPr="009755E4" w:rsidR="008D67D1">
        <w:t xml:space="preserve">  </w:t>
      </w:r>
    </w:p>
    <w:p w:rsidR="00D9565B" w:rsidP="00C90A06" w14:paraId="21F0AB93" w14:textId="77777777">
      <w:pPr>
        <w:ind w:firstLine="720"/>
      </w:pPr>
    </w:p>
    <w:p w:rsidR="00C14FAE" w:rsidP="00374B2F" w14:paraId="5ED6CB7A" w14:textId="3EE8D67B">
      <w:pPr>
        <w:ind w:firstLine="720"/>
        <w:rPr>
          <w:rFonts w:eastAsia="Calibri"/>
          <w:b/>
          <w:bCs/>
        </w:rPr>
      </w:pPr>
      <w:r>
        <w:t>R</w:t>
      </w:r>
      <w:r w:rsidR="00035FA3">
        <w:t>ule</w:t>
      </w:r>
      <w:r w:rsidR="00944101">
        <w:t xml:space="preserve"> </w:t>
      </w:r>
      <w:r>
        <w:t>17g-7(b)</w:t>
      </w:r>
      <w:r w:rsidR="00F81C62">
        <w:t xml:space="preserve"> </w:t>
      </w:r>
      <w:r w:rsidR="00655380">
        <w:t xml:space="preserve">requires </w:t>
      </w:r>
      <w:r w:rsidR="00F524B0">
        <w:t>NRSROs</w:t>
      </w:r>
      <w:r w:rsidRPr="009755E4" w:rsidR="00177183">
        <w:t xml:space="preserve"> to disclose rating histories </w:t>
      </w:r>
      <w:r w:rsidR="00850A25">
        <w:t>covering</w:t>
      </w:r>
      <w:r w:rsidR="001A45E3">
        <w:t xml:space="preserve"> specified time periods</w:t>
      </w:r>
      <w:r w:rsidR="00655380">
        <w:t>.</w:t>
      </w:r>
      <w:r>
        <w:rPr>
          <w:rStyle w:val="FootnoteReference"/>
        </w:rPr>
        <w:footnoteReference w:id="11"/>
      </w:r>
      <w:r w:rsidR="00655380">
        <w:t xml:space="preserve">  This provision was adopted</w:t>
      </w:r>
      <w:r w:rsidR="00571378">
        <w:t>, in part,</w:t>
      </w:r>
      <w:r w:rsidR="00655380">
        <w:t xml:space="preserve"> under Section 17</w:t>
      </w:r>
      <w:r w:rsidR="005E2DF3">
        <w:t>(a)(1) of the Exchange Ac</w:t>
      </w:r>
      <w:r w:rsidR="005D56FB">
        <w:t>t</w:t>
      </w:r>
      <w:r w:rsidR="00B93E62">
        <w:t>.</w:t>
      </w:r>
      <w:r>
        <w:rPr>
          <w:rStyle w:val="FootnoteReference"/>
        </w:rPr>
        <w:footnoteReference w:id="12"/>
      </w:r>
      <w:r w:rsidR="00B93E62">
        <w:t xml:space="preserve">  </w:t>
      </w:r>
      <w:r w:rsidR="00287357">
        <w:t>T</w:t>
      </w:r>
      <w:r w:rsidR="00B93E62">
        <w:t xml:space="preserve">he rule </w:t>
      </w:r>
      <w:r w:rsidR="00F81C62">
        <w:t xml:space="preserve">requires </w:t>
      </w:r>
      <w:r w:rsidR="00CD57C7">
        <w:t xml:space="preserve">each </w:t>
      </w:r>
      <w:r w:rsidR="00F81C62">
        <w:rPr>
          <w:rFonts w:eastAsia="Calibri"/>
        </w:rPr>
        <w:t xml:space="preserve">NRSRO to </w:t>
      </w:r>
      <w:r w:rsidR="00EC0EC7">
        <w:rPr>
          <w:rFonts w:eastAsia="Calibri"/>
        </w:rPr>
        <w:t xml:space="preserve">disclose </w:t>
      </w:r>
      <w:r w:rsidRPr="00F81C62" w:rsidR="00F81C62">
        <w:rPr>
          <w:rFonts w:eastAsia="Calibri"/>
        </w:rPr>
        <w:t xml:space="preserve">the </w:t>
      </w:r>
      <w:r w:rsidR="007C1EFD">
        <w:rPr>
          <w:rFonts w:eastAsia="Calibri"/>
        </w:rPr>
        <w:t xml:space="preserve">rating </w:t>
      </w:r>
      <w:r w:rsidR="002A6908">
        <w:rPr>
          <w:rFonts w:eastAsia="Calibri"/>
        </w:rPr>
        <w:t xml:space="preserve">history of </w:t>
      </w:r>
      <w:r w:rsidR="00F81C62">
        <w:rPr>
          <w:rFonts w:eastAsia="Calibri"/>
        </w:rPr>
        <w:t>credit rating</w:t>
      </w:r>
      <w:r w:rsidR="00C035FB">
        <w:rPr>
          <w:rFonts w:eastAsia="Calibri"/>
        </w:rPr>
        <w:t>s</w:t>
      </w:r>
      <w:r w:rsidR="00F81C62">
        <w:rPr>
          <w:rFonts w:eastAsia="Calibri"/>
        </w:rPr>
        <w:t xml:space="preserve"> </w:t>
      </w:r>
      <w:r w:rsidRPr="00F81C62" w:rsidR="002E6262">
        <w:rPr>
          <w:rFonts w:eastAsia="Calibri"/>
        </w:rPr>
        <w:t xml:space="preserve">on </w:t>
      </w:r>
      <w:r w:rsidR="0020617E">
        <w:rPr>
          <w:rFonts w:eastAsia="Calibri"/>
        </w:rPr>
        <w:t>its</w:t>
      </w:r>
      <w:r w:rsidR="002E6262">
        <w:rPr>
          <w:rFonts w:eastAsia="Calibri"/>
        </w:rPr>
        <w:t xml:space="preserve"> </w:t>
      </w:r>
      <w:r w:rsidRPr="00F81C62" w:rsidR="002E6262">
        <w:rPr>
          <w:rFonts w:eastAsia="Calibri"/>
        </w:rPr>
        <w:t xml:space="preserve">corporate </w:t>
      </w:r>
      <w:r w:rsidR="002E6262">
        <w:rPr>
          <w:rFonts w:eastAsia="Calibri"/>
        </w:rPr>
        <w:t>w</w:t>
      </w:r>
      <w:r w:rsidRPr="00F81C62" w:rsidR="002E6262">
        <w:rPr>
          <w:rFonts w:eastAsia="Calibri"/>
        </w:rPr>
        <w:t>ebsite</w:t>
      </w:r>
      <w:r w:rsidR="003072E7">
        <w:rPr>
          <w:rFonts w:eastAsia="Calibri"/>
        </w:rPr>
        <w:t>, including</w:t>
      </w:r>
      <w:r w:rsidR="001A5366">
        <w:rPr>
          <w:rFonts w:eastAsia="Calibri"/>
        </w:rPr>
        <w:t xml:space="preserve"> the initial credit rating or the initial entry of the credit rating </w:t>
      </w:r>
      <w:r w:rsidR="00BA22FA">
        <w:rPr>
          <w:rFonts w:eastAsia="Calibri"/>
        </w:rPr>
        <w:t xml:space="preserve">into the history, any subsequent upgrade or downgrade (including </w:t>
      </w:r>
      <w:r w:rsidR="00FB0F02">
        <w:rPr>
          <w:rFonts w:eastAsia="Calibri"/>
        </w:rPr>
        <w:t>a downgrade to, or assignment of, default) and a withdrawal of the credit rating</w:t>
      </w:r>
      <w:r w:rsidR="00F46A2E">
        <w:rPr>
          <w:rFonts w:eastAsia="Calibri"/>
        </w:rPr>
        <w:t xml:space="preserve">, as well as </w:t>
      </w:r>
      <w:r w:rsidR="00F81C62">
        <w:rPr>
          <w:rFonts w:eastAsia="Calibri"/>
        </w:rPr>
        <w:t xml:space="preserve">the date of such actions identified by the name of the </w:t>
      </w:r>
      <w:r w:rsidR="00DF72AC">
        <w:rPr>
          <w:rFonts w:eastAsia="Calibri"/>
        </w:rPr>
        <w:t xml:space="preserve">rated </w:t>
      </w:r>
      <w:r w:rsidR="00F81C62">
        <w:rPr>
          <w:rFonts w:eastAsia="Calibri"/>
        </w:rPr>
        <w:t>security</w:t>
      </w:r>
      <w:r w:rsidR="00DF72AC">
        <w:rPr>
          <w:rFonts w:eastAsia="Calibri"/>
        </w:rPr>
        <w:t xml:space="preserve"> or money market instrument, </w:t>
      </w:r>
      <w:r w:rsidR="00F81C62">
        <w:rPr>
          <w:rFonts w:eastAsia="Calibri"/>
        </w:rPr>
        <w:t xml:space="preserve">or </w:t>
      </w:r>
      <w:r w:rsidR="00DF72AC">
        <w:rPr>
          <w:rFonts w:eastAsia="Calibri"/>
        </w:rPr>
        <w:t xml:space="preserve">rated </w:t>
      </w:r>
      <w:r w:rsidR="00F81C62">
        <w:rPr>
          <w:rFonts w:eastAsia="Calibri"/>
        </w:rPr>
        <w:t>obligor</w:t>
      </w:r>
      <w:r w:rsidRPr="00374B2F" w:rsidR="000819C0">
        <w:rPr>
          <w:rFonts w:eastAsia="Calibri"/>
        </w:rPr>
        <w:t>.</w:t>
      </w:r>
      <w:r>
        <w:rPr>
          <w:rStyle w:val="FootnoteReference"/>
          <w:rFonts w:eastAsia="Calibri"/>
        </w:rPr>
        <w:footnoteReference w:id="13"/>
      </w:r>
      <w:r w:rsidRPr="00374B2F" w:rsidR="000819C0">
        <w:rPr>
          <w:rFonts w:eastAsia="Calibri"/>
        </w:rPr>
        <w:t xml:space="preserve"> </w:t>
      </w:r>
      <w:r w:rsidR="002A630A">
        <w:rPr>
          <w:rFonts w:eastAsia="Calibri"/>
        </w:rPr>
        <w:t xml:space="preserve"> </w:t>
      </w:r>
      <w:r w:rsidRPr="00374B2F" w:rsidR="000819C0">
        <w:rPr>
          <w:rFonts w:eastAsia="Calibri"/>
        </w:rPr>
        <w:t xml:space="preserve">The </w:t>
      </w:r>
      <w:r w:rsidR="00F22DF0">
        <w:rPr>
          <w:rFonts w:eastAsia="Calibri"/>
        </w:rPr>
        <w:t>rating histories</w:t>
      </w:r>
      <w:r w:rsidR="000819C0">
        <w:rPr>
          <w:rFonts w:eastAsia="Calibri"/>
        </w:rPr>
        <w:t xml:space="preserve"> must be </w:t>
      </w:r>
      <w:r w:rsidR="00F22DF0">
        <w:rPr>
          <w:rFonts w:eastAsia="Calibri"/>
        </w:rPr>
        <w:t>disclosed</w:t>
      </w:r>
      <w:r w:rsidR="000819C0">
        <w:rPr>
          <w:rFonts w:eastAsia="Calibri"/>
        </w:rPr>
        <w:t xml:space="preserve"> </w:t>
      </w:r>
      <w:r w:rsidRPr="00374B2F" w:rsidR="000819C0">
        <w:rPr>
          <w:rFonts w:eastAsia="Calibri"/>
        </w:rPr>
        <w:t xml:space="preserve">in an interactive file </w:t>
      </w:r>
      <w:r w:rsidR="00F242B1">
        <w:rPr>
          <w:rFonts w:eastAsia="Calibri"/>
        </w:rPr>
        <w:t xml:space="preserve">using </w:t>
      </w:r>
      <w:r w:rsidR="002A630A">
        <w:rPr>
          <w:rFonts w:eastAsia="Calibri"/>
        </w:rPr>
        <w:t>an</w:t>
      </w:r>
      <w:r w:rsidR="000819C0">
        <w:rPr>
          <w:rFonts w:eastAsia="Calibri"/>
        </w:rPr>
        <w:t xml:space="preserve"> </w:t>
      </w:r>
      <w:r w:rsidRPr="00374B2F" w:rsidR="000819C0">
        <w:rPr>
          <w:rFonts w:eastAsia="Calibri"/>
        </w:rPr>
        <w:t>XBRL</w:t>
      </w:r>
      <w:r w:rsidR="00925B00">
        <w:rPr>
          <w:rFonts w:eastAsia="Calibri"/>
        </w:rPr>
        <w:t xml:space="preserve"> </w:t>
      </w:r>
      <w:r w:rsidRPr="00374B2F" w:rsidR="000819C0">
        <w:rPr>
          <w:rFonts w:eastAsia="Calibri"/>
        </w:rPr>
        <w:t>(eXtensible Business Reporting Language) format.</w:t>
      </w:r>
      <w:r>
        <w:rPr>
          <w:rStyle w:val="FootnoteReference"/>
          <w:rFonts w:eastAsia="Calibri"/>
        </w:rPr>
        <w:footnoteReference w:id="14"/>
      </w:r>
    </w:p>
    <w:p w:rsidR="00C14FAE" w:rsidP="00FF51D3" w14:paraId="07C5638D" w14:textId="77777777">
      <w:pPr>
        <w:autoSpaceDE w:val="0"/>
        <w:autoSpaceDN w:val="0"/>
        <w:adjustRightInd w:val="0"/>
        <w:ind w:firstLine="720"/>
        <w:rPr>
          <w:rFonts w:eastAsia="Calibri"/>
          <w:b/>
          <w:bCs/>
        </w:rPr>
      </w:pPr>
    </w:p>
    <w:p w:rsidR="007208C8" w:rsidP="00FF51D3" w14:paraId="6D5C8A60" w14:textId="3669A641">
      <w:pPr>
        <w:autoSpaceDE w:val="0"/>
        <w:autoSpaceDN w:val="0"/>
        <w:adjustRightInd w:val="0"/>
        <w:ind w:firstLine="720"/>
        <w:rPr>
          <w:iCs/>
        </w:rPr>
      </w:pPr>
      <w:r>
        <w:rPr>
          <w:iCs/>
        </w:rPr>
        <w:t xml:space="preserve">Rule </w:t>
      </w:r>
      <w:r w:rsidR="00F52F1F">
        <w:rPr>
          <w:iCs/>
        </w:rPr>
        <w:t>17g-7 contains “collection of information” requirements with</w:t>
      </w:r>
      <w:r>
        <w:rPr>
          <w:iCs/>
        </w:rPr>
        <w:t xml:space="preserve">in </w:t>
      </w:r>
      <w:r w:rsidR="00F52F1F">
        <w:rPr>
          <w:iCs/>
        </w:rPr>
        <w:t>the meaning of the Paperwork Reduction Act of 1995.</w:t>
      </w:r>
      <w:r>
        <w:rPr>
          <w:iCs/>
          <w:vertAlign w:val="superscript"/>
        </w:rPr>
        <w:footnoteReference w:id="15"/>
      </w:r>
      <w:r w:rsidR="00F52F1F">
        <w:rPr>
          <w:iCs/>
        </w:rPr>
        <w:t xml:space="preserve">  </w:t>
      </w:r>
      <w:r w:rsidR="00D6127A">
        <w:rPr>
          <w:iCs/>
        </w:rPr>
        <w:t>The collection of information is mandatory for credit rating agencies that register as NRSROs</w:t>
      </w:r>
      <w:r w:rsidR="00AF6AC0">
        <w:rPr>
          <w:iCs/>
        </w:rPr>
        <w:t xml:space="preserve"> and is necessary </w:t>
      </w:r>
      <w:r w:rsidR="00CF196C">
        <w:rPr>
          <w:iCs/>
        </w:rPr>
        <w:t>to</w:t>
      </w:r>
      <w:r w:rsidR="00F65789">
        <w:rPr>
          <w:iCs/>
        </w:rPr>
        <w:t xml:space="preserve"> </w:t>
      </w:r>
      <w:r w:rsidR="00AF6AC0">
        <w:rPr>
          <w:iCs/>
        </w:rPr>
        <w:t xml:space="preserve">promote </w:t>
      </w:r>
      <w:r w:rsidR="00474832">
        <w:rPr>
          <w:iCs/>
        </w:rPr>
        <w:t>the</w:t>
      </w:r>
      <w:r w:rsidR="00AF6AC0">
        <w:rPr>
          <w:iCs/>
        </w:rPr>
        <w:t xml:space="preserve"> better understanding of credit rating</w:t>
      </w:r>
      <w:r w:rsidR="00F65789">
        <w:rPr>
          <w:iCs/>
        </w:rPr>
        <w:t>s</w:t>
      </w:r>
      <w:r w:rsidR="00AF6AC0">
        <w:rPr>
          <w:iCs/>
        </w:rPr>
        <w:t xml:space="preserve"> by users of </w:t>
      </w:r>
      <w:r w:rsidR="00F65789">
        <w:rPr>
          <w:iCs/>
        </w:rPr>
        <w:t>ratings</w:t>
      </w:r>
      <w:r w:rsidRPr="009755E4" w:rsidR="00D6127A">
        <w:rPr>
          <w:iCs/>
        </w:rPr>
        <w:t>.</w:t>
      </w:r>
      <w:r w:rsidR="00F65789">
        <w:rPr>
          <w:iCs/>
        </w:rPr>
        <w:t xml:space="preserve">  </w:t>
      </w:r>
      <w:r w:rsidRPr="009755E4" w:rsidR="00C14FAE">
        <w:rPr>
          <w:iCs/>
        </w:rPr>
        <w:t xml:space="preserve">The collection of information </w:t>
      </w:r>
      <w:r w:rsidR="00C37B5D">
        <w:rPr>
          <w:iCs/>
        </w:rPr>
        <w:t>has been approved and extended by the Office of the Management and Budget (“OMB”)</w:t>
      </w:r>
      <w:r w:rsidR="00EE2259">
        <w:rPr>
          <w:iCs/>
        </w:rPr>
        <w:t xml:space="preserve"> under control number</w:t>
      </w:r>
      <w:r w:rsidR="001F0D3A">
        <w:rPr>
          <w:iCs/>
        </w:rPr>
        <w:t xml:space="preserve"> </w:t>
      </w:r>
      <w:r w:rsidRPr="001F0D3A" w:rsidR="001F0D3A">
        <w:rPr>
          <w:iCs/>
        </w:rPr>
        <w:t xml:space="preserve">3235-0656 </w:t>
      </w:r>
      <w:r w:rsidR="00EE2259">
        <w:rPr>
          <w:iCs/>
        </w:rPr>
        <w:t>(expiring</w:t>
      </w:r>
      <w:r w:rsidR="003871D5">
        <w:rPr>
          <w:iCs/>
        </w:rPr>
        <w:t xml:space="preserve"> September 30, 2024</w:t>
      </w:r>
      <w:r w:rsidR="00EE2259">
        <w:rPr>
          <w:iCs/>
        </w:rPr>
        <w:t xml:space="preserve">).  </w:t>
      </w:r>
    </w:p>
    <w:p w:rsidR="00662CEE" w:rsidRPr="00CC42A3" w:rsidP="00662CEE" w14:paraId="2EAD702C" w14:textId="77777777"/>
    <w:p w:rsidR="009E493C" w:rsidRPr="00CC42A3" w:rsidP="00850692" w14:paraId="4EB518E8" w14:textId="77777777">
      <w:pPr>
        <w:pStyle w:val="ListParagraph"/>
        <w:numPr>
          <w:ilvl w:val="0"/>
          <w:numId w:val="2"/>
        </w:numPr>
        <w:ind w:left="0" w:firstLine="0"/>
        <w:rPr>
          <w:b/>
        </w:rPr>
      </w:pPr>
      <w:r w:rsidRPr="00CC42A3">
        <w:rPr>
          <w:b/>
        </w:rPr>
        <w:t>Purpose and Use of the Information Collection</w:t>
      </w:r>
    </w:p>
    <w:p w:rsidR="00D01DDB" w:rsidRPr="00CC42A3" w:rsidP="009E493C" w14:paraId="14895CB8" w14:textId="77777777">
      <w:pPr>
        <w:pStyle w:val="ListParagraph"/>
        <w:ind w:left="0"/>
      </w:pPr>
    </w:p>
    <w:p w:rsidR="00662CEE" w:rsidRPr="00662CEE" w:rsidP="00995E24" w14:paraId="19ECB420" w14:textId="6014F3B2">
      <w:pPr>
        <w:ind w:left="90" w:firstLine="720"/>
      </w:pPr>
      <w:r>
        <w:t xml:space="preserve">The rating information </w:t>
      </w:r>
      <w:r w:rsidR="00090D48">
        <w:t>required</w:t>
      </w:r>
      <w:r w:rsidR="00303C5B">
        <w:t xml:space="preserve"> to be disclosed</w:t>
      </w:r>
      <w:r w:rsidR="00090D48">
        <w:t xml:space="preserve"> by</w:t>
      </w:r>
      <w:r>
        <w:t xml:space="preserve"> </w:t>
      </w:r>
      <w:r w:rsidRPr="00662CEE" w:rsidR="00663B5A">
        <w:t>R</w:t>
      </w:r>
      <w:r w:rsidR="00663B5A">
        <w:t>ule</w:t>
      </w:r>
      <w:r w:rsidR="00E047ED">
        <w:t xml:space="preserve"> </w:t>
      </w:r>
      <w:r w:rsidR="00663B5A">
        <w:t>17</w:t>
      </w:r>
      <w:r w:rsidRPr="00662CEE" w:rsidR="00663B5A">
        <w:t>g-</w:t>
      </w:r>
      <w:r w:rsidR="00663B5A">
        <w:t>7</w:t>
      </w:r>
      <w:r w:rsidR="00995E24">
        <w:rPr>
          <w:iCs/>
        </w:rPr>
        <w:t>(a)</w:t>
      </w:r>
      <w:r>
        <w:rPr>
          <w:iCs/>
        </w:rPr>
        <w:t xml:space="preserve"> </w:t>
      </w:r>
      <w:r w:rsidR="0000765C">
        <w:rPr>
          <w:iCs/>
        </w:rPr>
        <w:t xml:space="preserve">may </w:t>
      </w:r>
      <w:r w:rsidR="00663B5A">
        <w:t xml:space="preserve">help </w:t>
      </w:r>
      <w:r w:rsidR="00BA2DE6">
        <w:t>users</w:t>
      </w:r>
      <w:bookmarkEnd w:id="0"/>
      <w:bookmarkEnd w:id="1"/>
      <w:r w:rsidR="00BA2DE6">
        <w:t xml:space="preserve"> of credit ratings</w:t>
      </w:r>
      <w:r w:rsidR="000F3919">
        <w:t xml:space="preserve"> </w:t>
      </w:r>
      <w:r w:rsidR="008B060B">
        <w:t>better</w:t>
      </w:r>
      <w:r w:rsidR="00BA2DE6">
        <w:t xml:space="preserve"> understand how credit ratings are produced </w:t>
      </w:r>
      <w:r w:rsidR="00F338F0">
        <w:t xml:space="preserve">and the information content of </w:t>
      </w:r>
      <w:r w:rsidR="003E335F">
        <w:t>a</w:t>
      </w:r>
      <w:r w:rsidR="003255CE">
        <w:t xml:space="preserve"> </w:t>
      </w:r>
      <w:r w:rsidR="00F338F0">
        <w:t>credit rating</w:t>
      </w:r>
      <w:r w:rsidRPr="00662CEE">
        <w:t>.</w:t>
      </w:r>
      <w:r>
        <w:rPr>
          <w:vertAlign w:val="superscript"/>
        </w:rPr>
        <w:footnoteReference w:id="16"/>
      </w:r>
      <w:r w:rsidRPr="00662CEE">
        <w:rPr>
          <w:iCs/>
        </w:rPr>
        <w:t xml:space="preserve"> </w:t>
      </w:r>
      <w:r w:rsidR="00937311">
        <w:rPr>
          <w:iCs/>
        </w:rPr>
        <w:t xml:space="preserve"> </w:t>
      </w:r>
      <w:r w:rsidR="007F2592">
        <w:rPr>
          <w:iCs/>
        </w:rPr>
        <w:t>D</w:t>
      </w:r>
      <w:r w:rsidR="004609CF">
        <w:rPr>
          <w:iCs/>
        </w:rPr>
        <w:t>isclosure</w:t>
      </w:r>
      <w:r w:rsidR="00937311">
        <w:rPr>
          <w:iCs/>
        </w:rPr>
        <w:t>s</w:t>
      </w:r>
      <w:r w:rsidR="007F2592">
        <w:rPr>
          <w:iCs/>
        </w:rPr>
        <w:t xml:space="preserve"> made pursuant to the rule,</w:t>
      </w:r>
      <w:r w:rsidR="00937311">
        <w:rPr>
          <w:iCs/>
        </w:rPr>
        <w:t xml:space="preserve"> such as</w:t>
      </w:r>
      <w:r w:rsidR="007F2EB0">
        <w:rPr>
          <w:iCs/>
        </w:rPr>
        <w:t xml:space="preserve"> </w:t>
      </w:r>
      <w:r w:rsidR="003608F9">
        <w:rPr>
          <w:iCs/>
        </w:rPr>
        <w:t xml:space="preserve">the </w:t>
      </w:r>
      <w:r w:rsidR="004D3EDC">
        <w:rPr>
          <w:iCs/>
        </w:rPr>
        <w:t xml:space="preserve">potential </w:t>
      </w:r>
      <w:r w:rsidR="00EB639A">
        <w:rPr>
          <w:iCs/>
        </w:rPr>
        <w:t>limitations</w:t>
      </w:r>
      <w:r w:rsidR="00B1475A">
        <w:rPr>
          <w:iCs/>
        </w:rPr>
        <w:t xml:space="preserve"> </w:t>
      </w:r>
      <w:r w:rsidR="00937311">
        <w:rPr>
          <w:iCs/>
        </w:rPr>
        <w:t>of</w:t>
      </w:r>
      <w:r w:rsidR="00B1475A">
        <w:rPr>
          <w:iCs/>
        </w:rPr>
        <w:t xml:space="preserve"> </w:t>
      </w:r>
      <w:r w:rsidR="00303C5B">
        <w:rPr>
          <w:iCs/>
        </w:rPr>
        <w:t>a</w:t>
      </w:r>
      <w:r w:rsidR="00937311">
        <w:rPr>
          <w:iCs/>
        </w:rPr>
        <w:t xml:space="preserve"> </w:t>
      </w:r>
      <w:r w:rsidR="001C26AC">
        <w:rPr>
          <w:iCs/>
        </w:rPr>
        <w:t>rating</w:t>
      </w:r>
      <w:r w:rsidR="004F7DC0">
        <w:rPr>
          <w:iCs/>
        </w:rPr>
        <w:t>,</w:t>
      </w:r>
      <w:r w:rsidR="00EB639A">
        <w:rPr>
          <w:iCs/>
        </w:rPr>
        <w:t xml:space="preserve"> </w:t>
      </w:r>
      <w:r w:rsidR="00937311">
        <w:rPr>
          <w:iCs/>
        </w:rPr>
        <w:t xml:space="preserve">the </w:t>
      </w:r>
      <w:r w:rsidR="00EB639A">
        <w:rPr>
          <w:iCs/>
        </w:rPr>
        <w:t>volatility</w:t>
      </w:r>
      <w:r w:rsidR="004F7DC0">
        <w:rPr>
          <w:iCs/>
        </w:rPr>
        <w:t xml:space="preserve"> of </w:t>
      </w:r>
      <w:r w:rsidR="00927E54">
        <w:rPr>
          <w:iCs/>
        </w:rPr>
        <w:t>the</w:t>
      </w:r>
      <w:r w:rsidR="004F7DC0">
        <w:rPr>
          <w:iCs/>
        </w:rPr>
        <w:t xml:space="preserve"> rating</w:t>
      </w:r>
      <w:r w:rsidR="00B93FD3">
        <w:rPr>
          <w:iCs/>
        </w:rPr>
        <w:t>,</w:t>
      </w:r>
      <w:r w:rsidR="004338BA">
        <w:rPr>
          <w:iCs/>
        </w:rPr>
        <w:t xml:space="preserve"> </w:t>
      </w:r>
      <w:r w:rsidR="00D3250F">
        <w:rPr>
          <w:iCs/>
        </w:rPr>
        <w:t xml:space="preserve">and </w:t>
      </w:r>
      <w:r w:rsidR="00927E54">
        <w:rPr>
          <w:iCs/>
        </w:rPr>
        <w:t>the</w:t>
      </w:r>
      <w:r w:rsidR="004807C2">
        <w:rPr>
          <w:iCs/>
        </w:rPr>
        <w:t xml:space="preserve"> </w:t>
      </w:r>
      <w:r w:rsidR="00742BD6">
        <w:rPr>
          <w:iCs/>
        </w:rPr>
        <w:t xml:space="preserve">rating’s </w:t>
      </w:r>
      <w:r w:rsidR="00EB639A">
        <w:rPr>
          <w:iCs/>
        </w:rPr>
        <w:t xml:space="preserve">sensitivity </w:t>
      </w:r>
      <w:r w:rsidR="00060BB0">
        <w:rPr>
          <w:iCs/>
        </w:rPr>
        <w:t xml:space="preserve">to </w:t>
      </w:r>
      <w:r w:rsidR="004F7DC0">
        <w:rPr>
          <w:iCs/>
        </w:rPr>
        <w:t xml:space="preserve">underlying </w:t>
      </w:r>
      <w:r w:rsidR="00060BB0">
        <w:rPr>
          <w:iCs/>
        </w:rPr>
        <w:t>assumptions, and</w:t>
      </w:r>
      <w:r w:rsidR="00255E0F">
        <w:rPr>
          <w:iCs/>
        </w:rPr>
        <w:t>, with respect to asset</w:t>
      </w:r>
      <w:r w:rsidR="007D1D99">
        <w:rPr>
          <w:iCs/>
        </w:rPr>
        <w:t>-backed securit</w:t>
      </w:r>
      <w:r w:rsidR="00EB4761">
        <w:rPr>
          <w:iCs/>
        </w:rPr>
        <w:t>y ratings</w:t>
      </w:r>
      <w:r w:rsidR="007D1D99">
        <w:rPr>
          <w:iCs/>
        </w:rPr>
        <w:t xml:space="preserve">, </w:t>
      </w:r>
      <w:r w:rsidR="007D4B56">
        <w:rPr>
          <w:iCs/>
        </w:rPr>
        <w:t xml:space="preserve">due diligence </w:t>
      </w:r>
      <w:r w:rsidR="00060BB0">
        <w:rPr>
          <w:iCs/>
        </w:rPr>
        <w:t>information</w:t>
      </w:r>
      <w:r w:rsidR="007D1D99">
        <w:rPr>
          <w:iCs/>
        </w:rPr>
        <w:t>,</w:t>
      </w:r>
      <w:r w:rsidR="00060BB0">
        <w:rPr>
          <w:iCs/>
        </w:rPr>
        <w:t xml:space="preserve"> </w:t>
      </w:r>
      <w:r w:rsidR="00904B40">
        <w:rPr>
          <w:iCs/>
        </w:rPr>
        <w:t xml:space="preserve">may </w:t>
      </w:r>
      <w:r w:rsidR="00782E65">
        <w:rPr>
          <w:iCs/>
        </w:rPr>
        <w:t xml:space="preserve">prevent </w:t>
      </w:r>
      <w:r w:rsidR="00904B40">
        <w:rPr>
          <w:iCs/>
        </w:rPr>
        <w:t xml:space="preserve">undue reliance on </w:t>
      </w:r>
      <w:r w:rsidR="00C037F9">
        <w:rPr>
          <w:iCs/>
        </w:rPr>
        <w:t>the</w:t>
      </w:r>
      <w:r w:rsidR="001C37AA">
        <w:rPr>
          <w:iCs/>
        </w:rPr>
        <w:t xml:space="preserve"> </w:t>
      </w:r>
      <w:r w:rsidR="00904B40">
        <w:rPr>
          <w:iCs/>
        </w:rPr>
        <w:t>rating</w:t>
      </w:r>
      <w:r w:rsidR="00C87B83">
        <w:rPr>
          <w:iCs/>
        </w:rPr>
        <w:t>s</w:t>
      </w:r>
      <w:r w:rsidR="00904B40">
        <w:rPr>
          <w:iCs/>
        </w:rPr>
        <w:t xml:space="preserve"> by investors and other users of credit ratings</w:t>
      </w:r>
      <w:r w:rsidR="003265E4">
        <w:rPr>
          <w:iCs/>
        </w:rPr>
        <w:t>.</w:t>
      </w:r>
      <w:r>
        <w:rPr>
          <w:rStyle w:val="FootnoteReference"/>
          <w:iCs/>
        </w:rPr>
        <w:footnoteReference w:id="17"/>
      </w:r>
      <w:r w:rsidR="00DE563A">
        <w:rPr>
          <w:iCs/>
        </w:rPr>
        <w:t xml:space="preserve">  </w:t>
      </w:r>
      <w:r w:rsidR="00281B49">
        <w:rPr>
          <w:iCs/>
        </w:rPr>
        <w:t>Furthermore</w:t>
      </w:r>
      <w:r w:rsidR="00D178E8">
        <w:rPr>
          <w:iCs/>
        </w:rPr>
        <w:t>,</w:t>
      </w:r>
      <w:r w:rsidR="00030EC2">
        <w:rPr>
          <w:iCs/>
        </w:rPr>
        <w:t xml:space="preserve"> the</w:t>
      </w:r>
      <w:r w:rsidR="00DE563A">
        <w:rPr>
          <w:iCs/>
        </w:rPr>
        <w:t xml:space="preserve"> </w:t>
      </w:r>
      <w:r w:rsidR="00F24753">
        <w:rPr>
          <w:iCs/>
        </w:rPr>
        <w:t>requir</w:t>
      </w:r>
      <w:r w:rsidR="00EA32DD">
        <w:rPr>
          <w:iCs/>
        </w:rPr>
        <w:t xml:space="preserve">ement that the </w:t>
      </w:r>
      <w:r w:rsidR="00A76430">
        <w:rPr>
          <w:iCs/>
        </w:rPr>
        <w:t xml:space="preserve">credit </w:t>
      </w:r>
      <w:r w:rsidR="00EA32DD">
        <w:rPr>
          <w:iCs/>
        </w:rPr>
        <w:t xml:space="preserve">rating information </w:t>
      </w:r>
      <w:r w:rsidR="00A35321">
        <w:rPr>
          <w:iCs/>
        </w:rPr>
        <w:t>include</w:t>
      </w:r>
      <w:r w:rsidR="00EA32DD">
        <w:rPr>
          <w:iCs/>
        </w:rPr>
        <w:t xml:space="preserve"> an</w:t>
      </w:r>
      <w:r w:rsidR="00F24753">
        <w:rPr>
          <w:iCs/>
        </w:rPr>
        <w:t xml:space="preserve"> </w:t>
      </w:r>
      <w:r w:rsidR="003265E4">
        <w:rPr>
          <w:iCs/>
        </w:rPr>
        <w:t>attestation</w:t>
      </w:r>
      <w:r w:rsidR="00F632D7">
        <w:rPr>
          <w:iCs/>
        </w:rPr>
        <w:t xml:space="preserve"> </w:t>
      </w:r>
      <w:r w:rsidR="00F43B89">
        <w:rPr>
          <w:iCs/>
        </w:rPr>
        <w:t xml:space="preserve">signed by </w:t>
      </w:r>
      <w:r w:rsidR="005334E6">
        <w:rPr>
          <w:iCs/>
        </w:rPr>
        <w:t xml:space="preserve">a </w:t>
      </w:r>
      <w:r w:rsidR="00F43B89">
        <w:rPr>
          <w:iCs/>
        </w:rPr>
        <w:t>representative of the NRSRO</w:t>
      </w:r>
      <w:r w:rsidR="00D178E8">
        <w:rPr>
          <w:iCs/>
        </w:rPr>
        <w:t>,</w:t>
      </w:r>
      <w:r w:rsidR="00F43B89">
        <w:rPr>
          <w:iCs/>
        </w:rPr>
        <w:t xml:space="preserve"> </w:t>
      </w:r>
      <w:r w:rsidR="00E03D38">
        <w:rPr>
          <w:iCs/>
        </w:rPr>
        <w:t xml:space="preserve">promotes </w:t>
      </w:r>
      <w:r w:rsidR="00F632D7">
        <w:rPr>
          <w:iCs/>
        </w:rPr>
        <w:t xml:space="preserve">enhanced integrity in the production of </w:t>
      </w:r>
      <w:r w:rsidR="00702269">
        <w:rPr>
          <w:iCs/>
        </w:rPr>
        <w:t xml:space="preserve">the </w:t>
      </w:r>
      <w:r w:rsidR="00F632D7">
        <w:rPr>
          <w:iCs/>
        </w:rPr>
        <w:t>credit ratings.</w:t>
      </w:r>
      <w:r>
        <w:rPr>
          <w:rStyle w:val="FootnoteReference"/>
          <w:iCs/>
        </w:rPr>
        <w:footnoteReference w:id="18"/>
      </w:r>
      <w:r w:rsidR="00F632D7">
        <w:rPr>
          <w:iCs/>
        </w:rPr>
        <w:t xml:space="preserve"> </w:t>
      </w:r>
      <w:r w:rsidR="00D5089A">
        <w:rPr>
          <w:iCs/>
        </w:rPr>
        <w:t xml:space="preserve"> </w:t>
      </w:r>
    </w:p>
    <w:p w:rsidR="00662CEE" w:rsidP="00662CEE" w14:paraId="753EDD5C" w14:textId="77777777"/>
    <w:p w:rsidR="00662CEE" w:rsidRPr="00662CEE" w:rsidP="00734D6F" w14:paraId="07BEFF12" w14:textId="5750E8F2">
      <w:pPr>
        <w:ind w:left="90" w:firstLine="720"/>
      </w:pPr>
      <w:r w:rsidRPr="00662CEE">
        <w:t>The</w:t>
      </w:r>
      <w:r w:rsidR="0041577B">
        <w:t xml:space="preserve"> </w:t>
      </w:r>
      <w:r w:rsidRPr="00662CEE">
        <w:t xml:space="preserve">rating histories </w:t>
      </w:r>
      <w:r w:rsidR="008C0340">
        <w:t xml:space="preserve">required to be disclosed by Rule 17g-7(b) </w:t>
      </w:r>
      <w:r w:rsidRPr="00662CEE">
        <w:t xml:space="preserve">may be used by investors and other users of credit ratings to evaluate the performance of </w:t>
      </w:r>
      <w:r w:rsidR="00D07DE7">
        <w:t>NRSROs’</w:t>
      </w:r>
      <w:r w:rsidRPr="00662CEE">
        <w:t xml:space="preserve"> credit ratings.</w:t>
      </w:r>
      <w:r>
        <w:rPr>
          <w:vertAlign w:val="superscript"/>
        </w:rPr>
        <w:footnoteReference w:id="19"/>
      </w:r>
      <w:r w:rsidRPr="00662CEE">
        <w:t xml:space="preserve">  </w:t>
      </w:r>
      <w:r w:rsidR="00BE1D51">
        <w:t xml:space="preserve">This </w:t>
      </w:r>
      <w:r w:rsidR="00D94CA2">
        <w:t xml:space="preserve">may </w:t>
      </w:r>
      <w:r w:rsidR="00E04550">
        <w:t>foster</w:t>
      </w:r>
      <w:r w:rsidR="00CB13DC">
        <w:t xml:space="preserve"> </w:t>
      </w:r>
      <w:r w:rsidRPr="00662CEE">
        <w:t>accountability, transparency, and competition</w:t>
      </w:r>
      <w:r w:rsidR="00190F3B">
        <w:t xml:space="preserve"> </w:t>
      </w:r>
      <w:r w:rsidR="0076496C">
        <w:t xml:space="preserve">across </w:t>
      </w:r>
      <w:r w:rsidR="00190F3B">
        <w:t>NRSROs</w:t>
      </w:r>
      <w:r w:rsidRPr="00662CEE">
        <w:t>.</w:t>
      </w:r>
      <w:r>
        <w:rPr>
          <w:vertAlign w:val="superscript"/>
        </w:rPr>
        <w:footnoteReference w:id="20"/>
      </w:r>
      <w:r w:rsidRPr="00662CEE">
        <w:t xml:space="preserve">  </w:t>
      </w:r>
      <w:r w:rsidR="00EF09ED">
        <w:t>Commission staff</w:t>
      </w:r>
      <w:r w:rsidRPr="00662CEE">
        <w:t xml:space="preserve"> may</w:t>
      </w:r>
      <w:r w:rsidR="00213CBB">
        <w:t xml:space="preserve"> also</w:t>
      </w:r>
      <w:r w:rsidRPr="00662CEE">
        <w:t xml:space="preserve"> use the </w:t>
      </w:r>
      <w:r w:rsidR="00A1150E">
        <w:t xml:space="preserve">rating histories and other </w:t>
      </w:r>
      <w:r w:rsidR="004A759E">
        <w:t xml:space="preserve">required </w:t>
      </w:r>
      <w:r w:rsidR="00E253D7">
        <w:t xml:space="preserve">rating </w:t>
      </w:r>
      <w:r w:rsidRPr="00662CEE">
        <w:t xml:space="preserve">information </w:t>
      </w:r>
      <w:r w:rsidR="00036AEF">
        <w:t>i</w:t>
      </w:r>
      <w:r w:rsidR="008F20B4">
        <w:t>n</w:t>
      </w:r>
      <w:r w:rsidRPr="00662CEE">
        <w:t xml:space="preserve"> its oversight function.</w:t>
      </w:r>
    </w:p>
    <w:p w:rsidR="00E21B7E" w:rsidRPr="00CC42A3" w:rsidP="00700951" w14:paraId="3C6DF06C" w14:textId="77777777">
      <w:pPr>
        <w:pStyle w:val="ListParagraph"/>
        <w:ind w:left="0" w:firstLine="720"/>
      </w:pPr>
    </w:p>
    <w:p w:rsidR="009E493C" w:rsidRPr="00CC42A3" w:rsidP="00850692" w14:paraId="60AD2B49" w14:textId="77777777">
      <w:pPr>
        <w:pStyle w:val="ListParagraph"/>
        <w:numPr>
          <w:ilvl w:val="0"/>
          <w:numId w:val="2"/>
        </w:numPr>
        <w:ind w:left="0" w:firstLine="0"/>
        <w:rPr>
          <w:b/>
        </w:rPr>
      </w:pPr>
      <w:r w:rsidRPr="00CC42A3">
        <w:rPr>
          <w:b/>
        </w:rPr>
        <w:t>Consideration Given to Information Technology</w:t>
      </w:r>
    </w:p>
    <w:p w:rsidR="00E21B7E" w:rsidRPr="00CC42A3" w:rsidP="00700951" w14:paraId="6E62775E" w14:textId="77777777">
      <w:pPr>
        <w:pStyle w:val="ListParagraph"/>
        <w:tabs>
          <w:tab w:val="left" w:pos="-720"/>
          <w:tab w:val="left" w:pos="720"/>
        </w:tabs>
        <w:suppressAutoHyphens/>
        <w:ind w:left="0"/>
      </w:pPr>
    </w:p>
    <w:p w:rsidR="00342007" w:rsidRPr="00CC42A3" w:rsidP="00B070AD" w14:paraId="528A47E9" w14:textId="2EA231AD">
      <w:pPr>
        <w:ind w:left="90" w:firstLine="720"/>
      </w:pPr>
      <w:r>
        <w:t xml:space="preserve">NRSROs </w:t>
      </w:r>
      <w:r w:rsidR="00F40089">
        <w:t>may use</w:t>
      </w:r>
      <w:r>
        <w:t xml:space="preserve"> </w:t>
      </w:r>
      <w:r w:rsidRPr="00250FF7" w:rsidR="00250FF7">
        <w:t>computers</w:t>
      </w:r>
      <w:r w:rsidR="00AF174C">
        <w:t xml:space="preserve">, </w:t>
      </w:r>
      <w:r w:rsidRPr="00250FF7" w:rsidR="00250FF7">
        <w:t>mechanical devices</w:t>
      </w:r>
      <w:r w:rsidR="00666901">
        <w:t>,</w:t>
      </w:r>
      <w:r w:rsidR="00AF174C">
        <w:t xml:space="preserve"> or </w:t>
      </w:r>
      <w:r w:rsidR="00EA61B3">
        <w:t xml:space="preserve">other </w:t>
      </w:r>
      <w:r w:rsidR="00AF174C">
        <w:t>programmatic solutions</w:t>
      </w:r>
      <w:r w:rsidR="004F4380">
        <w:t xml:space="preserve"> </w:t>
      </w:r>
      <w:r w:rsidR="00126A3A">
        <w:t xml:space="preserve">to </w:t>
      </w:r>
      <w:r w:rsidR="004F4380">
        <w:t>generat</w:t>
      </w:r>
      <w:r w:rsidR="00126A3A">
        <w:t>e</w:t>
      </w:r>
      <w:r w:rsidR="00DF351D">
        <w:t xml:space="preserve"> and disclos</w:t>
      </w:r>
      <w:r w:rsidR="00126A3A">
        <w:t>e</w:t>
      </w:r>
      <w:r w:rsidR="00DF351D">
        <w:t xml:space="preserve"> rating information</w:t>
      </w:r>
      <w:r w:rsidR="00730F72">
        <w:t xml:space="preserve"> </w:t>
      </w:r>
      <w:r w:rsidR="00DB23D9">
        <w:t>required by</w:t>
      </w:r>
      <w:r w:rsidR="00730F72">
        <w:t xml:space="preserve"> Rule 17g-7(a)</w:t>
      </w:r>
      <w:r w:rsidR="00F40089">
        <w:t xml:space="preserve">, </w:t>
      </w:r>
      <w:r w:rsidR="00573FB2">
        <w:t>which may reduce the burden of compliance</w:t>
      </w:r>
      <w:r w:rsidR="00E6548E">
        <w:t>.</w:t>
      </w:r>
      <w:r w:rsidR="00DF351D">
        <w:t xml:space="preserve">  </w:t>
      </w:r>
      <w:r w:rsidR="001C54FC">
        <w:t>Commission staff</w:t>
      </w:r>
      <w:r w:rsidR="00965C4E">
        <w:t xml:space="preserve"> also</w:t>
      </w:r>
      <w:r w:rsidR="001C54FC">
        <w:t xml:space="preserve"> believes that i</w:t>
      </w:r>
      <w:r w:rsidRPr="00E8227F" w:rsidR="00E8227F">
        <w:t xml:space="preserve">mprovements in data processing technology </w:t>
      </w:r>
      <w:r w:rsidR="00EB0E88">
        <w:t xml:space="preserve">may </w:t>
      </w:r>
      <w:r w:rsidR="00636B1D">
        <w:t xml:space="preserve">facilitate the publishing </w:t>
      </w:r>
      <w:r w:rsidR="00D16526">
        <w:t xml:space="preserve">of </w:t>
      </w:r>
      <w:r w:rsidR="00965C4E">
        <w:t>rating histories</w:t>
      </w:r>
      <w:r w:rsidR="00A4110C">
        <w:t>, as required by Rule 17g-7(b)</w:t>
      </w:r>
      <w:r w:rsidR="00880B24">
        <w:t xml:space="preserve">. </w:t>
      </w:r>
      <w:r w:rsidRPr="00E8227F" w:rsidR="00E8227F">
        <w:t xml:space="preserve">  </w:t>
      </w:r>
    </w:p>
    <w:p w:rsidR="00342007" w:rsidRPr="00CC42A3" w:rsidP="009E493C" w14:paraId="1DF58BBD" w14:textId="77777777">
      <w:pPr>
        <w:pStyle w:val="ListParagraph"/>
        <w:tabs>
          <w:tab w:val="left" w:pos="-720"/>
          <w:tab w:val="left" w:pos="720"/>
        </w:tabs>
        <w:suppressAutoHyphens/>
        <w:ind w:left="0" w:hanging="360"/>
      </w:pPr>
    </w:p>
    <w:p w:rsidR="009E493C" w:rsidRPr="00CC42A3" w:rsidP="00850692" w14:paraId="6FFEA02F" w14:textId="77777777">
      <w:pPr>
        <w:pStyle w:val="ListParagraph"/>
        <w:numPr>
          <w:ilvl w:val="0"/>
          <w:numId w:val="2"/>
        </w:numPr>
        <w:ind w:left="0" w:firstLine="0"/>
        <w:rPr>
          <w:b/>
        </w:rPr>
      </w:pPr>
      <w:r w:rsidRPr="00CC42A3">
        <w:rPr>
          <w:b/>
        </w:rPr>
        <w:t xml:space="preserve"> Duplication </w:t>
      </w:r>
    </w:p>
    <w:p w:rsidR="009A33B2" w:rsidRPr="00CC42A3" w:rsidP="009A33B2" w14:paraId="165412B4" w14:textId="77777777">
      <w:pPr>
        <w:pStyle w:val="ListParagraph"/>
        <w:tabs>
          <w:tab w:val="left" w:pos="-720"/>
          <w:tab w:val="left" w:pos="286"/>
          <w:tab w:val="left" w:pos="403"/>
        </w:tabs>
        <w:suppressAutoHyphens/>
        <w:ind w:left="0"/>
      </w:pPr>
    </w:p>
    <w:p w:rsidR="00663B5A" w:rsidP="003D4F7B" w14:paraId="325E3EF6" w14:textId="7CEF42F0">
      <w:pPr>
        <w:spacing w:before="29"/>
        <w:ind w:right="-20" w:firstLine="720"/>
      </w:pPr>
      <w:r>
        <w:rPr>
          <w:spacing w:val="-3"/>
        </w:rPr>
        <w:t>Commission staff</w:t>
      </w:r>
      <w:r w:rsidR="00E87F11">
        <w:rPr>
          <w:spacing w:val="-3"/>
        </w:rPr>
        <w:t xml:space="preserve"> has not identified any duplication with respect to the information required by Rule</w:t>
      </w:r>
      <w:r>
        <w:rPr>
          <w:spacing w:val="-1"/>
        </w:rPr>
        <w:t xml:space="preserve"> </w:t>
      </w:r>
      <w:r>
        <w:t>17</w:t>
      </w:r>
      <w:r>
        <w:rPr>
          <w:spacing w:val="-2"/>
        </w:rPr>
        <w:t>g</w:t>
      </w:r>
      <w:r>
        <w:rPr>
          <w:spacing w:val="-1"/>
        </w:rPr>
        <w:t>-</w:t>
      </w:r>
      <w:r>
        <w:t>7.</w:t>
      </w:r>
      <w:r w:rsidR="0015222E">
        <w:t xml:space="preserve">  </w:t>
      </w:r>
    </w:p>
    <w:p w:rsidR="009A33B2" w:rsidRPr="00CC42A3" w:rsidP="00663B5A" w14:paraId="64A2265A" w14:textId="77777777">
      <w:pPr>
        <w:pStyle w:val="ListParagraph"/>
        <w:tabs>
          <w:tab w:val="left" w:pos="-720"/>
          <w:tab w:val="left" w:pos="286"/>
          <w:tab w:val="left" w:pos="403"/>
        </w:tabs>
        <w:suppressAutoHyphens/>
        <w:ind w:left="0" w:hanging="360"/>
      </w:pPr>
      <w:r w:rsidRPr="00CC42A3">
        <w:tab/>
      </w:r>
    </w:p>
    <w:p w:rsidR="009E493C" w:rsidRPr="00CC42A3" w:rsidP="00850692" w14:paraId="3BA6335F" w14:textId="77777777">
      <w:pPr>
        <w:pStyle w:val="ListParagraph"/>
        <w:numPr>
          <w:ilvl w:val="0"/>
          <w:numId w:val="2"/>
        </w:numPr>
        <w:ind w:left="0" w:firstLine="0"/>
        <w:rPr>
          <w:b/>
        </w:rPr>
      </w:pPr>
      <w:r w:rsidRPr="00CC42A3">
        <w:rPr>
          <w:b/>
        </w:rPr>
        <w:t xml:space="preserve"> Effect on Small Entities</w:t>
      </w:r>
    </w:p>
    <w:p w:rsidR="009E493C" w:rsidRPr="00CC42A3" w:rsidP="00FB1A9E" w14:paraId="720D93D5"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93048C" w:rsidP="00B812B1" w14:paraId="0DED47CC" w14:textId="647351DC">
      <w:r w:rsidRPr="00CC42A3">
        <w:tab/>
      </w:r>
      <w:r w:rsidRPr="005B3DF8" w:rsidR="00F676AA">
        <w:t xml:space="preserve"> </w:t>
      </w:r>
      <w:r w:rsidR="00064E5A">
        <w:t>N</w:t>
      </w:r>
      <w:r w:rsidRPr="006143AC" w:rsidR="006143AC">
        <w:t>one of the currently registered NRSROs</w:t>
      </w:r>
      <w:r w:rsidR="001D447B">
        <w:t xml:space="preserve">, which </w:t>
      </w:r>
      <w:r w:rsidR="00810FE6">
        <w:t>are</w:t>
      </w:r>
      <w:r w:rsidR="001D447B">
        <w:t xml:space="preserve"> </w:t>
      </w:r>
      <w:r w:rsidR="008743CB">
        <w:t>subject to the collection of information under Rule 17g-7</w:t>
      </w:r>
      <w:r w:rsidR="001D447B">
        <w:t>,</w:t>
      </w:r>
      <w:r w:rsidRPr="006143AC" w:rsidR="006143AC">
        <w:t xml:space="preserve"> meets the definition of small entity.</w:t>
      </w:r>
      <w:r>
        <w:rPr>
          <w:rStyle w:val="FootnoteReference"/>
        </w:rPr>
        <w:footnoteReference w:id="21"/>
      </w:r>
      <w:r w:rsidR="0086746F">
        <w:t xml:space="preserve"> </w:t>
      </w:r>
      <w:r w:rsidRPr="006143AC" w:rsidR="006143AC">
        <w:t xml:space="preserve">   </w:t>
      </w:r>
    </w:p>
    <w:p w:rsidR="0093048C" w:rsidRPr="00CC42A3" w:rsidP="003944EC" w14:paraId="62E8027F" w14:textId="77777777"/>
    <w:p w:rsidR="009E493C" w:rsidRPr="00CC42A3" w:rsidP="00850692" w14:paraId="79B4B479" w14:textId="77777777">
      <w:pPr>
        <w:pStyle w:val="ListParagraph"/>
        <w:numPr>
          <w:ilvl w:val="0"/>
          <w:numId w:val="2"/>
        </w:numPr>
        <w:ind w:left="0" w:firstLine="0"/>
        <w:rPr>
          <w:b/>
        </w:rPr>
      </w:pPr>
      <w:r w:rsidRPr="00CC42A3">
        <w:rPr>
          <w:b/>
        </w:rPr>
        <w:t xml:space="preserve">Consequences of Not Conducting Collection </w:t>
      </w:r>
    </w:p>
    <w:p w:rsidR="00B55BEC" w:rsidRPr="00CC42A3" w:rsidP="00B55BEC" w14:paraId="247C8D34"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663B5A" w:rsidP="00926C44" w14:paraId="5941D87C" w14:textId="03453A5D">
      <w:pPr>
        <w:spacing w:before="29" w:line="242" w:lineRule="auto"/>
        <w:ind w:left="100" w:right="478" w:firstLine="620"/>
      </w:pPr>
      <w:r>
        <w:t>Without</w:t>
      </w:r>
      <w:r w:rsidR="00ED6340">
        <w:t xml:space="preserve"> the </w:t>
      </w:r>
      <w:r>
        <w:t xml:space="preserve">collection of </w:t>
      </w:r>
      <w:r w:rsidR="00ED6340">
        <w:t xml:space="preserve">information under </w:t>
      </w:r>
      <w:r w:rsidR="006B63D7">
        <w:t>Rule 17g-7</w:t>
      </w:r>
      <w:r>
        <w:t xml:space="preserve">, </w:t>
      </w:r>
      <w:r w:rsidR="00F37746">
        <w:t xml:space="preserve">information about </w:t>
      </w:r>
      <w:r w:rsidR="00280602">
        <w:t>NRSRO</w:t>
      </w:r>
      <w:r w:rsidR="00906556">
        <w:t>s’</w:t>
      </w:r>
      <w:r w:rsidR="00280602">
        <w:t xml:space="preserve"> </w:t>
      </w:r>
      <w:r w:rsidR="00F37746">
        <w:t>credit rating</w:t>
      </w:r>
      <w:r w:rsidR="00E1411F">
        <w:t>s</w:t>
      </w:r>
      <w:r w:rsidR="00F37746">
        <w:t xml:space="preserve"> would be less readily available.  </w:t>
      </w:r>
      <w:r w:rsidR="00E1411F">
        <w:t xml:space="preserve">Users </w:t>
      </w:r>
      <w:r w:rsidR="00D76BD1">
        <w:t>of rating</w:t>
      </w:r>
      <w:r w:rsidR="00CA4A40">
        <w:t>s</w:t>
      </w:r>
      <w:r w:rsidR="00D76BD1">
        <w:t xml:space="preserve"> would have </w:t>
      </w:r>
      <w:r w:rsidR="00E56DCE">
        <w:t>less</w:t>
      </w:r>
      <w:r w:rsidR="00D76BD1">
        <w:t xml:space="preserve"> visibility </w:t>
      </w:r>
      <w:r w:rsidR="00077AED">
        <w:t xml:space="preserve">into </w:t>
      </w:r>
      <w:r w:rsidR="00316823">
        <w:t xml:space="preserve">the </w:t>
      </w:r>
      <w:r w:rsidR="00641D5D">
        <w:t xml:space="preserve">NRSROs’ </w:t>
      </w:r>
      <w:r w:rsidR="00FF1D6D">
        <w:t xml:space="preserve">rating process and </w:t>
      </w:r>
      <w:r w:rsidR="00AF4474">
        <w:t>the</w:t>
      </w:r>
      <w:r w:rsidR="00945B8E">
        <w:t xml:space="preserve"> factors </w:t>
      </w:r>
      <w:r w:rsidR="000F4F68">
        <w:t xml:space="preserve">used </w:t>
      </w:r>
      <w:r w:rsidR="001B06EB">
        <w:t xml:space="preserve">in </w:t>
      </w:r>
      <w:r w:rsidR="00673B15">
        <w:t>the rating determination</w:t>
      </w:r>
      <w:r w:rsidR="00290AEE">
        <w:t xml:space="preserve">.  </w:t>
      </w:r>
      <w:r w:rsidR="00F52CCD">
        <w:t>As a result, i</w:t>
      </w:r>
      <w:r w:rsidR="00977258">
        <w:t xml:space="preserve">t may be harder for users of </w:t>
      </w:r>
      <w:r w:rsidR="001D5EC2">
        <w:t xml:space="preserve">credit </w:t>
      </w:r>
      <w:r w:rsidR="00977258">
        <w:t>ratings to understand</w:t>
      </w:r>
      <w:r w:rsidR="0044047E">
        <w:t xml:space="preserve"> </w:t>
      </w:r>
      <w:r w:rsidR="0053425A">
        <w:t xml:space="preserve">NRSRO </w:t>
      </w:r>
      <w:r w:rsidR="0044047E">
        <w:t xml:space="preserve">ratings </w:t>
      </w:r>
      <w:r w:rsidR="00CA2638">
        <w:t xml:space="preserve">and </w:t>
      </w:r>
      <w:r w:rsidR="007E701D">
        <w:t>what the</w:t>
      </w:r>
      <w:r w:rsidR="004A4793">
        <w:t>ir content</w:t>
      </w:r>
      <w:r w:rsidR="007E701D">
        <w:t xml:space="preserve"> </w:t>
      </w:r>
      <w:r w:rsidR="00AA68F7">
        <w:t>represents</w:t>
      </w:r>
      <w:r w:rsidR="00730663">
        <w:t xml:space="preserve"> and to</w:t>
      </w:r>
      <w:r w:rsidR="00FD776E">
        <w:t xml:space="preserve"> compare the performance of </w:t>
      </w:r>
      <w:r w:rsidR="00720A85">
        <w:t xml:space="preserve">credit </w:t>
      </w:r>
      <w:r w:rsidR="00FD776E">
        <w:t xml:space="preserve">ratings across NRSROs.  </w:t>
      </w:r>
      <w:r w:rsidR="009161A8">
        <w:t xml:space="preserve">  </w:t>
      </w:r>
      <w:r w:rsidR="00C64B36">
        <w:t xml:space="preserve"> </w:t>
      </w:r>
    </w:p>
    <w:p w:rsidR="00B55BEC" w:rsidRPr="00CC42A3" w:rsidP="00A462F9" w14:paraId="4E1AE9A8"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p>
    <w:p w:rsidR="009E493C" w:rsidRPr="00CC42A3" w:rsidP="00850692" w14:paraId="7982BF59" w14:textId="77777777">
      <w:pPr>
        <w:pStyle w:val="ListParagraph"/>
        <w:numPr>
          <w:ilvl w:val="0"/>
          <w:numId w:val="2"/>
        </w:numPr>
        <w:ind w:left="0" w:firstLine="0"/>
        <w:rPr>
          <w:b/>
        </w:rPr>
      </w:pPr>
      <w:r w:rsidRPr="00CC42A3">
        <w:rPr>
          <w:b/>
        </w:rPr>
        <w:t xml:space="preserve">Inconsistencies with Guidelines in 5 CFR </w:t>
      </w:r>
      <w:r w:rsidRPr="00CC42A3" w:rsidR="00914D09">
        <w:rPr>
          <w:b/>
        </w:rPr>
        <w:t>1320.</w:t>
      </w:r>
      <w:r w:rsidR="00914D09">
        <w:rPr>
          <w:b/>
        </w:rPr>
        <w:t>5</w:t>
      </w:r>
      <w:r w:rsidRPr="00CC42A3" w:rsidR="00914D09">
        <w:rPr>
          <w:b/>
        </w:rPr>
        <w:t>(d)</w:t>
      </w:r>
      <w:r w:rsidR="00914D09">
        <w:rPr>
          <w:b/>
        </w:rPr>
        <w:t>(2)</w:t>
      </w:r>
    </w:p>
    <w:p w:rsidR="00977D1F" w:rsidP="009E493C" w14:paraId="27F3BA10"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E94C96" w:rsidRPr="00CC42A3" w:rsidP="00926C44" w14:paraId="4C35ADAF" w14:textId="77777777">
      <w:pPr>
        <w:pStyle w:val="ListParagraph"/>
        <w:tabs>
          <w:tab w:val="left" w:pos="-4466"/>
          <w:tab w:val="left" w:pos="-3460"/>
          <w:tab w:val="left" w:pos="-3343"/>
        </w:tabs>
        <w:suppressAutoHyphens/>
        <w:ind w:left="0"/>
      </w:pPr>
      <w:r>
        <w:tab/>
      </w:r>
      <w:r w:rsidRPr="00977D1F" w:rsidR="00977D1F">
        <w:t>There are no special circumstances. This collection is consistent with the guidelines in 5 CFR 1320.5(d).</w:t>
      </w:r>
    </w:p>
    <w:p w:rsidR="00E94C96" w:rsidRPr="00CC42A3" w:rsidP="009E493C" w14:paraId="4255036B"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rsidRPr="00CC42A3">
        <w:tab/>
      </w:r>
    </w:p>
    <w:p w:rsidR="009E493C" w:rsidRPr="00BB67B4" w:rsidP="00850692" w14:paraId="5270E87A" w14:textId="77777777">
      <w:pPr>
        <w:pStyle w:val="ListParagraph"/>
        <w:numPr>
          <w:ilvl w:val="0"/>
          <w:numId w:val="2"/>
        </w:numPr>
        <w:ind w:left="0" w:firstLine="0"/>
        <w:rPr>
          <w:b/>
        </w:rPr>
      </w:pPr>
      <w:r w:rsidRPr="00BB67B4">
        <w:rPr>
          <w:b/>
        </w:rPr>
        <w:t>Consultations Outside the Agency</w:t>
      </w:r>
    </w:p>
    <w:p w:rsidR="00B71B11" w:rsidRPr="00CC42A3" w:rsidP="009E493C" w14:paraId="50936A89" w14:textId="77777777">
      <w:pPr>
        <w:ind w:left="720"/>
      </w:pPr>
    </w:p>
    <w:p w:rsidR="00843B91" w:rsidP="00374B2F" w14:paraId="7D21395C" w14:textId="3BBC8DE4">
      <w:pPr>
        <w:ind w:firstLine="720"/>
      </w:pPr>
      <w:r>
        <w:t xml:space="preserve">The </w:t>
      </w:r>
      <w:r w:rsidR="00813919">
        <w:t xml:space="preserve">SEC’s </w:t>
      </w:r>
      <w:r>
        <w:t xml:space="preserve">Office of Credit Ratings (“OCR”), which administers Rule 17g-7, </w:t>
      </w:r>
      <w:r w:rsidR="00826337">
        <w:t xml:space="preserve">conducts annual examinations of NRSROs under Section 15E(p)(3)(A) of the Exchange Act and </w:t>
      </w:r>
      <w:r w:rsidR="00AB1433">
        <w:t xml:space="preserve">engages </w:t>
      </w:r>
      <w:r w:rsidR="00AB1433">
        <w:t>representatives of the NRSRO industry through meetings and information exchanges</w:t>
      </w:r>
      <w:r w:rsidRPr="00A86564">
        <w:t>.</w:t>
      </w:r>
      <w:r>
        <w:t xml:space="preserve">  </w:t>
      </w:r>
      <w:r w:rsidRPr="00A86564">
        <w:t xml:space="preserve">This provides OCR staff with the opportunity to </w:t>
      </w:r>
      <w:r w:rsidR="00CF2BC6">
        <w:t>determine,</w:t>
      </w:r>
      <w:r w:rsidRPr="00A86564">
        <w:t xml:space="preserve"> and act upon</w:t>
      </w:r>
      <w:r w:rsidR="00CF2BC6">
        <w:t>,</w:t>
      </w:r>
      <w:r w:rsidRPr="00A86564">
        <w:t xml:space="preserve"> paperwork burdens imposed upon </w:t>
      </w:r>
      <w:r>
        <w:t xml:space="preserve">by </w:t>
      </w:r>
      <w:r w:rsidR="00C85FCF">
        <w:t>the rule</w:t>
      </w:r>
      <w:r w:rsidRPr="00A86564">
        <w:t xml:space="preserve">.  </w:t>
      </w:r>
    </w:p>
    <w:p w:rsidR="00843B91" w:rsidP="00843B91" w14:paraId="7EA27C86" w14:textId="77777777">
      <w:r>
        <w:tab/>
      </w:r>
    </w:p>
    <w:p w:rsidR="00843B91" w:rsidP="00843B91" w14:paraId="3A90157E" w14:textId="6BE0CEC0">
      <w:pPr>
        <w:ind w:firstLine="720"/>
        <w:rPr>
          <w:position w:val="-1"/>
        </w:rPr>
      </w:pPr>
      <w:r w:rsidRPr="00265540">
        <w:t xml:space="preserve">The required notice with a 60-day comment period soliciting comments on this collection of information was published in the Federal Register </w:t>
      </w:r>
      <w:r>
        <w:t xml:space="preserve">on </w:t>
      </w:r>
      <w:r w:rsidR="000217FA">
        <w:t>May 7, 2024</w:t>
      </w:r>
      <w:r>
        <w:t>.</w:t>
      </w:r>
      <w:r>
        <w:rPr>
          <w:rStyle w:val="FootnoteReference"/>
        </w:rPr>
        <w:footnoteReference w:id="22"/>
      </w:r>
      <w:r>
        <w:t xml:space="preserve">  </w:t>
      </w:r>
      <w:r>
        <w:rPr>
          <w:position w:val="-1"/>
        </w:rPr>
        <w:t>The Commission did not receive</w:t>
      </w:r>
      <w:r w:rsidR="009F0793">
        <w:rPr>
          <w:position w:val="-1"/>
        </w:rPr>
        <w:t xml:space="preserve"> </w:t>
      </w:r>
      <w:r>
        <w:rPr>
          <w:position w:val="-1"/>
        </w:rPr>
        <w:t xml:space="preserve">comments on its estimates of the </w:t>
      </w:r>
      <w:r w:rsidRPr="00FA5C05">
        <w:rPr>
          <w:position w:val="-1"/>
        </w:rPr>
        <w:t xml:space="preserve">paperwork burdens </w:t>
      </w:r>
      <w:r>
        <w:rPr>
          <w:position w:val="-1"/>
        </w:rPr>
        <w:t xml:space="preserve">associated with </w:t>
      </w:r>
      <w:r w:rsidRPr="00BB5C4A">
        <w:rPr>
          <w:position w:val="-1"/>
        </w:rPr>
        <w:t>Rule 17g-</w:t>
      </w:r>
      <w:r w:rsidR="00C770ED">
        <w:rPr>
          <w:position w:val="-1"/>
        </w:rPr>
        <w:t>7</w:t>
      </w:r>
      <w:r>
        <w:rPr>
          <w:position w:val="-1"/>
        </w:rPr>
        <w:t xml:space="preserve">.  </w:t>
      </w:r>
    </w:p>
    <w:p w:rsidR="00D27022" w:rsidRPr="00CC42A3" w:rsidP="001C57DD" w14:paraId="0B28AE05" w14:textId="77777777">
      <w:pPr>
        <w:spacing w:before="29" w:line="242" w:lineRule="auto"/>
        <w:ind w:left="100" w:right="50" w:firstLine="720"/>
        <w:rPr>
          <w:b/>
        </w:rPr>
      </w:pPr>
    </w:p>
    <w:p w:rsidR="009E493C" w:rsidRPr="00CC42A3" w:rsidP="00850692" w14:paraId="32A8A77F" w14:textId="77777777">
      <w:pPr>
        <w:pStyle w:val="ListParagraph"/>
        <w:numPr>
          <w:ilvl w:val="0"/>
          <w:numId w:val="2"/>
        </w:numPr>
        <w:ind w:left="0" w:firstLine="0"/>
        <w:rPr>
          <w:b/>
        </w:rPr>
      </w:pPr>
      <w:r w:rsidRPr="00CC42A3">
        <w:rPr>
          <w:b/>
        </w:rPr>
        <w:t>Payment or Gift</w:t>
      </w:r>
    </w:p>
    <w:p w:rsidR="00B71B11" w:rsidRPr="00CC42A3" w:rsidP="00B71B11" w14:paraId="0B2E7706"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009E493C" w:rsidRPr="00CC42A3" w:rsidP="00B71B11" w14:paraId="1098EA63" w14:textId="18772AD4">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rsidRPr="00CC42A3">
        <w:tab/>
      </w:r>
      <w:r w:rsidRPr="00CC42A3">
        <w:tab/>
      </w:r>
      <w:r w:rsidRPr="00CC42A3">
        <w:tab/>
      </w:r>
      <w:r w:rsidRPr="00CC42A3">
        <w:tab/>
      </w:r>
      <w:r w:rsidRPr="008932A9" w:rsidR="008932A9">
        <w:t xml:space="preserve">The Commission did not provide any payment or gift to respondents in connection with </w:t>
      </w:r>
      <w:r w:rsidR="006A14F3">
        <w:t>Rule 17g-7</w:t>
      </w:r>
      <w:r w:rsidRPr="008932A9" w:rsidR="008932A9">
        <w:t>.</w:t>
      </w:r>
    </w:p>
    <w:p w:rsidR="009E493C" w:rsidRPr="00CC42A3" w:rsidP="009E493C" w14:paraId="55649D33" w14:textId="77777777">
      <w:pPr>
        <w:ind w:hanging="360"/>
      </w:pPr>
    </w:p>
    <w:p w:rsidR="009E493C" w:rsidRPr="00CC42A3" w:rsidP="00850692" w14:paraId="0FEF8113" w14:textId="77777777">
      <w:pPr>
        <w:pStyle w:val="ListParagraph"/>
        <w:numPr>
          <w:ilvl w:val="0"/>
          <w:numId w:val="2"/>
        </w:numPr>
        <w:ind w:left="0" w:firstLine="0"/>
        <w:rPr>
          <w:b/>
        </w:rPr>
      </w:pPr>
      <w:r w:rsidRPr="00CC42A3">
        <w:rPr>
          <w:b/>
        </w:rPr>
        <w:t xml:space="preserve"> Confidentiality </w:t>
      </w:r>
    </w:p>
    <w:p w:rsidR="00B71B11" w:rsidRPr="00CC42A3" w:rsidP="00B71B11" w14:paraId="72377DAE"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662CEE" w:rsidP="00662CEE" w14:paraId="55DD7CDD" w14:textId="470D0D6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CC42A3">
        <w:tab/>
      </w:r>
      <w:r w:rsidRPr="00CC42A3">
        <w:tab/>
      </w:r>
      <w:r w:rsidRPr="00CC42A3">
        <w:tab/>
      </w:r>
      <w:r w:rsidRPr="00CC42A3">
        <w:tab/>
      </w:r>
      <w:r w:rsidR="00D13087">
        <w:t>Rating i</w:t>
      </w:r>
      <w:r w:rsidR="0093448E">
        <w:t xml:space="preserve">nformation disclosed </w:t>
      </w:r>
      <w:r w:rsidR="00B915F9">
        <w:t>under</w:t>
      </w:r>
      <w:r w:rsidR="0093448E">
        <w:t xml:space="preserve"> </w:t>
      </w:r>
      <w:r w:rsidR="008344A7">
        <w:t>Rule 17g-7</w:t>
      </w:r>
      <w:r w:rsidR="00736956">
        <w:t xml:space="preserve"> </w:t>
      </w:r>
      <w:r w:rsidR="008F78F1">
        <w:t xml:space="preserve">is not </w:t>
      </w:r>
      <w:r w:rsidR="00207726">
        <w:t>confidential.</w:t>
      </w:r>
      <w:r w:rsidR="00806014">
        <w:t xml:space="preserve"> </w:t>
      </w:r>
      <w:r w:rsidR="000619EA">
        <w:t xml:space="preserve"> </w:t>
      </w:r>
      <w:r w:rsidR="00B546FC">
        <w:t xml:space="preserve">Rule 17g-7(a) </w:t>
      </w:r>
      <w:r w:rsidR="00A0513C">
        <w:t>requir</w:t>
      </w:r>
      <w:r w:rsidR="007031C3">
        <w:t>es</w:t>
      </w:r>
      <w:r w:rsidR="00052DD4">
        <w:t xml:space="preserve"> </w:t>
      </w:r>
      <w:r w:rsidRPr="00662CEE">
        <w:t>NRSRO</w:t>
      </w:r>
      <w:r w:rsidR="00052DD4">
        <w:t>s</w:t>
      </w:r>
      <w:r w:rsidR="00EB69E0">
        <w:t xml:space="preserve"> to </w:t>
      </w:r>
      <w:r w:rsidR="00751437">
        <w:t>publish</w:t>
      </w:r>
      <w:r w:rsidR="000A3BC5">
        <w:t xml:space="preserve"> </w:t>
      </w:r>
      <w:r w:rsidR="000C7781">
        <w:t>the required</w:t>
      </w:r>
      <w:r w:rsidR="000A3BC5">
        <w:t xml:space="preserve"> information</w:t>
      </w:r>
      <w:r w:rsidR="00026D03">
        <w:t xml:space="preserve"> </w:t>
      </w:r>
      <w:r w:rsidR="009B519F">
        <w:t xml:space="preserve">in the same manner </w:t>
      </w:r>
      <w:r w:rsidR="000C7781">
        <w:t xml:space="preserve">as the related credit rating and to make it available </w:t>
      </w:r>
      <w:r w:rsidRPr="00662CEE">
        <w:t>to the same persons who can receive or access the credit rating.</w:t>
      </w:r>
      <w:r w:rsidR="004F4FBC">
        <w:t xml:space="preserve">  Rule 17g-7(b)</w:t>
      </w:r>
      <w:r w:rsidR="00931F9C">
        <w:t xml:space="preserve"> requires credit rating histories to be publicly disclosed.</w:t>
      </w:r>
    </w:p>
    <w:p w:rsidR="00020EDB" w:rsidP="00020EDB" w14:paraId="27A42838"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rsidR="005C5CB9" w:rsidP="00374B2F" w14:paraId="0E81CCA1" w14:textId="2CC71D4F">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ab/>
      </w:r>
      <w:r w:rsidR="000E1C3F">
        <w:tab/>
      </w:r>
      <w:r w:rsidR="000E1C3F">
        <w:tab/>
      </w:r>
      <w:r w:rsidR="00764262">
        <w:t>T</w:t>
      </w:r>
      <w:r>
        <w:t>he i</w:t>
      </w:r>
      <w:r w:rsidRPr="005D655F">
        <w:t>nformation collection</w:t>
      </w:r>
      <w:r w:rsidR="00764262">
        <w:t xml:space="preserve"> under Rule 17g-7</w:t>
      </w:r>
      <w:r w:rsidRPr="005D655F">
        <w:t xml:space="preserve"> does not </w:t>
      </w:r>
      <w:r w:rsidR="00DA4D11">
        <w:t xml:space="preserve">require the disclosure of </w:t>
      </w:r>
      <w:r w:rsidRPr="005D655F">
        <w:t xml:space="preserve">any Personally Identifiable Information (PII).  The Systems of Record Notice may be reviewed at </w:t>
      </w:r>
      <w:hyperlink r:id="rId9" w:history="1">
        <w:r>
          <w:rPr>
            <w:rStyle w:val="Hyperlink"/>
          </w:rPr>
          <w:t>https://www.sec.gov/oit/system-records-notices</w:t>
        </w:r>
      </w:hyperlink>
      <w:r w:rsidRPr="005D655F">
        <w:t xml:space="preserve">.  The Privacy Impact Assessment document for </w:t>
      </w:r>
      <w:r w:rsidRPr="00751110">
        <w:t xml:space="preserve">Electronic Data Gathering Analysis and Retrieval </w:t>
      </w:r>
      <w:r w:rsidRPr="005D655F">
        <w:t xml:space="preserve">may be reviewed at </w:t>
      </w:r>
      <w:hyperlink r:id="rId10" w:history="1">
        <w:r>
          <w:rPr>
            <w:rStyle w:val="Hyperlink"/>
          </w:rPr>
          <w:t>https://www.sec.gov/about/privacy/pia/pia-edgar.pdf</w:t>
        </w:r>
      </w:hyperlink>
      <w:r w:rsidRPr="005D655F">
        <w:t>.</w:t>
      </w:r>
    </w:p>
    <w:p w:rsidR="009E493C" w:rsidRPr="00CC42A3" w:rsidP="00662CEE" w14:paraId="2D0BFF7B"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9E493C" w:rsidRPr="00CC42A3" w:rsidP="00850692" w14:paraId="4054D951" w14:textId="77777777">
      <w:pPr>
        <w:pStyle w:val="ListParagraph"/>
        <w:numPr>
          <w:ilvl w:val="0"/>
          <w:numId w:val="2"/>
        </w:numPr>
        <w:ind w:left="0" w:firstLine="0"/>
        <w:rPr>
          <w:b/>
        </w:rPr>
      </w:pPr>
      <w:r w:rsidRPr="00CC42A3">
        <w:rPr>
          <w:b/>
        </w:rPr>
        <w:t>Sensitive Questions</w:t>
      </w:r>
    </w:p>
    <w:p w:rsidR="009E493C" w:rsidRPr="00CC42A3" w:rsidP="009E493C" w14:paraId="1221C4C8" w14:textId="77777777">
      <w:pPr>
        <w:ind w:hanging="360"/>
      </w:pPr>
    </w:p>
    <w:p w:rsidR="005D27E9" w:rsidRPr="00977D1F" w:rsidP="00B05C32" w14:paraId="3486E3A8" w14:textId="69098B2A">
      <w:pPr>
        <w:ind w:firstLine="720"/>
      </w:pPr>
      <w:r w:rsidRPr="00977D1F">
        <w:t xml:space="preserve">Not applicable. </w:t>
      </w:r>
      <w:r w:rsidR="00CD3838">
        <w:t xml:space="preserve"> </w:t>
      </w:r>
    </w:p>
    <w:p w:rsidR="004531A9" w:rsidRPr="00CC42A3" w:rsidP="005D27E9" w14:paraId="35D863F2" w14:textId="77777777"/>
    <w:p w:rsidR="008F44E7" w:rsidP="007E7735" w14:paraId="497F126E" w14:textId="77777777">
      <w:pPr>
        <w:pStyle w:val="ListParagraph"/>
        <w:numPr>
          <w:ilvl w:val="0"/>
          <w:numId w:val="2"/>
        </w:numPr>
        <w:ind w:left="0" w:firstLine="0"/>
        <w:rPr>
          <w:b/>
        </w:rPr>
      </w:pPr>
      <w:r w:rsidRPr="00CC42A3">
        <w:rPr>
          <w:b/>
        </w:rPr>
        <w:t>Burden of Information Collection</w:t>
      </w:r>
    </w:p>
    <w:p w:rsidR="00823F59" w:rsidRPr="0073135E" w:rsidP="005D6260" w14:paraId="2AF2E5CC" w14:textId="77777777">
      <w:pPr>
        <w:pStyle w:val="ListParagraph"/>
        <w:ind w:left="0"/>
      </w:pPr>
    </w:p>
    <w:p w:rsidR="009C66AD" w:rsidP="00961764" w14:paraId="7797A8D9" w14:textId="0175D143">
      <w:pPr>
        <w:ind w:firstLine="720"/>
        <w:rPr>
          <w:color w:val="000000"/>
        </w:rPr>
      </w:pPr>
      <w:r>
        <w:rPr>
          <w:color w:val="000000"/>
        </w:rPr>
        <w:t xml:space="preserve">For purposes of the Paperwork Reduction Act, Commission staff derives the hour burden </w:t>
      </w:r>
      <w:r w:rsidR="005261C3">
        <w:rPr>
          <w:color w:val="000000"/>
        </w:rPr>
        <w:t xml:space="preserve">for </w:t>
      </w:r>
      <w:r w:rsidRPr="007828CB" w:rsidR="007828CB">
        <w:rPr>
          <w:color w:val="000000"/>
        </w:rPr>
        <w:t>Rule 17g-7</w:t>
      </w:r>
      <w:r w:rsidR="00257950">
        <w:rPr>
          <w:color w:val="000000"/>
        </w:rPr>
        <w:t>(a)</w:t>
      </w:r>
      <w:r w:rsidR="005261C3">
        <w:rPr>
          <w:color w:val="000000"/>
        </w:rPr>
        <w:t xml:space="preserve"> by estimating </w:t>
      </w:r>
      <w:r w:rsidRPr="007828CB" w:rsidR="007828CB">
        <w:rPr>
          <w:color w:val="000000"/>
        </w:rPr>
        <w:t>the amount of time an NRSRO would spend</w:t>
      </w:r>
      <w:r w:rsidRPr="007828CB" w:rsidR="007828CB">
        <w:rPr>
          <w:color w:val="000000"/>
        </w:rPr>
        <w:t xml:space="preserve"> </w:t>
      </w:r>
      <w:r w:rsidR="00537FCA">
        <w:rPr>
          <w:color w:val="000000"/>
        </w:rPr>
        <w:t xml:space="preserve">updating </w:t>
      </w:r>
      <w:r w:rsidRPr="007828CB" w:rsidR="007828CB">
        <w:rPr>
          <w:color w:val="000000"/>
        </w:rPr>
        <w:t>its standardized disclosures and</w:t>
      </w:r>
      <w:r w:rsidR="00537FCA">
        <w:rPr>
          <w:color w:val="000000"/>
        </w:rPr>
        <w:t xml:space="preserve"> </w:t>
      </w:r>
      <w:r w:rsidRPr="007828CB" w:rsidR="007828CB">
        <w:rPr>
          <w:color w:val="000000"/>
        </w:rPr>
        <w:t>tailor</w:t>
      </w:r>
      <w:r w:rsidR="00537FCA">
        <w:rPr>
          <w:color w:val="000000"/>
        </w:rPr>
        <w:t xml:space="preserve">ing </w:t>
      </w:r>
      <w:r w:rsidRPr="007828CB" w:rsidR="007828CB">
        <w:rPr>
          <w:color w:val="000000"/>
        </w:rPr>
        <w:t>disclosures to particular rating actions and asset classes</w:t>
      </w:r>
      <w:r w:rsidR="00585EA2">
        <w:rPr>
          <w:color w:val="000000"/>
        </w:rPr>
        <w:t>.</w:t>
      </w:r>
      <w:r>
        <w:rPr>
          <w:rStyle w:val="FootnoteReference"/>
          <w:color w:val="000000"/>
        </w:rPr>
        <w:footnoteReference w:id="23"/>
      </w:r>
      <w:r w:rsidR="00585EA2">
        <w:rPr>
          <w:color w:val="000000"/>
        </w:rPr>
        <w:t xml:space="preserve">  Commission staff also estimates </w:t>
      </w:r>
      <w:r w:rsidRPr="007828CB" w:rsidR="007828CB">
        <w:rPr>
          <w:color w:val="000000"/>
        </w:rPr>
        <w:t xml:space="preserve">the amount of time the NRSRO would spend generating and publishing </w:t>
      </w:r>
      <w:r w:rsidR="00322A84">
        <w:rPr>
          <w:color w:val="000000"/>
        </w:rPr>
        <w:t xml:space="preserve">the </w:t>
      </w:r>
      <w:r w:rsidRPr="007828CB" w:rsidR="007828CB">
        <w:rPr>
          <w:color w:val="000000"/>
        </w:rPr>
        <w:t>form</w:t>
      </w:r>
      <w:r w:rsidR="001641DF">
        <w:rPr>
          <w:color w:val="000000"/>
        </w:rPr>
        <w:t xml:space="preserve"> required by the rule</w:t>
      </w:r>
      <w:r w:rsidRPr="007828CB" w:rsidR="007828CB">
        <w:rPr>
          <w:color w:val="000000"/>
        </w:rPr>
        <w:t xml:space="preserve"> and attaching the certification</w:t>
      </w:r>
      <w:r w:rsidR="0017484C">
        <w:rPr>
          <w:color w:val="000000"/>
        </w:rPr>
        <w:t xml:space="preserve"> on Form ABS Due Diligence-15E </w:t>
      </w:r>
      <w:r w:rsidR="00961764">
        <w:rPr>
          <w:color w:val="000000"/>
        </w:rPr>
        <w:t>by determining</w:t>
      </w:r>
      <w:r w:rsidRPr="007828CB" w:rsidR="007828CB">
        <w:rPr>
          <w:color w:val="000000"/>
        </w:rPr>
        <w:t xml:space="preserve"> the number of rating actions taken by NRSROs </w:t>
      </w:r>
      <w:r w:rsidR="008B24F3">
        <w:rPr>
          <w:color w:val="000000"/>
        </w:rPr>
        <w:t xml:space="preserve">per year </w:t>
      </w:r>
      <w:r w:rsidRPr="007828CB" w:rsidR="007828CB">
        <w:rPr>
          <w:color w:val="000000"/>
        </w:rPr>
        <w:t xml:space="preserve">because </w:t>
      </w:r>
      <w:r w:rsidRPr="007828CB" w:rsidR="007828CB">
        <w:rPr>
          <w:color w:val="000000"/>
        </w:rPr>
        <w:t xml:space="preserve">the requirement to generate and publish the form and attach the certification </w:t>
      </w:r>
      <w:r w:rsidR="00CC6292">
        <w:rPr>
          <w:color w:val="000000"/>
        </w:rPr>
        <w:t>is</w:t>
      </w:r>
      <w:r w:rsidRPr="007828CB" w:rsidR="007828CB">
        <w:rPr>
          <w:color w:val="000000"/>
        </w:rPr>
        <w:t xml:space="preserve"> triggered </w:t>
      </w:r>
      <w:r w:rsidR="00E8227F">
        <w:rPr>
          <w:color w:val="000000"/>
        </w:rPr>
        <w:t>by</w:t>
      </w:r>
      <w:r w:rsidRPr="007828CB" w:rsidR="007828CB">
        <w:rPr>
          <w:color w:val="000000"/>
        </w:rPr>
        <w:t xml:space="preserve"> </w:t>
      </w:r>
      <w:r w:rsidR="00711ECB">
        <w:rPr>
          <w:color w:val="000000"/>
        </w:rPr>
        <w:t>the</w:t>
      </w:r>
      <w:r w:rsidRPr="007828CB" w:rsidR="007828CB">
        <w:rPr>
          <w:color w:val="000000"/>
        </w:rPr>
        <w:t xml:space="preserve"> rating action.</w:t>
      </w:r>
      <w:r>
        <w:rPr>
          <w:rStyle w:val="FootnoteReference"/>
          <w:color w:val="000000"/>
        </w:rPr>
        <w:footnoteReference w:id="24"/>
      </w:r>
      <w:r w:rsidRPr="007828CB" w:rsidR="007828CB">
        <w:rPr>
          <w:color w:val="000000"/>
        </w:rPr>
        <w:t xml:space="preserve">  </w:t>
      </w:r>
    </w:p>
    <w:p w:rsidR="009C66AD" w:rsidP="00A03C34" w14:paraId="36CE9EAA" w14:textId="77777777">
      <w:pPr>
        <w:ind w:firstLine="720"/>
        <w:rPr>
          <w:color w:val="000000"/>
        </w:rPr>
      </w:pPr>
    </w:p>
    <w:p w:rsidR="007828CB" w:rsidRPr="007321AD" w:rsidP="0019660C" w14:paraId="0352D613" w14:textId="7998BA71">
      <w:pPr>
        <w:ind w:firstLine="720"/>
        <w:rPr>
          <w:color w:val="000000"/>
        </w:rPr>
      </w:pPr>
      <w:r>
        <w:rPr>
          <w:color w:val="000000"/>
        </w:rPr>
        <w:t>Based on</w:t>
      </w:r>
      <w:r w:rsidR="005108B7">
        <w:rPr>
          <w:color w:val="000000"/>
        </w:rPr>
        <w:t xml:space="preserve"> </w:t>
      </w:r>
      <w:r w:rsidR="00EA4EE2">
        <w:rPr>
          <w:color w:val="000000"/>
        </w:rPr>
        <w:t xml:space="preserve">staff </w:t>
      </w:r>
      <w:r w:rsidR="005108B7">
        <w:rPr>
          <w:color w:val="000000"/>
        </w:rPr>
        <w:t xml:space="preserve">experience, </w:t>
      </w:r>
      <w:r w:rsidR="00EA4EE2">
        <w:rPr>
          <w:color w:val="000000"/>
        </w:rPr>
        <w:t xml:space="preserve">it is estimated </w:t>
      </w:r>
      <w:r w:rsidR="005108B7">
        <w:rPr>
          <w:color w:val="000000"/>
        </w:rPr>
        <w:t xml:space="preserve">that </w:t>
      </w:r>
      <w:r w:rsidR="00C417FE">
        <w:rPr>
          <w:color w:val="000000"/>
        </w:rPr>
        <w:t>each</w:t>
      </w:r>
      <w:r w:rsidRPr="007828CB" w:rsidR="00C417FE">
        <w:rPr>
          <w:color w:val="000000"/>
        </w:rPr>
        <w:t xml:space="preserve"> NRSRO w</w:t>
      </w:r>
      <w:r w:rsidR="00342B5C">
        <w:rPr>
          <w:color w:val="000000"/>
        </w:rPr>
        <w:t>ill</w:t>
      </w:r>
      <w:r w:rsidRPr="007828CB" w:rsidR="00C417FE">
        <w:rPr>
          <w:color w:val="000000"/>
        </w:rPr>
        <w:t xml:space="preserve"> spend an average of approximately 500 hours per year updating the standardized disclosures</w:t>
      </w:r>
      <w:r w:rsidR="00796AFA">
        <w:rPr>
          <w:color w:val="000000"/>
        </w:rPr>
        <w:t xml:space="preserve">, for a total annual burden of </w:t>
      </w:r>
      <w:r w:rsidR="003B10B4">
        <w:rPr>
          <w:color w:val="000000"/>
        </w:rPr>
        <w:t>5,000</w:t>
      </w:r>
      <w:r w:rsidR="00A332BF">
        <w:rPr>
          <w:color w:val="000000"/>
        </w:rPr>
        <w:t xml:space="preserve"> hours</w:t>
      </w:r>
      <w:r w:rsidR="003E0674">
        <w:rPr>
          <w:color w:val="000000"/>
        </w:rPr>
        <w:t>,</w:t>
      </w:r>
      <w:r w:rsidR="003B10B4">
        <w:rPr>
          <w:color w:val="000000"/>
        </w:rPr>
        <w:t xml:space="preserve"> based on the </w:t>
      </w:r>
      <w:r w:rsidR="00604074">
        <w:rPr>
          <w:color w:val="000000"/>
        </w:rPr>
        <w:t>currently registered</w:t>
      </w:r>
      <w:r w:rsidR="003B10B4">
        <w:rPr>
          <w:color w:val="000000"/>
        </w:rPr>
        <w:t xml:space="preserve"> 10 NRSROs</w:t>
      </w:r>
      <w:r w:rsidR="00C417FE">
        <w:rPr>
          <w:color w:val="000000"/>
        </w:rPr>
        <w:t>.</w:t>
      </w:r>
      <w:r>
        <w:rPr>
          <w:color w:val="000000"/>
          <w:vertAlign w:val="superscript"/>
        </w:rPr>
        <w:footnoteReference w:id="25"/>
      </w:r>
      <w:r w:rsidR="007C5653">
        <w:rPr>
          <w:color w:val="000000"/>
        </w:rPr>
        <w:t xml:space="preserve">  </w:t>
      </w:r>
      <w:r w:rsidR="00D43108">
        <w:rPr>
          <w:color w:val="000000"/>
        </w:rPr>
        <w:t xml:space="preserve">With respect to the amount of time NRSROs </w:t>
      </w:r>
      <w:r w:rsidR="00604074">
        <w:rPr>
          <w:color w:val="000000"/>
        </w:rPr>
        <w:t>w</w:t>
      </w:r>
      <w:r w:rsidR="002819E8">
        <w:rPr>
          <w:color w:val="000000"/>
        </w:rPr>
        <w:t>ill</w:t>
      </w:r>
      <w:r w:rsidR="00604074">
        <w:rPr>
          <w:color w:val="000000"/>
        </w:rPr>
        <w:t xml:space="preserve"> </w:t>
      </w:r>
      <w:r w:rsidR="00D43108">
        <w:rPr>
          <w:color w:val="000000"/>
        </w:rPr>
        <w:t xml:space="preserve">spend generating and publishing </w:t>
      </w:r>
      <w:r w:rsidR="009D75DB">
        <w:rPr>
          <w:color w:val="000000"/>
        </w:rPr>
        <w:t xml:space="preserve">the form and attaching the </w:t>
      </w:r>
      <w:r w:rsidR="00062FD7">
        <w:rPr>
          <w:color w:val="000000"/>
        </w:rPr>
        <w:t>certification</w:t>
      </w:r>
      <w:r w:rsidR="009B7571">
        <w:rPr>
          <w:color w:val="000000"/>
        </w:rPr>
        <w:t xml:space="preserve">, </w:t>
      </w:r>
      <w:r w:rsidR="00225553">
        <w:rPr>
          <w:color w:val="000000"/>
        </w:rPr>
        <w:t>Commission staff estimates that each NRSRO w</w:t>
      </w:r>
      <w:r w:rsidR="00B27FA4">
        <w:rPr>
          <w:color w:val="000000"/>
        </w:rPr>
        <w:t>ill</w:t>
      </w:r>
      <w:r w:rsidR="00225553">
        <w:rPr>
          <w:color w:val="000000"/>
        </w:rPr>
        <w:t xml:space="preserve"> spend</w:t>
      </w:r>
      <w:r w:rsidR="008C7333">
        <w:rPr>
          <w:color w:val="000000"/>
        </w:rPr>
        <w:t xml:space="preserve"> </w:t>
      </w:r>
      <w:r w:rsidR="00107CD5">
        <w:rPr>
          <w:color w:val="000000"/>
        </w:rPr>
        <w:t>20 minutes</w:t>
      </w:r>
      <w:r w:rsidR="008C7333">
        <w:rPr>
          <w:color w:val="000000"/>
        </w:rPr>
        <w:t xml:space="preserve"> on average for each rating action</w:t>
      </w:r>
      <w:r w:rsidR="00C65E3F">
        <w:rPr>
          <w:color w:val="000000"/>
        </w:rPr>
        <w:t xml:space="preserve"> and that </w:t>
      </w:r>
      <w:r w:rsidR="003D3F38">
        <w:rPr>
          <w:color w:val="000000"/>
        </w:rPr>
        <w:t xml:space="preserve">NRSROs </w:t>
      </w:r>
      <w:r w:rsidR="002819E8">
        <w:rPr>
          <w:color w:val="000000"/>
        </w:rPr>
        <w:t>will</w:t>
      </w:r>
      <w:r w:rsidR="00692472">
        <w:rPr>
          <w:color w:val="000000"/>
        </w:rPr>
        <w:t xml:space="preserve"> collectively</w:t>
      </w:r>
      <w:r w:rsidR="00852A48">
        <w:rPr>
          <w:color w:val="000000"/>
        </w:rPr>
        <w:t xml:space="preserve"> </w:t>
      </w:r>
      <w:r w:rsidR="003D3F38">
        <w:rPr>
          <w:color w:val="000000"/>
        </w:rPr>
        <w:t>take</w:t>
      </w:r>
      <w:r w:rsidR="000A7B03">
        <w:rPr>
          <w:color w:val="000000"/>
        </w:rPr>
        <w:t xml:space="preserve"> approximately</w:t>
      </w:r>
      <w:r w:rsidR="005D5AC3">
        <w:rPr>
          <w:color w:val="000000"/>
        </w:rPr>
        <w:t xml:space="preserve"> </w:t>
      </w:r>
      <w:r w:rsidR="000B0582">
        <w:rPr>
          <w:color w:val="000000"/>
        </w:rPr>
        <w:t>1,908</w:t>
      </w:r>
      <w:r w:rsidR="00784AE5">
        <w:rPr>
          <w:color w:val="000000"/>
        </w:rPr>
        <w:t>,</w:t>
      </w:r>
      <w:r w:rsidR="002530E3">
        <w:rPr>
          <w:color w:val="000000"/>
        </w:rPr>
        <w:t>670</w:t>
      </w:r>
      <w:r w:rsidRPr="007321AD">
        <w:rPr>
          <w:color w:val="000000"/>
        </w:rPr>
        <w:t xml:space="preserve"> </w:t>
      </w:r>
      <w:r w:rsidRPr="007321AD">
        <w:rPr>
          <w:color w:val="000000"/>
        </w:rPr>
        <w:t>credit rating actions</w:t>
      </w:r>
      <w:r w:rsidR="003042E9">
        <w:rPr>
          <w:color w:val="000000"/>
        </w:rPr>
        <w:t xml:space="preserve">, as the term is defined </w:t>
      </w:r>
      <w:r w:rsidR="00AA0CEF">
        <w:rPr>
          <w:color w:val="000000"/>
        </w:rPr>
        <w:t xml:space="preserve">in </w:t>
      </w:r>
      <w:r w:rsidRPr="007321AD" w:rsidR="003042E9">
        <w:rPr>
          <w:color w:val="000000"/>
        </w:rPr>
        <w:t>Rule 17g-7</w:t>
      </w:r>
      <w:r w:rsidR="003042E9">
        <w:rPr>
          <w:color w:val="000000"/>
        </w:rPr>
        <w:t>(a),</w:t>
      </w:r>
      <w:r w:rsidR="00FD6978">
        <w:rPr>
          <w:color w:val="000000"/>
        </w:rPr>
        <w:t xml:space="preserve"> </w:t>
      </w:r>
      <w:r w:rsidRPr="007321AD">
        <w:rPr>
          <w:color w:val="000000"/>
        </w:rPr>
        <w:t>per year</w:t>
      </w:r>
      <w:r w:rsidR="00A45417">
        <w:rPr>
          <w:color w:val="000000"/>
        </w:rPr>
        <w:t>,</w:t>
      </w:r>
      <w:r>
        <w:rPr>
          <w:color w:val="000000"/>
          <w:vertAlign w:val="superscript"/>
        </w:rPr>
        <w:footnoteReference w:id="26"/>
      </w:r>
      <w:r w:rsidRPr="007321AD">
        <w:rPr>
          <w:color w:val="000000"/>
        </w:rPr>
        <w:t xml:space="preserve"> resulting in an industry-wide annual hour </w:t>
      </w:r>
      <w:r w:rsidRPr="007321AD" w:rsidR="00035A39">
        <w:rPr>
          <w:color w:val="000000"/>
        </w:rPr>
        <w:t>disclosure</w:t>
      </w:r>
      <w:r w:rsidRPr="007321AD" w:rsidR="000D4D32">
        <w:rPr>
          <w:color w:val="000000"/>
        </w:rPr>
        <w:t xml:space="preserve"> </w:t>
      </w:r>
      <w:r w:rsidRPr="007321AD">
        <w:rPr>
          <w:color w:val="000000"/>
        </w:rPr>
        <w:t xml:space="preserve">burden of approximately </w:t>
      </w:r>
      <w:r w:rsidR="005D7D73">
        <w:t>636,</w:t>
      </w:r>
      <w:r w:rsidR="00E41626">
        <w:t>223 hours</w:t>
      </w:r>
      <w:r w:rsidRPr="007321AD">
        <w:rPr>
          <w:color w:val="000000"/>
        </w:rPr>
        <w:t>.</w:t>
      </w:r>
      <w:r>
        <w:rPr>
          <w:color w:val="000000"/>
          <w:vertAlign w:val="superscript"/>
        </w:rPr>
        <w:footnoteReference w:id="27"/>
      </w:r>
      <w:r w:rsidRPr="007321AD">
        <w:rPr>
          <w:color w:val="000000"/>
        </w:rPr>
        <w:t xml:space="preserve">  </w:t>
      </w:r>
      <w:r w:rsidR="007F21E9">
        <w:t>Assuming an average cost per hour of $372 for a compliance manager,</w:t>
      </w:r>
      <w:r>
        <w:rPr>
          <w:rStyle w:val="FootnoteReference"/>
        </w:rPr>
        <w:footnoteReference w:id="28"/>
      </w:r>
      <w:r w:rsidR="007F21E9">
        <w:t xml:space="preserve"> the total internal cost of compliance is estimated at </w:t>
      </w:r>
      <w:r w:rsidR="007F21E9">
        <w:rPr>
          <w:spacing w:val="-3"/>
        </w:rPr>
        <w:t>$</w:t>
      </w:r>
      <w:r w:rsidR="005D7D73">
        <w:t>238,</w:t>
      </w:r>
      <w:r w:rsidR="004A0C1F">
        <w:t>534</w:t>
      </w:r>
      <w:r w:rsidR="005D7D73">
        <w:t>,</w:t>
      </w:r>
      <w:r w:rsidR="004A0C1F">
        <w:t>956</w:t>
      </w:r>
      <w:r w:rsidR="005E3E51">
        <w:t>.</w:t>
      </w:r>
      <w:r>
        <w:rPr>
          <w:rStyle w:val="FootnoteReference"/>
        </w:rPr>
        <w:footnoteReference w:id="29"/>
      </w:r>
      <w:r w:rsidR="007F21E9">
        <w:t xml:space="preserve">  </w:t>
      </w:r>
    </w:p>
    <w:p w:rsidR="00277C0D" w:rsidRPr="007321AD" w:rsidP="00E61CC6" w14:paraId="5F994FFD" w14:textId="77777777">
      <w:pPr>
        <w:ind w:firstLine="720"/>
        <w:rPr>
          <w:color w:val="000000"/>
        </w:rPr>
      </w:pPr>
    </w:p>
    <w:p w:rsidR="007828CB" w14:paraId="087E3C2F" w14:textId="636D8A85">
      <w:pPr>
        <w:rPr>
          <w:color w:val="000000"/>
        </w:rPr>
      </w:pPr>
      <w:r w:rsidRPr="007828CB">
        <w:rPr>
          <w:color w:val="000000"/>
        </w:rPr>
        <w:tab/>
        <w:t>Commission</w:t>
      </w:r>
      <w:r w:rsidR="00DC3ED1">
        <w:rPr>
          <w:color w:val="000000"/>
        </w:rPr>
        <w:t xml:space="preserve"> staff</w:t>
      </w:r>
      <w:r w:rsidR="008143DA">
        <w:rPr>
          <w:color w:val="000000"/>
        </w:rPr>
        <w:t xml:space="preserve"> </w:t>
      </w:r>
      <w:r w:rsidRPr="007828CB" w:rsidR="00B56B1B">
        <w:rPr>
          <w:color w:val="000000"/>
        </w:rPr>
        <w:t>estimate</w:t>
      </w:r>
      <w:r w:rsidR="00B56B1B">
        <w:rPr>
          <w:color w:val="000000"/>
        </w:rPr>
        <w:t>s</w:t>
      </w:r>
      <w:r w:rsidRPr="007828CB" w:rsidR="00B56B1B">
        <w:rPr>
          <w:color w:val="000000"/>
        </w:rPr>
        <w:t xml:space="preserve"> </w:t>
      </w:r>
      <w:r w:rsidRPr="007828CB">
        <w:rPr>
          <w:color w:val="000000"/>
        </w:rPr>
        <w:t xml:space="preserve">that the average </w:t>
      </w:r>
      <w:r w:rsidR="00CC3D94">
        <w:t>annual burden per NRSRO</w:t>
      </w:r>
      <w:r w:rsidRPr="009F40CB" w:rsidR="00CC3D94">
        <w:t xml:space="preserve"> </w:t>
      </w:r>
      <w:r w:rsidR="008143DA">
        <w:t>related to the disclosure of credit rating histories</w:t>
      </w:r>
      <w:r w:rsidR="00875676">
        <w:t xml:space="preserve"> pursuant to Rule 17g-7(b)</w:t>
      </w:r>
      <w:r w:rsidR="00CC3D94">
        <w:t xml:space="preserve">, including updating and </w:t>
      </w:r>
      <w:r w:rsidR="00CC3D94">
        <w:t>administering the database</w:t>
      </w:r>
      <w:r w:rsidR="00CE1A59">
        <w:t xml:space="preserve"> of rating histories</w:t>
      </w:r>
      <w:r w:rsidR="00CC3D94">
        <w:t>, w</w:t>
      </w:r>
      <w:r w:rsidR="005E3E51">
        <w:t>ill</w:t>
      </w:r>
      <w:r w:rsidR="00CC3D94">
        <w:t xml:space="preserve"> be approximately </w:t>
      </w:r>
      <w:r w:rsidR="00020807">
        <w:t>45</w:t>
      </w:r>
      <w:r w:rsidR="00CC3D94">
        <w:t xml:space="preserve"> hours per year, for an industry-wide annual </w:t>
      </w:r>
      <w:r w:rsidRPr="0016107C" w:rsidR="00CC3D94">
        <w:t>disclosure</w:t>
      </w:r>
      <w:r w:rsidR="00CC3D94">
        <w:t xml:space="preserve"> burden of approximately </w:t>
      </w:r>
      <w:r w:rsidR="00B56B1B">
        <w:t>4</w:t>
      </w:r>
      <w:r w:rsidR="00435011">
        <w:t>50</w:t>
      </w:r>
      <w:r w:rsidR="00B56B1B">
        <w:t xml:space="preserve"> </w:t>
      </w:r>
      <w:r w:rsidR="00CC3D94">
        <w:t>hours.</w:t>
      </w:r>
      <w:r>
        <w:rPr>
          <w:rStyle w:val="FootnoteReference"/>
        </w:rPr>
        <w:footnoteReference w:id="30"/>
      </w:r>
      <w:r w:rsidR="007E719A">
        <w:t xml:space="preserve">  Based on an average cost per hour of $3</w:t>
      </w:r>
      <w:r w:rsidR="00AB4C9D">
        <w:t>4</w:t>
      </w:r>
      <w:r w:rsidR="007E719A">
        <w:t xml:space="preserve">2 for a </w:t>
      </w:r>
      <w:r w:rsidR="00880F08">
        <w:t>senior systems analyst</w:t>
      </w:r>
      <w:r w:rsidR="007E719A">
        <w:t xml:space="preserve">, the total internal cost of compliance is estimated at </w:t>
      </w:r>
      <w:r w:rsidR="007E719A">
        <w:rPr>
          <w:spacing w:val="-3"/>
        </w:rPr>
        <w:t>$</w:t>
      </w:r>
      <w:r w:rsidR="00CA4562">
        <w:t>153,900</w:t>
      </w:r>
      <w:r w:rsidR="00ED6C16">
        <w:t>.</w:t>
      </w:r>
      <w:r>
        <w:rPr>
          <w:rStyle w:val="FootnoteReference"/>
        </w:rPr>
        <w:footnoteReference w:id="31"/>
      </w:r>
      <w:r w:rsidR="007E719A">
        <w:t xml:space="preserve"> </w:t>
      </w:r>
      <w:r w:rsidR="008143DA">
        <w:t xml:space="preserve"> </w:t>
      </w:r>
      <w:r w:rsidRPr="007828CB">
        <w:rPr>
          <w:color w:val="000000"/>
        </w:rPr>
        <w:tab/>
      </w:r>
    </w:p>
    <w:p w:rsidR="00D07C3F" w:rsidP="00F70D05" w14:paraId="39128534" w14:textId="77777777">
      <w:pPr>
        <w:ind w:firstLine="720"/>
        <w:rPr>
          <w:color w:val="000000"/>
        </w:rPr>
      </w:pPr>
    </w:p>
    <w:p w:rsidR="00F009DB" w:rsidP="00F70D05" w14:paraId="01175E13" w14:textId="376F7A59">
      <w:pPr>
        <w:ind w:firstLine="720"/>
      </w:pPr>
      <w:r>
        <w:rPr>
          <w:color w:val="000000"/>
        </w:rPr>
        <w:t xml:space="preserve">Therefore, </w:t>
      </w:r>
      <w:r w:rsidR="003248BC">
        <w:t xml:space="preserve">Commission </w:t>
      </w:r>
      <w:r w:rsidR="00A66C98">
        <w:t xml:space="preserve">staff </w:t>
      </w:r>
      <w:r w:rsidR="003248BC">
        <w:t>estimates</w:t>
      </w:r>
      <w:r w:rsidR="00285316">
        <w:t xml:space="preserve"> that</w:t>
      </w:r>
      <w:r w:rsidR="003248BC">
        <w:t xml:space="preserve"> </w:t>
      </w:r>
      <w:r w:rsidR="00F70D05">
        <w:t>the total aggregate industry-wide burden to comply wi</w:t>
      </w:r>
      <w:r w:rsidR="00B803DB">
        <w:t xml:space="preserve">th Rule 17g-7 is </w:t>
      </w:r>
      <w:r w:rsidR="007C7855">
        <w:t>641,6</w:t>
      </w:r>
      <w:r w:rsidR="00DE52DC">
        <w:t>73</w:t>
      </w:r>
      <w:r w:rsidR="00203A1C">
        <w:t xml:space="preserve"> </w:t>
      </w:r>
      <w:r w:rsidR="00B803DB">
        <w:t>hours</w:t>
      </w:r>
      <w:r w:rsidR="00285316">
        <w:t xml:space="preserve"> and that the total aggregate </w:t>
      </w:r>
      <w:r w:rsidR="00A66C98">
        <w:t xml:space="preserve">internal cost of compliance is </w:t>
      </w:r>
      <w:r w:rsidRPr="00AF65DD" w:rsidR="00AF65DD">
        <w:t>$23</w:t>
      </w:r>
      <w:r w:rsidR="00060086">
        <w:t>8</w:t>
      </w:r>
      <w:r w:rsidRPr="00AF65DD" w:rsidR="00AF65DD">
        <w:t>,</w:t>
      </w:r>
      <w:r w:rsidR="007028F7">
        <w:t>688</w:t>
      </w:r>
      <w:r w:rsidRPr="00AF65DD" w:rsidR="00AF65DD">
        <w:t>,</w:t>
      </w:r>
      <w:r w:rsidR="007028F7">
        <w:t>856</w:t>
      </w:r>
      <w:r w:rsidR="00B803DB">
        <w:t>.</w:t>
      </w:r>
    </w:p>
    <w:p w:rsidR="002405C7" w:rsidRPr="001C57DD" w:rsidP="00114221" w14:paraId="7AD53597" w14:textId="77777777">
      <w:pPr>
        <w:rPr>
          <w:i/>
          <w:iCs/>
          <w:color w:val="000000"/>
          <w:sz w:val="20"/>
          <w:szCs w:val="20"/>
          <w:u w:val="single"/>
        </w:rPr>
      </w:pPr>
      <w:r w:rsidRPr="00CC42A3">
        <w:rPr>
          <w:b/>
          <w:iCs/>
          <w:color w:val="000000"/>
        </w:rPr>
        <w:tab/>
      </w:r>
    </w:p>
    <w:p w:rsidR="00FF51D3" w:rsidRPr="001C57DD" w:rsidP="00114221" w14:paraId="4E9FD0AD" w14:textId="77777777">
      <w:pPr>
        <w:rPr>
          <w:i/>
          <w:iCs/>
          <w:color w:val="000000"/>
          <w:sz w:val="20"/>
          <w:szCs w:val="20"/>
          <w:u w:val="single"/>
        </w:rPr>
      </w:pPr>
    </w:p>
    <w:p w:rsidR="00BD2275" w14:paraId="77E3AFEB" w14:textId="1863E3C5">
      <w:pPr>
        <w:rPr>
          <w:b/>
        </w:rPr>
      </w:pPr>
      <w:r>
        <w:rPr>
          <w:b/>
        </w:rPr>
        <w:br w:type="page"/>
      </w:r>
    </w:p>
    <w:tbl>
      <w:tblPr>
        <w:tblpPr w:leftFromText="180" w:rightFromText="180" w:vertAnchor="page" w:horzAnchor="page" w:tblpX="391" w:tblpY="2056"/>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530"/>
        <w:gridCol w:w="1080"/>
        <w:gridCol w:w="990"/>
        <w:gridCol w:w="900"/>
        <w:gridCol w:w="810"/>
        <w:gridCol w:w="810"/>
        <w:gridCol w:w="900"/>
        <w:gridCol w:w="1350"/>
        <w:gridCol w:w="1260"/>
        <w:gridCol w:w="1260"/>
      </w:tblGrid>
      <w:tr w14:paraId="4E4773D7" w14:textId="77777777" w:rsidTr="00374B2F">
        <w:tblPrEx>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7"/>
        </w:trPr>
        <w:tc>
          <w:tcPr>
            <w:tcW w:w="535" w:type="dxa"/>
            <w:shd w:val="clear" w:color="auto" w:fill="auto"/>
            <w:noWrap/>
            <w:vAlign w:val="bottom"/>
            <w:hideMark/>
          </w:tcPr>
          <w:p w:rsidR="00F35318" w:rsidRPr="002E6AF7" w:rsidP="002E6AF7" w14:paraId="13074A49" w14:textId="13C26A19">
            <w:pPr>
              <w:rPr>
                <w:rFonts w:asciiTheme="minorHAnsi" w:hAnsiTheme="minorHAnsi" w:cstheme="minorHAnsi"/>
                <w:b/>
                <w:bCs/>
                <w:color w:val="000000"/>
                <w:sz w:val="18"/>
                <w:szCs w:val="18"/>
              </w:rPr>
            </w:pPr>
            <w:r w:rsidRPr="002E6AF7">
              <w:rPr>
                <w:rFonts w:asciiTheme="minorHAnsi" w:hAnsiTheme="minorHAnsi" w:cstheme="minorHAnsi"/>
                <w:b/>
                <w:bCs/>
                <w:color w:val="000000"/>
                <w:sz w:val="18"/>
                <w:szCs w:val="18"/>
              </w:rPr>
              <w:t>IC</w:t>
            </w:r>
          </w:p>
        </w:tc>
        <w:tc>
          <w:tcPr>
            <w:tcW w:w="1530" w:type="dxa"/>
            <w:shd w:val="clear" w:color="auto" w:fill="auto"/>
            <w:noWrap/>
            <w:vAlign w:val="bottom"/>
            <w:hideMark/>
          </w:tcPr>
          <w:p w:rsidR="00F35318" w:rsidRPr="002E6AF7" w:rsidP="002E6AF7" w14:paraId="19B9913D" w14:textId="77777777">
            <w:pPr>
              <w:rPr>
                <w:rFonts w:asciiTheme="minorHAnsi" w:hAnsiTheme="minorHAnsi" w:cstheme="minorHAnsi"/>
                <w:b/>
                <w:bCs/>
                <w:color w:val="000000"/>
                <w:sz w:val="18"/>
                <w:szCs w:val="18"/>
              </w:rPr>
            </w:pPr>
            <w:r w:rsidRPr="002E6AF7">
              <w:rPr>
                <w:rFonts w:asciiTheme="minorHAnsi" w:hAnsiTheme="minorHAnsi" w:cstheme="minorHAnsi"/>
                <w:b/>
                <w:bCs/>
                <w:color w:val="000000"/>
                <w:sz w:val="18"/>
                <w:szCs w:val="18"/>
              </w:rPr>
              <w:t>IC Title</w:t>
            </w:r>
          </w:p>
        </w:tc>
        <w:tc>
          <w:tcPr>
            <w:tcW w:w="2970" w:type="dxa"/>
            <w:gridSpan w:val="3"/>
            <w:shd w:val="clear" w:color="auto" w:fill="auto"/>
            <w:noWrap/>
            <w:vAlign w:val="bottom"/>
            <w:hideMark/>
          </w:tcPr>
          <w:p w:rsidR="00F35318" w:rsidRPr="002E6AF7" w:rsidP="002E6AF7" w14:paraId="7F0585E8" w14:textId="77777777">
            <w:pPr>
              <w:jc w:val="center"/>
              <w:rPr>
                <w:rFonts w:asciiTheme="minorHAnsi" w:hAnsiTheme="minorHAnsi" w:cstheme="minorHAnsi"/>
                <w:b/>
                <w:bCs/>
                <w:color w:val="000000"/>
                <w:sz w:val="18"/>
                <w:szCs w:val="18"/>
              </w:rPr>
            </w:pPr>
            <w:r w:rsidRPr="002E6AF7">
              <w:rPr>
                <w:rFonts w:asciiTheme="minorHAnsi" w:hAnsiTheme="minorHAnsi" w:cstheme="minorHAnsi"/>
                <w:b/>
                <w:bCs/>
                <w:color w:val="000000"/>
                <w:sz w:val="18"/>
                <w:szCs w:val="18"/>
              </w:rPr>
              <w:t>Annual No. of Responses</w:t>
            </w:r>
          </w:p>
        </w:tc>
        <w:tc>
          <w:tcPr>
            <w:tcW w:w="2520" w:type="dxa"/>
            <w:gridSpan w:val="3"/>
            <w:shd w:val="clear" w:color="auto" w:fill="auto"/>
            <w:noWrap/>
            <w:vAlign w:val="bottom"/>
            <w:hideMark/>
          </w:tcPr>
          <w:p w:rsidR="00F35318" w:rsidRPr="002E6AF7" w:rsidP="002E6AF7" w14:paraId="11EF10B1" w14:textId="77777777">
            <w:pPr>
              <w:jc w:val="center"/>
              <w:rPr>
                <w:rFonts w:asciiTheme="minorHAnsi" w:hAnsiTheme="minorHAnsi" w:cstheme="minorHAnsi"/>
                <w:b/>
                <w:bCs/>
                <w:color w:val="000000"/>
                <w:sz w:val="18"/>
                <w:szCs w:val="18"/>
              </w:rPr>
            </w:pPr>
            <w:r w:rsidRPr="002E6AF7">
              <w:rPr>
                <w:rFonts w:asciiTheme="minorHAnsi" w:hAnsiTheme="minorHAnsi" w:cstheme="minorHAnsi"/>
                <w:b/>
                <w:bCs/>
                <w:color w:val="000000"/>
                <w:sz w:val="18"/>
                <w:szCs w:val="18"/>
              </w:rPr>
              <w:t>Annual Time Burden (Hrs.)</w:t>
            </w:r>
          </w:p>
        </w:tc>
        <w:tc>
          <w:tcPr>
            <w:tcW w:w="3870" w:type="dxa"/>
            <w:gridSpan w:val="3"/>
            <w:vAlign w:val="bottom"/>
          </w:tcPr>
          <w:p w:rsidR="00F35318" w:rsidRPr="002E6AF7" w:rsidP="002E6AF7" w14:paraId="1B601013" w14:textId="77777777">
            <w:pPr>
              <w:jc w:val="center"/>
              <w:rPr>
                <w:rFonts w:asciiTheme="minorHAnsi" w:hAnsiTheme="minorHAnsi" w:cstheme="minorHAnsi"/>
                <w:sz w:val="18"/>
                <w:szCs w:val="18"/>
              </w:rPr>
            </w:pPr>
            <w:r w:rsidRPr="002E6AF7">
              <w:rPr>
                <w:rFonts w:asciiTheme="minorHAnsi" w:hAnsiTheme="minorHAnsi" w:cstheme="minorHAnsi"/>
                <w:b/>
                <w:bCs/>
                <w:color w:val="000000"/>
                <w:sz w:val="18"/>
                <w:szCs w:val="18"/>
              </w:rPr>
              <w:t>Burden Cost ($)</w:t>
            </w:r>
          </w:p>
        </w:tc>
      </w:tr>
      <w:tr w14:paraId="28D33D12" w14:textId="77777777" w:rsidTr="009A73B8">
        <w:tblPrEx>
          <w:tblW w:w="11425" w:type="dxa"/>
          <w:tblLayout w:type="fixed"/>
          <w:tblLook w:val="04A0"/>
        </w:tblPrEx>
        <w:trPr>
          <w:trHeight w:val="277"/>
        </w:trPr>
        <w:tc>
          <w:tcPr>
            <w:tcW w:w="535" w:type="dxa"/>
            <w:shd w:val="clear" w:color="auto" w:fill="auto"/>
            <w:noWrap/>
            <w:vAlign w:val="bottom"/>
          </w:tcPr>
          <w:p w:rsidR="00F35318" w:rsidRPr="00AD5EEE" w:rsidP="002E6AF7" w14:paraId="1907E3F0" w14:textId="77777777">
            <w:pPr>
              <w:rPr>
                <w:rFonts w:asciiTheme="minorHAnsi" w:hAnsiTheme="minorHAnsi" w:cstheme="minorHAnsi"/>
                <w:b/>
                <w:bCs/>
                <w:color w:val="000000"/>
                <w:sz w:val="18"/>
                <w:szCs w:val="18"/>
              </w:rPr>
            </w:pPr>
          </w:p>
        </w:tc>
        <w:tc>
          <w:tcPr>
            <w:tcW w:w="1530" w:type="dxa"/>
            <w:shd w:val="clear" w:color="auto" w:fill="auto"/>
            <w:noWrap/>
            <w:vAlign w:val="bottom"/>
          </w:tcPr>
          <w:p w:rsidR="00F35318" w:rsidRPr="00AD5EEE" w:rsidP="002E6AF7" w14:paraId="5EC03585" w14:textId="77777777">
            <w:pPr>
              <w:rPr>
                <w:rFonts w:asciiTheme="minorHAnsi" w:hAnsiTheme="minorHAnsi" w:cstheme="minorHAnsi"/>
                <w:b/>
                <w:bCs/>
                <w:color w:val="000000"/>
                <w:sz w:val="18"/>
                <w:szCs w:val="18"/>
              </w:rPr>
            </w:pPr>
          </w:p>
        </w:tc>
        <w:tc>
          <w:tcPr>
            <w:tcW w:w="2970" w:type="dxa"/>
            <w:gridSpan w:val="3"/>
            <w:shd w:val="clear" w:color="auto" w:fill="auto"/>
            <w:noWrap/>
            <w:vAlign w:val="bottom"/>
          </w:tcPr>
          <w:p w:rsidR="00F35318" w:rsidRPr="00AD5EEE" w:rsidP="002E6AF7" w14:paraId="0ED20629" w14:textId="77777777">
            <w:pPr>
              <w:jc w:val="center"/>
              <w:rPr>
                <w:rFonts w:asciiTheme="minorHAnsi" w:hAnsiTheme="minorHAnsi" w:cstheme="minorHAnsi"/>
                <w:b/>
                <w:bCs/>
                <w:color w:val="000000"/>
                <w:sz w:val="18"/>
                <w:szCs w:val="18"/>
              </w:rPr>
            </w:pPr>
          </w:p>
        </w:tc>
        <w:tc>
          <w:tcPr>
            <w:tcW w:w="2520" w:type="dxa"/>
            <w:gridSpan w:val="3"/>
            <w:shd w:val="clear" w:color="auto" w:fill="auto"/>
            <w:noWrap/>
            <w:vAlign w:val="bottom"/>
          </w:tcPr>
          <w:p w:rsidR="00F35318" w:rsidRPr="00AD5EEE" w:rsidP="002E6AF7" w14:paraId="2A431A61" w14:textId="77777777">
            <w:pPr>
              <w:jc w:val="center"/>
              <w:rPr>
                <w:rFonts w:asciiTheme="minorHAnsi" w:hAnsiTheme="minorHAnsi" w:cstheme="minorHAnsi"/>
                <w:b/>
                <w:bCs/>
                <w:color w:val="000000"/>
                <w:sz w:val="18"/>
                <w:szCs w:val="18"/>
              </w:rPr>
            </w:pPr>
          </w:p>
        </w:tc>
        <w:tc>
          <w:tcPr>
            <w:tcW w:w="3870" w:type="dxa"/>
            <w:gridSpan w:val="3"/>
            <w:vAlign w:val="bottom"/>
          </w:tcPr>
          <w:p w:rsidR="00F35318" w:rsidRPr="00AD5EEE" w:rsidP="006510B5" w14:paraId="6B57B9A7" w14:textId="77777777">
            <w:pPr>
              <w:jc w:val="center"/>
              <w:rPr>
                <w:rFonts w:asciiTheme="minorHAnsi" w:hAnsiTheme="minorHAnsi" w:cstheme="minorHAnsi"/>
                <w:b/>
                <w:bCs/>
                <w:color w:val="000000"/>
                <w:sz w:val="18"/>
                <w:szCs w:val="18"/>
              </w:rPr>
            </w:pPr>
          </w:p>
        </w:tc>
      </w:tr>
      <w:tr w14:paraId="41928C68" w14:textId="77777777" w:rsidTr="009A73B8">
        <w:tblPrEx>
          <w:tblW w:w="11425" w:type="dxa"/>
          <w:tblLayout w:type="fixed"/>
          <w:tblLook w:val="04A0"/>
        </w:tblPrEx>
        <w:trPr>
          <w:cantSplit/>
          <w:trHeight w:val="1086"/>
        </w:trPr>
        <w:tc>
          <w:tcPr>
            <w:tcW w:w="535" w:type="dxa"/>
            <w:shd w:val="clear" w:color="auto" w:fill="auto"/>
            <w:textDirection w:val="btLr"/>
            <w:vAlign w:val="center"/>
            <w:hideMark/>
          </w:tcPr>
          <w:p w:rsidR="00F35318" w:rsidRPr="002E6AF7" w:rsidP="002E6AF7" w14:paraId="2B5B3999" w14:textId="77777777">
            <w:pPr>
              <w:ind w:left="113" w:right="113"/>
              <w:jc w:val="center"/>
              <w:rPr>
                <w:rFonts w:asciiTheme="minorHAnsi" w:hAnsiTheme="minorHAnsi" w:cstheme="minorHAnsi"/>
                <w:color w:val="000000"/>
                <w:sz w:val="18"/>
                <w:szCs w:val="18"/>
              </w:rPr>
            </w:pPr>
            <w:r w:rsidRPr="002E6AF7">
              <w:rPr>
                <w:rFonts w:asciiTheme="minorHAnsi" w:hAnsiTheme="minorHAnsi" w:cstheme="minorHAnsi"/>
                <w:color w:val="000000"/>
                <w:sz w:val="18"/>
                <w:szCs w:val="18"/>
              </w:rPr>
              <w:t> </w:t>
            </w:r>
          </w:p>
        </w:tc>
        <w:tc>
          <w:tcPr>
            <w:tcW w:w="1530" w:type="dxa"/>
            <w:shd w:val="clear" w:color="auto" w:fill="auto"/>
            <w:textDirection w:val="btLr"/>
            <w:vAlign w:val="center"/>
            <w:hideMark/>
          </w:tcPr>
          <w:p w:rsidR="00F35318" w:rsidRPr="002E6AF7" w:rsidP="002E6AF7" w14:paraId="65BD5AC7" w14:textId="77777777">
            <w:pPr>
              <w:ind w:left="113" w:right="113"/>
              <w:rPr>
                <w:rFonts w:asciiTheme="minorHAnsi" w:hAnsiTheme="minorHAnsi" w:cstheme="minorHAnsi"/>
                <w:color w:val="000000"/>
                <w:sz w:val="18"/>
                <w:szCs w:val="18"/>
              </w:rPr>
            </w:pPr>
            <w:r w:rsidRPr="002E6AF7">
              <w:rPr>
                <w:rFonts w:asciiTheme="minorHAnsi" w:hAnsiTheme="minorHAnsi" w:cstheme="minorHAnsi"/>
                <w:color w:val="000000"/>
                <w:sz w:val="18"/>
                <w:szCs w:val="18"/>
              </w:rPr>
              <w:t> </w:t>
            </w:r>
          </w:p>
        </w:tc>
        <w:tc>
          <w:tcPr>
            <w:tcW w:w="1080" w:type="dxa"/>
            <w:shd w:val="clear" w:color="auto" w:fill="auto"/>
            <w:textDirection w:val="btLr"/>
            <w:vAlign w:val="center"/>
            <w:hideMark/>
          </w:tcPr>
          <w:p w:rsidR="00F35318" w:rsidRPr="002E6AF7" w:rsidP="002E6AF7" w14:paraId="2C5066FA" w14:textId="77777777">
            <w:pPr>
              <w:ind w:left="113" w:right="113"/>
              <w:jc w:val="center"/>
              <w:rPr>
                <w:rFonts w:asciiTheme="minorHAnsi" w:hAnsiTheme="minorHAnsi" w:cstheme="minorHAnsi"/>
                <w:i/>
                <w:iCs/>
                <w:color w:val="000000"/>
                <w:sz w:val="18"/>
                <w:szCs w:val="18"/>
              </w:rPr>
            </w:pPr>
            <w:r w:rsidRPr="002E6AF7">
              <w:rPr>
                <w:rFonts w:asciiTheme="minorHAnsi" w:hAnsiTheme="minorHAnsi" w:cstheme="minorHAnsi"/>
                <w:i/>
                <w:iCs/>
                <w:color w:val="000000"/>
                <w:sz w:val="18"/>
                <w:szCs w:val="18"/>
              </w:rPr>
              <w:t>Previously approved</w:t>
            </w:r>
          </w:p>
        </w:tc>
        <w:tc>
          <w:tcPr>
            <w:tcW w:w="990" w:type="dxa"/>
            <w:shd w:val="clear" w:color="auto" w:fill="auto"/>
            <w:textDirection w:val="btLr"/>
            <w:vAlign w:val="center"/>
            <w:hideMark/>
          </w:tcPr>
          <w:p w:rsidR="00F35318" w:rsidRPr="002E6AF7" w:rsidP="002E6AF7" w14:paraId="238B40C4" w14:textId="77777777">
            <w:pPr>
              <w:ind w:left="113" w:right="113"/>
              <w:jc w:val="center"/>
              <w:rPr>
                <w:rFonts w:asciiTheme="minorHAnsi" w:hAnsiTheme="minorHAnsi" w:cstheme="minorHAnsi"/>
                <w:i/>
                <w:iCs/>
                <w:color w:val="000000"/>
                <w:sz w:val="18"/>
                <w:szCs w:val="18"/>
              </w:rPr>
            </w:pPr>
            <w:r w:rsidRPr="002E6AF7">
              <w:rPr>
                <w:rFonts w:asciiTheme="minorHAnsi" w:hAnsiTheme="minorHAnsi" w:cstheme="minorHAnsi"/>
                <w:i/>
                <w:iCs/>
                <w:color w:val="000000"/>
                <w:sz w:val="18"/>
                <w:szCs w:val="18"/>
              </w:rPr>
              <w:t>Requested</w:t>
            </w:r>
          </w:p>
        </w:tc>
        <w:tc>
          <w:tcPr>
            <w:tcW w:w="900" w:type="dxa"/>
            <w:shd w:val="clear" w:color="auto" w:fill="auto"/>
            <w:textDirection w:val="btLr"/>
            <w:vAlign w:val="center"/>
            <w:hideMark/>
          </w:tcPr>
          <w:p w:rsidR="00F35318" w:rsidRPr="002E6AF7" w:rsidP="002E6AF7" w14:paraId="30405EAB" w14:textId="77777777">
            <w:pPr>
              <w:ind w:left="113" w:right="113"/>
              <w:jc w:val="center"/>
              <w:rPr>
                <w:rFonts w:asciiTheme="minorHAnsi" w:hAnsiTheme="minorHAnsi" w:cstheme="minorHAnsi"/>
                <w:i/>
                <w:iCs/>
                <w:color w:val="000000"/>
                <w:sz w:val="18"/>
                <w:szCs w:val="18"/>
              </w:rPr>
            </w:pPr>
            <w:r w:rsidRPr="002E6AF7">
              <w:rPr>
                <w:rFonts w:asciiTheme="minorHAnsi" w:hAnsiTheme="minorHAnsi" w:cstheme="minorHAnsi"/>
                <w:i/>
                <w:iCs/>
                <w:color w:val="000000"/>
                <w:sz w:val="18"/>
                <w:szCs w:val="18"/>
              </w:rPr>
              <w:t>Change</w:t>
            </w:r>
          </w:p>
        </w:tc>
        <w:tc>
          <w:tcPr>
            <w:tcW w:w="810" w:type="dxa"/>
            <w:shd w:val="clear" w:color="auto" w:fill="auto"/>
            <w:textDirection w:val="btLr"/>
            <w:vAlign w:val="center"/>
            <w:hideMark/>
          </w:tcPr>
          <w:p w:rsidR="00F35318" w:rsidRPr="002E6AF7" w:rsidP="002E6AF7" w14:paraId="307C9A31" w14:textId="77777777">
            <w:pPr>
              <w:ind w:left="113" w:right="113"/>
              <w:jc w:val="center"/>
              <w:rPr>
                <w:rFonts w:asciiTheme="minorHAnsi" w:hAnsiTheme="minorHAnsi" w:cstheme="minorHAnsi"/>
                <w:i/>
                <w:iCs/>
                <w:color w:val="000000"/>
                <w:sz w:val="18"/>
                <w:szCs w:val="18"/>
              </w:rPr>
            </w:pPr>
            <w:r w:rsidRPr="002E6AF7">
              <w:rPr>
                <w:rFonts w:asciiTheme="minorHAnsi" w:hAnsiTheme="minorHAnsi" w:cstheme="minorHAnsi"/>
                <w:i/>
                <w:iCs/>
                <w:color w:val="000000"/>
                <w:sz w:val="18"/>
                <w:szCs w:val="18"/>
              </w:rPr>
              <w:t>Previously approved</w:t>
            </w:r>
          </w:p>
        </w:tc>
        <w:tc>
          <w:tcPr>
            <w:tcW w:w="810" w:type="dxa"/>
            <w:shd w:val="clear" w:color="auto" w:fill="auto"/>
            <w:textDirection w:val="btLr"/>
            <w:vAlign w:val="center"/>
            <w:hideMark/>
          </w:tcPr>
          <w:p w:rsidR="00F35318" w:rsidRPr="002E6AF7" w:rsidP="002E6AF7" w14:paraId="37341BFF" w14:textId="77777777">
            <w:pPr>
              <w:ind w:left="113" w:right="113"/>
              <w:jc w:val="center"/>
              <w:rPr>
                <w:rFonts w:asciiTheme="minorHAnsi" w:hAnsiTheme="minorHAnsi" w:cstheme="minorHAnsi"/>
                <w:i/>
                <w:iCs/>
                <w:color w:val="000000"/>
                <w:sz w:val="18"/>
                <w:szCs w:val="18"/>
              </w:rPr>
            </w:pPr>
            <w:r w:rsidRPr="002E6AF7">
              <w:rPr>
                <w:rFonts w:asciiTheme="minorHAnsi" w:hAnsiTheme="minorHAnsi" w:cstheme="minorHAnsi"/>
                <w:i/>
                <w:iCs/>
                <w:color w:val="000000"/>
                <w:sz w:val="18"/>
                <w:szCs w:val="18"/>
              </w:rPr>
              <w:t>Requested</w:t>
            </w:r>
          </w:p>
        </w:tc>
        <w:tc>
          <w:tcPr>
            <w:tcW w:w="900" w:type="dxa"/>
            <w:shd w:val="clear" w:color="auto" w:fill="auto"/>
            <w:textDirection w:val="btLr"/>
            <w:vAlign w:val="center"/>
            <w:hideMark/>
          </w:tcPr>
          <w:p w:rsidR="00F35318" w:rsidRPr="002E6AF7" w:rsidP="002E6AF7" w14:paraId="6522E970" w14:textId="77777777">
            <w:pPr>
              <w:ind w:left="113" w:right="113"/>
              <w:jc w:val="center"/>
              <w:rPr>
                <w:rFonts w:asciiTheme="minorHAnsi" w:hAnsiTheme="minorHAnsi" w:cstheme="minorHAnsi"/>
                <w:i/>
                <w:iCs/>
                <w:color w:val="000000"/>
                <w:sz w:val="18"/>
                <w:szCs w:val="18"/>
              </w:rPr>
            </w:pPr>
            <w:r w:rsidRPr="002E6AF7">
              <w:rPr>
                <w:rFonts w:asciiTheme="minorHAnsi" w:hAnsiTheme="minorHAnsi" w:cstheme="minorHAnsi"/>
                <w:i/>
                <w:iCs/>
                <w:color w:val="000000"/>
                <w:sz w:val="18"/>
                <w:szCs w:val="18"/>
              </w:rPr>
              <w:t>Change</w:t>
            </w:r>
          </w:p>
        </w:tc>
        <w:tc>
          <w:tcPr>
            <w:tcW w:w="1350" w:type="dxa"/>
            <w:textDirection w:val="btLr"/>
            <w:vAlign w:val="center"/>
          </w:tcPr>
          <w:p w:rsidR="00F35318" w:rsidRPr="002E6AF7" w:rsidP="002E6AF7" w14:paraId="07626BCC" w14:textId="684F5AB6">
            <w:pPr>
              <w:rPr>
                <w:rFonts w:asciiTheme="minorHAnsi" w:hAnsiTheme="minorHAnsi" w:cstheme="minorHAnsi"/>
                <w:sz w:val="18"/>
                <w:szCs w:val="18"/>
              </w:rPr>
            </w:pPr>
            <w:r w:rsidRPr="002E6AF7">
              <w:rPr>
                <w:rFonts w:asciiTheme="minorHAnsi" w:hAnsiTheme="minorHAnsi" w:cstheme="minorHAnsi"/>
                <w:i/>
                <w:iCs/>
                <w:color w:val="000000"/>
                <w:sz w:val="18"/>
                <w:szCs w:val="18"/>
              </w:rPr>
              <w:t>Previously approved</w:t>
            </w:r>
            <w:r>
              <w:rPr>
                <w:rStyle w:val="FootnoteReference"/>
                <w:rFonts w:asciiTheme="minorHAnsi" w:hAnsiTheme="minorHAnsi" w:cstheme="minorHAnsi"/>
                <w:color w:val="000000"/>
                <w:sz w:val="18"/>
                <w:szCs w:val="18"/>
              </w:rPr>
              <w:footnoteReference w:id="32"/>
            </w:r>
          </w:p>
        </w:tc>
        <w:tc>
          <w:tcPr>
            <w:tcW w:w="1260" w:type="dxa"/>
            <w:textDirection w:val="btLr"/>
            <w:vAlign w:val="center"/>
          </w:tcPr>
          <w:p w:rsidR="00F35318" w:rsidRPr="002E6AF7" w:rsidP="002E6AF7" w14:paraId="65CE191E" w14:textId="77777777">
            <w:pPr>
              <w:rPr>
                <w:rFonts w:asciiTheme="minorHAnsi" w:hAnsiTheme="minorHAnsi" w:cstheme="minorHAnsi"/>
                <w:sz w:val="18"/>
                <w:szCs w:val="18"/>
              </w:rPr>
            </w:pPr>
            <w:r w:rsidRPr="002E6AF7">
              <w:rPr>
                <w:rFonts w:asciiTheme="minorHAnsi" w:hAnsiTheme="minorHAnsi" w:cstheme="minorHAnsi"/>
                <w:i/>
                <w:iCs/>
                <w:color w:val="000000"/>
                <w:sz w:val="18"/>
                <w:szCs w:val="18"/>
              </w:rPr>
              <w:t>Requested</w:t>
            </w:r>
          </w:p>
        </w:tc>
        <w:tc>
          <w:tcPr>
            <w:tcW w:w="1260" w:type="dxa"/>
            <w:textDirection w:val="btLr"/>
            <w:vAlign w:val="center"/>
          </w:tcPr>
          <w:p w:rsidR="00F35318" w:rsidRPr="002E6AF7" w:rsidP="002E6AF7" w14:paraId="2EA693F4" w14:textId="77777777">
            <w:pPr>
              <w:rPr>
                <w:rFonts w:asciiTheme="minorHAnsi" w:hAnsiTheme="minorHAnsi" w:cstheme="minorHAnsi"/>
                <w:sz w:val="18"/>
                <w:szCs w:val="18"/>
              </w:rPr>
            </w:pPr>
            <w:r w:rsidRPr="002E6AF7">
              <w:rPr>
                <w:rFonts w:asciiTheme="minorHAnsi" w:hAnsiTheme="minorHAnsi" w:cstheme="minorHAnsi"/>
                <w:i/>
                <w:iCs/>
                <w:color w:val="000000"/>
                <w:sz w:val="18"/>
                <w:szCs w:val="18"/>
              </w:rPr>
              <w:t>Change</w:t>
            </w:r>
          </w:p>
        </w:tc>
      </w:tr>
      <w:tr w14:paraId="29979F63" w14:textId="77777777" w:rsidTr="001674FA">
        <w:tblPrEx>
          <w:tblW w:w="11425" w:type="dxa"/>
          <w:tblLayout w:type="fixed"/>
          <w:tblLook w:val="04A0"/>
        </w:tblPrEx>
        <w:trPr>
          <w:cantSplit/>
          <w:trHeight w:val="1086"/>
        </w:trPr>
        <w:tc>
          <w:tcPr>
            <w:tcW w:w="535" w:type="dxa"/>
            <w:shd w:val="clear" w:color="auto" w:fill="auto"/>
            <w:noWrap/>
            <w:vAlign w:val="bottom"/>
            <w:hideMark/>
          </w:tcPr>
          <w:p w:rsidR="00F53BE8" w:rsidRPr="002E6AF7" w:rsidP="00F53BE8" w14:paraId="16CF3382" w14:textId="77777777">
            <w:pPr>
              <w:rPr>
                <w:rFonts w:asciiTheme="minorHAnsi" w:hAnsiTheme="minorHAnsi" w:cstheme="minorHAnsi"/>
                <w:color w:val="000000"/>
                <w:sz w:val="18"/>
                <w:szCs w:val="18"/>
              </w:rPr>
            </w:pPr>
            <w:r w:rsidRPr="002E6AF7">
              <w:rPr>
                <w:rFonts w:asciiTheme="minorHAnsi" w:hAnsiTheme="minorHAnsi" w:cstheme="minorHAnsi"/>
                <w:color w:val="000000"/>
                <w:sz w:val="18"/>
                <w:szCs w:val="18"/>
              </w:rPr>
              <w:t>IC1</w:t>
            </w:r>
          </w:p>
        </w:tc>
        <w:tc>
          <w:tcPr>
            <w:tcW w:w="1530" w:type="dxa"/>
            <w:shd w:val="clear" w:color="auto" w:fill="auto"/>
            <w:noWrap/>
            <w:vAlign w:val="bottom"/>
            <w:hideMark/>
          </w:tcPr>
          <w:p w:rsidR="00F53BE8" w:rsidRPr="002E6AF7" w:rsidP="00F53BE8" w14:paraId="25F7CFB4" w14:textId="77777777">
            <w:pPr>
              <w:rPr>
                <w:rFonts w:asciiTheme="minorHAnsi" w:hAnsiTheme="minorHAnsi" w:cstheme="minorHAnsi"/>
                <w:color w:val="000000"/>
                <w:sz w:val="18"/>
                <w:szCs w:val="18"/>
              </w:rPr>
            </w:pPr>
            <w:r w:rsidRPr="002E6AF7">
              <w:rPr>
                <w:rFonts w:asciiTheme="minorHAnsi" w:hAnsiTheme="minorHAnsi" w:cstheme="minorHAnsi"/>
                <w:color w:val="000000"/>
                <w:sz w:val="18"/>
                <w:szCs w:val="18"/>
              </w:rPr>
              <w:t xml:space="preserve">Annual burden </w:t>
            </w:r>
            <w:r>
              <w:rPr>
                <w:rFonts w:asciiTheme="minorHAnsi" w:hAnsiTheme="minorHAnsi" w:cstheme="minorHAnsi"/>
                <w:color w:val="000000"/>
                <w:sz w:val="18"/>
                <w:szCs w:val="18"/>
              </w:rPr>
              <w:t>to</w:t>
            </w:r>
            <w:r w:rsidRPr="002E6AF7">
              <w:rPr>
                <w:rFonts w:asciiTheme="minorHAnsi" w:hAnsiTheme="minorHAnsi" w:cstheme="minorHAnsi"/>
                <w:color w:val="000000"/>
                <w:sz w:val="18"/>
                <w:szCs w:val="18"/>
              </w:rPr>
              <w:t xml:space="preserve"> updat</w:t>
            </w:r>
            <w:r>
              <w:rPr>
                <w:rFonts w:asciiTheme="minorHAnsi" w:hAnsiTheme="minorHAnsi" w:cstheme="minorHAnsi"/>
                <w:color w:val="000000"/>
                <w:sz w:val="18"/>
                <w:szCs w:val="18"/>
              </w:rPr>
              <w:t>e</w:t>
            </w:r>
            <w:r w:rsidRPr="002E6AF7">
              <w:rPr>
                <w:rFonts w:asciiTheme="minorHAnsi" w:hAnsiTheme="minorHAnsi" w:cstheme="minorHAnsi"/>
                <w:color w:val="000000"/>
                <w:sz w:val="18"/>
                <w:szCs w:val="18"/>
              </w:rPr>
              <w:t xml:space="preserve"> standardized </w:t>
            </w:r>
            <w:r>
              <w:rPr>
                <w:rFonts w:asciiTheme="minorHAnsi" w:hAnsiTheme="minorHAnsi" w:cstheme="minorHAnsi"/>
                <w:color w:val="000000"/>
                <w:sz w:val="18"/>
                <w:szCs w:val="18"/>
              </w:rPr>
              <w:t>disclosures</w:t>
            </w:r>
            <w:r w:rsidRPr="002E6AF7">
              <w:rPr>
                <w:rFonts w:asciiTheme="minorHAnsi" w:hAnsiTheme="minorHAnsi" w:cstheme="minorHAnsi"/>
                <w:color w:val="000000"/>
                <w:sz w:val="18"/>
                <w:szCs w:val="18"/>
              </w:rPr>
              <w:t xml:space="preserve"> </w:t>
            </w:r>
          </w:p>
        </w:tc>
        <w:tc>
          <w:tcPr>
            <w:tcW w:w="1080" w:type="dxa"/>
            <w:shd w:val="clear" w:color="auto" w:fill="auto"/>
            <w:noWrap/>
            <w:vAlign w:val="center"/>
            <w:hideMark/>
          </w:tcPr>
          <w:p w:rsidR="00F53BE8" w:rsidRPr="002E6AF7" w:rsidP="00F53BE8" w14:paraId="2EE7FF30" w14:textId="4ACD0BDA">
            <w:pPr>
              <w:rPr>
                <w:rFonts w:asciiTheme="minorHAnsi" w:hAnsiTheme="minorHAnsi" w:cstheme="minorHAnsi"/>
                <w:color w:val="000000"/>
                <w:sz w:val="18"/>
                <w:szCs w:val="18"/>
              </w:rPr>
            </w:pPr>
            <w:r>
              <w:rPr>
                <w:rFonts w:ascii="Calibri" w:hAnsi="Calibri" w:cs="Calibri"/>
                <w:color w:val="000000"/>
                <w:sz w:val="18"/>
                <w:szCs w:val="18"/>
              </w:rPr>
              <w:t>9</w:t>
            </w:r>
          </w:p>
        </w:tc>
        <w:tc>
          <w:tcPr>
            <w:tcW w:w="990" w:type="dxa"/>
            <w:shd w:val="clear" w:color="auto" w:fill="auto"/>
            <w:noWrap/>
            <w:vAlign w:val="center"/>
            <w:hideMark/>
          </w:tcPr>
          <w:p w:rsidR="00F53BE8" w:rsidRPr="002E6AF7" w:rsidP="00F53BE8" w14:paraId="1535A344" w14:textId="374C775F">
            <w:pPr>
              <w:rPr>
                <w:rFonts w:asciiTheme="minorHAnsi" w:hAnsiTheme="minorHAnsi" w:cstheme="minorHAnsi"/>
                <w:color w:val="000000"/>
                <w:sz w:val="18"/>
                <w:szCs w:val="18"/>
              </w:rPr>
            </w:pPr>
            <w:r>
              <w:rPr>
                <w:rFonts w:ascii="Calibri" w:hAnsi="Calibri" w:cs="Calibri"/>
                <w:color w:val="000000"/>
                <w:sz w:val="18"/>
                <w:szCs w:val="18"/>
              </w:rPr>
              <w:t>10</w:t>
            </w:r>
          </w:p>
        </w:tc>
        <w:tc>
          <w:tcPr>
            <w:tcW w:w="900" w:type="dxa"/>
            <w:shd w:val="clear" w:color="auto" w:fill="auto"/>
            <w:noWrap/>
            <w:vAlign w:val="center"/>
            <w:hideMark/>
          </w:tcPr>
          <w:p w:rsidR="00F53BE8" w:rsidRPr="002E6AF7" w:rsidP="00F53BE8" w14:paraId="45C51E7A" w14:textId="0B8C54CD">
            <w:pPr>
              <w:rPr>
                <w:rFonts w:asciiTheme="minorHAnsi" w:hAnsiTheme="minorHAnsi" w:cstheme="minorHAnsi"/>
                <w:color w:val="000000"/>
                <w:sz w:val="18"/>
                <w:szCs w:val="18"/>
              </w:rPr>
            </w:pPr>
            <w:r>
              <w:rPr>
                <w:rFonts w:ascii="Calibri" w:hAnsi="Calibri" w:cs="Calibri"/>
                <w:color w:val="000000"/>
                <w:sz w:val="18"/>
                <w:szCs w:val="18"/>
              </w:rPr>
              <w:t>1</w:t>
            </w:r>
          </w:p>
        </w:tc>
        <w:tc>
          <w:tcPr>
            <w:tcW w:w="810" w:type="dxa"/>
            <w:shd w:val="clear" w:color="auto" w:fill="auto"/>
            <w:noWrap/>
            <w:vAlign w:val="center"/>
            <w:hideMark/>
          </w:tcPr>
          <w:p w:rsidR="00F53BE8" w:rsidRPr="002E6AF7" w:rsidP="00F53BE8" w14:paraId="362EFFB2" w14:textId="219DF56C">
            <w:pPr>
              <w:rPr>
                <w:rFonts w:asciiTheme="minorHAnsi" w:hAnsiTheme="minorHAnsi" w:cstheme="minorHAnsi"/>
                <w:color w:val="000000"/>
                <w:sz w:val="18"/>
                <w:szCs w:val="18"/>
              </w:rPr>
            </w:pPr>
            <w:r>
              <w:rPr>
                <w:rFonts w:ascii="Calibri" w:hAnsi="Calibri" w:cs="Calibri"/>
                <w:color w:val="000000"/>
                <w:sz w:val="18"/>
                <w:szCs w:val="18"/>
              </w:rPr>
              <w:t>4,500</w:t>
            </w:r>
          </w:p>
        </w:tc>
        <w:tc>
          <w:tcPr>
            <w:tcW w:w="810" w:type="dxa"/>
            <w:shd w:val="clear" w:color="auto" w:fill="auto"/>
            <w:noWrap/>
            <w:vAlign w:val="center"/>
            <w:hideMark/>
          </w:tcPr>
          <w:p w:rsidR="00F53BE8" w:rsidRPr="002E6AF7" w:rsidP="00F53BE8" w14:paraId="44140D2E" w14:textId="43DCE582">
            <w:pPr>
              <w:rPr>
                <w:rFonts w:asciiTheme="minorHAnsi" w:hAnsiTheme="minorHAnsi" w:cstheme="minorHAnsi"/>
                <w:color w:val="000000"/>
                <w:sz w:val="18"/>
                <w:szCs w:val="18"/>
              </w:rPr>
            </w:pPr>
            <w:r>
              <w:rPr>
                <w:rFonts w:ascii="Calibri" w:hAnsi="Calibri" w:cs="Calibri"/>
                <w:color w:val="000000"/>
                <w:sz w:val="18"/>
                <w:szCs w:val="18"/>
              </w:rPr>
              <w:t>5,000</w:t>
            </w:r>
          </w:p>
        </w:tc>
        <w:tc>
          <w:tcPr>
            <w:tcW w:w="900" w:type="dxa"/>
            <w:shd w:val="clear" w:color="auto" w:fill="auto"/>
            <w:noWrap/>
            <w:vAlign w:val="center"/>
            <w:hideMark/>
          </w:tcPr>
          <w:p w:rsidR="00F53BE8" w:rsidRPr="002E6AF7" w:rsidP="00F53BE8" w14:paraId="504A7C6B" w14:textId="7BC4A225">
            <w:pPr>
              <w:rPr>
                <w:rFonts w:asciiTheme="minorHAnsi" w:hAnsiTheme="minorHAnsi" w:cstheme="minorHAnsi"/>
                <w:color w:val="000000"/>
                <w:sz w:val="18"/>
                <w:szCs w:val="18"/>
              </w:rPr>
            </w:pPr>
            <w:r>
              <w:rPr>
                <w:rFonts w:ascii="Calibri" w:hAnsi="Calibri" w:cs="Calibri"/>
                <w:color w:val="000000"/>
                <w:sz w:val="18"/>
                <w:szCs w:val="18"/>
              </w:rPr>
              <w:t>500</w:t>
            </w:r>
          </w:p>
        </w:tc>
        <w:tc>
          <w:tcPr>
            <w:tcW w:w="1350" w:type="dxa"/>
            <w:vMerge w:val="restart"/>
            <w:vAlign w:val="bottom"/>
          </w:tcPr>
          <w:p w:rsidR="00F53BE8" w:rsidRPr="002E6AF7" w:rsidP="00F53BE8" w14:paraId="5494057D" w14:textId="46F9A7D8">
            <w:pPr>
              <w:rPr>
                <w:rFonts w:asciiTheme="minorHAnsi" w:hAnsiTheme="minorHAnsi" w:cstheme="minorHAnsi"/>
                <w:sz w:val="18"/>
                <w:szCs w:val="18"/>
              </w:rPr>
            </w:pPr>
            <w:r>
              <w:rPr>
                <w:rFonts w:asciiTheme="minorHAnsi" w:hAnsiTheme="minorHAnsi" w:cstheme="minorHAnsi"/>
                <w:color w:val="000000"/>
                <w:sz w:val="18"/>
                <w:szCs w:val="18"/>
              </w:rPr>
              <w:t>$</w:t>
            </w:r>
            <w:r w:rsidRPr="00B81566">
              <w:rPr>
                <w:rFonts w:asciiTheme="minorHAnsi" w:hAnsiTheme="minorHAnsi" w:cstheme="minorHAnsi"/>
                <w:color w:val="000000"/>
                <w:sz w:val="18"/>
                <w:szCs w:val="18"/>
              </w:rPr>
              <w:t>196,783,000</w:t>
            </w:r>
          </w:p>
        </w:tc>
        <w:tc>
          <w:tcPr>
            <w:tcW w:w="1260" w:type="dxa"/>
            <w:vMerge w:val="restart"/>
            <w:vAlign w:val="bottom"/>
          </w:tcPr>
          <w:p w:rsidR="00E83B75" w:rsidRPr="00E83B75" w:rsidP="00E83B75" w14:paraId="3224E0CA" w14:textId="77777777">
            <w:pPr>
              <w:rPr>
                <w:rFonts w:asciiTheme="minorHAnsi" w:hAnsiTheme="minorHAnsi" w:cstheme="minorHAnsi"/>
                <w:color w:val="000000"/>
                <w:sz w:val="18"/>
                <w:szCs w:val="18"/>
              </w:rPr>
            </w:pPr>
            <w:r w:rsidRPr="00E83B75">
              <w:rPr>
                <w:rFonts w:asciiTheme="minorHAnsi" w:hAnsiTheme="minorHAnsi" w:cstheme="minorHAnsi"/>
                <w:color w:val="000000"/>
                <w:sz w:val="18"/>
                <w:szCs w:val="18"/>
              </w:rPr>
              <w:t xml:space="preserve">$238,534,956 </w:t>
            </w:r>
          </w:p>
          <w:p w:rsidR="00F53BE8" w:rsidRPr="001674FA" w:rsidP="0036427F" w14:paraId="4DA36679" w14:textId="681CA123">
            <w:pPr>
              <w:rPr>
                <w:rFonts w:asciiTheme="minorHAnsi" w:hAnsiTheme="minorHAnsi" w:cstheme="minorHAnsi"/>
                <w:color w:val="000000"/>
                <w:sz w:val="18"/>
                <w:szCs w:val="18"/>
              </w:rPr>
            </w:pPr>
          </w:p>
        </w:tc>
        <w:tc>
          <w:tcPr>
            <w:tcW w:w="1260" w:type="dxa"/>
            <w:vMerge w:val="restart"/>
            <w:vAlign w:val="bottom"/>
          </w:tcPr>
          <w:p w:rsidR="007648BC" w:rsidRPr="007648BC" w:rsidP="007648BC" w14:paraId="17B318A7" w14:textId="5005B349">
            <w:pPr>
              <w:rPr>
                <w:rFonts w:asciiTheme="minorHAnsi" w:hAnsiTheme="minorHAnsi" w:cstheme="minorHAnsi"/>
                <w:color w:val="000000"/>
                <w:sz w:val="18"/>
                <w:szCs w:val="18"/>
              </w:rPr>
            </w:pPr>
            <w:r>
              <w:rPr>
                <w:rFonts w:asciiTheme="minorHAnsi" w:hAnsiTheme="minorHAnsi" w:cstheme="minorHAnsi"/>
                <w:color w:val="000000"/>
                <w:sz w:val="18"/>
                <w:szCs w:val="18"/>
              </w:rPr>
              <w:t>+</w:t>
            </w:r>
            <w:r w:rsidRPr="007648BC">
              <w:rPr>
                <w:rFonts w:asciiTheme="minorHAnsi" w:hAnsiTheme="minorHAnsi" w:cstheme="minorHAnsi"/>
                <w:color w:val="000000"/>
                <w:sz w:val="18"/>
                <w:szCs w:val="18"/>
              </w:rPr>
              <w:t>41,751,956</w:t>
            </w:r>
          </w:p>
          <w:p w:rsidR="00F53BE8" w:rsidRPr="001674FA" w:rsidP="0036427F" w14:paraId="109F1689" w14:textId="2D5EB241">
            <w:pPr>
              <w:rPr>
                <w:rFonts w:asciiTheme="minorHAnsi" w:hAnsiTheme="minorHAnsi" w:cstheme="minorHAnsi"/>
                <w:color w:val="000000"/>
                <w:sz w:val="18"/>
                <w:szCs w:val="18"/>
              </w:rPr>
            </w:pPr>
          </w:p>
        </w:tc>
      </w:tr>
      <w:tr w14:paraId="7A9E1538" w14:textId="77777777" w:rsidTr="001674FA">
        <w:tblPrEx>
          <w:tblW w:w="11425" w:type="dxa"/>
          <w:tblLayout w:type="fixed"/>
          <w:tblLook w:val="04A0"/>
        </w:tblPrEx>
        <w:trPr>
          <w:cantSplit/>
          <w:trHeight w:val="1086"/>
        </w:trPr>
        <w:tc>
          <w:tcPr>
            <w:tcW w:w="535" w:type="dxa"/>
            <w:shd w:val="clear" w:color="auto" w:fill="auto"/>
            <w:noWrap/>
            <w:vAlign w:val="bottom"/>
          </w:tcPr>
          <w:p w:rsidR="00F53BE8" w:rsidRPr="002E6AF7" w:rsidP="00F53BE8" w14:paraId="52E52B75" w14:textId="77777777">
            <w:pPr>
              <w:rPr>
                <w:rFonts w:asciiTheme="minorHAnsi" w:hAnsiTheme="minorHAnsi" w:cstheme="minorHAnsi"/>
                <w:color w:val="000000"/>
                <w:sz w:val="18"/>
                <w:szCs w:val="18"/>
              </w:rPr>
            </w:pPr>
            <w:r w:rsidRPr="002E6AF7">
              <w:rPr>
                <w:rFonts w:asciiTheme="minorHAnsi" w:hAnsiTheme="minorHAnsi" w:cstheme="minorHAnsi"/>
                <w:color w:val="000000"/>
                <w:sz w:val="18"/>
                <w:szCs w:val="18"/>
              </w:rPr>
              <w:t>IC2</w:t>
            </w:r>
          </w:p>
        </w:tc>
        <w:tc>
          <w:tcPr>
            <w:tcW w:w="1530" w:type="dxa"/>
            <w:shd w:val="clear" w:color="auto" w:fill="auto"/>
            <w:noWrap/>
            <w:vAlign w:val="bottom"/>
          </w:tcPr>
          <w:p w:rsidR="00F53BE8" w:rsidRPr="002E6AF7" w:rsidP="00F53BE8" w14:paraId="3CC10F0E" w14:textId="77777777">
            <w:pPr>
              <w:rPr>
                <w:rFonts w:asciiTheme="minorHAnsi" w:hAnsiTheme="minorHAnsi" w:cstheme="minorHAnsi"/>
                <w:color w:val="000000"/>
                <w:sz w:val="18"/>
                <w:szCs w:val="18"/>
              </w:rPr>
            </w:pPr>
            <w:r w:rsidRPr="002E6AF7">
              <w:rPr>
                <w:rFonts w:asciiTheme="minorHAnsi" w:hAnsiTheme="minorHAnsi" w:cstheme="minorHAnsi"/>
                <w:color w:val="000000"/>
                <w:sz w:val="18"/>
                <w:szCs w:val="18"/>
              </w:rPr>
              <w:t xml:space="preserve">Annual disclosure burden to generate and publish forms </w:t>
            </w:r>
          </w:p>
        </w:tc>
        <w:tc>
          <w:tcPr>
            <w:tcW w:w="1080" w:type="dxa"/>
            <w:shd w:val="clear" w:color="auto" w:fill="auto"/>
            <w:noWrap/>
            <w:vAlign w:val="center"/>
          </w:tcPr>
          <w:p w:rsidR="00F53BE8" w:rsidRPr="002E6AF7" w:rsidP="00F53BE8" w14:paraId="556B66F9" w14:textId="24E928BA">
            <w:pPr>
              <w:rPr>
                <w:rFonts w:asciiTheme="minorHAnsi" w:hAnsiTheme="minorHAnsi" w:cstheme="minorHAnsi"/>
                <w:color w:val="000000"/>
                <w:sz w:val="18"/>
                <w:szCs w:val="18"/>
              </w:rPr>
            </w:pPr>
            <w:r>
              <w:rPr>
                <w:rFonts w:ascii="Calibri" w:hAnsi="Calibri" w:cs="Calibri"/>
                <w:color w:val="000000"/>
                <w:sz w:val="18"/>
                <w:szCs w:val="18"/>
              </w:rPr>
              <w:t>2,071,040</w:t>
            </w:r>
          </w:p>
        </w:tc>
        <w:tc>
          <w:tcPr>
            <w:tcW w:w="990" w:type="dxa"/>
            <w:shd w:val="clear" w:color="auto" w:fill="auto"/>
            <w:noWrap/>
            <w:vAlign w:val="center"/>
          </w:tcPr>
          <w:p w:rsidR="00F53BE8" w:rsidRPr="002E6AF7" w:rsidP="00F53BE8" w14:paraId="145A44F6" w14:textId="1FCC3B7E">
            <w:pPr>
              <w:rPr>
                <w:rFonts w:asciiTheme="minorHAnsi" w:hAnsiTheme="minorHAnsi" w:cstheme="minorHAnsi"/>
                <w:color w:val="000000"/>
                <w:sz w:val="18"/>
                <w:szCs w:val="18"/>
              </w:rPr>
            </w:pPr>
            <w:r>
              <w:rPr>
                <w:rFonts w:ascii="Calibri" w:hAnsi="Calibri" w:cs="Calibri"/>
                <w:color w:val="000000"/>
                <w:sz w:val="18"/>
                <w:szCs w:val="18"/>
              </w:rPr>
              <w:t>1,908,670</w:t>
            </w:r>
          </w:p>
        </w:tc>
        <w:tc>
          <w:tcPr>
            <w:tcW w:w="900" w:type="dxa"/>
            <w:shd w:val="clear" w:color="auto" w:fill="auto"/>
            <w:noWrap/>
            <w:vAlign w:val="center"/>
          </w:tcPr>
          <w:p w:rsidR="00F53BE8" w:rsidRPr="002E6AF7" w:rsidP="00F53BE8" w14:paraId="6614576C" w14:textId="79131508">
            <w:pPr>
              <w:rPr>
                <w:rFonts w:asciiTheme="minorHAnsi" w:hAnsiTheme="minorHAnsi" w:cstheme="minorHAnsi"/>
                <w:color w:val="000000"/>
                <w:sz w:val="18"/>
                <w:szCs w:val="18"/>
              </w:rPr>
            </w:pPr>
            <w:r>
              <w:rPr>
                <w:rFonts w:ascii="Calibri" w:hAnsi="Calibri" w:cs="Calibri"/>
                <w:color w:val="000000"/>
                <w:sz w:val="18"/>
                <w:szCs w:val="18"/>
              </w:rPr>
              <w:t>-162,370</w:t>
            </w:r>
          </w:p>
        </w:tc>
        <w:tc>
          <w:tcPr>
            <w:tcW w:w="810" w:type="dxa"/>
            <w:shd w:val="clear" w:color="auto" w:fill="auto"/>
            <w:noWrap/>
            <w:vAlign w:val="center"/>
          </w:tcPr>
          <w:p w:rsidR="00F53BE8" w:rsidRPr="002E6AF7" w:rsidP="00F53BE8" w14:paraId="356AC412" w14:textId="6C1ABFF3">
            <w:pPr>
              <w:rPr>
                <w:rFonts w:asciiTheme="minorHAnsi" w:hAnsiTheme="minorHAnsi" w:cstheme="minorHAnsi"/>
                <w:color w:val="000000"/>
                <w:sz w:val="18"/>
                <w:szCs w:val="18"/>
              </w:rPr>
            </w:pPr>
            <w:r>
              <w:rPr>
                <w:rFonts w:ascii="Calibri" w:hAnsi="Calibri" w:cs="Calibri"/>
                <w:color w:val="000000"/>
                <w:sz w:val="18"/>
                <w:szCs w:val="18"/>
              </w:rPr>
              <w:t>690,348</w:t>
            </w:r>
          </w:p>
        </w:tc>
        <w:tc>
          <w:tcPr>
            <w:tcW w:w="810" w:type="dxa"/>
            <w:shd w:val="clear" w:color="auto" w:fill="auto"/>
            <w:noWrap/>
            <w:vAlign w:val="center"/>
          </w:tcPr>
          <w:p w:rsidR="00F53BE8" w:rsidRPr="002E6AF7" w:rsidP="00F53BE8" w14:paraId="5BF0A75A" w14:textId="5942CAC8">
            <w:pPr>
              <w:rPr>
                <w:rFonts w:asciiTheme="minorHAnsi" w:hAnsiTheme="minorHAnsi" w:cstheme="minorHAnsi"/>
                <w:color w:val="000000"/>
                <w:sz w:val="18"/>
                <w:szCs w:val="18"/>
              </w:rPr>
            </w:pPr>
            <w:r>
              <w:rPr>
                <w:rFonts w:ascii="Calibri" w:hAnsi="Calibri" w:cs="Calibri"/>
                <w:color w:val="000000"/>
                <w:sz w:val="18"/>
                <w:szCs w:val="18"/>
              </w:rPr>
              <w:t>636,223</w:t>
            </w:r>
          </w:p>
        </w:tc>
        <w:tc>
          <w:tcPr>
            <w:tcW w:w="900" w:type="dxa"/>
            <w:shd w:val="clear" w:color="auto" w:fill="auto"/>
            <w:noWrap/>
            <w:vAlign w:val="center"/>
          </w:tcPr>
          <w:p w:rsidR="00F53BE8" w:rsidRPr="002E6AF7" w:rsidP="00F53BE8" w14:paraId="3A51061B" w14:textId="70DCAD41">
            <w:pPr>
              <w:rPr>
                <w:rFonts w:asciiTheme="minorHAnsi" w:hAnsiTheme="minorHAnsi" w:cstheme="minorHAnsi"/>
                <w:color w:val="000000"/>
                <w:sz w:val="18"/>
                <w:szCs w:val="18"/>
              </w:rPr>
            </w:pPr>
            <w:r>
              <w:rPr>
                <w:rFonts w:ascii="Calibri" w:hAnsi="Calibri" w:cs="Calibri"/>
                <w:color w:val="000000"/>
                <w:sz w:val="18"/>
                <w:szCs w:val="18"/>
              </w:rPr>
              <w:t>-54,125</w:t>
            </w:r>
          </w:p>
        </w:tc>
        <w:tc>
          <w:tcPr>
            <w:tcW w:w="1350" w:type="dxa"/>
            <w:vMerge/>
            <w:vAlign w:val="bottom"/>
          </w:tcPr>
          <w:p w:rsidR="00F53BE8" w:rsidRPr="002E6AF7" w:rsidP="00F53BE8" w14:paraId="51640E8D" w14:textId="77777777">
            <w:pPr>
              <w:rPr>
                <w:rFonts w:asciiTheme="minorHAnsi" w:hAnsiTheme="minorHAnsi" w:cstheme="minorHAnsi"/>
                <w:sz w:val="18"/>
                <w:szCs w:val="18"/>
              </w:rPr>
            </w:pPr>
          </w:p>
        </w:tc>
        <w:tc>
          <w:tcPr>
            <w:tcW w:w="1260" w:type="dxa"/>
            <w:vMerge/>
            <w:vAlign w:val="bottom"/>
          </w:tcPr>
          <w:p w:rsidR="00F53BE8" w:rsidRPr="002E6AF7" w:rsidP="00F53BE8" w14:paraId="068F21C6" w14:textId="77777777">
            <w:pPr>
              <w:rPr>
                <w:rFonts w:asciiTheme="minorHAnsi" w:hAnsiTheme="minorHAnsi" w:cstheme="minorHAnsi"/>
                <w:sz w:val="18"/>
                <w:szCs w:val="18"/>
              </w:rPr>
            </w:pPr>
          </w:p>
        </w:tc>
        <w:tc>
          <w:tcPr>
            <w:tcW w:w="1260" w:type="dxa"/>
            <w:vMerge/>
            <w:vAlign w:val="bottom"/>
          </w:tcPr>
          <w:p w:rsidR="00F53BE8" w:rsidRPr="002E6AF7" w:rsidP="00F53BE8" w14:paraId="3C0F67A5" w14:textId="77777777">
            <w:pPr>
              <w:rPr>
                <w:rFonts w:asciiTheme="minorHAnsi" w:hAnsiTheme="minorHAnsi" w:cstheme="minorHAnsi"/>
                <w:sz w:val="18"/>
                <w:szCs w:val="18"/>
              </w:rPr>
            </w:pPr>
          </w:p>
        </w:tc>
      </w:tr>
      <w:tr w14:paraId="2CA17BB1" w14:textId="77777777" w:rsidTr="001674FA">
        <w:tblPrEx>
          <w:tblW w:w="11425" w:type="dxa"/>
          <w:tblLayout w:type="fixed"/>
          <w:tblLook w:val="04A0"/>
        </w:tblPrEx>
        <w:trPr>
          <w:cantSplit/>
          <w:trHeight w:val="1086"/>
        </w:trPr>
        <w:tc>
          <w:tcPr>
            <w:tcW w:w="535" w:type="dxa"/>
            <w:shd w:val="clear" w:color="auto" w:fill="auto"/>
            <w:noWrap/>
            <w:vAlign w:val="bottom"/>
          </w:tcPr>
          <w:p w:rsidR="00F53BE8" w:rsidRPr="002E6AF7" w:rsidP="00F53BE8" w14:paraId="6BF6EE21" w14:textId="77777777">
            <w:pPr>
              <w:rPr>
                <w:rFonts w:asciiTheme="minorHAnsi" w:hAnsiTheme="minorHAnsi" w:cstheme="minorHAnsi"/>
                <w:color w:val="000000"/>
                <w:sz w:val="18"/>
                <w:szCs w:val="18"/>
              </w:rPr>
            </w:pPr>
            <w:r w:rsidRPr="002E6AF7">
              <w:rPr>
                <w:rFonts w:asciiTheme="minorHAnsi" w:hAnsiTheme="minorHAnsi" w:cstheme="minorHAnsi"/>
                <w:color w:val="000000"/>
                <w:sz w:val="18"/>
                <w:szCs w:val="18"/>
              </w:rPr>
              <w:t>IC3</w:t>
            </w:r>
          </w:p>
        </w:tc>
        <w:tc>
          <w:tcPr>
            <w:tcW w:w="1530" w:type="dxa"/>
            <w:shd w:val="clear" w:color="auto" w:fill="auto"/>
            <w:noWrap/>
            <w:vAlign w:val="bottom"/>
          </w:tcPr>
          <w:p w:rsidR="00F53BE8" w:rsidRPr="002E6AF7" w:rsidP="00F53BE8" w14:paraId="7B1A480B" w14:textId="77777777">
            <w:pPr>
              <w:rPr>
                <w:rFonts w:asciiTheme="minorHAnsi" w:hAnsiTheme="minorHAnsi" w:cstheme="minorHAnsi"/>
                <w:color w:val="000000"/>
                <w:sz w:val="18"/>
                <w:szCs w:val="18"/>
              </w:rPr>
            </w:pPr>
            <w:r w:rsidRPr="002E6AF7">
              <w:rPr>
                <w:rFonts w:asciiTheme="minorHAnsi" w:hAnsiTheme="minorHAnsi" w:cstheme="minorHAnsi"/>
                <w:color w:val="000000"/>
                <w:sz w:val="18"/>
                <w:szCs w:val="18"/>
              </w:rPr>
              <w:t>Annual disclosure burden for credit rating histories</w:t>
            </w:r>
          </w:p>
        </w:tc>
        <w:tc>
          <w:tcPr>
            <w:tcW w:w="1080" w:type="dxa"/>
            <w:shd w:val="clear" w:color="auto" w:fill="auto"/>
            <w:noWrap/>
            <w:vAlign w:val="center"/>
          </w:tcPr>
          <w:p w:rsidR="00F53BE8" w:rsidRPr="002E6AF7" w:rsidP="00F53BE8" w14:paraId="3A4AC91B" w14:textId="5CEF79BE">
            <w:pPr>
              <w:rPr>
                <w:rFonts w:asciiTheme="minorHAnsi" w:hAnsiTheme="minorHAnsi" w:cstheme="minorHAnsi"/>
                <w:color w:val="000000"/>
                <w:sz w:val="18"/>
                <w:szCs w:val="18"/>
              </w:rPr>
            </w:pPr>
            <w:r>
              <w:rPr>
                <w:rFonts w:ascii="Calibri" w:hAnsi="Calibri" w:cs="Calibri"/>
                <w:color w:val="000000"/>
                <w:sz w:val="18"/>
                <w:szCs w:val="18"/>
              </w:rPr>
              <w:t>9</w:t>
            </w:r>
          </w:p>
        </w:tc>
        <w:tc>
          <w:tcPr>
            <w:tcW w:w="990" w:type="dxa"/>
            <w:shd w:val="clear" w:color="auto" w:fill="auto"/>
            <w:noWrap/>
            <w:vAlign w:val="center"/>
          </w:tcPr>
          <w:p w:rsidR="00F53BE8" w:rsidRPr="002E6AF7" w:rsidP="00F53BE8" w14:paraId="6211D511" w14:textId="6A1E53D9">
            <w:pPr>
              <w:rPr>
                <w:rFonts w:asciiTheme="minorHAnsi" w:hAnsiTheme="minorHAnsi" w:cstheme="minorHAnsi"/>
                <w:color w:val="000000"/>
                <w:sz w:val="18"/>
                <w:szCs w:val="18"/>
              </w:rPr>
            </w:pPr>
            <w:r>
              <w:rPr>
                <w:rFonts w:ascii="Calibri" w:hAnsi="Calibri" w:cs="Calibri"/>
                <w:color w:val="000000"/>
                <w:sz w:val="18"/>
                <w:szCs w:val="18"/>
              </w:rPr>
              <w:t>10</w:t>
            </w:r>
          </w:p>
        </w:tc>
        <w:tc>
          <w:tcPr>
            <w:tcW w:w="900" w:type="dxa"/>
            <w:shd w:val="clear" w:color="auto" w:fill="auto"/>
            <w:noWrap/>
            <w:vAlign w:val="center"/>
          </w:tcPr>
          <w:p w:rsidR="00F53BE8" w:rsidRPr="002E6AF7" w:rsidP="00F53BE8" w14:paraId="6127D938" w14:textId="2883A644">
            <w:pPr>
              <w:rPr>
                <w:rFonts w:asciiTheme="minorHAnsi" w:hAnsiTheme="minorHAnsi" w:cstheme="minorHAnsi"/>
                <w:color w:val="000000"/>
                <w:sz w:val="18"/>
                <w:szCs w:val="18"/>
              </w:rPr>
            </w:pPr>
            <w:r>
              <w:rPr>
                <w:rFonts w:ascii="Calibri" w:hAnsi="Calibri" w:cs="Calibri"/>
                <w:color w:val="000000"/>
                <w:sz w:val="18"/>
                <w:szCs w:val="18"/>
              </w:rPr>
              <w:t>1</w:t>
            </w:r>
          </w:p>
        </w:tc>
        <w:tc>
          <w:tcPr>
            <w:tcW w:w="810" w:type="dxa"/>
            <w:shd w:val="clear" w:color="auto" w:fill="auto"/>
            <w:noWrap/>
            <w:vAlign w:val="center"/>
          </w:tcPr>
          <w:p w:rsidR="00F53BE8" w:rsidRPr="002E6AF7" w:rsidP="00F53BE8" w14:paraId="50C536B3" w14:textId="5D8E50E6">
            <w:pPr>
              <w:rPr>
                <w:rFonts w:asciiTheme="minorHAnsi" w:hAnsiTheme="minorHAnsi" w:cstheme="minorHAnsi"/>
                <w:color w:val="000000"/>
                <w:sz w:val="18"/>
                <w:szCs w:val="18"/>
              </w:rPr>
            </w:pPr>
            <w:r>
              <w:rPr>
                <w:rFonts w:ascii="Calibri" w:hAnsi="Calibri" w:cs="Calibri"/>
                <w:color w:val="000000"/>
                <w:sz w:val="18"/>
                <w:szCs w:val="18"/>
              </w:rPr>
              <w:t>405</w:t>
            </w:r>
          </w:p>
        </w:tc>
        <w:tc>
          <w:tcPr>
            <w:tcW w:w="810" w:type="dxa"/>
            <w:shd w:val="clear" w:color="auto" w:fill="auto"/>
            <w:noWrap/>
            <w:vAlign w:val="center"/>
          </w:tcPr>
          <w:p w:rsidR="00F53BE8" w:rsidRPr="002E6AF7" w:rsidP="00F53BE8" w14:paraId="38D04672" w14:textId="389D802A">
            <w:pPr>
              <w:rPr>
                <w:rFonts w:asciiTheme="minorHAnsi" w:hAnsiTheme="minorHAnsi" w:cstheme="minorHAnsi"/>
                <w:color w:val="000000"/>
                <w:sz w:val="18"/>
                <w:szCs w:val="18"/>
              </w:rPr>
            </w:pPr>
            <w:r>
              <w:rPr>
                <w:rFonts w:ascii="Calibri" w:hAnsi="Calibri" w:cs="Calibri"/>
                <w:color w:val="000000"/>
                <w:sz w:val="18"/>
                <w:szCs w:val="18"/>
              </w:rPr>
              <w:t>450</w:t>
            </w:r>
          </w:p>
        </w:tc>
        <w:tc>
          <w:tcPr>
            <w:tcW w:w="900" w:type="dxa"/>
            <w:shd w:val="clear" w:color="auto" w:fill="auto"/>
            <w:noWrap/>
            <w:vAlign w:val="center"/>
          </w:tcPr>
          <w:p w:rsidR="00F53BE8" w:rsidRPr="002E6AF7" w:rsidP="00F53BE8" w14:paraId="292B5FF4" w14:textId="01F4B58B">
            <w:pPr>
              <w:rPr>
                <w:rFonts w:asciiTheme="minorHAnsi" w:hAnsiTheme="minorHAnsi" w:cstheme="minorHAnsi"/>
                <w:color w:val="000000"/>
                <w:sz w:val="18"/>
                <w:szCs w:val="18"/>
              </w:rPr>
            </w:pPr>
            <w:r>
              <w:rPr>
                <w:rFonts w:ascii="Calibri" w:hAnsi="Calibri" w:cs="Calibri"/>
                <w:color w:val="000000"/>
                <w:sz w:val="18"/>
                <w:szCs w:val="18"/>
              </w:rPr>
              <w:t>45</w:t>
            </w:r>
          </w:p>
        </w:tc>
        <w:tc>
          <w:tcPr>
            <w:tcW w:w="1350" w:type="dxa"/>
            <w:vAlign w:val="bottom"/>
          </w:tcPr>
          <w:p w:rsidR="00F53BE8" w:rsidRPr="002E6AF7" w:rsidP="00F53BE8" w14:paraId="000CD3A2" w14:textId="4184B363">
            <w:pPr>
              <w:rPr>
                <w:rFonts w:asciiTheme="minorHAnsi" w:hAnsiTheme="minorHAnsi" w:cstheme="minorHAnsi"/>
                <w:sz w:val="18"/>
                <w:szCs w:val="18"/>
              </w:rPr>
            </w:pPr>
            <w:r w:rsidRPr="00374B2F">
              <w:rPr>
                <w:rFonts w:asciiTheme="minorHAnsi" w:hAnsiTheme="minorHAnsi" w:cstheme="minorHAnsi"/>
                <w:sz w:val="18"/>
                <w:szCs w:val="18"/>
              </w:rPr>
              <w:t>$131,000</w:t>
            </w:r>
          </w:p>
        </w:tc>
        <w:tc>
          <w:tcPr>
            <w:tcW w:w="1260" w:type="dxa"/>
            <w:vAlign w:val="bottom"/>
          </w:tcPr>
          <w:p w:rsidR="00F53BE8" w:rsidRPr="002E6AF7" w:rsidP="00F53BE8" w14:paraId="071FA5FA" w14:textId="0643F1BF">
            <w:pPr>
              <w:rPr>
                <w:rFonts w:asciiTheme="minorHAnsi" w:hAnsiTheme="minorHAnsi" w:cstheme="minorHAnsi"/>
                <w:sz w:val="18"/>
                <w:szCs w:val="18"/>
              </w:rPr>
            </w:pPr>
            <w:r>
              <w:rPr>
                <w:rFonts w:asciiTheme="minorHAnsi" w:hAnsiTheme="minorHAnsi" w:cstheme="minorHAnsi"/>
                <w:sz w:val="18"/>
                <w:szCs w:val="18"/>
              </w:rPr>
              <w:t>$</w:t>
            </w:r>
            <w:r w:rsidRPr="00000A35">
              <w:rPr>
                <w:rFonts w:asciiTheme="minorHAnsi" w:hAnsiTheme="minorHAnsi" w:cstheme="minorHAnsi"/>
                <w:sz w:val="18"/>
                <w:szCs w:val="18"/>
              </w:rPr>
              <w:t>153,900</w:t>
            </w:r>
          </w:p>
        </w:tc>
        <w:tc>
          <w:tcPr>
            <w:tcW w:w="1260" w:type="dxa"/>
            <w:vAlign w:val="bottom"/>
          </w:tcPr>
          <w:p w:rsidR="00F53BE8" w:rsidRPr="002E6AF7" w:rsidP="00F53BE8" w14:paraId="642F1D2B" w14:textId="7CC1E88D">
            <w:pPr>
              <w:rPr>
                <w:rFonts w:asciiTheme="minorHAnsi" w:hAnsiTheme="minorHAnsi" w:cstheme="minorHAnsi"/>
                <w:sz w:val="18"/>
                <w:szCs w:val="18"/>
              </w:rPr>
            </w:pPr>
            <w:r>
              <w:rPr>
                <w:rFonts w:asciiTheme="minorHAnsi" w:hAnsiTheme="minorHAnsi" w:cstheme="minorHAnsi"/>
                <w:sz w:val="18"/>
                <w:szCs w:val="18"/>
              </w:rPr>
              <w:t>+$22,900</w:t>
            </w:r>
          </w:p>
        </w:tc>
      </w:tr>
      <w:tr w14:paraId="3F94D41C" w14:textId="77777777" w:rsidTr="001674FA">
        <w:tblPrEx>
          <w:tblW w:w="11425" w:type="dxa"/>
          <w:tblLayout w:type="fixed"/>
          <w:tblLook w:val="04A0"/>
        </w:tblPrEx>
        <w:trPr>
          <w:trHeight w:val="277"/>
        </w:trPr>
        <w:tc>
          <w:tcPr>
            <w:tcW w:w="2065" w:type="dxa"/>
            <w:gridSpan w:val="2"/>
            <w:shd w:val="clear" w:color="auto" w:fill="auto"/>
            <w:noWrap/>
            <w:vAlign w:val="bottom"/>
            <w:hideMark/>
          </w:tcPr>
          <w:p w:rsidR="00F53BE8" w:rsidRPr="002E6AF7" w:rsidP="00F53BE8" w14:paraId="0A943255" w14:textId="77777777">
            <w:pPr>
              <w:rPr>
                <w:rFonts w:asciiTheme="minorHAnsi" w:hAnsiTheme="minorHAnsi" w:cstheme="minorHAnsi"/>
                <w:b/>
                <w:bCs/>
                <w:color w:val="000000"/>
                <w:sz w:val="18"/>
                <w:szCs w:val="18"/>
              </w:rPr>
            </w:pPr>
            <w:r w:rsidRPr="002E6AF7">
              <w:rPr>
                <w:rFonts w:asciiTheme="minorHAnsi" w:hAnsiTheme="minorHAnsi" w:cstheme="minorHAnsi"/>
                <w:b/>
                <w:bCs/>
                <w:color w:val="000000"/>
                <w:sz w:val="18"/>
                <w:szCs w:val="18"/>
              </w:rPr>
              <w:t>Total for all ICs</w:t>
            </w:r>
          </w:p>
        </w:tc>
        <w:tc>
          <w:tcPr>
            <w:tcW w:w="1080" w:type="dxa"/>
            <w:shd w:val="clear" w:color="auto" w:fill="auto"/>
            <w:noWrap/>
            <w:vAlign w:val="bottom"/>
          </w:tcPr>
          <w:p w:rsidR="00F53BE8" w:rsidRPr="002E6AF7" w:rsidP="00F53BE8" w14:paraId="725BA84A" w14:textId="27A5AF34">
            <w:pPr>
              <w:jc w:val="right"/>
              <w:rPr>
                <w:rFonts w:asciiTheme="minorHAnsi" w:hAnsiTheme="minorHAnsi" w:cstheme="minorHAnsi"/>
                <w:b/>
                <w:bCs/>
                <w:color w:val="000000"/>
                <w:sz w:val="18"/>
                <w:szCs w:val="18"/>
              </w:rPr>
            </w:pPr>
          </w:p>
        </w:tc>
        <w:tc>
          <w:tcPr>
            <w:tcW w:w="990" w:type="dxa"/>
            <w:shd w:val="clear" w:color="auto" w:fill="auto"/>
            <w:noWrap/>
            <w:vAlign w:val="center"/>
          </w:tcPr>
          <w:p w:rsidR="00F53BE8" w:rsidRPr="002E6AF7" w:rsidP="00F53BE8" w14:paraId="41540EAD" w14:textId="62B01D84">
            <w:pPr>
              <w:jc w:val="right"/>
              <w:rPr>
                <w:rFonts w:asciiTheme="minorHAnsi" w:hAnsiTheme="minorHAnsi" w:cstheme="minorHAnsi"/>
                <w:b/>
                <w:bCs/>
                <w:color w:val="000000"/>
                <w:sz w:val="18"/>
                <w:szCs w:val="18"/>
              </w:rPr>
            </w:pPr>
            <w:r>
              <w:rPr>
                <w:rFonts w:ascii="Calibri" w:hAnsi="Calibri" w:cs="Calibri"/>
                <w:b/>
                <w:bCs/>
                <w:color w:val="000000"/>
                <w:sz w:val="18"/>
                <w:szCs w:val="18"/>
              </w:rPr>
              <w:t> </w:t>
            </w:r>
          </w:p>
        </w:tc>
        <w:tc>
          <w:tcPr>
            <w:tcW w:w="900" w:type="dxa"/>
            <w:shd w:val="clear" w:color="auto" w:fill="auto"/>
            <w:noWrap/>
            <w:vAlign w:val="center"/>
          </w:tcPr>
          <w:p w:rsidR="00F53BE8" w:rsidRPr="002E6AF7" w:rsidP="00F53BE8" w14:paraId="50C3DCFC" w14:textId="7347F7A8">
            <w:pPr>
              <w:jc w:val="right"/>
              <w:rPr>
                <w:rFonts w:asciiTheme="minorHAnsi" w:hAnsiTheme="minorHAnsi" w:cstheme="minorHAnsi"/>
                <w:b/>
                <w:bCs/>
                <w:color w:val="000000"/>
                <w:sz w:val="18"/>
                <w:szCs w:val="18"/>
              </w:rPr>
            </w:pPr>
            <w:r>
              <w:rPr>
                <w:rFonts w:ascii="Calibri" w:hAnsi="Calibri" w:cs="Calibri"/>
                <w:b/>
                <w:bCs/>
                <w:color w:val="000000"/>
                <w:sz w:val="18"/>
                <w:szCs w:val="18"/>
              </w:rPr>
              <w:t> </w:t>
            </w:r>
          </w:p>
        </w:tc>
        <w:tc>
          <w:tcPr>
            <w:tcW w:w="810" w:type="dxa"/>
            <w:shd w:val="clear" w:color="auto" w:fill="auto"/>
            <w:noWrap/>
            <w:vAlign w:val="center"/>
          </w:tcPr>
          <w:p w:rsidR="00F53BE8" w:rsidRPr="002E6AF7" w:rsidP="00F53BE8" w14:paraId="05019D19" w14:textId="0DDD75CF">
            <w:pPr>
              <w:jc w:val="right"/>
              <w:rPr>
                <w:rFonts w:asciiTheme="minorHAnsi" w:hAnsiTheme="minorHAnsi" w:cstheme="minorHAnsi"/>
                <w:b/>
                <w:bCs/>
                <w:color w:val="000000"/>
                <w:sz w:val="18"/>
                <w:szCs w:val="18"/>
              </w:rPr>
            </w:pPr>
            <w:r>
              <w:rPr>
                <w:rFonts w:ascii="Calibri" w:hAnsi="Calibri" w:cs="Calibri"/>
                <w:b/>
                <w:bCs/>
                <w:color w:val="000000"/>
                <w:sz w:val="18"/>
                <w:szCs w:val="18"/>
              </w:rPr>
              <w:t> </w:t>
            </w:r>
          </w:p>
        </w:tc>
        <w:tc>
          <w:tcPr>
            <w:tcW w:w="810" w:type="dxa"/>
            <w:shd w:val="clear" w:color="auto" w:fill="auto"/>
            <w:noWrap/>
            <w:vAlign w:val="center"/>
          </w:tcPr>
          <w:p w:rsidR="00F53BE8" w:rsidRPr="001674FA" w:rsidP="00262F79" w14:paraId="29F46AA0" w14:textId="07FE5DC6">
            <w:pPr>
              <w:rPr>
                <w:rFonts w:ascii="Calibri" w:hAnsi="Calibri" w:cs="Calibri"/>
                <w:b/>
                <w:bCs/>
                <w:color w:val="000000"/>
                <w:sz w:val="18"/>
                <w:szCs w:val="18"/>
              </w:rPr>
            </w:pPr>
            <w:r>
              <w:rPr>
                <w:rFonts w:ascii="Calibri" w:hAnsi="Calibri" w:cs="Calibri"/>
                <w:b/>
                <w:bCs/>
                <w:color w:val="000000"/>
                <w:sz w:val="18"/>
                <w:szCs w:val="18"/>
              </w:rPr>
              <w:t>641,673</w:t>
            </w:r>
          </w:p>
        </w:tc>
        <w:tc>
          <w:tcPr>
            <w:tcW w:w="900" w:type="dxa"/>
            <w:shd w:val="clear" w:color="auto" w:fill="auto"/>
            <w:noWrap/>
            <w:vAlign w:val="center"/>
          </w:tcPr>
          <w:p w:rsidR="00F53BE8" w:rsidRPr="002E6AF7" w:rsidP="001674FA" w14:paraId="20AB4BDA" w14:textId="1CCDDF0A">
            <w:pPr>
              <w:rPr>
                <w:rFonts w:asciiTheme="minorHAnsi" w:hAnsiTheme="minorHAnsi" w:cstheme="minorHAnsi"/>
                <w:b/>
                <w:bCs/>
                <w:color w:val="000000"/>
                <w:sz w:val="18"/>
                <w:szCs w:val="18"/>
              </w:rPr>
            </w:pPr>
            <w:r>
              <w:rPr>
                <w:rFonts w:ascii="Calibri" w:hAnsi="Calibri" w:cs="Calibri"/>
                <w:b/>
                <w:bCs/>
                <w:color w:val="000000"/>
                <w:sz w:val="18"/>
                <w:szCs w:val="18"/>
              </w:rPr>
              <w:t>-53,580</w:t>
            </w:r>
          </w:p>
        </w:tc>
        <w:tc>
          <w:tcPr>
            <w:tcW w:w="1350" w:type="dxa"/>
            <w:vAlign w:val="center"/>
          </w:tcPr>
          <w:p w:rsidR="00F53BE8" w:rsidRPr="002E6AF7" w:rsidP="00F53BE8" w14:paraId="6689A7DC" w14:textId="32A4A370">
            <w:pPr>
              <w:rPr>
                <w:rFonts w:asciiTheme="minorHAnsi" w:hAnsiTheme="minorHAnsi" w:cstheme="minorHAnsi"/>
                <w:b/>
                <w:bCs/>
                <w:sz w:val="18"/>
                <w:szCs w:val="18"/>
              </w:rPr>
            </w:pPr>
          </w:p>
        </w:tc>
        <w:tc>
          <w:tcPr>
            <w:tcW w:w="1260" w:type="dxa"/>
            <w:vAlign w:val="bottom"/>
          </w:tcPr>
          <w:p w:rsidR="00F53BE8" w:rsidRPr="001674FA" w:rsidP="00262F79" w14:paraId="49F98F91" w14:textId="1F56E224">
            <w:pPr>
              <w:rPr>
                <w:rFonts w:ascii="Calibri" w:hAnsi="Calibri" w:cs="Calibri"/>
                <w:b/>
                <w:bCs/>
                <w:color w:val="000000"/>
                <w:sz w:val="18"/>
                <w:szCs w:val="18"/>
              </w:rPr>
            </w:pPr>
            <w:r>
              <w:rPr>
                <w:rFonts w:ascii="Calibri" w:hAnsi="Calibri" w:cs="Calibri"/>
                <w:b/>
                <w:bCs/>
                <w:color w:val="000000"/>
                <w:sz w:val="18"/>
                <w:szCs w:val="18"/>
              </w:rPr>
              <w:t>$238,688,856</w:t>
            </w:r>
          </w:p>
        </w:tc>
        <w:tc>
          <w:tcPr>
            <w:tcW w:w="1260" w:type="dxa"/>
            <w:vAlign w:val="bottom"/>
          </w:tcPr>
          <w:p w:rsidR="00F53BE8" w:rsidRPr="002E6AF7" w:rsidP="00F53BE8" w14:paraId="0605960E" w14:textId="534831D9">
            <w:pPr>
              <w:rPr>
                <w:rFonts w:asciiTheme="minorHAnsi" w:hAnsiTheme="minorHAnsi" w:cstheme="minorHAnsi"/>
                <w:b/>
                <w:bCs/>
                <w:sz w:val="18"/>
                <w:szCs w:val="18"/>
              </w:rPr>
            </w:pPr>
            <w:r>
              <w:rPr>
                <w:rFonts w:asciiTheme="minorHAnsi" w:hAnsiTheme="minorHAnsi" w:cstheme="minorHAnsi"/>
                <w:b/>
                <w:bCs/>
                <w:sz w:val="18"/>
                <w:szCs w:val="18"/>
              </w:rPr>
              <w:t>+</w:t>
            </w:r>
            <w:r w:rsidRPr="00AD5D0E" w:rsidR="00AD5D0E">
              <w:rPr>
                <w:rFonts w:asciiTheme="minorHAnsi" w:hAnsiTheme="minorHAnsi" w:cstheme="minorHAnsi"/>
                <w:b/>
                <w:bCs/>
                <w:sz w:val="18"/>
                <w:szCs w:val="18"/>
              </w:rPr>
              <w:t>$41,774,856</w:t>
            </w:r>
          </w:p>
        </w:tc>
      </w:tr>
    </w:tbl>
    <w:p w:rsidR="00BD2275" w:rsidP="00BD2275" w14:paraId="4B25B06B" w14:textId="77777777">
      <w:pPr>
        <w:pStyle w:val="ListParagraph"/>
        <w:ind w:left="0"/>
        <w:rPr>
          <w:b/>
        </w:rPr>
      </w:pPr>
    </w:p>
    <w:p w:rsidR="00BD2275" w:rsidP="00BD2275" w14:paraId="7D201BB4" w14:textId="77777777">
      <w:pPr>
        <w:pStyle w:val="ListParagraph"/>
        <w:ind w:left="0"/>
        <w:rPr>
          <w:b/>
        </w:rPr>
      </w:pPr>
    </w:p>
    <w:p w:rsidR="00BD2275" w:rsidP="00374B2F" w14:paraId="4EA8C122" w14:textId="77777777">
      <w:pPr>
        <w:pStyle w:val="ListParagraph"/>
        <w:ind w:left="0"/>
        <w:rPr>
          <w:b/>
        </w:rPr>
      </w:pPr>
    </w:p>
    <w:p w:rsidR="00C47E28" w:rsidP="00C47E28" w14:paraId="06E3DA3C" w14:textId="77777777">
      <w:pPr>
        <w:pStyle w:val="ListParagraph"/>
        <w:ind w:left="0"/>
        <w:rPr>
          <w:b/>
        </w:rPr>
      </w:pPr>
    </w:p>
    <w:p w:rsidR="00192D87" w:rsidRPr="00192D87" w:rsidP="00192D87" w14:paraId="64156BBD" w14:textId="146CD6CD">
      <w:pPr>
        <w:pStyle w:val="ListParagraph"/>
        <w:numPr>
          <w:ilvl w:val="0"/>
          <w:numId w:val="2"/>
        </w:numPr>
        <w:ind w:left="0" w:firstLine="0"/>
        <w:rPr>
          <w:b/>
        </w:rPr>
      </w:pPr>
      <w:r w:rsidRPr="00192D87">
        <w:rPr>
          <w:b/>
        </w:rPr>
        <w:t>Costs to Respondents</w:t>
      </w:r>
    </w:p>
    <w:p w:rsidR="00192D87" w:rsidRPr="001C57DD" w:rsidP="00192D87" w14:paraId="24D32B45" w14:textId="77777777">
      <w:pPr>
        <w:pStyle w:val="ListParagraph"/>
        <w:ind w:left="0"/>
        <w:rPr>
          <w:b/>
          <w:sz w:val="20"/>
          <w:szCs w:val="20"/>
          <w:highlight w:val="yellow"/>
        </w:rPr>
      </w:pPr>
    </w:p>
    <w:p w:rsidR="00B054B6" w:rsidRPr="007E4634" w:rsidP="00A4512D" w14:paraId="542FC856" w14:textId="3202A872">
      <w:pPr>
        <w:pStyle w:val="ListParagraph"/>
        <w:tabs>
          <w:tab w:val="left" w:pos="-720"/>
        </w:tabs>
        <w:suppressAutoHyphens/>
        <w:ind w:left="0"/>
        <w:rPr>
          <w:i/>
        </w:rPr>
      </w:pPr>
      <w:r>
        <w:tab/>
      </w:r>
      <w:r w:rsidR="00935D88">
        <w:t>Commission</w:t>
      </w:r>
      <w:r w:rsidR="008C33CA">
        <w:t xml:space="preserve"> staff </w:t>
      </w:r>
      <w:r w:rsidR="00935D88">
        <w:t>does</w:t>
      </w:r>
      <w:r>
        <w:t xml:space="preserve"> </w:t>
      </w:r>
      <w:r w:rsidRPr="00441D77">
        <w:rPr>
          <w:spacing w:val="-1"/>
        </w:rPr>
        <w:t xml:space="preserve">not anticipate that </w:t>
      </w:r>
      <w:r w:rsidR="008C33CA">
        <w:rPr>
          <w:spacing w:val="-1"/>
        </w:rPr>
        <w:t>NRSROs</w:t>
      </w:r>
      <w:r w:rsidRPr="00441D77">
        <w:rPr>
          <w:spacing w:val="-1"/>
        </w:rPr>
        <w:t xml:space="preserve"> w</w:t>
      </w:r>
      <w:r w:rsidR="008C33CA">
        <w:rPr>
          <w:spacing w:val="-1"/>
        </w:rPr>
        <w:t>ill</w:t>
      </w:r>
      <w:r w:rsidRPr="00441D77">
        <w:rPr>
          <w:spacing w:val="-1"/>
        </w:rPr>
        <w:t xml:space="preserve"> incur any costs </w:t>
      </w:r>
      <w:r w:rsidR="00762A6C">
        <w:rPr>
          <w:spacing w:val="-1"/>
        </w:rPr>
        <w:t>other than those already discussed in Item 12</w:t>
      </w:r>
      <w:r w:rsidRPr="00441D77">
        <w:rPr>
          <w:spacing w:val="-1"/>
        </w:rPr>
        <w:t>.</w:t>
      </w:r>
    </w:p>
    <w:p w:rsidR="004F18B6" w:rsidRPr="00CC42A3" w:rsidP="00262F79" w14:paraId="48257604" w14:textId="2A8BB10B">
      <w:pPr>
        <w:pStyle w:val="DoubleSpace"/>
        <w:tabs>
          <w:tab w:val="left" w:pos="8622"/>
        </w:tabs>
        <w:spacing w:line="240" w:lineRule="auto"/>
        <w:rPr>
          <w:b/>
        </w:rPr>
      </w:pPr>
      <w:r>
        <w:rPr>
          <w:b/>
        </w:rPr>
        <w:tab/>
      </w:r>
    </w:p>
    <w:p w:rsidR="009E493C" w:rsidRPr="00CC42A3" w:rsidP="00CD7934" w14:paraId="602D4B12" w14:textId="77777777">
      <w:pPr>
        <w:pStyle w:val="ListParagraph"/>
        <w:numPr>
          <w:ilvl w:val="0"/>
          <w:numId w:val="2"/>
        </w:numPr>
        <w:ind w:left="0" w:firstLine="0"/>
        <w:rPr>
          <w:b/>
        </w:rPr>
      </w:pPr>
      <w:r w:rsidRPr="00CC42A3">
        <w:rPr>
          <w:b/>
        </w:rPr>
        <w:t>Costs to Federal Government</w:t>
      </w:r>
    </w:p>
    <w:p w:rsidR="00F8146C" w:rsidRPr="00CC42A3" w:rsidP="00F8146C" w14:paraId="44A5E6A7"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rsidR="0055262B" w:rsidP="0055262B" w14:paraId="1C15BF7C" w14:textId="1BD43269">
      <w:pPr>
        <w:pStyle w:val="ListParagraph"/>
        <w:ind w:left="0" w:firstLine="720"/>
        <w:rPr>
          <w:spacing w:val="-3"/>
        </w:rPr>
      </w:pPr>
      <w:r>
        <w:rPr>
          <w:spacing w:val="1"/>
        </w:rPr>
        <w:t>R</w:t>
      </w:r>
      <w:r>
        <w:t>ule</w:t>
      </w:r>
      <w:r>
        <w:rPr>
          <w:spacing w:val="-1"/>
        </w:rPr>
        <w:t xml:space="preserve"> </w:t>
      </w:r>
      <w:r>
        <w:t>17</w:t>
      </w:r>
      <w:r>
        <w:rPr>
          <w:spacing w:val="-2"/>
        </w:rPr>
        <w:t>g</w:t>
      </w:r>
      <w:r>
        <w:rPr>
          <w:spacing w:val="-1"/>
        </w:rPr>
        <w:t>-</w:t>
      </w:r>
      <w:r>
        <w:t>7</w:t>
      </w:r>
      <w:r>
        <w:t xml:space="preserve"> </w:t>
      </w:r>
      <w:r w:rsidRPr="00D57027">
        <w:rPr>
          <w:spacing w:val="-3"/>
        </w:rPr>
        <w:t>do</w:t>
      </w:r>
      <w:r w:rsidR="008C33CA">
        <w:rPr>
          <w:spacing w:val="-3"/>
        </w:rPr>
        <w:t>es</w:t>
      </w:r>
      <w:r w:rsidRPr="00D57027">
        <w:rPr>
          <w:spacing w:val="-3"/>
        </w:rPr>
        <w:t xml:space="preserve"> not result in any costs to the federal government beyond normal full-time employee labor costs</w:t>
      </w:r>
      <w:r>
        <w:rPr>
          <w:spacing w:val="-3"/>
        </w:rPr>
        <w:t>.</w:t>
      </w:r>
    </w:p>
    <w:p w:rsidR="0055262B" w:rsidRPr="00CC42A3" w:rsidP="00374B2F" w14:paraId="3D354DFA" w14:textId="77777777">
      <w:pPr>
        <w:pStyle w:val="ListParagraph"/>
        <w:ind w:left="0" w:firstLine="720"/>
        <w:rPr>
          <w:b/>
        </w:rPr>
      </w:pPr>
    </w:p>
    <w:p w:rsidR="009E493C" w:rsidRPr="00CC42A3" w:rsidP="00CD7934" w14:paraId="11C3064E" w14:textId="77777777">
      <w:pPr>
        <w:pStyle w:val="ListParagraph"/>
        <w:numPr>
          <w:ilvl w:val="0"/>
          <w:numId w:val="2"/>
        </w:numPr>
        <w:ind w:left="0" w:firstLine="0"/>
        <w:rPr>
          <w:b/>
        </w:rPr>
      </w:pPr>
      <w:r w:rsidRPr="00CC42A3">
        <w:rPr>
          <w:b/>
        </w:rPr>
        <w:t>Changes in Burden</w:t>
      </w:r>
    </w:p>
    <w:p w:rsidR="00B336A0" w:rsidRPr="00CC42A3" w:rsidP="009E493C" w14:paraId="01D59A35" w14:textId="77777777"/>
    <w:p w:rsidR="00BA5E9E" w:rsidRPr="006B15CC" w:rsidP="00374B2F" w14:paraId="1D175864" w14:textId="29664C64">
      <w:pPr>
        <w:ind w:firstLine="720"/>
      </w:pPr>
      <w:r>
        <w:t xml:space="preserve">The hour burden for </w:t>
      </w:r>
      <w:r w:rsidRPr="00C561C7">
        <w:t>Rule 17g-</w:t>
      </w:r>
      <w:r>
        <w:t xml:space="preserve">7 has </w:t>
      </w:r>
      <w:r w:rsidR="00DE0609">
        <w:t>decreased due to</w:t>
      </w:r>
      <w:r w:rsidR="0049721F">
        <w:t xml:space="preserve"> </w:t>
      </w:r>
      <w:r w:rsidR="00127C37">
        <w:t>a</w:t>
      </w:r>
      <w:r w:rsidR="00621AFC">
        <w:t xml:space="preserve"> dec</w:t>
      </w:r>
      <w:r w:rsidR="002D32C0">
        <w:t>r</w:t>
      </w:r>
      <w:r w:rsidR="00621AFC">
        <w:t>ease in the number of rating actions that may be impacted by the rule</w:t>
      </w:r>
      <w:r w:rsidR="00A83F0E">
        <w:t xml:space="preserve"> based on updated estimates using current data</w:t>
      </w:r>
      <w:r w:rsidR="00621AFC">
        <w:t xml:space="preserve">.  The </w:t>
      </w:r>
      <w:r w:rsidR="00976A3A">
        <w:t>cost</w:t>
      </w:r>
      <w:r w:rsidR="00FC523D">
        <w:t xml:space="preserve"> </w:t>
      </w:r>
      <w:r w:rsidR="008918CB">
        <w:t xml:space="preserve">burden </w:t>
      </w:r>
      <w:r w:rsidR="00FC523D">
        <w:t>has</w:t>
      </w:r>
      <w:r w:rsidR="00430A27">
        <w:t xml:space="preserve"> mainly</w:t>
      </w:r>
      <w:r w:rsidR="00FC523D">
        <w:t xml:space="preserve"> increased</w:t>
      </w:r>
      <w:r w:rsidR="00F074AB">
        <w:t xml:space="preserve"> due to </w:t>
      </w:r>
      <w:r w:rsidR="00A633C3">
        <w:t>inflation</w:t>
      </w:r>
      <w:r w:rsidR="00B01681">
        <w:t>.  C</w:t>
      </w:r>
      <w:r w:rsidR="002E79CF">
        <w:t>osts h</w:t>
      </w:r>
      <w:r w:rsidR="00620AE0">
        <w:t>a</w:t>
      </w:r>
      <w:r w:rsidR="00AA1488">
        <w:t>d</w:t>
      </w:r>
      <w:r w:rsidR="002E79CF">
        <w:t xml:space="preserve"> not been adjusted for inflation since the adoption of the rule in 2014</w:t>
      </w:r>
      <w:r w:rsidR="00671378">
        <w:t xml:space="preserve">.  </w:t>
      </w:r>
      <w:r w:rsidR="00570F6C">
        <w:t xml:space="preserve">The </w:t>
      </w:r>
      <w:r w:rsidR="00AB524C">
        <w:t>decrease</w:t>
      </w:r>
      <w:r w:rsidR="00570F6C">
        <w:t xml:space="preserve"> in the </w:t>
      </w:r>
      <w:r w:rsidR="00AB524C">
        <w:t xml:space="preserve">overall hour and cost burden was partially offset by an increase in the </w:t>
      </w:r>
      <w:r w:rsidR="00671378">
        <w:t xml:space="preserve">number </w:t>
      </w:r>
      <w:r w:rsidR="0040067E">
        <w:t xml:space="preserve">of </w:t>
      </w:r>
      <w:r w:rsidR="00671378">
        <w:t>NRSROs from 9 to 10</w:t>
      </w:r>
      <w:r w:rsidR="0079120F">
        <w:t xml:space="preserve">. </w:t>
      </w:r>
      <w:r w:rsidR="002E79CF">
        <w:t xml:space="preserve"> </w:t>
      </w:r>
    </w:p>
    <w:p w:rsidR="009225EC" w14:paraId="0C28ECF2" w14:textId="33AF4F83">
      <w:pPr>
        <w:rPr>
          <w:b/>
        </w:rPr>
      </w:pPr>
      <w:r>
        <w:rPr>
          <w:b/>
        </w:rPr>
        <w:br w:type="page"/>
      </w:r>
    </w:p>
    <w:p w:rsidR="008E4B0D" w:rsidRPr="00CC42A3" w:rsidP="00374B2F" w14:paraId="678A1A6C" w14:textId="77777777">
      <w:pPr>
        <w:ind w:firstLine="720"/>
        <w:rPr>
          <w:b/>
        </w:rPr>
      </w:pPr>
    </w:p>
    <w:p w:rsidR="009E493C" w:rsidRPr="00CC42A3" w:rsidP="00CD7934" w14:paraId="1916C261" w14:textId="77777777">
      <w:pPr>
        <w:pStyle w:val="ListParagraph"/>
        <w:numPr>
          <w:ilvl w:val="0"/>
          <w:numId w:val="2"/>
        </w:numPr>
        <w:ind w:left="0" w:firstLine="0"/>
        <w:rPr>
          <w:b/>
        </w:rPr>
      </w:pPr>
      <w:r w:rsidRPr="00CC42A3">
        <w:rPr>
          <w:b/>
        </w:rPr>
        <w:t>Information Collection Planned for Statistical Purposes</w:t>
      </w:r>
    </w:p>
    <w:p w:rsidR="00757E05" w:rsidRPr="00CC42A3" w:rsidP="009E493C" w14:paraId="192BBB23"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B336A0" w:rsidRPr="00813728" w:rsidP="009E493C" w14:paraId="3DB6F486"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r w:rsidRPr="00CC42A3">
        <w:tab/>
      </w:r>
      <w:r w:rsidRPr="00CC42A3">
        <w:tab/>
      </w:r>
      <w:r w:rsidRPr="00CC42A3">
        <w:tab/>
      </w:r>
      <w:r w:rsidR="007B66DD">
        <w:tab/>
      </w:r>
      <w:r w:rsidRPr="00C35CB2" w:rsidR="007832E2">
        <w:t xml:space="preserve">Not applicable. The information collection is not for statistical purposes. </w:t>
      </w:r>
    </w:p>
    <w:p w:rsidR="00B336A0" w:rsidRPr="00813728" w:rsidP="009E493C" w14:paraId="2ECF851C"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highlight w:val="yellow"/>
        </w:rPr>
      </w:pPr>
    </w:p>
    <w:p w:rsidR="00B336A0" w:rsidRPr="00F701C3" w:rsidP="00CD7934" w14:paraId="6A324123" w14:textId="77777777">
      <w:pPr>
        <w:pStyle w:val="ListParagraph"/>
        <w:numPr>
          <w:ilvl w:val="0"/>
          <w:numId w:val="2"/>
        </w:numPr>
        <w:ind w:left="0" w:firstLine="0"/>
        <w:rPr>
          <w:b/>
        </w:rPr>
      </w:pPr>
      <w:r>
        <w:rPr>
          <w:b/>
        </w:rPr>
        <w:t>Approval to Omit</w:t>
      </w:r>
      <w:r w:rsidRPr="00F701C3" w:rsidR="009E493C">
        <w:rPr>
          <w:b/>
        </w:rPr>
        <w:t xml:space="preserve"> OMB </w:t>
      </w:r>
      <w:r>
        <w:rPr>
          <w:b/>
        </w:rPr>
        <w:t>Expiration</w:t>
      </w:r>
      <w:r w:rsidRPr="00F701C3">
        <w:rPr>
          <w:b/>
        </w:rPr>
        <w:t xml:space="preserve"> </w:t>
      </w:r>
      <w:r w:rsidRPr="00F701C3" w:rsidR="009E493C">
        <w:rPr>
          <w:b/>
        </w:rPr>
        <w:t>Date</w:t>
      </w:r>
    </w:p>
    <w:p w:rsidR="00B336A0" w:rsidRPr="00F701C3" w:rsidP="00B336A0" w14:paraId="24F9BDDF" w14:textId="77777777">
      <w:pPr>
        <w:pStyle w:val="ListParagraph"/>
        <w:ind w:left="0"/>
        <w:rPr>
          <w:b/>
        </w:rPr>
      </w:pPr>
    </w:p>
    <w:p w:rsidR="00A462F9" w:rsidP="001C57DD" w14:paraId="1BF5EBE8" w14:textId="3B20345A">
      <w:pPr>
        <w:spacing w:before="29"/>
        <w:ind w:right="-20" w:firstLine="720"/>
      </w:pPr>
      <w:r w:rsidRPr="007C0315">
        <w:t>Commission</w:t>
      </w:r>
      <w:r w:rsidR="00D07E4C">
        <w:t xml:space="preserve"> staff</w:t>
      </w:r>
      <w:r w:rsidRPr="007C0315">
        <w:t xml:space="preserve"> is not seeking approval to omit the expiration date.</w:t>
      </w:r>
    </w:p>
    <w:p w:rsidR="00342007" w:rsidRPr="00813728" w:rsidP="001C57DD" w14:paraId="4467D93B"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highlight w:val="yellow"/>
        </w:rPr>
      </w:pPr>
    </w:p>
    <w:p w:rsidR="009E493C" w:rsidRPr="00A462F9" w:rsidP="00CD7934" w14:paraId="5F057DE1" w14:textId="77777777">
      <w:pPr>
        <w:pStyle w:val="ListParagraph"/>
        <w:numPr>
          <w:ilvl w:val="0"/>
          <w:numId w:val="2"/>
        </w:numPr>
        <w:ind w:left="0" w:firstLine="0"/>
        <w:rPr>
          <w:b/>
        </w:rPr>
      </w:pPr>
      <w:r w:rsidRPr="00A462F9">
        <w:rPr>
          <w:b/>
        </w:rPr>
        <w:t>Exceptions to Certification for Paperwork Reduction Act Submissions</w:t>
      </w:r>
    </w:p>
    <w:p w:rsidR="00B336A0" w:rsidRPr="00813728" w:rsidP="00B336A0" w14:paraId="70BB0B95" w14:textId="77777777">
      <w:pPr>
        <w:tabs>
          <w:tab w:val="left" w:pos="-720"/>
          <w:tab w:val="left" w:pos="286"/>
          <w:tab w:val="left" w:pos="403"/>
        </w:tabs>
        <w:suppressAutoHyphens/>
        <w:rPr>
          <w:highlight w:val="yellow"/>
        </w:rPr>
      </w:pPr>
    </w:p>
    <w:p w:rsidR="00A462F9" w:rsidP="001C57DD" w14:paraId="52B85414" w14:textId="77777777">
      <w:pPr>
        <w:spacing w:before="29"/>
        <w:ind w:right="-20" w:firstLine="720"/>
      </w:pPr>
      <w:r>
        <w:t>This collection complies with the requirements in 5 CFR 1320.9.</w:t>
      </w:r>
    </w:p>
    <w:p w:rsidR="007269B7" w:rsidRPr="00CC42A3" w:rsidP="001C57DD" w14:paraId="047E7456" w14:textId="77777777">
      <w:pPr>
        <w:tabs>
          <w:tab w:val="left" w:pos="-720"/>
          <w:tab w:val="left" w:pos="286"/>
          <w:tab w:val="left" w:pos="403"/>
        </w:tabs>
        <w:suppressAutoHyphens/>
        <w:rPr>
          <w:b/>
        </w:rPr>
      </w:pPr>
    </w:p>
    <w:p w:rsidR="009E493C" w:rsidRPr="00CC42A3" w:rsidP="001258EB" w14:paraId="0241BE65" w14:textId="77777777">
      <w:pPr>
        <w:pStyle w:val="ListParagraph"/>
        <w:numPr>
          <w:ilvl w:val="0"/>
          <w:numId w:val="7"/>
        </w:numPr>
        <w:tabs>
          <w:tab w:val="left" w:pos="-720"/>
          <w:tab w:val="left" w:pos="180"/>
          <w:tab w:val="left" w:pos="286"/>
        </w:tabs>
        <w:suppressAutoHyphens/>
        <w:ind w:left="0" w:firstLine="0"/>
        <w:rPr>
          <w:b/>
        </w:rPr>
      </w:pPr>
      <w:r>
        <w:rPr>
          <w:b/>
          <w:caps/>
        </w:rPr>
        <w:tab/>
      </w:r>
      <w:r w:rsidRPr="00CC42A3">
        <w:rPr>
          <w:b/>
          <w:caps/>
        </w:rPr>
        <w:t>Collections of Information Employing Statistical Methods</w:t>
      </w:r>
    </w:p>
    <w:p w:rsidR="009E493C" w:rsidRPr="00CC42A3" w:rsidP="009E493C" w14:paraId="2F31D02E"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
        </w:rPr>
      </w:pPr>
    </w:p>
    <w:p w:rsidR="00075C7E" w:rsidP="001C57DD" w14:paraId="250C43FD" w14:textId="5D852781">
      <w:pPr>
        <w:ind w:right="-20" w:firstLine="720"/>
      </w:pPr>
      <w:r>
        <w:t>T</w:t>
      </w:r>
      <w:r w:rsidR="00A462F9">
        <w:t>he</w:t>
      </w:r>
      <w:r w:rsidR="00A462F9">
        <w:rPr>
          <w:spacing w:val="-1"/>
        </w:rPr>
        <w:t xml:space="preserve"> c</w:t>
      </w:r>
      <w:r w:rsidR="00A462F9">
        <w:t>oll</w:t>
      </w:r>
      <w:r w:rsidR="00A462F9">
        <w:rPr>
          <w:spacing w:val="-1"/>
        </w:rPr>
        <w:t>ec</w:t>
      </w:r>
      <w:r w:rsidR="00A462F9">
        <w:t>tion of</w:t>
      </w:r>
      <w:r w:rsidR="00A462F9">
        <w:rPr>
          <w:spacing w:val="-1"/>
        </w:rPr>
        <w:t xml:space="preserve"> </w:t>
      </w:r>
      <w:r w:rsidR="00A462F9">
        <w:t>in</w:t>
      </w:r>
      <w:r w:rsidR="00A462F9">
        <w:rPr>
          <w:spacing w:val="-1"/>
        </w:rPr>
        <w:t>f</w:t>
      </w:r>
      <w:r w:rsidR="00A462F9">
        <w:t>o</w:t>
      </w:r>
      <w:r w:rsidR="00A462F9">
        <w:rPr>
          <w:spacing w:val="-1"/>
        </w:rPr>
        <w:t>r</w:t>
      </w:r>
      <w:r w:rsidR="00A462F9">
        <w:t>m</w:t>
      </w:r>
      <w:r w:rsidR="00A462F9">
        <w:rPr>
          <w:spacing w:val="-1"/>
        </w:rPr>
        <w:t>a</w:t>
      </w:r>
      <w:r w:rsidR="00A462F9">
        <w:t>tion do</w:t>
      </w:r>
      <w:r w:rsidR="00A462F9">
        <w:rPr>
          <w:spacing w:val="-1"/>
        </w:rPr>
        <w:t>e</w:t>
      </w:r>
      <w:r w:rsidR="00A462F9">
        <w:t xml:space="preserve">s not </w:t>
      </w:r>
      <w:r w:rsidR="00A462F9">
        <w:rPr>
          <w:spacing w:val="-1"/>
        </w:rPr>
        <w:t>e</w:t>
      </w:r>
      <w:r w:rsidR="00A462F9">
        <w:t>mploy</w:t>
      </w:r>
      <w:r w:rsidR="00A462F9">
        <w:rPr>
          <w:spacing w:val="-7"/>
        </w:rPr>
        <w:t xml:space="preserve"> </w:t>
      </w:r>
      <w:r w:rsidR="00A462F9">
        <w:t>st</w:t>
      </w:r>
      <w:r w:rsidR="00A462F9">
        <w:rPr>
          <w:spacing w:val="-1"/>
        </w:rPr>
        <w:t>a</w:t>
      </w:r>
      <w:r w:rsidR="00A462F9">
        <w:t>tisti</w:t>
      </w:r>
      <w:r w:rsidR="00A462F9">
        <w:rPr>
          <w:spacing w:val="-1"/>
        </w:rPr>
        <w:t>ca</w:t>
      </w:r>
      <w:r w:rsidR="00A462F9">
        <w:t>l m</w:t>
      </w:r>
      <w:r w:rsidR="00A462F9">
        <w:rPr>
          <w:spacing w:val="-1"/>
        </w:rPr>
        <w:t>e</w:t>
      </w:r>
      <w:r w:rsidR="00A462F9">
        <w:t>thods</w:t>
      </w:r>
      <w:r w:rsidR="003B00F5">
        <w:t xml:space="preserve"> or analyze the information for the Commission.</w:t>
      </w:r>
    </w:p>
    <w:sectPr w:rsidSect="00732596">
      <w:footerReference w:type="even"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B6" w14:paraId="255978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43FB6" w14:paraId="7468BC32" w14:textId="77777777">
    <w:pPr>
      <w:pStyle w:val="Footer"/>
    </w:pPr>
  </w:p>
  <w:p w:rsidR="0010746F" w14:paraId="7108BA08" w14:textId="77777777"/>
  <w:p w:rsidR="0010746F" w14:paraId="76D5A616" w14:textId="77777777"/>
  <w:p w:rsidR="003D3C03" w14:paraId="7D518A7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FB6" w14:paraId="094B8B0B" w14:textId="77777777">
    <w:pPr>
      <w:pStyle w:val="Footer"/>
    </w:pPr>
  </w:p>
  <w:p w:rsidR="008932A9" w:rsidP="007873E8" w14:paraId="3221CDC2" w14:textId="77777777">
    <w:pPr>
      <w:pStyle w:val="Footer"/>
      <w:framePr w:wrap="around" w:vAnchor="text" w:hAnchor="margin" w:xAlign="center" w:y="82"/>
      <w:rPr>
        <w:rStyle w:val="PageNumber"/>
      </w:rPr>
    </w:pPr>
    <w:r>
      <w:rPr>
        <w:rStyle w:val="PageNumber"/>
      </w:rPr>
      <w:fldChar w:fldCharType="begin"/>
    </w:r>
    <w:r>
      <w:rPr>
        <w:rStyle w:val="PageNumber"/>
      </w:rPr>
      <w:instrText xml:space="preserve">PAGE  </w:instrText>
    </w:r>
    <w:r>
      <w:rPr>
        <w:rStyle w:val="PageNumber"/>
      </w:rPr>
      <w:fldChar w:fldCharType="separate"/>
    </w:r>
    <w:r w:rsidR="005419F5">
      <w:rPr>
        <w:rStyle w:val="PageNumber"/>
        <w:noProof/>
      </w:rPr>
      <w:t>2</w:t>
    </w:r>
    <w:r>
      <w:rPr>
        <w:rStyle w:val="PageNumber"/>
      </w:rPr>
      <w:fldChar w:fldCharType="end"/>
    </w:r>
  </w:p>
  <w:p w:rsidR="0010746F" w14:paraId="55DF5E1F" w14:textId="77777777"/>
  <w:p w:rsidR="0010746F" w14:paraId="752AB283" w14:textId="77777777"/>
  <w:p w:rsidR="003D3C03" w14:paraId="020F30F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630A" w:rsidP="00A13B41" w14:paraId="513527ED" w14:textId="77777777">
      <w:r>
        <w:separator/>
      </w:r>
    </w:p>
  </w:footnote>
  <w:footnote w:type="continuationSeparator" w:id="1">
    <w:p w:rsidR="00F8630A" w:rsidP="00A13B41" w14:paraId="44EE9BA6" w14:textId="77777777">
      <w:r>
        <w:continuationSeparator/>
      </w:r>
    </w:p>
  </w:footnote>
  <w:footnote w:type="continuationNotice" w:id="2">
    <w:p w:rsidR="00F8630A" w14:paraId="00518949" w14:textId="77777777"/>
  </w:footnote>
  <w:footnote w:id="3">
    <w:p w:rsidR="004371F0" w:rsidP="00374B2F" w14:paraId="5B1D88B5" w14:textId="77777777">
      <w:pPr>
        <w:pStyle w:val="FootnoteText"/>
        <w:contextualSpacing/>
      </w:pPr>
      <w:r>
        <w:rPr>
          <w:rStyle w:val="FootnoteReference"/>
        </w:rPr>
        <w:footnoteRef/>
      </w:r>
      <w:r>
        <w:t xml:space="preserve"> </w:t>
      </w:r>
      <w:r>
        <w:tab/>
      </w:r>
      <w:r w:rsidRPr="00DF00B5">
        <w:t>15 U.S.C. 78o-7.</w:t>
      </w:r>
    </w:p>
    <w:p w:rsidR="00DB4B9C" w:rsidP="00374B2F" w14:paraId="6BEF8070" w14:textId="77777777">
      <w:pPr>
        <w:pStyle w:val="FootnoteText"/>
        <w:contextualSpacing/>
      </w:pPr>
    </w:p>
  </w:footnote>
  <w:footnote w:id="4">
    <w:p w:rsidR="004371F0" w:rsidP="00374B2F" w14:paraId="17126139" w14:textId="77777777">
      <w:pPr>
        <w:pStyle w:val="FootnoteText"/>
        <w:contextualSpacing/>
      </w:pPr>
      <w:r>
        <w:rPr>
          <w:rStyle w:val="FootnoteReference"/>
        </w:rPr>
        <w:footnoteRef/>
      </w:r>
      <w:r>
        <w:t xml:space="preserve"> </w:t>
      </w:r>
      <w:r>
        <w:tab/>
      </w:r>
      <w:r w:rsidRPr="003303D6">
        <w:t>Pub. L. No. 109-291 (2006).</w:t>
      </w:r>
    </w:p>
    <w:p w:rsidR="00DB4B9C" w:rsidP="00374B2F" w14:paraId="085C760C" w14:textId="77777777">
      <w:pPr>
        <w:pStyle w:val="FootnoteText"/>
        <w:contextualSpacing/>
      </w:pPr>
    </w:p>
  </w:footnote>
  <w:footnote w:id="5">
    <w:p w:rsidR="004371F0" w14:paraId="3728768A" w14:textId="77777777">
      <w:pPr>
        <w:pStyle w:val="FootnoteText"/>
        <w:contextualSpacing/>
      </w:pPr>
      <w:r>
        <w:rPr>
          <w:rStyle w:val="FootnoteReference"/>
        </w:rPr>
        <w:footnoteRef/>
      </w:r>
      <w:r>
        <w:t xml:space="preserve"> </w:t>
      </w:r>
      <w:r>
        <w:tab/>
      </w:r>
      <w:r w:rsidRPr="00DF00B5">
        <w:t>Pub. L. No. 111-203, 124 Stat. 1376, H.R. 4173 (2010).</w:t>
      </w:r>
    </w:p>
    <w:p w:rsidR="004371F0" w14:paraId="514CABEB" w14:textId="77777777">
      <w:pPr>
        <w:pStyle w:val="FootnoteText"/>
        <w:contextualSpacing/>
      </w:pPr>
    </w:p>
  </w:footnote>
  <w:footnote w:id="6">
    <w:p w:rsidR="00FB07EC" w:rsidP="00975B7A" w14:paraId="2C3768D7" w14:textId="1C61072A">
      <w:pPr>
        <w:pStyle w:val="FootnoteText"/>
        <w:ind w:left="720" w:hanging="720"/>
      </w:pPr>
      <w:r>
        <w:rPr>
          <w:rStyle w:val="FootnoteReference"/>
        </w:rPr>
        <w:footnoteRef/>
      </w:r>
      <w:r>
        <w:t xml:space="preserve"> </w:t>
      </w:r>
      <w:r w:rsidR="00402BF2">
        <w:tab/>
      </w:r>
      <w:r w:rsidRPr="00374B2F" w:rsidR="00C547C6">
        <w:rPr>
          <w:u w:val="single"/>
        </w:rPr>
        <w:t>See</w:t>
      </w:r>
      <w:r w:rsidR="00C547C6">
        <w:t xml:space="preserve"> </w:t>
      </w:r>
      <w:r w:rsidRPr="00DF00B5" w:rsidR="00402BF2">
        <w:t>15 U.S.C. 78o-7</w:t>
      </w:r>
      <w:r w:rsidR="00402BF2">
        <w:t>(q) and (s)</w:t>
      </w:r>
      <w:r w:rsidR="006316C4">
        <w:t xml:space="preserve"> (directing the Commission to adopt rules </w:t>
      </w:r>
      <w:r w:rsidR="001E2044">
        <w:t>requiring the disclosure of certain rating information)</w:t>
      </w:r>
      <w:r w:rsidR="00975B7A">
        <w:t>.</w:t>
      </w:r>
    </w:p>
    <w:p w:rsidR="00A959BD" w14:paraId="4EDA9D62" w14:textId="77777777">
      <w:pPr>
        <w:pStyle w:val="FootnoteText"/>
      </w:pPr>
    </w:p>
  </w:footnote>
  <w:footnote w:id="7">
    <w:p w:rsidR="00E650C3" w14:paraId="558D37DE" w14:textId="2E9ABB5C">
      <w:pPr>
        <w:pStyle w:val="FootnoteText"/>
      </w:pPr>
      <w:r>
        <w:rPr>
          <w:rStyle w:val="FootnoteReference"/>
        </w:rPr>
        <w:footnoteRef/>
      </w:r>
      <w:r>
        <w:t xml:space="preserve"> </w:t>
      </w:r>
      <w:r>
        <w:tab/>
      </w:r>
      <w:r w:rsidRPr="00374B2F">
        <w:rPr>
          <w:u w:val="single"/>
        </w:rPr>
        <w:t>See</w:t>
      </w:r>
      <w:r>
        <w:t xml:space="preserve"> 17 CFR 240.17g-7(a).</w:t>
      </w:r>
    </w:p>
    <w:p w:rsidR="00E650C3" w14:paraId="71B361C1" w14:textId="77777777">
      <w:pPr>
        <w:pStyle w:val="FootnoteText"/>
      </w:pPr>
    </w:p>
  </w:footnote>
  <w:footnote w:id="8">
    <w:p w:rsidR="00A959BD" w14:paraId="3CE366C8" w14:textId="4FF9DFB2">
      <w:pPr>
        <w:pStyle w:val="FootnoteText"/>
      </w:pPr>
      <w:r>
        <w:rPr>
          <w:rStyle w:val="FootnoteReference"/>
        </w:rPr>
        <w:footnoteRef/>
      </w:r>
      <w:r>
        <w:t xml:space="preserve"> </w:t>
      </w:r>
      <w:r>
        <w:tab/>
      </w:r>
      <w:r w:rsidRPr="00374B2F">
        <w:rPr>
          <w:u w:val="single"/>
        </w:rPr>
        <w:t>See</w:t>
      </w:r>
      <w:r>
        <w:t xml:space="preserve"> </w:t>
      </w:r>
      <w:r w:rsidR="00611106">
        <w:t>17 CFR 240.17g-7(a)(1)(ii).</w:t>
      </w:r>
    </w:p>
    <w:p w:rsidR="00CE65A4" w14:paraId="2252A00B" w14:textId="77777777">
      <w:pPr>
        <w:pStyle w:val="FootnoteText"/>
      </w:pPr>
    </w:p>
  </w:footnote>
  <w:footnote w:id="9">
    <w:p w:rsidR="00AD1157" w:rsidP="00AD1157" w14:paraId="69FFAFE5" w14:textId="57BFDD5E">
      <w:pPr>
        <w:pStyle w:val="FootnoteText"/>
      </w:pPr>
      <w:r>
        <w:rPr>
          <w:rStyle w:val="FootnoteReference"/>
        </w:rPr>
        <w:footnoteRef/>
      </w:r>
      <w:r>
        <w:t xml:space="preserve"> </w:t>
      </w:r>
      <w:r>
        <w:tab/>
      </w:r>
      <w:r w:rsidRPr="002E6AF7">
        <w:rPr>
          <w:u w:val="single"/>
        </w:rPr>
        <w:t>See</w:t>
      </w:r>
      <w:r>
        <w:t xml:space="preserve"> 17 CFR 240.17g-7(a</w:t>
      </w:r>
      <w:bookmarkStart w:id="2" w:name="_Hlk163563738"/>
      <w:r>
        <w:t>)</w:t>
      </w:r>
      <w:r w:rsidR="003971A9">
        <w:t>(1)(iii)</w:t>
      </w:r>
      <w:r>
        <w:t>.</w:t>
      </w:r>
      <w:bookmarkEnd w:id="2"/>
    </w:p>
    <w:p w:rsidR="00CE65A4" w14:paraId="6175A669" w14:textId="110BCCCB">
      <w:pPr>
        <w:pStyle w:val="FootnoteText"/>
      </w:pPr>
    </w:p>
  </w:footnote>
  <w:footnote w:id="10">
    <w:p w:rsidR="00AD1157" w:rsidP="00AD1157" w14:paraId="6D7D5A50" w14:textId="606E9F99">
      <w:pPr>
        <w:pStyle w:val="FootnoteText"/>
      </w:pPr>
      <w:r>
        <w:rPr>
          <w:rStyle w:val="FootnoteReference"/>
        </w:rPr>
        <w:footnoteRef/>
      </w:r>
      <w:r>
        <w:t xml:space="preserve"> </w:t>
      </w:r>
      <w:r>
        <w:tab/>
      </w:r>
      <w:r w:rsidRPr="002E6AF7">
        <w:rPr>
          <w:u w:val="single"/>
        </w:rPr>
        <w:t>See</w:t>
      </w:r>
      <w:r>
        <w:t xml:space="preserve"> 17 CFR 240.17g-7(a)</w:t>
      </w:r>
      <w:r w:rsidR="00754347">
        <w:t>(</w:t>
      </w:r>
      <w:r w:rsidR="002E7C6C">
        <w:t>2</w:t>
      </w:r>
      <w:r w:rsidR="00754347">
        <w:t>).</w:t>
      </w:r>
    </w:p>
    <w:p w:rsidR="00AD1157" w14:paraId="4CC5F8A0" w14:textId="77777777">
      <w:pPr>
        <w:pStyle w:val="FootnoteText"/>
      </w:pPr>
    </w:p>
  </w:footnote>
  <w:footnote w:id="11">
    <w:p w:rsidR="001A5291" w:rsidP="001A5291" w14:paraId="0BC12F4D" w14:textId="0462BF38">
      <w:pPr>
        <w:pStyle w:val="FootnoteText"/>
      </w:pPr>
      <w:r>
        <w:rPr>
          <w:rStyle w:val="FootnoteReference"/>
        </w:rPr>
        <w:footnoteRef/>
      </w:r>
      <w:r>
        <w:t xml:space="preserve"> </w:t>
      </w:r>
      <w:r>
        <w:tab/>
      </w:r>
      <w:r w:rsidRPr="002E6AF7">
        <w:rPr>
          <w:u w:val="single"/>
        </w:rPr>
        <w:t>See</w:t>
      </w:r>
      <w:r>
        <w:t xml:space="preserve"> 17 CFR 240.17g-7(</w:t>
      </w:r>
      <w:r w:rsidR="00005DD5">
        <w:t>b</w:t>
      </w:r>
      <w:r>
        <w:t>).</w:t>
      </w:r>
    </w:p>
    <w:p w:rsidR="001A5291" w14:paraId="697E68C7" w14:textId="0D4041D7">
      <w:pPr>
        <w:pStyle w:val="FootnoteText"/>
      </w:pPr>
    </w:p>
  </w:footnote>
  <w:footnote w:id="12">
    <w:p w:rsidR="004E5B07" w:rsidP="00A84FAF" w14:paraId="1C07B9DC" w14:textId="4FED647D">
      <w:pPr>
        <w:pStyle w:val="FootnoteText"/>
        <w:ind w:left="720" w:hanging="720"/>
      </w:pPr>
      <w:r>
        <w:rPr>
          <w:rStyle w:val="FootnoteReference"/>
        </w:rPr>
        <w:footnoteRef/>
      </w:r>
      <w:r>
        <w:t xml:space="preserve"> </w:t>
      </w:r>
      <w:r>
        <w:tab/>
      </w:r>
      <w:r w:rsidRPr="00051893" w:rsidR="00051893">
        <w:rPr>
          <w:u w:val="single"/>
        </w:rPr>
        <w:t>See</w:t>
      </w:r>
      <w:r w:rsidR="00051893">
        <w:t xml:space="preserve"> </w:t>
      </w:r>
      <w:r w:rsidRPr="00DF00B5">
        <w:t>15 U.S.C</w:t>
      </w:r>
      <w:r>
        <w:t xml:space="preserve">. </w:t>
      </w:r>
      <w:r w:rsidR="006A5987">
        <w:t>78q</w:t>
      </w:r>
      <w:r w:rsidR="00D20957">
        <w:t>(a)(1) (</w:t>
      </w:r>
      <w:r w:rsidR="00A84FAF">
        <w:t>setting forth recordkeeping requ</w:t>
      </w:r>
      <w:r w:rsidR="007020A1">
        <w:t xml:space="preserve">irements for </w:t>
      </w:r>
      <w:r w:rsidR="00BC7A11">
        <w:t>NRSROs</w:t>
      </w:r>
      <w:r w:rsidR="00E8223A">
        <w:t xml:space="preserve">). </w:t>
      </w:r>
    </w:p>
    <w:p w:rsidR="004E5B07" w14:paraId="4DA14C9F" w14:textId="77777777">
      <w:pPr>
        <w:pStyle w:val="FootnoteText"/>
      </w:pPr>
    </w:p>
  </w:footnote>
  <w:footnote w:id="13">
    <w:p w:rsidR="00C547C6" w14:paraId="433E9561" w14:textId="227008A1">
      <w:pPr>
        <w:pStyle w:val="FootnoteText"/>
      </w:pPr>
      <w:r>
        <w:rPr>
          <w:rStyle w:val="FootnoteReference"/>
        </w:rPr>
        <w:footnoteRef/>
      </w:r>
      <w:r>
        <w:t xml:space="preserve"> </w:t>
      </w:r>
      <w:r>
        <w:tab/>
      </w:r>
      <w:r w:rsidRPr="002E6AF7">
        <w:rPr>
          <w:u w:val="single"/>
        </w:rPr>
        <w:t>See</w:t>
      </w:r>
      <w:r>
        <w:t xml:space="preserve"> 17 CFR 240.17g-7(b)</w:t>
      </w:r>
      <w:r w:rsidR="004945A4">
        <w:t>(2)</w:t>
      </w:r>
      <w:r>
        <w:t>.</w:t>
      </w:r>
    </w:p>
    <w:p w:rsidR="00C547C6" w14:paraId="3CC7F612" w14:textId="77777777">
      <w:pPr>
        <w:pStyle w:val="FootnoteText"/>
      </w:pPr>
    </w:p>
  </w:footnote>
  <w:footnote w:id="14">
    <w:p w:rsidR="00C547C6" w14:paraId="44E21D4C" w14:textId="4A4854B9">
      <w:pPr>
        <w:pStyle w:val="FootnoteText"/>
      </w:pPr>
      <w:r>
        <w:rPr>
          <w:rStyle w:val="FootnoteReference"/>
        </w:rPr>
        <w:footnoteRef/>
      </w:r>
      <w:r>
        <w:t xml:space="preserve"> </w:t>
      </w:r>
      <w:r>
        <w:tab/>
      </w:r>
      <w:r w:rsidRPr="002E6AF7">
        <w:rPr>
          <w:u w:val="single"/>
        </w:rPr>
        <w:t>See</w:t>
      </w:r>
      <w:r>
        <w:t xml:space="preserve"> 17 CFR 240.17g-7(b)</w:t>
      </w:r>
      <w:r w:rsidR="000D4D16">
        <w:t>(3)</w:t>
      </w:r>
      <w:r>
        <w:t>.</w:t>
      </w:r>
    </w:p>
    <w:p w:rsidR="00C547C6" w14:paraId="5700B37D" w14:textId="77777777">
      <w:pPr>
        <w:pStyle w:val="FootnoteText"/>
      </w:pPr>
    </w:p>
  </w:footnote>
  <w:footnote w:id="15">
    <w:p w:rsidR="00020C32" w:rsidP="00374B2F" w14:paraId="48624C90" w14:textId="77777777">
      <w:pPr>
        <w:pStyle w:val="FootnoteText"/>
        <w:contextualSpacing/>
        <w:rPr>
          <w:i/>
          <w:iCs/>
        </w:rPr>
      </w:pPr>
      <w:r>
        <w:rPr>
          <w:rStyle w:val="FootnoteReference"/>
        </w:rPr>
        <w:footnoteRef/>
      </w:r>
      <w:r>
        <w:t xml:space="preserve"> </w:t>
      </w:r>
      <w:r>
        <w:tab/>
        <w:t xml:space="preserve">44 U.S.C. 3501, </w:t>
      </w:r>
      <w:r w:rsidRPr="0037301A">
        <w:rPr>
          <w:u w:val="single"/>
        </w:rPr>
        <w:t>et</w:t>
      </w:r>
      <w:r w:rsidRPr="00A97AC6">
        <w:t xml:space="preserve"> </w:t>
      </w:r>
      <w:r w:rsidRPr="0037301A">
        <w:rPr>
          <w:u w:val="single"/>
        </w:rPr>
        <w:t>seq</w:t>
      </w:r>
      <w:r w:rsidRPr="0037301A">
        <w:rPr>
          <w:i/>
          <w:iCs/>
        </w:rPr>
        <w:t>.</w:t>
      </w:r>
    </w:p>
    <w:p w:rsidR="00DB4B9C" w:rsidP="00374B2F" w14:paraId="028528DE" w14:textId="77777777">
      <w:pPr>
        <w:pStyle w:val="FootnoteText"/>
        <w:contextualSpacing/>
      </w:pPr>
    </w:p>
  </w:footnote>
  <w:footnote w:id="16">
    <w:p w:rsidR="00662CEE" w:rsidP="00DB4B9C" w14:paraId="6D476EFC" w14:textId="7839A5E1">
      <w:pPr>
        <w:pStyle w:val="FootnoteText"/>
        <w:contextualSpacing/>
      </w:pPr>
      <w:r w:rsidRPr="00501210">
        <w:rPr>
          <w:rStyle w:val="FootnoteReference"/>
        </w:rPr>
        <w:footnoteRef/>
      </w:r>
      <w:r w:rsidRPr="00501210">
        <w:t xml:space="preserve"> </w:t>
      </w:r>
      <w:r w:rsidRPr="00501210">
        <w:tab/>
      </w:r>
      <w:r w:rsidRPr="00501210">
        <w:rPr>
          <w:u w:val="single"/>
        </w:rPr>
        <w:t>See</w:t>
      </w:r>
      <w:r w:rsidRPr="00501210">
        <w:t xml:space="preserve"> </w:t>
      </w:r>
      <w:r w:rsidRPr="007B0F1A" w:rsidR="000908EE">
        <w:rPr>
          <w:u w:val="single"/>
        </w:rPr>
        <w:t>Nationally</w:t>
      </w:r>
      <w:r w:rsidRPr="003F0EF7" w:rsidR="000908EE">
        <w:rPr>
          <w:u w:val="single"/>
        </w:rPr>
        <w:t xml:space="preserve"> Recognized Statistical Rating Organizations</w:t>
      </w:r>
      <w:r w:rsidRPr="00DF00B5" w:rsidR="000908EE">
        <w:t>,</w:t>
      </w:r>
      <w:r w:rsidR="000908EE">
        <w:t xml:space="preserve"> 79 FR</w:t>
      </w:r>
      <w:r w:rsidR="003D4F7B">
        <w:t xml:space="preserve"> </w:t>
      </w:r>
      <w:r w:rsidR="00F44F28">
        <w:t>55</w:t>
      </w:r>
      <w:r w:rsidR="002D040B">
        <w:t xml:space="preserve">078, </w:t>
      </w:r>
      <w:r w:rsidR="00D37B26">
        <w:t>551</w:t>
      </w:r>
      <w:r w:rsidR="008C3A95">
        <w:t>80</w:t>
      </w:r>
      <w:r w:rsidR="002D040B">
        <w:t xml:space="preserve"> (Sept. 15, 2014)</w:t>
      </w:r>
      <w:r w:rsidRPr="00501210">
        <w:t xml:space="preserve">. </w:t>
      </w:r>
    </w:p>
    <w:p w:rsidR="00F36271" w:rsidRPr="00B909D0" w:rsidP="00DB4B9C" w14:paraId="6879B7A6" w14:textId="77777777">
      <w:pPr>
        <w:pStyle w:val="FootnoteText"/>
        <w:contextualSpacing/>
        <w:rPr>
          <w:sz w:val="12"/>
          <w:szCs w:val="12"/>
        </w:rPr>
      </w:pPr>
    </w:p>
  </w:footnote>
  <w:footnote w:id="17">
    <w:p w:rsidR="00D178E8" w14:paraId="40996C98" w14:textId="20FA0824">
      <w:pPr>
        <w:pStyle w:val="FootnoteText"/>
      </w:pPr>
      <w:r>
        <w:rPr>
          <w:rStyle w:val="FootnoteReference"/>
        </w:rPr>
        <w:footnoteRef/>
      </w:r>
      <w:r>
        <w:t xml:space="preserve"> </w:t>
      </w:r>
      <w:r>
        <w:tab/>
      </w:r>
      <w:r w:rsidRPr="00374B2F">
        <w:rPr>
          <w:u w:val="single"/>
        </w:rPr>
        <w:t>See</w:t>
      </w:r>
      <w:r>
        <w:t xml:space="preserve"> </w:t>
      </w:r>
      <w:r w:rsidRPr="00374B2F">
        <w:rPr>
          <w:u w:val="single"/>
        </w:rPr>
        <w:t>id</w:t>
      </w:r>
      <w:r>
        <w:t>.</w:t>
      </w:r>
    </w:p>
    <w:p w:rsidR="00C00359" w14:paraId="5A3747F7" w14:textId="77777777">
      <w:pPr>
        <w:pStyle w:val="FootnoteText"/>
      </w:pPr>
    </w:p>
  </w:footnote>
  <w:footnote w:id="18">
    <w:p w:rsidR="00C00359" w14:paraId="5A3F1750" w14:textId="7EDC948C">
      <w:pPr>
        <w:pStyle w:val="FootnoteText"/>
      </w:pPr>
      <w:r>
        <w:rPr>
          <w:rStyle w:val="FootnoteReference"/>
        </w:rPr>
        <w:footnoteRef/>
      </w:r>
      <w:r>
        <w:t xml:space="preserve"> </w:t>
      </w:r>
      <w:r>
        <w:tab/>
      </w:r>
      <w:r w:rsidRPr="002E6AF7">
        <w:rPr>
          <w:u w:val="single"/>
        </w:rPr>
        <w:t>See</w:t>
      </w:r>
      <w:r>
        <w:t xml:space="preserve"> </w:t>
      </w:r>
      <w:r w:rsidRPr="002E6AF7">
        <w:rPr>
          <w:u w:val="single"/>
        </w:rPr>
        <w:t>id</w:t>
      </w:r>
      <w:r>
        <w:t>.</w:t>
      </w:r>
    </w:p>
  </w:footnote>
  <w:footnote w:id="19">
    <w:p w:rsidR="00DB4B9C" w:rsidP="00374B2F" w14:paraId="1EC938E4" w14:textId="77777777">
      <w:pPr>
        <w:pStyle w:val="FootnoteText"/>
        <w:contextualSpacing/>
      </w:pPr>
    </w:p>
    <w:p w:rsidR="003A70A3" w:rsidP="00374B2F" w14:paraId="2087501F" w14:textId="7E425754">
      <w:pPr>
        <w:pStyle w:val="FootnoteText"/>
        <w:contextualSpacing/>
      </w:pPr>
      <w:r w:rsidRPr="00501210">
        <w:rPr>
          <w:rStyle w:val="FootnoteReference"/>
        </w:rPr>
        <w:footnoteRef/>
      </w:r>
      <w:r w:rsidRPr="00501210">
        <w:t xml:space="preserve"> </w:t>
      </w:r>
      <w:r w:rsidRPr="00501210">
        <w:tab/>
      </w:r>
      <w:r w:rsidRPr="00501210">
        <w:rPr>
          <w:u w:val="single"/>
        </w:rPr>
        <w:t>See</w:t>
      </w:r>
      <w:r w:rsidR="00E660FF">
        <w:t xml:space="preserve"> </w:t>
      </w:r>
      <w:r w:rsidR="00494682">
        <w:rPr>
          <w:u w:val="single"/>
        </w:rPr>
        <w:t>i</w:t>
      </w:r>
      <w:r w:rsidRPr="00E96A87" w:rsidR="00E96A87">
        <w:rPr>
          <w:u w:val="single"/>
        </w:rPr>
        <w:t>d</w:t>
      </w:r>
      <w:r w:rsidRPr="00374B2F" w:rsidR="009E6937">
        <w:t xml:space="preserve">. </w:t>
      </w:r>
      <w:r w:rsidRPr="00374B2F" w:rsidR="00DA136B">
        <w:t xml:space="preserve">at </w:t>
      </w:r>
      <w:r w:rsidR="009E6937">
        <w:t>551</w:t>
      </w:r>
      <w:r w:rsidR="00280CA9">
        <w:t>40</w:t>
      </w:r>
      <w:r w:rsidRPr="00374B2F" w:rsidR="00E96A87">
        <w:t>.</w:t>
      </w:r>
    </w:p>
    <w:p w:rsidR="00662CEE" w:rsidP="00374B2F" w14:paraId="02196F8F" w14:textId="77777777">
      <w:pPr>
        <w:pStyle w:val="FootnoteText"/>
        <w:contextualSpacing/>
        <w:rPr>
          <w:sz w:val="12"/>
          <w:szCs w:val="12"/>
        </w:rPr>
      </w:pPr>
    </w:p>
    <w:p w:rsidR="00DB4B9C" w:rsidRPr="00B909D0" w:rsidP="00374B2F" w14:paraId="6631F6C0" w14:textId="77777777">
      <w:pPr>
        <w:pStyle w:val="FootnoteText"/>
        <w:contextualSpacing/>
        <w:rPr>
          <w:sz w:val="12"/>
          <w:szCs w:val="12"/>
        </w:rPr>
      </w:pPr>
    </w:p>
  </w:footnote>
  <w:footnote w:id="20">
    <w:p w:rsidR="007A74B1" w:rsidP="00374B2F" w14:paraId="24D98091" w14:textId="77777777">
      <w:pPr>
        <w:pStyle w:val="FootnoteText"/>
        <w:ind w:left="720" w:hanging="720"/>
        <w:contextualSpacing/>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Amendments to Rules for Nationally Recognized Statistical Rating Organizations</w:t>
      </w:r>
      <w:r w:rsidRPr="00501210">
        <w:t xml:space="preserve">, </w:t>
      </w:r>
      <w:r>
        <w:t>Exchange Act</w:t>
      </w:r>
    </w:p>
    <w:p w:rsidR="00662CEE" w:rsidP="00374B2F" w14:paraId="4725F652" w14:textId="77777777">
      <w:pPr>
        <w:pStyle w:val="FootnoteText"/>
        <w:ind w:left="720"/>
        <w:contextualSpacing/>
      </w:pPr>
      <w:r>
        <w:t xml:space="preserve">Release No. 61050 (Nov. 23, 2009), </w:t>
      </w:r>
      <w:r w:rsidRPr="00501210">
        <w:t>74 FR at 63838 (Dec</w:t>
      </w:r>
      <w:r w:rsidR="008113D0">
        <w:t>.</w:t>
      </w:r>
      <w:r w:rsidRPr="00501210">
        <w:t xml:space="preserve"> 4, 2009) (“Ratings history information for outstanding credit ratings is the most direct means of comparing the perf</w:t>
      </w:r>
      <w:r>
        <w:t xml:space="preserve">ormance of two or more NRSROs.  </w:t>
      </w:r>
      <w:r w:rsidRPr="00501210">
        <w:t xml:space="preserve">It allows an investor or other user of credit ratings to compare how all NRSROs that maintain a credit rating for a particular obligor or instrument initially rated that obligor or instrument and, thereafter, </w:t>
      </w:r>
      <w:r w:rsidRPr="00501210">
        <w:t>how</w:t>
      </w:r>
      <w:r w:rsidRPr="00501210">
        <w:t xml:space="preserve"> and when they adjusted their credit rating over time.”).</w:t>
      </w:r>
    </w:p>
    <w:p w:rsidR="00F36271" w:rsidRPr="00B909D0" w:rsidP="00374B2F" w14:paraId="166788C0" w14:textId="77777777">
      <w:pPr>
        <w:pStyle w:val="FootnoteText"/>
        <w:contextualSpacing/>
        <w:rPr>
          <w:sz w:val="12"/>
          <w:szCs w:val="12"/>
        </w:rPr>
      </w:pPr>
    </w:p>
  </w:footnote>
  <w:footnote w:id="21">
    <w:p w:rsidR="0086746F" w:rsidP="0086746F" w14:paraId="6D061D4F" w14:textId="77777777">
      <w:pPr>
        <w:pStyle w:val="FootnoteText"/>
        <w:ind w:left="720" w:hanging="720"/>
      </w:pPr>
      <w:r>
        <w:rPr>
          <w:rStyle w:val="FootnoteReference"/>
        </w:rPr>
        <w:footnoteRef/>
      </w:r>
      <w:r>
        <w:t xml:space="preserve"> </w:t>
      </w:r>
      <w:r>
        <w:tab/>
      </w:r>
      <w:r w:rsidRPr="0080338C">
        <w:rPr>
          <w:u w:val="single"/>
        </w:rPr>
        <w:t>See</w:t>
      </w:r>
      <w:r>
        <w:t xml:space="preserve"> 17 CFR 240.0-10 [Small entities under the Securities Exchange Act for purposes of the Regulatory Flexibility Act] (defining “small business or small organization” as a person that, on the last day of its most recent fiscal year, had total assets of $5 million or less). </w:t>
      </w:r>
    </w:p>
    <w:p w:rsidR="00371C5D" w:rsidRPr="0061696D" w:rsidP="0086746F" w14:paraId="6B45D336" w14:textId="77777777">
      <w:pPr>
        <w:pStyle w:val="FootnoteText"/>
        <w:ind w:left="720" w:hanging="720"/>
      </w:pPr>
    </w:p>
  </w:footnote>
  <w:footnote w:id="22">
    <w:p w:rsidR="00901E33" w:rsidP="00DB4B9C" w14:paraId="7D194137" w14:textId="77777777">
      <w:pPr>
        <w:pStyle w:val="FootnoteText"/>
        <w:contextualSpacing/>
      </w:pPr>
    </w:p>
    <w:p w:rsidR="00843B91" w:rsidP="00374B2F" w14:paraId="321738CF" w14:textId="6AD79BA9">
      <w:pPr>
        <w:pStyle w:val="FootnoteText"/>
        <w:contextualSpacing/>
      </w:pPr>
      <w:r>
        <w:rPr>
          <w:rStyle w:val="FootnoteReference"/>
        </w:rPr>
        <w:footnoteRef/>
      </w:r>
      <w:r>
        <w:t xml:space="preserve"> </w:t>
      </w:r>
      <w:r>
        <w:tab/>
      </w:r>
      <w:r w:rsidRPr="00265540">
        <w:rPr>
          <w:u w:val="single"/>
        </w:rPr>
        <w:t>See</w:t>
      </w:r>
      <w:r w:rsidRPr="00265540">
        <w:t xml:space="preserve"> </w:t>
      </w:r>
      <w:r>
        <w:t xml:space="preserve">Proposed Collection; Comment Request, </w:t>
      </w:r>
      <w:r w:rsidR="00691A33">
        <w:t xml:space="preserve">Extension: Rule </w:t>
      </w:r>
      <w:r w:rsidR="003C6F0B">
        <w:t xml:space="preserve">17g-7, </w:t>
      </w:r>
      <w:r w:rsidRPr="000217FA" w:rsidR="000217FA">
        <w:t>89 FR 38217</w:t>
      </w:r>
      <w:r w:rsidRPr="000217FA" w:rsidR="000217FA">
        <w:t xml:space="preserve"> </w:t>
      </w:r>
      <w:r>
        <w:t>(</w:t>
      </w:r>
      <w:r w:rsidR="000217FA">
        <w:t>May 7</w:t>
      </w:r>
      <w:r>
        <w:t>, 2024)</w:t>
      </w:r>
      <w:r w:rsidRPr="00265540">
        <w:t>.</w:t>
      </w:r>
    </w:p>
    <w:p w:rsidR="0020496A" w:rsidRPr="002E0D2E" w:rsidP="00374B2F" w14:paraId="6D882514" w14:textId="77777777">
      <w:pPr>
        <w:pStyle w:val="FootnoteText"/>
        <w:contextualSpacing/>
      </w:pPr>
    </w:p>
  </w:footnote>
  <w:footnote w:id="23">
    <w:p w:rsidR="00832D22" w:rsidP="00374B2F" w14:paraId="4A571516" w14:textId="79478E4E">
      <w:pPr>
        <w:pStyle w:val="FootnoteText"/>
        <w:contextualSpacing/>
      </w:pPr>
      <w:r>
        <w:rPr>
          <w:rStyle w:val="FootnoteReference"/>
        </w:rPr>
        <w:footnoteRef/>
      </w:r>
      <w:r>
        <w:t xml:space="preserve"> </w:t>
      </w:r>
      <w:r>
        <w:tab/>
      </w:r>
      <w:r w:rsidRPr="00374B2F" w:rsidR="00B860FB">
        <w:rPr>
          <w:u w:val="single"/>
        </w:rPr>
        <w:t>See</w:t>
      </w:r>
      <w:r w:rsidR="00B860FB">
        <w:t xml:space="preserve"> </w:t>
      </w:r>
      <w:r>
        <w:t xml:space="preserve">79 FR at </w:t>
      </w:r>
      <w:r w:rsidR="00A4237D">
        <w:t>5523</w:t>
      </w:r>
      <w:r w:rsidR="00B860FB">
        <w:t>4.</w:t>
      </w:r>
    </w:p>
    <w:p w:rsidR="004D31C8" w:rsidP="00374B2F" w14:paraId="31F7DA17" w14:textId="77777777">
      <w:pPr>
        <w:pStyle w:val="FootnoteText"/>
        <w:contextualSpacing/>
      </w:pPr>
    </w:p>
  </w:footnote>
  <w:footnote w:id="24">
    <w:p w:rsidR="00B860FB" w:rsidP="00374B2F" w14:paraId="09706C51" w14:textId="2ECD45E7">
      <w:pPr>
        <w:pStyle w:val="FootnoteText"/>
        <w:contextualSpacing/>
        <w:rPr>
          <w:u w:val="single"/>
        </w:rPr>
      </w:pPr>
      <w:r>
        <w:rPr>
          <w:rStyle w:val="FootnoteReference"/>
        </w:rPr>
        <w:footnoteRef/>
      </w:r>
      <w:r>
        <w:t xml:space="preserve"> </w:t>
      </w:r>
      <w:r>
        <w:tab/>
      </w:r>
      <w:r w:rsidRPr="00374B2F">
        <w:rPr>
          <w:u w:val="single"/>
        </w:rPr>
        <w:t>See</w:t>
      </w:r>
      <w:r>
        <w:t xml:space="preserve"> </w:t>
      </w:r>
      <w:r w:rsidRPr="00374B2F">
        <w:rPr>
          <w:u w:val="single"/>
        </w:rPr>
        <w:t>id.</w:t>
      </w:r>
    </w:p>
    <w:p w:rsidR="004D31C8" w:rsidRPr="00B860FB" w:rsidP="00374B2F" w14:paraId="7CE9C005" w14:textId="77777777">
      <w:pPr>
        <w:pStyle w:val="FootnoteText"/>
        <w:contextualSpacing/>
      </w:pPr>
    </w:p>
  </w:footnote>
  <w:footnote w:id="25">
    <w:p w:rsidR="00132460" w:rsidP="00374B2F" w14:paraId="47B048EC" w14:textId="2877BE88">
      <w:pPr>
        <w:pStyle w:val="FootnoteText"/>
        <w:contextualSpacing/>
        <w:rPr>
          <w:u w:val="single"/>
        </w:rPr>
      </w:pPr>
      <w:r w:rsidRPr="00501210">
        <w:rPr>
          <w:rStyle w:val="FootnoteReference"/>
        </w:rPr>
        <w:footnoteRef/>
      </w:r>
      <w:r w:rsidRPr="00501210">
        <w:t xml:space="preserve"> </w:t>
      </w:r>
      <w:r w:rsidRPr="00501210">
        <w:tab/>
      </w:r>
      <w:r w:rsidRPr="00494682">
        <w:t xml:space="preserve">500 hours x </w:t>
      </w:r>
      <w:r>
        <w:t>10</w:t>
      </w:r>
      <w:r w:rsidRPr="00494682">
        <w:t xml:space="preserve"> NRSROs = </w:t>
      </w:r>
      <w:r>
        <w:t>5</w:t>
      </w:r>
      <w:r w:rsidR="00800995">
        <w:t>,</w:t>
      </w:r>
      <w:r>
        <w:t>000</w:t>
      </w:r>
      <w:r w:rsidRPr="00494682">
        <w:t xml:space="preserve"> hours.</w:t>
      </w:r>
    </w:p>
    <w:p w:rsidR="00132460" w:rsidRPr="00B909D0" w:rsidP="00374B2F" w14:paraId="50EA504A" w14:textId="77777777">
      <w:pPr>
        <w:pStyle w:val="FootnoteText"/>
        <w:contextualSpacing/>
        <w:rPr>
          <w:sz w:val="12"/>
          <w:szCs w:val="12"/>
        </w:rPr>
      </w:pPr>
    </w:p>
  </w:footnote>
  <w:footnote w:id="26">
    <w:p w:rsidR="007828CB" w:rsidP="00374B2F" w14:paraId="31233FA2" w14:textId="6C7B9063">
      <w:pPr>
        <w:pStyle w:val="FootnoteText"/>
        <w:ind w:left="720" w:hanging="720"/>
        <w:contextualSpacing/>
        <w:rPr>
          <w:color w:val="000000"/>
        </w:rPr>
      </w:pPr>
      <w:r w:rsidRPr="00501210">
        <w:rPr>
          <w:rStyle w:val="FootnoteReference"/>
        </w:rPr>
        <w:footnoteRef/>
      </w:r>
      <w:r w:rsidRPr="00501210">
        <w:t xml:space="preserve"> </w:t>
      </w:r>
      <w:r w:rsidRPr="00501210">
        <w:tab/>
      </w:r>
      <w:r w:rsidR="00566DA7">
        <w:rPr>
          <w:color w:val="000000"/>
        </w:rPr>
        <w:t>12</w:t>
      </w:r>
      <w:r w:rsidR="00003C17">
        <w:rPr>
          <w:color w:val="000000"/>
        </w:rPr>
        <w:t>4</w:t>
      </w:r>
      <w:r w:rsidR="00566DA7">
        <w:rPr>
          <w:color w:val="000000"/>
        </w:rPr>
        <w:t>,</w:t>
      </w:r>
      <w:r w:rsidR="00003C17">
        <w:rPr>
          <w:color w:val="000000"/>
        </w:rPr>
        <w:t>485</w:t>
      </w:r>
      <w:r w:rsidRPr="00501210" w:rsidR="00003C17">
        <w:rPr>
          <w:color w:val="000000"/>
        </w:rPr>
        <w:t xml:space="preserve"> </w:t>
      </w:r>
      <w:r w:rsidRPr="00501210">
        <w:t xml:space="preserve">upgrades and downgrades + </w:t>
      </w:r>
      <w:r w:rsidR="00160B61">
        <w:t>1</w:t>
      </w:r>
      <w:r w:rsidR="00A77793">
        <w:t>,478,118</w:t>
      </w:r>
      <w:r w:rsidRPr="00501210">
        <w:rPr>
          <w:color w:val="000000"/>
        </w:rPr>
        <w:t xml:space="preserve"> affirmations + </w:t>
      </w:r>
      <w:r w:rsidR="00EC53BD">
        <w:rPr>
          <w:color w:val="000000"/>
        </w:rPr>
        <w:t>303,107</w:t>
      </w:r>
      <w:r>
        <w:rPr>
          <w:color w:val="000000"/>
        </w:rPr>
        <w:t xml:space="preserve"> initial credit ratings + </w:t>
      </w:r>
      <w:r w:rsidRPr="005F3B98" w:rsidR="005F3B98">
        <w:rPr>
          <w:color w:val="000000"/>
        </w:rPr>
        <w:t>2</w:t>
      </w:r>
      <w:r w:rsidR="005F3B98">
        <w:rPr>
          <w:color w:val="000000"/>
        </w:rPr>
        <w:t>,</w:t>
      </w:r>
      <w:r w:rsidRPr="005F3B98" w:rsidR="005F3B98">
        <w:rPr>
          <w:color w:val="000000"/>
        </w:rPr>
        <w:t>960</w:t>
      </w:r>
      <w:r w:rsidRPr="00501210">
        <w:rPr>
          <w:color w:val="000000"/>
        </w:rPr>
        <w:t xml:space="preserve"> preliminary or expected credit ratings = </w:t>
      </w:r>
      <w:r w:rsidR="00E82583">
        <w:rPr>
          <w:color w:val="000000"/>
        </w:rPr>
        <w:t>1,908,</w:t>
      </w:r>
      <w:r w:rsidR="00F826A6">
        <w:rPr>
          <w:color w:val="000000"/>
        </w:rPr>
        <w:t>670</w:t>
      </w:r>
      <w:r w:rsidR="00131C31">
        <w:rPr>
          <w:color w:val="000000"/>
        </w:rPr>
        <w:t xml:space="preserve"> </w:t>
      </w:r>
      <w:r w:rsidRPr="00501210">
        <w:rPr>
          <w:color w:val="000000"/>
        </w:rPr>
        <w:t>rating actions per year.</w:t>
      </w:r>
      <w:r w:rsidR="004810E5">
        <w:rPr>
          <w:color w:val="000000"/>
        </w:rPr>
        <w:t xml:space="preserve">  </w:t>
      </w:r>
      <w:r w:rsidR="00641870">
        <w:rPr>
          <w:color w:val="000000"/>
        </w:rPr>
        <w:t>The</w:t>
      </w:r>
      <w:r w:rsidR="0048621D">
        <w:rPr>
          <w:color w:val="000000"/>
        </w:rPr>
        <w:t xml:space="preserve"> number of credit rating actions was estimated in the same manner </w:t>
      </w:r>
      <w:r w:rsidR="00A9606D">
        <w:rPr>
          <w:color w:val="000000"/>
        </w:rPr>
        <w:t xml:space="preserve">as </w:t>
      </w:r>
      <w:r w:rsidR="0048621D">
        <w:rPr>
          <w:color w:val="000000"/>
        </w:rPr>
        <w:t xml:space="preserve">set forth in </w:t>
      </w:r>
      <w:r w:rsidRPr="001674FA" w:rsidR="00177A49">
        <w:rPr>
          <w:color w:val="000000"/>
          <w:u w:val="single"/>
        </w:rPr>
        <w:t>Nationally Recognized Statistical Rating Organizations</w:t>
      </w:r>
      <w:r w:rsidRPr="00177A49" w:rsidR="00177A49">
        <w:rPr>
          <w:color w:val="000000"/>
        </w:rPr>
        <w:t>, 79 FR 55078</w:t>
      </w:r>
      <w:r w:rsidR="0068028C">
        <w:rPr>
          <w:color w:val="000000"/>
        </w:rPr>
        <w:t>,</w:t>
      </w:r>
      <w:r w:rsidR="006606C1">
        <w:rPr>
          <w:color w:val="000000"/>
        </w:rPr>
        <w:t xml:space="preserve"> 55241</w:t>
      </w:r>
      <w:r w:rsidR="0068028C">
        <w:rPr>
          <w:color w:val="000000"/>
        </w:rPr>
        <w:t xml:space="preserve"> </w:t>
      </w:r>
      <w:r w:rsidRPr="00177A49" w:rsidR="00177A49">
        <w:rPr>
          <w:color w:val="000000"/>
        </w:rPr>
        <w:t>(Sep</w:t>
      </w:r>
      <w:r w:rsidR="00F3403B">
        <w:rPr>
          <w:color w:val="000000"/>
        </w:rPr>
        <w:t>t.</w:t>
      </w:r>
      <w:r w:rsidRPr="00177A49" w:rsidR="00177A49">
        <w:rPr>
          <w:color w:val="000000"/>
        </w:rPr>
        <w:t xml:space="preserve"> 15</w:t>
      </w:r>
      <w:r w:rsidR="002960EE">
        <w:rPr>
          <w:color w:val="000000"/>
        </w:rPr>
        <w:t>,</w:t>
      </w:r>
      <w:r w:rsidRPr="00177A49" w:rsidR="00177A49">
        <w:rPr>
          <w:color w:val="000000"/>
        </w:rPr>
        <w:t xml:space="preserve"> 2014),</w:t>
      </w:r>
      <w:r w:rsidR="001674FA">
        <w:rPr>
          <w:color w:val="000000"/>
        </w:rPr>
        <w:t xml:space="preserve"> </w:t>
      </w:r>
      <w:r w:rsidR="00E117EA">
        <w:rPr>
          <w:color w:val="000000"/>
        </w:rPr>
        <w:t xml:space="preserve">using </w:t>
      </w:r>
      <w:r w:rsidR="004C2881">
        <w:rPr>
          <w:color w:val="000000"/>
        </w:rPr>
        <w:t>current data, as described in this footnote</w:t>
      </w:r>
      <w:r w:rsidR="00314A49">
        <w:rPr>
          <w:color w:val="000000"/>
        </w:rPr>
        <w:t xml:space="preserve">. </w:t>
      </w:r>
      <w:r w:rsidR="00B06BD4">
        <w:rPr>
          <w:color w:val="000000"/>
        </w:rPr>
        <w:t xml:space="preserve">The number of </w:t>
      </w:r>
      <w:r w:rsidR="00D56D76">
        <w:rPr>
          <w:color w:val="000000"/>
        </w:rPr>
        <w:t>upgrades and downgrades</w:t>
      </w:r>
      <w:r w:rsidR="00B06BD4">
        <w:rPr>
          <w:color w:val="000000"/>
        </w:rPr>
        <w:t xml:space="preserve"> is based on </w:t>
      </w:r>
      <w:r w:rsidR="005302FC">
        <w:rPr>
          <w:color w:val="000000"/>
        </w:rPr>
        <w:t>information provide</w:t>
      </w:r>
      <w:r w:rsidR="00760F53">
        <w:rPr>
          <w:color w:val="000000"/>
        </w:rPr>
        <w:t xml:space="preserve">d to the Commission </w:t>
      </w:r>
      <w:r w:rsidR="00193B8B">
        <w:rPr>
          <w:color w:val="000000"/>
        </w:rPr>
        <w:t xml:space="preserve">by each NRSRO </w:t>
      </w:r>
      <w:r w:rsidR="00760F53">
        <w:rPr>
          <w:color w:val="000000"/>
        </w:rPr>
        <w:t>pursuant to Rule 17g-3</w:t>
      </w:r>
      <w:r w:rsidR="00F36C49">
        <w:rPr>
          <w:color w:val="000000"/>
        </w:rPr>
        <w:t>(a)(6)</w:t>
      </w:r>
      <w:r w:rsidR="00FF141F">
        <w:rPr>
          <w:color w:val="000000"/>
        </w:rPr>
        <w:t xml:space="preserve"> for the fiscal year end</w:t>
      </w:r>
      <w:r w:rsidR="006903A6">
        <w:rPr>
          <w:color w:val="000000"/>
        </w:rPr>
        <w:t>ing in 2023</w:t>
      </w:r>
      <w:r w:rsidR="00C42A0A">
        <w:rPr>
          <w:color w:val="000000"/>
        </w:rPr>
        <w:t>.</w:t>
      </w:r>
      <w:r w:rsidR="00DE37C4">
        <w:rPr>
          <w:color w:val="000000"/>
        </w:rPr>
        <w:t xml:space="preserve"> </w:t>
      </w:r>
      <w:r w:rsidR="004F2F86">
        <w:rPr>
          <w:color w:val="000000"/>
        </w:rPr>
        <w:t>T</w:t>
      </w:r>
      <w:r w:rsidR="00DE37C4">
        <w:rPr>
          <w:color w:val="000000"/>
        </w:rPr>
        <w:t>he number of affirmations is calculated</w:t>
      </w:r>
      <w:r w:rsidR="004F1DB7">
        <w:rPr>
          <w:color w:val="000000"/>
        </w:rPr>
        <w:t xml:space="preserve"> </w:t>
      </w:r>
      <w:r w:rsidR="00BD4B1E">
        <w:rPr>
          <w:color w:val="000000"/>
        </w:rPr>
        <w:t xml:space="preserve">by </w:t>
      </w:r>
      <w:r w:rsidR="00D53456">
        <w:rPr>
          <w:color w:val="000000"/>
        </w:rPr>
        <w:t>using the number of credit rating</w:t>
      </w:r>
      <w:r w:rsidR="00C62A30">
        <w:rPr>
          <w:color w:val="000000"/>
        </w:rPr>
        <w:t>s</w:t>
      </w:r>
      <w:r w:rsidR="00D53456">
        <w:rPr>
          <w:color w:val="000000"/>
        </w:rPr>
        <w:t xml:space="preserve"> outstanding </w:t>
      </w:r>
      <w:r w:rsidR="004F1DB7">
        <w:rPr>
          <w:color w:val="000000"/>
        </w:rPr>
        <w:t xml:space="preserve">reported </w:t>
      </w:r>
      <w:r w:rsidR="000E7E1C">
        <w:rPr>
          <w:color w:val="000000"/>
        </w:rPr>
        <w:t>in the annual certification</w:t>
      </w:r>
      <w:r w:rsidR="00F83DF4">
        <w:rPr>
          <w:color w:val="000000"/>
        </w:rPr>
        <w:t>s</w:t>
      </w:r>
      <w:r w:rsidR="000E7E1C">
        <w:rPr>
          <w:color w:val="000000"/>
        </w:rPr>
        <w:t xml:space="preserve"> o</w:t>
      </w:r>
      <w:r w:rsidR="0078152C">
        <w:rPr>
          <w:color w:val="000000"/>
        </w:rPr>
        <w:t xml:space="preserve">n </w:t>
      </w:r>
      <w:r w:rsidR="004F1DB7">
        <w:rPr>
          <w:color w:val="000000"/>
        </w:rPr>
        <w:t>Form NRSRO</w:t>
      </w:r>
      <w:r w:rsidR="00E72FE5">
        <w:rPr>
          <w:color w:val="000000"/>
        </w:rPr>
        <w:t xml:space="preserve"> for calendar year ended December 31, 2023</w:t>
      </w:r>
      <w:r w:rsidR="004F1DB7">
        <w:rPr>
          <w:color w:val="000000"/>
        </w:rPr>
        <w:t xml:space="preserve"> filed pursuant to Rule 17g-1(</w:t>
      </w:r>
      <w:r w:rsidR="00C62A30">
        <w:rPr>
          <w:color w:val="000000"/>
        </w:rPr>
        <w:t>f)</w:t>
      </w:r>
      <w:r w:rsidR="00581D9B">
        <w:rPr>
          <w:color w:val="000000"/>
        </w:rPr>
        <w:t xml:space="preserve"> (</w:t>
      </w:r>
      <w:r w:rsidR="009F69D3">
        <w:rPr>
          <w:color w:val="000000"/>
        </w:rPr>
        <w:t>2,121,</w:t>
      </w:r>
      <w:r w:rsidR="00827379">
        <w:rPr>
          <w:color w:val="000000"/>
        </w:rPr>
        <w:t>746</w:t>
      </w:r>
      <w:r w:rsidR="00F908E5">
        <w:rPr>
          <w:color w:val="000000"/>
        </w:rPr>
        <w:t xml:space="preserve"> ratings</w:t>
      </w:r>
      <w:r w:rsidR="00C62A30">
        <w:rPr>
          <w:color w:val="000000"/>
        </w:rPr>
        <w:t>)</w:t>
      </w:r>
      <w:r w:rsidR="00D0678B">
        <w:rPr>
          <w:color w:val="000000"/>
        </w:rPr>
        <w:t xml:space="preserve">, </w:t>
      </w:r>
      <w:r w:rsidR="008D492D">
        <w:rPr>
          <w:color w:val="000000"/>
        </w:rPr>
        <w:t xml:space="preserve">less </w:t>
      </w:r>
      <w:r w:rsidR="00D0678B">
        <w:rPr>
          <w:color w:val="000000"/>
        </w:rPr>
        <w:t>the number of credit ratings</w:t>
      </w:r>
      <w:r w:rsidR="001F7413">
        <w:rPr>
          <w:color w:val="000000"/>
        </w:rPr>
        <w:t xml:space="preserve"> that are upgraded and downgraded</w:t>
      </w:r>
      <w:r w:rsidR="005D1B95">
        <w:rPr>
          <w:color w:val="000000"/>
        </w:rPr>
        <w:t xml:space="preserve"> (12</w:t>
      </w:r>
      <w:r w:rsidR="00BE65E4">
        <w:rPr>
          <w:color w:val="000000"/>
        </w:rPr>
        <w:t>4</w:t>
      </w:r>
      <w:r w:rsidR="008E3C65">
        <w:rPr>
          <w:color w:val="000000"/>
        </w:rPr>
        <w:t>,485</w:t>
      </w:r>
      <w:r w:rsidR="00F908E5">
        <w:rPr>
          <w:color w:val="000000"/>
        </w:rPr>
        <w:t xml:space="preserve"> ratings</w:t>
      </w:r>
      <w:r w:rsidR="005D1B95">
        <w:rPr>
          <w:color w:val="000000"/>
        </w:rPr>
        <w:t>)</w:t>
      </w:r>
      <w:r w:rsidR="001F7413">
        <w:rPr>
          <w:color w:val="000000"/>
        </w:rPr>
        <w:t>, placed on credit watch</w:t>
      </w:r>
      <w:r w:rsidR="005C1DD0">
        <w:rPr>
          <w:color w:val="000000"/>
        </w:rPr>
        <w:t xml:space="preserve"> (</w:t>
      </w:r>
      <w:r w:rsidR="005D1B95">
        <w:rPr>
          <w:color w:val="000000"/>
        </w:rPr>
        <w:t>72,758</w:t>
      </w:r>
      <w:r w:rsidR="00F908E5">
        <w:rPr>
          <w:color w:val="000000"/>
        </w:rPr>
        <w:t xml:space="preserve"> ratings</w:t>
      </w:r>
      <w:r w:rsidR="005D1B95">
        <w:rPr>
          <w:color w:val="000000"/>
        </w:rPr>
        <w:t>)</w:t>
      </w:r>
      <w:r w:rsidR="001F7413">
        <w:rPr>
          <w:color w:val="000000"/>
        </w:rPr>
        <w:t xml:space="preserve">, </w:t>
      </w:r>
      <w:r w:rsidR="006C6A23">
        <w:rPr>
          <w:color w:val="000000"/>
        </w:rPr>
        <w:t>withdrawn (</w:t>
      </w:r>
      <w:r w:rsidR="00D1502F">
        <w:rPr>
          <w:color w:val="000000"/>
        </w:rPr>
        <w:t xml:space="preserve">143,278), </w:t>
      </w:r>
      <w:r w:rsidR="001F7413">
        <w:rPr>
          <w:color w:val="000000"/>
        </w:rPr>
        <w:t>and paid off during the year</w:t>
      </w:r>
      <w:r w:rsidR="00C94F0E">
        <w:rPr>
          <w:color w:val="000000"/>
        </w:rPr>
        <w:t xml:space="preserve"> </w:t>
      </w:r>
      <w:r w:rsidR="00561907">
        <w:rPr>
          <w:color w:val="000000"/>
        </w:rPr>
        <w:t>(</w:t>
      </w:r>
      <w:r w:rsidR="00F96E78">
        <w:rPr>
          <w:color w:val="000000"/>
        </w:rPr>
        <w:t>303,106.</w:t>
      </w:r>
      <w:r w:rsidR="00CB3945">
        <w:rPr>
          <w:color w:val="000000"/>
        </w:rPr>
        <w:t>57</w:t>
      </w:r>
      <w:r w:rsidR="00561907">
        <w:rPr>
          <w:color w:val="000000"/>
        </w:rPr>
        <w:t xml:space="preserve"> ratings, rounded to </w:t>
      </w:r>
      <w:r w:rsidR="00CB3945">
        <w:rPr>
          <w:color w:val="000000"/>
        </w:rPr>
        <w:t>303,107</w:t>
      </w:r>
      <w:r w:rsidR="00561907">
        <w:rPr>
          <w:color w:val="000000"/>
        </w:rPr>
        <w:t xml:space="preserve"> ratings) </w:t>
      </w:r>
      <w:r w:rsidR="00C94F0E">
        <w:rPr>
          <w:color w:val="000000"/>
        </w:rPr>
        <w:t>(th</w:t>
      </w:r>
      <w:r w:rsidR="00921876">
        <w:rPr>
          <w:color w:val="000000"/>
        </w:rPr>
        <w:t>e</w:t>
      </w:r>
      <w:r w:rsidR="00C94F0E">
        <w:rPr>
          <w:color w:val="000000"/>
        </w:rPr>
        <w:t xml:space="preserve"> </w:t>
      </w:r>
      <w:r w:rsidR="00BD4B1E">
        <w:rPr>
          <w:color w:val="000000"/>
        </w:rPr>
        <w:t xml:space="preserve">latter </w:t>
      </w:r>
      <w:r w:rsidR="007315C8">
        <w:rPr>
          <w:color w:val="000000"/>
        </w:rPr>
        <w:t>number is</w:t>
      </w:r>
      <w:r w:rsidR="00BA7BE9">
        <w:rPr>
          <w:color w:val="000000"/>
        </w:rPr>
        <w:t xml:space="preserve"> estimated </w:t>
      </w:r>
      <w:r w:rsidR="006C243F">
        <w:rPr>
          <w:color w:val="000000"/>
        </w:rPr>
        <w:t xml:space="preserve">by dividing </w:t>
      </w:r>
      <w:r w:rsidR="00BA7BE9">
        <w:rPr>
          <w:color w:val="000000"/>
        </w:rPr>
        <w:t xml:space="preserve">the </w:t>
      </w:r>
      <w:r w:rsidR="003A2342">
        <w:rPr>
          <w:color w:val="000000"/>
        </w:rPr>
        <w:t xml:space="preserve">number of credit ratings outstanding </w:t>
      </w:r>
      <w:r w:rsidR="001F683B">
        <w:rPr>
          <w:color w:val="000000"/>
        </w:rPr>
        <w:t>by 7, which</w:t>
      </w:r>
      <w:r w:rsidR="006C476B">
        <w:rPr>
          <w:color w:val="000000"/>
        </w:rPr>
        <w:t>, based on staff experience,</w:t>
      </w:r>
      <w:r w:rsidR="00D81352">
        <w:rPr>
          <w:color w:val="000000"/>
        </w:rPr>
        <w:t xml:space="preserve"> represents</w:t>
      </w:r>
      <w:r w:rsidR="007959F2">
        <w:rPr>
          <w:color w:val="000000"/>
        </w:rPr>
        <w:t xml:space="preserve"> </w:t>
      </w:r>
      <w:r w:rsidR="009460CB">
        <w:rPr>
          <w:color w:val="000000"/>
        </w:rPr>
        <w:t xml:space="preserve">the </w:t>
      </w:r>
      <w:r w:rsidR="00EF06C6">
        <w:rPr>
          <w:color w:val="000000"/>
        </w:rPr>
        <w:t xml:space="preserve">average </w:t>
      </w:r>
      <w:r w:rsidR="004D1284">
        <w:rPr>
          <w:color w:val="000000"/>
        </w:rPr>
        <w:t xml:space="preserve">number of years over which </w:t>
      </w:r>
      <w:r w:rsidR="00EF06C6">
        <w:rPr>
          <w:color w:val="000000"/>
        </w:rPr>
        <w:t>rated</w:t>
      </w:r>
      <w:r w:rsidR="0009568F">
        <w:rPr>
          <w:color w:val="000000"/>
        </w:rPr>
        <w:t xml:space="preserve"> securities and money market instruments</w:t>
      </w:r>
      <w:r w:rsidR="007959F2">
        <w:rPr>
          <w:color w:val="000000"/>
        </w:rPr>
        <w:t xml:space="preserve"> </w:t>
      </w:r>
      <w:r w:rsidR="004D1284">
        <w:rPr>
          <w:color w:val="000000"/>
        </w:rPr>
        <w:t>mature</w:t>
      </w:r>
      <w:r w:rsidR="00C94F0E">
        <w:rPr>
          <w:color w:val="000000"/>
        </w:rPr>
        <w:t>)</w:t>
      </w:r>
      <w:r w:rsidR="0011431A">
        <w:rPr>
          <w:color w:val="000000"/>
        </w:rPr>
        <w:t>.</w:t>
      </w:r>
      <w:r w:rsidR="00576BC1">
        <w:rPr>
          <w:color w:val="000000"/>
        </w:rPr>
        <w:t xml:space="preserve"> </w:t>
      </w:r>
      <w:r w:rsidR="0011431A">
        <w:rPr>
          <w:color w:val="000000"/>
        </w:rPr>
        <w:t xml:space="preserve"> </w:t>
      </w:r>
      <w:r w:rsidR="004236C3">
        <w:rPr>
          <w:color w:val="000000"/>
        </w:rPr>
        <w:t>T</w:t>
      </w:r>
      <w:r w:rsidR="00401EB2">
        <w:rPr>
          <w:color w:val="000000"/>
        </w:rPr>
        <w:t xml:space="preserve">he number of initial credit ratings </w:t>
      </w:r>
      <w:r w:rsidR="00FB7871">
        <w:rPr>
          <w:color w:val="000000"/>
        </w:rPr>
        <w:t xml:space="preserve">is estimated </w:t>
      </w:r>
      <w:r w:rsidR="00E17F84">
        <w:rPr>
          <w:color w:val="000000"/>
        </w:rPr>
        <w:t xml:space="preserve">using the same formula </w:t>
      </w:r>
      <w:r w:rsidR="00FB7871">
        <w:rPr>
          <w:color w:val="000000"/>
        </w:rPr>
        <w:t xml:space="preserve">for </w:t>
      </w:r>
      <w:r w:rsidR="00E17F84">
        <w:rPr>
          <w:color w:val="000000"/>
        </w:rPr>
        <w:t>determin</w:t>
      </w:r>
      <w:r w:rsidR="00FB7871">
        <w:rPr>
          <w:color w:val="000000"/>
        </w:rPr>
        <w:t>ing</w:t>
      </w:r>
      <w:r w:rsidR="007B15EF">
        <w:rPr>
          <w:color w:val="000000"/>
        </w:rPr>
        <w:t xml:space="preserve"> credit ratings for</w:t>
      </w:r>
      <w:r w:rsidR="00E17F84">
        <w:rPr>
          <w:color w:val="000000"/>
        </w:rPr>
        <w:t xml:space="preserve"> paid off instruments</w:t>
      </w:r>
      <w:r w:rsidR="002C1D2A">
        <w:rPr>
          <w:color w:val="000000"/>
        </w:rPr>
        <w:t xml:space="preserve"> (303,107 ratings)</w:t>
      </w:r>
      <w:r w:rsidR="00295339">
        <w:rPr>
          <w:color w:val="000000"/>
        </w:rPr>
        <w:t xml:space="preserve">. </w:t>
      </w:r>
      <w:r w:rsidR="00BD3D7A">
        <w:rPr>
          <w:color w:val="000000"/>
        </w:rPr>
        <w:t xml:space="preserve"> </w:t>
      </w:r>
      <w:r w:rsidR="000B560B">
        <w:rPr>
          <w:color w:val="000000"/>
        </w:rPr>
        <w:t>T</w:t>
      </w:r>
      <w:r w:rsidR="00BD3D7A">
        <w:rPr>
          <w:color w:val="000000"/>
        </w:rPr>
        <w:t xml:space="preserve">he number of preliminary or expected ratings is calculated </w:t>
      </w:r>
      <w:r w:rsidR="00A63F59">
        <w:rPr>
          <w:color w:val="000000"/>
        </w:rPr>
        <w:t xml:space="preserve">based on the number of </w:t>
      </w:r>
      <w:r w:rsidR="00C7649F">
        <w:rPr>
          <w:color w:val="000000"/>
        </w:rPr>
        <w:t xml:space="preserve">new issuances of </w:t>
      </w:r>
      <w:r w:rsidR="003A0893">
        <w:rPr>
          <w:color w:val="000000"/>
        </w:rPr>
        <w:t>asset-backed securiti</w:t>
      </w:r>
      <w:r w:rsidR="00F65BB0">
        <w:rPr>
          <w:color w:val="000000"/>
        </w:rPr>
        <w:t>es</w:t>
      </w:r>
      <w:r w:rsidR="00D01EEA">
        <w:rPr>
          <w:color w:val="000000"/>
        </w:rPr>
        <w:t xml:space="preserve"> </w:t>
      </w:r>
      <w:r w:rsidR="00A526F9">
        <w:rPr>
          <w:color w:val="000000"/>
        </w:rPr>
        <w:t xml:space="preserve">increased by 100% </w:t>
      </w:r>
      <w:r w:rsidR="002C42F5">
        <w:rPr>
          <w:color w:val="000000"/>
        </w:rPr>
        <w:t xml:space="preserve">to account for other </w:t>
      </w:r>
      <w:r w:rsidR="00256DFA">
        <w:rPr>
          <w:color w:val="000000"/>
        </w:rPr>
        <w:t>types</w:t>
      </w:r>
      <w:r w:rsidR="001674FA">
        <w:rPr>
          <w:color w:val="000000"/>
        </w:rPr>
        <w:t xml:space="preserve"> of</w:t>
      </w:r>
      <w:r w:rsidR="00256DFA">
        <w:rPr>
          <w:color w:val="000000"/>
        </w:rPr>
        <w:t xml:space="preserve"> offerings for which preliminary or expected ratings may be issued</w:t>
      </w:r>
      <w:r w:rsidR="007C7B89">
        <w:rPr>
          <w:color w:val="000000"/>
        </w:rPr>
        <w:t xml:space="preserve"> (</w:t>
      </w:r>
      <w:r w:rsidRPr="005F3B98" w:rsidR="005F3B98">
        <w:rPr>
          <w:color w:val="000000"/>
        </w:rPr>
        <w:t>2</w:t>
      </w:r>
      <w:r w:rsidR="005F3B98">
        <w:rPr>
          <w:color w:val="000000"/>
        </w:rPr>
        <w:t>,</w:t>
      </w:r>
      <w:r w:rsidRPr="005F3B98" w:rsidR="005F3B98">
        <w:rPr>
          <w:color w:val="000000"/>
        </w:rPr>
        <w:t>960</w:t>
      </w:r>
      <w:r w:rsidR="005F3B98">
        <w:rPr>
          <w:color w:val="000000"/>
        </w:rPr>
        <w:t xml:space="preserve"> ratings)</w:t>
      </w:r>
      <w:r w:rsidR="00256DFA">
        <w:rPr>
          <w:color w:val="000000"/>
        </w:rPr>
        <w:t>.</w:t>
      </w:r>
      <w:r w:rsidR="00A61EFA">
        <w:rPr>
          <w:color w:val="000000"/>
        </w:rPr>
        <w:t xml:space="preserve">  </w:t>
      </w:r>
      <w:r w:rsidR="005B13F0">
        <w:rPr>
          <w:color w:val="000000"/>
        </w:rPr>
        <w:t>T</w:t>
      </w:r>
      <w:r w:rsidR="00C70C76">
        <w:rPr>
          <w:color w:val="000000"/>
        </w:rPr>
        <w:t>h</w:t>
      </w:r>
      <w:r w:rsidR="003B7E11">
        <w:rPr>
          <w:color w:val="000000"/>
        </w:rPr>
        <w:t xml:space="preserve">is number was estimated using </w:t>
      </w:r>
      <w:r w:rsidR="00084A9D">
        <w:t>information from the databases maintained by Asset-Backed Alert and Commercial Mortgage Alert</w:t>
      </w:r>
      <w:r w:rsidR="00D8090C">
        <w:t xml:space="preserve"> and represents</w:t>
      </w:r>
      <w:r w:rsidR="003438FF">
        <w:t xml:space="preserve"> the </w:t>
      </w:r>
      <w:r w:rsidR="00D43AA6">
        <w:t xml:space="preserve">average </w:t>
      </w:r>
      <w:r w:rsidR="003438FF">
        <w:t xml:space="preserve">number of new asset-backed securities transactions for the years ended December </w:t>
      </w:r>
      <w:r w:rsidR="002478BD">
        <w:t>3</w:t>
      </w:r>
      <w:r w:rsidR="003438FF">
        <w:t>1, 2021, 2022, and 2023.</w:t>
      </w:r>
    </w:p>
    <w:p w:rsidR="00F36271" w:rsidRPr="00B909D0" w:rsidP="00374B2F" w14:paraId="304CF59B" w14:textId="77777777">
      <w:pPr>
        <w:pStyle w:val="FootnoteText"/>
        <w:contextualSpacing/>
        <w:rPr>
          <w:sz w:val="12"/>
          <w:szCs w:val="12"/>
        </w:rPr>
      </w:pPr>
    </w:p>
  </w:footnote>
  <w:footnote w:id="27">
    <w:p w:rsidR="00D77FB9" w:rsidP="005D7D73" w14:paraId="1377074A" w14:textId="05248D25">
      <w:pPr>
        <w:pStyle w:val="FootnoteText"/>
        <w:tabs>
          <w:tab w:val="left" w:pos="720"/>
          <w:tab w:val="left" w:pos="1440"/>
          <w:tab w:val="left" w:pos="2160"/>
          <w:tab w:val="left" w:pos="2880"/>
          <w:tab w:val="left" w:pos="3600"/>
          <w:tab w:val="left" w:pos="4320"/>
          <w:tab w:val="left" w:pos="5040"/>
          <w:tab w:val="left" w:pos="5760"/>
          <w:tab w:val="right" w:pos="9360"/>
        </w:tabs>
        <w:ind w:left="720" w:hanging="720"/>
        <w:contextualSpacing/>
      </w:pPr>
      <w:r w:rsidRPr="00501210">
        <w:rPr>
          <w:rStyle w:val="FootnoteReference"/>
        </w:rPr>
        <w:footnoteRef/>
      </w:r>
      <w:r w:rsidRPr="00501210">
        <w:t xml:space="preserve"> </w:t>
      </w:r>
      <w:r w:rsidRPr="00501210">
        <w:tab/>
      </w:r>
      <w:r w:rsidR="005856EE">
        <w:t>1,908,</w:t>
      </w:r>
      <w:r w:rsidR="00C9000D">
        <w:t>670</w:t>
      </w:r>
      <w:r w:rsidR="005D7D73">
        <w:t xml:space="preserve"> </w:t>
      </w:r>
      <w:r w:rsidRPr="00501210">
        <w:t>rating actions</w:t>
      </w:r>
      <w:r w:rsidRPr="00501210">
        <w:rPr>
          <w:color w:val="000000"/>
        </w:rPr>
        <w:t xml:space="preserve"> x 1/3 hour</w:t>
      </w:r>
      <w:r w:rsidRPr="00501210">
        <w:t xml:space="preserve"> = </w:t>
      </w:r>
      <w:r w:rsidR="00B14C9A">
        <w:t>636</w:t>
      </w:r>
      <w:r w:rsidR="00F504B4">
        <w:t>,</w:t>
      </w:r>
      <w:r w:rsidR="00360979">
        <w:t>223</w:t>
      </w:r>
      <w:r w:rsidR="00F504B4">
        <w:t>.</w:t>
      </w:r>
      <w:r w:rsidR="00360979">
        <w:t>3</w:t>
      </w:r>
      <w:r w:rsidRPr="00501210" w:rsidR="00360979">
        <w:t xml:space="preserve"> </w:t>
      </w:r>
      <w:r w:rsidRPr="00501210">
        <w:t>hours</w:t>
      </w:r>
      <w:r>
        <w:t xml:space="preserve">, rounded to </w:t>
      </w:r>
      <w:r w:rsidR="00666056">
        <w:t>636,</w:t>
      </w:r>
      <w:r w:rsidR="00360979">
        <w:t xml:space="preserve">223 </w:t>
      </w:r>
      <w:r>
        <w:t>hours</w:t>
      </w:r>
      <w:r w:rsidRPr="00501210">
        <w:t>.</w:t>
      </w:r>
    </w:p>
    <w:p w:rsidR="007828CB" w:rsidRPr="00501210" w:rsidP="00374B2F" w14:paraId="585F5C67" w14:textId="77777777">
      <w:pPr>
        <w:pStyle w:val="FootnoteText"/>
        <w:tabs>
          <w:tab w:val="left" w:pos="720"/>
          <w:tab w:val="left" w:pos="1440"/>
          <w:tab w:val="left" w:pos="2160"/>
          <w:tab w:val="left" w:pos="2880"/>
          <w:tab w:val="left" w:pos="3600"/>
          <w:tab w:val="left" w:pos="4320"/>
          <w:tab w:val="left" w:pos="5040"/>
          <w:tab w:val="left" w:pos="5760"/>
          <w:tab w:val="right" w:pos="9360"/>
        </w:tabs>
        <w:contextualSpacing/>
      </w:pPr>
      <w:r w:rsidRPr="00501210">
        <w:tab/>
      </w:r>
    </w:p>
  </w:footnote>
  <w:footnote w:id="28">
    <w:p w:rsidR="007F21E9" w:rsidP="00374B2F" w14:paraId="7A2CBFB8" w14:textId="30906E9B">
      <w:pPr>
        <w:pStyle w:val="FootnoteText"/>
        <w:ind w:left="720" w:hanging="720"/>
        <w:contextualSpacing/>
      </w:pPr>
      <w:r>
        <w:rPr>
          <w:rStyle w:val="FootnoteReference"/>
        </w:rPr>
        <w:footnoteRef/>
      </w:r>
      <w:r>
        <w:t xml:space="preserve"> </w:t>
      </w:r>
      <w:r>
        <w:tab/>
      </w:r>
      <w:r w:rsidRPr="00A82706">
        <w:t>Th</w:t>
      </w:r>
      <w:r w:rsidR="002E3C82">
        <w:t>is salary estimate and other salary estimates discussed in the supporting statement are</w:t>
      </w:r>
      <w:r w:rsidRPr="00A82706">
        <w:t xml:space="preserve"> based on </w:t>
      </w:r>
      <w:r w:rsidRPr="002E3C82">
        <w:rPr>
          <w:u w:val="single"/>
        </w:rPr>
        <w:t>SIFMA’s Management &amp; Professional Earnings in the Securities Industry 2013</w:t>
      </w:r>
      <w:r w:rsidR="002D4C56">
        <w:t xml:space="preserve">, </w:t>
      </w:r>
      <w:r w:rsidR="007E52F7">
        <w:t>modified by Commission staff to account for an 1,800-hour work-year and multiplied by 5.35 to account for bonuses, firm size, employee benefits and overhead</w:t>
      </w:r>
      <w:r w:rsidR="00E46F50">
        <w:t xml:space="preserve"> </w:t>
      </w:r>
      <w:r w:rsidRPr="00A82706" w:rsidR="00E46F50">
        <w:t>(“2013 SIFMA survey”)</w:t>
      </w:r>
      <w:r w:rsidR="001B7F9F">
        <w:t>,</w:t>
      </w:r>
      <w:r w:rsidR="006766FA">
        <w:t xml:space="preserve"> </w:t>
      </w:r>
      <w:r w:rsidR="001B7F9F">
        <w:t>as</w:t>
      </w:r>
      <w:r w:rsidR="002D4C56">
        <w:t xml:space="preserve"> adjusted for inflation</w:t>
      </w:r>
      <w:r w:rsidRPr="00A82706">
        <w:t xml:space="preserve"> using the Bureau of Labor Statistics CPI Inflation Calculator.</w:t>
      </w:r>
      <w:r>
        <w:t xml:space="preserve">  </w:t>
      </w:r>
    </w:p>
    <w:p w:rsidR="00200A8C" w:rsidP="00374B2F" w14:paraId="1616A480" w14:textId="77777777">
      <w:pPr>
        <w:pStyle w:val="FootnoteText"/>
        <w:ind w:left="720" w:hanging="720"/>
        <w:contextualSpacing/>
      </w:pPr>
    </w:p>
  </w:footnote>
  <w:footnote w:id="29">
    <w:p w:rsidR="007F21E9" w:rsidP="001674FA" w14:paraId="21C3F154" w14:textId="5C6AB9F5">
      <w:pPr>
        <w:pStyle w:val="FootnoteText"/>
        <w:ind w:left="720" w:hanging="720"/>
        <w:contextualSpacing/>
      </w:pPr>
      <w:r>
        <w:rPr>
          <w:rStyle w:val="FootnoteReference"/>
        </w:rPr>
        <w:footnoteRef/>
      </w:r>
      <w:r>
        <w:t xml:space="preserve"> </w:t>
      </w:r>
      <w:r>
        <w:tab/>
      </w:r>
      <w:r w:rsidR="004F218E">
        <w:t xml:space="preserve">(5,000 hours + </w:t>
      </w:r>
      <w:r w:rsidR="00AB1C9A">
        <w:t>636,</w:t>
      </w:r>
      <w:r w:rsidR="00AD5191">
        <w:t>223</w:t>
      </w:r>
      <w:r w:rsidR="0075575C">
        <w:t xml:space="preserve"> </w:t>
      </w:r>
      <w:r w:rsidRPr="00020B6A">
        <w:t>hours</w:t>
      </w:r>
      <w:r w:rsidR="0075575C">
        <w:t xml:space="preserve"> = </w:t>
      </w:r>
      <w:r w:rsidR="00810C08">
        <w:t>641,</w:t>
      </w:r>
      <w:r w:rsidR="00FA7052">
        <w:t>223</w:t>
      </w:r>
      <w:r w:rsidR="004C0689">
        <w:t>)</w:t>
      </w:r>
      <w:r w:rsidRPr="00020B6A">
        <w:t xml:space="preserve"> x $</w:t>
      </w:r>
      <w:r>
        <w:t xml:space="preserve">372 </w:t>
      </w:r>
      <w:r w:rsidRPr="00020B6A">
        <w:t>per hour for a compliance manager</w:t>
      </w:r>
      <w:r w:rsidRPr="00D90E27">
        <w:t xml:space="preserve"> = </w:t>
      </w:r>
      <w:r>
        <w:t>$</w:t>
      </w:r>
      <w:r w:rsidR="00216DF3">
        <w:t>23</w:t>
      </w:r>
      <w:r w:rsidR="00FD04AA">
        <w:t>8</w:t>
      </w:r>
      <w:r w:rsidR="00216DF3">
        <w:t>,</w:t>
      </w:r>
      <w:r w:rsidR="00FA7052">
        <w:t>534</w:t>
      </w:r>
      <w:r w:rsidR="00216DF3">
        <w:t>,</w:t>
      </w:r>
      <w:r w:rsidR="00FA7052">
        <w:t>956</w:t>
      </w:r>
      <w:r>
        <w:t xml:space="preserve">.  </w:t>
      </w:r>
    </w:p>
    <w:p w:rsidR="00FA000C" w:rsidP="00374B2F" w14:paraId="29895E4C" w14:textId="77777777">
      <w:pPr>
        <w:pStyle w:val="FootnoteText"/>
        <w:contextualSpacing/>
      </w:pPr>
    </w:p>
  </w:footnote>
  <w:footnote w:id="30">
    <w:p w:rsidR="0039330E" w14:paraId="7C680367" w14:textId="6C17EA5B">
      <w:pPr>
        <w:pStyle w:val="FootnoteText"/>
      </w:pPr>
      <w:r>
        <w:rPr>
          <w:rStyle w:val="FootnoteReference"/>
        </w:rPr>
        <w:footnoteRef/>
      </w:r>
      <w:r>
        <w:t xml:space="preserve"> </w:t>
      </w:r>
      <w:r>
        <w:tab/>
      </w:r>
      <w:r w:rsidR="005A0DD3">
        <w:t>45 hours x 10 NRSROs = 450 hours.</w:t>
      </w:r>
    </w:p>
    <w:p w:rsidR="0039330E" w14:paraId="262E072A" w14:textId="77777777">
      <w:pPr>
        <w:pStyle w:val="FootnoteText"/>
      </w:pPr>
    </w:p>
  </w:footnote>
  <w:footnote w:id="31">
    <w:p w:rsidR="007E719A" w:rsidP="00DB4B9C" w14:paraId="75A13979" w14:textId="10CD1FF3">
      <w:pPr>
        <w:pStyle w:val="FootnoteText"/>
        <w:ind w:left="720" w:hanging="720"/>
        <w:contextualSpacing/>
      </w:pPr>
      <w:r>
        <w:rPr>
          <w:rStyle w:val="FootnoteReference"/>
        </w:rPr>
        <w:footnoteRef/>
      </w:r>
      <w:r>
        <w:t xml:space="preserve"> </w:t>
      </w:r>
      <w:r>
        <w:tab/>
      </w:r>
      <w:r w:rsidR="00CA4562">
        <w:t>450</w:t>
      </w:r>
      <w:r w:rsidRPr="00020B6A">
        <w:t xml:space="preserve"> hours x $</w:t>
      </w:r>
      <w:r>
        <w:t>3</w:t>
      </w:r>
      <w:r w:rsidR="00BA2D17">
        <w:t>4</w:t>
      </w:r>
      <w:r>
        <w:t xml:space="preserve">2 </w:t>
      </w:r>
      <w:r w:rsidRPr="00020B6A">
        <w:t xml:space="preserve">per hour for a </w:t>
      </w:r>
      <w:r w:rsidR="00BA2D17">
        <w:t xml:space="preserve">senior </w:t>
      </w:r>
      <w:r w:rsidR="009D719A">
        <w:t xml:space="preserve">systems analyst </w:t>
      </w:r>
      <w:r w:rsidRPr="00D90E27">
        <w:t xml:space="preserve">= </w:t>
      </w:r>
      <w:r>
        <w:t>$</w:t>
      </w:r>
      <w:r w:rsidR="00CA4562">
        <w:t>153,900</w:t>
      </w:r>
      <w:r>
        <w:t>.</w:t>
      </w:r>
      <w:r w:rsidR="00B160D7">
        <w:t xml:space="preserve">  </w:t>
      </w:r>
    </w:p>
    <w:p w:rsidR="00BE7949" w:rsidP="00374B2F" w14:paraId="04D72BB3" w14:textId="77777777">
      <w:pPr>
        <w:pStyle w:val="FootnoteText"/>
        <w:ind w:left="720" w:hanging="720"/>
        <w:contextualSpacing/>
      </w:pPr>
    </w:p>
  </w:footnote>
  <w:footnote w:id="32">
    <w:p w:rsidR="0023576F" w:rsidP="0023576F" w14:paraId="4757F087" w14:textId="2CFB5065">
      <w:pPr>
        <w:pStyle w:val="FootnoteText"/>
        <w:ind w:left="720" w:hanging="720"/>
      </w:pPr>
      <w:r>
        <w:rPr>
          <w:rStyle w:val="FootnoteReference"/>
        </w:rPr>
        <w:footnoteRef/>
      </w:r>
      <w:r>
        <w:t xml:space="preserve"> </w:t>
      </w:r>
      <w:r>
        <w:tab/>
      </w:r>
      <w:r w:rsidR="001A212D">
        <w:t xml:space="preserve">Amounts reflected in this column </w:t>
      </w:r>
      <w:r>
        <w:t>ha</w:t>
      </w:r>
      <w:r w:rsidR="003A63CC">
        <w:t>ve</w:t>
      </w:r>
      <w:r>
        <w:t xml:space="preserve"> not been updated since the adoption of </w:t>
      </w:r>
      <w:r w:rsidR="001A212D">
        <w:t>Rule 17g-7</w:t>
      </w:r>
      <w:r w:rsidR="00372EC0">
        <w:t xml:space="preserve"> in 2014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783D"/>
    <w:multiLevelType w:val="hybridMultilevel"/>
    <w:tmpl w:val="3B7C9600"/>
    <w:lvl w:ilvl="0">
      <w:start w:val="2"/>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D416DD1"/>
    <w:multiLevelType w:val="hybridMultilevel"/>
    <w:tmpl w:val="AA2838DA"/>
    <w:lvl w:ilvl="0">
      <w:start w:val="1"/>
      <w:numFmt w:val="upperLetter"/>
      <w:lvlText w:val="%1."/>
      <w:lvlJc w:val="left"/>
      <w:pPr>
        <w:ind w:left="446" w:hanging="360"/>
      </w:pPr>
      <w:rPr>
        <w:rFonts w:hint="default"/>
      </w:rPr>
    </w:lvl>
    <w:lvl w:ilvl="1" w:tentative="1">
      <w:start w:val="1"/>
      <w:numFmt w:val="lowerLetter"/>
      <w:lvlText w:val="%2."/>
      <w:lvlJc w:val="left"/>
      <w:pPr>
        <w:ind w:left="1166" w:hanging="360"/>
      </w:pPr>
    </w:lvl>
    <w:lvl w:ilvl="2" w:tentative="1">
      <w:start w:val="1"/>
      <w:numFmt w:val="lowerRoman"/>
      <w:lvlText w:val="%3."/>
      <w:lvlJc w:val="right"/>
      <w:pPr>
        <w:ind w:left="1886" w:hanging="180"/>
      </w:pPr>
    </w:lvl>
    <w:lvl w:ilvl="3" w:tentative="1">
      <w:start w:val="1"/>
      <w:numFmt w:val="decimal"/>
      <w:lvlText w:val="%4."/>
      <w:lvlJc w:val="left"/>
      <w:pPr>
        <w:ind w:left="2606" w:hanging="360"/>
      </w:pPr>
    </w:lvl>
    <w:lvl w:ilvl="4" w:tentative="1">
      <w:start w:val="1"/>
      <w:numFmt w:val="lowerLetter"/>
      <w:lvlText w:val="%5."/>
      <w:lvlJc w:val="left"/>
      <w:pPr>
        <w:ind w:left="3326" w:hanging="360"/>
      </w:pPr>
    </w:lvl>
    <w:lvl w:ilvl="5" w:tentative="1">
      <w:start w:val="1"/>
      <w:numFmt w:val="lowerRoman"/>
      <w:lvlText w:val="%6."/>
      <w:lvlJc w:val="right"/>
      <w:pPr>
        <w:ind w:left="4046" w:hanging="180"/>
      </w:pPr>
    </w:lvl>
    <w:lvl w:ilvl="6" w:tentative="1">
      <w:start w:val="1"/>
      <w:numFmt w:val="decimal"/>
      <w:lvlText w:val="%7."/>
      <w:lvlJc w:val="left"/>
      <w:pPr>
        <w:ind w:left="4766" w:hanging="360"/>
      </w:pPr>
    </w:lvl>
    <w:lvl w:ilvl="7" w:tentative="1">
      <w:start w:val="1"/>
      <w:numFmt w:val="lowerLetter"/>
      <w:lvlText w:val="%8."/>
      <w:lvlJc w:val="left"/>
      <w:pPr>
        <w:ind w:left="5486" w:hanging="360"/>
      </w:pPr>
    </w:lvl>
    <w:lvl w:ilvl="8" w:tentative="1">
      <w:start w:val="1"/>
      <w:numFmt w:val="lowerRoman"/>
      <w:lvlText w:val="%9."/>
      <w:lvlJc w:val="right"/>
      <w:pPr>
        <w:ind w:left="6206" w:hanging="180"/>
      </w:pPr>
    </w:lvl>
  </w:abstractNum>
  <w:abstractNum w:abstractNumId="2">
    <w:nsid w:val="1F536A69"/>
    <w:multiLevelType w:val="hybridMultilevel"/>
    <w:tmpl w:val="186AEBAE"/>
    <w:lvl w:ilvl="0">
      <w:start w:val="1"/>
      <w:numFmt w:val="upperLetter"/>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9926033"/>
    <w:multiLevelType w:val="hybridMultilevel"/>
    <w:tmpl w:val="B05C70FE"/>
    <w:lvl w:ilvl="0">
      <w:start w:val="1"/>
      <w:numFmt w:val="bullet"/>
      <w:lvlText w:val=""/>
      <w:lvlJc w:val="left"/>
      <w:pPr>
        <w:tabs>
          <w:tab w:val="num" w:pos="450"/>
        </w:tabs>
        <w:ind w:left="450" w:hanging="360"/>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5">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95836004">
    <w:abstractNumId w:val="5"/>
  </w:num>
  <w:num w:numId="2" w16cid:durableId="1105615822">
    <w:abstractNumId w:val="6"/>
  </w:num>
  <w:num w:numId="3" w16cid:durableId="10765961">
    <w:abstractNumId w:val="3"/>
  </w:num>
  <w:num w:numId="4" w16cid:durableId="778260831">
    <w:abstractNumId w:val="0"/>
  </w:num>
  <w:num w:numId="5" w16cid:durableId="1564872228">
    <w:abstractNumId w:val="4"/>
  </w:num>
  <w:num w:numId="6" w16cid:durableId="1346666167">
    <w:abstractNumId w:val="2"/>
  </w:num>
  <w:num w:numId="7" w16cid:durableId="132809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41"/>
    <w:rsid w:val="00000A35"/>
    <w:rsid w:val="000022B3"/>
    <w:rsid w:val="00002560"/>
    <w:rsid w:val="00003C17"/>
    <w:rsid w:val="000041D6"/>
    <w:rsid w:val="00005DD5"/>
    <w:rsid w:val="0000618E"/>
    <w:rsid w:val="0000765C"/>
    <w:rsid w:val="0001336D"/>
    <w:rsid w:val="000139A2"/>
    <w:rsid w:val="00014439"/>
    <w:rsid w:val="000150C7"/>
    <w:rsid w:val="00015F8C"/>
    <w:rsid w:val="0001763F"/>
    <w:rsid w:val="00017F53"/>
    <w:rsid w:val="00020608"/>
    <w:rsid w:val="00020807"/>
    <w:rsid w:val="00020B6A"/>
    <w:rsid w:val="00020C32"/>
    <w:rsid w:val="00020EDB"/>
    <w:rsid w:val="00020F69"/>
    <w:rsid w:val="000217FA"/>
    <w:rsid w:val="000224F3"/>
    <w:rsid w:val="00022B42"/>
    <w:rsid w:val="00022D10"/>
    <w:rsid w:val="00022D40"/>
    <w:rsid w:val="0002431C"/>
    <w:rsid w:val="00024819"/>
    <w:rsid w:val="000260B8"/>
    <w:rsid w:val="000264BC"/>
    <w:rsid w:val="0002685F"/>
    <w:rsid w:val="00026D03"/>
    <w:rsid w:val="000307D6"/>
    <w:rsid w:val="00030CDB"/>
    <w:rsid w:val="00030EC2"/>
    <w:rsid w:val="0003118B"/>
    <w:rsid w:val="00032700"/>
    <w:rsid w:val="00033501"/>
    <w:rsid w:val="000338C6"/>
    <w:rsid w:val="00035A39"/>
    <w:rsid w:val="00035FA3"/>
    <w:rsid w:val="00036933"/>
    <w:rsid w:val="00036AEF"/>
    <w:rsid w:val="00036DF7"/>
    <w:rsid w:val="00041E89"/>
    <w:rsid w:val="00044900"/>
    <w:rsid w:val="000458C7"/>
    <w:rsid w:val="00045CE9"/>
    <w:rsid w:val="00047266"/>
    <w:rsid w:val="00051893"/>
    <w:rsid w:val="00052DD4"/>
    <w:rsid w:val="00052F67"/>
    <w:rsid w:val="00054B7E"/>
    <w:rsid w:val="00055029"/>
    <w:rsid w:val="0005611B"/>
    <w:rsid w:val="00056722"/>
    <w:rsid w:val="00056CFD"/>
    <w:rsid w:val="00060086"/>
    <w:rsid w:val="00060BB0"/>
    <w:rsid w:val="000619EA"/>
    <w:rsid w:val="00061DDB"/>
    <w:rsid w:val="0006220B"/>
    <w:rsid w:val="0006247B"/>
    <w:rsid w:val="00062FD7"/>
    <w:rsid w:val="00064C8E"/>
    <w:rsid w:val="00064E5A"/>
    <w:rsid w:val="00066921"/>
    <w:rsid w:val="00067D31"/>
    <w:rsid w:val="00070037"/>
    <w:rsid w:val="0007003D"/>
    <w:rsid w:val="000702D3"/>
    <w:rsid w:val="00070904"/>
    <w:rsid w:val="00070A20"/>
    <w:rsid w:val="00070B54"/>
    <w:rsid w:val="00071275"/>
    <w:rsid w:val="00071BC4"/>
    <w:rsid w:val="00072017"/>
    <w:rsid w:val="00072C7C"/>
    <w:rsid w:val="00073AD0"/>
    <w:rsid w:val="00073B13"/>
    <w:rsid w:val="00074115"/>
    <w:rsid w:val="0007572C"/>
    <w:rsid w:val="0007578E"/>
    <w:rsid w:val="00075C7E"/>
    <w:rsid w:val="00077AED"/>
    <w:rsid w:val="00080A68"/>
    <w:rsid w:val="00080FC3"/>
    <w:rsid w:val="000819C0"/>
    <w:rsid w:val="00082213"/>
    <w:rsid w:val="00082A48"/>
    <w:rsid w:val="00082C43"/>
    <w:rsid w:val="00082D32"/>
    <w:rsid w:val="00084A9D"/>
    <w:rsid w:val="000861CF"/>
    <w:rsid w:val="00086727"/>
    <w:rsid w:val="00087802"/>
    <w:rsid w:val="00087960"/>
    <w:rsid w:val="000906B2"/>
    <w:rsid w:val="000908EE"/>
    <w:rsid w:val="00090D48"/>
    <w:rsid w:val="0009273F"/>
    <w:rsid w:val="00094724"/>
    <w:rsid w:val="00094934"/>
    <w:rsid w:val="0009568F"/>
    <w:rsid w:val="00095CF4"/>
    <w:rsid w:val="00096473"/>
    <w:rsid w:val="000965F1"/>
    <w:rsid w:val="00096CE0"/>
    <w:rsid w:val="000A126B"/>
    <w:rsid w:val="000A28BE"/>
    <w:rsid w:val="000A3BC5"/>
    <w:rsid w:val="000A4351"/>
    <w:rsid w:val="000A4554"/>
    <w:rsid w:val="000A5CBB"/>
    <w:rsid w:val="000A696A"/>
    <w:rsid w:val="000A7757"/>
    <w:rsid w:val="000A7B03"/>
    <w:rsid w:val="000A7F0F"/>
    <w:rsid w:val="000B00ED"/>
    <w:rsid w:val="000B0582"/>
    <w:rsid w:val="000B1E50"/>
    <w:rsid w:val="000B268E"/>
    <w:rsid w:val="000B2D6E"/>
    <w:rsid w:val="000B560B"/>
    <w:rsid w:val="000B637B"/>
    <w:rsid w:val="000B64A7"/>
    <w:rsid w:val="000C0408"/>
    <w:rsid w:val="000C0441"/>
    <w:rsid w:val="000C1B92"/>
    <w:rsid w:val="000C1FE6"/>
    <w:rsid w:val="000C2DD7"/>
    <w:rsid w:val="000C307D"/>
    <w:rsid w:val="000C4F64"/>
    <w:rsid w:val="000C6170"/>
    <w:rsid w:val="000C7781"/>
    <w:rsid w:val="000D049B"/>
    <w:rsid w:val="000D1661"/>
    <w:rsid w:val="000D4D16"/>
    <w:rsid w:val="000D4D32"/>
    <w:rsid w:val="000D6FCF"/>
    <w:rsid w:val="000E106B"/>
    <w:rsid w:val="000E1C3F"/>
    <w:rsid w:val="000E2A91"/>
    <w:rsid w:val="000E4CF6"/>
    <w:rsid w:val="000E704D"/>
    <w:rsid w:val="000E765C"/>
    <w:rsid w:val="000E7E1C"/>
    <w:rsid w:val="000F0025"/>
    <w:rsid w:val="000F2056"/>
    <w:rsid w:val="000F31D3"/>
    <w:rsid w:val="000F3919"/>
    <w:rsid w:val="000F4F68"/>
    <w:rsid w:val="000F5330"/>
    <w:rsid w:val="000F61DC"/>
    <w:rsid w:val="000F6732"/>
    <w:rsid w:val="000F6844"/>
    <w:rsid w:val="00100AB3"/>
    <w:rsid w:val="001020E8"/>
    <w:rsid w:val="00102138"/>
    <w:rsid w:val="00103A76"/>
    <w:rsid w:val="0010449A"/>
    <w:rsid w:val="00104E2C"/>
    <w:rsid w:val="00104EC9"/>
    <w:rsid w:val="0010597C"/>
    <w:rsid w:val="00106DE8"/>
    <w:rsid w:val="0010746F"/>
    <w:rsid w:val="00107AC9"/>
    <w:rsid w:val="00107CD5"/>
    <w:rsid w:val="00107D48"/>
    <w:rsid w:val="0011002B"/>
    <w:rsid w:val="0011031F"/>
    <w:rsid w:val="00111262"/>
    <w:rsid w:val="00111283"/>
    <w:rsid w:val="001117FA"/>
    <w:rsid w:val="00111BF3"/>
    <w:rsid w:val="00111C29"/>
    <w:rsid w:val="00113557"/>
    <w:rsid w:val="001141BF"/>
    <w:rsid w:val="00114221"/>
    <w:rsid w:val="0011431A"/>
    <w:rsid w:val="00114989"/>
    <w:rsid w:val="00114D29"/>
    <w:rsid w:val="0011534F"/>
    <w:rsid w:val="001158E9"/>
    <w:rsid w:val="001167DC"/>
    <w:rsid w:val="00117908"/>
    <w:rsid w:val="00117B57"/>
    <w:rsid w:val="00122826"/>
    <w:rsid w:val="001258EB"/>
    <w:rsid w:val="001259B5"/>
    <w:rsid w:val="00125D91"/>
    <w:rsid w:val="00126836"/>
    <w:rsid w:val="00126A3A"/>
    <w:rsid w:val="001270E5"/>
    <w:rsid w:val="00127C37"/>
    <w:rsid w:val="001300DE"/>
    <w:rsid w:val="00130B86"/>
    <w:rsid w:val="00131410"/>
    <w:rsid w:val="001319A4"/>
    <w:rsid w:val="00131C31"/>
    <w:rsid w:val="00132460"/>
    <w:rsid w:val="00133E89"/>
    <w:rsid w:val="00134B41"/>
    <w:rsid w:val="00136529"/>
    <w:rsid w:val="00136C5A"/>
    <w:rsid w:val="0014418E"/>
    <w:rsid w:val="0014586C"/>
    <w:rsid w:val="00145EDB"/>
    <w:rsid w:val="0015169D"/>
    <w:rsid w:val="001517CF"/>
    <w:rsid w:val="00151D00"/>
    <w:rsid w:val="0015222E"/>
    <w:rsid w:val="00152D9F"/>
    <w:rsid w:val="00152E2C"/>
    <w:rsid w:val="001541C2"/>
    <w:rsid w:val="00154ACE"/>
    <w:rsid w:val="00157032"/>
    <w:rsid w:val="00160B61"/>
    <w:rsid w:val="00160D53"/>
    <w:rsid w:val="0016107C"/>
    <w:rsid w:val="00161EEE"/>
    <w:rsid w:val="001641DF"/>
    <w:rsid w:val="00164555"/>
    <w:rsid w:val="00166F00"/>
    <w:rsid w:val="001674FA"/>
    <w:rsid w:val="00167EFD"/>
    <w:rsid w:val="00171FAC"/>
    <w:rsid w:val="00172439"/>
    <w:rsid w:val="0017395E"/>
    <w:rsid w:val="0017484C"/>
    <w:rsid w:val="0017681B"/>
    <w:rsid w:val="00176941"/>
    <w:rsid w:val="00177183"/>
    <w:rsid w:val="00177A49"/>
    <w:rsid w:val="001825D8"/>
    <w:rsid w:val="001831AB"/>
    <w:rsid w:val="00183871"/>
    <w:rsid w:val="00184406"/>
    <w:rsid w:val="00185B74"/>
    <w:rsid w:val="00190F3B"/>
    <w:rsid w:val="00192D87"/>
    <w:rsid w:val="001930F5"/>
    <w:rsid w:val="00193B8B"/>
    <w:rsid w:val="00193B93"/>
    <w:rsid w:val="0019520A"/>
    <w:rsid w:val="00195FB6"/>
    <w:rsid w:val="0019660C"/>
    <w:rsid w:val="001979C1"/>
    <w:rsid w:val="00197EE6"/>
    <w:rsid w:val="001A0387"/>
    <w:rsid w:val="001A058B"/>
    <w:rsid w:val="001A0E29"/>
    <w:rsid w:val="001A0EFA"/>
    <w:rsid w:val="001A212D"/>
    <w:rsid w:val="001A45E3"/>
    <w:rsid w:val="001A4D97"/>
    <w:rsid w:val="001A5291"/>
    <w:rsid w:val="001A5366"/>
    <w:rsid w:val="001A53E9"/>
    <w:rsid w:val="001A60E1"/>
    <w:rsid w:val="001A6EC9"/>
    <w:rsid w:val="001B06EB"/>
    <w:rsid w:val="001B1F8A"/>
    <w:rsid w:val="001B218B"/>
    <w:rsid w:val="001B4444"/>
    <w:rsid w:val="001B4D24"/>
    <w:rsid w:val="001B51BA"/>
    <w:rsid w:val="001B5729"/>
    <w:rsid w:val="001B5856"/>
    <w:rsid w:val="001B7F9F"/>
    <w:rsid w:val="001C1995"/>
    <w:rsid w:val="001C1F80"/>
    <w:rsid w:val="001C2106"/>
    <w:rsid w:val="001C26AC"/>
    <w:rsid w:val="001C37AA"/>
    <w:rsid w:val="001C42BE"/>
    <w:rsid w:val="001C54FC"/>
    <w:rsid w:val="001C57DD"/>
    <w:rsid w:val="001C5B5A"/>
    <w:rsid w:val="001C5F28"/>
    <w:rsid w:val="001C67FD"/>
    <w:rsid w:val="001D165F"/>
    <w:rsid w:val="001D1815"/>
    <w:rsid w:val="001D2313"/>
    <w:rsid w:val="001D3E7A"/>
    <w:rsid w:val="001D447B"/>
    <w:rsid w:val="001D480D"/>
    <w:rsid w:val="001D5EC2"/>
    <w:rsid w:val="001D72FA"/>
    <w:rsid w:val="001D7F70"/>
    <w:rsid w:val="001E087B"/>
    <w:rsid w:val="001E2044"/>
    <w:rsid w:val="001E2D63"/>
    <w:rsid w:val="001E4E45"/>
    <w:rsid w:val="001E66AD"/>
    <w:rsid w:val="001E75CA"/>
    <w:rsid w:val="001E7A03"/>
    <w:rsid w:val="001F05C5"/>
    <w:rsid w:val="001F068D"/>
    <w:rsid w:val="001F0D3A"/>
    <w:rsid w:val="001F22F8"/>
    <w:rsid w:val="001F329C"/>
    <w:rsid w:val="001F3823"/>
    <w:rsid w:val="001F3CD9"/>
    <w:rsid w:val="001F407F"/>
    <w:rsid w:val="001F45A1"/>
    <w:rsid w:val="001F683B"/>
    <w:rsid w:val="001F6D6C"/>
    <w:rsid w:val="001F7413"/>
    <w:rsid w:val="00200A8C"/>
    <w:rsid w:val="00201267"/>
    <w:rsid w:val="00201D09"/>
    <w:rsid w:val="00201E01"/>
    <w:rsid w:val="00202EDB"/>
    <w:rsid w:val="00203A1C"/>
    <w:rsid w:val="00203B57"/>
    <w:rsid w:val="00204164"/>
    <w:rsid w:val="0020496A"/>
    <w:rsid w:val="00205D40"/>
    <w:rsid w:val="0020617E"/>
    <w:rsid w:val="00207298"/>
    <w:rsid w:val="00207726"/>
    <w:rsid w:val="00210500"/>
    <w:rsid w:val="002105E9"/>
    <w:rsid w:val="00210D48"/>
    <w:rsid w:val="00210EC8"/>
    <w:rsid w:val="00211F30"/>
    <w:rsid w:val="00212758"/>
    <w:rsid w:val="002129CE"/>
    <w:rsid w:val="00212B7B"/>
    <w:rsid w:val="00213575"/>
    <w:rsid w:val="00213CBB"/>
    <w:rsid w:val="00213D14"/>
    <w:rsid w:val="00214AEF"/>
    <w:rsid w:val="00214CF6"/>
    <w:rsid w:val="00215BF9"/>
    <w:rsid w:val="002164A0"/>
    <w:rsid w:val="00216DF3"/>
    <w:rsid w:val="002204B6"/>
    <w:rsid w:val="0022146F"/>
    <w:rsid w:val="00222B67"/>
    <w:rsid w:val="00222BFB"/>
    <w:rsid w:val="00222C59"/>
    <w:rsid w:val="00223E69"/>
    <w:rsid w:val="0022458F"/>
    <w:rsid w:val="00225553"/>
    <w:rsid w:val="00225D23"/>
    <w:rsid w:val="00225DED"/>
    <w:rsid w:val="0022665B"/>
    <w:rsid w:val="002267D8"/>
    <w:rsid w:val="00226EAC"/>
    <w:rsid w:val="00227569"/>
    <w:rsid w:val="00227B97"/>
    <w:rsid w:val="00231808"/>
    <w:rsid w:val="00231D6A"/>
    <w:rsid w:val="00231D9C"/>
    <w:rsid w:val="0023469F"/>
    <w:rsid w:val="0023576F"/>
    <w:rsid w:val="00236498"/>
    <w:rsid w:val="00237633"/>
    <w:rsid w:val="00237E3E"/>
    <w:rsid w:val="002405C7"/>
    <w:rsid w:val="00240F49"/>
    <w:rsid w:val="002411AF"/>
    <w:rsid w:val="002412E1"/>
    <w:rsid w:val="00241A55"/>
    <w:rsid w:val="00242070"/>
    <w:rsid w:val="00242982"/>
    <w:rsid w:val="00243354"/>
    <w:rsid w:val="00245140"/>
    <w:rsid w:val="002471EA"/>
    <w:rsid w:val="002472D1"/>
    <w:rsid w:val="002478BD"/>
    <w:rsid w:val="002504AF"/>
    <w:rsid w:val="00250B34"/>
    <w:rsid w:val="00250B6E"/>
    <w:rsid w:val="00250C5B"/>
    <w:rsid w:val="00250FF7"/>
    <w:rsid w:val="002530E3"/>
    <w:rsid w:val="00253944"/>
    <w:rsid w:val="0025498D"/>
    <w:rsid w:val="00254C4E"/>
    <w:rsid w:val="00255E0F"/>
    <w:rsid w:val="00256DFA"/>
    <w:rsid w:val="00257950"/>
    <w:rsid w:val="00260009"/>
    <w:rsid w:val="0026131D"/>
    <w:rsid w:val="00262F02"/>
    <w:rsid w:val="00262F79"/>
    <w:rsid w:val="002650A2"/>
    <w:rsid w:val="00265540"/>
    <w:rsid w:val="00265ACA"/>
    <w:rsid w:val="002663CB"/>
    <w:rsid w:val="0026641A"/>
    <w:rsid w:val="002670CA"/>
    <w:rsid w:val="00267157"/>
    <w:rsid w:val="0027181D"/>
    <w:rsid w:val="002718F7"/>
    <w:rsid w:val="00271C24"/>
    <w:rsid w:val="00273197"/>
    <w:rsid w:val="00273787"/>
    <w:rsid w:val="00273D62"/>
    <w:rsid w:val="00277036"/>
    <w:rsid w:val="00277AFC"/>
    <w:rsid w:val="00277C0D"/>
    <w:rsid w:val="00277F09"/>
    <w:rsid w:val="002801B3"/>
    <w:rsid w:val="00280602"/>
    <w:rsid w:val="00280CA9"/>
    <w:rsid w:val="002819E8"/>
    <w:rsid w:val="00281B49"/>
    <w:rsid w:val="00282F4C"/>
    <w:rsid w:val="0028344A"/>
    <w:rsid w:val="00283573"/>
    <w:rsid w:val="002840FF"/>
    <w:rsid w:val="00285316"/>
    <w:rsid w:val="00285AA9"/>
    <w:rsid w:val="00285C3F"/>
    <w:rsid w:val="002867C9"/>
    <w:rsid w:val="00287357"/>
    <w:rsid w:val="00290AEE"/>
    <w:rsid w:val="00290D88"/>
    <w:rsid w:val="0029281C"/>
    <w:rsid w:val="002929E7"/>
    <w:rsid w:val="00292ED1"/>
    <w:rsid w:val="00292F20"/>
    <w:rsid w:val="00293054"/>
    <w:rsid w:val="00294305"/>
    <w:rsid w:val="00294BD2"/>
    <w:rsid w:val="00295231"/>
    <w:rsid w:val="00295339"/>
    <w:rsid w:val="00295FDA"/>
    <w:rsid w:val="002960EE"/>
    <w:rsid w:val="00296A1E"/>
    <w:rsid w:val="002975B9"/>
    <w:rsid w:val="002A0D6B"/>
    <w:rsid w:val="002A1EC9"/>
    <w:rsid w:val="002A2D93"/>
    <w:rsid w:val="002A3C7D"/>
    <w:rsid w:val="002A4A74"/>
    <w:rsid w:val="002A630A"/>
    <w:rsid w:val="002A6908"/>
    <w:rsid w:val="002B06BD"/>
    <w:rsid w:val="002B169B"/>
    <w:rsid w:val="002B2499"/>
    <w:rsid w:val="002B28A7"/>
    <w:rsid w:val="002B2E1C"/>
    <w:rsid w:val="002B3E8A"/>
    <w:rsid w:val="002B69D3"/>
    <w:rsid w:val="002B6A39"/>
    <w:rsid w:val="002C0B90"/>
    <w:rsid w:val="002C1D2A"/>
    <w:rsid w:val="002C21FB"/>
    <w:rsid w:val="002C2E62"/>
    <w:rsid w:val="002C4252"/>
    <w:rsid w:val="002C42F5"/>
    <w:rsid w:val="002C4D93"/>
    <w:rsid w:val="002C4E18"/>
    <w:rsid w:val="002C5134"/>
    <w:rsid w:val="002C5747"/>
    <w:rsid w:val="002C5BB5"/>
    <w:rsid w:val="002C6F71"/>
    <w:rsid w:val="002D040B"/>
    <w:rsid w:val="002D06E0"/>
    <w:rsid w:val="002D0D9A"/>
    <w:rsid w:val="002D203E"/>
    <w:rsid w:val="002D32C0"/>
    <w:rsid w:val="002D33F0"/>
    <w:rsid w:val="002D4C56"/>
    <w:rsid w:val="002D53B1"/>
    <w:rsid w:val="002D66CC"/>
    <w:rsid w:val="002D6B53"/>
    <w:rsid w:val="002D6C79"/>
    <w:rsid w:val="002E0B2B"/>
    <w:rsid w:val="002E0D2E"/>
    <w:rsid w:val="002E2BAD"/>
    <w:rsid w:val="002E335A"/>
    <w:rsid w:val="002E374F"/>
    <w:rsid w:val="002E3C82"/>
    <w:rsid w:val="002E5675"/>
    <w:rsid w:val="002E6262"/>
    <w:rsid w:val="002E6AF7"/>
    <w:rsid w:val="002E7187"/>
    <w:rsid w:val="002E77AA"/>
    <w:rsid w:val="002E79CF"/>
    <w:rsid w:val="002E7C6C"/>
    <w:rsid w:val="002F0201"/>
    <w:rsid w:val="002F0CDD"/>
    <w:rsid w:val="002F0D7A"/>
    <w:rsid w:val="002F0F1B"/>
    <w:rsid w:val="002F1DF1"/>
    <w:rsid w:val="002F2A2C"/>
    <w:rsid w:val="002F3197"/>
    <w:rsid w:val="002F4782"/>
    <w:rsid w:val="002F53DD"/>
    <w:rsid w:val="002F6288"/>
    <w:rsid w:val="00301079"/>
    <w:rsid w:val="00301A19"/>
    <w:rsid w:val="00301BED"/>
    <w:rsid w:val="00301C0A"/>
    <w:rsid w:val="003021DD"/>
    <w:rsid w:val="0030383B"/>
    <w:rsid w:val="00303C5B"/>
    <w:rsid w:val="00303C84"/>
    <w:rsid w:val="003042E9"/>
    <w:rsid w:val="003064C5"/>
    <w:rsid w:val="003072E7"/>
    <w:rsid w:val="00307310"/>
    <w:rsid w:val="00307916"/>
    <w:rsid w:val="0031069F"/>
    <w:rsid w:val="003108EF"/>
    <w:rsid w:val="00310DD1"/>
    <w:rsid w:val="00312514"/>
    <w:rsid w:val="00313F34"/>
    <w:rsid w:val="00314A49"/>
    <w:rsid w:val="00314A77"/>
    <w:rsid w:val="003158F2"/>
    <w:rsid w:val="00316823"/>
    <w:rsid w:val="00316E0E"/>
    <w:rsid w:val="00317F21"/>
    <w:rsid w:val="00320806"/>
    <w:rsid w:val="00321141"/>
    <w:rsid w:val="00322A84"/>
    <w:rsid w:val="0032373B"/>
    <w:rsid w:val="00323C12"/>
    <w:rsid w:val="003248BC"/>
    <w:rsid w:val="003255CE"/>
    <w:rsid w:val="003265E4"/>
    <w:rsid w:val="00327468"/>
    <w:rsid w:val="00327E9A"/>
    <w:rsid w:val="003303D6"/>
    <w:rsid w:val="003313C0"/>
    <w:rsid w:val="00333049"/>
    <w:rsid w:val="00333AE0"/>
    <w:rsid w:val="00334203"/>
    <w:rsid w:val="003344CE"/>
    <w:rsid w:val="003351B1"/>
    <w:rsid w:val="003374DA"/>
    <w:rsid w:val="00340EBC"/>
    <w:rsid w:val="00341A53"/>
    <w:rsid w:val="00341EE0"/>
    <w:rsid w:val="00342007"/>
    <w:rsid w:val="003429FC"/>
    <w:rsid w:val="00342B5C"/>
    <w:rsid w:val="00342E24"/>
    <w:rsid w:val="00343484"/>
    <w:rsid w:val="003434F7"/>
    <w:rsid w:val="003438FF"/>
    <w:rsid w:val="00344A07"/>
    <w:rsid w:val="00345CAB"/>
    <w:rsid w:val="00346C8F"/>
    <w:rsid w:val="00347DCF"/>
    <w:rsid w:val="00351309"/>
    <w:rsid w:val="003520B0"/>
    <w:rsid w:val="0035217E"/>
    <w:rsid w:val="0035257D"/>
    <w:rsid w:val="00352F8D"/>
    <w:rsid w:val="00353748"/>
    <w:rsid w:val="00353CA1"/>
    <w:rsid w:val="00354043"/>
    <w:rsid w:val="003549D2"/>
    <w:rsid w:val="00354CE3"/>
    <w:rsid w:val="00355314"/>
    <w:rsid w:val="0035575A"/>
    <w:rsid w:val="00356447"/>
    <w:rsid w:val="00360104"/>
    <w:rsid w:val="0036056E"/>
    <w:rsid w:val="003608F9"/>
    <w:rsid w:val="00360979"/>
    <w:rsid w:val="00361099"/>
    <w:rsid w:val="00362083"/>
    <w:rsid w:val="003627C1"/>
    <w:rsid w:val="0036427F"/>
    <w:rsid w:val="003646A0"/>
    <w:rsid w:val="003656A5"/>
    <w:rsid w:val="00365CB0"/>
    <w:rsid w:val="00366B3E"/>
    <w:rsid w:val="00366B81"/>
    <w:rsid w:val="0036788A"/>
    <w:rsid w:val="00367AA5"/>
    <w:rsid w:val="00367B67"/>
    <w:rsid w:val="00370381"/>
    <w:rsid w:val="003706DD"/>
    <w:rsid w:val="00371C5D"/>
    <w:rsid w:val="003720C5"/>
    <w:rsid w:val="003724D3"/>
    <w:rsid w:val="00372890"/>
    <w:rsid w:val="00372CF2"/>
    <w:rsid w:val="00372EC0"/>
    <w:rsid w:val="0037301A"/>
    <w:rsid w:val="0037456C"/>
    <w:rsid w:val="00374B2F"/>
    <w:rsid w:val="00375467"/>
    <w:rsid w:val="003806DF"/>
    <w:rsid w:val="00383939"/>
    <w:rsid w:val="00384202"/>
    <w:rsid w:val="00384805"/>
    <w:rsid w:val="00385F82"/>
    <w:rsid w:val="003871D5"/>
    <w:rsid w:val="00390271"/>
    <w:rsid w:val="003916A5"/>
    <w:rsid w:val="003929D7"/>
    <w:rsid w:val="0039330E"/>
    <w:rsid w:val="003935E3"/>
    <w:rsid w:val="003944EC"/>
    <w:rsid w:val="00394714"/>
    <w:rsid w:val="00395298"/>
    <w:rsid w:val="00395961"/>
    <w:rsid w:val="00395F42"/>
    <w:rsid w:val="00396A9B"/>
    <w:rsid w:val="00396FCB"/>
    <w:rsid w:val="003971A9"/>
    <w:rsid w:val="003A01F2"/>
    <w:rsid w:val="003A0893"/>
    <w:rsid w:val="003A091F"/>
    <w:rsid w:val="003A2342"/>
    <w:rsid w:val="003A27D1"/>
    <w:rsid w:val="003A2BEC"/>
    <w:rsid w:val="003A2F6F"/>
    <w:rsid w:val="003A41A3"/>
    <w:rsid w:val="003A4C7A"/>
    <w:rsid w:val="003A5245"/>
    <w:rsid w:val="003A5A30"/>
    <w:rsid w:val="003A5EBB"/>
    <w:rsid w:val="003A63CC"/>
    <w:rsid w:val="003A69C5"/>
    <w:rsid w:val="003A6FBE"/>
    <w:rsid w:val="003A70A3"/>
    <w:rsid w:val="003B00F5"/>
    <w:rsid w:val="003B10B4"/>
    <w:rsid w:val="003B370C"/>
    <w:rsid w:val="003B39F8"/>
    <w:rsid w:val="003B4E30"/>
    <w:rsid w:val="003B7E11"/>
    <w:rsid w:val="003C1E70"/>
    <w:rsid w:val="003C3044"/>
    <w:rsid w:val="003C5127"/>
    <w:rsid w:val="003C5824"/>
    <w:rsid w:val="003C5857"/>
    <w:rsid w:val="003C650D"/>
    <w:rsid w:val="003C6F0B"/>
    <w:rsid w:val="003D0FD8"/>
    <w:rsid w:val="003D19F5"/>
    <w:rsid w:val="003D1C0A"/>
    <w:rsid w:val="003D1D80"/>
    <w:rsid w:val="003D2974"/>
    <w:rsid w:val="003D3C03"/>
    <w:rsid w:val="003D3F38"/>
    <w:rsid w:val="003D44C5"/>
    <w:rsid w:val="003D4DF9"/>
    <w:rsid w:val="003D4F7B"/>
    <w:rsid w:val="003D511C"/>
    <w:rsid w:val="003D5778"/>
    <w:rsid w:val="003D5C29"/>
    <w:rsid w:val="003D6D08"/>
    <w:rsid w:val="003D6F8B"/>
    <w:rsid w:val="003E0593"/>
    <w:rsid w:val="003E0674"/>
    <w:rsid w:val="003E16D3"/>
    <w:rsid w:val="003E1B37"/>
    <w:rsid w:val="003E1B89"/>
    <w:rsid w:val="003E2F04"/>
    <w:rsid w:val="003E335F"/>
    <w:rsid w:val="003E34BE"/>
    <w:rsid w:val="003E46F5"/>
    <w:rsid w:val="003E5A98"/>
    <w:rsid w:val="003E71AB"/>
    <w:rsid w:val="003E74B4"/>
    <w:rsid w:val="003E795E"/>
    <w:rsid w:val="003F0EF7"/>
    <w:rsid w:val="003F1525"/>
    <w:rsid w:val="003F1B20"/>
    <w:rsid w:val="003F23AB"/>
    <w:rsid w:val="003F2C1A"/>
    <w:rsid w:val="003F4261"/>
    <w:rsid w:val="003F52C8"/>
    <w:rsid w:val="003F569A"/>
    <w:rsid w:val="003F56EF"/>
    <w:rsid w:val="003F697C"/>
    <w:rsid w:val="003F707D"/>
    <w:rsid w:val="0040067E"/>
    <w:rsid w:val="00401E47"/>
    <w:rsid w:val="00401EB2"/>
    <w:rsid w:val="00402BF2"/>
    <w:rsid w:val="00405E12"/>
    <w:rsid w:val="0040765C"/>
    <w:rsid w:val="004079B0"/>
    <w:rsid w:val="00407DD4"/>
    <w:rsid w:val="00410272"/>
    <w:rsid w:val="00410CDA"/>
    <w:rsid w:val="0041188C"/>
    <w:rsid w:val="00411AAC"/>
    <w:rsid w:val="00412859"/>
    <w:rsid w:val="00415219"/>
    <w:rsid w:val="0041577B"/>
    <w:rsid w:val="00416A45"/>
    <w:rsid w:val="004177CA"/>
    <w:rsid w:val="004223FC"/>
    <w:rsid w:val="00422889"/>
    <w:rsid w:val="004236C3"/>
    <w:rsid w:val="00423B9A"/>
    <w:rsid w:val="00424775"/>
    <w:rsid w:val="00424D10"/>
    <w:rsid w:val="0042738B"/>
    <w:rsid w:val="00427CA0"/>
    <w:rsid w:val="004302E1"/>
    <w:rsid w:val="00430A27"/>
    <w:rsid w:val="00430F04"/>
    <w:rsid w:val="00431553"/>
    <w:rsid w:val="004319A2"/>
    <w:rsid w:val="00432044"/>
    <w:rsid w:val="0043341A"/>
    <w:rsid w:val="004338BA"/>
    <w:rsid w:val="00433BC1"/>
    <w:rsid w:val="00434EF5"/>
    <w:rsid w:val="00435011"/>
    <w:rsid w:val="004371F0"/>
    <w:rsid w:val="004375BD"/>
    <w:rsid w:val="004377BB"/>
    <w:rsid w:val="0044047E"/>
    <w:rsid w:val="00440A5B"/>
    <w:rsid w:val="00441BEB"/>
    <w:rsid w:val="00441D77"/>
    <w:rsid w:val="00442678"/>
    <w:rsid w:val="00442861"/>
    <w:rsid w:val="004429E1"/>
    <w:rsid w:val="00443A89"/>
    <w:rsid w:val="00444D22"/>
    <w:rsid w:val="004452CE"/>
    <w:rsid w:val="00446035"/>
    <w:rsid w:val="0044747B"/>
    <w:rsid w:val="00447A76"/>
    <w:rsid w:val="00451065"/>
    <w:rsid w:val="00452237"/>
    <w:rsid w:val="00452534"/>
    <w:rsid w:val="00452548"/>
    <w:rsid w:val="00452848"/>
    <w:rsid w:val="00452E70"/>
    <w:rsid w:val="004531A9"/>
    <w:rsid w:val="0045393A"/>
    <w:rsid w:val="0045437B"/>
    <w:rsid w:val="00454C61"/>
    <w:rsid w:val="00454E5E"/>
    <w:rsid w:val="00455123"/>
    <w:rsid w:val="004600FC"/>
    <w:rsid w:val="004609CF"/>
    <w:rsid w:val="00460DD5"/>
    <w:rsid w:val="004626D5"/>
    <w:rsid w:val="004639EA"/>
    <w:rsid w:val="0046419B"/>
    <w:rsid w:val="00464C0E"/>
    <w:rsid w:val="0046655C"/>
    <w:rsid w:val="0047215C"/>
    <w:rsid w:val="00472254"/>
    <w:rsid w:val="00472375"/>
    <w:rsid w:val="00472BD9"/>
    <w:rsid w:val="00474832"/>
    <w:rsid w:val="00475BD7"/>
    <w:rsid w:val="00475D21"/>
    <w:rsid w:val="0047738E"/>
    <w:rsid w:val="004773DD"/>
    <w:rsid w:val="004802D3"/>
    <w:rsid w:val="004807C2"/>
    <w:rsid w:val="004809AD"/>
    <w:rsid w:val="00481099"/>
    <w:rsid w:val="004810E5"/>
    <w:rsid w:val="004818C9"/>
    <w:rsid w:val="004819DA"/>
    <w:rsid w:val="00481C14"/>
    <w:rsid w:val="00482693"/>
    <w:rsid w:val="004853D8"/>
    <w:rsid w:val="00485D81"/>
    <w:rsid w:val="0048621D"/>
    <w:rsid w:val="0048659A"/>
    <w:rsid w:val="0048668A"/>
    <w:rsid w:val="0048711F"/>
    <w:rsid w:val="0048727B"/>
    <w:rsid w:val="00490440"/>
    <w:rsid w:val="00490943"/>
    <w:rsid w:val="00491566"/>
    <w:rsid w:val="0049188B"/>
    <w:rsid w:val="00493EB6"/>
    <w:rsid w:val="004945A4"/>
    <w:rsid w:val="00494682"/>
    <w:rsid w:val="00495C0A"/>
    <w:rsid w:val="0049687C"/>
    <w:rsid w:val="0049721F"/>
    <w:rsid w:val="00497DCB"/>
    <w:rsid w:val="00497F04"/>
    <w:rsid w:val="004A0C1F"/>
    <w:rsid w:val="004A2D1F"/>
    <w:rsid w:val="004A3A03"/>
    <w:rsid w:val="004A469D"/>
    <w:rsid w:val="004A4793"/>
    <w:rsid w:val="004A6605"/>
    <w:rsid w:val="004A67E2"/>
    <w:rsid w:val="004A7459"/>
    <w:rsid w:val="004A759E"/>
    <w:rsid w:val="004B06B8"/>
    <w:rsid w:val="004B0C61"/>
    <w:rsid w:val="004B140A"/>
    <w:rsid w:val="004B368E"/>
    <w:rsid w:val="004B469D"/>
    <w:rsid w:val="004B5C51"/>
    <w:rsid w:val="004C04C6"/>
    <w:rsid w:val="004C0689"/>
    <w:rsid w:val="004C27B8"/>
    <w:rsid w:val="004C2881"/>
    <w:rsid w:val="004C2EA8"/>
    <w:rsid w:val="004C37BD"/>
    <w:rsid w:val="004C3C0F"/>
    <w:rsid w:val="004C4ABE"/>
    <w:rsid w:val="004C733D"/>
    <w:rsid w:val="004D1284"/>
    <w:rsid w:val="004D31C8"/>
    <w:rsid w:val="004D33F7"/>
    <w:rsid w:val="004D3EDC"/>
    <w:rsid w:val="004D425F"/>
    <w:rsid w:val="004D42C7"/>
    <w:rsid w:val="004D4B03"/>
    <w:rsid w:val="004D545D"/>
    <w:rsid w:val="004D5E62"/>
    <w:rsid w:val="004D6865"/>
    <w:rsid w:val="004E1360"/>
    <w:rsid w:val="004E26A1"/>
    <w:rsid w:val="004E3179"/>
    <w:rsid w:val="004E4EED"/>
    <w:rsid w:val="004E5B07"/>
    <w:rsid w:val="004F002C"/>
    <w:rsid w:val="004F0A99"/>
    <w:rsid w:val="004F0B37"/>
    <w:rsid w:val="004F0CF9"/>
    <w:rsid w:val="004F18B6"/>
    <w:rsid w:val="004F1DB7"/>
    <w:rsid w:val="004F218E"/>
    <w:rsid w:val="004F2F86"/>
    <w:rsid w:val="004F32DE"/>
    <w:rsid w:val="004F3C38"/>
    <w:rsid w:val="004F4380"/>
    <w:rsid w:val="004F4FBC"/>
    <w:rsid w:val="004F539A"/>
    <w:rsid w:val="004F6D6D"/>
    <w:rsid w:val="004F7DC0"/>
    <w:rsid w:val="00501210"/>
    <w:rsid w:val="00501AF9"/>
    <w:rsid w:val="0050422C"/>
    <w:rsid w:val="00506A4F"/>
    <w:rsid w:val="005078B8"/>
    <w:rsid w:val="005108B7"/>
    <w:rsid w:val="00511466"/>
    <w:rsid w:val="00511937"/>
    <w:rsid w:val="00511A82"/>
    <w:rsid w:val="0051219A"/>
    <w:rsid w:val="00512C5F"/>
    <w:rsid w:val="00515889"/>
    <w:rsid w:val="0052131D"/>
    <w:rsid w:val="005214F8"/>
    <w:rsid w:val="00522E6B"/>
    <w:rsid w:val="0052310C"/>
    <w:rsid w:val="005261C3"/>
    <w:rsid w:val="005261EB"/>
    <w:rsid w:val="005302FC"/>
    <w:rsid w:val="005325C0"/>
    <w:rsid w:val="00532807"/>
    <w:rsid w:val="00533123"/>
    <w:rsid w:val="0053349B"/>
    <w:rsid w:val="005334E6"/>
    <w:rsid w:val="0053425A"/>
    <w:rsid w:val="00534968"/>
    <w:rsid w:val="005377A9"/>
    <w:rsid w:val="00537FCA"/>
    <w:rsid w:val="00540629"/>
    <w:rsid w:val="005419F5"/>
    <w:rsid w:val="00541A42"/>
    <w:rsid w:val="00541DA6"/>
    <w:rsid w:val="0054266D"/>
    <w:rsid w:val="00544026"/>
    <w:rsid w:val="00545D4F"/>
    <w:rsid w:val="0054639C"/>
    <w:rsid w:val="00546831"/>
    <w:rsid w:val="0054700B"/>
    <w:rsid w:val="005500D2"/>
    <w:rsid w:val="0055262B"/>
    <w:rsid w:val="00552B3F"/>
    <w:rsid w:val="00553630"/>
    <w:rsid w:val="005539B0"/>
    <w:rsid w:val="00553BEC"/>
    <w:rsid w:val="0055434B"/>
    <w:rsid w:val="00554504"/>
    <w:rsid w:val="0055471C"/>
    <w:rsid w:val="00554BFF"/>
    <w:rsid w:val="00554CFE"/>
    <w:rsid w:val="00554F16"/>
    <w:rsid w:val="0055559E"/>
    <w:rsid w:val="00556A39"/>
    <w:rsid w:val="00556AB1"/>
    <w:rsid w:val="00556FDB"/>
    <w:rsid w:val="00560531"/>
    <w:rsid w:val="0056092B"/>
    <w:rsid w:val="00561907"/>
    <w:rsid w:val="00561F4E"/>
    <w:rsid w:val="00562966"/>
    <w:rsid w:val="005632F8"/>
    <w:rsid w:val="00566DA7"/>
    <w:rsid w:val="00567B26"/>
    <w:rsid w:val="00570F6C"/>
    <w:rsid w:val="00571378"/>
    <w:rsid w:val="005715A2"/>
    <w:rsid w:val="00573874"/>
    <w:rsid w:val="00573ED1"/>
    <w:rsid w:val="00573FB2"/>
    <w:rsid w:val="0057473E"/>
    <w:rsid w:val="0057530A"/>
    <w:rsid w:val="00576BC1"/>
    <w:rsid w:val="00576C6A"/>
    <w:rsid w:val="00576D05"/>
    <w:rsid w:val="00577158"/>
    <w:rsid w:val="00577BAB"/>
    <w:rsid w:val="00580D0F"/>
    <w:rsid w:val="005814F6"/>
    <w:rsid w:val="00581B93"/>
    <w:rsid w:val="00581D9B"/>
    <w:rsid w:val="0058259F"/>
    <w:rsid w:val="00582B24"/>
    <w:rsid w:val="00583307"/>
    <w:rsid w:val="00583E81"/>
    <w:rsid w:val="0058473F"/>
    <w:rsid w:val="00584E1A"/>
    <w:rsid w:val="0058534B"/>
    <w:rsid w:val="005856EE"/>
    <w:rsid w:val="00585705"/>
    <w:rsid w:val="00585EA2"/>
    <w:rsid w:val="00586EA8"/>
    <w:rsid w:val="00587BD7"/>
    <w:rsid w:val="00591DF8"/>
    <w:rsid w:val="00593896"/>
    <w:rsid w:val="00594001"/>
    <w:rsid w:val="00596383"/>
    <w:rsid w:val="00597189"/>
    <w:rsid w:val="005A0DD3"/>
    <w:rsid w:val="005B1320"/>
    <w:rsid w:val="005B13F0"/>
    <w:rsid w:val="005B1648"/>
    <w:rsid w:val="005B16BD"/>
    <w:rsid w:val="005B31B5"/>
    <w:rsid w:val="005B39C6"/>
    <w:rsid w:val="005B3DF8"/>
    <w:rsid w:val="005B4499"/>
    <w:rsid w:val="005B46A2"/>
    <w:rsid w:val="005B4C17"/>
    <w:rsid w:val="005B50DB"/>
    <w:rsid w:val="005B5306"/>
    <w:rsid w:val="005B559E"/>
    <w:rsid w:val="005B5663"/>
    <w:rsid w:val="005B7B9C"/>
    <w:rsid w:val="005C0369"/>
    <w:rsid w:val="005C1DD0"/>
    <w:rsid w:val="005C3DA3"/>
    <w:rsid w:val="005C4D0E"/>
    <w:rsid w:val="005C5A02"/>
    <w:rsid w:val="005C5CB9"/>
    <w:rsid w:val="005C713C"/>
    <w:rsid w:val="005C75A9"/>
    <w:rsid w:val="005C7DA3"/>
    <w:rsid w:val="005D0ED5"/>
    <w:rsid w:val="005D133F"/>
    <w:rsid w:val="005D186F"/>
    <w:rsid w:val="005D1B95"/>
    <w:rsid w:val="005D2136"/>
    <w:rsid w:val="005D27E9"/>
    <w:rsid w:val="005D28B5"/>
    <w:rsid w:val="005D2989"/>
    <w:rsid w:val="005D2D2F"/>
    <w:rsid w:val="005D33C1"/>
    <w:rsid w:val="005D3E83"/>
    <w:rsid w:val="005D4825"/>
    <w:rsid w:val="005D56FB"/>
    <w:rsid w:val="005D5AC3"/>
    <w:rsid w:val="005D6260"/>
    <w:rsid w:val="005D655F"/>
    <w:rsid w:val="005D6F1C"/>
    <w:rsid w:val="005D71A6"/>
    <w:rsid w:val="005D7D73"/>
    <w:rsid w:val="005D7F8F"/>
    <w:rsid w:val="005E2DF3"/>
    <w:rsid w:val="005E3932"/>
    <w:rsid w:val="005E3E51"/>
    <w:rsid w:val="005E3F83"/>
    <w:rsid w:val="005E5FC4"/>
    <w:rsid w:val="005E78A7"/>
    <w:rsid w:val="005E7A1F"/>
    <w:rsid w:val="005F0D63"/>
    <w:rsid w:val="005F1797"/>
    <w:rsid w:val="005F2C11"/>
    <w:rsid w:val="005F2FE5"/>
    <w:rsid w:val="005F34F8"/>
    <w:rsid w:val="005F3B98"/>
    <w:rsid w:val="005F41B8"/>
    <w:rsid w:val="005F4B1E"/>
    <w:rsid w:val="005F4CF4"/>
    <w:rsid w:val="005F55F4"/>
    <w:rsid w:val="005F583D"/>
    <w:rsid w:val="005F5D7B"/>
    <w:rsid w:val="005F5F5C"/>
    <w:rsid w:val="005F6AF5"/>
    <w:rsid w:val="005F737C"/>
    <w:rsid w:val="00600317"/>
    <w:rsid w:val="00601424"/>
    <w:rsid w:val="00601831"/>
    <w:rsid w:val="006020C6"/>
    <w:rsid w:val="00602167"/>
    <w:rsid w:val="00604074"/>
    <w:rsid w:val="006055DE"/>
    <w:rsid w:val="00605C49"/>
    <w:rsid w:val="00606294"/>
    <w:rsid w:val="006065A4"/>
    <w:rsid w:val="00607012"/>
    <w:rsid w:val="006108DE"/>
    <w:rsid w:val="00611106"/>
    <w:rsid w:val="00611349"/>
    <w:rsid w:val="00611576"/>
    <w:rsid w:val="00611A6E"/>
    <w:rsid w:val="006123A3"/>
    <w:rsid w:val="00612B62"/>
    <w:rsid w:val="006143AC"/>
    <w:rsid w:val="006152A0"/>
    <w:rsid w:val="0061696D"/>
    <w:rsid w:val="00616D06"/>
    <w:rsid w:val="00616D30"/>
    <w:rsid w:val="00617A47"/>
    <w:rsid w:val="006202CB"/>
    <w:rsid w:val="00620AD3"/>
    <w:rsid w:val="00620AE0"/>
    <w:rsid w:val="00621AFC"/>
    <w:rsid w:val="006236F4"/>
    <w:rsid w:val="006240F3"/>
    <w:rsid w:val="00624B2C"/>
    <w:rsid w:val="0062569A"/>
    <w:rsid w:val="00626572"/>
    <w:rsid w:val="0062665B"/>
    <w:rsid w:val="00631225"/>
    <w:rsid w:val="006313E9"/>
    <w:rsid w:val="006316C4"/>
    <w:rsid w:val="006327DE"/>
    <w:rsid w:val="00632F12"/>
    <w:rsid w:val="006347BD"/>
    <w:rsid w:val="00636B1D"/>
    <w:rsid w:val="006371D0"/>
    <w:rsid w:val="0064082A"/>
    <w:rsid w:val="00641870"/>
    <w:rsid w:val="00641BE5"/>
    <w:rsid w:val="00641D5D"/>
    <w:rsid w:val="00644F7B"/>
    <w:rsid w:val="0064505A"/>
    <w:rsid w:val="00647AEA"/>
    <w:rsid w:val="006503CE"/>
    <w:rsid w:val="00650AAA"/>
    <w:rsid w:val="006510B5"/>
    <w:rsid w:val="00651149"/>
    <w:rsid w:val="00651332"/>
    <w:rsid w:val="006516D9"/>
    <w:rsid w:val="0065182D"/>
    <w:rsid w:val="006521D5"/>
    <w:rsid w:val="00652FB0"/>
    <w:rsid w:val="006534A3"/>
    <w:rsid w:val="00653576"/>
    <w:rsid w:val="0065387F"/>
    <w:rsid w:val="00653BBA"/>
    <w:rsid w:val="00654AC8"/>
    <w:rsid w:val="00654B6A"/>
    <w:rsid w:val="00655380"/>
    <w:rsid w:val="00657A7C"/>
    <w:rsid w:val="00657B9D"/>
    <w:rsid w:val="00657EFE"/>
    <w:rsid w:val="006605F9"/>
    <w:rsid w:val="006606C1"/>
    <w:rsid w:val="00660F3B"/>
    <w:rsid w:val="0066264F"/>
    <w:rsid w:val="006629D1"/>
    <w:rsid w:val="00662CEE"/>
    <w:rsid w:val="00662DAD"/>
    <w:rsid w:val="00663B5A"/>
    <w:rsid w:val="0066599E"/>
    <w:rsid w:val="00665F69"/>
    <w:rsid w:val="00666056"/>
    <w:rsid w:val="00666901"/>
    <w:rsid w:val="00671368"/>
    <w:rsid w:val="00671378"/>
    <w:rsid w:val="00672326"/>
    <w:rsid w:val="00673B15"/>
    <w:rsid w:val="006766FA"/>
    <w:rsid w:val="00676D07"/>
    <w:rsid w:val="00676EBE"/>
    <w:rsid w:val="00677A4C"/>
    <w:rsid w:val="0068028C"/>
    <w:rsid w:val="00680BE5"/>
    <w:rsid w:val="0068157D"/>
    <w:rsid w:val="00681ED2"/>
    <w:rsid w:val="00683F32"/>
    <w:rsid w:val="00685226"/>
    <w:rsid w:val="00687773"/>
    <w:rsid w:val="006903A6"/>
    <w:rsid w:val="00691A33"/>
    <w:rsid w:val="00692472"/>
    <w:rsid w:val="0069335B"/>
    <w:rsid w:val="006933AB"/>
    <w:rsid w:val="00694448"/>
    <w:rsid w:val="006944F5"/>
    <w:rsid w:val="00694AF7"/>
    <w:rsid w:val="006959FC"/>
    <w:rsid w:val="006974AE"/>
    <w:rsid w:val="006A14F3"/>
    <w:rsid w:val="006A153F"/>
    <w:rsid w:val="006A1D36"/>
    <w:rsid w:val="006A249A"/>
    <w:rsid w:val="006A2E2C"/>
    <w:rsid w:val="006A4BC0"/>
    <w:rsid w:val="006A5987"/>
    <w:rsid w:val="006A6C0D"/>
    <w:rsid w:val="006B0220"/>
    <w:rsid w:val="006B1476"/>
    <w:rsid w:val="006B15CC"/>
    <w:rsid w:val="006B20C0"/>
    <w:rsid w:val="006B4722"/>
    <w:rsid w:val="006B4AB1"/>
    <w:rsid w:val="006B4D79"/>
    <w:rsid w:val="006B6385"/>
    <w:rsid w:val="006B63D7"/>
    <w:rsid w:val="006B69F2"/>
    <w:rsid w:val="006B7CC7"/>
    <w:rsid w:val="006C120A"/>
    <w:rsid w:val="006C168F"/>
    <w:rsid w:val="006C243F"/>
    <w:rsid w:val="006C36FE"/>
    <w:rsid w:val="006C3962"/>
    <w:rsid w:val="006C3EDD"/>
    <w:rsid w:val="006C4432"/>
    <w:rsid w:val="006C476B"/>
    <w:rsid w:val="006C49F8"/>
    <w:rsid w:val="006C5EB4"/>
    <w:rsid w:val="006C62A8"/>
    <w:rsid w:val="006C6A23"/>
    <w:rsid w:val="006C7D24"/>
    <w:rsid w:val="006D2222"/>
    <w:rsid w:val="006D2395"/>
    <w:rsid w:val="006D2400"/>
    <w:rsid w:val="006D406B"/>
    <w:rsid w:val="006D45FE"/>
    <w:rsid w:val="006D4E3D"/>
    <w:rsid w:val="006D7DD8"/>
    <w:rsid w:val="006E10B1"/>
    <w:rsid w:val="006E33CD"/>
    <w:rsid w:val="006E3447"/>
    <w:rsid w:val="006E456E"/>
    <w:rsid w:val="006E697D"/>
    <w:rsid w:val="006E74A5"/>
    <w:rsid w:val="006E7C8C"/>
    <w:rsid w:val="006F1A30"/>
    <w:rsid w:val="006F1BD3"/>
    <w:rsid w:val="006F3B20"/>
    <w:rsid w:val="006F51F2"/>
    <w:rsid w:val="006F78A7"/>
    <w:rsid w:val="006F7FAA"/>
    <w:rsid w:val="00700951"/>
    <w:rsid w:val="00700D24"/>
    <w:rsid w:val="007019A2"/>
    <w:rsid w:val="007020A1"/>
    <w:rsid w:val="00702269"/>
    <w:rsid w:val="007028F7"/>
    <w:rsid w:val="007031C3"/>
    <w:rsid w:val="0070339E"/>
    <w:rsid w:val="007037C3"/>
    <w:rsid w:val="00706289"/>
    <w:rsid w:val="007064C0"/>
    <w:rsid w:val="00706BF0"/>
    <w:rsid w:val="00706F8B"/>
    <w:rsid w:val="00707D0C"/>
    <w:rsid w:val="00711637"/>
    <w:rsid w:val="00711CBA"/>
    <w:rsid w:val="00711ECB"/>
    <w:rsid w:val="007153BE"/>
    <w:rsid w:val="00715A83"/>
    <w:rsid w:val="007161C4"/>
    <w:rsid w:val="007207D9"/>
    <w:rsid w:val="007208C8"/>
    <w:rsid w:val="00720A85"/>
    <w:rsid w:val="00720DB2"/>
    <w:rsid w:val="0072123D"/>
    <w:rsid w:val="007241BF"/>
    <w:rsid w:val="00725962"/>
    <w:rsid w:val="00725FA6"/>
    <w:rsid w:val="00726558"/>
    <w:rsid w:val="007269B7"/>
    <w:rsid w:val="007275A7"/>
    <w:rsid w:val="00730244"/>
    <w:rsid w:val="007302E2"/>
    <w:rsid w:val="00730663"/>
    <w:rsid w:val="0073097A"/>
    <w:rsid w:val="00730D61"/>
    <w:rsid w:val="00730F72"/>
    <w:rsid w:val="0073135E"/>
    <w:rsid w:val="007315C8"/>
    <w:rsid w:val="00731FCC"/>
    <w:rsid w:val="0073205E"/>
    <w:rsid w:val="007321AD"/>
    <w:rsid w:val="00732596"/>
    <w:rsid w:val="007325EB"/>
    <w:rsid w:val="00733967"/>
    <w:rsid w:val="00734D6F"/>
    <w:rsid w:val="00735BBF"/>
    <w:rsid w:val="00735F6E"/>
    <w:rsid w:val="00736956"/>
    <w:rsid w:val="00737D4B"/>
    <w:rsid w:val="007402ED"/>
    <w:rsid w:val="00741F70"/>
    <w:rsid w:val="00742BD6"/>
    <w:rsid w:val="00743530"/>
    <w:rsid w:val="00743A98"/>
    <w:rsid w:val="00743EEC"/>
    <w:rsid w:val="00745684"/>
    <w:rsid w:val="00746300"/>
    <w:rsid w:val="00746D7E"/>
    <w:rsid w:val="00747BEF"/>
    <w:rsid w:val="00747F9E"/>
    <w:rsid w:val="00751110"/>
    <w:rsid w:val="00751437"/>
    <w:rsid w:val="00752224"/>
    <w:rsid w:val="00752931"/>
    <w:rsid w:val="00752A94"/>
    <w:rsid w:val="00754347"/>
    <w:rsid w:val="0075575C"/>
    <w:rsid w:val="00755FE4"/>
    <w:rsid w:val="0075679B"/>
    <w:rsid w:val="00757E05"/>
    <w:rsid w:val="00760F53"/>
    <w:rsid w:val="0076250D"/>
    <w:rsid w:val="00762A6C"/>
    <w:rsid w:val="00764262"/>
    <w:rsid w:val="007648BC"/>
    <w:rsid w:val="0076496C"/>
    <w:rsid w:val="00764D40"/>
    <w:rsid w:val="00765861"/>
    <w:rsid w:val="00766E03"/>
    <w:rsid w:val="00770296"/>
    <w:rsid w:val="00771C8F"/>
    <w:rsid w:val="007725C8"/>
    <w:rsid w:val="00772BEA"/>
    <w:rsid w:val="007731E6"/>
    <w:rsid w:val="0077452A"/>
    <w:rsid w:val="00775558"/>
    <w:rsid w:val="0077714B"/>
    <w:rsid w:val="00777152"/>
    <w:rsid w:val="00777708"/>
    <w:rsid w:val="00777AB3"/>
    <w:rsid w:val="0078062B"/>
    <w:rsid w:val="007809E3"/>
    <w:rsid w:val="0078152C"/>
    <w:rsid w:val="007828CB"/>
    <w:rsid w:val="00782E65"/>
    <w:rsid w:val="007832E2"/>
    <w:rsid w:val="007838F4"/>
    <w:rsid w:val="00784AE5"/>
    <w:rsid w:val="00785C70"/>
    <w:rsid w:val="007873E8"/>
    <w:rsid w:val="00787685"/>
    <w:rsid w:val="00787F2F"/>
    <w:rsid w:val="00790693"/>
    <w:rsid w:val="00791010"/>
    <w:rsid w:val="0079120F"/>
    <w:rsid w:val="007918FA"/>
    <w:rsid w:val="00792639"/>
    <w:rsid w:val="00794557"/>
    <w:rsid w:val="00795371"/>
    <w:rsid w:val="007954B1"/>
    <w:rsid w:val="007959F2"/>
    <w:rsid w:val="00795FB2"/>
    <w:rsid w:val="00796AFA"/>
    <w:rsid w:val="00797AED"/>
    <w:rsid w:val="007A0779"/>
    <w:rsid w:val="007A1F8E"/>
    <w:rsid w:val="007A2019"/>
    <w:rsid w:val="007A296C"/>
    <w:rsid w:val="007A2ADD"/>
    <w:rsid w:val="007A2DFD"/>
    <w:rsid w:val="007A2F5D"/>
    <w:rsid w:val="007A4034"/>
    <w:rsid w:val="007A4A20"/>
    <w:rsid w:val="007A5535"/>
    <w:rsid w:val="007A6381"/>
    <w:rsid w:val="007A67F8"/>
    <w:rsid w:val="007A6B2A"/>
    <w:rsid w:val="007A6B52"/>
    <w:rsid w:val="007A74B1"/>
    <w:rsid w:val="007A7742"/>
    <w:rsid w:val="007B0900"/>
    <w:rsid w:val="007B0F1A"/>
    <w:rsid w:val="007B15EF"/>
    <w:rsid w:val="007B2524"/>
    <w:rsid w:val="007B6553"/>
    <w:rsid w:val="007B6645"/>
    <w:rsid w:val="007B66DD"/>
    <w:rsid w:val="007B7464"/>
    <w:rsid w:val="007B7C39"/>
    <w:rsid w:val="007C0315"/>
    <w:rsid w:val="007C1C5B"/>
    <w:rsid w:val="007C1EFD"/>
    <w:rsid w:val="007C2262"/>
    <w:rsid w:val="007C2B84"/>
    <w:rsid w:val="007C2C9A"/>
    <w:rsid w:val="007C35F2"/>
    <w:rsid w:val="007C4204"/>
    <w:rsid w:val="007C4F15"/>
    <w:rsid w:val="007C5653"/>
    <w:rsid w:val="007C5AEE"/>
    <w:rsid w:val="007C67CC"/>
    <w:rsid w:val="007C6DEC"/>
    <w:rsid w:val="007C6E76"/>
    <w:rsid w:val="007C749C"/>
    <w:rsid w:val="007C7855"/>
    <w:rsid w:val="007C7B89"/>
    <w:rsid w:val="007C7BB1"/>
    <w:rsid w:val="007D04DB"/>
    <w:rsid w:val="007D1032"/>
    <w:rsid w:val="007D1D99"/>
    <w:rsid w:val="007D2387"/>
    <w:rsid w:val="007D29CB"/>
    <w:rsid w:val="007D2CBF"/>
    <w:rsid w:val="007D2DB0"/>
    <w:rsid w:val="007D381A"/>
    <w:rsid w:val="007D41E9"/>
    <w:rsid w:val="007D4B56"/>
    <w:rsid w:val="007D68E0"/>
    <w:rsid w:val="007E04E5"/>
    <w:rsid w:val="007E0A52"/>
    <w:rsid w:val="007E2CBB"/>
    <w:rsid w:val="007E4634"/>
    <w:rsid w:val="007E4CAC"/>
    <w:rsid w:val="007E52F7"/>
    <w:rsid w:val="007E6B81"/>
    <w:rsid w:val="007E701D"/>
    <w:rsid w:val="007E7096"/>
    <w:rsid w:val="007E719A"/>
    <w:rsid w:val="007E7735"/>
    <w:rsid w:val="007E7A97"/>
    <w:rsid w:val="007F03C0"/>
    <w:rsid w:val="007F14C1"/>
    <w:rsid w:val="007F21E9"/>
    <w:rsid w:val="007F2592"/>
    <w:rsid w:val="007F2EB0"/>
    <w:rsid w:val="007F4B25"/>
    <w:rsid w:val="007F4CD2"/>
    <w:rsid w:val="007F6EB8"/>
    <w:rsid w:val="00800995"/>
    <w:rsid w:val="00801064"/>
    <w:rsid w:val="0080338C"/>
    <w:rsid w:val="0080480E"/>
    <w:rsid w:val="008049D9"/>
    <w:rsid w:val="00805044"/>
    <w:rsid w:val="008059E9"/>
    <w:rsid w:val="00805E60"/>
    <w:rsid w:val="00806014"/>
    <w:rsid w:val="00806F6D"/>
    <w:rsid w:val="00807194"/>
    <w:rsid w:val="00807420"/>
    <w:rsid w:val="00807DAA"/>
    <w:rsid w:val="0081024A"/>
    <w:rsid w:val="00810BFF"/>
    <w:rsid w:val="00810C08"/>
    <w:rsid w:val="00810FE6"/>
    <w:rsid w:val="0081121E"/>
    <w:rsid w:val="008113D0"/>
    <w:rsid w:val="0081208D"/>
    <w:rsid w:val="00812B5A"/>
    <w:rsid w:val="00813728"/>
    <w:rsid w:val="00813919"/>
    <w:rsid w:val="00813A61"/>
    <w:rsid w:val="00814393"/>
    <w:rsid w:val="008143DA"/>
    <w:rsid w:val="00814FA8"/>
    <w:rsid w:val="008151CD"/>
    <w:rsid w:val="008172E8"/>
    <w:rsid w:val="00820FCF"/>
    <w:rsid w:val="008213D6"/>
    <w:rsid w:val="00822DB6"/>
    <w:rsid w:val="008231A3"/>
    <w:rsid w:val="00823396"/>
    <w:rsid w:val="00823F59"/>
    <w:rsid w:val="00824E1E"/>
    <w:rsid w:val="00825696"/>
    <w:rsid w:val="00826337"/>
    <w:rsid w:val="0082651B"/>
    <w:rsid w:val="0082667E"/>
    <w:rsid w:val="00827379"/>
    <w:rsid w:val="00830B2A"/>
    <w:rsid w:val="00831335"/>
    <w:rsid w:val="00831AA5"/>
    <w:rsid w:val="00831F17"/>
    <w:rsid w:val="00832373"/>
    <w:rsid w:val="00832D22"/>
    <w:rsid w:val="008344A7"/>
    <w:rsid w:val="00836374"/>
    <w:rsid w:val="008363E8"/>
    <w:rsid w:val="008365F5"/>
    <w:rsid w:val="00837369"/>
    <w:rsid w:val="008376DC"/>
    <w:rsid w:val="0084022A"/>
    <w:rsid w:val="008406B6"/>
    <w:rsid w:val="00843B91"/>
    <w:rsid w:val="00844570"/>
    <w:rsid w:val="00846041"/>
    <w:rsid w:val="0084699D"/>
    <w:rsid w:val="008475E2"/>
    <w:rsid w:val="00850692"/>
    <w:rsid w:val="00850A25"/>
    <w:rsid w:val="008518FF"/>
    <w:rsid w:val="0085279B"/>
    <w:rsid w:val="00852A48"/>
    <w:rsid w:val="00852B42"/>
    <w:rsid w:val="0085379A"/>
    <w:rsid w:val="008547E7"/>
    <w:rsid w:val="008554A7"/>
    <w:rsid w:val="008554B5"/>
    <w:rsid w:val="00857040"/>
    <w:rsid w:val="00860FE4"/>
    <w:rsid w:val="00861216"/>
    <w:rsid w:val="0086217C"/>
    <w:rsid w:val="00862DB4"/>
    <w:rsid w:val="00867266"/>
    <w:rsid w:val="0086746F"/>
    <w:rsid w:val="00867E34"/>
    <w:rsid w:val="008711D7"/>
    <w:rsid w:val="00871205"/>
    <w:rsid w:val="00872CA3"/>
    <w:rsid w:val="00872D79"/>
    <w:rsid w:val="008743CB"/>
    <w:rsid w:val="00874820"/>
    <w:rsid w:val="00875676"/>
    <w:rsid w:val="00877DDB"/>
    <w:rsid w:val="00877E27"/>
    <w:rsid w:val="008804AC"/>
    <w:rsid w:val="00880805"/>
    <w:rsid w:val="00880B24"/>
    <w:rsid w:val="00880F08"/>
    <w:rsid w:val="008810CD"/>
    <w:rsid w:val="00881682"/>
    <w:rsid w:val="008818E2"/>
    <w:rsid w:val="00881C65"/>
    <w:rsid w:val="00881FB7"/>
    <w:rsid w:val="0088237E"/>
    <w:rsid w:val="008825DF"/>
    <w:rsid w:val="00883DD0"/>
    <w:rsid w:val="00886CFD"/>
    <w:rsid w:val="00886D3B"/>
    <w:rsid w:val="008901F2"/>
    <w:rsid w:val="008918CB"/>
    <w:rsid w:val="008922DD"/>
    <w:rsid w:val="0089275D"/>
    <w:rsid w:val="008932A9"/>
    <w:rsid w:val="00894775"/>
    <w:rsid w:val="008951F9"/>
    <w:rsid w:val="00896E3F"/>
    <w:rsid w:val="00897565"/>
    <w:rsid w:val="008A0796"/>
    <w:rsid w:val="008A3EB4"/>
    <w:rsid w:val="008A4CD1"/>
    <w:rsid w:val="008A6C0E"/>
    <w:rsid w:val="008A6FA0"/>
    <w:rsid w:val="008B01EA"/>
    <w:rsid w:val="008B060B"/>
    <w:rsid w:val="008B09E4"/>
    <w:rsid w:val="008B24F3"/>
    <w:rsid w:val="008B417E"/>
    <w:rsid w:val="008B54D9"/>
    <w:rsid w:val="008B7407"/>
    <w:rsid w:val="008B7A65"/>
    <w:rsid w:val="008C033F"/>
    <w:rsid w:val="008C0340"/>
    <w:rsid w:val="008C2297"/>
    <w:rsid w:val="008C2AA0"/>
    <w:rsid w:val="008C33CA"/>
    <w:rsid w:val="008C3A95"/>
    <w:rsid w:val="008C42F3"/>
    <w:rsid w:val="008C5319"/>
    <w:rsid w:val="008C5823"/>
    <w:rsid w:val="008C5F28"/>
    <w:rsid w:val="008C6CCC"/>
    <w:rsid w:val="008C7333"/>
    <w:rsid w:val="008C7559"/>
    <w:rsid w:val="008D0BCA"/>
    <w:rsid w:val="008D1657"/>
    <w:rsid w:val="008D16CF"/>
    <w:rsid w:val="008D1793"/>
    <w:rsid w:val="008D2EFA"/>
    <w:rsid w:val="008D492D"/>
    <w:rsid w:val="008D4CAB"/>
    <w:rsid w:val="008D573E"/>
    <w:rsid w:val="008D5A42"/>
    <w:rsid w:val="008D6616"/>
    <w:rsid w:val="008D67D1"/>
    <w:rsid w:val="008D7142"/>
    <w:rsid w:val="008E0666"/>
    <w:rsid w:val="008E2417"/>
    <w:rsid w:val="008E3738"/>
    <w:rsid w:val="008E3823"/>
    <w:rsid w:val="008E3C65"/>
    <w:rsid w:val="008E460F"/>
    <w:rsid w:val="008E4B0D"/>
    <w:rsid w:val="008E4D4B"/>
    <w:rsid w:val="008E5D79"/>
    <w:rsid w:val="008F0979"/>
    <w:rsid w:val="008F1E4E"/>
    <w:rsid w:val="008F20B4"/>
    <w:rsid w:val="008F28D2"/>
    <w:rsid w:val="008F2A61"/>
    <w:rsid w:val="008F3DB0"/>
    <w:rsid w:val="008F44E7"/>
    <w:rsid w:val="008F4CC5"/>
    <w:rsid w:val="008F6C4F"/>
    <w:rsid w:val="008F78F1"/>
    <w:rsid w:val="008F7FDB"/>
    <w:rsid w:val="009001A6"/>
    <w:rsid w:val="00900418"/>
    <w:rsid w:val="009004FE"/>
    <w:rsid w:val="009009D4"/>
    <w:rsid w:val="00900D7D"/>
    <w:rsid w:val="00901E33"/>
    <w:rsid w:val="00901E37"/>
    <w:rsid w:val="00904B40"/>
    <w:rsid w:val="00905D13"/>
    <w:rsid w:val="00906556"/>
    <w:rsid w:val="00911EF5"/>
    <w:rsid w:val="00912FA9"/>
    <w:rsid w:val="00913754"/>
    <w:rsid w:val="009146EC"/>
    <w:rsid w:val="00914BEE"/>
    <w:rsid w:val="00914D09"/>
    <w:rsid w:val="00914DED"/>
    <w:rsid w:val="00915012"/>
    <w:rsid w:val="00915ED5"/>
    <w:rsid w:val="009161A8"/>
    <w:rsid w:val="0091623C"/>
    <w:rsid w:val="0091634A"/>
    <w:rsid w:val="0092061C"/>
    <w:rsid w:val="00920A10"/>
    <w:rsid w:val="00920C01"/>
    <w:rsid w:val="00921608"/>
    <w:rsid w:val="00921876"/>
    <w:rsid w:val="009225EC"/>
    <w:rsid w:val="009231B8"/>
    <w:rsid w:val="00925B00"/>
    <w:rsid w:val="00926478"/>
    <w:rsid w:val="009269CD"/>
    <w:rsid w:val="00926C44"/>
    <w:rsid w:val="00927A83"/>
    <w:rsid w:val="00927E54"/>
    <w:rsid w:val="0093048C"/>
    <w:rsid w:val="009307F0"/>
    <w:rsid w:val="0093173C"/>
    <w:rsid w:val="00931F9C"/>
    <w:rsid w:val="00931FE6"/>
    <w:rsid w:val="0093448E"/>
    <w:rsid w:val="009348E3"/>
    <w:rsid w:val="00934A7D"/>
    <w:rsid w:val="00935D88"/>
    <w:rsid w:val="00937311"/>
    <w:rsid w:val="009416D5"/>
    <w:rsid w:val="00942A86"/>
    <w:rsid w:val="00944101"/>
    <w:rsid w:val="00945124"/>
    <w:rsid w:val="00945B8E"/>
    <w:rsid w:val="009460CB"/>
    <w:rsid w:val="009461AB"/>
    <w:rsid w:val="00946781"/>
    <w:rsid w:val="009467C8"/>
    <w:rsid w:val="00950080"/>
    <w:rsid w:val="009503ED"/>
    <w:rsid w:val="00952556"/>
    <w:rsid w:val="009530E8"/>
    <w:rsid w:val="00953124"/>
    <w:rsid w:val="00953891"/>
    <w:rsid w:val="00954939"/>
    <w:rsid w:val="00954E86"/>
    <w:rsid w:val="00955593"/>
    <w:rsid w:val="0095681B"/>
    <w:rsid w:val="00956E1B"/>
    <w:rsid w:val="00957498"/>
    <w:rsid w:val="00960AEE"/>
    <w:rsid w:val="00960BE5"/>
    <w:rsid w:val="00961643"/>
    <w:rsid w:val="00961764"/>
    <w:rsid w:val="00963D7E"/>
    <w:rsid w:val="009646D3"/>
    <w:rsid w:val="0096575C"/>
    <w:rsid w:val="00965C4E"/>
    <w:rsid w:val="00965CF5"/>
    <w:rsid w:val="0096627B"/>
    <w:rsid w:val="00967522"/>
    <w:rsid w:val="00967A2D"/>
    <w:rsid w:val="009715B5"/>
    <w:rsid w:val="00972C94"/>
    <w:rsid w:val="00974D12"/>
    <w:rsid w:val="00974E5D"/>
    <w:rsid w:val="009755E4"/>
    <w:rsid w:val="0097569A"/>
    <w:rsid w:val="00975B7A"/>
    <w:rsid w:val="00975CB0"/>
    <w:rsid w:val="009763D4"/>
    <w:rsid w:val="009763E8"/>
    <w:rsid w:val="00976A3A"/>
    <w:rsid w:val="00976EFA"/>
    <w:rsid w:val="00977258"/>
    <w:rsid w:val="00977D1F"/>
    <w:rsid w:val="009803DB"/>
    <w:rsid w:val="00980E0B"/>
    <w:rsid w:val="00981118"/>
    <w:rsid w:val="009830DB"/>
    <w:rsid w:val="00983585"/>
    <w:rsid w:val="00983BDA"/>
    <w:rsid w:val="0098400A"/>
    <w:rsid w:val="00984323"/>
    <w:rsid w:val="009846BF"/>
    <w:rsid w:val="00984DDC"/>
    <w:rsid w:val="00986000"/>
    <w:rsid w:val="00986290"/>
    <w:rsid w:val="00986C71"/>
    <w:rsid w:val="00986D64"/>
    <w:rsid w:val="0098730B"/>
    <w:rsid w:val="00991CDE"/>
    <w:rsid w:val="00991D9E"/>
    <w:rsid w:val="00993553"/>
    <w:rsid w:val="0099380A"/>
    <w:rsid w:val="00994078"/>
    <w:rsid w:val="0099454B"/>
    <w:rsid w:val="00995E24"/>
    <w:rsid w:val="00996CA6"/>
    <w:rsid w:val="00997D80"/>
    <w:rsid w:val="009A06E9"/>
    <w:rsid w:val="009A2DB1"/>
    <w:rsid w:val="009A2FCF"/>
    <w:rsid w:val="009A33B2"/>
    <w:rsid w:val="009A4BFF"/>
    <w:rsid w:val="009A6210"/>
    <w:rsid w:val="009A73B8"/>
    <w:rsid w:val="009A77D4"/>
    <w:rsid w:val="009B10A9"/>
    <w:rsid w:val="009B17A1"/>
    <w:rsid w:val="009B21CD"/>
    <w:rsid w:val="009B25E9"/>
    <w:rsid w:val="009B25FF"/>
    <w:rsid w:val="009B2C62"/>
    <w:rsid w:val="009B2EC7"/>
    <w:rsid w:val="009B358B"/>
    <w:rsid w:val="009B4734"/>
    <w:rsid w:val="009B4A60"/>
    <w:rsid w:val="009B519F"/>
    <w:rsid w:val="009B6930"/>
    <w:rsid w:val="009B7571"/>
    <w:rsid w:val="009C3E33"/>
    <w:rsid w:val="009C465C"/>
    <w:rsid w:val="009C5E62"/>
    <w:rsid w:val="009C6683"/>
    <w:rsid w:val="009C66AD"/>
    <w:rsid w:val="009C727D"/>
    <w:rsid w:val="009D0BCC"/>
    <w:rsid w:val="009D22D5"/>
    <w:rsid w:val="009D2EE4"/>
    <w:rsid w:val="009D4F9A"/>
    <w:rsid w:val="009D719A"/>
    <w:rsid w:val="009D75DB"/>
    <w:rsid w:val="009D7ECF"/>
    <w:rsid w:val="009E089B"/>
    <w:rsid w:val="009E16C1"/>
    <w:rsid w:val="009E2902"/>
    <w:rsid w:val="009E3CBB"/>
    <w:rsid w:val="009E493C"/>
    <w:rsid w:val="009E519B"/>
    <w:rsid w:val="009E5B86"/>
    <w:rsid w:val="009E5D07"/>
    <w:rsid w:val="009E5E31"/>
    <w:rsid w:val="009E664C"/>
    <w:rsid w:val="009E6937"/>
    <w:rsid w:val="009E6D93"/>
    <w:rsid w:val="009E6DFA"/>
    <w:rsid w:val="009E7426"/>
    <w:rsid w:val="009E7AAA"/>
    <w:rsid w:val="009F0793"/>
    <w:rsid w:val="009F1474"/>
    <w:rsid w:val="009F1A85"/>
    <w:rsid w:val="009F40CB"/>
    <w:rsid w:val="009F560E"/>
    <w:rsid w:val="009F69D3"/>
    <w:rsid w:val="00A00B53"/>
    <w:rsid w:val="00A0110F"/>
    <w:rsid w:val="00A03C34"/>
    <w:rsid w:val="00A0480B"/>
    <w:rsid w:val="00A04F5E"/>
    <w:rsid w:val="00A0513C"/>
    <w:rsid w:val="00A062C5"/>
    <w:rsid w:val="00A070DE"/>
    <w:rsid w:val="00A07598"/>
    <w:rsid w:val="00A077E6"/>
    <w:rsid w:val="00A101DB"/>
    <w:rsid w:val="00A102A0"/>
    <w:rsid w:val="00A10447"/>
    <w:rsid w:val="00A10BB6"/>
    <w:rsid w:val="00A1150E"/>
    <w:rsid w:val="00A13B41"/>
    <w:rsid w:val="00A13D12"/>
    <w:rsid w:val="00A13FF8"/>
    <w:rsid w:val="00A145D8"/>
    <w:rsid w:val="00A14F79"/>
    <w:rsid w:val="00A16398"/>
    <w:rsid w:val="00A1795A"/>
    <w:rsid w:val="00A208A3"/>
    <w:rsid w:val="00A215E0"/>
    <w:rsid w:val="00A21B98"/>
    <w:rsid w:val="00A236E5"/>
    <w:rsid w:val="00A237C1"/>
    <w:rsid w:val="00A23D34"/>
    <w:rsid w:val="00A23F6F"/>
    <w:rsid w:val="00A24415"/>
    <w:rsid w:val="00A24DB7"/>
    <w:rsid w:val="00A2529F"/>
    <w:rsid w:val="00A25F02"/>
    <w:rsid w:val="00A26951"/>
    <w:rsid w:val="00A31E58"/>
    <w:rsid w:val="00A32B7D"/>
    <w:rsid w:val="00A32BEB"/>
    <w:rsid w:val="00A332BF"/>
    <w:rsid w:val="00A33815"/>
    <w:rsid w:val="00A35321"/>
    <w:rsid w:val="00A3655F"/>
    <w:rsid w:val="00A36859"/>
    <w:rsid w:val="00A4110C"/>
    <w:rsid w:val="00A4237D"/>
    <w:rsid w:val="00A448B7"/>
    <w:rsid w:val="00A4512D"/>
    <w:rsid w:val="00A45417"/>
    <w:rsid w:val="00A45FD6"/>
    <w:rsid w:val="00A462F9"/>
    <w:rsid w:val="00A46454"/>
    <w:rsid w:val="00A467B1"/>
    <w:rsid w:val="00A519CF"/>
    <w:rsid w:val="00A51F41"/>
    <w:rsid w:val="00A526F9"/>
    <w:rsid w:val="00A5537E"/>
    <w:rsid w:val="00A55628"/>
    <w:rsid w:val="00A57959"/>
    <w:rsid w:val="00A57D61"/>
    <w:rsid w:val="00A61EFA"/>
    <w:rsid w:val="00A628C1"/>
    <w:rsid w:val="00A633C3"/>
    <w:rsid w:val="00A63F59"/>
    <w:rsid w:val="00A65999"/>
    <w:rsid w:val="00A66384"/>
    <w:rsid w:val="00A66C98"/>
    <w:rsid w:val="00A67E3E"/>
    <w:rsid w:val="00A717C2"/>
    <w:rsid w:val="00A71C9E"/>
    <w:rsid w:val="00A72165"/>
    <w:rsid w:val="00A72868"/>
    <w:rsid w:val="00A7436E"/>
    <w:rsid w:val="00A74E4D"/>
    <w:rsid w:val="00A74FE6"/>
    <w:rsid w:val="00A752B9"/>
    <w:rsid w:val="00A75D18"/>
    <w:rsid w:val="00A76430"/>
    <w:rsid w:val="00A76E9D"/>
    <w:rsid w:val="00A77793"/>
    <w:rsid w:val="00A816AA"/>
    <w:rsid w:val="00A81B88"/>
    <w:rsid w:val="00A822C2"/>
    <w:rsid w:val="00A82356"/>
    <w:rsid w:val="00A82706"/>
    <w:rsid w:val="00A82BEC"/>
    <w:rsid w:val="00A833D0"/>
    <w:rsid w:val="00A83BEA"/>
    <w:rsid w:val="00A83F0E"/>
    <w:rsid w:val="00A84FAF"/>
    <w:rsid w:val="00A85BF9"/>
    <w:rsid w:val="00A86564"/>
    <w:rsid w:val="00A865C3"/>
    <w:rsid w:val="00A939D5"/>
    <w:rsid w:val="00A95002"/>
    <w:rsid w:val="00A959BD"/>
    <w:rsid w:val="00A9606D"/>
    <w:rsid w:val="00A9643A"/>
    <w:rsid w:val="00A967CD"/>
    <w:rsid w:val="00A97AC6"/>
    <w:rsid w:val="00A97ED7"/>
    <w:rsid w:val="00AA006D"/>
    <w:rsid w:val="00AA0C38"/>
    <w:rsid w:val="00AA0CEF"/>
    <w:rsid w:val="00AA1488"/>
    <w:rsid w:val="00AA21D3"/>
    <w:rsid w:val="00AA5B18"/>
    <w:rsid w:val="00AA5DB0"/>
    <w:rsid w:val="00AA68F7"/>
    <w:rsid w:val="00AA6C86"/>
    <w:rsid w:val="00AA770E"/>
    <w:rsid w:val="00AB1433"/>
    <w:rsid w:val="00AB1C9A"/>
    <w:rsid w:val="00AB2266"/>
    <w:rsid w:val="00AB347B"/>
    <w:rsid w:val="00AB49B8"/>
    <w:rsid w:val="00AB4C9D"/>
    <w:rsid w:val="00AB524C"/>
    <w:rsid w:val="00AB79A7"/>
    <w:rsid w:val="00AB7E01"/>
    <w:rsid w:val="00AC196E"/>
    <w:rsid w:val="00AC26E7"/>
    <w:rsid w:val="00AC27F1"/>
    <w:rsid w:val="00AC3113"/>
    <w:rsid w:val="00AC387F"/>
    <w:rsid w:val="00AC39F1"/>
    <w:rsid w:val="00AC430B"/>
    <w:rsid w:val="00AC4D3F"/>
    <w:rsid w:val="00AC4FDA"/>
    <w:rsid w:val="00AC5DF1"/>
    <w:rsid w:val="00AC62EB"/>
    <w:rsid w:val="00AC6847"/>
    <w:rsid w:val="00AD0FC2"/>
    <w:rsid w:val="00AD1157"/>
    <w:rsid w:val="00AD17B1"/>
    <w:rsid w:val="00AD19FD"/>
    <w:rsid w:val="00AD4C34"/>
    <w:rsid w:val="00AD5191"/>
    <w:rsid w:val="00AD58B4"/>
    <w:rsid w:val="00AD5D0E"/>
    <w:rsid w:val="00AD5EEE"/>
    <w:rsid w:val="00AD6B0F"/>
    <w:rsid w:val="00AD6DB0"/>
    <w:rsid w:val="00AE0361"/>
    <w:rsid w:val="00AE0899"/>
    <w:rsid w:val="00AE16AC"/>
    <w:rsid w:val="00AE1F43"/>
    <w:rsid w:val="00AE2146"/>
    <w:rsid w:val="00AE27DF"/>
    <w:rsid w:val="00AE2CD8"/>
    <w:rsid w:val="00AE447A"/>
    <w:rsid w:val="00AE52FA"/>
    <w:rsid w:val="00AE5E54"/>
    <w:rsid w:val="00AE6188"/>
    <w:rsid w:val="00AE73A4"/>
    <w:rsid w:val="00AF1364"/>
    <w:rsid w:val="00AF174C"/>
    <w:rsid w:val="00AF1988"/>
    <w:rsid w:val="00AF3CC8"/>
    <w:rsid w:val="00AF4474"/>
    <w:rsid w:val="00AF65DD"/>
    <w:rsid w:val="00AF6AC0"/>
    <w:rsid w:val="00B00287"/>
    <w:rsid w:val="00B01681"/>
    <w:rsid w:val="00B024FE"/>
    <w:rsid w:val="00B0278D"/>
    <w:rsid w:val="00B0334B"/>
    <w:rsid w:val="00B038AD"/>
    <w:rsid w:val="00B039C5"/>
    <w:rsid w:val="00B054B6"/>
    <w:rsid w:val="00B05C32"/>
    <w:rsid w:val="00B06BD4"/>
    <w:rsid w:val="00B070AD"/>
    <w:rsid w:val="00B111F8"/>
    <w:rsid w:val="00B12A07"/>
    <w:rsid w:val="00B13C84"/>
    <w:rsid w:val="00B1475A"/>
    <w:rsid w:val="00B14C9A"/>
    <w:rsid w:val="00B154AA"/>
    <w:rsid w:val="00B160D7"/>
    <w:rsid w:val="00B21A9F"/>
    <w:rsid w:val="00B21BFC"/>
    <w:rsid w:val="00B246DC"/>
    <w:rsid w:val="00B25F86"/>
    <w:rsid w:val="00B27C9E"/>
    <w:rsid w:val="00B27FA4"/>
    <w:rsid w:val="00B32658"/>
    <w:rsid w:val="00B326B1"/>
    <w:rsid w:val="00B32D7E"/>
    <w:rsid w:val="00B336A0"/>
    <w:rsid w:val="00B33DE3"/>
    <w:rsid w:val="00B37764"/>
    <w:rsid w:val="00B37B7B"/>
    <w:rsid w:val="00B40B69"/>
    <w:rsid w:val="00B42590"/>
    <w:rsid w:val="00B428ED"/>
    <w:rsid w:val="00B43F04"/>
    <w:rsid w:val="00B44C21"/>
    <w:rsid w:val="00B44D51"/>
    <w:rsid w:val="00B456E8"/>
    <w:rsid w:val="00B45F4A"/>
    <w:rsid w:val="00B46E18"/>
    <w:rsid w:val="00B47407"/>
    <w:rsid w:val="00B47B5A"/>
    <w:rsid w:val="00B51BDA"/>
    <w:rsid w:val="00B52DE8"/>
    <w:rsid w:val="00B53F69"/>
    <w:rsid w:val="00B546FC"/>
    <w:rsid w:val="00B55BEC"/>
    <w:rsid w:val="00B5648C"/>
    <w:rsid w:val="00B565FE"/>
    <w:rsid w:val="00B56B04"/>
    <w:rsid w:val="00B56B1B"/>
    <w:rsid w:val="00B5758F"/>
    <w:rsid w:val="00B57835"/>
    <w:rsid w:val="00B602E1"/>
    <w:rsid w:val="00B603E0"/>
    <w:rsid w:val="00B61F4A"/>
    <w:rsid w:val="00B625AD"/>
    <w:rsid w:val="00B6290D"/>
    <w:rsid w:val="00B63321"/>
    <w:rsid w:val="00B64658"/>
    <w:rsid w:val="00B65245"/>
    <w:rsid w:val="00B6549E"/>
    <w:rsid w:val="00B6594E"/>
    <w:rsid w:val="00B66FAE"/>
    <w:rsid w:val="00B70D85"/>
    <w:rsid w:val="00B7172B"/>
    <w:rsid w:val="00B71B11"/>
    <w:rsid w:val="00B735D1"/>
    <w:rsid w:val="00B73663"/>
    <w:rsid w:val="00B73A1A"/>
    <w:rsid w:val="00B76775"/>
    <w:rsid w:val="00B76BAC"/>
    <w:rsid w:val="00B76C07"/>
    <w:rsid w:val="00B77906"/>
    <w:rsid w:val="00B77921"/>
    <w:rsid w:val="00B77F35"/>
    <w:rsid w:val="00B803DB"/>
    <w:rsid w:val="00B80E21"/>
    <w:rsid w:val="00B812B1"/>
    <w:rsid w:val="00B81566"/>
    <w:rsid w:val="00B82897"/>
    <w:rsid w:val="00B83116"/>
    <w:rsid w:val="00B83BBA"/>
    <w:rsid w:val="00B85721"/>
    <w:rsid w:val="00B85ED6"/>
    <w:rsid w:val="00B860FB"/>
    <w:rsid w:val="00B86537"/>
    <w:rsid w:val="00B86B23"/>
    <w:rsid w:val="00B87A27"/>
    <w:rsid w:val="00B909D0"/>
    <w:rsid w:val="00B90A7B"/>
    <w:rsid w:val="00B915F9"/>
    <w:rsid w:val="00B92617"/>
    <w:rsid w:val="00B933F7"/>
    <w:rsid w:val="00B93E62"/>
    <w:rsid w:val="00B93FD3"/>
    <w:rsid w:val="00B942B2"/>
    <w:rsid w:val="00B957FB"/>
    <w:rsid w:val="00B95F3A"/>
    <w:rsid w:val="00B96C75"/>
    <w:rsid w:val="00BA029A"/>
    <w:rsid w:val="00BA0A4C"/>
    <w:rsid w:val="00BA0E57"/>
    <w:rsid w:val="00BA0F4E"/>
    <w:rsid w:val="00BA22FA"/>
    <w:rsid w:val="00BA2D17"/>
    <w:rsid w:val="00BA2DE6"/>
    <w:rsid w:val="00BA2E85"/>
    <w:rsid w:val="00BA589D"/>
    <w:rsid w:val="00BA5E9E"/>
    <w:rsid w:val="00BA6B7C"/>
    <w:rsid w:val="00BA6EC7"/>
    <w:rsid w:val="00BA7BE9"/>
    <w:rsid w:val="00BA7CDF"/>
    <w:rsid w:val="00BA7CE0"/>
    <w:rsid w:val="00BB0F2E"/>
    <w:rsid w:val="00BB4020"/>
    <w:rsid w:val="00BB4EF7"/>
    <w:rsid w:val="00BB5C4A"/>
    <w:rsid w:val="00BB675B"/>
    <w:rsid w:val="00BB67B4"/>
    <w:rsid w:val="00BB6F0A"/>
    <w:rsid w:val="00BB71F8"/>
    <w:rsid w:val="00BB7D43"/>
    <w:rsid w:val="00BC083E"/>
    <w:rsid w:val="00BC233A"/>
    <w:rsid w:val="00BC58C1"/>
    <w:rsid w:val="00BC597A"/>
    <w:rsid w:val="00BC642C"/>
    <w:rsid w:val="00BC6616"/>
    <w:rsid w:val="00BC6CDA"/>
    <w:rsid w:val="00BC74E6"/>
    <w:rsid w:val="00BC798C"/>
    <w:rsid w:val="00BC7A11"/>
    <w:rsid w:val="00BD2275"/>
    <w:rsid w:val="00BD2A15"/>
    <w:rsid w:val="00BD34A2"/>
    <w:rsid w:val="00BD3D7A"/>
    <w:rsid w:val="00BD4409"/>
    <w:rsid w:val="00BD4B1E"/>
    <w:rsid w:val="00BD6249"/>
    <w:rsid w:val="00BD6F86"/>
    <w:rsid w:val="00BE1D51"/>
    <w:rsid w:val="00BE2F68"/>
    <w:rsid w:val="00BE546F"/>
    <w:rsid w:val="00BE655A"/>
    <w:rsid w:val="00BE65E4"/>
    <w:rsid w:val="00BE65E9"/>
    <w:rsid w:val="00BE7949"/>
    <w:rsid w:val="00BF0BCC"/>
    <w:rsid w:val="00BF3630"/>
    <w:rsid w:val="00BF3B71"/>
    <w:rsid w:val="00BF4143"/>
    <w:rsid w:val="00BF4576"/>
    <w:rsid w:val="00BF50BB"/>
    <w:rsid w:val="00C00359"/>
    <w:rsid w:val="00C02AE2"/>
    <w:rsid w:val="00C035FB"/>
    <w:rsid w:val="00C03741"/>
    <w:rsid w:val="00C037F9"/>
    <w:rsid w:val="00C04AA3"/>
    <w:rsid w:val="00C06B71"/>
    <w:rsid w:val="00C075DB"/>
    <w:rsid w:val="00C07DBC"/>
    <w:rsid w:val="00C10BEE"/>
    <w:rsid w:val="00C11FD6"/>
    <w:rsid w:val="00C133A4"/>
    <w:rsid w:val="00C137AE"/>
    <w:rsid w:val="00C14FAE"/>
    <w:rsid w:val="00C155D1"/>
    <w:rsid w:val="00C16313"/>
    <w:rsid w:val="00C16652"/>
    <w:rsid w:val="00C1670D"/>
    <w:rsid w:val="00C16C33"/>
    <w:rsid w:val="00C17D7F"/>
    <w:rsid w:val="00C205AF"/>
    <w:rsid w:val="00C21CC3"/>
    <w:rsid w:val="00C2236E"/>
    <w:rsid w:val="00C22BD4"/>
    <w:rsid w:val="00C23B93"/>
    <w:rsid w:val="00C23D78"/>
    <w:rsid w:val="00C25E3D"/>
    <w:rsid w:val="00C26C65"/>
    <w:rsid w:val="00C27048"/>
    <w:rsid w:val="00C30E89"/>
    <w:rsid w:val="00C3273D"/>
    <w:rsid w:val="00C35287"/>
    <w:rsid w:val="00C35927"/>
    <w:rsid w:val="00C35CB2"/>
    <w:rsid w:val="00C36421"/>
    <w:rsid w:val="00C37B5D"/>
    <w:rsid w:val="00C40A8D"/>
    <w:rsid w:val="00C40AF0"/>
    <w:rsid w:val="00C40D53"/>
    <w:rsid w:val="00C417FE"/>
    <w:rsid w:val="00C41B77"/>
    <w:rsid w:val="00C42A0A"/>
    <w:rsid w:val="00C45537"/>
    <w:rsid w:val="00C455E7"/>
    <w:rsid w:val="00C459C3"/>
    <w:rsid w:val="00C467EF"/>
    <w:rsid w:val="00C47E28"/>
    <w:rsid w:val="00C5169D"/>
    <w:rsid w:val="00C51934"/>
    <w:rsid w:val="00C51B5E"/>
    <w:rsid w:val="00C51C3A"/>
    <w:rsid w:val="00C52136"/>
    <w:rsid w:val="00C52CC2"/>
    <w:rsid w:val="00C52EDF"/>
    <w:rsid w:val="00C539B8"/>
    <w:rsid w:val="00C545F0"/>
    <w:rsid w:val="00C547C6"/>
    <w:rsid w:val="00C5490A"/>
    <w:rsid w:val="00C54FC6"/>
    <w:rsid w:val="00C55648"/>
    <w:rsid w:val="00C55950"/>
    <w:rsid w:val="00C55CAA"/>
    <w:rsid w:val="00C561C7"/>
    <w:rsid w:val="00C5646F"/>
    <w:rsid w:val="00C573A3"/>
    <w:rsid w:val="00C6079B"/>
    <w:rsid w:val="00C62A30"/>
    <w:rsid w:val="00C63D2D"/>
    <w:rsid w:val="00C64B36"/>
    <w:rsid w:val="00C6511A"/>
    <w:rsid w:val="00C65994"/>
    <w:rsid w:val="00C65E3F"/>
    <w:rsid w:val="00C67F7A"/>
    <w:rsid w:val="00C70C76"/>
    <w:rsid w:val="00C7220B"/>
    <w:rsid w:val="00C727A6"/>
    <w:rsid w:val="00C74AC6"/>
    <w:rsid w:val="00C757FD"/>
    <w:rsid w:val="00C75A09"/>
    <w:rsid w:val="00C75B41"/>
    <w:rsid w:val="00C75CA2"/>
    <w:rsid w:val="00C7649F"/>
    <w:rsid w:val="00C764D1"/>
    <w:rsid w:val="00C765F8"/>
    <w:rsid w:val="00C76E4A"/>
    <w:rsid w:val="00C770ED"/>
    <w:rsid w:val="00C770F6"/>
    <w:rsid w:val="00C801AB"/>
    <w:rsid w:val="00C80584"/>
    <w:rsid w:val="00C80628"/>
    <w:rsid w:val="00C81711"/>
    <w:rsid w:val="00C81C69"/>
    <w:rsid w:val="00C8261C"/>
    <w:rsid w:val="00C827DF"/>
    <w:rsid w:val="00C82F28"/>
    <w:rsid w:val="00C82FD9"/>
    <w:rsid w:val="00C84749"/>
    <w:rsid w:val="00C85FCF"/>
    <w:rsid w:val="00C861E9"/>
    <w:rsid w:val="00C864D3"/>
    <w:rsid w:val="00C8799F"/>
    <w:rsid w:val="00C87B83"/>
    <w:rsid w:val="00C9000D"/>
    <w:rsid w:val="00C909F3"/>
    <w:rsid w:val="00C90A06"/>
    <w:rsid w:val="00C91898"/>
    <w:rsid w:val="00C9336F"/>
    <w:rsid w:val="00C94CB1"/>
    <w:rsid w:val="00C94F0E"/>
    <w:rsid w:val="00C971B2"/>
    <w:rsid w:val="00C97548"/>
    <w:rsid w:val="00C97D62"/>
    <w:rsid w:val="00CA17DB"/>
    <w:rsid w:val="00CA2523"/>
    <w:rsid w:val="00CA2638"/>
    <w:rsid w:val="00CA2CA7"/>
    <w:rsid w:val="00CA2FBF"/>
    <w:rsid w:val="00CA428E"/>
    <w:rsid w:val="00CA4562"/>
    <w:rsid w:val="00CA4A24"/>
    <w:rsid w:val="00CA4A40"/>
    <w:rsid w:val="00CA4D90"/>
    <w:rsid w:val="00CA54BA"/>
    <w:rsid w:val="00CA5AB9"/>
    <w:rsid w:val="00CA5F2A"/>
    <w:rsid w:val="00CA64D6"/>
    <w:rsid w:val="00CB13DC"/>
    <w:rsid w:val="00CB243B"/>
    <w:rsid w:val="00CB34ED"/>
    <w:rsid w:val="00CB38FF"/>
    <w:rsid w:val="00CB3945"/>
    <w:rsid w:val="00CB39A6"/>
    <w:rsid w:val="00CB3CB5"/>
    <w:rsid w:val="00CB5863"/>
    <w:rsid w:val="00CB5DD5"/>
    <w:rsid w:val="00CB7DAB"/>
    <w:rsid w:val="00CC3A82"/>
    <w:rsid w:val="00CC3D94"/>
    <w:rsid w:val="00CC3E97"/>
    <w:rsid w:val="00CC3F43"/>
    <w:rsid w:val="00CC42A3"/>
    <w:rsid w:val="00CC4BAD"/>
    <w:rsid w:val="00CC6292"/>
    <w:rsid w:val="00CC6E0D"/>
    <w:rsid w:val="00CD04F2"/>
    <w:rsid w:val="00CD354F"/>
    <w:rsid w:val="00CD3838"/>
    <w:rsid w:val="00CD46E2"/>
    <w:rsid w:val="00CD4C08"/>
    <w:rsid w:val="00CD57C7"/>
    <w:rsid w:val="00CD59BC"/>
    <w:rsid w:val="00CD60DE"/>
    <w:rsid w:val="00CD6BB6"/>
    <w:rsid w:val="00CD6EC2"/>
    <w:rsid w:val="00CD7309"/>
    <w:rsid w:val="00CD7934"/>
    <w:rsid w:val="00CE03CC"/>
    <w:rsid w:val="00CE0D58"/>
    <w:rsid w:val="00CE1293"/>
    <w:rsid w:val="00CE1504"/>
    <w:rsid w:val="00CE18C9"/>
    <w:rsid w:val="00CE1A59"/>
    <w:rsid w:val="00CE2A98"/>
    <w:rsid w:val="00CE33B7"/>
    <w:rsid w:val="00CE462D"/>
    <w:rsid w:val="00CE4CA1"/>
    <w:rsid w:val="00CE4CE0"/>
    <w:rsid w:val="00CE4D76"/>
    <w:rsid w:val="00CE65A4"/>
    <w:rsid w:val="00CE77A9"/>
    <w:rsid w:val="00CF0A89"/>
    <w:rsid w:val="00CF15F3"/>
    <w:rsid w:val="00CF196C"/>
    <w:rsid w:val="00CF2BC6"/>
    <w:rsid w:val="00CF4822"/>
    <w:rsid w:val="00CF4DA8"/>
    <w:rsid w:val="00CF5713"/>
    <w:rsid w:val="00CF5A0C"/>
    <w:rsid w:val="00CF6C76"/>
    <w:rsid w:val="00CF79E3"/>
    <w:rsid w:val="00D001BB"/>
    <w:rsid w:val="00D01008"/>
    <w:rsid w:val="00D01314"/>
    <w:rsid w:val="00D01DDB"/>
    <w:rsid w:val="00D01EEA"/>
    <w:rsid w:val="00D0344E"/>
    <w:rsid w:val="00D04F86"/>
    <w:rsid w:val="00D0678B"/>
    <w:rsid w:val="00D06D93"/>
    <w:rsid w:val="00D070F6"/>
    <w:rsid w:val="00D07C3F"/>
    <w:rsid w:val="00D07DE7"/>
    <w:rsid w:val="00D07E4C"/>
    <w:rsid w:val="00D10224"/>
    <w:rsid w:val="00D1032E"/>
    <w:rsid w:val="00D12749"/>
    <w:rsid w:val="00D12CF3"/>
    <w:rsid w:val="00D12F1D"/>
    <w:rsid w:val="00D13087"/>
    <w:rsid w:val="00D1371D"/>
    <w:rsid w:val="00D13A71"/>
    <w:rsid w:val="00D141C9"/>
    <w:rsid w:val="00D1502F"/>
    <w:rsid w:val="00D15408"/>
    <w:rsid w:val="00D15A9B"/>
    <w:rsid w:val="00D16526"/>
    <w:rsid w:val="00D1697B"/>
    <w:rsid w:val="00D16A01"/>
    <w:rsid w:val="00D170FE"/>
    <w:rsid w:val="00D17411"/>
    <w:rsid w:val="00D178E8"/>
    <w:rsid w:val="00D17B21"/>
    <w:rsid w:val="00D17CD5"/>
    <w:rsid w:val="00D20957"/>
    <w:rsid w:val="00D22713"/>
    <w:rsid w:val="00D22C0B"/>
    <w:rsid w:val="00D231BE"/>
    <w:rsid w:val="00D23CD3"/>
    <w:rsid w:val="00D2500D"/>
    <w:rsid w:val="00D26A6C"/>
    <w:rsid w:val="00D27022"/>
    <w:rsid w:val="00D2793F"/>
    <w:rsid w:val="00D30A95"/>
    <w:rsid w:val="00D3117E"/>
    <w:rsid w:val="00D31B65"/>
    <w:rsid w:val="00D3250F"/>
    <w:rsid w:val="00D328D0"/>
    <w:rsid w:val="00D32FBD"/>
    <w:rsid w:val="00D33521"/>
    <w:rsid w:val="00D3464B"/>
    <w:rsid w:val="00D34760"/>
    <w:rsid w:val="00D37B26"/>
    <w:rsid w:val="00D40454"/>
    <w:rsid w:val="00D4083A"/>
    <w:rsid w:val="00D40E9C"/>
    <w:rsid w:val="00D41740"/>
    <w:rsid w:val="00D43108"/>
    <w:rsid w:val="00D43AA6"/>
    <w:rsid w:val="00D445D9"/>
    <w:rsid w:val="00D45070"/>
    <w:rsid w:val="00D452AC"/>
    <w:rsid w:val="00D45609"/>
    <w:rsid w:val="00D45705"/>
    <w:rsid w:val="00D4653E"/>
    <w:rsid w:val="00D50076"/>
    <w:rsid w:val="00D5089A"/>
    <w:rsid w:val="00D5258D"/>
    <w:rsid w:val="00D52F9C"/>
    <w:rsid w:val="00D53456"/>
    <w:rsid w:val="00D547C2"/>
    <w:rsid w:val="00D5543F"/>
    <w:rsid w:val="00D55D36"/>
    <w:rsid w:val="00D56D76"/>
    <w:rsid w:val="00D57027"/>
    <w:rsid w:val="00D61072"/>
    <w:rsid w:val="00D6127A"/>
    <w:rsid w:val="00D62318"/>
    <w:rsid w:val="00D62AED"/>
    <w:rsid w:val="00D637E5"/>
    <w:rsid w:val="00D63C4F"/>
    <w:rsid w:val="00D63D6D"/>
    <w:rsid w:val="00D644A7"/>
    <w:rsid w:val="00D646C4"/>
    <w:rsid w:val="00D66B38"/>
    <w:rsid w:val="00D672F9"/>
    <w:rsid w:val="00D707A4"/>
    <w:rsid w:val="00D707D0"/>
    <w:rsid w:val="00D70900"/>
    <w:rsid w:val="00D71616"/>
    <w:rsid w:val="00D71CEC"/>
    <w:rsid w:val="00D72287"/>
    <w:rsid w:val="00D736D8"/>
    <w:rsid w:val="00D75B8A"/>
    <w:rsid w:val="00D75E98"/>
    <w:rsid w:val="00D76BD1"/>
    <w:rsid w:val="00D775E9"/>
    <w:rsid w:val="00D77FB9"/>
    <w:rsid w:val="00D800B6"/>
    <w:rsid w:val="00D8090C"/>
    <w:rsid w:val="00D81352"/>
    <w:rsid w:val="00D8293B"/>
    <w:rsid w:val="00D82A44"/>
    <w:rsid w:val="00D82AA3"/>
    <w:rsid w:val="00D845CB"/>
    <w:rsid w:val="00D85511"/>
    <w:rsid w:val="00D85CCC"/>
    <w:rsid w:val="00D86496"/>
    <w:rsid w:val="00D90D61"/>
    <w:rsid w:val="00D90E27"/>
    <w:rsid w:val="00D91F5C"/>
    <w:rsid w:val="00D924C1"/>
    <w:rsid w:val="00D93E47"/>
    <w:rsid w:val="00D94126"/>
    <w:rsid w:val="00D943C6"/>
    <w:rsid w:val="00D94AE4"/>
    <w:rsid w:val="00D94CA2"/>
    <w:rsid w:val="00D95285"/>
    <w:rsid w:val="00D9565B"/>
    <w:rsid w:val="00D97620"/>
    <w:rsid w:val="00DA0B3C"/>
    <w:rsid w:val="00DA1232"/>
    <w:rsid w:val="00DA136B"/>
    <w:rsid w:val="00DA3109"/>
    <w:rsid w:val="00DA3E8A"/>
    <w:rsid w:val="00DA4268"/>
    <w:rsid w:val="00DA4467"/>
    <w:rsid w:val="00DA4D11"/>
    <w:rsid w:val="00DA4EB3"/>
    <w:rsid w:val="00DA5006"/>
    <w:rsid w:val="00DA6EF0"/>
    <w:rsid w:val="00DA716E"/>
    <w:rsid w:val="00DB0507"/>
    <w:rsid w:val="00DB0568"/>
    <w:rsid w:val="00DB212D"/>
    <w:rsid w:val="00DB23D9"/>
    <w:rsid w:val="00DB45A1"/>
    <w:rsid w:val="00DB485B"/>
    <w:rsid w:val="00DB4B9C"/>
    <w:rsid w:val="00DB524C"/>
    <w:rsid w:val="00DB534D"/>
    <w:rsid w:val="00DB6B27"/>
    <w:rsid w:val="00DB6DBB"/>
    <w:rsid w:val="00DC11D6"/>
    <w:rsid w:val="00DC2016"/>
    <w:rsid w:val="00DC21B9"/>
    <w:rsid w:val="00DC2CEE"/>
    <w:rsid w:val="00DC3291"/>
    <w:rsid w:val="00DC361A"/>
    <w:rsid w:val="00DC3E8C"/>
    <w:rsid w:val="00DC3ED1"/>
    <w:rsid w:val="00DC4786"/>
    <w:rsid w:val="00DC493C"/>
    <w:rsid w:val="00DC59A2"/>
    <w:rsid w:val="00DC5A8C"/>
    <w:rsid w:val="00DC5AE3"/>
    <w:rsid w:val="00DC7AC9"/>
    <w:rsid w:val="00DD01F5"/>
    <w:rsid w:val="00DD3486"/>
    <w:rsid w:val="00DD57E2"/>
    <w:rsid w:val="00DD5D36"/>
    <w:rsid w:val="00DD6BA6"/>
    <w:rsid w:val="00DD6CB8"/>
    <w:rsid w:val="00DE0609"/>
    <w:rsid w:val="00DE0C88"/>
    <w:rsid w:val="00DE17C3"/>
    <w:rsid w:val="00DE1F8B"/>
    <w:rsid w:val="00DE2465"/>
    <w:rsid w:val="00DE2834"/>
    <w:rsid w:val="00DE37C4"/>
    <w:rsid w:val="00DE3B1E"/>
    <w:rsid w:val="00DE42AD"/>
    <w:rsid w:val="00DE52DC"/>
    <w:rsid w:val="00DE563A"/>
    <w:rsid w:val="00DE6D51"/>
    <w:rsid w:val="00DE6FB6"/>
    <w:rsid w:val="00DE712D"/>
    <w:rsid w:val="00DE7737"/>
    <w:rsid w:val="00DE776D"/>
    <w:rsid w:val="00DF00B5"/>
    <w:rsid w:val="00DF1FD8"/>
    <w:rsid w:val="00DF246C"/>
    <w:rsid w:val="00DF294E"/>
    <w:rsid w:val="00DF2B3F"/>
    <w:rsid w:val="00DF351D"/>
    <w:rsid w:val="00DF3A97"/>
    <w:rsid w:val="00DF65D5"/>
    <w:rsid w:val="00DF66AB"/>
    <w:rsid w:val="00DF72AC"/>
    <w:rsid w:val="00DF75BC"/>
    <w:rsid w:val="00DF7CDD"/>
    <w:rsid w:val="00E01B9C"/>
    <w:rsid w:val="00E0295D"/>
    <w:rsid w:val="00E03D38"/>
    <w:rsid w:val="00E03F66"/>
    <w:rsid w:val="00E040DA"/>
    <w:rsid w:val="00E04550"/>
    <w:rsid w:val="00E047ED"/>
    <w:rsid w:val="00E04C03"/>
    <w:rsid w:val="00E04EB0"/>
    <w:rsid w:val="00E053A5"/>
    <w:rsid w:val="00E07908"/>
    <w:rsid w:val="00E117EA"/>
    <w:rsid w:val="00E11E52"/>
    <w:rsid w:val="00E13354"/>
    <w:rsid w:val="00E1411F"/>
    <w:rsid w:val="00E15244"/>
    <w:rsid w:val="00E163E0"/>
    <w:rsid w:val="00E1648B"/>
    <w:rsid w:val="00E1759A"/>
    <w:rsid w:val="00E17F84"/>
    <w:rsid w:val="00E21B7E"/>
    <w:rsid w:val="00E24F87"/>
    <w:rsid w:val="00E253D7"/>
    <w:rsid w:val="00E25935"/>
    <w:rsid w:val="00E27188"/>
    <w:rsid w:val="00E31290"/>
    <w:rsid w:val="00E312EB"/>
    <w:rsid w:val="00E33253"/>
    <w:rsid w:val="00E3340D"/>
    <w:rsid w:val="00E35434"/>
    <w:rsid w:val="00E3680D"/>
    <w:rsid w:val="00E36CBE"/>
    <w:rsid w:val="00E37099"/>
    <w:rsid w:val="00E410B4"/>
    <w:rsid w:val="00E41327"/>
    <w:rsid w:val="00E4142B"/>
    <w:rsid w:val="00E41626"/>
    <w:rsid w:val="00E41B22"/>
    <w:rsid w:val="00E42E36"/>
    <w:rsid w:val="00E431D4"/>
    <w:rsid w:val="00E434BB"/>
    <w:rsid w:val="00E43FB6"/>
    <w:rsid w:val="00E451A4"/>
    <w:rsid w:val="00E46147"/>
    <w:rsid w:val="00E46F50"/>
    <w:rsid w:val="00E47991"/>
    <w:rsid w:val="00E50C62"/>
    <w:rsid w:val="00E511D2"/>
    <w:rsid w:val="00E5253A"/>
    <w:rsid w:val="00E53829"/>
    <w:rsid w:val="00E53D34"/>
    <w:rsid w:val="00E540E6"/>
    <w:rsid w:val="00E56DCE"/>
    <w:rsid w:val="00E57087"/>
    <w:rsid w:val="00E611F2"/>
    <w:rsid w:val="00E613D8"/>
    <w:rsid w:val="00E61CC6"/>
    <w:rsid w:val="00E62D8F"/>
    <w:rsid w:val="00E6476C"/>
    <w:rsid w:val="00E650C3"/>
    <w:rsid w:val="00E6548E"/>
    <w:rsid w:val="00E65CF8"/>
    <w:rsid w:val="00E660FF"/>
    <w:rsid w:val="00E66A36"/>
    <w:rsid w:val="00E675DC"/>
    <w:rsid w:val="00E70E6E"/>
    <w:rsid w:val="00E72FE5"/>
    <w:rsid w:val="00E73175"/>
    <w:rsid w:val="00E734B8"/>
    <w:rsid w:val="00E7351E"/>
    <w:rsid w:val="00E744BA"/>
    <w:rsid w:val="00E74A48"/>
    <w:rsid w:val="00E767DE"/>
    <w:rsid w:val="00E76D4A"/>
    <w:rsid w:val="00E76D70"/>
    <w:rsid w:val="00E80279"/>
    <w:rsid w:val="00E80383"/>
    <w:rsid w:val="00E8219F"/>
    <w:rsid w:val="00E8223A"/>
    <w:rsid w:val="00E8227F"/>
    <w:rsid w:val="00E82459"/>
    <w:rsid w:val="00E82583"/>
    <w:rsid w:val="00E83B75"/>
    <w:rsid w:val="00E87EA7"/>
    <w:rsid w:val="00E87F11"/>
    <w:rsid w:val="00E91266"/>
    <w:rsid w:val="00E9449E"/>
    <w:rsid w:val="00E94C96"/>
    <w:rsid w:val="00E96A87"/>
    <w:rsid w:val="00E96EE1"/>
    <w:rsid w:val="00EA0A1C"/>
    <w:rsid w:val="00EA1EAA"/>
    <w:rsid w:val="00EA29A2"/>
    <w:rsid w:val="00EA3008"/>
    <w:rsid w:val="00EA32DD"/>
    <w:rsid w:val="00EA4EE2"/>
    <w:rsid w:val="00EA5D0D"/>
    <w:rsid w:val="00EA61B3"/>
    <w:rsid w:val="00EA7F91"/>
    <w:rsid w:val="00EB0279"/>
    <w:rsid w:val="00EB0E88"/>
    <w:rsid w:val="00EB16FD"/>
    <w:rsid w:val="00EB306F"/>
    <w:rsid w:val="00EB470D"/>
    <w:rsid w:val="00EB4761"/>
    <w:rsid w:val="00EB589D"/>
    <w:rsid w:val="00EB639A"/>
    <w:rsid w:val="00EB69E0"/>
    <w:rsid w:val="00EB6CC4"/>
    <w:rsid w:val="00EC09D7"/>
    <w:rsid w:val="00EC0EC7"/>
    <w:rsid w:val="00EC1FC3"/>
    <w:rsid w:val="00EC2009"/>
    <w:rsid w:val="00EC3700"/>
    <w:rsid w:val="00EC40DE"/>
    <w:rsid w:val="00EC53BD"/>
    <w:rsid w:val="00EC5A14"/>
    <w:rsid w:val="00EC6BE1"/>
    <w:rsid w:val="00EC76F1"/>
    <w:rsid w:val="00EC7970"/>
    <w:rsid w:val="00EC7FBD"/>
    <w:rsid w:val="00ED0E92"/>
    <w:rsid w:val="00ED1110"/>
    <w:rsid w:val="00ED3E4B"/>
    <w:rsid w:val="00ED4BBC"/>
    <w:rsid w:val="00ED57E3"/>
    <w:rsid w:val="00ED5A58"/>
    <w:rsid w:val="00ED5D0F"/>
    <w:rsid w:val="00ED6340"/>
    <w:rsid w:val="00ED65BB"/>
    <w:rsid w:val="00ED6C16"/>
    <w:rsid w:val="00EE07FA"/>
    <w:rsid w:val="00EE2118"/>
    <w:rsid w:val="00EE2259"/>
    <w:rsid w:val="00EE26C8"/>
    <w:rsid w:val="00EE3B13"/>
    <w:rsid w:val="00EE6936"/>
    <w:rsid w:val="00EE6B30"/>
    <w:rsid w:val="00EE7CFC"/>
    <w:rsid w:val="00EF06C6"/>
    <w:rsid w:val="00EF09ED"/>
    <w:rsid w:val="00EF149B"/>
    <w:rsid w:val="00EF1AD2"/>
    <w:rsid w:val="00EF2AB5"/>
    <w:rsid w:val="00EF6287"/>
    <w:rsid w:val="00EF71BF"/>
    <w:rsid w:val="00F001A6"/>
    <w:rsid w:val="00F009DB"/>
    <w:rsid w:val="00F00E08"/>
    <w:rsid w:val="00F01CDA"/>
    <w:rsid w:val="00F03D48"/>
    <w:rsid w:val="00F04BC0"/>
    <w:rsid w:val="00F051E8"/>
    <w:rsid w:val="00F06F6F"/>
    <w:rsid w:val="00F074AB"/>
    <w:rsid w:val="00F106EE"/>
    <w:rsid w:val="00F10B5B"/>
    <w:rsid w:val="00F115A6"/>
    <w:rsid w:val="00F137FA"/>
    <w:rsid w:val="00F14130"/>
    <w:rsid w:val="00F148A1"/>
    <w:rsid w:val="00F175DB"/>
    <w:rsid w:val="00F17B21"/>
    <w:rsid w:val="00F22DF0"/>
    <w:rsid w:val="00F2393B"/>
    <w:rsid w:val="00F23CB8"/>
    <w:rsid w:val="00F242B1"/>
    <w:rsid w:val="00F24753"/>
    <w:rsid w:val="00F253CD"/>
    <w:rsid w:val="00F27193"/>
    <w:rsid w:val="00F30227"/>
    <w:rsid w:val="00F30BD2"/>
    <w:rsid w:val="00F316AE"/>
    <w:rsid w:val="00F31AB8"/>
    <w:rsid w:val="00F31E72"/>
    <w:rsid w:val="00F322A9"/>
    <w:rsid w:val="00F3299A"/>
    <w:rsid w:val="00F338F0"/>
    <w:rsid w:val="00F3403B"/>
    <w:rsid w:val="00F35318"/>
    <w:rsid w:val="00F36271"/>
    <w:rsid w:val="00F368A4"/>
    <w:rsid w:val="00F36C49"/>
    <w:rsid w:val="00F37746"/>
    <w:rsid w:val="00F40089"/>
    <w:rsid w:val="00F4052B"/>
    <w:rsid w:val="00F42DCC"/>
    <w:rsid w:val="00F43B89"/>
    <w:rsid w:val="00F44F28"/>
    <w:rsid w:val="00F45132"/>
    <w:rsid w:val="00F45F75"/>
    <w:rsid w:val="00F46146"/>
    <w:rsid w:val="00F463D1"/>
    <w:rsid w:val="00F46A2E"/>
    <w:rsid w:val="00F50024"/>
    <w:rsid w:val="00F504B4"/>
    <w:rsid w:val="00F524B0"/>
    <w:rsid w:val="00F52CCD"/>
    <w:rsid w:val="00F52F1F"/>
    <w:rsid w:val="00F531DA"/>
    <w:rsid w:val="00F53BE8"/>
    <w:rsid w:val="00F5569F"/>
    <w:rsid w:val="00F5650B"/>
    <w:rsid w:val="00F56DE6"/>
    <w:rsid w:val="00F61C03"/>
    <w:rsid w:val="00F6295F"/>
    <w:rsid w:val="00F62A90"/>
    <w:rsid w:val="00F632D7"/>
    <w:rsid w:val="00F64AFE"/>
    <w:rsid w:val="00F65789"/>
    <w:rsid w:val="00F65BB0"/>
    <w:rsid w:val="00F66DD0"/>
    <w:rsid w:val="00F67060"/>
    <w:rsid w:val="00F6720D"/>
    <w:rsid w:val="00F676AA"/>
    <w:rsid w:val="00F67A1B"/>
    <w:rsid w:val="00F701C3"/>
    <w:rsid w:val="00F70B07"/>
    <w:rsid w:val="00F70D05"/>
    <w:rsid w:val="00F715C1"/>
    <w:rsid w:val="00F71E68"/>
    <w:rsid w:val="00F7355A"/>
    <w:rsid w:val="00F73ED1"/>
    <w:rsid w:val="00F74072"/>
    <w:rsid w:val="00F746F9"/>
    <w:rsid w:val="00F76D49"/>
    <w:rsid w:val="00F76E72"/>
    <w:rsid w:val="00F80988"/>
    <w:rsid w:val="00F8146C"/>
    <w:rsid w:val="00F8160A"/>
    <w:rsid w:val="00F81C62"/>
    <w:rsid w:val="00F81DCB"/>
    <w:rsid w:val="00F825E0"/>
    <w:rsid w:val="00F826A6"/>
    <w:rsid w:val="00F82DB6"/>
    <w:rsid w:val="00F83DF4"/>
    <w:rsid w:val="00F848E8"/>
    <w:rsid w:val="00F8630A"/>
    <w:rsid w:val="00F869F1"/>
    <w:rsid w:val="00F86C12"/>
    <w:rsid w:val="00F87EE8"/>
    <w:rsid w:val="00F87F46"/>
    <w:rsid w:val="00F908E5"/>
    <w:rsid w:val="00F91B47"/>
    <w:rsid w:val="00F9200C"/>
    <w:rsid w:val="00F92E84"/>
    <w:rsid w:val="00F9322F"/>
    <w:rsid w:val="00F9462D"/>
    <w:rsid w:val="00F953B4"/>
    <w:rsid w:val="00F956A8"/>
    <w:rsid w:val="00F956B0"/>
    <w:rsid w:val="00F95A16"/>
    <w:rsid w:val="00F96E78"/>
    <w:rsid w:val="00F97EC8"/>
    <w:rsid w:val="00FA000C"/>
    <w:rsid w:val="00FA031C"/>
    <w:rsid w:val="00FA0938"/>
    <w:rsid w:val="00FA224E"/>
    <w:rsid w:val="00FA2754"/>
    <w:rsid w:val="00FA477D"/>
    <w:rsid w:val="00FA5C05"/>
    <w:rsid w:val="00FA619E"/>
    <w:rsid w:val="00FA67F2"/>
    <w:rsid w:val="00FA7052"/>
    <w:rsid w:val="00FA7626"/>
    <w:rsid w:val="00FA7E38"/>
    <w:rsid w:val="00FB07EC"/>
    <w:rsid w:val="00FB0A4A"/>
    <w:rsid w:val="00FB0DA2"/>
    <w:rsid w:val="00FB0ED2"/>
    <w:rsid w:val="00FB0F02"/>
    <w:rsid w:val="00FB1888"/>
    <w:rsid w:val="00FB1A9E"/>
    <w:rsid w:val="00FB257C"/>
    <w:rsid w:val="00FB4EF6"/>
    <w:rsid w:val="00FB7871"/>
    <w:rsid w:val="00FC00B1"/>
    <w:rsid w:val="00FC14C5"/>
    <w:rsid w:val="00FC188D"/>
    <w:rsid w:val="00FC2694"/>
    <w:rsid w:val="00FC45D3"/>
    <w:rsid w:val="00FC523D"/>
    <w:rsid w:val="00FC5AE4"/>
    <w:rsid w:val="00FC79D3"/>
    <w:rsid w:val="00FD04AA"/>
    <w:rsid w:val="00FD375F"/>
    <w:rsid w:val="00FD37A0"/>
    <w:rsid w:val="00FD4C40"/>
    <w:rsid w:val="00FD5A6E"/>
    <w:rsid w:val="00FD6978"/>
    <w:rsid w:val="00FD776E"/>
    <w:rsid w:val="00FE1C15"/>
    <w:rsid w:val="00FE3DF3"/>
    <w:rsid w:val="00FE488E"/>
    <w:rsid w:val="00FE5075"/>
    <w:rsid w:val="00FE5EB2"/>
    <w:rsid w:val="00FF038D"/>
    <w:rsid w:val="00FF0479"/>
    <w:rsid w:val="00FF0E42"/>
    <w:rsid w:val="00FF141F"/>
    <w:rsid w:val="00FF18AE"/>
    <w:rsid w:val="00FF1D6D"/>
    <w:rsid w:val="00FF40B4"/>
    <w:rsid w:val="00FF51D3"/>
    <w:rsid w:val="00FF5B6C"/>
    <w:rsid w:val="00FF5B9E"/>
    <w:rsid w:val="00FF66A6"/>
    <w:rsid w:val="00FF7F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B60437"/>
  <w15:docId w15:val="{4B0EC341-EFE3-4D81-9B90-AF1153AC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ALTS FOOTNOTE,Car,Footnote Text Char Char,Footnote Text Char Char Char Char Char Char Char Char Char Char Char Char Char Char Char Char Char,Style 15,Style 40 Char,Style 40 Char Char,fn,ft"/>
    <w:basedOn w:val="Normal"/>
    <w:link w:val="FootnoteTextChar1"/>
    <w:uiPriority w:val="99"/>
    <w:qFormat/>
    <w:rsid w:val="001D3E7A"/>
    <w:rPr>
      <w:sz w:val="20"/>
      <w:szCs w:val="20"/>
    </w:rPr>
  </w:style>
  <w:style w:type="character" w:customStyle="1" w:styleId="FootnoteTextChar">
    <w:name w:val="Footnote Text Char"/>
    <w:aliases w:val="Car Char,Footnote Text Char Char Char Char,Footnote Text Char Char Char1,Footnote Text Char1 Char"/>
    <w:basedOn w:val="DefaultParagraphFont"/>
    <w:uiPriority w:val="99"/>
    <w:rsid w:val="001D3E7A"/>
    <w:rPr>
      <w:rFonts w:ascii="Times New Roman" w:eastAsia="Times New Roman" w:hAnsi="Times New Roman"/>
    </w:rPr>
  </w:style>
  <w:style w:type="character" w:customStyle="1" w:styleId="FootnoteTextChar1">
    <w:name w:val="Footnote Text Char1"/>
    <w:aliases w:val="ALTS FOOTNOTE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basedOn w:val="DefaultParagraphFont"/>
    <w:uiPriority w:val="99"/>
    <w:qForma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character" w:customStyle="1" w:styleId="DeltaViewInsertion">
    <w:name w:val="DeltaView Insertion"/>
    <w:uiPriority w:val="99"/>
    <w:rsid w:val="00F676AA"/>
    <w:rPr>
      <w:color w:val="0000FF"/>
      <w:u w:val="double"/>
    </w:rPr>
  </w:style>
  <w:style w:type="character" w:styleId="FollowedHyperlink">
    <w:name w:val="FollowedHyperlink"/>
    <w:basedOn w:val="DefaultParagraphFont"/>
    <w:uiPriority w:val="99"/>
    <w:semiHidden/>
    <w:unhideWhenUsed/>
    <w:rsid w:val="00BB67B4"/>
    <w:rPr>
      <w:color w:val="800080" w:themeColor="followedHyperlink"/>
      <w:u w:val="single"/>
    </w:rPr>
  </w:style>
  <w:style w:type="paragraph" w:styleId="Revision">
    <w:name w:val="Revision"/>
    <w:hidden/>
    <w:uiPriority w:val="99"/>
    <w:semiHidden/>
    <w:rsid w:val="004946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ec.gov/about/privacy/pia/pia-edgar.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ec.gov/oit/system-records-not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285391998E8841ADB28A612A6359A9" ma:contentTypeVersion="21" ma:contentTypeDescription="Create a new document." ma:contentTypeScope="" ma:versionID="333fb18e1ea931d91d74c6aeb72b21ce">
  <xsd:schema xmlns:xsd="http://www.w3.org/2001/XMLSchema" xmlns:xs="http://www.w3.org/2001/XMLSchema" xmlns:p="http://schemas.microsoft.com/office/2006/metadata/properties" xmlns:ns1="http://schemas.microsoft.com/sharepoint/v3" xmlns:ns2="9cf3f8b8-0fcb-44cc-869c-dfb14a7bf8d0" xmlns:ns3="b14780af-cb87-427e-b218-209b2bced777" targetNamespace="http://schemas.microsoft.com/office/2006/metadata/properties" ma:root="true" ma:fieldsID="68bbfe2a1f20222f3e166b4691d5cd12" ns1:_="" ns2:_="" ns3:_="">
    <xsd:import namespace="http://schemas.microsoft.com/sharepoint/v3"/>
    <xsd:import namespace="9cf3f8b8-0fcb-44cc-869c-dfb14a7bf8d0"/>
    <xsd:import namespace="b14780af-cb87-427e-b218-209b2bced77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3f8b8-0fcb-44cc-869c-dfb14a7bf8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780af-cb87-427e-b218-209b2bced7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88567-6BDA-45D5-9E7A-12899654E6A0}">
  <ds:schemaRefs>
    <ds:schemaRef ds:uri="http://schemas.microsoft.com/sharepoint/v3/contenttype/forms"/>
  </ds:schemaRefs>
</ds:datastoreItem>
</file>

<file path=customXml/itemProps2.xml><?xml version="1.0" encoding="utf-8"?>
<ds:datastoreItem xmlns:ds="http://schemas.openxmlformats.org/officeDocument/2006/customXml" ds:itemID="{4B79BA4F-C627-4EFD-9AD9-E15DDCF4562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77D7D18-0A0D-4DEC-8439-2CA2FFC24F33}">
  <ds:schemaRefs>
    <ds:schemaRef ds:uri="http://schemas.openxmlformats.org/officeDocument/2006/bibliography"/>
  </ds:schemaRefs>
</ds:datastoreItem>
</file>

<file path=customXml/itemProps4.xml><?xml version="1.0" encoding="utf-8"?>
<ds:datastoreItem xmlns:ds="http://schemas.openxmlformats.org/officeDocument/2006/customXml" ds:itemID="{1D5EB73C-B981-44F1-A9A8-68958F428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f3f8b8-0fcb-44cc-869c-dfb14a7bf8d0"/>
    <ds:schemaRef ds:uri="b14780af-cb87-427e-b218-209b2bced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23862a-38c6-45ed-bd6a-60c55a569daf}" enabled="0" method="" siteId="{ed23862a-38c6-45ed-bd6a-60c55a569daf}" removed="1"/>
</clbl:labelList>
</file>

<file path=docProps/app.xml><?xml version="1.0" encoding="utf-8"?>
<Properties xmlns="http://schemas.openxmlformats.org/officeDocument/2006/extended-properties" xmlns:vt="http://schemas.openxmlformats.org/officeDocument/2006/docPropsVTypes">
  <Template>Normal</Template>
  <TotalTime>4716</TotalTime>
  <Pages>8</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Moncada-Terry, Carmen</cp:lastModifiedBy>
  <cp:revision>1365</cp:revision>
  <cp:lastPrinted>2024-04-29T12:41:00Z</cp:lastPrinted>
  <dcterms:created xsi:type="dcterms:W3CDTF">2024-03-05T19:13:00Z</dcterms:created>
  <dcterms:modified xsi:type="dcterms:W3CDTF">2024-08-06T21:38:00Z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0x0101000C285391998E8841ADB28A612A6359A9</vt:lpwstr>
  </property>
  <property fmtid="{D5CDD505-2E9C-101B-9397-08002B2CF9AE}" pid="4" name="EMAIL_OWNER_ADDRESS">
    <vt:lpwstr>sAAAb0xRtPDW5UvzAEAeGEiY2bdwfBnlAJ8RXHEFa/cSqYA=</vt:lpwstr>
  </property>
  <property fmtid="{D5CDD505-2E9C-101B-9397-08002B2CF9AE}" pid="5" name="GUID">
    <vt:lpwstr>9040d7fb-f165-47fd-8675-d5d7d74fa6e0</vt:lpwstr>
  </property>
  <property fmtid="{D5CDD505-2E9C-101B-9397-08002B2CF9AE}" pid="6" name="MAIL_MSG_ID1">
    <vt:lpwstr>gFAAXJDLFUo5N7veB8X6CZ7hO7L6TlnMQuVZKURS4YnFZHLUm7GSiSauvyu1X1nD3C0PWdDnb1scfjve\ns4QOG+1Z96kJ0hmtCZZS9+yqdrtr2oYXSyWp6QWCOicf4UGW9v8Gpacc0RCOwMTSNCjklaaAkqj8\n0uBmUfYRIgU3A9fJ+EAiFepuYErsz3vmoO0Ku+rG6v1TsdujM/OKcsjPSOlgVweg2i71Q8dnWBVH\nOAaoCZlwtXH6wwyEc</vt:lpwstr>
  </property>
  <property fmtid="{D5CDD505-2E9C-101B-9397-08002B2CF9AE}" pid="7" name="MAIL_MSG_ID2">
    <vt:lpwstr>wJf+aXCT1FClS4AVkP5/p0Ihh/fPua6f57E00TqGBFTISv32ux8DliFcPDA\nllC4mBuCVu1BrnhlgehawxtfC6P9CNeR5aihEQ==</vt:lpwstr>
  </property>
  <property fmtid="{D5CDD505-2E9C-101B-9397-08002B2CF9AE}" pid="8" name="RESPONSE_SENDER_NAME">
    <vt:lpwstr>sAAAXRTqSjcrLAoE+vWd1gzfFb6kgtncSXGuiLN6WH59kp4=</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