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7D0" w:rsidRPr="00E12A81" w:rsidP="005367D0" w14:paraId="253EFEB2"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005367D0" w:rsidRPr="00E12A81" w:rsidP="005367D0" w14:paraId="7CBDB7F8" w14:textId="77777777">
      <w:pPr>
        <w:pStyle w:val="NoSpacing"/>
        <w:jc w:val="center"/>
        <w:rPr>
          <w:rFonts w:ascii="Calibri" w:hAnsi="Calibri" w:cs="Calibri"/>
          <w:b/>
          <w:sz w:val="24"/>
        </w:rPr>
      </w:pPr>
      <w:r w:rsidRPr="00E12A81">
        <w:rPr>
          <w:rFonts w:ascii="Calibri" w:hAnsi="Calibri" w:cs="Calibri"/>
          <w:b/>
          <w:sz w:val="24"/>
        </w:rPr>
        <w:t>U.S. Department of Commerce</w:t>
      </w:r>
    </w:p>
    <w:p w:rsidR="005367D0" w:rsidRPr="00D423AB" w:rsidP="005367D0" w14:paraId="1547A5F9" w14:textId="77777777">
      <w:pPr>
        <w:pStyle w:val="NoSpacing"/>
        <w:jc w:val="center"/>
        <w:rPr>
          <w:rFonts w:ascii="Calibri" w:hAnsi="Calibri" w:cs="Calibri"/>
          <w:b/>
          <w:sz w:val="24"/>
        </w:rPr>
      </w:pPr>
      <w:r w:rsidRPr="00D423AB">
        <w:rPr>
          <w:rFonts w:ascii="Calibri" w:hAnsi="Calibri" w:cs="Calibri"/>
          <w:b/>
          <w:sz w:val="24"/>
        </w:rPr>
        <w:t>U.S. Census Bureau</w:t>
      </w:r>
    </w:p>
    <w:p w:rsidR="005367D0" w:rsidRPr="00D423AB" w:rsidP="005367D0" w14:paraId="78B7051D" w14:textId="0C87C01B">
      <w:pPr>
        <w:pStyle w:val="NoSpacing"/>
        <w:jc w:val="center"/>
        <w:rPr>
          <w:rFonts w:ascii="Calibri" w:hAnsi="Calibri" w:cs="Calibri"/>
          <w:b/>
          <w:sz w:val="24"/>
        </w:rPr>
      </w:pPr>
      <w:r w:rsidRPr="00D423AB">
        <w:rPr>
          <w:rFonts w:ascii="Calibri" w:hAnsi="Calibri" w:cs="Calibri"/>
          <w:b/>
          <w:sz w:val="24"/>
        </w:rPr>
        <w:t>Boundary and Annexation Survey</w:t>
      </w:r>
    </w:p>
    <w:p w:rsidR="005367D0" w:rsidRPr="00D423AB" w:rsidP="005367D0" w14:paraId="204C2A90" w14:textId="67CE6033">
      <w:pPr>
        <w:pStyle w:val="NoSpacing"/>
        <w:jc w:val="center"/>
        <w:rPr>
          <w:rFonts w:ascii="Calibri" w:hAnsi="Calibri" w:cs="Calibri"/>
          <w:b/>
          <w:sz w:val="24"/>
        </w:rPr>
      </w:pPr>
      <w:r w:rsidRPr="00D423AB">
        <w:rPr>
          <w:rFonts w:ascii="Calibri" w:hAnsi="Calibri" w:cs="Calibri"/>
          <w:b/>
          <w:sz w:val="24"/>
        </w:rPr>
        <w:t>OMB Control No. 0607-</w:t>
      </w:r>
      <w:r w:rsidRPr="00D423AB" w:rsidR="00D423AB">
        <w:rPr>
          <w:rFonts w:ascii="Calibri" w:hAnsi="Calibri" w:cs="Calibri"/>
          <w:b/>
          <w:sz w:val="24"/>
        </w:rPr>
        <w:t>0151</w:t>
      </w:r>
    </w:p>
    <w:p w:rsidR="00B955B7" w:rsidRPr="00D26948" w:rsidP="00B955B7" w14:paraId="2509A810" w14:textId="77777777">
      <w:pPr>
        <w:spacing w:before="80"/>
        <w:rPr>
          <w:rFonts w:ascii="Calibri" w:hAnsi="Calibri" w:cs="Calibri"/>
          <w:b/>
          <w:sz w:val="24"/>
        </w:rPr>
      </w:pPr>
    </w:p>
    <w:p w:rsidR="00B955B7" w:rsidRPr="00124446" w:rsidP="00D26948" w14:paraId="4954DD1B" w14:textId="77777777">
      <w:pPr>
        <w:spacing w:before="161"/>
        <w:ind w:left="360" w:hanging="360"/>
        <w:rPr>
          <w:rFonts w:ascii="Calibri" w:hAnsi="Calibri" w:cs="Calibri"/>
          <w:b/>
          <w:sz w:val="24"/>
        </w:rPr>
      </w:pPr>
      <w:r w:rsidRPr="00124446">
        <w:rPr>
          <w:rFonts w:ascii="Calibri" w:hAnsi="Calibri" w:cs="Calibri"/>
          <w:b/>
          <w:sz w:val="24"/>
        </w:rPr>
        <w:t>B. Collections of Information Employing Statistical Methods</w:t>
      </w:r>
    </w:p>
    <w:p w:rsidR="00B955B7" w:rsidRPr="00124446" w:rsidP="00D26948" w14:paraId="0F9B8D48" w14:textId="77777777">
      <w:pPr>
        <w:pStyle w:val="Heading1"/>
        <w:numPr>
          <w:ilvl w:val="0"/>
          <w:numId w:val="1"/>
        </w:numPr>
        <w:tabs>
          <w:tab w:val="left" w:pos="669"/>
        </w:tabs>
        <w:spacing w:before="185"/>
        <w:ind w:left="360" w:hanging="36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 xml:space="preserve">universe covered by the collection and in the corresponding sample are to be provided in tabular form for the universe as a whole and for each of the strata in the proposed sample. Indicate expected response rates for the </w:t>
      </w:r>
      <w:r w:rsidRPr="00124446">
        <w:rPr>
          <w:rFonts w:ascii="Calibri" w:hAnsi="Calibri" w:cs="Calibri"/>
        </w:rPr>
        <w:t>collection as a whole</w:t>
      </w:r>
      <w:r w:rsidRPr="00124446">
        <w:rPr>
          <w:rFonts w:ascii="Calibri" w:hAnsi="Calibri" w:cs="Calibri"/>
        </w:rPr>
        <w:t>. If the collection had been conducted previously, include the actual response rate achieved during the last</w:t>
      </w:r>
      <w:r w:rsidRPr="00124446">
        <w:rPr>
          <w:rFonts w:ascii="Calibri" w:hAnsi="Calibri" w:cs="Calibri"/>
          <w:spacing w:val="-43"/>
        </w:rPr>
        <w:t xml:space="preserve"> </w:t>
      </w:r>
      <w:r w:rsidRPr="00124446">
        <w:rPr>
          <w:rFonts w:ascii="Calibri" w:hAnsi="Calibri" w:cs="Calibri"/>
        </w:rPr>
        <w:t>collection.</w:t>
      </w:r>
    </w:p>
    <w:p w:rsidR="00942196" w:rsidRPr="00DF6739" w:rsidP="00D26948" w14:paraId="3CB7FC88" w14:textId="0162A994">
      <w:pPr>
        <w:spacing w:before="161"/>
        <w:ind w:left="360" w:right="362"/>
        <w:rPr>
          <w:rFonts w:ascii="Calibri" w:hAnsi="Calibri" w:cs="Calibri"/>
          <w:bCs/>
          <w:sz w:val="24"/>
        </w:rPr>
      </w:pPr>
      <w:r w:rsidRPr="00DF6739">
        <w:rPr>
          <w:rFonts w:ascii="Calibri" w:hAnsi="Calibri" w:cs="Calibri"/>
          <w:bCs/>
          <w:sz w:val="24"/>
        </w:rPr>
        <w:t xml:space="preserve">The Boundary and Annexation Survey (BAS) does not use sampling or any statistical methods to determine the universe of respondents. </w:t>
      </w:r>
    </w:p>
    <w:p w:rsidR="008C3C24" w:rsidP="00421FBD" w14:paraId="58510B66" w14:textId="0AEF96AE">
      <w:pPr>
        <w:spacing w:before="161" w:after="240"/>
        <w:ind w:left="360" w:right="362"/>
        <w:rPr>
          <w:rFonts w:ascii="Calibri" w:hAnsi="Calibri" w:cs="Calibri"/>
          <w:bCs/>
          <w:sz w:val="24"/>
        </w:rPr>
      </w:pPr>
      <w:r w:rsidRPr="00DF6739">
        <w:rPr>
          <w:rFonts w:ascii="Calibri" w:hAnsi="Calibri" w:cs="Calibri"/>
          <w:bCs/>
          <w:sz w:val="24"/>
        </w:rPr>
        <w:t>The potential respondent universe is one representative from each of the 40,000 eligible governments, which includes tribal, state, and general-purpose local governments. The table below shows the collection period res</w:t>
      </w:r>
      <w:r w:rsidRPr="00DF6739" w:rsidR="00650BAC">
        <w:rPr>
          <w:rFonts w:ascii="Calibri" w:hAnsi="Calibri" w:cs="Calibri"/>
          <w:bCs/>
          <w:sz w:val="24"/>
        </w:rPr>
        <w:t>ponse rates for BAS over the last three years.</w:t>
      </w:r>
    </w:p>
    <w:p w:rsidR="00421FBD" w:rsidRPr="00421FBD" w:rsidP="00421FBD" w14:paraId="15135392" w14:textId="6B1A966B">
      <w:pPr>
        <w:pStyle w:val="Caption"/>
        <w:keepNext/>
        <w:jc w:val="center"/>
        <w:rPr>
          <w:rFonts w:ascii="Cambria" w:hAnsi="Cambria"/>
          <w:b/>
          <w:bCs/>
          <w:i w:val="0"/>
          <w:iCs w:val="0"/>
          <w:color w:val="auto"/>
          <w:sz w:val="20"/>
          <w:szCs w:val="20"/>
        </w:rPr>
      </w:pPr>
      <w:r w:rsidRPr="00421FBD">
        <w:rPr>
          <w:rFonts w:ascii="Cambria" w:hAnsi="Cambria"/>
          <w:b/>
          <w:bCs/>
          <w:i w:val="0"/>
          <w:iCs w:val="0"/>
          <w:color w:val="auto"/>
          <w:sz w:val="20"/>
          <w:szCs w:val="20"/>
        </w:rPr>
        <w:t xml:space="preserve">Table </w:t>
      </w:r>
      <w:r w:rsidRPr="00421FBD">
        <w:rPr>
          <w:rFonts w:ascii="Cambria" w:hAnsi="Cambria"/>
          <w:b/>
          <w:bCs/>
          <w:i w:val="0"/>
          <w:iCs w:val="0"/>
          <w:color w:val="auto"/>
          <w:sz w:val="20"/>
          <w:szCs w:val="20"/>
        </w:rPr>
        <w:fldChar w:fldCharType="begin"/>
      </w:r>
      <w:r w:rsidRPr="00421FBD">
        <w:rPr>
          <w:rFonts w:ascii="Cambria" w:hAnsi="Cambria"/>
          <w:b/>
          <w:bCs/>
          <w:i w:val="0"/>
          <w:iCs w:val="0"/>
          <w:color w:val="auto"/>
          <w:sz w:val="20"/>
          <w:szCs w:val="20"/>
        </w:rPr>
        <w:instrText xml:space="preserve"> SEQ Table \* ARABIC </w:instrText>
      </w:r>
      <w:r w:rsidRPr="00421FBD">
        <w:rPr>
          <w:rFonts w:ascii="Cambria" w:hAnsi="Cambria"/>
          <w:b/>
          <w:bCs/>
          <w:i w:val="0"/>
          <w:iCs w:val="0"/>
          <w:color w:val="auto"/>
          <w:sz w:val="20"/>
          <w:szCs w:val="20"/>
        </w:rPr>
        <w:fldChar w:fldCharType="separate"/>
      </w:r>
      <w:r w:rsidRPr="00421FBD">
        <w:rPr>
          <w:rFonts w:ascii="Cambria" w:hAnsi="Cambria"/>
          <w:b/>
          <w:bCs/>
          <w:i w:val="0"/>
          <w:iCs w:val="0"/>
          <w:noProof/>
          <w:color w:val="auto"/>
          <w:sz w:val="20"/>
          <w:szCs w:val="20"/>
        </w:rPr>
        <w:t>1</w:t>
      </w:r>
      <w:r w:rsidRPr="00421FBD">
        <w:rPr>
          <w:rFonts w:ascii="Cambria" w:hAnsi="Cambria"/>
          <w:b/>
          <w:bCs/>
          <w:i w:val="0"/>
          <w:iCs w:val="0"/>
          <w:color w:val="auto"/>
          <w:sz w:val="20"/>
          <w:szCs w:val="20"/>
        </w:rPr>
        <w:fldChar w:fldCharType="end"/>
      </w:r>
      <w:r w:rsidRPr="00421FBD">
        <w:rPr>
          <w:rFonts w:ascii="Cambria" w:hAnsi="Cambria"/>
          <w:b/>
          <w:bCs/>
          <w:i w:val="0"/>
          <w:iCs w:val="0"/>
          <w:color w:val="auto"/>
          <w:sz w:val="20"/>
          <w:szCs w:val="20"/>
        </w:rPr>
        <w:t>: BAS Collection Period Response Rates</w:t>
      </w:r>
    </w:p>
    <w:tbl>
      <w:tblPr>
        <w:tblStyle w:val="TableGrid"/>
        <w:tblDescription w:val="A three-column table shwoing the BAS responses and response rate for the past three years."/>
        <w:tblW w:w="0" w:type="auto"/>
        <w:jc w:val="center"/>
        <w:tblLook w:val="04A0"/>
      </w:tblPr>
      <w:tblGrid>
        <w:gridCol w:w="2205"/>
        <w:gridCol w:w="3370"/>
        <w:gridCol w:w="3020"/>
      </w:tblGrid>
      <w:tr w14:paraId="4209AB9D" w14:textId="77777777" w:rsidTr="00D3674A">
        <w:tblPrEx>
          <w:tblW w:w="0" w:type="auto"/>
          <w:jc w:val="center"/>
          <w:tblLook w:val="04A0"/>
        </w:tblPrEx>
        <w:trPr>
          <w:tblHeader/>
          <w:jc w:val="center"/>
        </w:trPr>
        <w:tc>
          <w:tcPr>
            <w:tcW w:w="2205" w:type="dxa"/>
            <w:shd w:val="clear" w:color="auto" w:fill="B4C6E7" w:themeFill="accent5" w:themeFillTint="66"/>
            <w:vAlign w:val="center"/>
          </w:tcPr>
          <w:p w:rsidR="00421FBD" w:rsidRPr="00B52CF9" w:rsidP="00D3674A" w14:paraId="5BB7E92D" w14:textId="12E1F29C">
            <w:pPr>
              <w:ind w:right="362"/>
              <w:jc w:val="center"/>
              <w:rPr>
                <w:rFonts w:ascii="Calibri" w:hAnsi="Calibri" w:cs="Calibri"/>
                <w:b/>
                <w:bCs/>
              </w:rPr>
            </w:pPr>
            <w:r w:rsidRPr="00B52CF9">
              <w:rPr>
                <w:rFonts w:ascii="Calibri" w:hAnsi="Calibri" w:cs="Calibri"/>
                <w:b/>
                <w:bCs/>
              </w:rPr>
              <w:t>BAS Year</w:t>
            </w:r>
          </w:p>
        </w:tc>
        <w:tc>
          <w:tcPr>
            <w:tcW w:w="3370" w:type="dxa"/>
            <w:shd w:val="clear" w:color="auto" w:fill="B4C6E7" w:themeFill="accent5" w:themeFillTint="66"/>
            <w:vAlign w:val="center"/>
          </w:tcPr>
          <w:p w:rsidR="00421FBD" w:rsidRPr="00B52CF9" w:rsidP="00D3674A" w14:paraId="39794402" w14:textId="77777777">
            <w:pPr>
              <w:ind w:right="362"/>
              <w:jc w:val="center"/>
              <w:rPr>
                <w:rFonts w:ascii="Calibri" w:hAnsi="Calibri" w:cs="Calibri"/>
                <w:b/>
                <w:bCs/>
              </w:rPr>
            </w:pPr>
            <w:r w:rsidRPr="00B52CF9">
              <w:rPr>
                <w:rFonts w:ascii="Calibri" w:hAnsi="Calibri" w:cs="Calibri"/>
                <w:b/>
                <w:bCs/>
              </w:rPr>
              <w:t>Total Number of Responses</w:t>
            </w:r>
          </w:p>
        </w:tc>
        <w:tc>
          <w:tcPr>
            <w:tcW w:w="3020" w:type="dxa"/>
            <w:shd w:val="clear" w:color="auto" w:fill="B4C6E7" w:themeFill="accent5" w:themeFillTint="66"/>
            <w:vAlign w:val="center"/>
          </w:tcPr>
          <w:p w:rsidR="00421FBD" w:rsidRPr="00B52CF9" w:rsidP="00D3674A" w14:paraId="7C32C056" w14:textId="77777777">
            <w:pPr>
              <w:ind w:right="362"/>
              <w:jc w:val="center"/>
              <w:rPr>
                <w:rFonts w:ascii="Calibri" w:hAnsi="Calibri" w:cs="Calibri"/>
                <w:b/>
                <w:bCs/>
              </w:rPr>
            </w:pPr>
            <w:r w:rsidRPr="00B52CF9">
              <w:rPr>
                <w:rFonts w:ascii="Calibri" w:hAnsi="Calibri" w:cs="Calibri"/>
                <w:b/>
                <w:bCs/>
              </w:rPr>
              <w:t>Response Rate</w:t>
            </w:r>
          </w:p>
        </w:tc>
      </w:tr>
      <w:tr w14:paraId="14B15011" w14:textId="77777777" w:rsidTr="00D3674A">
        <w:tblPrEx>
          <w:tblW w:w="0" w:type="auto"/>
          <w:jc w:val="center"/>
          <w:tblLook w:val="04A0"/>
        </w:tblPrEx>
        <w:trPr>
          <w:tblHeader/>
          <w:jc w:val="center"/>
        </w:trPr>
        <w:tc>
          <w:tcPr>
            <w:tcW w:w="2205" w:type="dxa"/>
            <w:vAlign w:val="center"/>
          </w:tcPr>
          <w:p w:rsidR="00421FBD" w:rsidRPr="00DD377B" w:rsidP="00D3674A" w14:paraId="08096FFE" w14:textId="30773CA8">
            <w:pPr>
              <w:ind w:right="362"/>
              <w:jc w:val="center"/>
              <w:rPr>
                <w:rFonts w:ascii="Calibri" w:hAnsi="Calibri" w:cs="Calibri"/>
              </w:rPr>
            </w:pPr>
            <w:r w:rsidRPr="00DD377B">
              <w:rPr>
                <w:rFonts w:ascii="Calibri" w:hAnsi="Calibri" w:cs="Calibri"/>
              </w:rPr>
              <w:t>2024</w:t>
            </w:r>
            <w:r w:rsidR="00F72E60">
              <w:rPr>
                <w:rFonts w:ascii="Calibri" w:hAnsi="Calibri" w:cs="Calibri"/>
              </w:rPr>
              <w:t>*</w:t>
            </w:r>
          </w:p>
        </w:tc>
        <w:tc>
          <w:tcPr>
            <w:tcW w:w="3370" w:type="dxa"/>
            <w:vAlign w:val="center"/>
          </w:tcPr>
          <w:p w:rsidR="00421FBD" w:rsidRPr="00DD377B" w:rsidP="00D3674A" w14:paraId="6D1A2176" w14:textId="695ED6EA">
            <w:pPr>
              <w:ind w:right="362"/>
              <w:jc w:val="center"/>
              <w:rPr>
                <w:rFonts w:ascii="Calibri" w:hAnsi="Calibri" w:cs="Calibri"/>
              </w:rPr>
            </w:pPr>
            <w:r w:rsidRPr="00DD377B">
              <w:rPr>
                <w:rFonts w:ascii="Calibri" w:hAnsi="Calibri" w:cs="Calibri"/>
              </w:rPr>
              <w:t>3</w:t>
            </w:r>
            <w:r w:rsidRPr="00DD377B" w:rsidR="00A20C54">
              <w:rPr>
                <w:rFonts w:ascii="Calibri" w:hAnsi="Calibri" w:cs="Calibri"/>
              </w:rPr>
              <w:t>3,222</w:t>
            </w:r>
          </w:p>
        </w:tc>
        <w:tc>
          <w:tcPr>
            <w:tcW w:w="3020" w:type="dxa"/>
            <w:vAlign w:val="center"/>
          </w:tcPr>
          <w:p w:rsidR="00421FBD" w:rsidRPr="00DD377B" w:rsidP="00D3674A" w14:paraId="1E82A2EE" w14:textId="7667BFB2">
            <w:pPr>
              <w:ind w:right="362"/>
              <w:jc w:val="center"/>
              <w:rPr>
                <w:rFonts w:ascii="Calibri" w:hAnsi="Calibri" w:cs="Calibri"/>
              </w:rPr>
            </w:pPr>
            <w:r w:rsidRPr="00DD377B">
              <w:rPr>
                <w:rFonts w:ascii="Calibri" w:hAnsi="Calibri" w:cs="Calibri"/>
              </w:rPr>
              <w:t>8</w:t>
            </w:r>
            <w:r w:rsidRPr="00DD377B" w:rsidR="00A20C54">
              <w:rPr>
                <w:rFonts w:ascii="Calibri" w:hAnsi="Calibri" w:cs="Calibri"/>
              </w:rPr>
              <w:t>5.10</w:t>
            </w:r>
            <w:r w:rsidRPr="00DD377B">
              <w:rPr>
                <w:rFonts w:ascii="Calibri" w:hAnsi="Calibri" w:cs="Calibri"/>
              </w:rPr>
              <w:t>%</w:t>
            </w:r>
          </w:p>
        </w:tc>
      </w:tr>
      <w:tr w14:paraId="1ED64E53" w14:textId="77777777" w:rsidTr="00D3674A">
        <w:tblPrEx>
          <w:tblW w:w="0" w:type="auto"/>
          <w:jc w:val="center"/>
          <w:tblLook w:val="04A0"/>
        </w:tblPrEx>
        <w:trPr>
          <w:tblHeader/>
          <w:jc w:val="center"/>
        </w:trPr>
        <w:tc>
          <w:tcPr>
            <w:tcW w:w="2205" w:type="dxa"/>
            <w:vAlign w:val="center"/>
          </w:tcPr>
          <w:p w:rsidR="00421FBD" w:rsidRPr="00B52CF9" w:rsidP="00D3674A" w14:paraId="71595A37" w14:textId="77777777">
            <w:pPr>
              <w:ind w:right="362"/>
              <w:jc w:val="center"/>
              <w:rPr>
                <w:rFonts w:ascii="Calibri" w:hAnsi="Calibri" w:cs="Calibri"/>
              </w:rPr>
            </w:pPr>
            <w:r w:rsidRPr="00B52CF9">
              <w:rPr>
                <w:rFonts w:ascii="Calibri" w:hAnsi="Calibri" w:cs="Calibri"/>
              </w:rPr>
              <w:t>2023</w:t>
            </w:r>
          </w:p>
        </w:tc>
        <w:tc>
          <w:tcPr>
            <w:tcW w:w="3370" w:type="dxa"/>
            <w:vAlign w:val="center"/>
          </w:tcPr>
          <w:p w:rsidR="00421FBD" w:rsidRPr="00B52CF9" w:rsidP="00D3674A" w14:paraId="0BE6D91C" w14:textId="67214798">
            <w:pPr>
              <w:ind w:right="362"/>
              <w:jc w:val="center"/>
              <w:rPr>
                <w:rFonts w:ascii="Calibri" w:hAnsi="Calibri" w:cs="Calibri"/>
              </w:rPr>
            </w:pPr>
            <w:r w:rsidRPr="00B52CF9">
              <w:rPr>
                <w:rFonts w:ascii="Calibri" w:hAnsi="Calibri" w:cs="Calibri"/>
              </w:rPr>
              <w:t>33,258</w:t>
            </w:r>
          </w:p>
        </w:tc>
        <w:tc>
          <w:tcPr>
            <w:tcW w:w="3020" w:type="dxa"/>
            <w:vAlign w:val="center"/>
          </w:tcPr>
          <w:p w:rsidR="00421FBD" w:rsidRPr="00B52CF9" w:rsidP="00D3674A" w14:paraId="3223B4A8" w14:textId="6711150C">
            <w:pPr>
              <w:ind w:right="362"/>
              <w:jc w:val="center"/>
              <w:rPr>
                <w:rFonts w:ascii="Calibri" w:hAnsi="Calibri" w:cs="Calibri"/>
              </w:rPr>
            </w:pPr>
            <w:r w:rsidRPr="00B52CF9">
              <w:rPr>
                <w:rFonts w:ascii="Calibri" w:hAnsi="Calibri" w:cs="Calibri"/>
              </w:rPr>
              <w:t>85.13%</w:t>
            </w:r>
          </w:p>
        </w:tc>
      </w:tr>
      <w:tr w14:paraId="6860C02B" w14:textId="77777777" w:rsidTr="00D3674A">
        <w:tblPrEx>
          <w:tblW w:w="0" w:type="auto"/>
          <w:jc w:val="center"/>
          <w:tblLook w:val="04A0"/>
        </w:tblPrEx>
        <w:trPr>
          <w:tblHeader/>
          <w:jc w:val="center"/>
        </w:trPr>
        <w:tc>
          <w:tcPr>
            <w:tcW w:w="2205" w:type="dxa"/>
            <w:vAlign w:val="center"/>
          </w:tcPr>
          <w:p w:rsidR="00421FBD" w:rsidRPr="00B52CF9" w:rsidP="00D3674A" w14:paraId="1E878FF6" w14:textId="77777777">
            <w:pPr>
              <w:ind w:right="362"/>
              <w:jc w:val="center"/>
              <w:rPr>
                <w:rFonts w:ascii="Calibri" w:hAnsi="Calibri" w:cs="Calibri"/>
              </w:rPr>
            </w:pPr>
            <w:r w:rsidRPr="00B52CF9">
              <w:rPr>
                <w:rFonts w:ascii="Calibri" w:hAnsi="Calibri" w:cs="Calibri"/>
              </w:rPr>
              <w:t>2022</w:t>
            </w:r>
          </w:p>
        </w:tc>
        <w:tc>
          <w:tcPr>
            <w:tcW w:w="3370" w:type="dxa"/>
            <w:vAlign w:val="center"/>
          </w:tcPr>
          <w:p w:rsidR="00421FBD" w:rsidRPr="00B52CF9" w:rsidP="00D3674A" w14:paraId="51AA809F" w14:textId="2F27A2D3">
            <w:pPr>
              <w:ind w:right="362"/>
              <w:jc w:val="center"/>
              <w:rPr>
                <w:rFonts w:ascii="Calibri" w:hAnsi="Calibri" w:cs="Calibri"/>
              </w:rPr>
            </w:pPr>
            <w:r w:rsidRPr="00B52CF9">
              <w:rPr>
                <w:rFonts w:ascii="Calibri" w:hAnsi="Calibri" w:cs="Calibri"/>
              </w:rPr>
              <w:t>33,371</w:t>
            </w:r>
          </w:p>
        </w:tc>
        <w:tc>
          <w:tcPr>
            <w:tcW w:w="3020" w:type="dxa"/>
            <w:vAlign w:val="center"/>
          </w:tcPr>
          <w:p w:rsidR="00421FBD" w:rsidRPr="00B52CF9" w:rsidP="00D3674A" w14:paraId="15152CB4" w14:textId="1DD77B54">
            <w:pPr>
              <w:ind w:right="362"/>
              <w:jc w:val="center"/>
              <w:rPr>
                <w:rFonts w:ascii="Calibri" w:hAnsi="Calibri" w:cs="Calibri"/>
              </w:rPr>
            </w:pPr>
            <w:r w:rsidRPr="00B52CF9">
              <w:rPr>
                <w:rFonts w:ascii="Calibri" w:hAnsi="Calibri" w:cs="Calibri"/>
              </w:rPr>
              <w:t>85.36%</w:t>
            </w:r>
          </w:p>
        </w:tc>
      </w:tr>
    </w:tbl>
    <w:p w:rsidR="00421FBD" w:rsidRPr="00F73B7A" w:rsidP="00421FBD" w14:paraId="495A667D" w14:textId="039AFCA3">
      <w:pPr>
        <w:ind w:left="360" w:right="360"/>
        <w:jc w:val="center"/>
        <w:rPr>
          <w:rFonts w:ascii="Calibri" w:hAnsi="Calibri" w:cs="Calibri"/>
          <w:bCs/>
          <w:sz w:val="20"/>
          <w:szCs w:val="20"/>
        </w:rPr>
      </w:pPr>
      <w:r w:rsidRPr="63C39240">
        <w:rPr>
          <w:rFonts w:ascii="Calibri" w:hAnsi="Calibri" w:cs="Calibri"/>
          <w:sz w:val="20"/>
          <w:szCs w:val="20"/>
        </w:rPr>
        <w:t>*</w:t>
      </w:r>
      <w:r w:rsidR="00F72E60">
        <w:rPr>
          <w:rFonts w:ascii="Calibri" w:hAnsi="Calibri" w:cs="Calibri"/>
          <w:sz w:val="20"/>
          <w:szCs w:val="20"/>
        </w:rPr>
        <w:t>T</w:t>
      </w:r>
      <w:r w:rsidRPr="63C39240">
        <w:rPr>
          <w:rFonts w:ascii="Calibri" w:hAnsi="Calibri" w:cs="Calibri"/>
          <w:sz w:val="20"/>
          <w:szCs w:val="20"/>
        </w:rPr>
        <w:t xml:space="preserve">he 2024 BAS </w:t>
      </w:r>
      <w:r w:rsidR="00DD377B">
        <w:rPr>
          <w:rFonts w:ascii="Calibri" w:hAnsi="Calibri" w:cs="Calibri"/>
          <w:sz w:val="20"/>
          <w:szCs w:val="20"/>
        </w:rPr>
        <w:t>information</w:t>
      </w:r>
      <w:r w:rsidR="00F72E60">
        <w:rPr>
          <w:rFonts w:ascii="Calibri" w:hAnsi="Calibri" w:cs="Calibri"/>
          <w:sz w:val="20"/>
          <w:szCs w:val="20"/>
        </w:rPr>
        <w:t xml:space="preserve"> is current as of </w:t>
      </w:r>
      <w:r w:rsidR="00DD377B">
        <w:rPr>
          <w:rFonts w:ascii="Calibri" w:hAnsi="Calibri" w:cs="Calibri"/>
          <w:sz w:val="20"/>
          <w:szCs w:val="20"/>
        </w:rPr>
        <w:t>July 15</w:t>
      </w:r>
      <w:r w:rsidRPr="63C39240">
        <w:rPr>
          <w:rFonts w:ascii="Calibri" w:hAnsi="Calibri" w:cs="Calibri"/>
          <w:sz w:val="20"/>
          <w:szCs w:val="20"/>
        </w:rPr>
        <w:t>, 2024</w:t>
      </w:r>
      <w:r w:rsidR="00F72E60">
        <w:rPr>
          <w:rFonts w:ascii="Calibri" w:hAnsi="Calibri" w:cs="Calibri"/>
          <w:sz w:val="20"/>
          <w:szCs w:val="20"/>
        </w:rPr>
        <w:t xml:space="preserve">, while the other two years </w:t>
      </w:r>
      <w:r w:rsidR="00FF4244">
        <w:rPr>
          <w:rFonts w:ascii="Calibri" w:hAnsi="Calibri" w:cs="Calibri"/>
          <w:sz w:val="20"/>
          <w:szCs w:val="20"/>
        </w:rPr>
        <w:t xml:space="preserve">of information </w:t>
      </w:r>
      <w:r w:rsidR="00F72E60">
        <w:rPr>
          <w:rFonts w:ascii="Calibri" w:hAnsi="Calibri" w:cs="Calibri"/>
          <w:sz w:val="20"/>
          <w:szCs w:val="20"/>
        </w:rPr>
        <w:t>were captured as of September 30, 2023</w:t>
      </w:r>
      <w:r w:rsidR="00F8043D">
        <w:rPr>
          <w:rFonts w:ascii="Calibri" w:hAnsi="Calibri" w:cs="Calibri"/>
          <w:sz w:val="20"/>
          <w:szCs w:val="20"/>
        </w:rPr>
        <w:t>,</w:t>
      </w:r>
      <w:r w:rsidR="00F72E60">
        <w:rPr>
          <w:rFonts w:ascii="Calibri" w:hAnsi="Calibri" w:cs="Calibri"/>
          <w:sz w:val="20"/>
          <w:szCs w:val="20"/>
        </w:rPr>
        <w:t xml:space="preserve"> and </w:t>
      </w:r>
      <w:r w:rsidR="00FF4244">
        <w:rPr>
          <w:rFonts w:ascii="Calibri" w:hAnsi="Calibri" w:cs="Calibri"/>
          <w:sz w:val="20"/>
          <w:szCs w:val="20"/>
        </w:rPr>
        <w:t xml:space="preserve">September 30, </w:t>
      </w:r>
      <w:r w:rsidR="00F72E60">
        <w:rPr>
          <w:rFonts w:ascii="Calibri" w:hAnsi="Calibri" w:cs="Calibri"/>
          <w:sz w:val="20"/>
          <w:szCs w:val="20"/>
        </w:rPr>
        <w:t>2022, respectively.</w:t>
      </w:r>
    </w:p>
    <w:p w:rsidR="00B955B7" w:rsidRPr="00421FBD" w:rsidP="00942196" w14:paraId="66F35585" w14:textId="35D2CF31">
      <w:pPr>
        <w:pStyle w:val="ListParagraph"/>
        <w:numPr>
          <w:ilvl w:val="0"/>
          <w:numId w:val="1"/>
        </w:numPr>
        <w:ind w:left="360" w:right="362" w:hanging="360"/>
        <w:rPr>
          <w:rFonts w:ascii="Calibri" w:hAnsi="Calibri" w:cs="Calibri"/>
          <w:b/>
          <w:sz w:val="24"/>
          <w:szCs w:val="24"/>
        </w:rPr>
      </w:pPr>
      <w:r w:rsidRPr="00421FBD">
        <w:rPr>
          <w:rFonts w:ascii="Calibri" w:hAnsi="Calibri" w:cs="Calibri"/>
          <w:b/>
          <w:sz w:val="24"/>
          <w:szCs w:val="24"/>
        </w:rPr>
        <w:t>Descr</w:t>
      </w:r>
      <w:r w:rsidR="00421FBD">
        <w:rPr>
          <w:rFonts w:ascii="Calibri" w:hAnsi="Calibri" w:cs="Calibri"/>
          <w:b/>
          <w:sz w:val="24"/>
          <w:szCs w:val="24"/>
        </w:rPr>
        <w:t>i</w:t>
      </w:r>
      <w:r w:rsidRPr="00421FBD">
        <w:rPr>
          <w:rFonts w:ascii="Calibri" w:hAnsi="Calibri" w:cs="Calibri"/>
          <w:b/>
          <w:sz w:val="24"/>
          <w:szCs w:val="24"/>
        </w:rPr>
        <w:t>be the procedures for the collection of information including:</w:t>
      </w:r>
    </w:p>
    <w:p w:rsidR="00B955B7" w:rsidRPr="00D26948" w:rsidP="00D26948" w14:paraId="2024B033" w14:textId="77777777">
      <w:pPr>
        <w:pStyle w:val="ListParagraph"/>
        <w:numPr>
          <w:ilvl w:val="0"/>
          <w:numId w:val="4"/>
        </w:numPr>
        <w:tabs>
          <w:tab w:val="left" w:pos="1119"/>
          <w:tab w:val="left" w:pos="1120"/>
        </w:tabs>
        <w:spacing w:before="183"/>
        <w:ind w:left="1080"/>
        <w:rPr>
          <w:rFonts w:ascii="Calibri" w:hAnsi="Calibri" w:cs="Calibri"/>
          <w:b/>
          <w:sz w:val="24"/>
        </w:rPr>
      </w:pPr>
      <w:r w:rsidRPr="00D26948">
        <w:rPr>
          <w:rFonts w:ascii="Calibri" w:hAnsi="Calibri" w:cs="Calibri"/>
          <w:b/>
          <w:sz w:val="24"/>
        </w:rPr>
        <w:t>Statistical methodology for stratification and sample</w:t>
      </w:r>
      <w:r w:rsidRPr="00D26948">
        <w:rPr>
          <w:rFonts w:ascii="Calibri" w:hAnsi="Calibri" w:cs="Calibri"/>
          <w:b/>
          <w:spacing w:val="-32"/>
          <w:sz w:val="24"/>
        </w:rPr>
        <w:t xml:space="preserve"> </w:t>
      </w:r>
      <w:r w:rsidRPr="00D26948">
        <w:rPr>
          <w:rFonts w:ascii="Calibri" w:hAnsi="Calibri" w:cs="Calibri"/>
          <w:b/>
          <w:sz w:val="24"/>
        </w:rPr>
        <w:t>selection,</w:t>
      </w:r>
    </w:p>
    <w:p w:rsidR="00B955B7" w:rsidRPr="00D26948" w:rsidP="00D26948" w14:paraId="3A88690C" w14:textId="77777777">
      <w:pPr>
        <w:pStyle w:val="ListParagraph"/>
        <w:numPr>
          <w:ilvl w:val="0"/>
          <w:numId w:val="4"/>
        </w:numPr>
        <w:tabs>
          <w:tab w:val="left" w:pos="1119"/>
          <w:tab w:val="left" w:pos="1120"/>
        </w:tabs>
        <w:spacing w:before="182"/>
        <w:ind w:left="1080"/>
        <w:rPr>
          <w:rFonts w:ascii="Calibri" w:hAnsi="Calibri" w:cs="Calibri"/>
          <w:b/>
          <w:sz w:val="24"/>
        </w:rPr>
      </w:pPr>
      <w:r w:rsidRPr="00D26948">
        <w:rPr>
          <w:rFonts w:ascii="Calibri" w:hAnsi="Calibri" w:cs="Calibri"/>
          <w:b/>
          <w:sz w:val="24"/>
        </w:rPr>
        <w:t>Estimation</w:t>
      </w:r>
      <w:r w:rsidRPr="00D26948">
        <w:rPr>
          <w:rFonts w:ascii="Calibri" w:hAnsi="Calibri" w:cs="Calibri"/>
          <w:b/>
          <w:spacing w:val="-2"/>
          <w:sz w:val="24"/>
        </w:rPr>
        <w:t xml:space="preserve"> </w:t>
      </w:r>
      <w:r w:rsidRPr="00D26948">
        <w:rPr>
          <w:rFonts w:ascii="Calibri" w:hAnsi="Calibri" w:cs="Calibri"/>
          <w:b/>
          <w:sz w:val="24"/>
        </w:rPr>
        <w:t>procedure,</w:t>
      </w:r>
    </w:p>
    <w:p w:rsidR="00B955B7" w:rsidRPr="00D26948" w:rsidP="00D26948" w14:paraId="1E32C701" w14:textId="77777777">
      <w:pPr>
        <w:pStyle w:val="ListParagraph"/>
        <w:numPr>
          <w:ilvl w:val="0"/>
          <w:numId w:val="4"/>
        </w:numPr>
        <w:tabs>
          <w:tab w:val="left" w:pos="1119"/>
          <w:tab w:val="left" w:pos="1120"/>
        </w:tabs>
        <w:spacing w:before="180"/>
        <w:ind w:left="1080"/>
        <w:rPr>
          <w:rFonts w:ascii="Calibri" w:hAnsi="Calibri" w:cs="Calibri"/>
          <w:b/>
          <w:sz w:val="24"/>
        </w:rPr>
      </w:pPr>
      <w:r w:rsidRPr="00D26948">
        <w:rPr>
          <w:rFonts w:ascii="Calibri" w:hAnsi="Calibri" w:cs="Calibri"/>
          <w:b/>
          <w:sz w:val="24"/>
        </w:rPr>
        <w:t>Degree of accuracy needed for the purpose described in the</w:t>
      </w:r>
      <w:r w:rsidRPr="00D26948">
        <w:rPr>
          <w:rFonts w:ascii="Calibri" w:hAnsi="Calibri" w:cs="Calibri"/>
          <w:b/>
          <w:spacing w:val="-8"/>
          <w:sz w:val="24"/>
        </w:rPr>
        <w:t xml:space="preserve"> </w:t>
      </w:r>
      <w:r w:rsidRPr="00D26948">
        <w:rPr>
          <w:rFonts w:ascii="Calibri" w:hAnsi="Calibri" w:cs="Calibri"/>
          <w:b/>
          <w:sz w:val="24"/>
        </w:rPr>
        <w:t>justification,</w:t>
      </w:r>
    </w:p>
    <w:p w:rsidR="00B955B7" w:rsidRPr="00D26948" w:rsidP="00D26948" w14:paraId="1D093C72" w14:textId="77777777">
      <w:pPr>
        <w:pStyle w:val="ListParagraph"/>
        <w:numPr>
          <w:ilvl w:val="0"/>
          <w:numId w:val="4"/>
        </w:numPr>
        <w:tabs>
          <w:tab w:val="left" w:pos="1119"/>
          <w:tab w:val="left" w:pos="1120"/>
        </w:tabs>
        <w:spacing w:before="182"/>
        <w:ind w:left="1080"/>
        <w:rPr>
          <w:rFonts w:ascii="Calibri" w:hAnsi="Calibri" w:cs="Calibri"/>
          <w:b/>
          <w:sz w:val="24"/>
        </w:rPr>
      </w:pPr>
      <w:r w:rsidRPr="00D26948">
        <w:rPr>
          <w:rFonts w:ascii="Calibri" w:hAnsi="Calibri" w:cs="Calibri"/>
          <w:b/>
          <w:sz w:val="24"/>
        </w:rPr>
        <w:t>Unusual problems requiring specialized sampling procedures,</w:t>
      </w:r>
      <w:r w:rsidRPr="00D26948">
        <w:rPr>
          <w:rFonts w:ascii="Calibri" w:hAnsi="Calibri" w:cs="Calibri"/>
          <w:b/>
          <w:spacing w:val="-3"/>
          <w:sz w:val="24"/>
        </w:rPr>
        <w:t xml:space="preserve"> </w:t>
      </w:r>
      <w:r w:rsidRPr="00D26948">
        <w:rPr>
          <w:rFonts w:ascii="Calibri" w:hAnsi="Calibri" w:cs="Calibri"/>
          <w:b/>
          <w:sz w:val="24"/>
        </w:rPr>
        <w:t>and</w:t>
      </w:r>
    </w:p>
    <w:p w:rsidR="00B955B7" w:rsidRPr="00D26948" w:rsidP="00D26948" w14:paraId="0660950B" w14:textId="77777777">
      <w:pPr>
        <w:pStyle w:val="ListParagraph"/>
        <w:numPr>
          <w:ilvl w:val="0"/>
          <w:numId w:val="4"/>
        </w:numPr>
        <w:tabs>
          <w:tab w:val="left" w:pos="1119"/>
          <w:tab w:val="left" w:pos="1120"/>
        </w:tabs>
        <w:spacing w:before="183"/>
        <w:ind w:left="1080"/>
        <w:rPr>
          <w:rFonts w:ascii="Calibri" w:hAnsi="Calibri" w:cs="Calibri"/>
          <w:b/>
          <w:sz w:val="24"/>
        </w:rPr>
      </w:pPr>
      <w:r w:rsidRPr="00D26948">
        <w:rPr>
          <w:rFonts w:ascii="Calibri" w:hAnsi="Calibri" w:cs="Calibri"/>
          <w:b/>
          <w:sz w:val="24"/>
        </w:rPr>
        <w:t>Any use of periodic (less frequent than annual) data collection cycles to reduce</w:t>
      </w:r>
      <w:r w:rsidRPr="00D26948">
        <w:rPr>
          <w:rFonts w:ascii="Calibri" w:hAnsi="Calibri" w:cs="Calibri"/>
          <w:b/>
          <w:spacing w:val="-21"/>
          <w:sz w:val="24"/>
        </w:rPr>
        <w:t xml:space="preserve"> </w:t>
      </w:r>
      <w:r w:rsidRPr="00D26948">
        <w:rPr>
          <w:rFonts w:ascii="Calibri" w:hAnsi="Calibri" w:cs="Calibri"/>
          <w:b/>
          <w:sz w:val="24"/>
        </w:rPr>
        <w:t>burden.</w:t>
      </w:r>
    </w:p>
    <w:p w:rsidR="003373C2" w:rsidP="00D26948" w14:paraId="665467FE" w14:textId="6F1DF72E">
      <w:pPr>
        <w:pStyle w:val="BodyText"/>
        <w:spacing w:before="221" w:line="259" w:lineRule="auto"/>
        <w:ind w:left="360" w:right="340"/>
        <w:rPr>
          <w:rFonts w:ascii="Calibri" w:hAnsi="Calibri" w:cs="Calibri"/>
        </w:rPr>
      </w:pPr>
      <w:r>
        <w:rPr>
          <w:rFonts w:ascii="Calibri" w:hAnsi="Calibri" w:cs="Calibri"/>
        </w:rPr>
        <w:t xml:space="preserve">Collection of information for BAS does not include any of the procedures listed above. </w:t>
      </w:r>
    </w:p>
    <w:p w:rsidR="003373C2" w:rsidRPr="001C05EE" w14:paraId="080A750A" w14:textId="2A69B2BD">
      <w:pPr>
        <w:pStyle w:val="BodyText"/>
        <w:spacing w:before="221" w:line="259" w:lineRule="auto"/>
        <w:ind w:left="360" w:right="340"/>
        <w:rPr>
          <w:rFonts w:ascii="Calibri" w:hAnsi="Calibri" w:cs="Calibri"/>
        </w:rPr>
      </w:pPr>
      <w:r w:rsidRPr="775499CD">
        <w:rPr>
          <w:rFonts w:ascii="Calibri" w:hAnsi="Calibri" w:cs="Calibri"/>
        </w:rPr>
        <w:t xml:space="preserve">BAS has been conducted on an annual basis and is planned to continue for the foreseeable future. </w:t>
      </w:r>
      <w:r w:rsidRPr="775499CD" w:rsidR="00DE3BC9">
        <w:rPr>
          <w:rFonts w:ascii="Calibri" w:hAnsi="Calibri" w:cs="Calibri"/>
        </w:rPr>
        <w:t xml:space="preserve">The only change to the program includes broadening the usage of the Geographic </w:t>
      </w:r>
      <w:r w:rsidRPr="775499CD" w:rsidR="00DE3BC9">
        <w:rPr>
          <w:rFonts w:ascii="Calibri" w:hAnsi="Calibri" w:cs="Calibri"/>
        </w:rPr>
        <w:t>Update Partnership Software (GUPS) by allowing respondents to use an online version, i.e., GUPS Web. The core processes for</w:t>
      </w:r>
      <w:r w:rsidRPr="775499CD" w:rsidR="2BC2A733">
        <w:rPr>
          <w:rFonts w:ascii="Calibri" w:hAnsi="Calibri" w:cs="Calibri"/>
        </w:rPr>
        <w:t xml:space="preserve"> </w:t>
      </w:r>
      <w:r w:rsidRPr="775499CD" w:rsidR="105770B3">
        <w:rPr>
          <w:rFonts w:ascii="Calibri" w:hAnsi="Calibri" w:cs="Calibri"/>
        </w:rPr>
        <w:t>both versions</w:t>
      </w:r>
      <w:r w:rsidRPr="775499CD" w:rsidR="00DE3BC9">
        <w:rPr>
          <w:rFonts w:ascii="Calibri" w:hAnsi="Calibri" w:cs="Calibri"/>
        </w:rPr>
        <w:t xml:space="preserve"> are identical. They offer the same tools and prepare the same output for submission. The difference is the way a respondent accesses GUPS by either downloading and installing GUPS locally </w:t>
      </w:r>
      <w:r w:rsidRPr="775499CD" w:rsidR="44578191">
        <w:rPr>
          <w:rFonts w:ascii="Calibri" w:hAnsi="Calibri" w:cs="Calibri"/>
        </w:rPr>
        <w:t xml:space="preserve">(GUPS Standalone) </w:t>
      </w:r>
      <w:r w:rsidRPr="775499CD" w:rsidR="00DE3BC9">
        <w:rPr>
          <w:rFonts w:ascii="Calibri" w:hAnsi="Calibri" w:cs="Calibri"/>
        </w:rPr>
        <w:t xml:space="preserve">or accessing </w:t>
      </w:r>
      <w:r w:rsidRPr="775499CD" w:rsidR="75A94B94">
        <w:rPr>
          <w:rFonts w:ascii="Calibri" w:hAnsi="Calibri" w:cs="Calibri"/>
        </w:rPr>
        <w:t xml:space="preserve">an </w:t>
      </w:r>
      <w:r w:rsidRPr="775499CD" w:rsidR="00DE3BC9">
        <w:rPr>
          <w:rFonts w:ascii="Calibri" w:hAnsi="Calibri" w:cs="Calibri"/>
        </w:rPr>
        <w:t xml:space="preserve">online </w:t>
      </w:r>
      <w:r w:rsidRPr="775499CD" w:rsidR="341966FD">
        <w:rPr>
          <w:rFonts w:ascii="Calibri" w:hAnsi="Calibri" w:cs="Calibri"/>
        </w:rPr>
        <w:t xml:space="preserve">version </w:t>
      </w:r>
      <w:r w:rsidRPr="775499CD" w:rsidR="00DE3BC9">
        <w:rPr>
          <w:rFonts w:ascii="Calibri" w:hAnsi="Calibri" w:cs="Calibri"/>
        </w:rPr>
        <w:t>using its web-based login</w:t>
      </w:r>
      <w:r w:rsidRPr="775499CD" w:rsidR="6FF69EF5">
        <w:rPr>
          <w:rFonts w:ascii="Calibri" w:hAnsi="Calibri" w:cs="Calibri"/>
        </w:rPr>
        <w:t xml:space="preserve"> (GUPS Web)</w:t>
      </w:r>
      <w:r w:rsidRPr="775499CD" w:rsidR="00DE3BC9">
        <w:rPr>
          <w:rFonts w:ascii="Calibri" w:hAnsi="Calibri" w:cs="Calibri"/>
        </w:rPr>
        <w:t>. Additionally, the respondent burden will not change no matter how the user accesses GUPS.</w:t>
      </w:r>
    </w:p>
    <w:p w:rsidR="00B955B7" w:rsidRPr="00124446" w:rsidP="00421FBD" w14:paraId="2CD74794" w14:textId="77777777">
      <w:pPr>
        <w:pStyle w:val="Heading1"/>
        <w:numPr>
          <w:ilvl w:val="0"/>
          <w:numId w:val="1"/>
        </w:numPr>
        <w:tabs>
          <w:tab w:val="left" w:pos="669"/>
        </w:tabs>
        <w:spacing w:before="159"/>
        <w:ind w:left="360" w:hanging="36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00A057FA" w:rsidRPr="00DE3BC9" w:rsidP="48CD6DE8" w14:paraId="44D852D2" w14:textId="13C9702F">
      <w:pPr>
        <w:spacing w:before="158" w:line="259" w:lineRule="auto"/>
        <w:ind w:left="360"/>
        <w:rPr>
          <w:rFonts w:ascii="Calibri" w:hAnsi="Calibri" w:cs="Calibri"/>
          <w:b/>
          <w:bCs/>
          <w:sz w:val="24"/>
          <w:szCs w:val="24"/>
        </w:rPr>
      </w:pPr>
      <w:r w:rsidRPr="48CD6DE8">
        <w:rPr>
          <w:rFonts w:ascii="Calibri" w:hAnsi="Calibri" w:cs="Calibri"/>
          <w:b/>
          <w:bCs/>
          <w:sz w:val="24"/>
          <w:szCs w:val="24"/>
        </w:rPr>
        <w:t>Methods to maximize response rates and to deal with issues of non-response:</w:t>
      </w:r>
    </w:p>
    <w:p w:rsidR="003D4CA9" w:rsidRPr="00421FBD" w:rsidP="00421FBD" w14:paraId="2856692C" w14:textId="4F3434B8">
      <w:pPr>
        <w:pStyle w:val="BodyText"/>
        <w:rPr>
          <w:rFonts w:ascii="Calibri" w:hAnsi="Calibri" w:cs="Calibri"/>
        </w:rPr>
      </w:pPr>
      <w:r w:rsidRPr="43A102D2">
        <w:rPr>
          <w:rFonts w:ascii="Calibri" w:hAnsi="Calibri" w:cs="Calibri"/>
        </w:rPr>
        <w:t xml:space="preserve">To maximize response rate, BAS uses </w:t>
      </w:r>
      <w:r w:rsidRPr="43A102D2">
        <w:rPr>
          <w:rFonts w:ascii="Calibri" w:hAnsi="Calibri" w:cs="Calibri"/>
        </w:rPr>
        <w:t>several</w:t>
      </w:r>
      <w:r w:rsidRPr="43A102D2">
        <w:rPr>
          <w:rFonts w:ascii="Calibri" w:hAnsi="Calibri" w:cs="Calibri"/>
        </w:rPr>
        <w:t xml:space="preserve"> outreach strategies to encourage eligible governments to participate in the </w:t>
      </w:r>
      <w:r w:rsidRPr="43A102D2">
        <w:rPr>
          <w:rFonts w:ascii="Calibri" w:hAnsi="Calibri" w:cs="Calibri"/>
        </w:rPr>
        <w:t>survey</w:t>
      </w:r>
      <w:r w:rsidRPr="43A102D2">
        <w:rPr>
          <w:rFonts w:ascii="Calibri" w:hAnsi="Calibri" w:cs="Calibri"/>
        </w:rPr>
        <w:t xml:space="preserve">. </w:t>
      </w:r>
      <w:r w:rsidRPr="43A102D2">
        <w:rPr>
          <w:rFonts w:ascii="Calibri" w:hAnsi="Calibri" w:cs="Calibri"/>
        </w:rPr>
        <w:t>The Census Bureau initially notifies eligible governments about BAS through email. The email includes program information and directs them to respond electronically</w:t>
      </w:r>
      <w:r w:rsidRPr="43A102D2" w:rsidR="002B1FF6">
        <w:rPr>
          <w:rFonts w:ascii="Calibri" w:hAnsi="Calibri" w:cs="Calibri"/>
        </w:rPr>
        <w:t xml:space="preserve"> whether there are </w:t>
      </w:r>
      <w:r w:rsidRPr="43A102D2" w:rsidR="00A77E3A">
        <w:rPr>
          <w:rFonts w:ascii="Calibri" w:hAnsi="Calibri" w:cs="Calibri"/>
        </w:rPr>
        <w:t xml:space="preserve">updates to provide for the </w:t>
      </w:r>
      <w:r w:rsidRPr="43A102D2" w:rsidR="002B1FF6">
        <w:rPr>
          <w:rFonts w:ascii="Calibri" w:hAnsi="Calibri" w:cs="Calibri"/>
        </w:rPr>
        <w:t>legal boundary, census designated place</w:t>
      </w:r>
      <w:r w:rsidRPr="43A102D2" w:rsidR="00A77E3A">
        <w:rPr>
          <w:rFonts w:ascii="Calibri" w:hAnsi="Calibri" w:cs="Calibri"/>
        </w:rPr>
        <w:t>(s)</w:t>
      </w:r>
      <w:r w:rsidRPr="43A102D2" w:rsidR="002B1FF6">
        <w:rPr>
          <w:rFonts w:ascii="Calibri" w:hAnsi="Calibri" w:cs="Calibri"/>
        </w:rPr>
        <w:t>, linear feature</w:t>
      </w:r>
      <w:r w:rsidRPr="43A102D2" w:rsidR="00A77E3A">
        <w:rPr>
          <w:rFonts w:ascii="Calibri" w:hAnsi="Calibri" w:cs="Calibri"/>
        </w:rPr>
        <w:t>(s)</w:t>
      </w:r>
      <w:r w:rsidRPr="43A102D2" w:rsidR="002B1FF6">
        <w:rPr>
          <w:rFonts w:ascii="Calibri" w:hAnsi="Calibri" w:cs="Calibri"/>
        </w:rPr>
        <w:t>, or contact</w:t>
      </w:r>
      <w:r w:rsidRPr="43A102D2" w:rsidR="00A77E3A">
        <w:rPr>
          <w:rFonts w:ascii="Calibri" w:hAnsi="Calibri" w:cs="Calibri"/>
        </w:rPr>
        <w:t>(s)</w:t>
      </w:r>
      <w:r w:rsidRPr="43A102D2">
        <w:rPr>
          <w:rFonts w:ascii="Calibri" w:hAnsi="Calibri" w:cs="Calibri"/>
        </w:rPr>
        <w:t>. Eligible governments with</w:t>
      </w:r>
      <w:r w:rsidRPr="43A102D2" w:rsidR="007A5D28">
        <w:rPr>
          <w:rFonts w:ascii="Calibri" w:hAnsi="Calibri" w:cs="Calibri"/>
        </w:rPr>
        <w:t>out</w:t>
      </w:r>
      <w:r w:rsidRPr="43A102D2">
        <w:rPr>
          <w:rFonts w:ascii="Calibri" w:hAnsi="Calibri" w:cs="Calibri"/>
        </w:rPr>
        <w:t xml:space="preserve"> an email on file with the Census Bureau are contacted by phone, where they are asked to provide a response.</w:t>
      </w:r>
      <w:r w:rsidRPr="43A102D2" w:rsidR="004911EC">
        <w:rPr>
          <w:rFonts w:ascii="Calibri" w:hAnsi="Calibri" w:cs="Calibri"/>
        </w:rPr>
        <w:t xml:space="preserve"> </w:t>
      </w:r>
      <w:r w:rsidRPr="43A102D2">
        <w:rPr>
          <w:rFonts w:ascii="Calibri" w:hAnsi="Calibri" w:cs="Calibri"/>
        </w:rPr>
        <w:t>Eligible governments that do not respond, or those that indicate that they have updates to provide but have not submitted their updates are contacted during nonresponse follow-up by email. The email reminds eligible governments to respon</w:t>
      </w:r>
      <w:r w:rsidRPr="43A102D2" w:rsidR="00CC4A09">
        <w:rPr>
          <w:rFonts w:ascii="Calibri" w:hAnsi="Calibri" w:cs="Calibri"/>
        </w:rPr>
        <w:t>d</w:t>
      </w:r>
      <w:r w:rsidRPr="43A102D2">
        <w:rPr>
          <w:rFonts w:ascii="Calibri" w:hAnsi="Calibri" w:cs="Calibri"/>
        </w:rPr>
        <w:t xml:space="preserve"> electronically if they have updates to report. </w:t>
      </w:r>
      <w:r w:rsidRPr="43A102D2" w:rsidR="00CC1555">
        <w:rPr>
          <w:rFonts w:ascii="Calibri" w:hAnsi="Calibri" w:cs="Calibri"/>
        </w:rPr>
        <w:t>N</w:t>
      </w:r>
      <w:r w:rsidRPr="43A102D2">
        <w:rPr>
          <w:rFonts w:ascii="Calibri" w:hAnsi="Calibri" w:cs="Calibri"/>
        </w:rPr>
        <w:t>onresponse follow</w:t>
      </w:r>
      <w:r w:rsidRPr="43A102D2" w:rsidR="00CC4A09">
        <w:rPr>
          <w:rFonts w:ascii="Calibri" w:hAnsi="Calibri" w:cs="Calibri"/>
        </w:rPr>
        <w:t xml:space="preserve">-up emails are sent each year in February, March, and April. </w:t>
      </w:r>
    </w:p>
    <w:p w:rsidR="00CC1555" w:rsidP="00421FBD" w14:paraId="7D999A55" w14:textId="11746E15">
      <w:pPr>
        <w:pStyle w:val="BodyText"/>
        <w:rPr>
          <w:rFonts w:ascii="Calibri" w:hAnsi="Calibri" w:cs="Calibri"/>
        </w:rPr>
      </w:pPr>
      <w:r w:rsidRPr="775499CD">
        <w:rPr>
          <w:rFonts w:ascii="Calibri" w:hAnsi="Calibri" w:cs="Calibri"/>
        </w:rPr>
        <w:t xml:space="preserve">The Census Bureau provides </w:t>
      </w:r>
      <w:r w:rsidRPr="775499CD" w:rsidR="002B1FF6">
        <w:rPr>
          <w:rFonts w:ascii="Calibri" w:hAnsi="Calibri" w:cs="Calibri"/>
        </w:rPr>
        <w:t>multiple submission methods to partners that have updates to provide. This includes the BAS Partnership Toolbox, GUPS (</w:t>
      </w:r>
      <w:r w:rsidRPr="775499CD" w:rsidR="12E0614D">
        <w:rPr>
          <w:rFonts w:ascii="Calibri" w:hAnsi="Calibri" w:cs="Calibri"/>
        </w:rPr>
        <w:t>GUPS Standalone and GUPS Web</w:t>
      </w:r>
      <w:r w:rsidRPr="775499CD" w:rsidR="002B1FF6">
        <w:rPr>
          <w:rFonts w:ascii="Calibri" w:hAnsi="Calibri" w:cs="Calibri"/>
        </w:rPr>
        <w:t xml:space="preserve">), and paper maps. </w:t>
      </w:r>
    </w:p>
    <w:p w:rsidR="004911EC" w:rsidRPr="00421FBD" w:rsidP="00421FBD" w14:paraId="229BAAE2" w14:textId="3336B433">
      <w:pPr>
        <w:pStyle w:val="BodyText"/>
        <w:rPr>
          <w:rFonts w:ascii="Calibri" w:hAnsi="Calibri" w:cs="Calibri"/>
        </w:rPr>
      </w:pPr>
      <w:r w:rsidRPr="48CD6DE8">
        <w:rPr>
          <w:rFonts w:ascii="Calibri" w:hAnsi="Calibri" w:cs="Calibri"/>
        </w:rPr>
        <w:t>Additional outreach includes up to</w:t>
      </w:r>
      <w:r w:rsidRPr="48CD6DE8" w:rsidR="66C3CAF9">
        <w:rPr>
          <w:rFonts w:ascii="Calibri" w:hAnsi="Calibri" w:cs="Calibri"/>
        </w:rPr>
        <w:t xml:space="preserve"> </w:t>
      </w:r>
      <w:r w:rsidRPr="48CD6DE8">
        <w:rPr>
          <w:rFonts w:ascii="Calibri" w:hAnsi="Calibri" w:cs="Calibri"/>
        </w:rPr>
        <w:t xml:space="preserve">three annual webinars hosted by the Census Bureau that discuss the purpose of BAS and demonstrate the methods of response. These webinars serve as an open forum for participants to ask questions and to encourage response. </w:t>
      </w:r>
    </w:p>
    <w:p w:rsidR="0019771D" w:rsidRPr="00421FBD" w:rsidP="00421FBD" w14:paraId="0DE51AD7" w14:textId="3D859C56">
      <w:pPr>
        <w:spacing w:before="161"/>
        <w:ind w:left="360" w:right="362"/>
        <w:rPr>
          <w:rFonts w:ascii="Calibri" w:hAnsi="Calibri" w:cs="Calibri"/>
          <w:bCs/>
          <w:sz w:val="24"/>
          <w:szCs w:val="24"/>
        </w:rPr>
      </w:pPr>
      <w:r w:rsidRPr="00421FBD">
        <w:rPr>
          <w:rFonts w:ascii="Calibri" w:hAnsi="Calibri" w:cs="Calibri"/>
          <w:bCs/>
          <w:sz w:val="24"/>
          <w:szCs w:val="24"/>
        </w:rPr>
        <w:t xml:space="preserve">The Census Bureau actively encourages participation throughout the BAS collection process and is readily available to assist eligible governments with procedural and technical questions. </w:t>
      </w:r>
    </w:p>
    <w:p w:rsidR="00A77E3A" w:rsidP="00421FBD" w14:paraId="4C375758" w14:textId="77777777">
      <w:pPr>
        <w:pStyle w:val="BodyText"/>
        <w:spacing w:before="158" w:line="259" w:lineRule="auto"/>
        <w:ind w:left="360"/>
        <w:rPr>
          <w:rFonts w:ascii="Calibri" w:hAnsi="Calibri" w:cs="Calibri"/>
          <w:b/>
          <w:bCs/>
        </w:rPr>
      </w:pPr>
      <w:r w:rsidRPr="54BD38EA">
        <w:rPr>
          <w:rFonts w:ascii="Calibri" w:hAnsi="Calibri" w:cs="Calibri"/>
          <w:b/>
          <w:bCs/>
        </w:rPr>
        <w:t>Practical utility for the collection:</w:t>
      </w:r>
    </w:p>
    <w:p w:rsidR="00A77E3A" w:rsidRPr="00A77E3A" w:rsidP="00421FBD" w14:paraId="6623A56E" w14:textId="07661FBE">
      <w:pPr>
        <w:pStyle w:val="BodyText"/>
        <w:spacing w:before="158" w:line="259" w:lineRule="auto"/>
        <w:ind w:left="360"/>
        <w:rPr>
          <w:rFonts w:ascii="Calibri" w:hAnsi="Calibri" w:cs="Calibri"/>
        </w:rPr>
      </w:pPr>
      <w:r w:rsidRPr="54BD38EA">
        <w:rPr>
          <w:rFonts w:ascii="Calibri" w:hAnsi="Calibri" w:cs="Calibri"/>
        </w:rPr>
        <w:t>BAS is a vital annual survey that provides eligible governments an opportunity</w:t>
      </w:r>
      <w:r w:rsidRPr="54BD38EA" w:rsidR="00D26948">
        <w:rPr>
          <w:rFonts w:ascii="Calibri" w:hAnsi="Calibri" w:cs="Calibri"/>
        </w:rPr>
        <w:t>, under Title 13, U.S.C. Section 6,</w:t>
      </w:r>
      <w:r w:rsidRPr="54BD38EA">
        <w:rPr>
          <w:rFonts w:ascii="Calibri" w:hAnsi="Calibri" w:cs="Calibri"/>
        </w:rPr>
        <w:t xml:space="preserve"> to review the Census Bureau’s legal boundary data to ensure the Census Bureau has the correct boundary, name, and status information and make necessary updates. BAS also allows for the review and update of census designated place (CDP) </w:t>
      </w:r>
      <w:r w:rsidR="00E67E10">
        <w:rPr>
          <w:rFonts w:ascii="Calibri" w:hAnsi="Calibri" w:cs="Calibri"/>
        </w:rPr>
        <w:t xml:space="preserve">boundaries </w:t>
      </w:r>
      <w:r w:rsidRPr="54BD38EA">
        <w:rPr>
          <w:rFonts w:ascii="Calibri" w:hAnsi="Calibri" w:cs="Calibri"/>
        </w:rPr>
        <w:t>and linear features</w:t>
      </w:r>
      <w:r w:rsidRPr="54BD38EA" w:rsidR="00D26948">
        <w:rPr>
          <w:rFonts w:ascii="Calibri" w:hAnsi="Calibri" w:cs="Calibri"/>
        </w:rPr>
        <w:t>.</w:t>
      </w:r>
      <w:r w:rsidRPr="54BD38EA">
        <w:rPr>
          <w:rFonts w:ascii="Calibri" w:hAnsi="Calibri" w:cs="Calibri"/>
        </w:rPr>
        <w:t xml:space="preserve"> It fulfills the agency’s responsibility as part of the National Spatial Data Infrastructure, for which the Office of Management and Budget (OMB) Circular A-16 designates the Census Bureau as the lead federal agency for maintaining national data about legal government boundaries, as well as statistical and administrative boundaries. It also supports the geospatial data steward </w:t>
      </w:r>
      <w:r w:rsidRPr="54BD38EA">
        <w:rPr>
          <w:rFonts w:ascii="Calibri" w:hAnsi="Calibri" w:cs="Calibri"/>
        </w:rPr>
        <w:t>responsibilities of the Geospatial Data Act, the Evidence Act, OMB E-Gov, the Federal Geographic Data Committee, Data.gov, GeoPlatform.gov, the National Map, the Geographic Names Information System, and the Geospatial One-Stop.</w:t>
      </w:r>
    </w:p>
    <w:p w:rsidR="00A77E3A" w:rsidRPr="00A77E3A" w:rsidP="00421FBD" w14:paraId="008E5A6F" w14:textId="0F1E9D6C">
      <w:pPr>
        <w:pStyle w:val="BodyText"/>
        <w:spacing w:before="158" w:line="259" w:lineRule="auto"/>
        <w:ind w:left="360"/>
        <w:rPr>
          <w:rFonts w:ascii="Calibri" w:hAnsi="Calibri" w:cs="Calibri"/>
        </w:rPr>
      </w:pPr>
      <w:r w:rsidRPr="43A102D2">
        <w:rPr>
          <w:rFonts w:ascii="Calibri" w:hAnsi="Calibri" w:cs="Calibri"/>
        </w:rPr>
        <w:t>The Census Bureau uses the boundaries collected during BAS to tabulate data for various censuses and surveys including the decennial census</w:t>
      </w:r>
      <w:r w:rsidRPr="43A102D2" w:rsidR="29963346">
        <w:rPr>
          <w:rFonts w:ascii="Calibri" w:hAnsi="Calibri" w:cs="Calibri"/>
        </w:rPr>
        <w:t xml:space="preserve"> and</w:t>
      </w:r>
      <w:r w:rsidRPr="43A102D2">
        <w:rPr>
          <w:rFonts w:ascii="Calibri" w:hAnsi="Calibri" w:cs="Calibri"/>
        </w:rPr>
        <w:t xml:space="preserve"> American Community Survey (ACS)</w:t>
      </w:r>
      <w:r w:rsidRPr="43A102D2" w:rsidR="733F9BA3">
        <w:rPr>
          <w:rFonts w:ascii="Calibri" w:hAnsi="Calibri" w:cs="Calibri"/>
        </w:rPr>
        <w:t xml:space="preserve"> as well as the</w:t>
      </w:r>
      <w:r w:rsidRPr="43A102D2">
        <w:rPr>
          <w:rFonts w:ascii="Calibri" w:hAnsi="Calibri" w:cs="Calibri"/>
        </w:rPr>
        <w:t xml:space="preserve"> Population Estimates Program (PEP). It also uses the boundaries collected through BAS to support other programs such as the Redistricting Data Program, the Economic Census, the Geographic</w:t>
      </w:r>
      <w:r w:rsidRPr="43A102D2" w:rsidR="1AF77B68">
        <w:rPr>
          <w:rFonts w:ascii="Calibri" w:hAnsi="Calibri" w:cs="Calibri"/>
        </w:rPr>
        <w:t>ally</w:t>
      </w:r>
      <w:r w:rsidRPr="43A102D2">
        <w:rPr>
          <w:rFonts w:ascii="Calibri" w:hAnsi="Calibri" w:cs="Calibri"/>
        </w:rPr>
        <w:t xml:space="preserve"> Update</w:t>
      </w:r>
      <w:r w:rsidRPr="43A102D2" w:rsidR="42318DBD">
        <w:rPr>
          <w:rFonts w:ascii="Calibri" w:hAnsi="Calibri" w:cs="Calibri"/>
        </w:rPr>
        <w:t>d</w:t>
      </w:r>
      <w:r w:rsidRPr="43A102D2">
        <w:rPr>
          <w:rFonts w:ascii="Calibri" w:hAnsi="Calibri" w:cs="Calibri"/>
        </w:rPr>
        <w:t xml:space="preserve"> Population Certification Program, and the Special Census program. </w:t>
      </w:r>
    </w:p>
    <w:p w:rsidR="00942196" w:rsidP="00421FBD" w14:paraId="39EE19F5" w14:textId="30767452">
      <w:pPr>
        <w:pStyle w:val="BodyText"/>
        <w:spacing w:before="158" w:line="259" w:lineRule="auto"/>
        <w:ind w:left="360"/>
        <w:rPr>
          <w:rFonts w:ascii="Calibri" w:hAnsi="Calibri" w:cs="Calibri"/>
        </w:rPr>
      </w:pPr>
      <w:r w:rsidRPr="54BD38EA">
        <w:rPr>
          <w:rFonts w:ascii="Calibri" w:hAnsi="Calibri" w:cs="Calibri"/>
        </w:rPr>
        <w:t>Other federal programs also rely on accurate boundaries collected through BAS. The Department of Housing and Urban Development uses boundaries to determine jurisdictional eligibility for various grant programs, such as the Community Development Block Grant program. In addition, the Department of Agriculture uses boundaries to determine eligibility for various rural housing and economic development programs</w:t>
      </w:r>
      <w:r w:rsidRPr="54BD38EA" w:rsidR="00D26948">
        <w:rPr>
          <w:rFonts w:ascii="Calibri" w:hAnsi="Calibri" w:cs="Calibri"/>
        </w:rPr>
        <w:t>.</w:t>
      </w:r>
    </w:p>
    <w:p w:rsidR="00B955B7" w:rsidRPr="00124446" w:rsidP="00421FBD" w14:paraId="403200F4" w14:textId="77777777">
      <w:pPr>
        <w:pStyle w:val="Heading1"/>
        <w:numPr>
          <w:ilvl w:val="0"/>
          <w:numId w:val="1"/>
        </w:numPr>
        <w:tabs>
          <w:tab w:val="left" w:pos="669"/>
        </w:tabs>
        <w:spacing w:before="183"/>
        <w:ind w:left="360" w:hanging="36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00A057FA" w:rsidRPr="00AF2031" w:rsidP="00421FBD" w14:paraId="257226F1" w14:textId="4C3BFF9E">
      <w:pPr>
        <w:spacing w:before="161"/>
        <w:ind w:left="360" w:right="362"/>
        <w:rPr>
          <w:rFonts w:ascii="Calibri" w:hAnsi="Calibri" w:cs="Calibri"/>
          <w:bCs/>
          <w:sz w:val="24"/>
        </w:rPr>
      </w:pPr>
      <w:r w:rsidRPr="00AF2031">
        <w:rPr>
          <w:rFonts w:ascii="Calibri" w:hAnsi="Calibri" w:cs="Calibri"/>
          <w:bCs/>
          <w:sz w:val="24"/>
        </w:rPr>
        <w:t>BAS does not conduct a test phase or test sampling.</w:t>
      </w:r>
    </w:p>
    <w:p w:rsidR="00B955B7" w:rsidRPr="00124446" w:rsidP="00421FBD" w14:paraId="42B9D2FD" w14:textId="77777777">
      <w:pPr>
        <w:pStyle w:val="Heading1"/>
        <w:numPr>
          <w:ilvl w:val="0"/>
          <w:numId w:val="1"/>
        </w:numPr>
        <w:tabs>
          <w:tab w:val="left" w:pos="669"/>
        </w:tabs>
        <w:spacing w:before="183"/>
        <w:ind w:left="360" w:hanging="360"/>
        <w:rPr>
          <w:rFonts w:ascii="Calibri" w:hAnsi="Calibri" w:cs="Calibri"/>
        </w:rPr>
      </w:pPr>
      <w:r w:rsidRPr="00124446">
        <w:rPr>
          <w:rFonts w:ascii="Calibri" w:hAnsi="Calibri" w:cs="Calibri"/>
        </w:rPr>
        <w:t xml:space="preserve">Provide the name and telephone number of individuals consulted on statistical aspects of the design and the name of the agency unit, contractor(s), grantee(s), or other person(s) who will </w:t>
      </w:r>
      <w:r w:rsidRPr="00124446">
        <w:rPr>
          <w:rFonts w:ascii="Calibri" w:hAnsi="Calibri" w:cs="Calibri"/>
        </w:rPr>
        <w:t>actually collect</w:t>
      </w:r>
      <w:r w:rsidRPr="00124446">
        <w:rPr>
          <w:rFonts w:ascii="Calibri" w:hAnsi="Calibri" w:cs="Calibri"/>
        </w:rPr>
        <w:t xml:space="preserve"> and/or analyze the information for the</w:t>
      </w:r>
      <w:r w:rsidRPr="00124446">
        <w:rPr>
          <w:rFonts w:ascii="Calibri" w:hAnsi="Calibri" w:cs="Calibri"/>
          <w:spacing w:val="-6"/>
        </w:rPr>
        <w:t xml:space="preserve"> </w:t>
      </w:r>
      <w:r w:rsidRPr="00124446">
        <w:rPr>
          <w:rFonts w:ascii="Calibri" w:hAnsi="Calibri" w:cs="Calibri"/>
        </w:rPr>
        <w:t>agency.</w:t>
      </w:r>
    </w:p>
    <w:p w:rsidR="00A057FA" w:rsidRPr="00AF2031" w:rsidP="00421FBD" w14:paraId="4879450A" w14:textId="1ECB3448">
      <w:pPr>
        <w:spacing w:before="161"/>
        <w:ind w:left="360" w:right="362"/>
        <w:rPr>
          <w:rFonts w:ascii="Calibri" w:hAnsi="Calibri" w:cs="Calibri"/>
          <w:bCs/>
          <w:sz w:val="24"/>
        </w:rPr>
      </w:pPr>
      <w:r w:rsidRPr="00AF2031">
        <w:rPr>
          <w:rFonts w:ascii="Calibri" w:hAnsi="Calibri" w:cs="Calibri"/>
          <w:bCs/>
          <w:sz w:val="24"/>
        </w:rPr>
        <w:t>The collection of information for BAS is conducted and managed by the Census Bureau’s Legal and Administrative Area Boundaries Branch within the Geography Division.</w:t>
      </w:r>
    </w:p>
    <w:p w:rsidR="004A4740" w:rsidRPr="00AF2031" w:rsidP="00421FBD" w14:paraId="6F30E9C1" w14:textId="3A27014A">
      <w:pPr>
        <w:spacing w:before="161"/>
        <w:ind w:left="360" w:right="362"/>
        <w:rPr>
          <w:rFonts w:ascii="Calibri" w:hAnsi="Calibri" w:cs="Calibri"/>
          <w:bCs/>
          <w:sz w:val="24"/>
        </w:rPr>
      </w:pPr>
      <w:r w:rsidRPr="00AF2031">
        <w:rPr>
          <w:rFonts w:ascii="Calibri" w:hAnsi="Calibri" w:cs="Calibri"/>
          <w:bCs/>
          <w:sz w:val="24"/>
        </w:rPr>
        <w:t>BAS Program Manager: Lauren Ely, &lt;lauren</w:t>
      </w:r>
      <w:r w:rsidRPr="00AF2031" w:rsidR="00AF2031">
        <w:rPr>
          <w:rFonts w:ascii="Calibri" w:hAnsi="Calibri" w:cs="Calibri"/>
          <w:bCs/>
          <w:sz w:val="24"/>
        </w:rPr>
        <w:t>.marie.ely@census.gov&gt;, 301.763.1575</w:t>
      </w:r>
      <w:r w:rsidR="00D26948">
        <w:rPr>
          <w:rFonts w:ascii="Calibri" w:hAnsi="Calibri" w:cs="Calibri"/>
          <w:bCs/>
          <w:sz w:val="24"/>
        </w:rPr>
        <w:t>.</w:t>
      </w:r>
    </w:p>
    <w:p w:rsidR="00677C42" w:rsidRPr="00E54767" w:rsidP="00DD377B" w14:paraId="7DCCD1EE" w14:textId="0AC5455B">
      <w:pPr>
        <w:spacing w:before="161"/>
        <w:ind w:left="360" w:right="362"/>
        <w:rPr>
          <w:rFonts w:ascii="Calibri" w:hAnsi="Calibri" w:cs="Calibri"/>
          <w:sz w:val="24"/>
          <w:szCs w:val="24"/>
        </w:rPr>
      </w:pPr>
      <w:r w:rsidRPr="00AF2031">
        <w:rPr>
          <w:rFonts w:ascii="Calibri" w:hAnsi="Calibri" w:cs="Calibri"/>
          <w:bCs/>
          <w:sz w:val="24"/>
        </w:rPr>
        <w:t>Branch Chief: Mike Clements, &lt;michael.j.clements@census.gov&gt;, 301.763.9124</w:t>
      </w:r>
      <w:r w:rsidR="00D26948">
        <w:rPr>
          <w:rFonts w:ascii="Calibri" w:hAnsi="Calibri" w:cs="Calibri"/>
          <w:bCs/>
          <w:sz w:val="24"/>
        </w:rPr>
        <w:t>.</w:t>
      </w:r>
    </w:p>
    <w:sectPr w:rsidSect="00942196">
      <w:footerReference w:type="default" r:id="rId8"/>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55395C1D" w14:textId="77777777">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rsidR="00BC1E42" w14:paraId="148FA72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D014335A"/>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E614C64"/>
    <w:multiLevelType w:val="hybridMultilevel"/>
    <w:tmpl w:val="9DEACB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3">
    <w:nsid w:val="7A7938F1"/>
    <w:multiLevelType w:val="hybridMultilevel"/>
    <w:tmpl w:val="8B362FFC"/>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num w:numId="1" w16cid:durableId="531769662">
    <w:abstractNumId w:val="0"/>
  </w:num>
  <w:num w:numId="2" w16cid:durableId="299724673">
    <w:abstractNumId w:val="2"/>
  </w:num>
  <w:num w:numId="3" w16cid:durableId="1812093226">
    <w:abstractNumId w:val="3"/>
  </w:num>
  <w:num w:numId="4" w16cid:durableId="678197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54B48"/>
    <w:rsid w:val="000B2AA7"/>
    <w:rsid w:val="00124446"/>
    <w:rsid w:val="00130530"/>
    <w:rsid w:val="0019771D"/>
    <w:rsid w:val="001C05EE"/>
    <w:rsid w:val="001C4748"/>
    <w:rsid w:val="00250962"/>
    <w:rsid w:val="002B1FF6"/>
    <w:rsid w:val="003373C2"/>
    <w:rsid w:val="003C57FC"/>
    <w:rsid w:val="003D4CA9"/>
    <w:rsid w:val="00421FBD"/>
    <w:rsid w:val="00440F20"/>
    <w:rsid w:val="00442F57"/>
    <w:rsid w:val="004911EC"/>
    <w:rsid w:val="00491FE3"/>
    <w:rsid w:val="004A4740"/>
    <w:rsid w:val="004B2A02"/>
    <w:rsid w:val="005367D0"/>
    <w:rsid w:val="005A73AA"/>
    <w:rsid w:val="00615B02"/>
    <w:rsid w:val="00650BAC"/>
    <w:rsid w:val="00677C42"/>
    <w:rsid w:val="006D09AD"/>
    <w:rsid w:val="006D2352"/>
    <w:rsid w:val="00791FF2"/>
    <w:rsid w:val="007A5D28"/>
    <w:rsid w:val="007B36BA"/>
    <w:rsid w:val="007F501C"/>
    <w:rsid w:val="00837B80"/>
    <w:rsid w:val="008C3C24"/>
    <w:rsid w:val="00922448"/>
    <w:rsid w:val="00942196"/>
    <w:rsid w:val="00983629"/>
    <w:rsid w:val="009F09A7"/>
    <w:rsid w:val="00A057FA"/>
    <w:rsid w:val="00A20C54"/>
    <w:rsid w:val="00A63C05"/>
    <w:rsid w:val="00A77E3A"/>
    <w:rsid w:val="00A94ABC"/>
    <w:rsid w:val="00AF2031"/>
    <w:rsid w:val="00B52CF9"/>
    <w:rsid w:val="00B90413"/>
    <w:rsid w:val="00B955B7"/>
    <w:rsid w:val="00BC1E42"/>
    <w:rsid w:val="00CC1555"/>
    <w:rsid w:val="00CC4A09"/>
    <w:rsid w:val="00D26948"/>
    <w:rsid w:val="00D30787"/>
    <w:rsid w:val="00D3674A"/>
    <w:rsid w:val="00D423AB"/>
    <w:rsid w:val="00DD377B"/>
    <w:rsid w:val="00DE3BC9"/>
    <w:rsid w:val="00DF6739"/>
    <w:rsid w:val="00E023A4"/>
    <w:rsid w:val="00E12A81"/>
    <w:rsid w:val="00E412E9"/>
    <w:rsid w:val="00E54767"/>
    <w:rsid w:val="00E67E10"/>
    <w:rsid w:val="00F72E60"/>
    <w:rsid w:val="00F73B7A"/>
    <w:rsid w:val="00F8043D"/>
    <w:rsid w:val="00FF4244"/>
    <w:rsid w:val="049D5D2C"/>
    <w:rsid w:val="053E6BF7"/>
    <w:rsid w:val="0B716806"/>
    <w:rsid w:val="105770B3"/>
    <w:rsid w:val="12E0614D"/>
    <w:rsid w:val="14398ABE"/>
    <w:rsid w:val="1471A086"/>
    <w:rsid w:val="1AF77B68"/>
    <w:rsid w:val="215D12DE"/>
    <w:rsid w:val="23D41FF1"/>
    <w:rsid w:val="254E1EA0"/>
    <w:rsid w:val="25D69820"/>
    <w:rsid w:val="26AEB1A0"/>
    <w:rsid w:val="29963346"/>
    <w:rsid w:val="2BC2A733"/>
    <w:rsid w:val="2C35F29D"/>
    <w:rsid w:val="341966FD"/>
    <w:rsid w:val="3DD154B8"/>
    <w:rsid w:val="3DDA72FC"/>
    <w:rsid w:val="42318DBD"/>
    <w:rsid w:val="43A102D2"/>
    <w:rsid w:val="44578191"/>
    <w:rsid w:val="48CD6DE8"/>
    <w:rsid w:val="493E1316"/>
    <w:rsid w:val="4E0E4E50"/>
    <w:rsid w:val="54BD38EA"/>
    <w:rsid w:val="63C39240"/>
    <w:rsid w:val="66C3CAF9"/>
    <w:rsid w:val="6FF69EF5"/>
    <w:rsid w:val="733F9BA3"/>
    <w:rsid w:val="75A94B94"/>
    <w:rsid w:val="775499CD"/>
    <w:rsid w:val="7AA24F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5CFA952"/>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styleId="Hyperlink">
    <w:name w:val="Hyperlink"/>
    <w:basedOn w:val="DefaultParagraphFont"/>
    <w:uiPriority w:val="99"/>
    <w:unhideWhenUsed/>
    <w:rsid w:val="00AF2031"/>
    <w:rPr>
      <w:color w:val="0563C1" w:themeColor="hyperlink"/>
      <w:u w:val="single"/>
    </w:rPr>
  </w:style>
  <w:style w:type="character" w:styleId="UnresolvedMention">
    <w:name w:val="Unresolved Mention"/>
    <w:basedOn w:val="DefaultParagraphFont"/>
    <w:uiPriority w:val="99"/>
    <w:semiHidden/>
    <w:unhideWhenUsed/>
    <w:rsid w:val="00AF2031"/>
    <w:rPr>
      <w:color w:val="605E5C"/>
      <w:shd w:val="clear" w:color="auto" w:fill="E1DFDD"/>
    </w:rPr>
  </w:style>
  <w:style w:type="character" w:customStyle="1" w:styleId="normaltextrun">
    <w:name w:val="normaltextrun"/>
    <w:basedOn w:val="DefaultParagraphFont"/>
    <w:rsid w:val="00650BAC"/>
  </w:style>
  <w:style w:type="character" w:customStyle="1" w:styleId="eop">
    <w:name w:val="eop"/>
    <w:basedOn w:val="DefaultParagraphFont"/>
    <w:rsid w:val="00650BAC"/>
  </w:style>
  <w:style w:type="table" w:styleId="TableGrid">
    <w:name w:val="Table Grid"/>
    <w:basedOn w:val="TableNormal"/>
    <w:uiPriority w:val="39"/>
    <w:rsid w:val="00650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3B7A"/>
    <w:rPr>
      <w:sz w:val="16"/>
      <w:szCs w:val="16"/>
    </w:rPr>
  </w:style>
  <w:style w:type="paragraph" w:styleId="CommentText">
    <w:name w:val="annotation text"/>
    <w:basedOn w:val="Normal"/>
    <w:link w:val="CommentTextChar"/>
    <w:uiPriority w:val="99"/>
    <w:unhideWhenUsed/>
    <w:rsid w:val="00F73B7A"/>
    <w:rPr>
      <w:sz w:val="20"/>
      <w:szCs w:val="20"/>
    </w:rPr>
  </w:style>
  <w:style w:type="character" w:customStyle="1" w:styleId="CommentTextChar">
    <w:name w:val="Comment Text Char"/>
    <w:basedOn w:val="DefaultParagraphFont"/>
    <w:link w:val="CommentText"/>
    <w:uiPriority w:val="99"/>
    <w:rsid w:val="00F73B7A"/>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73B7A"/>
    <w:rPr>
      <w:b/>
      <w:bCs/>
    </w:rPr>
  </w:style>
  <w:style w:type="character" w:customStyle="1" w:styleId="CommentSubjectChar">
    <w:name w:val="Comment Subject Char"/>
    <w:basedOn w:val="CommentTextChar"/>
    <w:link w:val="CommentSubject"/>
    <w:uiPriority w:val="99"/>
    <w:semiHidden/>
    <w:rsid w:val="00F73B7A"/>
    <w:rPr>
      <w:rFonts w:ascii="Arial" w:eastAsia="Arial" w:hAnsi="Arial" w:cs="Arial"/>
      <w:b/>
      <w:bCs/>
      <w:sz w:val="20"/>
      <w:szCs w:val="20"/>
      <w:lang w:bidi="en-US"/>
    </w:rPr>
  </w:style>
  <w:style w:type="paragraph" w:styleId="Revision">
    <w:name w:val="Revision"/>
    <w:hidden/>
    <w:uiPriority w:val="99"/>
    <w:semiHidden/>
    <w:rsid w:val="007A5D28"/>
    <w:pPr>
      <w:spacing w:after="0" w:line="240" w:lineRule="auto"/>
    </w:pPr>
    <w:rPr>
      <w:rFonts w:ascii="Arial" w:eastAsia="Arial" w:hAnsi="Arial" w:cs="Arial"/>
      <w:lang w:bidi="en-US"/>
    </w:rPr>
  </w:style>
  <w:style w:type="paragraph" w:styleId="Caption">
    <w:name w:val="caption"/>
    <w:basedOn w:val="Normal"/>
    <w:next w:val="Normal"/>
    <w:uiPriority w:val="35"/>
    <w:unhideWhenUsed/>
    <w:qFormat/>
    <w:rsid w:val="00421FB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0" ma:contentTypeDescription="Create a new document." ma:contentTypeScope="" ma:versionID="c594cdb88794e56ad7fbf6474fc68dd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974043c6d116a6922fbc532f530fe6fb"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mitterName xmlns="f762c95d-3cca-4969-a35b-3d8ab5bf0d48">Julie Dixon</SubmitterName>
    <Parent_ICR xmlns="f762c95d-3cca-4969-a35b-3d8ab5bf0d48">1748</Parent_ICR>
    <ICR_ID xmlns="f762c95d-3cca-4969-a35b-3d8ab5bf0d48">1748</ICR_ID>
    <DocumentType xmlns="f762c95d-3cca-4969-a35b-3d8ab5bf0d48">Supporting Statement B</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37A5E6-84EB-4171-84AB-85C91AAFD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DCDF7C-A524-4C82-A864-B81CABA0B5DB}">
  <ds:schemaRefs>
    <ds:schemaRef ds:uri="http://schemas.microsoft.com/office/2006/metadata/properties"/>
    <ds:schemaRef ds:uri="http://schemas.microsoft.com/office/infopath/2007/PartnerControls"/>
    <ds:schemaRef ds:uri="9437ff5d-21c2-4339-9ac8-4f223b4986b5"/>
    <ds:schemaRef ds:uri="57de7b47-ddfe-4e7d-a3c4-a6c84a8b0cc4"/>
    <ds:schemaRef ds:uri="f762c95d-3cca-4969-a35b-3d8ab5bf0d48"/>
  </ds:schemaRefs>
</ds:datastoreItem>
</file>

<file path=customXml/itemProps3.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4.xml><?xml version="1.0" encoding="utf-8"?>
<ds:datastoreItem xmlns:ds="http://schemas.openxmlformats.org/officeDocument/2006/customXml" ds:itemID="{2E78FBFE-F982-42AA-AA1D-6EBBFE958F64}">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1142</Words>
  <Characters>6515</Characters>
  <Application>Microsoft Office Word</Application>
  <DocSecurity>0</DocSecurity>
  <Lines>54</Lines>
  <Paragraphs>15</Paragraphs>
  <ScaleCrop>false</ScaleCrop>
  <Company>Bureau of the Census</Company>
  <LinksUpToDate>false</LinksUpToDate>
  <CharactersWithSpaces>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BAS_SupportingStatement_Part_B_090924</dc:title>
  <dc:creator>Mary Reuling Lenaiyasa (CENSUS/PCO FED)</dc:creator>
  <cp:lastModifiedBy>Julie Raye Dixon (CENSUS/GEO FED)</cp:lastModifiedBy>
  <cp:revision>2</cp:revision>
  <dcterms:created xsi:type="dcterms:W3CDTF">2024-09-09T21:40:00Z</dcterms:created>
  <dcterms:modified xsi:type="dcterms:W3CDTF">2024-09-09T21:40:00Z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y fmtid="{D5CDD505-2E9C-101B-9397-08002B2CF9AE}" pid="4" name="_dlc_DocIdItemGuid">
    <vt:lpwstr>dd8cfec5-808f-40cf-ad2b-22713a324760</vt:lpwstr>
  </property>
</Properties>
</file>