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6DA0" w14:paraId="2D619C17" w14:textId="77777777">
      <w:pPr>
        <w:pStyle w:val="Heading1"/>
        <w:ind w:left="0"/>
        <w:jc w:val="center"/>
      </w:pPr>
      <w:r>
        <w:t>SUPPORTING STATEMENT</w:t>
      </w:r>
    </w:p>
    <w:p w:rsidR="00BD6DA0" w14:paraId="14ADDEA6" w14:textId="77777777">
      <w:pPr>
        <w:spacing w:before="22" w:line="259" w:lineRule="auto"/>
        <w:ind w:firstLine="14"/>
        <w:jc w:val="center"/>
        <w:rPr>
          <w:b/>
        </w:rPr>
      </w:pPr>
      <w:r>
        <w:rPr>
          <w:b/>
        </w:rPr>
        <w:t>U.S. Department of Commerce</w:t>
      </w:r>
    </w:p>
    <w:p w:rsidR="00BD6DA0" w14:paraId="6D4333EF" w14:textId="77777777">
      <w:pPr>
        <w:spacing w:before="22" w:line="259" w:lineRule="auto"/>
        <w:ind w:firstLine="14"/>
        <w:jc w:val="center"/>
        <w:rPr>
          <w:b/>
        </w:rPr>
      </w:pPr>
      <w:r>
        <w:rPr>
          <w:b/>
        </w:rPr>
        <w:t>National Oceanic &amp; Atmospheric Administration</w:t>
      </w:r>
    </w:p>
    <w:p w:rsidR="005449F1" w14:paraId="582B25ED" w14:textId="77777777">
      <w:pPr>
        <w:spacing w:line="259" w:lineRule="auto"/>
        <w:ind w:hanging="6"/>
        <w:jc w:val="center"/>
        <w:rPr>
          <w:b/>
        </w:rPr>
      </w:pPr>
      <w:r w:rsidRPr="005449F1">
        <w:rPr>
          <w:b/>
        </w:rPr>
        <w:t>Alaska Region Gear Identification Requirements</w:t>
      </w:r>
    </w:p>
    <w:p w:rsidR="00BD6DA0" w14:paraId="2C094F6F" w14:textId="360425CE">
      <w:pPr>
        <w:spacing w:line="259" w:lineRule="auto"/>
        <w:ind w:hanging="6"/>
        <w:jc w:val="center"/>
        <w:rPr>
          <w:b/>
        </w:rPr>
      </w:pPr>
      <w:r>
        <w:rPr>
          <w:b/>
        </w:rPr>
        <w:t>OMB Control No. 0648-</w:t>
      </w:r>
      <w:r w:rsidR="00C87043">
        <w:rPr>
          <w:b/>
        </w:rPr>
        <w:t>0</w:t>
      </w:r>
      <w:r w:rsidR="00E7254D">
        <w:rPr>
          <w:b/>
        </w:rPr>
        <w:t>353</w:t>
      </w:r>
    </w:p>
    <w:p w:rsidR="00BD6DA0" w14:paraId="7C392CB0" w14:textId="77777777">
      <w:pPr>
        <w:pBdr>
          <w:top w:val="nil"/>
          <w:left w:val="nil"/>
          <w:bottom w:val="nil"/>
          <w:right w:val="nil"/>
          <w:between w:val="nil"/>
        </w:pBdr>
        <w:spacing w:before="1"/>
        <w:jc w:val="center"/>
        <w:rPr>
          <w:b/>
          <w:color w:val="000000"/>
        </w:rPr>
      </w:pPr>
    </w:p>
    <w:p w:rsidR="00BD6DA0" w14:paraId="38745433" w14:textId="77777777">
      <w:pPr>
        <w:spacing w:before="1" w:line="398" w:lineRule="auto"/>
        <w:rPr>
          <w:b/>
        </w:rPr>
      </w:pPr>
      <w:r>
        <w:rPr>
          <w:b/>
          <w:color w:val="000000"/>
        </w:rPr>
        <w:t>SUPPORTING STATEMENT PART A</w:t>
      </w:r>
      <w:r>
        <w:rPr>
          <w:b/>
          <w:color w:val="1F497D"/>
        </w:rPr>
        <w:t xml:space="preserve"> </w:t>
      </w:r>
    </w:p>
    <w:p w:rsidR="00BD6DA0" w14:paraId="61CEF088" w14:textId="77777777">
      <w:pPr>
        <w:pStyle w:val="Heading1"/>
        <w:spacing w:before="199"/>
        <w:ind w:left="0"/>
      </w:pPr>
      <w:r>
        <w:t>Abstract</w:t>
      </w:r>
    </w:p>
    <w:p w:rsidR="009A55D0" w:rsidP="00FD3955" w14:paraId="776BE614" w14:textId="77777777">
      <w:pPr>
        <w:widowControl/>
        <w:rPr>
          <w:rFonts w:eastAsia="SimSun"/>
        </w:rPr>
      </w:pPr>
    </w:p>
    <w:p w:rsidR="009A55D0" w:rsidP="00FD3955" w14:paraId="01F9C9CD" w14:textId="26B5D48C">
      <w:pPr>
        <w:widowControl/>
        <w:rPr>
          <w:rFonts w:eastAsia="SimSun"/>
        </w:rPr>
      </w:pPr>
      <w:r w:rsidRPr="002F17D3">
        <w:rPr>
          <w:rFonts w:eastAsia="SimSun"/>
        </w:rPr>
        <w:t xml:space="preserve">The National Marine Fisheries Service (NMFS), Alaska Regional Office, requests revision </w:t>
      </w:r>
      <w:r w:rsidR="00E070D8">
        <w:rPr>
          <w:rFonts w:eastAsia="SimSun"/>
        </w:rPr>
        <w:t xml:space="preserve">and extension </w:t>
      </w:r>
      <w:r w:rsidRPr="00EF6FB9">
        <w:rPr>
          <w:rFonts w:eastAsia="SimSun"/>
        </w:rPr>
        <w:t xml:space="preserve">of </w:t>
      </w:r>
      <w:r>
        <w:rPr>
          <w:rFonts w:eastAsia="SimSun"/>
        </w:rPr>
        <w:t>this</w:t>
      </w:r>
      <w:r w:rsidRPr="00EF6FB9">
        <w:rPr>
          <w:rFonts w:eastAsia="SimSun"/>
        </w:rPr>
        <w:t xml:space="preserve"> currently approved information collection</w:t>
      </w:r>
      <w:r>
        <w:rPr>
          <w:rFonts w:eastAsia="SimSun"/>
        </w:rPr>
        <w:t xml:space="preserve">, which </w:t>
      </w:r>
      <w:r w:rsidRPr="005A1A17">
        <w:rPr>
          <w:rFonts w:eastAsia="SimSun"/>
        </w:rPr>
        <w:t xml:space="preserve">contains the gear identification requirements for the groundfish fisheries in the Exclusive Economic Zone off Alaska. </w:t>
      </w:r>
      <w:r>
        <w:rPr>
          <w:rFonts w:eastAsia="SimSun"/>
        </w:rPr>
        <w:t xml:space="preserve">This information collection </w:t>
      </w:r>
      <w:r w:rsidRPr="005345B9">
        <w:rPr>
          <w:rFonts w:eastAsia="SimSun"/>
        </w:rPr>
        <w:t xml:space="preserve">is necessary </w:t>
      </w:r>
      <w:r>
        <w:rPr>
          <w:rFonts w:eastAsia="SimSun"/>
        </w:rPr>
        <w:t>to facilitate</w:t>
      </w:r>
      <w:r w:rsidRPr="005345B9">
        <w:rPr>
          <w:rFonts w:eastAsia="SimSun"/>
        </w:rPr>
        <w:t xml:space="preserve"> enforcement of fishery regulations. </w:t>
      </w:r>
    </w:p>
    <w:p w:rsidR="009A55D0" w:rsidRPr="009A55D0" w:rsidP="00FD3955" w14:paraId="66BF6B7A" w14:textId="77777777">
      <w:pPr>
        <w:widowControl/>
        <w:rPr>
          <w:rFonts w:eastAsia="SimSun"/>
        </w:rPr>
      </w:pPr>
    </w:p>
    <w:p w:rsidR="00A15C15" w:rsidRPr="007B5CD3" w:rsidP="00FD3955" w14:paraId="05E07271" w14:textId="1231A546">
      <w:pPr>
        <w:pStyle w:val="Heading1"/>
        <w:spacing w:before="0"/>
        <w:ind w:left="0"/>
        <w:rPr>
          <w:rFonts w:eastAsia="SimSun"/>
          <w:b w:val="0"/>
        </w:rPr>
      </w:pPr>
      <w:r w:rsidRPr="009A55D0">
        <w:rPr>
          <w:rFonts w:eastAsia="SimSun"/>
          <w:b w:val="0"/>
        </w:rPr>
        <w:t>This information collection is revised due to</w:t>
      </w:r>
      <w:r w:rsidR="00D437C0">
        <w:rPr>
          <w:rFonts w:eastAsia="SimSun"/>
          <w:b w:val="0"/>
        </w:rPr>
        <w:t xml:space="preserve"> </w:t>
      </w:r>
      <w:r w:rsidR="00B072EC">
        <w:rPr>
          <w:rFonts w:eastAsia="SimSun"/>
          <w:b w:val="0"/>
        </w:rPr>
        <w:t>the</w:t>
      </w:r>
      <w:r w:rsidR="00D437C0">
        <w:rPr>
          <w:rFonts w:eastAsia="SimSun"/>
          <w:b w:val="0"/>
        </w:rPr>
        <w:t xml:space="preserve"> proposed rule </w:t>
      </w:r>
      <w:r w:rsidR="00793931">
        <w:rPr>
          <w:rFonts w:eastAsia="SimSun"/>
          <w:b w:val="0"/>
        </w:rPr>
        <w:t>to</w:t>
      </w:r>
      <w:r w:rsidRPr="00793931" w:rsidR="00793931">
        <w:rPr>
          <w:rFonts w:eastAsia="SimSun"/>
          <w:b w:val="0"/>
        </w:rPr>
        <w:t xml:space="preserve"> </w:t>
      </w:r>
      <w:r w:rsidRPr="007B5CD3" w:rsidR="007B5CD3">
        <w:rPr>
          <w:rFonts w:eastAsia="SimSun"/>
          <w:b w:val="0"/>
        </w:rPr>
        <w:t xml:space="preserve">allow </w:t>
      </w:r>
      <w:r w:rsidRPr="00252407" w:rsidR="00252407">
        <w:rPr>
          <w:rFonts w:eastAsia="SimSun"/>
          <w:b w:val="0"/>
        </w:rPr>
        <w:t xml:space="preserve">the use of longline pot gear and add an exception to the 9-inch tunnel opening requirement for pot gear when </w:t>
      </w:r>
      <w:r w:rsidRPr="00A7475A" w:rsidR="00252407">
        <w:rPr>
          <w:rFonts w:eastAsia="SimSun"/>
          <w:b w:val="0"/>
        </w:rPr>
        <w:t>directed fishing for Greenland turbot in the Bering Sea subarea</w:t>
      </w:r>
      <w:r w:rsidRPr="00252407" w:rsidR="00252407">
        <w:rPr>
          <w:rFonts w:eastAsia="SimSun"/>
          <w:b w:val="0"/>
        </w:rPr>
        <w:t xml:space="preserve"> for holders of </w:t>
      </w:r>
      <w:r w:rsidR="00252407">
        <w:rPr>
          <w:rFonts w:eastAsia="SimSun"/>
          <w:b w:val="0"/>
        </w:rPr>
        <w:t>License Limitation Program</w:t>
      </w:r>
      <w:r w:rsidRPr="00252407" w:rsidR="00252407">
        <w:rPr>
          <w:rFonts w:eastAsia="SimSun"/>
          <w:b w:val="0"/>
        </w:rPr>
        <w:t xml:space="preserve"> groundfish licenses that are endorsed for non-trawl gear </w:t>
      </w:r>
      <w:r w:rsidR="00793931">
        <w:rPr>
          <w:rFonts w:eastAsia="SimSun"/>
          <w:b w:val="0"/>
        </w:rPr>
        <w:t>(RIN 0648-BM77).</w:t>
      </w:r>
      <w:r w:rsidRPr="00793931" w:rsidR="00793931">
        <w:t xml:space="preserve"> </w:t>
      </w:r>
      <w:r w:rsidRPr="00252407" w:rsidR="00252407">
        <w:rPr>
          <w:rFonts w:eastAsia="SimSun"/>
          <w:b w:val="0"/>
        </w:rPr>
        <w:t>This proposed rule is necessary to improve efficiency, provide economic bene</w:t>
      </w:r>
      <w:r w:rsidR="00252407">
        <w:rPr>
          <w:rFonts w:eastAsia="SimSun"/>
          <w:b w:val="0"/>
        </w:rPr>
        <w:t>fits for the hook-and-line catcher/processer</w:t>
      </w:r>
      <w:r w:rsidRPr="00252407" w:rsidR="00252407">
        <w:rPr>
          <w:rFonts w:eastAsia="SimSun"/>
          <w:b w:val="0"/>
        </w:rPr>
        <w:t xml:space="preserve"> subsector, and minimize potential fishery interactions with killer whales.</w:t>
      </w:r>
    </w:p>
    <w:p w:rsidR="00A15C15" w:rsidRPr="009A55D0" w:rsidP="00FD3955" w14:paraId="3EE5D567" w14:textId="1238ACF5">
      <w:pPr>
        <w:pStyle w:val="Heading1"/>
        <w:spacing w:before="0"/>
        <w:ind w:left="0"/>
        <w:rPr>
          <w:b w:val="0"/>
          <w:bCs w:val="0"/>
        </w:rPr>
      </w:pPr>
    </w:p>
    <w:p w:rsidR="00A15C15" w:rsidP="00FD3955" w14:paraId="234FF2FF" w14:textId="2F4C3983">
      <w:pPr>
        <w:pStyle w:val="Heading1"/>
        <w:spacing w:before="0"/>
        <w:ind w:left="0"/>
        <w:rPr>
          <w:b w:val="0"/>
          <w:bCs w:val="0"/>
        </w:rPr>
      </w:pPr>
      <w:r>
        <w:rPr>
          <w:b w:val="0"/>
          <w:bCs w:val="0"/>
        </w:rPr>
        <w:t xml:space="preserve">This collection is revised because the rule would amend the requirement for vessels marking longline pot gear. This revision increases the number of respondents </w:t>
      </w:r>
      <w:r w:rsidR="00E8579F">
        <w:rPr>
          <w:b w:val="0"/>
          <w:bCs w:val="0"/>
        </w:rPr>
        <w:t xml:space="preserve">for </w:t>
      </w:r>
      <w:r w:rsidRPr="0028065F">
        <w:rPr>
          <w:b w:val="0"/>
          <w:bCs w:val="0"/>
        </w:rPr>
        <w:t>Longline Pot Gear Marker Buoys</w:t>
      </w:r>
      <w:r>
        <w:rPr>
          <w:b w:val="0"/>
          <w:bCs w:val="0"/>
        </w:rPr>
        <w:t>, which increases the total annual responses, burden hours, and costs for this information collection.</w:t>
      </w:r>
    </w:p>
    <w:p w:rsidR="002F17D3" w:rsidP="00793931" w14:paraId="70D0D9D2" w14:textId="77777777">
      <w:pPr>
        <w:widowControl/>
      </w:pPr>
    </w:p>
    <w:p w:rsidR="00A15C15" w:rsidP="002F17D3" w14:paraId="280A26B4" w14:textId="3B346727">
      <w:pPr>
        <w:widowControl/>
        <w:spacing w:after="160"/>
        <w:rPr>
          <w:b/>
          <w:bCs/>
        </w:rPr>
      </w:pPr>
      <w:r w:rsidRPr="00793931">
        <w:t>This proposed rule would also affect information collection requirements ap</w:t>
      </w:r>
      <w:r w:rsidR="00F81F0C">
        <w:t>proved under OMB Control Number</w:t>
      </w:r>
      <w:r w:rsidRPr="00793931">
        <w:t xml:space="preserve"> </w:t>
      </w:r>
      <w:r w:rsidRPr="00793931" w:rsidR="00793931">
        <w:t>0648-0515</w:t>
      </w:r>
      <w:r w:rsidRPr="00793931">
        <w:t xml:space="preserve">. NMFS is submitting </w:t>
      </w:r>
      <w:r w:rsidRPr="00793931" w:rsidR="00793931">
        <w:t xml:space="preserve">a </w:t>
      </w:r>
      <w:r w:rsidRPr="00793931">
        <w:t xml:space="preserve">separate request to revise </w:t>
      </w:r>
      <w:r w:rsidRPr="00793931" w:rsidR="00793931">
        <w:t>this collection</w:t>
      </w:r>
      <w:r w:rsidRPr="00793931">
        <w:t>.</w:t>
      </w:r>
      <w:r w:rsidRPr="007A6225">
        <w:t xml:space="preserve">  </w:t>
      </w:r>
    </w:p>
    <w:p w:rsidR="00A15C15" w:rsidP="00FD3955" w14:paraId="5020C4E6" w14:textId="77777777">
      <w:pPr>
        <w:pStyle w:val="Heading1"/>
        <w:spacing w:before="0"/>
        <w:ind w:left="0"/>
        <w:rPr>
          <w:b w:val="0"/>
          <w:bCs w:val="0"/>
        </w:rPr>
      </w:pPr>
    </w:p>
    <w:p w:rsidR="00BD6DA0" w:rsidP="00FD3955" w14:paraId="0AC85CB4" w14:textId="58261A2A">
      <w:pPr>
        <w:pStyle w:val="Heading1"/>
        <w:spacing w:before="0"/>
        <w:ind w:left="0"/>
      </w:pPr>
      <w:r w:rsidRPr="00A15C15">
        <w:t>Justification</w:t>
      </w:r>
    </w:p>
    <w:p w:rsidR="002F17D3" w:rsidRPr="00A15C15" w:rsidP="00FD3955" w14:paraId="48C69380" w14:textId="77777777">
      <w:pPr>
        <w:pStyle w:val="Heading1"/>
        <w:spacing w:before="0"/>
        <w:ind w:left="0"/>
      </w:pPr>
    </w:p>
    <w:p w:rsidR="00BD6DA0" w:rsidP="00FD3955" w14:paraId="4399272E" w14:textId="77777777">
      <w:pPr>
        <w:numPr>
          <w:ilvl w:val="0"/>
          <w:numId w:val="3"/>
        </w:numPr>
        <w:pBdr>
          <w:top w:val="nil"/>
          <w:left w:val="nil"/>
          <w:bottom w:val="nil"/>
          <w:right w:val="nil"/>
          <w:between w:val="nil"/>
        </w:pBdr>
        <w:tabs>
          <w:tab w:val="left" w:pos="360"/>
        </w:tabs>
        <w:spacing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3E3F" w:rsidRPr="00CC3E3F" w:rsidP="00FD3955" w14:paraId="1A8FFA4C" w14:textId="77777777">
      <w:pPr>
        <w:pBdr>
          <w:top w:val="nil"/>
          <w:left w:val="nil"/>
          <w:bottom w:val="nil"/>
          <w:right w:val="nil"/>
          <w:between w:val="nil"/>
        </w:pBdr>
      </w:pPr>
    </w:p>
    <w:p w:rsidR="009A55D0" w:rsidRPr="0011051A" w:rsidP="00FD3955" w14:paraId="1F392314" w14:textId="77777777">
      <w:pPr>
        <w:widowControl/>
        <w:pBdr>
          <w:top w:val="nil"/>
          <w:left w:val="nil"/>
          <w:bottom w:val="nil"/>
          <w:right w:val="nil"/>
          <w:between w:val="nil"/>
        </w:pBdr>
      </w:pPr>
      <w:r w:rsidRPr="0011051A">
        <w:t>This information collection contains the gear identification requirements for participants in the groundfish fisheries in the Exclusive Economic Zone (EEZ) off Alaska.</w:t>
      </w:r>
    </w:p>
    <w:p w:rsidR="009A55D0" w:rsidRPr="0011051A" w:rsidP="00FD3955" w14:paraId="6E037FC5" w14:textId="77777777">
      <w:pPr>
        <w:widowControl/>
        <w:pBdr>
          <w:top w:val="nil"/>
          <w:left w:val="nil"/>
          <w:bottom w:val="nil"/>
          <w:right w:val="nil"/>
          <w:between w:val="nil"/>
        </w:pBdr>
      </w:pPr>
    </w:p>
    <w:p w:rsidR="009A55D0" w:rsidRPr="000B1950" w:rsidP="00FD3955" w14:paraId="174989AD" w14:textId="77777777">
      <w:pPr>
        <w:widowControl/>
        <w:rPr>
          <w:rFonts w:eastAsia="Calibri"/>
        </w:rPr>
      </w:pPr>
      <w:r w:rsidRPr="000B1950">
        <w:rPr>
          <w:rFonts w:eastAsia="Calibri"/>
        </w:rPr>
        <w:t xml:space="preserve">Under the </w:t>
      </w:r>
      <w:hyperlink r:id="rId6" w:history="1">
        <w:r w:rsidRPr="000B1950">
          <w:rPr>
            <w:rFonts w:eastAsia="Calibri"/>
            <w:color w:val="0000FF" w:themeColor="hyperlink"/>
            <w:u w:val="single"/>
          </w:rPr>
          <w:t>Magnuson-Stevens Fishery Conservation and Management Act</w:t>
        </w:r>
      </w:hyperlink>
      <w:r w:rsidRPr="000B1950">
        <w:rPr>
          <w:rFonts w:eastAsia="Calibri"/>
        </w:rPr>
        <w:t xml:space="preserve"> 16 U.S.C. 1801 </w:t>
      </w:r>
      <w:r w:rsidRPr="000B1950">
        <w:rPr>
          <w:rFonts w:eastAsia="Calibri"/>
          <w:i/>
        </w:rPr>
        <w:t>et seq</w:t>
      </w:r>
      <w:r w:rsidRPr="000B1950">
        <w:rPr>
          <w:rFonts w:eastAsia="Calibri"/>
        </w:rPr>
        <w:t xml:space="preserve">. (Magnuson-Stevens Act), the Secretary of Commerce is responsible for the conservation and management of marine fishery resources within the Exclusive Economic Zone (EEZ) of the United States through the National Oceanic and Atmospheric Administration/NMFS. NMFS Alaska Region manages the groundfish fisheries in the EEZ of the Bering Sea and Aleutian Islands Management Area and Gulf of Alaska (GOA) under fishery management plans (FMPs) developed by the North Pacific Fishery Management Council (Council) for groundfish in the respective areas. Regulations governing U.S. fisheries and implementing the groundfish FMPs are at 50 CFR </w:t>
      </w:r>
      <w:hyperlink r:id="rId7" w:history="1">
        <w:r w:rsidRPr="003749B0">
          <w:rPr>
            <w:rStyle w:val="Hyperlink"/>
            <w:rFonts w:eastAsia="Calibri"/>
          </w:rPr>
          <w:t>parts 600</w:t>
        </w:r>
      </w:hyperlink>
      <w:r w:rsidRPr="000B1950">
        <w:rPr>
          <w:rFonts w:eastAsia="Calibri"/>
        </w:rPr>
        <w:t xml:space="preserve"> and </w:t>
      </w:r>
      <w:hyperlink r:id="rId8" w:history="1">
        <w:r w:rsidRPr="003749B0">
          <w:rPr>
            <w:rStyle w:val="Hyperlink"/>
            <w:rFonts w:eastAsia="Calibri"/>
          </w:rPr>
          <w:t>679</w:t>
        </w:r>
      </w:hyperlink>
      <w:r w:rsidRPr="000B1950">
        <w:rPr>
          <w:rFonts w:eastAsia="Calibri"/>
        </w:rPr>
        <w:t>.</w:t>
      </w:r>
    </w:p>
    <w:p w:rsidR="009A55D0" w:rsidRPr="0011051A" w:rsidP="00FD3955" w14:paraId="7B3374E8" w14:textId="77777777">
      <w:pPr>
        <w:widowControl/>
        <w:pBdr>
          <w:top w:val="nil"/>
          <w:left w:val="nil"/>
          <w:bottom w:val="nil"/>
          <w:right w:val="nil"/>
          <w:between w:val="nil"/>
        </w:pBdr>
        <w:spacing w:line="259" w:lineRule="auto"/>
      </w:pPr>
    </w:p>
    <w:p w:rsidR="009A55D0" w:rsidRPr="007718C0" w:rsidP="00FD3955" w14:paraId="0018D7EE" w14:textId="77777777">
      <w:pPr>
        <w:widowControl/>
        <w:autoSpaceDE w:val="0"/>
        <w:autoSpaceDN w:val="0"/>
        <w:adjustRightInd w:val="0"/>
        <w:rPr>
          <w:rFonts w:eastAsia="SimSun"/>
        </w:rPr>
      </w:pPr>
      <w:r w:rsidRPr="007718C0">
        <w:rPr>
          <w:rFonts w:eastAsia="SimSun"/>
        </w:rPr>
        <w:t>The International Pacific Halibut Commission (IPHC) and NMFS Alaska Region manage fishing for Pacific halibut (</w:t>
      </w:r>
      <w:r w:rsidRPr="007718C0">
        <w:rPr>
          <w:rFonts w:eastAsia="SimSun"/>
          <w:i/>
        </w:rPr>
        <w:t>Hippoglossus stenolepis</w:t>
      </w:r>
      <w:r w:rsidRPr="007718C0">
        <w:rPr>
          <w:rFonts w:eastAsia="SimSun"/>
        </w:rPr>
        <w:t xml:space="preserve">) through regulations established under the authority of the </w:t>
      </w:r>
      <w:hyperlink r:id="rId9" w:history="1">
        <w:r w:rsidRPr="007718C0">
          <w:rPr>
            <w:rFonts w:eastAsia="Calibri"/>
            <w:color w:val="0000FF"/>
            <w:u w:val="single"/>
          </w:rPr>
          <w:t>Northern Pacific Halibut Act of 1982, 16 U.S.C. 773c</w:t>
        </w:r>
      </w:hyperlink>
      <w:r w:rsidRPr="007718C0">
        <w:rPr>
          <w:rFonts w:eastAsia="SimSun"/>
        </w:rPr>
        <w:t xml:space="preserve"> (Halibut Act). The IPHC promulgates regulations governing the halibut fishery under the </w:t>
      </w:r>
      <w:hyperlink r:id="rId10" w:history="1">
        <w:r w:rsidRPr="007718C0">
          <w:rPr>
            <w:rFonts w:eastAsia="Calibri"/>
            <w:color w:val="0000FF"/>
            <w:u w:val="single"/>
          </w:rPr>
          <w:t>Convention between the United States and Canada for the Preservation of the Halibut Fishery of the Northern Pacific Ocean and Bering Sea</w:t>
        </w:r>
      </w:hyperlink>
      <w:r w:rsidRPr="007718C0">
        <w:rPr>
          <w:rFonts w:eastAsia="Calibri"/>
        </w:rPr>
        <w:t xml:space="preserve"> </w:t>
      </w:r>
      <w:r w:rsidRPr="007718C0">
        <w:rPr>
          <w:rFonts w:eastAsia="SimSun"/>
        </w:rPr>
        <w:t xml:space="preserve">(Convention). Regulations pursuant to the Convention are set forth at </w:t>
      </w:r>
      <w:hyperlink r:id="rId11">
        <w:hyperlink r:id="rId12" w:history="1">
          <w:r w:rsidRPr="007718C0">
            <w:rPr>
              <w:rFonts w:eastAsia="Calibri"/>
              <w:color w:val="0000FF"/>
              <w:u w:val="single"/>
            </w:rPr>
            <w:t>50 CFR 300 subpart E</w:t>
          </w:r>
        </w:hyperlink>
        <w:r w:rsidRPr="007718C0">
          <w:rPr>
            <w:rFonts w:eastAsia="SimSun"/>
          </w:rPr>
          <w:t>.</w:t>
        </w:r>
      </w:hyperlink>
    </w:p>
    <w:p w:rsidR="009A55D0" w:rsidRPr="0011051A" w:rsidP="00FD3955" w14:paraId="54206B73" w14:textId="77777777">
      <w:pPr>
        <w:widowControl/>
        <w:pBdr>
          <w:top w:val="nil"/>
          <w:left w:val="nil"/>
          <w:bottom w:val="nil"/>
          <w:right w:val="nil"/>
          <w:between w:val="nil"/>
        </w:pBdr>
        <w:spacing w:line="259" w:lineRule="auto"/>
      </w:pPr>
    </w:p>
    <w:p w:rsidR="009A55D0" w:rsidRPr="0011051A" w:rsidP="00FD3955" w14:paraId="7AC6F823" w14:textId="77777777">
      <w:pPr>
        <w:widowControl/>
        <w:pBdr>
          <w:top w:val="nil"/>
          <w:left w:val="nil"/>
          <w:bottom w:val="nil"/>
          <w:right w:val="nil"/>
          <w:between w:val="nil"/>
        </w:pBdr>
        <w:spacing w:line="259" w:lineRule="auto"/>
      </w:pPr>
      <w:r w:rsidRPr="0011051A">
        <w:t xml:space="preserve">The Council, under the authority of the Halibut Act (with respect to Pacific halibut) and the </w:t>
      </w:r>
      <w:r w:rsidRPr="002449AB">
        <w:t>Magnuson-Stevens Act</w:t>
      </w:r>
      <w:r w:rsidRPr="0011051A">
        <w:t xml:space="preserve"> (with respect to sablefish), manages the fixed-gear Pacific </w:t>
      </w:r>
      <w:r>
        <w:t>H</w:t>
      </w:r>
      <w:r w:rsidRPr="0011051A">
        <w:t xml:space="preserve">alibut and </w:t>
      </w:r>
      <w:r>
        <w:t>S</w:t>
      </w:r>
      <w:r w:rsidRPr="0011051A">
        <w:t>ablefish Individual Fishing Quota Program (IFQ Program) and provides a limited access system for Pacific halibut in Convention waters in and off Alaska and sablefish (</w:t>
      </w:r>
      <w:r w:rsidRPr="0011051A">
        <w:rPr>
          <w:i/>
        </w:rPr>
        <w:t>Anoplopoma</w:t>
      </w:r>
      <w:r w:rsidRPr="0011051A">
        <w:rPr>
          <w:i/>
        </w:rPr>
        <w:t xml:space="preserve"> fimbria</w:t>
      </w:r>
      <w:r w:rsidRPr="0011051A">
        <w:t xml:space="preserve">) in waters of the EEZ off Alaska. Regulations implementing the IFQ Program are set forth at 50 CFR part 679. Sablefish is managed as a groundfish species under the FMPs, as well as under the IFQ Program. Pacific halibut is not an FMP species.  </w:t>
      </w:r>
    </w:p>
    <w:p w:rsidR="009A55D0" w:rsidRPr="0011051A" w:rsidP="00FD3955" w14:paraId="3E2A4AA1" w14:textId="77777777">
      <w:pPr>
        <w:widowControl/>
        <w:pBdr>
          <w:top w:val="nil"/>
          <w:left w:val="nil"/>
          <w:bottom w:val="nil"/>
          <w:right w:val="nil"/>
          <w:between w:val="nil"/>
        </w:pBdr>
        <w:spacing w:line="259" w:lineRule="auto"/>
      </w:pPr>
    </w:p>
    <w:p w:rsidR="009A55D0" w:rsidRPr="0011051A" w:rsidP="00FD3955" w14:paraId="777DDC53" w14:textId="77777777">
      <w:pPr>
        <w:widowControl/>
        <w:autoSpaceDE w:val="0"/>
        <w:autoSpaceDN w:val="0"/>
        <w:adjustRightInd w:val="0"/>
      </w:pPr>
      <w:r w:rsidRPr="0011051A">
        <w:t xml:space="preserve">Regulations pertaining to vessel gear markings are set forth at 50 CFR part 679 and in the annual management measures published in the </w:t>
      </w:r>
      <w:r w:rsidRPr="0011051A">
        <w:rPr>
          <w:i/>
        </w:rPr>
        <w:t>Federal Register</w:t>
      </w:r>
      <w:r>
        <w:t xml:space="preserve"> pursuant to</w:t>
      </w:r>
      <w:hyperlink r:id="rId13" w:history="1">
        <w:r w:rsidRPr="00CF5D1A">
          <w:rPr>
            <w:color w:val="336699"/>
          </w:rPr>
          <w:t xml:space="preserve"> </w:t>
        </w:r>
        <w:r w:rsidRPr="00835870">
          <w:rPr>
            <w:color w:val="0000FF"/>
            <w:u w:val="single"/>
          </w:rPr>
          <w:t>50 CFR 300.62</w:t>
        </w:r>
      </w:hyperlink>
      <w:r w:rsidRPr="0011051A">
        <w:t xml:space="preserve">. </w:t>
      </w:r>
      <w:r>
        <w:t>Regulations at</w:t>
      </w:r>
      <w:r w:rsidRPr="0011051A">
        <w:t xml:space="preserve"> </w:t>
      </w:r>
      <w:hyperlink r:id="rId14" w:anchor="p-679.24(a)" w:history="1">
        <w:r>
          <w:rPr>
            <w:rStyle w:val="Hyperlink"/>
          </w:rPr>
          <w:t>50 CFR 679.24(a)</w:t>
        </w:r>
      </w:hyperlink>
      <w:r>
        <w:t xml:space="preserve"> provide</w:t>
      </w:r>
      <w:r w:rsidRPr="0011051A">
        <w:t xml:space="preserve"> the identification information requirements for marker buoys carried on board or used by any vessel subject to 50 CFR part 679 that is using hook-and-line, longline pot, or pot-and-line gear.  </w:t>
      </w:r>
    </w:p>
    <w:p w:rsidR="009A55D0" w:rsidRPr="0011051A" w:rsidP="00FD3955" w14:paraId="327A5430" w14:textId="77777777">
      <w:pPr>
        <w:widowControl/>
        <w:autoSpaceDE w:val="0"/>
        <w:autoSpaceDN w:val="0"/>
        <w:adjustRightInd w:val="0"/>
      </w:pPr>
    </w:p>
    <w:p w:rsidR="009A55D0" w:rsidRPr="0011051A" w:rsidP="00FD3955" w14:paraId="19FC8EFB" w14:textId="49F07EAE">
      <w:pPr>
        <w:widowControl/>
        <w:autoSpaceDE w:val="0"/>
        <w:autoSpaceDN w:val="0"/>
        <w:adjustRightInd w:val="0"/>
      </w:pPr>
      <w:r w:rsidRPr="0011051A">
        <w:t>In addition to Federal gear-marking requirements, Alaska Department of Fish &amp; Game (ADF&amp;G) regulations (5 AAC 28.050) require fishermen to mark crab and groundfish pots with the ADF&amp;G vessel registration number of the vessel operating the gear. Since many fishermen participate in State groundfish and crab fisheries, they already are complying with this requirement.</w:t>
      </w:r>
    </w:p>
    <w:p w:rsidR="009A55D0" w:rsidRPr="0011051A" w:rsidP="00FD3955" w14:paraId="0905E8FC" w14:textId="77777777">
      <w:pPr>
        <w:widowControl/>
        <w:autoSpaceDE w:val="0"/>
        <w:autoSpaceDN w:val="0"/>
        <w:adjustRightInd w:val="0"/>
      </w:pPr>
    </w:p>
    <w:p w:rsidR="009A55D0" w:rsidRPr="0011051A" w:rsidP="00FD3955" w14:paraId="42C7CF0F" w14:textId="77777777">
      <w:pPr>
        <w:widowControl/>
        <w:autoSpaceDE w:val="0"/>
        <w:autoSpaceDN w:val="0"/>
        <w:adjustRightInd w:val="0"/>
      </w:pPr>
      <w:r w:rsidRPr="0011051A">
        <w:t xml:space="preserve">Regulations that fishing gear be marked with identification information are essential to facilitate fisheries enforcement and actions concerning damage, loss, and civil proceedings. The ability to link fishing gear to the vessel owner or operator is crucial to enforcement of regulations. Buoy marking reduces the costs to NMFS Office for Law Enforcement (NMFS OLE) and the United States Coast Guard (USCG) for enforcement efforts and allows for more effective enforcement of fishing gear regulations. </w:t>
      </w:r>
    </w:p>
    <w:p w:rsidR="009A55D0" w:rsidRPr="0011051A" w:rsidP="00FD3955" w14:paraId="065F3F2E" w14:textId="77777777">
      <w:pPr>
        <w:widowControl/>
        <w:autoSpaceDE w:val="0"/>
        <w:autoSpaceDN w:val="0"/>
        <w:adjustRightInd w:val="0"/>
      </w:pPr>
    </w:p>
    <w:p w:rsidR="009A55D0" w:rsidP="00FD3955" w14:paraId="0F077B31" w14:textId="6F312212">
      <w:pPr>
        <w:widowControl/>
        <w:autoSpaceDE w:val="0"/>
        <w:autoSpaceDN w:val="0"/>
        <w:adjustRightInd w:val="0"/>
      </w:pPr>
      <w:r w:rsidRPr="0011051A">
        <w:t xml:space="preserve">Fishermen marking their gear correctly ultimately benefit as unauthorized and illegal fishing is deterred and more burdensome regulations are avoided. </w:t>
      </w:r>
    </w:p>
    <w:p w:rsidR="00FA728B" w:rsidRPr="0011051A" w:rsidP="00FD3955" w14:paraId="4AF4EFD2" w14:textId="77777777">
      <w:pPr>
        <w:widowControl/>
        <w:autoSpaceDE w:val="0"/>
        <w:autoSpaceDN w:val="0"/>
        <w:adjustRightInd w:val="0"/>
      </w:pPr>
    </w:p>
    <w:p w:rsidR="002F17D3" w:rsidRPr="009709F2" w:rsidP="00FA728B" w14:paraId="1AF97BB0" w14:textId="5AB36F7E">
      <w:pPr>
        <w:widowControl/>
        <w:autoSpaceDE w:val="0"/>
        <w:autoSpaceDN w:val="0"/>
        <w:adjustRightInd w:val="0"/>
      </w:pPr>
      <w:r w:rsidRPr="009709F2">
        <w:rPr>
          <w:rFonts w:eastAsiaTheme="minorHAnsi" w:cstheme="minorBidi"/>
          <w:b/>
          <w:color w:val="C00000"/>
        </w:rPr>
        <w:t>Reasons for Revisions Due to the Rule (RIN 0648-B</w:t>
      </w:r>
      <w:r>
        <w:rPr>
          <w:rFonts w:eastAsiaTheme="minorHAnsi" w:cstheme="minorBidi"/>
          <w:b/>
          <w:color w:val="C00000"/>
        </w:rPr>
        <w:t>M77</w:t>
      </w:r>
      <w:r w:rsidRPr="009709F2">
        <w:rPr>
          <w:rFonts w:eastAsiaTheme="minorHAnsi" w:cstheme="minorBidi"/>
          <w:b/>
          <w:color w:val="C00000"/>
        </w:rPr>
        <w:t>)</w:t>
      </w:r>
    </w:p>
    <w:p w:rsidR="00A117A9" w:rsidP="00FD3955" w14:paraId="5A331332" w14:textId="5C8F272F">
      <w:pPr>
        <w:widowControl/>
        <w:autoSpaceDE w:val="0"/>
        <w:autoSpaceDN w:val="0"/>
        <w:adjustRightInd w:val="0"/>
      </w:pPr>
    </w:p>
    <w:p w:rsidR="00334721" w:rsidP="009B05C9" w14:paraId="03EFA290" w14:textId="51AFD3E7">
      <w:pPr>
        <w:widowControl/>
        <w:autoSpaceDE w:val="0"/>
        <w:autoSpaceDN w:val="0"/>
        <w:adjustRightInd w:val="0"/>
      </w:pPr>
      <w:r>
        <w:t xml:space="preserve">This collection is revised </w:t>
      </w:r>
      <w:r w:rsidRPr="00D7421C">
        <w:t xml:space="preserve">due to the proposed rule to </w:t>
      </w:r>
      <w:r w:rsidR="001C3506">
        <w:t>allow</w:t>
      </w:r>
      <w:r w:rsidRPr="00A117A9" w:rsidR="001C3506">
        <w:t xml:space="preserve"> </w:t>
      </w:r>
      <w:r w:rsidR="0008538E">
        <w:t>hook-and-line</w:t>
      </w:r>
      <w:r w:rsidRPr="00B9036F" w:rsidR="00B9036F">
        <w:t xml:space="preserve"> </w:t>
      </w:r>
      <w:r w:rsidR="00D5770B">
        <w:t>catcher/processor</w:t>
      </w:r>
      <w:r w:rsidRPr="00B9036F" w:rsidR="00B9036F">
        <w:t xml:space="preserve">s to use longline pot gear for the </w:t>
      </w:r>
      <w:r w:rsidR="0008538E">
        <w:t>Bering Sea</w:t>
      </w:r>
      <w:r w:rsidRPr="00B9036F" w:rsidR="00B9036F">
        <w:t xml:space="preserve"> Greenland turbot fishery, and 2) add an exception to the 9-inch maximum pot tunnel opening limitation for longline pot gear when fishing for Greenland turbot. </w:t>
      </w:r>
      <w:r w:rsidR="00761F5F">
        <w:t xml:space="preserve">This rule includes </w:t>
      </w:r>
      <w:r w:rsidRPr="00B9036F" w:rsidR="00B9036F">
        <w:t>propose</w:t>
      </w:r>
      <w:r w:rsidR="00761F5F">
        <w:t>d</w:t>
      </w:r>
      <w:r w:rsidRPr="00B9036F" w:rsidR="00B9036F">
        <w:t xml:space="preserve"> additional regulation revisions to facilitate the administration, monitoring, and enforcement of this proposed rule. </w:t>
      </w:r>
      <w:r w:rsidRPr="00334721">
        <w:t xml:space="preserve">This proposed rule is necessary to improve efficiency, provide economic benefits for the </w:t>
      </w:r>
      <w:r w:rsidR="0008538E">
        <w:t>hook-and-line</w:t>
      </w:r>
      <w:r w:rsidRPr="00334721">
        <w:t xml:space="preserve"> catcher/processer subsector, and minimize potential fishery interactions with killer whales.</w:t>
      </w:r>
    </w:p>
    <w:p w:rsidR="00334721" w:rsidP="009B05C9" w14:paraId="2DB53D6A" w14:textId="77777777">
      <w:pPr>
        <w:widowControl/>
        <w:autoSpaceDE w:val="0"/>
        <w:autoSpaceDN w:val="0"/>
        <w:adjustRightInd w:val="0"/>
      </w:pPr>
    </w:p>
    <w:p w:rsidR="002F17D3" w:rsidRPr="00B9036F" w:rsidP="00FD3955" w14:paraId="0E40D7E8" w14:textId="19A3D6D7">
      <w:pPr>
        <w:widowControl/>
        <w:autoSpaceDE w:val="0"/>
        <w:autoSpaceDN w:val="0"/>
        <w:adjustRightInd w:val="0"/>
        <w:rPr>
          <w:highlight w:val="lightGray"/>
        </w:rPr>
      </w:pPr>
      <w:r w:rsidRPr="00334721">
        <w:t xml:space="preserve">Currently, any vessel with a Federal Fisheries Permit (FFP) for groundfish and the necessary gear (non-trawl) and area endorsements on its </w:t>
      </w:r>
      <w:r w:rsidR="0008538E">
        <w:t>License Limitation Program</w:t>
      </w:r>
      <w:r w:rsidRPr="00334721">
        <w:t xml:space="preserve"> license may fish hook-and-line or </w:t>
      </w:r>
      <w:r w:rsidRPr="00334721" w:rsidR="00334721">
        <w:t>pot-and-line gear (i.e.</w:t>
      </w:r>
      <w:r w:rsidR="00D7421C">
        <w:t>,</w:t>
      </w:r>
      <w:r w:rsidRPr="00334721" w:rsidR="00334721">
        <w:t xml:space="preserve"> single pots) </w:t>
      </w:r>
      <w:r w:rsidRPr="00334721">
        <w:t xml:space="preserve">for </w:t>
      </w:r>
      <w:r w:rsidRPr="00334721" w:rsidR="00334721">
        <w:t xml:space="preserve">Bering Sea </w:t>
      </w:r>
      <w:r w:rsidRPr="00334721">
        <w:t xml:space="preserve">Greenland turbot. </w:t>
      </w:r>
      <w:r w:rsidRPr="00387BF1" w:rsidR="00387BF1">
        <w:t>The non-trawl sector consists of hook-</w:t>
      </w:r>
      <w:r w:rsidRPr="00387BF1" w:rsidR="00387BF1">
        <w:t>and-line catcher/processors associated with</w:t>
      </w:r>
      <w:r w:rsidR="00C61259">
        <w:t xml:space="preserve"> the Freezer Longline Coalition</w:t>
      </w:r>
      <w:r w:rsidRPr="00387BF1" w:rsidR="00387BF1">
        <w:t xml:space="preserve"> voluntary cooperative primarily targeting B</w:t>
      </w:r>
      <w:r w:rsidR="00E040A1">
        <w:t>SAI Pacific cod</w:t>
      </w:r>
      <w:r w:rsidRPr="00387BF1" w:rsidR="00387BF1">
        <w:t xml:space="preserve"> with some members relying on harvest of Gre</w:t>
      </w:r>
      <w:r w:rsidR="00E040A1">
        <w:t>enland turbot and/or sablefish</w:t>
      </w:r>
      <w:r w:rsidRPr="00387BF1" w:rsidR="00387BF1">
        <w:t xml:space="preserve"> as secondary sources of income. </w:t>
      </w:r>
      <w:r w:rsidRPr="00404269" w:rsidR="00334721">
        <w:t xml:space="preserve">This proposed rule would authorize, but not require, </w:t>
      </w:r>
      <w:r w:rsidRPr="00404269" w:rsidR="00404269">
        <w:t xml:space="preserve">catcher/processors to </w:t>
      </w:r>
      <w:r w:rsidRPr="00404269" w:rsidR="00334721">
        <w:t xml:space="preserve">use longline pot gear in the </w:t>
      </w:r>
      <w:r w:rsidR="0008538E">
        <w:t>Bering Sea</w:t>
      </w:r>
      <w:r w:rsidRPr="00404269" w:rsidR="00334721">
        <w:t xml:space="preserve"> Greenland turbot fishery. </w:t>
      </w:r>
      <w:r w:rsidRPr="00404269" w:rsidR="00404269">
        <w:t xml:space="preserve">Longline pot gear is an efficient gear type currently allowed in the sablefish IFQ fisheries in the </w:t>
      </w:r>
      <w:r w:rsidR="0008538E">
        <w:t>Bering Sea and Aleutian Islands (</w:t>
      </w:r>
      <w:r w:rsidRPr="00404269" w:rsidR="00404269">
        <w:t>BSAI</w:t>
      </w:r>
      <w:r w:rsidR="0008538E">
        <w:t>)</w:t>
      </w:r>
      <w:r w:rsidRPr="00404269" w:rsidR="00404269">
        <w:t xml:space="preserve"> and GOA that prevents or reduces whale depredation from occurring and may have the sam</w:t>
      </w:r>
      <w:r w:rsidR="0008538E">
        <w:t>e benefits if authorized for hook-and-line</w:t>
      </w:r>
      <w:r w:rsidRPr="00404269" w:rsidR="00404269">
        <w:t xml:space="preserve"> </w:t>
      </w:r>
      <w:r w:rsidR="00C80369">
        <w:t>catcher/processors</w:t>
      </w:r>
      <w:r w:rsidRPr="00404269" w:rsidR="00404269">
        <w:t xml:space="preserve"> participating in the </w:t>
      </w:r>
      <w:r w:rsidR="0008538E">
        <w:t>Bering Sea</w:t>
      </w:r>
      <w:r w:rsidRPr="00404269" w:rsidR="00404269">
        <w:t xml:space="preserve"> Greenland turbot fishery.</w:t>
      </w:r>
    </w:p>
    <w:p w:rsidR="00A117A9" w:rsidP="00FD3955" w14:paraId="3653F295" w14:textId="62DAB437">
      <w:pPr>
        <w:widowControl/>
        <w:autoSpaceDE w:val="0"/>
        <w:autoSpaceDN w:val="0"/>
        <w:adjustRightInd w:val="0"/>
        <w:rPr>
          <w:highlight w:val="lightGray"/>
        </w:rPr>
      </w:pPr>
    </w:p>
    <w:p w:rsidR="00313197" w:rsidP="00761F5F" w14:paraId="59D8AAD0" w14:textId="60663BBA">
      <w:pPr>
        <w:widowControl/>
        <w:autoSpaceDE w:val="0"/>
        <w:autoSpaceDN w:val="0"/>
        <w:adjustRightInd w:val="0"/>
      </w:pPr>
      <w:r w:rsidRPr="00404269">
        <w:t>This proposed rule would requir</w:t>
      </w:r>
      <w:r w:rsidR="00902EB3">
        <w:t>e</w:t>
      </w:r>
      <w:r w:rsidRPr="00404269">
        <w:t xml:space="preserve"> </w:t>
      </w:r>
      <w:r w:rsidR="00240318">
        <w:t xml:space="preserve">that </w:t>
      </w:r>
      <w:r w:rsidR="00144D48">
        <w:t xml:space="preserve">vessel operators using </w:t>
      </w:r>
      <w:r w:rsidR="00D53A39">
        <w:t xml:space="preserve">longline pot gear to fish </w:t>
      </w:r>
      <w:r w:rsidR="00BE66B7">
        <w:t xml:space="preserve">Greenland turbot </w:t>
      </w:r>
      <w:r w:rsidR="00D53A39">
        <w:t>in the Bering Sea subarea</w:t>
      </w:r>
      <w:r w:rsidR="00BE66B7">
        <w:t xml:space="preserve"> </w:t>
      </w:r>
      <w:r w:rsidR="00C80369">
        <w:t>mark</w:t>
      </w:r>
      <w:r w:rsidR="00240318">
        <w:t xml:space="preserve"> a </w:t>
      </w:r>
      <w:r w:rsidRPr="00761F5F" w:rsidR="00761F5F">
        <w:t xml:space="preserve">buoy </w:t>
      </w:r>
      <w:r w:rsidR="00240318">
        <w:t xml:space="preserve">in the buoy cluster </w:t>
      </w:r>
      <w:r w:rsidRPr="00761F5F" w:rsidR="00761F5F">
        <w:t xml:space="preserve">with the </w:t>
      </w:r>
      <w:r w:rsidR="00240318">
        <w:t xml:space="preserve">initials </w:t>
      </w:r>
      <w:r w:rsidRPr="00761F5F" w:rsidR="00761F5F">
        <w:t>“</w:t>
      </w:r>
      <w:r w:rsidR="00761F5F">
        <w:t xml:space="preserve">LP” </w:t>
      </w:r>
      <w:r w:rsidRPr="00093A90" w:rsidR="00093A90">
        <w:t xml:space="preserve">to </w:t>
      </w:r>
      <w:r w:rsidR="00240318">
        <w:t>distinguish this gear type from others authorized for this fishery</w:t>
      </w:r>
      <w:r w:rsidR="00761F5F">
        <w:t>.</w:t>
      </w:r>
      <w:r w:rsidR="00902EB3">
        <w:t xml:space="preserve"> </w:t>
      </w:r>
    </w:p>
    <w:p w:rsidR="00313197" w:rsidP="00FD3955" w14:paraId="24AB4C6E" w14:textId="77777777">
      <w:pPr>
        <w:widowControl/>
        <w:autoSpaceDE w:val="0"/>
        <w:autoSpaceDN w:val="0"/>
        <w:adjustRightInd w:val="0"/>
      </w:pPr>
    </w:p>
    <w:p w:rsidR="00A030C9" w:rsidP="00FD3955" w14:paraId="324FDD28" w14:textId="7A365D9B">
      <w:pPr>
        <w:widowControl/>
        <w:autoSpaceDE w:val="0"/>
        <w:autoSpaceDN w:val="0"/>
        <w:adjustRightInd w:val="0"/>
      </w:pPr>
      <w:r>
        <w:t xml:space="preserve">This </w:t>
      </w:r>
      <w:r w:rsidR="00093A90">
        <w:t xml:space="preserve">regulatory change would increase the respondents </w:t>
      </w:r>
      <w:r w:rsidR="00746D65">
        <w:t xml:space="preserve">for Longline Pot Gear Marker Buoys </w:t>
      </w:r>
      <w:r w:rsidR="00093A90">
        <w:t>in this information collection</w:t>
      </w:r>
      <w:r w:rsidR="00B6691E">
        <w:t xml:space="preserve">. </w:t>
      </w:r>
      <w:r w:rsidR="001E4016">
        <w:t xml:space="preserve">Nine </w:t>
      </w:r>
      <w:r w:rsidR="00B6691E">
        <w:t xml:space="preserve">vessels are added to the respondents for </w:t>
      </w:r>
      <w:r w:rsidRPr="00B6691E" w:rsidR="00B6691E">
        <w:t>Longline Pot Gear Marker Buoys</w:t>
      </w:r>
      <w:r w:rsidR="00B6691E">
        <w:t>.</w:t>
      </w:r>
      <w:r w:rsidRPr="00093A90" w:rsidR="00093A90">
        <w:t xml:space="preserve"> </w:t>
      </w:r>
      <w:r w:rsidR="00EB1EB6">
        <w:t>The Freezer Longline Coalition</w:t>
      </w:r>
      <w:r w:rsidRPr="00746D65" w:rsidR="00746D65">
        <w:t xml:space="preserve"> </w:t>
      </w:r>
      <w:r w:rsidRPr="00E070D8" w:rsidR="00E070D8">
        <w:t>comprises</w:t>
      </w:r>
      <w:r w:rsidRPr="00746D65" w:rsidR="00746D65">
        <w:t xml:space="preserve"> 36 </w:t>
      </w:r>
      <w:r w:rsidRPr="00EB1EB6" w:rsidR="00EB1EB6">
        <w:t>License Limitation Program</w:t>
      </w:r>
      <w:r w:rsidRPr="00746D65" w:rsidR="00746D65">
        <w:t xml:space="preserve"> l</w:t>
      </w:r>
      <w:r w:rsidR="00EB1EB6">
        <w:t>icenses that are endorsed for Bering Sea or Aleutian Islands</w:t>
      </w:r>
      <w:r w:rsidRPr="00746D65" w:rsidR="00746D65">
        <w:t xml:space="preserve"> </w:t>
      </w:r>
      <w:r w:rsidR="00EB1EB6">
        <w:t>hook-and-line</w:t>
      </w:r>
      <w:r w:rsidRPr="00746D65" w:rsidR="00746D65">
        <w:t xml:space="preserve"> </w:t>
      </w:r>
      <w:r w:rsidR="00EB1EB6">
        <w:t>catcher/processor</w:t>
      </w:r>
      <w:r w:rsidR="007D5828">
        <w:t>s</w:t>
      </w:r>
      <w:r w:rsidRPr="00746D65" w:rsidR="00746D65">
        <w:t xml:space="preserve"> fishing for Pacific cod. </w:t>
      </w:r>
      <w:r>
        <w:t>H</w:t>
      </w:r>
      <w:r w:rsidRPr="00C55DFF" w:rsidR="00B946A2">
        <w:t xml:space="preserve">istorically, only a small portion of </w:t>
      </w:r>
      <w:r w:rsidR="00EB1EB6">
        <w:t>these</w:t>
      </w:r>
      <w:r w:rsidR="0008538E">
        <w:t xml:space="preserve"> </w:t>
      </w:r>
      <w:r w:rsidRPr="00C55DFF" w:rsidR="00B946A2">
        <w:t>licenses</w:t>
      </w:r>
      <w:r w:rsidR="003C27D4">
        <w:t xml:space="preserve"> </w:t>
      </w:r>
      <w:r w:rsidRPr="00C55DFF" w:rsidR="00B946A2">
        <w:t>have targeted Greenland turbot</w:t>
      </w:r>
      <w:r w:rsidR="0008538E">
        <w:t xml:space="preserve"> in the Bering Sea</w:t>
      </w:r>
      <w:r w:rsidRPr="00C55DFF" w:rsidR="00C55DFF">
        <w:t xml:space="preserve"> subarea</w:t>
      </w:r>
      <w:r w:rsidR="00EB1EB6">
        <w:t>.</w:t>
      </w:r>
      <w:r w:rsidRPr="00C55DFF" w:rsidR="00B946A2">
        <w:t xml:space="preserve"> </w:t>
      </w:r>
      <w:r w:rsidR="00EB1EB6">
        <w:t>S</w:t>
      </w:r>
      <w:r w:rsidRPr="00C55DFF" w:rsidR="00EB1EB6">
        <w:t xml:space="preserve">ince </w:t>
      </w:r>
      <w:r w:rsidRPr="00C55DFF" w:rsidR="001E4016">
        <w:t>201</w:t>
      </w:r>
      <w:r w:rsidR="001E4016">
        <w:t>0</w:t>
      </w:r>
      <w:r w:rsidRPr="00C55DFF" w:rsidR="00B946A2">
        <w:t xml:space="preserve">, </w:t>
      </w:r>
      <w:r w:rsidR="007D5828">
        <w:t>not more than nine</w:t>
      </w:r>
      <w:r w:rsidR="001E4016">
        <w:t xml:space="preserve"> catcher/processors have targeted Greenland turbot</w:t>
      </w:r>
      <w:r w:rsidRPr="00C55DFF" w:rsidR="00B946A2">
        <w:t>.</w:t>
      </w:r>
      <w:r w:rsidR="0075125D">
        <w:t xml:space="preserve"> </w:t>
      </w:r>
    </w:p>
    <w:p w:rsidR="0028065F" w:rsidP="00FD3955" w14:paraId="475D303F" w14:textId="0622352D">
      <w:pPr>
        <w:widowControl/>
        <w:autoSpaceDE w:val="0"/>
        <w:autoSpaceDN w:val="0"/>
        <w:adjustRightInd w:val="0"/>
      </w:pPr>
    </w:p>
    <w:p w:rsidR="0028065F" w:rsidP="0028065F" w14:paraId="695EAB54" w14:textId="6D3002E8">
      <w:pPr>
        <w:widowControl/>
        <w:pBdr>
          <w:top w:val="nil"/>
          <w:left w:val="nil"/>
          <w:bottom w:val="nil"/>
          <w:right w:val="nil"/>
          <w:between w:val="nil"/>
        </w:pBdr>
      </w:pPr>
      <w:r w:rsidRPr="00822D5A">
        <w:t xml:space="preserve">This rule </w:t>
      </w:r>
      <w:r w:rsidR="00CE2337">
        <w:t xml:space="preserve">would </w:t>
      </w:r>
      <w:r w:rsidRPr="00822D5A">
        <w:t>also affect information collection requirements approved under OMB Cont</w:t>
      </w:r>
      <w:r>
        <w:t xml:space="preserve">rol Number 0648-0515. </w:t>
      </w:r>
      <w:r w:rsidRPr="00822D5A">
        <w:t>NMFS is submitting</w:t>
      </w:r>
      <w:r w:rsidR="00CE2337">
        <w:t xml:space="preserve"> a separate request</w:t>
      </w:r>
      <w:r w:rsidRPr="00822D5A">
        <w:t xml:space="preserve"> to revise </w:t>
      </w:r>
      <w:r w:rsidR="00CE2337">
        <w:t>this</w:t>
      </w:r>
      <w:r w:rsidRPr="00822D5A">
        <w:t xml:space="preserve"> collections.  </w:t>
      </w:r>
    </w:p>
    <w:p w:rsidR="00A030C9" w:rsidP="00FD3955" w14:paraId="28590A90" w14:textId="27A581AD">
      <w:pPr>
        <w:widowControl/>
        <w:autoSpaceDE w:val="0"/>
        <w:autoSpaceDN w:val="0"/>
        <w:adjustRightInd w:val="0"/>
      </w:pPr>
    </w:p>
    <w:p w:rsidR="00BD6DA0" w:rsidP="00FD3955" w14:paraId="36139D6B" w14:textId="77777777">
      <w:pPr>
        <w:pStyle w:val="Heading1"/>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EC30A7" w:rsidP="00EC30A7" w14:paraId="47E49E87" w14:textId="77777777">
      <w:pPr>
        <w:widowControl/>
        <w:tabs>
          <w:tab w:val="left" w:pos="360"/>
        </w:tabs>
        <w:autoSpaceDE w:val="0"/>
        <w:autoSpaceDN w:val="0"/>
        <w:rPr>
          <w:rFonts w:eastAsiaTheme="minorHAnsi"/>
        </w:rPr>
      </w:pPr>
    </w:p>
    <w:p w:rsidR="009A55D0" w:rsidP="009A55D0" w14:paraId="6E825479" w14:textId="77777777">
      <w:pPr>
        <w:widowControl/>
        <w:autoSpaceDE w:val="0"/>
        <w:autoSpaceDN w:val="0"/>
        <w:adjustRightInd w:val="0"/>
      </w:pPr>
      <w:r>
        <w:t xml:space="preserve">Fishing gear is marked with buoys painted with identification information as described below. There are no forms for this collection and no information is submitted to NMFS. </w:t>
      </w:r>
      <w:r w:rsidRPr="0011051A">
        <w:t>The identification information on the fishing gear is not disseminated to the public because the information is marked on the buoys and is not submitted to NMFS.</w:t>
      </w:r>
    </w:p>
    <w:p w:rsidR="009A55D0" w:rsidP="009A55D0" w14:paraId="18EFA7F6" w14:textId="77777777">
      <w:pPr>
        <w:widowControl/>
        <w:autoSpaceDE w:val="0"/>
        <w:autoSpaceDN w:val="0"/>
        <w:adjustRightInd w:val="0"/>
      </w:pPr>
    </w:p>
    <w:p w:rsidR="009A55D0" w:rsidP="009A55D0" w14:paraId="73DE154F" w14:textId="457763EE">
      <w:pPr>
        <w:widowControl/>
        <w:autoSpaceDE w:val="0"/>
        <w:autoSpaceDN w:val="0"/>
        <w:adjustRightInd w:val="0"/>
      </w:pPr>
      <w:r>
        <w:t>No changes have been made to this information collection since it was last extended and revised in 2023.</w:t>
      </w:r>
    </w:p>
    <w:p w:rsidR="009A55D0" w:rsidP="009A55D0" w14:paraId="3BD5F64E" w14:textId="77777777">
      <w:pPr>
        <w:widowControl/>
        <w:autoSpaceDE w:val="0"/>
        <w:autoSpaceDN w:val="0"/>
        <w:adjustRightInd w:val="0"/>
      </w:pPr>
    </w:p>
    <w:p w:rsidR="009A55D0" w:rsidRPr="00AA5766" w:rsidP="009A55D0" w14:paraId="1A56E1F5" w14:textId="77777777">
      <w:pPr>
        <w:keepNext/>
        <w:widowControl/>
        <w:autoSpaceDE w:val="0"/>
        <w:autoSpaceDN w:val="0"/>
        <w:adjustRightInd w:val="0"/>
        <w:rPr>
          <w:b/>
        </w:rPr>
      </w:pPr>
      <w:r w:rsidRPr="00AA5766">
        <w:rPr>
          <w:b/>
        </w:rPr>
        <w:t>Marker Buoys</w:t>
      </w:r>
      <w:r>
        <w:rPr>
          <w:b/>
        </w:rPr>
        <w:t xml:space="preserve"> </w:t>
      </w:r>
      <w:r w:rsidRPr="00AA5766">
        <w:rPr>
          <w:b/>
          <w:color w:val="C00000"/>
        </w:rPr>
        <w:t>[REVISED</w:t>
      </w:r>
      <w:r>
        <w:rPr>
          <w:b/>
          <w:color w:val="C00000"/>
        </w:rPr>
        <w:t>]</w:t>
      </w:r>
    </w:p>
    <w:p w:rsidR="009A55D0" w:rsidRPr="00916F03" w:rsidP="009A55D0" w14:paraId="122742C2" w14:textId="77777777">
      <w:pPr>
        <w:keepNext/>
        <w:widowControl/>
        <w:autoSpaceDE w:val="0"/>
        <w:autoSpaceDN w:val="0"/>
        <w:adjustRightInd w:val="0"/>
      </w:pPr>
    </w:p>
    <w:p w:rsidR="009A55D0" w:rsidP="009A55D0" w14:paraId="0738BC49" w14:textId="77777777">
      <w:pPr>
        <w:keepNext/>
        <w:widowControl/>
        <w:autoSpaceDE w:val="0"/>
        <w:autoSpaceDN w:val="0"/>
        <w:adjustRightInd w:val="0"/>
      </w:pPr>
      <w:r w:rsidRPr="00225F29">
        <w:t>NMFS OLE and the USCG use the identification information on fishing gear when issuing violations, prosecutions, and other enforcement actions. Cooperating fishermen also use the gear identification to report placement or occurrence in unauthorized areas.</w:t>
      </w:r>
    </w:p>
    <w:p w:rsidR="009A55D0" w:rsidP="009A55D0" w14:paraId="269BEBA7" w14:textId="77777777">
      <w:pPr>
        <w:keepNext/>
        <w:widowControl/>
        <w:autoSpaceDE w:val="0"/>
        <w:autoSpaceDN w:val="0"/>
        <w:adjustRightInd w:val="0"/>
      </w:pPr>
    </w:p>
    <w:p w:rsidR="009A55D0" w:rsidRPr="00916F03" w:rsidP="009A55D0" w14:paraId="46AC22CF" w14:textId="32478377">
      <w:pPr>
        <w:keepNext/>
        <w:widowControl/>
        <w:autoSpaceDE w:val="0"/>
        <w:autoSpaceDN w:val="0"/>
        <w:adjustRightInd w:val="0"/>
      </w:pPr>
      <w:r>
        <w:t>Regulations at</w:t>
      </w:r>
      <w:r w:rsidRPr="0011051A">
        <w:t xml:space="preserve"> </w:t>
      </w:r>
      <w:hyperlink r:id="rId14" w:anchor="p-679.24(a)" w:history="1">
        <w:r>
          <w:rPr>
            <w:rStyle w:val="Hyperlink"/>
          </w:rPr>
          <w:t>§ 679.24(a)</w:t>
        </w:r>
      </w:hyperlink>
      <w:r w:rsidRPr="00FA728B">
        <w:rPr>
          <w:rStyle w:val="Hyperlink"/>
          <w:color w:val="auto"/>
          <w:u w:val="none"/>
        </w:rPr>
        <w:t xml:space="preserve"> require </w:t>
      </w:r>
      <w:r>
        <w:t>m</w:t>
      </w:r>
      <w:r w:rsidRPr="00916F03">
        <w:t xml:space="preserve">arker buoys be marked with the vessel’s identification information—either the vessel’s Federal fisheries permit (FFP) number or the ADF&amp;G vessel registration number. Markings must be in characters at least 4 inches (10.16 cm) in height and 0.5 inch (1.27 cm) in width in a contrasting color visible above the water line. </w:t>
      </w:r>
      <w:r>
        <w:t>Buoys</w:t>
      </w:r>
      <w:r w:rsidRPr="00916F03">
        <w:t xml:space="preserve"> must be maintained so the markings are clearly visible.</w:t>
      </w:r>
    </w:p>
    <w:p w:rsidR="008C21BB" w:rsidP="009A55D0" w14:paraId="19BD2A95" w14:textId="77777777">
      <w:pPr>
        <w:widowControl/>
        <w:autoSpaceDE w:val="0"/>
        <w:autoSpaceDN w:val="0"/>
        <w:adjustRightInd w:val="0"/>
      </w:pPr>
    </w:p>
    <w:p w:rsidR="009A55D0" w:rsidRPr="00916F03" w:rsidP="009A55D0" w14:paraId="6E9AF7D1" w14:textId="77777777">
      <w:pPr>
        <w:widowControl/>
        <w:autoSpaceDE w:val="0"/>
        <w:autoSpaceDN w:val="0"/>
        <w:adjustRightInd w:val="0"/>
      </w:pPr>
      <w:r w:rsidRPr="00916F03">
        <w:t xml:space="preserve">Materials needed </w:t>
      </w:r>
      <w:r>
        <w:t xml:space="preserve">to mark the buoys </w:t>
      </w:r>
      <w:r w:rsidRPr="00916F03">
        <w:t xml:space="preserve">are paint and paintbrush, or permanent ink applicator, and possibly a stencil.   </w:t>
      </w:r>
    </w:p>
    <w:p w:rsidR="009A55D0" w:rsidP="009A55D0" w14:paraId="4A220B7B" w14:textId="77597C8A">
      <w:pPr>
        <w:widowControl/>
        <w:autoSpaceDE w:val="0"/>
        <w:autoSpaceDN w:val="0"/>
        <w:adjustRightInd w:val="0"/>
      </w:pPr>
    </w:p>
    <w:p w:rsidR="00CC3E3F" w:rsidRPr="00CC3E3F" w:rsidP="00FA728B" w14:paraId="329C5A61" w14:textId="09FFCCA8">
      <w:pPr>
        <w:widowControl/>
        <w:pBdr>
          <w:top w:val="nil"/>
          <w:left w:val="nil"/>
          <w:bottom w:val="nil"/>
          <w:right w:val="nil"/>
          <w:between w:val="nil"/>
        </w:pBdr>
        <w:rPr>
          <w:b/>
          <w:color w:val="1F497D"/>
        </w:rPr>
      </w:pPr>
      <w:r>
        <w:t xml:space="preserve">Current regulations at </w:t>
      </w:r>
      <w:hyperlink r:id="rId15" w:anchor="p-679.24(a)(3)" w:history="1">
        <w:r w:rsidRPr="0046770C">
          <w:rPr>
            <w:rStyle w:val="Hyperlink"/>
          </w:rPr>
          <w:t>§ 679.24(a)(3)</w:t>
        </w:r>
      </w:hyperlink>
      <w:r>
        <w:t xml:space="preserve"> require that e</w:t>
      </w:r>
      <w:r w:rsidRPr="008C21BB">
        <w:t>ach end of a set of longline pot gear deployed to fish IFQ sablefish in the GOA must have one hard buoy ball attached marked with the capital letters “LP” in a</w:t>
      </w:r>
      <w:r>
        <w:t xml:space="preserve">ccordance with </w:t>
      </w:r>
      <w:hyperlink r:id="rId15" w:anchor="p-679.24(a)(2)" w:history="1">
        <w:r w:rsidRPr="0046770C" w:rsidR="0046770C">
          <w:rPr>
            <w:rStyle w:val="Hyperlink"/>
          </w:rPr>
          <w:t>§679.24</w:t>
        </w:r>
        <w:r w:rsidRPr="0046770C">
          <w:rPr>
            <w:rStyle w:val="Hyperlink"/>
          </w:rPr>
          <w:t>(a)(2)</w:t>
        </w:r>
      </w:hyperlink>
      <w:r w:rsidRPr="008C21BB">
        <w:t>.</w:t>
      </w:r>
      <w:r w:rsidRPr="00BE66B7" w:rsidR="00BE66B7">
        <w:t xml:space="preserve"> </w:t>
      </w:r>
      <w:r>
        <w:t xml:space="preserve">This proposed rule would amend § 679.24(a)(3) to </w:t>
      </w:r>
      <w:r w:rsidR="00240318">
        <w:t>add</w:t>
      </w:r>
      <w:r w:rsidR="00D53A39">
        <w:t xml:space="preserve"> this requirement for longline pot gear deployed to fish Greenland turbot</w:t>
      </w:r>
      <w:r w:rsidR="00240318">
        <w:t xml:space="preserve"> </w:t>
      </w:r>
      <w:r w:rsidR="0046770C">
        <w:t xml:space="preserve"> in the </w:t>
      </w:r>
      <w:r w:rsidR="00BE66B7">
        <w:t>Bering Sea subarea</w:t>
      </w:r>
      <w:r w:rsidR="00FA728B">
        <w:t>.</w:t>
      </w:r>
      <w:r w:rsidR="00A13782">
        <w:t xml:space="preserve"> </w:t>
      </w:r>
      <w:r w:rsidR="00FA728B">
        <w:t>Amending</w:t>
      </w:r>
      <w:r w:rsidRPr="00564522" w:rsidR="00FA728B">
        <w:t xml:space="preserve"> </w:t>
      </w:r>
      <w:r w:rsidR="00FA728B">
        <w:t>this</w:t>
      </w:r>
      <w:r w:rsidRPr="00564522" w:rsidR="00FA728B">
        <w:t xml:space="preserve"> requirement </w:t>
      </w:r>
      <w:r w:rsidR="00FA728B">
        <w:t xml:space="preserve">adds </w:t>
      </w:r>
      <w:r w:rsidRPr="007D5828" w:rsidR="00240318">
        <w:t>nine</w:t>
      </w:r>
      <w:r w:rsidR="00240318">
        <w:t xml:space="preserve"> </w:t>
      </w:r>
      <w:r w:rsidR="00FA728B">
        <w:t>vessels to the respondents required to mark longline pot gear with “LP</w:t>
      </w:r>
      <w:r w:rsidR="00D53A39">
        <w:t>,</w:t>
      </w:r>
      <w:r w:rsidR="00FA728B">
        <w:t xml:space="preserve">” which increases the </w:t>
      </w:r>
      <w:r w:rsidR="00681ECA">
        <w:t xml:space="preserve">total annual </w:t>
      </w:r>
      <w:r w:rsidRPr="00D53A39" w:rsidR="00D53A39">
        <w:t>responses, burden hours, and costs</w:t>
      </w:r>
      <w:r w:rsidRPr="00D53A39" w:rsidR="00D53A39">
        <w:t xml:space="preserve"> </w:t>
      </w:r>
      <w:r w:rsidR="00FA728B">
        <w:t xml:space="preserve">for this information collection. </w:t>
      </w:r>
      <w:r w:rsidRPr="004204F5" w:rsidR="009A55D0">
        <w:t xml:space="preserve">See the </w:t>
      </w:r>
      <w:r w:rsidRPr="007663CF" w:rsidR="009A55D0">
        <w:t>section “</w:t>
      </w:r>
      <w:r w:rsidR="009A55D0">
        <w:t xml:space="preserve">Reason for the </w:t>
      </w:r>
      <w:r w:rsidRPr="007663CF" w:rsidR="009A55D0">
        <w:t>Revisions Due to the Rule (RIN 0648</w:t>
      </w:r>
      <w:r w:rsidRPr="006A3C52" w:rsidR="009A55D0">
        <w:t>-</w:t>
      </w:r>
      <w:r w:rsidRPr="006A3C52" w:rsidR="0046770C">
        <w:t>B</w:t>
      </w:r>
      <w:r w:rsidR="0046770C">
        <w:t>M77</w:t>
      </w:r>
      <w:r w:rsidRPr="006A3C52" w:rsidR="009A55D0">
        <w:t xml:space="preserve">)” under Question #1 above for more information on this </w:t>
      </w:r>
      <w:r w:rsidR="0046770C">
        <w:t>regulatory amendment</w:t>
      </w:r>
      <w:r w:rsidRPr="006A3C52" w:rsidR="009A55D0">
        <w:t xml:space="preserve">. </w:t>
      </w:r>
    </w:p>
    <w:p w:rsidR="00BD6DA0" w:rsidRPr="00CC3E3F" w:rsidP="00CC3E3F" w14:paraId="33440A37" w14:textId="77777777">
      <w:pPr>
        <w:pBdr>
          <w:top w:val="nil"/>
          <w:left w:val="nil"/>
          <w:bottom w:val="nil"/>
          <w:right w:val="nil"/>
          <w:between w:val="nil"/>
        </w:pBdr>
        <w:rPr>
          <w:color w:val="000000"/>
        </w:rPr>
      </w:pPr>
    </w:p>
    <w:p w:rsidR="00BD6DA0" w:rsidP="00FD3955" w14:paraId="5448A4B0"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3E3F" w:rsidRPr="00CC3E3F" w:rsidP="00FD3955" w14:paraId="388A5A2A" w14:textId="77777777"/>
    <w:p w:rsidR="009A55D0" w:rsidRPr="0011051A" w:rsidP="00FD3955" w14:paraId="7458C12C" w14:textId="77777777">
      <w:pPr>
        <w:widowControl/>
        <w:tabs>
          <w:tab w:val="left" w:pos="-1180"/>
        </w:tabs>
        <w:autoSpaceDE w:val="0"/>
        <w:autoSpaceDN w:val="0"/>
        <w:adjustRightInd w:val="0"/>
      </w:pPr>
      <w:r w:rsidRPr="0011051A">
        <w:t xml:space="preserve">Marking fishing gear does not involve automated, electronic, mechanical, or other technological techniques or forms of information technology.  </w:t>
      </w:r>
    </w:p>
    <w:p w:rsidR="00CC3E3F" w:rsidRPr="00CC3E3F" w:rsidP="00FD3955" w14:paraId="77DD8885" w14:textId="77777777"/>
    <w:p w:rsidR="00BD6DA0" w:rsidP="00FD3955" w14:paraId="08CB3BC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C3E3F" w:rsidP="00FD3955" w14:paraId="3A6AC113" w14:textId="77777777">
      <w:pPr>
        <w:pBdr>
          <w:top w:val="nil"/>
          <w:left w:val="nil"/>
          <w:bottom w:val="nil"/>
          <w:right w:val="nil"/>
          <w:between w:val="nil"/>
        </w:pBdr>
        <w:rPr>
          <w:color w:val="1F497D"/>
        </w:rPr>
      </w:pPr>
    </w:p>
    <w:p w:rsidR="00CC3E3F" w:rsidP="00FD3955" w14:paraId="2C7DCFBE" w14:textId="580620F7">
      <w:pPr>
        <w:pBdr>
          <w:top w:val="nil"/>
          <w:left w:val="nil"/>
          <w:bottom w:val="nil"/>
          <w:right w:val="nil"/>
          <w:between w:val="nil"/>
        </w:pBdr>
      </w:pPr>
      <w:r w:rsidRPr="009A55D0">
        <w:t>NMFS has identified no duplication with other information collections.</w:t>
      </w:r>
    </w:p>
    <w:p w:rsidR="005449F1" w:rsidP="00FD3955" w14:paraId="7E2B82A9" w14:textId="6FCDE509">
      <w:pPr>
        <w:pBdr>
          <w:top w:val="nil"/>
          <w:left w:val="nil"/>
          <w:bottom w:val="nil"/>
          <w:right w:val="nil"/>
          <w:between w:val="nil"/>
        </w:pBdr>
      </w:pPr>
    </w:p>
    <w:p w:rsidR="005449F1" w:rsidRPr="009A55D0" w:rsidP="00FD3955" w14:paraId="48D88214" w14:textId="463D4E84">
      <w:pPr>
        <w:pBdr>
          <w:top w:val="nil"/>
          <w:left w:val="nil"/>
          <w:bottom w:val="nil"/>
          <w:right w:val="nil"/>
          <w:between w:val="nil"/>
        </w:pBdr>
      </w:pPr>
      <w:r w:rsidRPr="005449F1">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CC3E3F" w:rsidRPr="009A55D0" w:rsidP="00FD3955" w14:paraId="71977DB1" w14:textId="77777777">
      <w:pPr>
        <w:pBdr>
          <w:top w:val="nil"/>
          <w:left w:val="nil"/>
          <w:bottom w:val="nil"/>
          <w:right w:val="nil"/>
          <w:between w:val="nil"/>
        </w:pBdr>
      </w:pPr>
    </w:p>
    <w:p w:rsidR="00BD6DA0" w:rsidP="00FD3955" w14:paraId="5BBDEF0D"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CC3E3F" w:rsidP="00FD3955" w14:paraId="38633AB0" w14:textId="6F94DA30">
      <w:pPr>
        <w:pBdr>
          <w:top w:val="nil"/>
          <w:left w:val="nil"/>
          <w:bottom w:val="nil"/>
          <w:right w:val="nil"/>
          <w:between w:val="nil"/>
        </w:pBdr>
        <w:rPr>
          <w:color w:val="2F5496"/>
        </w:rPr>
      </w:pPr>
    </w:p>
    <w:p w:rsidR="00CE60A5" w:rsidP="00FD3955" w14:paraId="7B45BCFD" w14:textId="7FBCD4A2">
      <w:pPr>
        <w:widowControl/>
        <w:tabs>
          <w:tab w:val="left" w:pos="-1180"/>
        </w:tabs>
        <w:autoSpaceDE w:val="0"/>
        <w:autoSpaceDN w:val="0"/>
        <w:adjustRightInd w:val="0"/>
        <w:rPr>
          <w:bCs/>
        </w:rPr>
      </w:pPr>
      <w:r w:rsidRPr="00C70830">
        <w:rPr>
          <w:bCs/>
        </w:rPr>
        <w:t xml:space="preserve">This proposed rule </w:t>
      </w:r>
      <w:r w:rsidRPr="00C70830" w:rsidR="005938B4">
        <w:rPr>
          <w:bCs/>
        </w:rPr>
        <w:t xml:space="preserve">(RIN 0648-BM77) </w:t>
      </w:r>
      <w:r w:rsidRPr="00C70830">
        <w:rPr>
          <w:bCs/>
        </w:rPr>
        <w:t xml:space="preserve">does not </w:t>
      </w:r>
      <w:r w:rsidRPr="00C70830" w:rsidR="00C70830">
        <w:rPr>
          <w:bCs/>
        </w:rPr>
        <w:t xml:space="preserve">impact </w:t>
      </w:r>
      <w:r w:rsidRPr="00C70830">
        <w:rPr>
          <w:bCs/>
        </w:rPr>
        <w:t xml:space="preserve">small entities. </w:t>
      </w:r>
      <w:r w:rsidR="00C70830">
        <w:rPr>
          <w:bCs/>
        </w:rPr>
        <w:t>None of the</w:t>
      </w:r>
      <w:r w:rsidRPr="00C70830" w:rsidR="00C70830">
        <w:rPr>
          <w:bCs/>
        </w:rPr>
        <w:t xml:space="preserve"> vessels are considered small entities due to cooperative affiliation. For the purpose of </w:t>
      </w:r>
      <w:r w:rsidR="00C70830">
        <w:rPr>
          <w:bCs/>
        </w:rPr>
        <w:t>the</w:t>
      </w:r>
      <w:r w:rsidRPr="00C70830" w:rsidR="00C70830">
        <w:rPr>
          <w:bCs/>
        </w:rPr>
        <w:t xml:space="preserve"> </w:t>
      </w:r>
      <w:r w:rsidR="00C70830">
        <w:rPr>
          <w:bCs/>
        </w:rPr>
        <w:t xml:space="preserve">Regulatory Flexibility Analysis </w:t>
      </w:r>
      <w:r w:rsidR="00B42A44">
        <w:rPr>
          <w:bCs/>
        </w:rPr>
        <w:t xml:space="preserve">conducted </w:t>
      </w:r>
      <w:r w:rsidR="00C70830">
        <w:rPr>
          <w:bCs/>
        </w:rPr>
        <w:t>for this action</w:t>
      </w:r>
      <w:r w:rsidRPr="00C70830" w:rsidR="00C70830">
        <w:rPr>
          <w:bCs/>
        </w:rPr>
        <w:t xml:space="preserve">, NMFS believes that all of the entities directly regulated </w:t>
      </w:r>
      <w:r w:rsidR="00E070D8">
        <w:rPr>
          <w:bCs/>
        </w:rPr>
        <w:t xml:space="preserve">by this rule </w:t>
      </w:r>
      <w:r w:rsidRPr="00C70830" w:rsidR="00C70830">
        <w:rPr>
          <w:bCs/>
        </w:rPr>
        <w:t>are large entities.</w:t>
      </w:r>
    </w:p>
    <w:p w:rsidR="00CE60A5" w:rsidP="00FD3955" w14:paraId="71D603C9" w14:textId="77777777">
      <w:pPr>
        <w:widowControl/>
        <w:tabs>
          <w:tab w:val="left" w:pos="-1180"/>
        </w:tabs>
        <w:autoSpaceDE w:val="0"/>
        <w:autoSpaceDN w:val="0"/>
        <w:adjustRightInd w:val="0"/>
        <w:rPr>
          <w:bCs/>
        </w:rPr>
      </w:pPr>
    </w:p>
    <w:p w:rsidR="009A55D0" w:rsidRPr="0011051A" w:rsidP="00FD3955" w14:paraId="0545AF7E" w14:textId="082AED15">
      <w:pPr>
        <w:widowControl/>
        <w:tabs>
          <w:tab w:val="left" w:pos="-1180"/>
        </w:tabs>
        <w:autoSpaceDE w:val="0"/>
        <w:autoSpaceDN w:val="0"/>
        <w:adjustRightInd w:val="0"/>
        <w:rPr>
          <w:bCs/>
        </w:rPr>
      </w:pPr>
      <w:r w:rsidRPr="0011051A">
        <w:rPr>
          <w:bCs/>
        </w:rPr>
        <w:t xml:space="preserve">NMFS attempts to minimize the burden of this collection on all respondents by collecting only information necessary to facilitate enforcement of regulations. </w:t>
      </w:r>
    </w:p>
    <w:p w:rsidR="009A55D0" w:rsidRPr="0011051A" w:rsidP="00FD3955" w14:paraId="5D6A3955" w14:textId="77777777">
      <w:pPr>
        <w:widowControl/>
        <w:tabs>
          <w:tab w:val="left" w:pos="-1180"/>
        </w:tabs>
        <w:autoSpaceDE w:val="0"/>
        <w:autoSpaceDN w:val="0"/>
        <w:adjustRightInd w:val="0"/>
        <w:rPr>
          <w:bCs/>
        </w:rPr>
      </w:pPr>
    </w:p>
    <w:p w:rsidR="009A55D0" w:rsidP="00FD3955" w14:paraId="4F26536F" w14:textId="77777777">
      <w:pPr>
        <w:widowControl/>
        <w:tabs>
          <w:tab w:val="left" w:pos="-1180"/>
        </w:tabs>
        <w:autoSpaceDE w:val="0"/>
        <w:autoSpaceDN w:val="0"/>
        <w:adjustRightInd w:val="0"/>
        <w:rPr>
          <w:bCs/>
        </w:rPr>
      </w:pPr>
      <w:r w:rsidRPr="0011051A">
        <w:rPr>
          <w:bCs/>
        </w:rPr>
        <w:t>Fishing gear is marked with the minimum information needed to identify the vessel owner or operator, and for the GOA sablefish IFQ fishery, the type of gear. Most fishermen properly identify marker buoys and are not adversely affected by this requirement.</w:t>
      </w:r>
    </w:p>
    <w:p w:rsidR="00CC3E3F" w:rsidP="00FD3955" w14:paraId="15E90202" w14:textId="77777777">
      <w:pPr>
        <w:pBdr>
          <w:top w:val="nil"/>
          <w:left w:val="nil"/>
          <w:bottom w:val="nil"/>
          <w:right w:val="nil"/>
          <w:between w:val="nil"/>
        </w:pBdr>
        <w:rPr>
          <w:color w:val="000000"/>
        </w:rPr>
      </w:pPr>
    </w:p>
    <w:p w:rsidR="00BD6DA0" w:rsidP="0092671F" w14:paraId="26FEB15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C3E3F" w:rsidP="00FD3955" w14:paraId="1FA4549B" w14:textId="50CEE4FB">
      <w:pPr>
        <w:pBdr>
          <w:top w:val="nil"/>
          <w:left w:val="nil"/>
          <w:bottom w:val="nil"/>
          <w:right w:val="nil"/>
          <w:between w:val="nil"/>
        </w:pBdr>
        <w:rPr>
          <w:color w:val="2F5496"/>
        </w:rPr>
      </w:pPr>
    </w:p>
    <w:p w:rsidR="009A55D0" w:rsidRPr="00126F7A" w:rsidP="00FD3955" w14:paraId="5997A38C" w14:textId="77777777">
      <w:pPr>
        <w:widowControl/>
        <w:pBdr>
          <w:top w:val="nil"/>
          <w:left w:val="nil"/>
          <w:bottom w:val="nil"/>
          <w:right w:val="nil"/>
          <w:between w:val="nil"/>
        </w:pBdr>
      </w:pPr>
      <w:r w:rsidRPr="0011051A">
        <w:t>If this collection is not conducted or is conducted less frequently, the ability of NMFS and the USCG to enforce the fishery management measures will be significantly impaired, and the fisheries could be endangered.</w:t>
      </w:r>
    </w:p>
    <w:p w:rsidR="009A55D0" w:rsidRPr="00126F7A" w:rsidP="00FD3955" w14:paraId="296A05C8" w14:textId="77777777">
      <w:pPr>
        <w:widowControl/>
        <w:pBdr>
          <w:top w:val="nil"/>
          <w:left w:val="nil"/>
          <w:bottom w:val="nil"/>
          <w:right w:val="nil"/>
          <w:between w:val="nil"/>
        </w:pBdr>
      </w:pPr>
    </w:p>
    <w:p w:rsidR="00BD6DA0" w:rsidP="00FD3955" w14:paraId="2591F99D"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FD3955" w:rsidP="00FD3955" w14:paraId="7673F0BA" w14:textId="77777777">
      <w:pPr>
        <w:pBdr>
          <w:top w:val="nil"/>
          <w:left w:val="nil"/>
          <w:bottom w:val="nil"/>
          <w:right w:val="nil"/>
          <w:between w:val="nil"/>
        </w:pBdr>
      </w:pPr>
    </w:p>
    <w:p w:rsidR="00FD3955" w:rsidP="00FD3955" w14:paraId="009BB7A8" w14:textId="58B0171F">
      <w:pPr>
        <w:pBdr>
          <w:top w:val="nil"/>
          <w:left w:val="nil"/>
          <w:bottom w:val="nil"/>
          <w:right w:val="nil"/>
          <w:between w:val="nil"/>
        </w:pBdr>
        <w:spacing w:before="80"/>
      </w:pPr>
      <w:r>
        <w:t xml:space="preserve">This collection does not require </w:t>
      </w:r>
      <w:r w:rsidRPr="00FD3955">
        <w:t>respondents to report information to the a</w:t>
      </w:r>
      <w:r>
        <w:t>gency more often than quarterly.</w:t>
      </w:r>
    </w:p>
    <w:p w:rsidR="00FD3955" w:rsidP="00FD3955" w14:paraId="70E149BF" w14:textId="77777777">
      <w:pPr>
        <w:pBdr>
          <w:top w:val="nil"/>
          <w:left w:val="nil"/>
          <w:bottom w:val="nil"/>
          <w:right w:val="nil"/>
          <w:between w:val="nil"/>
        </w:pBdr>
        <w:spacing w:before="80"/>
      </w:pPr>
      <w:r>
        <w:t>This collection does not require respondents to prepare a written response to a collection of information in fewer than 30 days after receipt of it.</w:t>
      </w:r>
    </w:p>
    <w:p w:rsidR="00FD3955" w:rsidP="00FD3955" w14:paraId="0DD71A8E" w14:textId="77777777">
      <w:pPr>
        <w:pBdr>
          <w:top w:val="nil"/>
          <w:left w:val="nil"/>
          <w:bottom w:val="nil"/>
          <w:right w:val="nil"/>
          <w:between w:val="nil"/>
        </w:pBdr>
        <w:spacing w:before="80"/>
      </w:pPr>
      <w:r>
        <w:t>This collection does not require respondents to submit more than an original and two copies of any document.</w:t>
      </w:r>
    </w:p>
    <w:p w:rsidR="00FD3955" w:rsidP="00FD3955" w14:paraId="10226379" w14:textId="77777777">
      <w:pPr>
        <w:pBdr>
          <w:top w:val="nil"/>
          <w:left w:val="nil"/>
          <w:bottom w:val="nil"/>
          <w:right w:val="nil"/>
          <w:between w:val="nil"/>
        </w:pBdr>
        <w:spacing w:before="80"/>
      </w:pPr>
      <w:r>
        <w:t>This collection does not require respondents to retain records, other than health, medical, government contract, grant-in- aid, or tax records for more than three years.</w:t>
      </w:r>
    </w:p>
    <w:p w:rsidR="00FD3955" w:rsidP="00FD3955" w14:paraId="124EE10B" w14:textId="77777777">
      <w:pPr>
        <w:pBdr>
          <w:top w:val="nil"/>
          <w:left w:val="nil"/>
          <w:bottom w:val="nil"/>
          <w:right w:val="nil"/>
          <w:between w:val="nil"/>
        </w:pBdr>
        <w:spacing w:before="80"/>
      </w:pPr>
      <w:r>
        <w:t>This collection is not in connection with a statistical survey that is not designed to produce valid and reliable results that can be generalized to the universe of study.</w:t>
      </w:r>
      <w:r>
        <w:tab/>
      </w:r>
      <w:bookmarkStart w:id="0" w:name="_GoBack"/>
      <w:bookmarkEnd w:id="0"/>
    </w:p>
    <w:p w:rsidR="00FD3955" w:rsidP="00FD3955" w14:paraId="771C0C6E" w14:textId="77777777">
      <w:pPr>
        <w:pBdr>
          <w:top w:val="nil"/>
          <w:left w:val="nil"/>
          <w:bottom w:val="nil"/>
          <w:right w:val="nil"/>
          <w:between w:val="nil"/>
        </w:pBdr>
        <w:spacing w:before="80"/>
      </w:pPr>
      <w:r>
        <w:t>This collection does not require the use of a statistical data classification that has not been reviewed and approved by OMB.</w:t>
      </w:r>
    </w:p>
    <w:p w:rsidR="00FD3955" w:rsidP="00FD3955" w14:paraId="0A15C2F6" w14:textId="77777777">
      <w:pPr>
        <w:pBdr>
          <w:top w:val="nil"/>
          <w:left w:val="nil"/>
          <w:bottom w:val="nil"/>
          <w:right w:val="nil"/>
          <w:between w:val="nil"/>
        </w:pBdr>
        <w:spacing w:before="80"/>
      </w:pPr>
      <w:r>
        <w:t>This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94770" w:rsidRPr="007D2CFD" w:rsidP="00FD3955" w14:paraId="38531D7A" w14:textId="7FE51986">
      <w:pPr>
        <w:pBdr>
          <w:top w:val="nil"/>
          <w:left w:val="nil"/>
          <w:bottom w:val="nil"/>
          <w:right w:val="nil"/>
          <w:between w:val="nil"/>
        </w:pBdr>
        <w:spacing w:before="80"/>
      </w:pPr>
      <w: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E94770" w:rsidRPr="007D2CFD" w:rsidP="00FD3955" w14:paraId="4A89B30D" w14:textId="77777777">
      <w:pPr>
        <w:pBdr>
          <w:top w:val="nil"/>
          <w:left w:val="nil"/>
          <w:bottom w:val="nil"/>
          <w:right w:val="nil"/>
          <w:between w:val="nil"/>
        </w:pBdr>
      </w:pPr>
    </w:p>
    <w:p w:rsidR="00BD6DA0" w:rsidP="00FD3955" w14:paraId="09009AF1"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C3E3F" w:rsidP="00FD3955" w14:paraId="0C2268F8" w14:textId="51B0F825">
      <w:pPr>
        <w:pBdr>
          <w:top w:val="nil"/>
          <w:left w:val="nil"/>
          <w:bottom w:val="nil"/>
          <w:right w:val="nil"/>
          <w:between w:val="nil"/>
        </w:pBdr>
        <w:rPr>
          <w:color w:val="2F5496"/>
        </w:rPr>
      </w:pPr>
    </w:p>
    <w:p w:rsidR="00CC3E3F" w:rsidP="005449F1" w14:paraId="1F21B395" w14:textId="7718448D">
      <w:pPr>
        <w:widowControl/>
        <w:pBdr>
          <w:top w:val="nil"/>
          <w:left w:val="nil"/>
          <w:bottom w:val="nil"/>
          <w:right w:val="nil"/>
          <w:between w:val="nil"/>
        </w:pBdr>
        <w:tabs>
          <w:tab w:val="left" w:pos="360"/>
        </w:tabs>
        <w:rPr>
          <w:color w:val="2F5496"/>
        </w:rPr>
      </w:pPr>
      <w:r>
        <w:t>A proposed rule (RIN 0648-BM77</w:t>
      </w:r>
      <w:r w:rsidRPr="00EB18AD">
        <w:t>) soliciting public comments will be published coincident with this submission.</w:t>
      </w:r>
    </w:p>
    <w:p w:rsidR="00CC3E3F" w:rsidP="00FD3955" w14:paraId="6AF32B86" w14:textId="77777777">
      <w:pPr>
        <w:pBdr>
          <w:top w:val="nil"/>
          <w:left w:val="nil"/>
          <w:bottom w:val="nil"/>
          <w:right w:val="nil"/>
          <w:between w:val="nil"/>
        </w:pBdr>
        <w:rPr>
          <w:color w:val="000000"/>
        </w:rPr>
      </w:pPr>
    </w:p>
    <w:p w:rsidR="00BD6DA0" w:rsidP="00FD3955" w14:paraId="0DD9B010"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CC3E3F" w:rsidRPr="00CC3E3F" w:rsidP="00FD3955" w14:paraId="73441D5E" w14:textId="77777777">
      <w:pPr>
        <w:pBdr>
          <w:top w:val="nil"/>
          <w:left w:val="nil"/>
          <w:bottom w:val="nil"/>
          <w:right w:val="nil"/>
          <w:between w:val="nil"/>
        </w:pBdr>
        <w:tabs>
          <w:tab w:val="left" w:pos="360"/>
        </w:tabs>
        <w:rPr>
          <w:color w:val="000000"/>
        </w:rPr>
      </w:pPr>
    </w:p>
    <w:p w:rsidR="00CC3E3F" w:rsidRPr="00CC3E3F" w:rsidP="00FD3955" w14:paraId="17278AE6" w14:textId="56379C57">
      <w:pPr>
        <w:pBdr>
          <w:top w:val="nil"/>
          <w:left w:val="nil"/>
          <w:bottom w:val="nil"/>
          <w:right w:val="nil"/>
          <w:between w:val="nil"/>
        </w:pBdr>
        <w:tabs>
          <w:tab w:val="left" w:pos="360"/>
        </w:tabs>
        <w:rPr>
          <w:color w:val="000000"/>
        </w:rPr>
      </w:pPr>
      <w:r w:rsidRPr="00E94770">
        <w:rPr>
          <w:color w:val="000000"/>
        </w:rPr>
        <w:t xml:space="preserve">No payment or gift is provided </w:t>
      </w:r>
      <w:r>
        <w:rPr>
          <w:color w:val="000000"/>
        </w:rPr>
        <w:t>to the respondents</w:t>
      </w:r>
      <w:r w:rsidRPr="00E94770">
        <w:rPr>
          <w:color w:val="000000"/>
        </w:rPr>
        <w:t>.</w:t>
      </w:r>
    </w:p>
    <w:p w:rsidR="00CC3E3F" w:rsidRPr="00CC3E3F" w:rsidP="00FD3955" w14:paraId="630854D2" w14:textId="77777777">
      <w:pPr>
        <w:pBdr>
          <w:top w:val="nil"/>
          <w:left w:val="nil"/>
          <w:bottom w:val="nil"/>
          <w:right w:val="nil"/>
          <w:between w:val="nil"/>
        </w:pBdr>
        <w:tabs>
          <w:tab w:val="left" w:pos="360"/>
        </w:tabs>
        <w:rPr>
          <w:color w:val="000000"/>
        </w:rPr>
      </w:pPr>
    </w:p>
    <w:p w:rsidR="00BD6DA0" w:rsidP="00FD3955" w14:paraId="51AAF021"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C3E3F" w:rsidP="00FD3955" w14:paraId="761D91D7" w14:textId="77777777">
      <w:pPr>
        <w:pBdr>
          <w:top w:val="nil"/>
          <w:left w:val="nil"/>
          <w:bottom w:val="nil"/>
          <w:right w:val="nil"/>
          <w:between w:val="nil"/>
        </w:pBdr>
        <w:rPr>
          <w:color w:val="2F5496"/>
        </w:rPr>
      </w:pPr>
    </w:p>
    <w:p w:rsidR="007D2CFD" w:rsidRPr="00AA52A5" w:rsidP="00FD3955" w14:paraId="51F10055" w14:textId="77777777">
      <w:pPr>
        <w:keepNext/>
        <w:keepLines/>
        <w:widowControl/>
        <w:tabs>
          <w:tab w:val="left" w:pos="-1180"/>
        </w:tabs>
        <w:autoSpaceDE w:val="0"/>
        <w:autoSpaceDN w:val="0"/>
        <w:adjustRightInd w:val="0"/>
      </w:pPr>
      <w:r w:rsidRPr="00AA52A5">
        <w:t>The marking of fishing gear is not confidential. There is no assurance of confidentiality provided, as marking of gear occurs on an individual basis.</w:t>
      </w:r>
    </w:p>
    <w:p w:rsidR="00CC3E3F" w:rsidP="00FD3955" w14:paraId="7BD1FDF5" w14:textId="77777777">
      <w:pPr>
        <w:pBdr>
          <w:top w:val="nil"/>
          <w:left w:val="nil"/>
          <w:bottom w:val="nil"/>
          <w:right w:val="nil"/>
          <w:between w:val="nil"/>
        </w:pBdr>
        <w:rPr>
          <w:color w:val="000000"/>
        </w:rPr>
      </w:pPr>
    </w:p>
    <w:p w:rsidR="00BD6DA0" w:rsidP="00FD3955" w14:paraId="4208A11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3E3F" w:rsidP="00FD3955" w14:paraId="7B0AF0F5" w14:textId="77777777">
      <w:pPr>
        <w:rPr>
          <w:color w:val="2F5496"/>
        </w:rPr>
      </w:pPr>
    </w:p>
    <w:p w:rsidR="007D2CFD" w:rsidRPr="00AA52A5" w:rsidP="00FD3955" w14:paraId="59049CFF" w14:textId="77777777">
      <w:pPr>
        <w:widowControl/>
        <w:tabs>
          <w:tab w:val="left" w:pos="-1180"/>
        </w:tabs>
        <w:autoSpaceDE w:val="0"/>
        <w:autoSpaceDN w:val="0"/>
        <w:adjustRightInd w:val="0"/>
      </w:pPr>
      <w:r w:rsidRPr="00AA52A5">
        <w:t>This information collection does not involve information of a sensitive nature.</w:t>
      </w:r>
    </w:p>
    <w:p w:rsidR="00CC3E3F" w:rsidP="00FD3955" w14:paraId="25BE0242" w14:textId="77777777"/>
    <w:p w:rsidR="00BD6DA0" w:rsidP="00FD3955" w14:paraId="056967DC"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BD6DA0" w:rsidP="00FD3955" w14:paraId="1D84B1A1" w14:textId="77777777">
      <w:pPr>
        <w:rPr>
          <w:color w:val="FF0000"/>
        </w:rPr>
      </w:pPr>
    </w:p>
    <w:p w:rsidR="00FD70FE" w:rsidP="00FD3955" w14:paraId="139DF946" w14:textId="60861870">
      <w:pPr>
        <w:pBdr>
          <w:top w:val="nil"/>
          <w:left w:val="nil"/>
          <w:bottom w:val="nil"/>
          <w:right w:val="nil"/>
          <w:between w:val="nil"/>
        </w:pBdr>
        <w:tabs>
          <w:tab w:val="left" w:pos="360"/>
        </w:tabs>
      </w:pPr>
      <w:r w:rsidRPr="0011336A">
        <w:t>Th</w:t>
      </w:r>
      <w:r>
        <w:t xml:space="preserve">is </w:t>
      </w:r>
      <w:r w:rsidR="003E437B">
        <w:t>proposed</w:t>
      </w:r>
      <w:r>
        <w:t xml:space="preserve"> rule (RIN 0648-</w:t>
      </w:r>
      <w:r w:rsidR="00FA728B">
        <w:t>BM77</w:t>
      </w:r>
      <w:r w:rsidRPr="0011336A">
        <w:t xml:space="preserve">) </w:t>
      </w:r>
      <w:r w:rsidR="003E437B">
        <w:t>would amend</w:t>
      </w:r>
      <w:r w:rsidR="00FA728B">
        <w:t xml:space="preserve"> </w:t>
      </w:r>
      <w:r>
        <w:t xml:space="preserve">the requirement </w:t>
      </w:r>
      <w:r w:rsidR="00FA728B">
        <w:t>for marking longline pot gear</w:t>
      </w:r>
      <w:r w:rsidR="00144D48">
        <w:t xml:space="preserve"> to include vessels in the Bering Sea Greenland turbot fishery</w:t>
      </w:r>
      <w:r w:rsidR="001C3506">
        <w:t>.</w:t>
      </w:r>
      <w:r w:rsidR="00FA728B">
        <w:t xml:space="preserve"> </w:t>
      </w:r>
      <w:r>
        <w:t xml:space="preserve">Nine </w:t>
      </w:r>
      <w:r w:rsidR="00DA3BAA">
        <w:t>vessels are added to the respondents for Longline Pot Gear Marker Buoys, which increases the total annual responses</w:t>
      </w:r>
      <w:r w:rsidR="001C3506">
        <w:t>, burden, and costs for this collection</w:t>
      </w:r>
      <w:r w:rsidR="00DA3BAA">
        <w:t>.</w:t>
      </w:r>
    </w:p>
    <w:p w:rsidR="00FD70FE" w:rsidP="00FD3955" w14:paraId="2E70BE7C" w14:textId="77777777">
      <w:pPr>
        <w:pBdr>
          <w:top w:val="nil"/>
          <w:left w:val="nil"/>
          <w:bottom w:val="nil"/>
          <w:right w:val="nil"/>
          <w:between w:val="nil"/>
        </w:pBdr>
        <w:tabs>
          <w:tab w:val="left" w:pos="360"/>
        </w:tabs>
      </w:pPr>
    </w:p>
    <w:p w:rsidR="00FD70FE" w:rsidRPr="00E62184" w:rsidP="00FD3955" w14:paraId="17FC7BA4" w14:textId="34710E24">
      <w:pPr>
        <w:pBdr>
          <w:top w:val="nil"/>
          <w:left w:val="nil"/>
          <w:bottom w:val="nil"/>
          <w:right w:val="nil"/>
          <w:between w:val="nil"/>
        </w:pBdr>
        <w:tabs>
          <w:tab w:val="left" w:pos="360"/>
        </w:tabs>
        <w:rPr>
          <w:b/>
          <w:color w:val="000000"/>
        </w:rPr>
      </w:pPr>
      <w:r w:rsidRPr="0011336A">
        <w:t xml:space="preserve">The </w:t>
      </w:r>
      <w:r>
        <w:t xml:space="preserve">wage rate has </w:t>
      </w:r>
      <w:r w:rsidRPr="0011336A">
        <w:t>been updated to use the mo</w:t>
      </w:r>
      <w:r>
        <w:t>st current hourly wage rate</w:t>
      </w:r>
      <w:r w:rsidRPr="0011336A">
        <w:t xml:space="preserve"> available (May </w:t>
      </w:r>
      <w:r w:rsidRPr="0011336A" w:rsidR="00E62184">
        <w:t>202</w:t>
      </w:r>
      <w:r w:rsidR="00E62184">
        <w:t>3</w:t>
      </w:r>
      <w:r w:rsidRPr="0011336A">
        <w:t>)</w:t>
      </w:r>
      <w:r w:rsidR="00E62184">
        <w:t xml:space="preserve"> from the </w:t>
      </w:r>
      <w:r w:rsidRPr="00E62184" w:rsidR="00E62184">
        <w:t>U. S. Bureau of Labor Statistics (BLS)</w:t>
      </w:r>
      <w:r>
        <w:t xml:space="preserve">. The wage rate estimate </w:t>
      </w:r>
      <w:r w:rsidR="00E62184">
        <w:t xml:space="preserve">is </w:t>
      </w:r>
      <w:r>
        <w:t xml:space="preserve">the BLS mean </w:t>
      </w:r>
      <w:r w:rsidRPr="004C13EA">
        <w:t>hour</w:t>
      </w:r>
      <w:r>
        <w:t>ly</w:t>
      </w:r>
      <w:r w:rsidRPr="004C13EA">
        <w:t xml:space="preserve"> wage </w:t>
      </w:r>
      <w:r>
        <w:t xml:space="preserve">for Alaska </w:t>
      </w:r>
      <w:r w:rsidRPr="004C13EA">
        <w:t xml:space="preserve">for </w:t>
      </w:r>
      <w:r w:rsidRPr="004C13EA">
        <w:rPr>
          <w:rStyle w:val="CommentReference"/>
          <w:sz w:val="24"/>
          <w:szCs w:val="24"/>
        </w:rPr>
        <w:t xml:space="preserve">Occupation Code 45-0000 (Farming, Fishing, and Forestry </w:t>
      </w:r>
      <w:r w:rsidRPr="00CE0AAD">
        <w:rPr>
          <w:rStyle w:val="CommentReference"/>
          <w:sz w:val="24"/>
          <w:szCs w:val="24"/>
        </w:rPr>
        <w:t>Occupations</w:t>
      </w:r>
      <w:r w:rsidRPr="00E62184">
        <w:rPr>
          <w:rStyle w:val="CommentReference"/>
          <w:sz w:val="24"/>
          <w:szCs w:val="24"/>
        </w:rPr>
        <w:t xml:space="preserve">; </w:t>
      </w:r>
      <w:hyperlink r:id="rId16" w:history="1">
        <w:r w:rsidRPr="00E62184">
          <w:rPr>
            <w:rStyle w:val="Hyperlink"/>
          </w:rPr>
          <w:t>https://www.bls.gov/oes/current/oes_ak.htm#:~:text=1.5%25-,45%2D0000,5.7%25,-45%2D1011</w:t>
        </w:r>
      </w:hyperlink>
      <w:r w:rsidRPr="00E62184">
        <w:rPr>
          <w:rStyle w:val="CommentReference"/>
          <w:sz w:val="24"/>
          <w:szCs w:val="24"/>
        </w:rPr>
        <w:t>).</w:t>
      </w:r>
      <w:r w:rsidRPr="00E62184">
        <w:t xml:space="preserve"> </w:t>
      </w:r>
    </w:p>
    <w:p w:rsidR="00E7254D" w:rsidRPr="00835870" w:rsidP="00FD3955" w14:paraId="0981CBD8" w14:textId="0042435F">
      <w:pPr>
        <w:pBdr>
          <w:top w:val="nil"/>
          <w:left w:val="nil"/>
          <w:bottom w:val="nil"/>
          <w:right w:val="nil"/>
          <w:between w:val="nil"/>
        </w:pBdr>
        <w:tabs>
          <w:tab w:val="left" w:pos="360"/>
        </w:tabs>
      </w:pPr>
    </w:p>
    <w:p w:rsidR="00FD70FE" w:rsidRPr="00835870" w:rsidP="00FD3955" w14:paraId="4D6A1272" w14:textId="77777777">
      <w:pPr>
        <w:pBdr>
          <w:top w:val="nil"/>
          <w:left w:val="nil"/>
          <w:bottom w:val="nil"/>
          <w:right w:val="nil"/>
          <w:between w:val="nil"/>
        </w:pBdr>
        <w:tabs>
          <w:tab w:val="left" w:pos="360"/>
        </w:tabs>
        <w:rPr>
          <w:color w:val="000000"/>
        </w:rPr>
      </w:pPr>
    </w:p>
    <w:tbl>
      <w:tblPr>
        <w:tblW w:w="10432" w:type="dxa"/>
        <w:tblLayout w:type="fixed"/>
        <w:tblLook w:val="04A0"/>
      </w:tblPr>
      <w:tblGrid>
        <w:gridCol w:w="1610"/>
        <w:gridCol w:w="1260"/>
        <w:gridCol w:w="1080"/>
        <w:gridCol w:w="1260"/>
        <w:gridCol w:w="1080"/>
        <w:gridCol w:w="990"/>
        <w:gridCol w:w="990"/>
        <w:gridCol w:w="1067"/>
        <w:gridCol w:w="1095"/>
      </w:tblGrid>
      <w:tr w14:paraId="20AC2B03" w14:textId="77777777" w:rsidTr="00851FE9">
        <w:tblPrEx>
          <w:tblW w:w="10432" w:type="dxa"/>
          <w:tblLayout w:type="fixed"/>
          <w:tblLook w:val="04A0"/>
        </w:tblPrEx>
        <w:trPr>
          <w:trHeight w:val="1329"/>
        </w:trPr>
        <w:tc>
          <w:tcPr>
            <w:tcW w:w="1610" w:type="dxa"/>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rsidR="00FD70FE" w:rsidRPr="00835870" w:rsidP="00FD3955" w14:paraId="795281F1"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Information Collection</w:t>
            </w:r>
          </w:p>
        </w:tc>
        <w:tc>
          <w:tcPr>
            <w:tcW w:w="1260" w:type="dxa"/>
            <w:tcBorders>
              <w:top w:val="single" w:sz="8" w:space="0" w:color="auto"/>
              <w:left w:val="nil"/>
              <w:bottom w:val="single" w:sz="8" w:space="0" w:color="auto"/>
              <w:right w:val="single" w:sz="8" w:space="0" w:color="000000"/>
            </w:tcBorders>
            <w:shd w:val="clear" w:color="auto" w:fill="8DB3E2" w:themeFill="text2" w:themeFillTint="66"/>
            <w:vAlign w:val="center"/>
            <w:hideMark/>
          </w:tcPr>
          <w:p w:rsidR="00FD70FE" w:rsidRPr="00835870" w:rsidP="00FD3955" w14:paraId="6D4FF548"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Type of Respondent (Occupational Title)</w:t>
            </w:r>
          </w:p>
        </w:tc>
        <w:tc>
          <w:tcPr>
            <w:tcW w:w="1080" w:type="dxa"/>
            <w:tcBorders>
              <w:top w:val="single" w:sz="8" w:space="0" w:color="auto"/>
              <w:left w:val="nil"/>
              <w:bottom w:val="single" w:sz="8" w:space="0" w:color="auto"/>
              <w:right w:val="single" w:sz="8" w:space="0" w:color="000000"/>
            </w:tcBorders>
            <w:shd w:val="clear" w:color="auto" w:fill="8DB3E2" w:themeFill="text2" w:themeFillTint="66"/>
            <w:vAlign w:val="center"/>
            <w:hideMark/>
          </w:tcPr>
          <w:p w:rsidR="00FD70FE" w:rsidRPr="00835870" w:rsidP="00FD3955" w14:paraId="2F81B961"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 of Respondents</w:t>
            </w:r>
          </w:p>
          <w:p w:rsidR="00FD70FE" w:rsidRPr="00835870" w:rsidP="00FD3955" w14:paraId="1EB17936"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(a)</w:t>
            </w:r>
          </w:p>
        </w:tc>
        <w:tc>
          <w:tcPr>
            <w:tcW w:w="126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35870" w:rsidP="00FD3955" w14:paraId="1983BE39"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Annual # of Responses / Respondent</w:t>
            </w:r>
          </w:p>
          <w:p w:rsidR="00FD70FE" w:rsidRPr="00835870" w:rsidP="00FD3955" w14:paraId="6E254D9F"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(b)</w:t>
            </w:r>
            <w:r w:rsidRPr="00835870">
              <w:rPr>
                <w:rFonts w:asciiTheme="minorHAnsi" w:hAnsiTheme="minorHAnsi" w:cstheme="minorHAnsi"/>
                <w:b/>
                <w:bCs/>
                <w:color w:val="000000"/>
                <w:sz w:val="16"/>
                <w:szCs w:val="16"/>
                <w:vertAlign w:val="superscript"/>
              </w:rPr>
              <w:t>1, 2</w:t>
            </w:r>
          </w:p>
        </w:tc>
        <w:tc>
          <w:tcPr>
            <w:tcW w:w="108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35870" w:rsidP="00FD3955" w14:paraId="281FC074"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 xml:space="preserve"> Total # of Annual Responses</w:t>
            </w:r>
          </w:p>
          <w:p w:rsidR="00FD70FE" w:rsidRPr="00835870" w:rsidP="00FD3955" w14:paraId="6526E6FF"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(c) = (a) x (b)</w:t>
            </w:r>
          </w:p>
        </w:tc>
        <w:tc>
          <w:tcPr>
            <w:tcW w:w="99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35870" w:rsidP="00FD3955" w14:paraId="2078C212"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 xml:space="preserve">Burden </w:t>
            </w:r>
            <w:r w:rsidRPr="00835870">
              <w:rPr>
                <w:rFonts w:asciiTheme="minorHAnsi" w:hAnsiTheme="minorHAnsi" w:cstheme="minorHAnsi"/>
                <w:b/>
                <w:bCs/>
                <w:color w:val="000000"/>
                <w:sz w:val="16"/>
                <w:szCs w:val="16"/>
              </w:rPr>
              <w:t>Hrs</w:t>
            </w:r>
            <w:r w:rsidRPr="00835870">
              <w:rPr>
                <w:rFonts w:asciiTheme="minorHAnsi" w:hAnsiTheme="minorHAnsi" w:cstheme="minorHAnsi"/>
                <w:b/>
                <w:bCs/>
                <w:color w:val="000000"/>
                <w:sz w:val="16"/>
                <w:szCs w:val="16"/>
              </w:rPr>
              <w:t xml:space="preserve"> / Response</w:t>
            </w:r>
          </w:p>
          <w:p w:rsidR="00FD70FE" w:rsidRPr="00835870" w:rsidP="00FD3955" w14:paraId="53B9E290"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(d)</w:t>
            </w:r>
          </w:p>
        </w:tc>
        <w:tc>
          <w:tcPr>
            <w:tcW w:w="99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35870" w:rsidP="00FD3955" w14:paraId="1D3586BB"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 xml:space="preserve">Total Annual Burden </w:t>
            </w:r>
            <w:r w:rsidRPr="00835870">
              <w:rPr>
                <w:rFonts w:asciiTheme="minorHAnsi" w:hAnsiTheme="minorHAnsi" w:cstheme="minorHAnsi"/>
                <w:b/>
                <w:bCs/>
                <w:color w:val="000000"/>
                <w:sz w:val="16"/>
                <w:szCs w:val="16"/>
              </w:rPr>
              <w:t>Hrs</w:t>
            </w:r>
          </w:p>
          <w:p w:rsidR="00FD70FE" w:rsidRPr="00835870" w:rsidP="00FD3955" w14:paraId="297E744C"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(e) = (c) x (d)</w:t>
            </w:r>
          </w:p>
        </w:tc>
        <w:tc>
          <w:tcPr>
            <w:tcW w:w="1067"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35870" w:rsidP="00FD3955" w14:paraId="73406292" w14:textId="1AB38152">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 xml:space="preserve">Mean Hourly Wage Rate </w:t>
            </w:r>
            <w:r w:rsidRPr="00835870">
              <w:rPr>
                <w:rFonts w:asciiTheme="minorHAnsi" w:hAnsiTheme="minorHAnsi" w:cstheme="minorHAnsi"/>
                <w:b/>
                <w:bCs/>
                <w:color w:val="000000"/>
                <w:sz w:val="16"/>
                <w:szCs w:val="16"/>
              </w:rPr>
              <w:t>(for Type of Respondent)</w:t>
            </w:r>
          </w:p>
          <w:p w:rsidR="00FD70FE" w:rsidRPr="00835870" w:rsidP="00FD3955" w14:paraId="08126883"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(f)</w:t>
            </w:r>
          </w:p>
        </w:tc>
        <w:tc>
          <w:tcPr>
            <w:tcW w:w="1095"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35870" w:rsidP="00FD3955" w14:paraId="45402B9A"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Total Annual Wage Burden Costs</w:t>
            </w:r>
          </w:p>
          <w:p w:rsidR="00FD70FE" w:rsidRPr="00835870" w:rsidP="00FD3955" w14:paraId="49D58DC2" w14:textId="77777777">
            <w:pPr>
              <w:widowControl/>
              <w:jc w:val="center"/>
              <w:rPr>
                <w:rFonts w:asciiTheme="minorHAnsi" w:hAnsiTheme="minorHAnsi" w:cstheme="minorHAnsi"/>
                <w:b/>
                <w:bCs/>
                <w:color w:val="000000"/>
                <w:sz w:val="16"/>
                <w:szCs w:val="16"/>
              </w:rPr>
            </w:pPr>
            <w:r w:rsidRPr="00835870">
              <w:rPr>
                <w:rFonts w:asciiTheme="minorHAnsi" w:hAnsiTheme="minorHAnsi" w:cstheme="minorHAnsi"/>
                <w:b/>
                <w:bCs/>
                <w:color w:val="000000"/>
                <w:sz w:val="16"/>
                <w:szCs w:val="16"/>
              </w:rPr>
              <w:t>(g) = (e) x (f)</w:t>
            </w:r>
          </w:p>
        </w:tc>
      </w:tr>
      <w:tr w14:paraId="531381BD" w14:textId="77777777" w:rsidTr="00851FE9">
        <w:tblPrEx>
          <w:tblW w:w="10432" w:type="dxa"/>
          <w:tblLayout w:type="fixed"/>
          <w:tblLook w:val="04A0"/>
        </w:tblPrEx>
        <w:trPr>
          <w:trHeight w:val="564"/>
        </w:trPr>
        <w:tc>
          <w:tcPr>
            <w:tcW w:w="1610" w:type="dxa"/>
            <w:tcBorders>
              <w:top w:val="nil"/>
              <w:left w:val="single" w:sz="8" w:space="0" w:color="auto"/>
              <w:bottom w:val="single" w:sz="4" w:space="0" w:color="auto"/>
              <w:right w:val="single" w:sz="4" w:space="0" w:color="auto"/>
            </w:tcBorders>
            <w:shd w:val="clear" w:color="auto" w:fill="auto"/>
            <w:vAlign w:val="center"/>
          </w:tcPr>
          <w:p w:rsidR="00FD70FE" w:rsidRPr="00700BF7" w:rsidP="00FD3955" w14:paraId="07FADC46" w14:textId="77777777">
            <w:pPr>
              <w:widowControl/>
              <w:rPr>
                <w:rFonts w:ascii="Calibri" w:hAnsi="Calibri" w:cs="Calibri"/>
                <w:color w:val="000000"/>
                <w:sz w:val="18"/>
                <w:szCs w:val="18"/>
              </w:rPr>
            </w:pPr>
            <w:r w:rsidRPr="00700BF7">
              <w:rPr>
                <w:rFonts w:ascii="Calibri" w:hAnsi="Calibri" w:cs="Calibri"/>
                <w:color w:val="000000"/>
                <w:sz w:val="18"/>
                <w:szCs w:val="18"/>
              </w:rPr>
              <w:t>Groundfish Hook-and-line Marker Buoys</w:t>
            </w:r>
          </w:p>
        </w:tc>
        <w:tc>
          <w:tcPr>
            <w:tcW w:w="1260" w:type="dxa"/>
            <w:tcBorders>
              <w:top w:val="nil"/>
              <w:left w:val="nil"/>
              <w:bottom w:val="single" w:sz="4" w:space="0" w:color="auto"/>
              <w:right w:val="single" w:sz="4" w:space="0" w:color="auto"/>
            </w:tcBorders>
            <w:shd w:val="clear" w:color="auto" w:fill="auto"/>
            <w:vAlign w:val="center"/>
          </w:tcPr>
          <w:p w:rsidR="00FD70FE" w:rsidRPr="00700BF7" w:rsidP="00FD3955" w14:paraId="3DE1162A" w14:textId="77777777">
            <w:pPr>
              <w:widowControl/>
              <w:jc w:val="center"/>
              <w:rPr>
                <w:rFonts w:ascii="Calibri" w:hAnsi="Calibri" w:cs="Calibri"/>
                <w:color w:val="000000"/>
                <w:sz w:val="18"/>
                <w:szCs w:val="18"/>
              </w:rPr>
            </w:pPr>
            <w:r w:rsidRPr="00700BF7">
              <w:rPr>
                <w:rFonts w:ascii="Calibri" w:hAnsi="Calibri" w:cs="Calibri"/>
                <w:color w:val="000000"/>
                <w:sz w:val="18"/>
                <w:szCs w:val="18"/>
              </w:rPr>
              <w:t>Vessel owner or operator</w:t>
            </w:r>
          </w:p>
        </w:tc>
        <w:tc>
          <w:tcPr>
            <w:tcW w:w="1080" w:type="dxa"/>
            <w:tcBorders>
              <w:top w:val="nil"/>
              <w:left w:val="nil"/>
              <w:bottom w:val="single" w:sz="4" w:space="0" w:color="auto"/>
              <w:right w:val="single" w:sz="4" w:space="0" w:color="auto"/>
            </w:tcBorders>
            <w:shd w:val="clear" w:color="auto" w:fill="auto"/>
            <w:vAlign w:val="center"/>
          </w:tcPr>
          <w:p w:rsidR="00FD70FE" w:rsidRPr="00E62184" w:rsidP="00FD3955" w14:paraId="7F1C0D97" w14:textId="77777777">
            <w:pPr>
              <w:widowControl/>
              <w:jc w:val="center"/>
              <w:rPr>
                <w:rFonts w:ascii="Calibri" w:hAnsi="Calibri" w:cs="Calibri"/>
                <w:color w:val="000000"/>
                <w:sz w:val="18"/>
                <w:szCs w:val="18"/>
              </w:rPr>
            </w:pPr>
            <w:r w:rsidRPr="00E62184">
              <w:rPr>
                <w:rFonts w:ascii="Calibri" w:hAnsi="Calibri" w:cs="Calibri"/>
                <w:color w:val="000000"/>
                <w:sz w:val="18"/>
                <w:szCs w:val="18"/>
              </w:rPr>
              <w:t>735</w:t>
            </w:r>
            <w:r w:rsidRPr="00E62184">
              <w:rPr>
                <w:rFonts w:ascii="Calibri" w:hAnsi="Calibri" w:cs="Calibri"/>
                <w:color w:val="000000"/>
                <w:sz w:val="18"/>
                <w:szCs w:val="18"/>
                <w:vertAlign w:val="superscript"/>
              </w:rPr>
              <w:t>3</w:t>
            </w:r>
          </w:p>
        </w:tc>
        <w:tc>
          <w:tcPr>
            <w:tcW w:w="1260" w:type="dxa"/>
            <w:tcBorders>
              <w:top w:val="nil"/>
              <w:left w:val="nil"/>
              <w:bottom w:val="single" w:sz="4" w:space="0" w:color="auto"/>
              <w:right w:val="single" w:sz="4" w:space="0" w:color="auto"/>
            </w:tcBorders>
            <w:shd w:val="clear" w:color="auto" w:fill="auto"/>
            <w:vAlign w:val="center"/>
          </w:tcPr>
          <w:p w:rsidR="00FD70FE" w:rsidRPr="00E62184" w:rsidP="00FD3955" w14:paraId="72424CDE" w14:textId="77777777">
            <w:pPr>
              <w:widowControl/>
              <w:rPr>
                <w:rFonts w:ascii="Calibri" w:hAnsi="Calibri" w:cs="Calibri"/>
                <w:color w:val="000000"/>
                <w:sz w:val="18"/>
                <w:szCs w:val="18"/>
              </w:rPr>
            </w:pPr>
            <w:r w:rsidRPr="00E62184">
              <w:rPr>
                <w:rFonts w:ascii="Calibri" w:hAnsi="Calibri" w:cs="Calibri"/>
                <w:color w:val="000000"/>
                <w:sz w:val="18"/>
                <w:szCs w:val="18"/>
              </w:rPr>
              <w:t>550: 6 buoys</w:t>
            </w:r>
          </w:p>
          <w:p w:rsidR="00FD70FE" w:rsidRPr="00E62184" w:rsidP="00FD3955" w14:paraId="748BD9F4" w14:textId="77777777">
            <w:pPr>
              <w:widowControl/>
              <w:rPr>
                <w:rFonts w:ascii="Calibri" w:hAnsi="Calibri" w:cs="Calibri"/>
                <w:color w:val="000000"/>
                <w:sz w:val="18"/>
                <w:szCs w:val="18"/>
              </w:rPr>
            </w:pPr>
            <w:r w:rsidRPr="00E62184">
              <w:rPr>
                <w:rFonts w:ascii="Calibri" w:hAnsi="Calibri" w:cs="Calibri"/>
                <w:color w:val="000000"/>
                <w:sz w:val="18"/>
                <w:szCs w:val="18"/>
              </w:rPr>
              <w:t>185: 12 buoys</w:t>
            </w:r>
          </w:p>
        </w:tc>
        <w:tc>
          <w:tcPr>
            <w:tcW w:w="1080" w:type="dxa"/>
            <w:tcBorders>
              <w:top w:val="nil"/>
              <w:left w:val="nil"/>
              <w:bottom w:val="single" w:sz="4" w:space="0" w:color="auto"/>
              <w:right w:val="single" w:sz="4" w:space="0" w:color="auto"/>
            </w:tcBorders>
            <w:shd w:val="clear" w:color="auto" w:fill="auto"/>
            <w:vAlign w:val="center"/>
          </w:tcPr>
          <w:p w:rsidR="00FD70FE" w:rsidRPr="00E62184" w:rsidP="00FD3955" w14:paraId="343568D7" w14:textId="77777777">
            <w:pPr>
              <w:widowControl/>
              <w:jc w:val="center"/>
              <w:rPr>
                <w:rFonts w:ascii="Calibri" w:hAnsi="Calibri" w:cs="Calibri"/>
                <w:color w:val="000000"/>
                <w:sz w:val="18"/>
                <w:szCs w:val="18"/>
              </w:rPr>
            </w:pPr>
            <w:r w:rsidRPr="00E62184">
              <w:rPr>
                <w:rFonts w:ascii="Calibri" w:hAnsi="Calibri" w:cs="Calibri"/>
                <w:color w:val="000000"/>
                <w:sz w:val="18"/>
                <w:szCs w:val="18"/>
              </w:rPr>
              <w:t>5,520</w:t>
            </w:r>
          </w:p>
        </w:tc>
        <w:tc>
          <w:tcPr>
            <w:tcW w:w="990" w:type="dxa"/>
            <w:tcBorders>
              <w:top w:val="nil"/>
              <w:left w:val="nil"/>
              <w:bottom w:val="single" w:sz="4" w:space="0" w:color="auto"/>
              <w:right w:val="single" w:sz="4" w:space="0" w:color="auto"/>
            </w:tcBorders>
            <w:shd w:val="clear" w:color="auto" w:fill="auto"/>
            <w:vAlign w:val="center"/>
          </w:tcPr>
          <w:p w:rsidR="00FD70FE" w:rsidRPr="00E62184" w:rsidP="00FD3955" w14:paraId="0003DC0C" w14:textId="77777777">
            <w:pPr>
              <w:widowControl/>
              <w:jc w:val="center"/>
              <w:rPr>
                <w:rFonts w:ascii="Calibri" w:hAnsi="Calibri" w:cs="Calibri"/>
                <w:color w:val="000000"/>
                <w:sz w:val="18"/>
                <w:szCs w:val="18"/>
              </w:rPr>
            </w:pPr>
            <w:r w:rsidRPr="00E62184">
              <w:rPr>
                <w:rFonts w:ascii="Calibri" w:hAnsi="Calibri" w:cs="Calibri"/>
                <w:color w:val="000000"/>
                <w:sz w:val="18"/>
                <w:szCs w:val="18"/>
              </w:rPr>
              <w:t>0.5</w:t>
            </w:r>
          </w:p>
        </w:tc>
        <w:tc>
          <w:tcPr>
            <w:tcW w:w="990" w:type="dxa"/>
            <w:tcBorders>
              <w:top w:val="nil"/>
              <w:left w:val="nil"/>
              <w:bottom w:val="single" w:sz="4" w:space="0" w:color="auto"/>
              <w:right w:val="single" w:sz="4" w:space="0" w:color="auto"/>
            </w:tcBorders>
            <w:shd w:val="clear" w:color="auto" w:fill="auto"/>
            <w:vAlign w:val="center"/>
          </w:tcPr>
          <w:p w:rsidR="00FD70FE" w:rsidRPr="00E62184" w:rsidP="00FD3955" w14:paraId="2F1D66F7" w14:textId="77777777">
            <w:pPr>
              <w:widowControl/>
              <w:jc w:val="center"/>
              <w:rPr>
                <w:rFonts w:ascii="Calibri" w:hAnsi="Calibri" w:cs="Calibri"/>
                <w:color w:val="000000"/>
                <w:sz w:val="18"/>
                <w:szCs w:val="18"/>
              </w:rPr>
            </w:pPr>
            <w:r w:rsidRPr="00E62184">
              <w:rPr>
                <w:rFonts w:ascii="Calibri" w:hAnsi="Calibri" w:cs="Calibri"/>
                <w:color w:val="000000"/>
                <w:sz w:val="18"/>
                <w:szCs w:val="18"/>
              </w:rPr>
              <w:t>2,760</w:t>
            </w:r>
          </w:p>
        </w:tc>
        <w:tc>
          <w:tcPr>
            <w:tcW w:w="1067" w:type="dxa"/>
            <w:tcBorders>
              <w:top w:val="nil"/>
              <w:left w:val="nil"/>
              <w:bottom w:val="single" w:sz="4" w:space="0" w:color="auto"/>
              <w:right w:val="single" w:sz="4" w:space="0" w:color="auto"/>
            </w:tcBorders>
            <w:shd w:val="clear" w:color="auto" w:fill="auto"/>
            <w:noWrap/>
            <w:vAlign w:val="center"/>
          </w:tcPr>
          <w:p w:rsidR="00FD70FE" w:rsidRPr="00E62184" w:rsidP="00E62184" w14:paraId="1603EAD3" w14:textId="7E7554A9">
            <w:pPr>
              <w:widowControl/>
              <w:jc w:val="center"/>
              <w:rPr>
                <w:rFonts w:ascii="Calibri" w:hAnsi="Calibri" w:cs="Calibri"/>
                <w:color w:val="000000"/>
                <w:sz w:val="18"/>
                <w:szCs w:val="18"/>
              </w:rPr>
            </w:pPr>
            <w:r w:rsidRPr="00E62184">
              <w:rPr>
                <w:rFonts w:ascii="Calibri" w:hAnsi="Calibri" w:cs="Calibri"/>
                <w:color w:val="000000"/>
                <w:sz w:val="18"/>
                <w:szCs w:val="18"/>
              </w:rPr>
              <w:t>$</w:t>
            </w:r>
            <w:r w:rsidR="00E62184">
              <w:rPr>
                <w:rFonts w:ascii="Calibri" w:hAnsi="Calibri" w:cs="Calibri"/>
                <w:color w:val="000000"/>
                <w:sz w:val="18"/>
                <w:szCs w:val="18"/>
              </w:rPr>
              <w:t>24.21</w:t>
            </w:r>
          </w:p>
        </w:tc>
        <w:tc>
          <w:tcPr>
            <w:tcW w:w="1095" w:type="dxa"/>
            <w:tcBorders>
              <w:top w:val="nil"/>
              <w:left w:val="nil"/>
              <w:bottom w:val="single" w:sz="4" w:space="0" w:color="auto"/>
              <w:right w:val="single" w:sz="8" w:space="0" w:color="auto"/>
            </w:tcBorders>
            <w:shd w:val="clear" w:color="auto" w:fill="auto"/>
            <w:noWrap/>
            <w:vAlign w:val="center"/>
          </w:tcPr>
          <w:p w:rsidR="00FD70FE" w:rsidRPr="00A117A9" w:rsidP="00E62184" w14:paraId="2F5460D4" w14:textId="001E17AB">
            <w:pPr>
              <w:widowControl/>
              <w:jc w:val="center"/>
              <w:rPr>
                <w:rFonts w:ascii="Calibri" w:hAnsi="Calibri" w:cs="Calibri"/>
                <w:color w:val="000000"/>
                <w:sz w:val="18"/>
                <w:szCs w:val="18"/>
                <w:highlight w:val="cyan"/>
              </w:rPr>
            </w:pPr>
            <w:r w:rsidRPr="00E62184">
              <w:rPr>
                <w:rFonts w:ascii="Calibri" w:hAnsi="Calibri" w:cs="Calibri"/>
                <w:color w:val="000000"/>
                <w:sz w:val="18"/>
                <w:szCs w:val="18"/>
              </w:rPr>
              <w:t>$</w:t>
            </w:r>
            <w:r w:rsidR="00E62184">
              <w:rPr>
                <w:rFonts w:ascii="Calibri" w:hAnsi="Calibri" w:cs="Calibri"/>
                <w:color w:val="000000"/>
                <w:sz w:val="18"/>
                <w:szCs w:val="18"/>
              </w:rPr>
              <w:t>66,820</w:t>
            </w:r>
          </w:p>
        </w:tc>
      </w:tr>
      <w:tr w14:paraId="3C904973" w14:textId="77777777" w:rsidTr="00851FE9">
        <w:tblPrEx>
          <w:tblW w:w="10432" w:type="dxa"/>
          <w:tblLayout w:type="fixed"/>
          <w:tblLook w:val="04A0"/>
        </w:tblPrEx>
        <w:trPr>
          <w:trHeight w:val="564"/>
        </w:trPr>
        <w:tc>
          <w:tcPr>
            <w:tcW w:w="1610" w:type="dxa"/>
            <w:tcBorders>
              <w:top w:val="nil"/>
              <w:left w:val="single" w:sz="8" w:space="0" w:color="auto"/>
              <w:bottom w:val="single" w:sz="4" w:space="0" w:color="auto"/>
              <w:right w:val="single" w:sz="4" w:space="0" w:color="auto"/>
            </w:tcBorders>
            <w:shd w:val="clear" w:color="auto" w:fill="auto"/>
            <w:vAlign w:val="center"/>
          </w:tcPr>
          <w:p w:rsidR="00FD70FE" w:rsidRPr="00700BF7" w:rsidP="00FD3955" w14:paraId="2E651441" w14:textId="77777777">
            <w:pPr>
              <w:widowControl/>
              <w:rPr>
                <w:rFonts w:ascii="Calibri" w:hAnsi="Calibri" w:cs="Calibri"/>
                <w:color w:val="000000"/>
                <w:sz w:val="18"/>
                <w:szCs w:val="18"/>
              </w:rPr>
            </w:pPr>
            <w:r w:rsidRPr="00700BF7">
              <w:rPr>
                <w:rFonts w:ascii="Calibri" w:hAnsi="Calibri" w:cs="Calibri"/>
                <w:color w:val="000000"/>
                <w:sz w:val="18"/>
                <w:szCs w:val="18"/>
              </w:rPr>
              <w:t>Longline Pot Gear</w:t>
            </w:r>
            <w:r>
              <w:rPr>
                <w:rFonts w:ascii="Calibri" w:hAnsi="Calibri" w:cs="Calibri"/>
                <w:color w:val="000000"/>
                <w:sz w:val="18"/>
                <w:szCs w:val="18"/>
              </w:rPr>
              <w:t xml:space="preserve"> Marker Buoys</w:t>
            </w:r>
          </w:p>
        </w:tc>
        <w:tc>
          <w:tcPr>
            <w:tcW w:w="1260" w:type="dxa"/>
            <w:tcBorders>
              <w:top w:val="nil"/>
              <w:left w:val="nil"/>
              <w:bottom w:val="single" w:sz="4" w:space="0" w:color="auto"/>
              <w:right w:val="single" w:sz="4" w:space="0" w:color="auto"/>
            </w:tcBorders>
            <w:shd w:val="clear" w:color="auto" w:fill="auto"/>
            <w:vAlign w:val="center"/>
          </w:tcPr>
          <w:p w:rsidR="00FD70FE" w:rsidRPr="00700BF7" w:rsidP="00FD3955" w14:paraId="76C6C2A6" w14:textId="77777777">
            <w:pPr>
              <w:widowControl/>
              <w:jc w:val="center"/>
              <w:rPr>
                <w:rFonts w:ascii="Calibri" w:hAnsi="Calibri" w:cs="Calibri"/>
                <w:color w:val="000000"/>
                <w:sz w:val="18"/>
                <w:szCs w:val="18"/>
              </w:rPr>
            </w:pPr>
            <w:r w:rsidRPr="00700BF7">
              <w:rPr>
                <w:rFonts w:ascii="Calibri" w:hAnsi="Calibri" w:cs="Calibri"/>
                <w:color w:val="000000"/>
                <w:sz w:val="18"/>
                <w:szCs w:val="18"/>
              </w:rPr>
              <w:t>Vessel owner or operator</w:t>
            </w:r>
          </w:p>
        </w:tc>
        <w:tc>
          <w:tcPr>
            <w:tcW w:w="1080" w:type="dxa"/>
            <w:tcBorders>
              <w:top w:val="nil"/>
              <w:left w:val="nil"/>
              <w:bottom w:val="single" w:sz="4" w:space="0" w:color="auto"/>
              <w:right w:val="single" w:sz="4" w:space="0" w:color="auto"/>
            </w:tcBorders>
            <w:shd w:val="clear" w:color="auto" w:fill="auto"/>
            <w:vAlign w:val="center"/>
          </w:tcPr>
          <w:p w:rsidR="00FD70FE" w:rsidRPr="00DA3BAA" w:rsidP="00FD3955" w14:paraId="42264D9F" w14:textId="175E6C80">
            <w:pPr>
              <w:widowControl/>
              <w:jc w:val="center"/>
              <w:rPr>
                <w:rFonts w:ascii="Calibri" w:hAnsi="Calibri" w:cs="Calibri"/>
                <w:color w:val="000000"/>
                <w:sz w:val="18"/>
                <w:szCs w:val="18"/>
              </w:rPr>
            </w:pPr>
            <w:r>
              <w:rPr>
                <w:rFonts w:ascii="Calibri" w:hAnsi="Calibri" w:cs="Calibri"/>
                <w:color w:val="000000"/>
                <w:sz w:val="18"/>
                <w:szCs w:val="18"/>
              </w:rPr>
              <w:t>16</w:t>
            </w:r>
            <w:r w:rsidR="003A2808">
              <w:rPr>
                <w:rFonts w:ascii="Calibri" w:hAnsi="Calibri" w:cs="Calibri"/>
                <w:color w:val="000000"/>
                <w:sz w:val="18"/>
                <w:szCs w:val="18"/>
              </w:rPr>
              <w:t>9</w:t>
            </w:r>
          </w:p>
        </w:tc>
        <w:tc>
          <w:tcPr>
            <w:tcW w:w="1260" w:type="dxa"/>
            <w:tcBorders>
              <w:top w:val="nil"/>
              <w:left w:val="nil"/>
              <w:bottom w:val="single" w:sz="4" w:space="0" w:color="auto"/>
              <w:right w:val="single" w:sz="4" w:space="0" w:color="auto"/>
            </w:tcBorders>
            <w:shd w:val="clear" w:color="auto" w:fill="auto"/>
            <w:vAlign w:val="center"/>
          </w:tcPr>
          <w:p w:rsidR="00FD70FE" w:rsidRPr="00DA3BAA" w:rsidP="00FD3955" w14:paraId="527C9537" w14:textId="77777777">
            <w:pPr>
              <w:widowControl/>
              <w:jc w:val="center"/>
              <w:rPr>
                <w:rFonts w:ascii="Calibri" w:hAnsi="Calibri" w:cs="Calibri"/>
                <w:color w:val="000000"/>
                <w:sz w:val="18"/>
                <w:szCs w:val="18"/>
              </w:rPr>
            </w:pPr>
            <w:r w:rsidRPr="00DA3BAA">
              <w:rPr>
                <w:rFonts w:ascii="Calibri" w:hAnsi="Calibri" w:cs="Calibri"/>
                <w:color w:val="000000"/>
                <w:sz w:val="18"/>
                <w:szCs w:val="18"/>
              </w:rPr>
              <w:t>6 buoys</w:t>
            </w:r>
          </w:p>
        </w:tc>
        <w:tc>
          <w:tcPr>
            <w:tcW w:w="1080" w:type="dxa"/>
            <w:tcBorders>
              <w:top w:val="nil"/>
              <w:left w:val="nil"/>
              <w:bottom w:val="single" w:sz="4" w:space="0" w:color="auto"/>
              <w:right w:val="single" w:sz="4" w:space="0" w:color="auto"/>
            </w:tcBorders>
            <w:shd w:val="clear" w:color="auto" w:fill="auto"/>
            <w:vAlign w:val="center"/>
          </w:tcPr>
          <w:p w:rsidR="00FD70FE" w:rsidRPr="00DA3BAA" w:rsidP="00FD3955" w14:paraId="107551A0" w14:textId="0B179D07">
            <w:pPr>
              <w:widowControl/>
              <w:jc w:val="center"/>
              <w:rPr>
                <w:rFonts w:ascii="Calibri" w:hAnsi="Calibri" w:cs="Calibri"/>
                <w:color w:val="000000"/>
                <w:sz w:val="18"/>
                <w:szCs w:val="18"/>
              </w:rPr>
            </w:pPr>
            <w:r>
              <w:rPr>
                <w:rFonts w:ascii="Calibri" w:hAnsi="Calibri" w:cs="Calibri"/>
                <w:color w:val="000000"/>
                <w:sz w:val="18"/>
                <w:szCs w:val="18"/>
              </w:rPr>
              <w:t>1,014</w:t>
            </w:r>
          </w:p>
        </w:tc>
        <w:tc>
          <w:tcPr>
            <w:tcW w:w="990" w:type="dxa"/>
            <w:tcBorders>
              <w:top w:val="nil"/>
              <w:left w:val="nil"/>
              <w:bottom w:val="single" w:sz="4" w:space="0" w:color="auto"/>
              <w:right w:val="single" w:sz="4" w:space="0" w:color="auto"/>
            </w:tcBorders>
            <w:shd w:val="clear" w:color="auto" w:fill="auto"/>
            <w:vAlign w:val="center"/>
          </w:tcPr>
          <w:p w:rsidR="00FD70FE" w:rsidRPr="00DA3BAA" w:rsidP="00FD3955" w14:paraId="7FC91727" w14:textId="77777777">
            <w:pPr>
              <w:widowControl/>
              <w:jc w:val="center"/>
              <w:rPr>
                <w:rFonts w:ascii="Calibri" w:hAnsi="Calibri" w:cs="Calibri"/>
                <w:color w:val="000000"/>
                <w:sz w:val="18"/>
                <w:szCs w:val="18"/>
              </w:rPr>
            </w:pPr>
            <w:r w:rsidRPr="00DA3BAA">
              <w:rPr>
                <w:rFonts w:ascii="Calibri" w:hAnsi="Calibri" w:cs="Calibri"/>
                <w:color w:val="000000"/>
                <w:sz w:val="18"/>
                <w:szCs w:val="18"/>
              </w:rPr>
              <w:t>0.5</w:t>
            </w:r>
          </w:p>
        </w:tc>
        <w:tc>
          <w:tcPr>
            <w:tcW w:w="990" w:type="dxa"/>
            <w:tcBorders>
              <w:top w:val="nil"/>
              <w:left w:val="nil"/>
              <w:bottom w:val="single" w:sz="4" w:space="0" w:color="auto"/>
              <w:right w:val="single" w:sz="4" w:space="0" w:color="auto"/>
            </w:tcBorders>
            <w:shd w:val="clear" w:color="auto" w:fill="auto"/>
            <w:vAlign w:val="center"/>
          </w:tcPr>
          <w:p w:rsidR="00FD70FE" w:rsidRPr="00DA3BAA" w:rsidP="00FD3955" w14:paraId="608A1D91" w14:textId="2FB46E76">
            <w:pPr>
              <w:widowControl/>
              <w:jc w:val="center"/>
              <w:rPr>
                <w:rFonts w:ascii="Calibri" w:hAnsi="Calibri" w:cs="Calibri"/>
                <w:color w:val="000000"/>
                <w:sz w:val="18"/>
                <w:szCs w:val="18"/>
              </w:rPr>
            </w:pPr>
            <w:r>
              <w:rPr>
                <w:rFonts w:ascii="Calibri" w:hAnsi="Calibri" w:cs="Calibri"/>
                <w:color w:val="000000"/>
                <w:sz w:val="18"/>
                <w:szCs w:val="18"/>
              </w:rPr>
              <w:t>50</w:t>
            </w:r>
            <w:r w:rsidR="003A2808">
              <w:rPr>
                <w:rFonts w:ascii="Calibri" w:hAnsi="Calibri" w:cs="Calibri"/>
                <w:color w:val="000000"/>
                <w:sz w:val="18"/>
                <w:szCs w:val="18"/>
              </w:rPr>
              <w:t>7</w:t>
            </w:r>
          </w:p>
        </w:tc>
        <w:tc>
          <w:tcPr>
            <w:tcW w:w="1067" w:type="dxa"/>
            <w:tcBorders>
              <w:top w:val="nil"/>
              <w:left w:val="nil"/>
              <w:bottom w:val="single" w:sz="4" w:space="0" w:color="auto"/>
              <w:right w:val="single" w:sz="4" w:space="0" w:color="auto"/>
            </w:tcBorders>
            <w:shd w:val="clear" w:color="auto" w:fill="auto"/>
            <w:noWrap/>
            <w:vAlign w:val="center"/>
          </w:tcPr>
          <w:p w:rsidR="00FD70FE" w:rsidRPr="00DA3BAA" w:rsidP="00E62184" w14:paraId="2D9D1AD2" w14:textId="3D7AE325">
            <w:pPr>
              <w:widowControl/>
              <w:jc w:val="center"/>
              <w:rPr>
                <w:rFonts w:ascii="Calibri" w:hAnsi="Calibri" w:cs="Calibri"/>
                <w:color w:val="000000"/>
                <w:sz w:val="18"/>
                <w:szCs w:val="18"/>
              </w:rPr>
            </w:pPr>
            <w:r w:rsidRPr="00DA3BAA">
              <w:rPr>
                <w:rFonts w:ascii="Calibri" w:hAnsi="Calibri" w:cs="Calibri"/>
                <w:color w:val="000000"/>
                <w:sz w:val="18"/>
                <w:szCs w:val="18"/>
              </w:rPr>
              <w:t>$</w:t>
            </w:r>
            <w:r w:rsidRPr="00DA3BAA" w:rsidR="00E62184">
              <w:rPr>
                <w:rFonts w:ascii="Calibri" w:hAnsi="Calibri" w:cs="Calibri"/>
                <w:color w:val="000000"/>
                <w:sz w:val="18"/>
                <w:szCs w:val="18"/>
              </w:rPr>
              <w:t>24.21</w:t>
            </w:r>
          </w:p>
        </w:tc>
        <w:tc>
          <w:tcPr>
            <w:tcW w:w="1095" w:type="dxa"/>
            <w:tcBorders>
              <w:top w:val="nil"/>
              <w:left w:val="nil"/>
              <w:bottom w:val="single" w:sz="4" w:space="0" w:color="auto"/>
              <w:right w:val="single" w:sz="8" w:space="0" w:color="auto"/>
            </w:tcBorders>
            <w:shd w:val="clear" w:color="auto" w:fill="auto"/>
            <w:noWrap/>
            <w:vAlign w:val="center"/>
          </w:tcPr>
          <w:p w:rsidR="00FD70FE" w:rsidRPr="00DA3BAA" w:rsidP="003A2808" w14:paraId="7F1AA747" w14:textId="145CADA6">
            <w:pPr>
              <w:widowControl/>
              <w:jc w:val="center"/>
              <w:rPr>
                <w:rFonts w:ascii="Calibri" w:hAnsi="Calibri" w:cs="Calibri"/>
                <w:color w:val="000000"/>
                <w:sz w:val="18"/>
                <w:szCs w:val="18"/>
              </w:rPr>
            </w:pPr>
            <w:r w:rsidRPr="00DA3BAA">
              <w:rPr>
                <w:rFonts w:ascii="Calibri" w:hAnsi="Calibri" w:cs="Calibri"/>
                <w:color w:val="000000"/>
                <w:sz w:val="18"/>
                <w:szCs w:val="18"/>
              </w:rPr>
              <w:t>$</w:t>
            </w:r>
            <w:r w:rsidR="00DA3BAA">
              <w:rPr>
                <w:rFonts w:ascii="Calibri" w:hAnsi="Calibri" w:cs="Calibri"/>
                <w:color w:val="000000"/>
                <w:sz w:val="18"/>
                <w:szCs w:val="18"/>
              </w:rPr>
              <w:t>12,</w:t>
            </w:r>
            <w:r w:rsidR="003A2808">
              <w:rPr>
                <w:rFonts w:ascii="Calibri" w:hAnsi="Calibri" w:cs="Calibri"/>
                <w:color w:val="000000"/>
                <w:sz w:val="18"/>
                <w:szCs w:val="18"/>
              </w:rPr>
              <w:t>274</w:t>
            </w:r>
          </w:p>
        </w:tc>
      </w:tr>
      <w:tr w14:paraId="1DDA7E98" w14:textId="77777777" w:rsidTr="00851FE9">
        <w:tblPrEx>
          <w:tblW w:w="10432" w:type="dxa"/>
          <w:tblLayout w:type="fixed"/>
          <w:tblLook w:val="04A0"/>
        </w:tblPrEx>
        <w:trPr>
          <w:trHeight w:val="494"/>
        </w:trPr>
        <w:tc>
          <w:tcPr>
            <w:tcW w:w="1610" w:type="dxa"/>
            <w:tcBorders>
              <w:top w:val="nil"/>
              <w:left w:val="single" w:sz="8" w:space="0" w:color="auto"/>
              <w:bottom w:val="single" w:sz="8" w:space="0" w:color="auto"/>
              <w:right w:val="single" w:sz="8" w:space="0" w:color="auto"/>
            </w:tcBorders>
            <w:shd w:val="clear" w:color="auto" w:fill="C6D9F0" w:themeFill="text2" w:themeFillTint="33"/>
            <w:noWrap/>
            <w:vAlign w:val="center"/>
            <w:hideMark/>
          </w:tcPr>
          <w:p w:rsidR="00FD70FE" w:rsidRPr="00700BF7" w:rsidP="00FD3955" w14:paraId="065EA7F5" w14:textId="77777777">
            <w:pPr>
              <w:widowControl/>
              <w:jc w:val="center"/>
              <w:rPr>
                <w:rFonts w:ascii="Calibri" w:hAnsi="Calibri" w:cs="Calibri"/>
                <w:b/>
                <w:bCs/>
                <w:color w:val="000000"/>
                <w:sz w:val="22"/>
                <w:szCs w:val="22"/>
              </w:rPr>
            </w:pPr>
            <w:r w:rsidRPr="00700BF7">
              <w:rPr>
                <w:rFonts w:ascii="Calibri" w:hAnsi="Calibri" w:cs="Calibri"/>
                <w:b/>
                <w:bCs/>
                <w:color w:val="000000"/>
                <w:sz w:val="22"/>
                <w:szCs w:val="22"/>
              </w:rPr>
              <w:t>Totals</w:t>
            </w:r>
          </w:p>
        </w:tc>
        <w:tc>
          <w:tcPr>
            <w:tcW w:w="1260" w:type="dxa"/>
            <w:tcBorders>
              <w:top w:val="nil"/>
              <w:left w:val="nil"/>
              <w:bottom w:val="single" w:sz="8" w:space="0" w:color="auto"/>
              <w:right w:val="single" w:sz="8" w:space="0" w:color="auto"/>
            </w:tcBorders>
            <w:shd w:val="clear" w:color="000000" w:fill="000000"/>
            <w:noWrap/>
            <w:vAlign w:val="center"/>
            <w:hideMark/>
          </w:tcPr>
          <w:p w:rsidR="00FD70FE" w:rsidRPr="00700BF7" w:rsidP="00FD3955" w14:paraId="785E1A0C" w14:textId="77777777">
            <w:pPr>
              <w:widowControl/>
              <w:jc w:val="center"/>
              <w:rPr>
                <w:rFonts w:ascii="Calibri" w:hAnsi="Calibri" w:cs="Calibri"/>
                <w:b/>
                <w:bCs/>
                <w:color w:val="000000"/>
                <w:sz w:val="22"/>
                <w:szCs w:val="22"/>
              </w:rPr>
            </w:pPr>
          </w:p>
        </w:tc>
        <w:tc>
          <w:tcPr>
            <w:tcW w:w="1080" w:type="dxa"/>
            <w:tcBorders>
              <w:top w:val="nil"/>
              <w:left w:val="nil"/>
              <w:bottom w:val="single" w:sz="8" w:space="0" w:color="auto"/>
              <w:right w:val="single" w:sz="8" w:space="0" w:color="auto"/>
            </w:tcBorders>
            <w:shd w:val="clear" w:color="000000" w:fill="000000"/>
            <w:noWrap/>
            <w:vAlign w:val="center"/>
            <w:hideMark/>
          </w:tcPr>
          <w:p w:rsidR="00FD70FE" w:rsidRPr="00700BF7" w:rsidP="00FD3955" w14:paraId="4D1A3977" w14:textId="77777777">
            <w:pPr>
              <w:widowControl/>
              <w:jc w:val="center"/>
              <w:rPr>
                <w:rFonts w:ascii="Calibri" w:hAnsi="Calibri" w:cs="Calibri"/>
                <w:b/>
                <w:bCs/>
                <w:color w:val="000000"/>
                <w:sz w:val="22"/>
                <w:szCs w:val="22"/>
              </w:rPr>
            </w:pPr>
          </w:p>
        </w:tc>
        <w:tc>
          <w:tcPr>
            <w:tcW w:w="1260" w:type="dxa"/>
            <w:tcBorders>
              <w:top w:val="nil"/>
              <w:left w:val="nil"/>
              <w:bottom w:val="single" w:sz="8" w:space="0" w:color="auto"/>
              <w:right w:val="single" w:sz="8" w:space="0" w:color="auto"/>
            </w:tcBorders>
            <w:shd w:val="clear" w:color="000000" w:fill="000000"/>
            <w:noWrap/>
            <w:vAlign w:val="center"/>
            <w:hideMark/>
          </w:tcPr>
          <w:p w:rsidR="00FD70FE" w:rsidRPr="00700BF7" w:rsidP="00FD3955" w14:paraId="021B74DC" w14:textId="77777777">
            <w:pPr>
              <w:widowControl/>
              <w:jc w:val="center"/>
              <w:rPr>
                <w:rFonts w:ascii="Calibri" w:hAnsi="Calibri" w:cs="Calibri"/>
                <w:b/>
                <w:bCs/>
                <w:color w:val="000000"/>
                <w:sz w:val="22"/>
                <w:szCs w:val="22"/>
              </w:rPr>
            </w:pPr>
          </w:p>
        </w:tc>
        <w:tc>
          <w:tcPr>
            <w:tcW w:w="1080" w:type="dxa"/>
            <w:tcBorders>
              <w:top w:val="nil"/>
              <w:left w:val="nil"/>
              <w:bottom w:val="single" w:sz="8" w:space="0" w:color="auto"/>
              <w:right w:val="single" w:sz="8" w:space="0" w:color="auto"/>
            </w:tcBorders>
            <w:shd w:val="clear" w:color="auto" w:fill="C6D9F0" w:themeFill="text2" w:themeFillTint="33"/>
            <w:noWrap/>
            <w:vAlign w:val="center"/>
            <w:hideMark/>
          </w:tcPr>
          <w:p w:rsidR="00FD70FE" w:rsidRPr="003A2808" w:rsidP="00FD3955" w14:paraId="725EBB3D" w14:textId="5B5901AF">
            <w:pPr>
              <w:widowControl/>
              <w:jc w:val="center"/>
              <w:rPr>
                <w:rFonts w:ascii="Calibri" w:hAnsi="Calibri" w:cs="Calibri"/>
                <w:b/>
                <w:bCs/>
                <w:color w:val="000000"/>
                <w:sz w:val="22"/>
                <w:szCs w:val="22"/>
              </w:rPr>
            </w:pPr>
            <w:r>
              <w:rPr>
                <w:rFonts w:ascii="Calibri" w:hAnsi="Calibri" w:cs="Calibri"/>
                <w:b/>
                <w:bCs/>
                <w:color w:val="000000"/>
                <w:sz w:val="22"/>
                <w:szCs w:val="22"/>
              </w:rPr>
              <w:t>6,534</w:t>
            </w:r>
          </w:p>
        </w:tc>
        <w:tc>
          <w:tcPr>
            <w:tcW w:w="990" w:type="dxa"/>
            <w:tcBorders>
              <w:top w:val="nil"/>
              <w:left w:val="nil"/>
              <w:bottom w:val="single" w:sz="8" w:space="0" w:color="auto"/>
              <w:right w:val="single" w:sz="8" w:space="0" w:color="auto"/>
            </w:tcBorders>
            <w:shd w:val="clear" w:color="auto" w:fill="000000" w:themeFill="text1"/>
            <w:noWrap/>
            <w:vAlign w:val="center"/>
            <w:hideMark/>
          </w:tcPr>
          <w:p w:rsidR="00FD70FE" w:rsidRPr="00DA3BAA" w:rsidP="00FD3955" w14:paraId="37421085" w14:textId="77777777">
            <w:pPr>
              <w:widowControl/>
              <w:jc w:val="center"/>
              <w:rPr>
                <w:rFonts w:ascii="Calibri" w:hAnsi="Calibri" w:cs="Calibri"/>
                <w:b/>
                <w:bCs/>
                <w:color w:val="000000"/>
                <w:sz w:val="22"/>
                <w:szCs w:val="22"/>
              </w:rPr>
            </w:pPr>
          </w:p>
        </w:tc>
        <w:tc>
          <w:tcPr>
            <w:tcW w:w="990" w:type="dxa"/>
            <w:tcBorders>
              <w:top w:val="nil"/>
              <w:left w:val="nil"/>
              <w:bottom w:val="single" w:sz="8" w:space="0" w:color="auto"/>
              <w:right w:val="single" w:sz="8" w:space="0" w:color="auto"/>
            </w:tcBorders>
            <w:shd w:val="clear" w:color="auto" w:fill="C6D9F0" w:themeFill="text2" w:themeFillTint="33"/>
            <w:noWrap/>
            <w:vAlign w:val="center"/>
            <w:hideMark/>
          </w:tcPr>
          <w:p w:rsidR="00FD70FE" w:rsidRPr="00DA3BAA" w:rsidP="00FD3955" w14:paraId="7C80845F" w14:textId="33EE4CE4">
            <w:pPr>
              <w:widowControl/>
              <w:jc w:val="center"/>
              <w:rPr>
                <w:rFonts w:ascii="Calibri" w:hAnsi="Calibri" w:cs="Calibri"/>
                <w:b/>
                <w:bCs/>
                <w:color w:val="000000"/>
                <w:sz w:val="22"/>
                <w:szCs w:val="22"/>
              </w:rPr>
            </w:pPr>
            <w:r w:rsidRPr="003A2808">
              <w:rPr>
                <w:rFonts w:ascii="Calibri" w:hAnsi="Calibri" w:cs="Calibri"/>
                <w:b/>
                <w:bCs/>
                <w:color w:val="000000"/>
                <w:sz w:val="22"/>
                <w:szCs w:val="22"/>
              </w:rPr>
              <w:t>3,26</w:t>
            </w:r>
            <w:r w:rsidRPr="003A2808" w:rsidR="003A2808">
              <w:rPr>
                <w:rFonts w:ascii="Calibri" w:hAnsi="Calibri" w:cs="Calibri"/>
                <w:b/>
                <w:bCs/>
                <w:color w:val="000000"/>
                <w:sz w:val="22"/>
                <w:szCs w:val="22"/>
              </w:rPr>
              <w:t>7</w:t>
            </w:r>
          </w:p>
        </w:tc>
        <w:tc>
          <w:tcPr>
            <w:tcW w:w="1067" w:type="dxa"/>
            <w:tcBorders>
              <w:top w:val="nil"/>
              <w:left w:val="nil"/>
              <w:bottom w:val="single" w:sz="8" w:space="0" w:color="auto"/>
              <w:right w:val="single" w:sz="8" w:space="0" w:color="auto"/>
            </w:tcBorders>
            <w:shd w:val="clear" w:color="auto" w:fill="000000" w:themeFill="text1"/>
            <w:noWrap/>
            <w:vAlign w:val="center"/>
            <w:hideMark/>
          </w:tcPr>
          <w:p w:rsidR="00FD70FE" w:rsidRPr="00DA3BAA" w:rsidP="00FD3955" w14:paraId="69632A58" w14:textId="77777777">
            <w:pPr>
              <w:widowControl/>
              <w:jc w:val="center"/>
              <w:rPr>
                <w:rFonts w:ascii="Calibri" w:hAnsi="Calibri" w:cs="Calibri"/>
                <w:b/>
                <w:bCs/>
                <w:color w:val="000000"/>
                <w:sz w:val="22"/>
                <w:szCs w:val="22"/>
              </w:rPr>
            </w:pPr>
          </w:p>
        </w:tc>
        <w:tc>
          <w:tcPr>
            <w:tcW w:w="1095" w:type="dxa"/>
            <w:tcBorders>
              <w:top w:val="nil"/>
              <w:left w:val="nil"/>
              <w:bottom w:val="single" w:sz="8" w:space="0" w:color="auto"/>
              <w:right w:val="single" w:sz="8" w:space="0" w:color="auto"/>
            </w:tcBorders>
            <w:shd w:val="clear" w:color="auto" w:fill="C6D9F0" w:themeFill="text2" w:themeFillTint="33"/>
            <w:noWrap/>
            <w:vAlign w:val="center"/>
            <w:hideMark/>
          </w:tcPr>
          <w:p w:rsidR="00FD70FE" w:rsidRPr="00DA3BAA" w:rsidP="00DA3BAA" w14:paraId="1C5C594C" w14:textId="1555A544">
            <w:pPr>
              <w:widowControl/>
              <w:jc w:val="center"/>
              <w:rPr>
                <w:rFonts w:ascii="Calibri" w:hAnsi="Calibri" w:cs="Calibri"/>
                <w:b/>
                <w:bCs/>
                <w:color w:val="000000"/>
                <w:sz w:val="22"/>
                <w:szCs w:val="22"/>
              </w:rPr>
            </w:pPr>
            <w:r w:rsidRPr="003A2808">
              <w:rPr>
                <w:rFonts w:ascii="Calibri" w:hAnsi="Calibri" w:cs="Calibri"/>
                <w:b/>
                <w:bCs/>
                <w:color w:val="000000"/>
                <w:sz w:val="22"/>
                <w:szCs w:val="22"/>
              </w:rPr>
              <w:t>$</w:t>
            </w:r>
            <w:r w:rsidRPr="003A2808" w:rsidR="003A2808">
              <w:rPr>
                <w:rFonts w:ascii="Calibri" w:hAnsi="Calibri" w:cs="Calibri"/>
                <w:b/>
                <w:bCs/>
                <w:color w:val="000000"/>
                <w:sz w:val="22"/>
                <w:szCs w:val="22"/>
              </w:rPr>
              <w:t>79,094</w:t>
            </w:r>
          </w:p>
        </w:tc>
      </w:tr>
    </w:tbl>
    <w:p w:rsidR="00FD70FE" w:rsidP="00FD3955" w14:paraId="623759B8" w14:textId="3E8F5042">
      <w:pPr>
        <w:autoSpaceDE w:val="0"/>
        <w:autoSpaceDN w:val="0"/>
        <w:adjustRightInd w:val="0"/>
        <w:ind w:left="144" w:hanging="144"/>
        <w:rPr>
          <w:rFonts w:ascii="Calibri" w:hAnsi="Calibri" w:cs="Calibri"/>
          <w:sz w:val="18"/>
          <w:szCs w:val="18"/>
        </w:rPr>
      </w:pPr>
      <w:r w:rsidRPr="00AA52A5">
        <w:rPr>
          <w:rFonts w:ascii="Calibri" w:hAnsi="Calibri" w:cs="Calibri"/>
          <w:sz w:val="18"/>
          <w:szCs w:val="18"/>
          <w:vertAlign w:val="superscript"/>
        </w:rPr>
        <w:t>1</w:t>
      </w:r>
      <w:r w:rsidRPr="00AA52A5">
        <w:rPr>
          <w:rFonts w:ascii="Calibri" w:hAnsi="Calibri" w:cs="Calibri"/>
          <w:sz w:val="18"/>
          <w:szCs w:val="18"/>
        </w:rPr>
        <w:t xml:space="preserve"> Counts of the number of groundfish buoys are not available and would be expensive to prepare. </w:t>
      </w:r>
      <w:r>
        <w:rPr>
          <w:rFonts w:ascii="Calibri" w:hAnsi="Calibri" w:cs="Calibri"/>
          <w:sz w:val="18"/>
          <w:szCs w:val="18"/>
        </w:rPr>
        <w:t>Based on a comment received</w:t>
      </w:r>
      <w:r w:rsidR="00FA728B">
        <w:rPr>
          <w:rFonts w:ascii="Calibri" w:hAnsi="Calibri" w:cs="Calibri"/>
          <w:sz w:val="18"/>
          <w:szCs w:val="18"/>
        </w:rPr>
        <w:t xml:space="preserve"> for the extension of this collection</w:t>
      </w:r>
      <w:r w:rsidR="00DA3BAA">
        <w:rPr>
          <w:rFonts w:ascii="Calibri" w:hAnsi="Calibri" w:cs="Calibri"/>
          <w:sz w:val="18"/>
          <w:szCs w:val="18"/>
        </w:rPr>
        <w:t xml:space="preserve"> in 2023</w:t>
      </w:r>
      <w:r>
        <w:rPr>
          <w:rFonts w:ascii="Calibri" w:hAnsi="Calibri" w:cs="Calibri"/>
          <w:sz w:val="18"/>
          <w:szCs w:val="18"/>
        </w:rPr>
        <w:t xml:space="preserve">, vessels are expected to repaint 20 percent of their buoys each year. </w:t>
      </w:r>
      <w:r w:rsidRPr="00AA52A5">
        <w:rPr>
          <w:rFonts w:ascii="Calibri" w:hAnsi="Calibri" w:cs="Calibri"/>
          <w:sz w:val="18"/>
          <w:szCs w:val="18"/>
        </w:rPr>
        <w:t xml:space="preserve">For purposes of this analysis, </w:t>
      </w:r>
      <w:r>
        <w:rPr>
          <w:rFonts w:ascii="Calibri" w:hAnsi="Calibri" w:cs="Calibri"/>
          <w:sz w:val="18"/>
          <w:szCs w:val="18"/>
        </w:rPr>
        <w:t xml:space="preserve">each year </w:t>
      </w:r>
      <w:r w:rsidRPr="00AA52A5">
        <w:rPr>
          <w:rFonts w:ascii="Calibri" w:hAnsi="Calibri" w:cs="Calibri"/>
          <w:sz w:val="18"/>
          <w:szCs w:val="18"/>
        </w:rPr>
        <w:t xml:space="preserve">75 percent of the vessels </w:t>
      </w:r>
      <w:r>
        <w:rPr>
          <w:rFonts w:ascii="Calibri" w:hAnsi="Calibri" w:cs="Calibri"/>
          <w:sz w:val="18"/>
          <w:szCs w:val="18"/>
        </w:rPr>
        <w:t>are estimated to repaint</w:t>
      </w:r>
      <w:r w:rsidRPr="00AA52A5">
        <w:rPr>
          <w:rFonts w:ascii="Calibri" w:hAnsi="Calibri" w:cs="Calibri"/>
          <w:sz w:val="18"/>
          <w:szCs w:val="18"/>
        </w:rPr>
        <w:t xml:space="preserve"> 6 buoys and 25 percent </w:t>
      </w:r>
      <w:r>
        <w:rPr>
          <w:rFonts w:ascii="Calibri" w:hAnsi="Calibri" w:cs="Calibri"/>
          <w:sz w:val="18"/>
          <w:szCs w:val="18"/>
        </w:rPr>
        <w:t>are estimated to repaint</w:t>
      </w:r>
      <w:r w:rsidRPr="00AA52A5">
        <w:rPr>
          <w:rFonts w:ascii="Calibri" w:hAnsi="Calibri" w:cs="Calibri"/>
          <w:sz w:val="18"/>
          <w:szCs w:val="18"/>
        </w:rPr>
        <w:t xml:space="preserve"> 12 buoys.</w:t>
      </w:r>
    </w:p>
    <w:p w:rsidR="00FD70FE" w:rsidRPr="00700BF7" w:rsidP="00FD3955" w14:paraId="0079D325" w14:textId="67E81B04">
      <w:pPr>
        <w:autoSpaceDE w:val="0"/>
        <w:autoSpaceDN w:val="0"/>
        <w:adjustRightInd w:val="0"/>
        <w:ind w:left="144" w:hanging="144"/>
        <w:rPr>
          <w:rFonts w:ascii="Calibri" w:hAnsi="Calibri" w:cs="Calibri"/>
          <w:sz w:val="18"/>
          <w:szCs w:val="18"/>
        </w:rPr>
      </w:pPr>
      <w:r w:rsidRPr="00700BF7">
        <w:rPr>
          <w:rFonts w:ascii="Calibri" w:hAnsi="Calibri" w:cs="Calibri"/>
          <w:sz w:val="18"/>
          <w:szCs w:val="18"/>
          <w:vertAlign w:val="superscript"/>
        </w:rPr>
        <w:t>2</w:t>
      </w:r>
      <w:r w:rsidRPr="00700BF7">
        <w:rPr>
          <w:rFonts w:ascii="Calibri" w:hAnsi="Calibri" w:cs="Calibri"/>
          <w:sz w:val="18"/>
          <w:szCs w:val="18"/>
        </w:rPr>
        <w:t xml:space="preserve"> Vessel size influences the amount of pot longline strings a vessel can set on the fishing grounds.</w:t>
      </w:r>
      <w:r w:rsidRPr="00E21DD1">
        <w:t xml:space="preserve"> </w:t>
      </w:r>
      <w:r w:rsidRPr="00E21DD1">
        <w:rPr>
          <w:rFonts w:ascii="Calibri" w:hAnsi="Calibri" w:cs="Calibri"/>
          <w:sz w:val="18"/>
          <w:szCs w:val="18"/>
        </w:rPr>
        <w:t>Based on a comment received</w:t>
      </w:r>
      <w:r w:rsidR="00FA728B">
        <w:rPr>
          <w:rFonts w:ascii="Calibri" w:hAnsi="Calibri" w:cs="Calibri"/>
          <w:sz w:val="18"/>
          <w:szCs w:val="18"/>
        </w:rPr>
        <w:t xml:space="preserve"> for the extension of this collection</w:t>
      </w:r>
      <w:r w:rsidR="00DA3BAA">
        <w:rPr>
          <w:rFonts w:ascii="Calibri" w:hAnsi="Calibri" w:cs="Calibri"/>
          <w:sz w:val="18"/>
          <w:szCs w:val="18"/>
        </w:rPr>
        <w:t xml:space="preserve"> in 2023</w:t>
      </w:r>
      <w:r w:rsidRPr="00E21DD1">
        <w:rPr>
          <w:rFonts w:ascii="Calibri" w:hAnsi="Calibri" w:cs="Calibri"/>
          <w:sz w:val="18"/>
          <w:szCs w:val="18"/>
        </w:rPr>
        <w:t xml:space="preserve">, vessels are expected to repaint 20 percent of their buoys each year. </w:t>
      </w:r>
      <w:r w:rsidRPr="00700BF7">
        <w:rPr>
          <w:rFonts w:ascii="Calibri" w:hAnsi="Calibri" w:cs="Calibri"/>
          <w:sz w:val="18"/>
          <w:szCs w:val="18"/>
        </w:rPr>
        <w:t xml:space="preserve"> For purposes of this analysis, </w:t>
      </w:r>
      <w:r>
        <w:rPr>
          <w:rFonts w:ascii="Calibri" w:hAnsi="Calibri" w:cs="Calibri"/>
          <w:sz w:val="18"/>
          <w:szCs w:val="18"/>
        </w:rPr>
        <w:t>30 marker</w:t>
      </w:r>
      <w:r w:rsidRPr="00700BF7">
        <w:rPr>
          <w:rFonts w:ascii="Calibri" w:hAnsi="Calibri" w:cs="Calibri"/>
          <w:sz w:val="18"/>
          <w:szCs w:val="18"/>
        </w:rPr>
        <w:t xml:space="preserve"> buoys </w:t>
      </w:r>
      <w:r>
        <w:rPr>
          <w:rFonts w:ascii="Calibri" w:hAnsi="Calibri" w:cs="Calibri"/>
          <w:sz w:val="18"/>
          <w:szCs w:val="18"/>
        </w:rPr>
        <w:t>are</w:t>
      </w:r>
      <w:r w:rsidRPr="00700BF7">
        <w:rPr>
          <w:rFonts w:ascii="Calibri" w:hAnsi="Calibri" w:cs="Calibri"/>
          <w:sz w:val="18"/>
          <w:szCs w:val="18"/>
        </w:rPr>
        <w:t xml:space="preserve"> used</w:t>
      </w:r>
      <w:r>
        <w:rPr>
          <w:rFonts w:ascii="Calibri" w:hAnsi="Calibri" w:cs="Calibri"/>
          <w:sz w:val="18"/>
          <w:szCs w:val="18"/>
        </w:rPr>
        <w:t xml:space="preserve"> annually </w:t>
      </w:r>
      <w:r w:rsidR="00DA3BAA">
        <w:rPr>
          <w:rFonts w:ascii="Calibri" w:hAnsi="Calibri" w:cs="Calibri"/>
          <w:sz w:val="18"/>
          <w:szCs w:val="18"/>
        </w:rPr>
        <w:t xml:space="preserve">per respondent </w:t>
      </w:r>
      <w:r>
        <w:rPr>
          <w:rFonts w:ascii="Calibri" w:hAnsi="Calibri" w:cs="Calibri"/>
          <w:sz w:val="18"/>
          <w:szCs w:val="18"/>
        </w:rPr>
        <w:t xml:space="preserve">for longline pot gear </w:t>
      </w:r>
      <w:r w:rsidR="00DA3BAA">
        <w:rPr>
          <w:rFonts w:ascii="Calibri" w:hAnsi="Calibri" w:cs="Calibri"/>
          <w:sz w:val="18"/>
          <w:szCs w:val="18"/>
        </w:rPr>
        <w:t>in the BSAI and GOA</w:t>
      </w:r>
      <w:r w:rsidR="00315B38">
        <w:rPr>
          <w:rFonts w:ascii="Calibri" w:hAnsi="Calibri" w:cs="Calibri"/>
          <w:sz w:val="18"/>
          <w:szCs w:val="18"/>
        </w:rPr>
        <w:t xml:space="preserve">, </w:t>
      </w:r>
      <w:r>
        <w:rPr>
          <w:rFonts w:ascii="Calibri" w:hAnsi="Calibri" w:cs="Calibri"/>
          <w:sz w:val="18"/>
          <w:szCs w:val="18"/>
        </w:rPr>
        <w:t>of which 20 percent, or 6, would be repainted each year</w:t>
      </w:r>
      <w:r w:rsidRPr="00700BF7">
        <w:rPr>
          <w:rFonts w:ascii="Calibri" w:hAnsi="Calibri" w:cs="Calibri"/>
          <w:sz w:val="18"/>
          <w:szCs w:val="18"/>
        </w:rPr>
        <w:t xml:space="preserve">. </w:t>
      </w:r>
    </w:p>
    <w:p w:rsidR="00FD70FE" w:rsidP="00FD3955" w14:paraId="5CA5EA1D" w14:textId="1C6FAF49">
      <w:pPr>
        <w:autoSpaceDE w:val="0"/>
        <w:autoSpaceDN w:val="0"/>
        <w:adjustRightInd w:val="0"/>
        <w:ind w:left="144" w:hanging="144"/>
        <w:rPr>
          <w:rFonts w:ascii="Calibri" w:hAnsi="Calibri" w:cs="Calibri"/>
          <w:sz w:val="18"/>
          <w:szCs w:val="18"/>
        </w:rPr>
      </w:pPr>
      <w:r w:rsidRPr="0028368A">
        <w:rPr>
          <w:rFonts w:ascii="Calibri" w:hAnsi="Calibri" w:cs="Calibri"/>
          <w:sz w:val="18"/>
          <w:szCs w:val="18"/>
          <w:vertAlign w:val="superscript"/>
        </w:rPr>
        <w:t>3</w:t>
      </w:r>
      <w:r w:rsidRPr="0028368A">
        <w:rPr>
          <w:rFonts w:ascii="Calibri" w:hAnsi="Calibri" w:cs="Calibri"/>
          <w:sz w:val="18"/>
          <w:szCs w:val="18"/>
        </w:rPr>
        <w:t xml:space="preserve"> Active FFPs with a hook-and-line endorsement</w:t>
      </w:r>
      <w:r>
        <w:rPr>
          <w:rFonts w:ascii="Calibri" w:hAnsi="Calibri" w:cs="Calibri"/>
          <w:sz w:val="18"/>
          <w:szCs w:val="18"/>
        </w:rPr>
        <w:t>.</w:t>
      </w:r>
    </w:p>
    <w:p w:rsidR="00835870" w:rsidRPr="00835870" w:rsidP="00FD3955" w14:paraId="03A4417D" w14:textId="71C80353">
      <w:pPr>
        <w:autoSpaceDE w:val="0"/>
        <w:autoSpaceDN w:val="0"/>
        <w:adjustRightInd w:val="0"/>
        <w:ind w:left="144" w:hanging="144"/>
      </w:pPr>
    </w:p>
    <w:p w:rsidR="00BD6DA0" w:rsidP="00FD3955" w14:paraId="0D715BE3"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CC3E3F" w:rsidRPr="0043750A" w:rsidP="00FD3955" w14:paraId="07C5FB4E" w14:textId="77777777">
      <w:pPr>
        <w:pBdr>
          <w:top w:val="nil"/>
          <w:left w:val="nil"/>
          <w:bottom w:val="nil"/>
          <w:right w:val="nil"/>
          <w:between w:val="nil"/>
        </w:pBdr>
        <w:rPr>
          <w:color w:val="000000"/>
        </w:rPr>
      </w:pPr>
    </w:p>
    <w:p w:rsidR="00FD70FE" w:rsidRPr="004C4B23" w:rsidP="00FD3955" w14:paraId="6F6531A8" w14:textId="2D478DC2">
      <w:pPr>
        <w:tabs>
          <w:tab w:val="left" w:pos="540"/>
        </w:tabs>
        <w:autoSpaceDE w:val="0"/>
        <w:autoSpaceDN w:val="0"/>
        <w:adjustRightInd w:val="0"/>
        <w:rPr>
          <w:color w:val="000000"/>
        </w:rPr>
      </w:pPr>
      <w:r>
        <w:rPr>
          <w:color w:val="000000"/>
        </w:rPr>
        <w:t>T</w:t>
      </w:r>
      <w:r w:rsidRPr="004C4B23">
        <w:rPr>
          <w:color w:val="000000"/>
        </w:rPr>
        <w:t xml:space="preserve">he </w:t>
      </w:r>
      <w:r>
        <w:rPr>
          <w:color w:val="000000"/>
        </w:rPr>
        <w:t xml:space="preserve">estimated cost for supplies to mark the buoys </w:t>
      </w:r>
      <w:r w:rsidRPr="004C4B23">
        <w:t>covers materials such as paint ($85 per quart) and paintbrushes, permanent ink applicator, and stencils.</w:t>
      </w:r>
    </w:p>
    <w:p w:rsidR="00FD70FE" w:rsidP="00FD3955" w14:paraId="182EF37E" w14:textId="77777777">
      <w:pPr>
        <w:pBdr>
          <w:top w:val="nil"/>
          <w:left w:val="nil"/>
          <w:bottom w:val="nil"/>
          <w:right w:val="nil"/>
          <w:between w:val="nil"/>
        </w:pBdr>
        <w:rPr>
          <w:b/>
          <w:color w:val="000000"/>
        </w:rPr>
      </w:pPr>
    </w:p>
    <w:tbl>
      <w:tblPr>
        <w:tblW w:w="9701" w:type="dxa"/>
        <w:tblLook w:val="04A0"/>
      </w:tblPr>
      <w:tblGrid>
        <w:gridCol w:w="2690"/>
        <w:gridCol w:w="1260"/>
        <w:gridCol w:w="1350"/>
        <w:gridCol w:w="1440"/>
        <w:gridCol w:w="1620"/>
        <w:gridCol w:w="1341"/>
      </w:tblGrid>
      <w:tr w14:paraId="26980D47" w14:textId="77777777" w:rsidTr="00851FE9">
        <w:tblPrEx>
          <w:tblW w:w="9701" w:type="dxa"/>
          <w:tblLook w:val="04A0"/>
        </w:tblPrEx>
        <w:trPr>
          <w:trHeight w:val="682"/>
        </w:trPr>
        <w:tc>
          <w:tcPr>
            <w:tcW w:w="2690" w:type="dxa"/>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hideMark/>
          </w:tcPr>
          <w:p w:rsidR="00FD70FE" w:rsidRPr="00851FE9" w:rsidP="00FD3955" w14:paraId="5C3FED2E" w14:textId="77777777">
            <w:pPr>
              <w:widowControl/>
              <w:jc w:val="center"/>
              <w:rPr>
                <w:rFonts w:asciiTheme="minorHAnsi" w:hAnsiTheme="minorHAnsi" w:cstheme="minorHAnsi"/>
                <w:b/>
                <w:bCs/>
                <w:color w:val="000000"/>
                <w:sz w:val="16"/>
                <w:szCs w:val="16"/>
              </w:rPr>
            </w:pPr>
            <w:r w:rsidRPr="00851FE9">
              <w:rPr>
                <w:rFonts w:asciiTheme="minorHAnsi" w:hAnsiTheme="minorHAnsi" w:cstheme="minorHAnsi"/>
                <w:b/>
                <w:bCs/>
                <w:color w:val="000000"/>
                <w:sz w:val="16"/>
                <w:szCs w:val="16"/>
              </w:rPr>
              <w:t>Information Collection</w:t>
            </w:r>
          </w:p>
        </w:tc>
        <w:tc>
          <w:tcPr>
            <w:tcW w:w="126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51FE9" w:rsidP="00FD3955" w14:paraId="1B7AF7B2" w14:textId="77777777">
            <w:pPr>
              <w:widowControl/>
              <w:jc w:val="center"/>
              <w:rPr>
                <w:rFonts w:asciiTheme="minorHAnsi" w:hAnsiTheme="minorHAnsi" w:cstheme="minorHAnsi"/>
                <w:b/>
                <w:bCs/>
                <w:color w:val="000000"/>
                <w:sz w:val="16"/>
                <w:szCs w:val="16"/>
              </w:rPr>
            </w:pPr>
            <w:r w:rsidRPr="00851FE9">
              <w:rPr>
                <w:rFonts w:asciiTheme="minorHAnsi" w:hAnsiTheme="minorHAnsi" w:cstheme="minorHAnsi"/>
                <w:b/>
                <w:bCs/>
                <w:color w:val="000000"/>
                <w:sz w:val="16"/>
                <w:szCs w:val="16"/>
              </w:rPr>
              <w:t># of Respondents</w:t>
            </w:r>
          </w:p>
        </w:tc>
        <w:tc>
          <w:tcPr>
            <w:tcW w:w="135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51FE9" w:rsidP="00FD3955" w14:paraId="577D366A" w14:textId="77777777">
            <w:pPr>
              <w:widowControl/>
              <w:jc w:val="center"/>
              <w:rPr>
                <w:rFonts w:asciiTheme="minorHAnsi" w:hAnsiTheme="minorHAnsi" w:cstheme="minorHAnsi"/>
                <w:b/>
                <w:bCs/>
                <w:color w:val="000000"/>
                <w:sz w:val="16"/>
                <w:szCs w:val="16"/>
              </w:rPr>
            </w:pPr>
            <w:r w:rsidRPr="00851FE9">
              <w:rPr>
                <w:rFonts w:asciiTheme="minorHAnsi" w:hAnsiTheme="minorHAnsi" w:cstheme="minorHAnsi"/>
                <w:b/>
                <w:bCs/>
                <w:color w:val="000000"/>
                <w:sz w:val="16"/>
                <w:szCs w:val="16"/>
              </w:rPr>
              <w:t>Annual # of Responses / Respondent</w:t>
            </w:r>
          </w:p>
        </w:tc>
        <w:tc>
          <w:tcPr>
            <w:tcW w:w="144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51FE9" w:rsidP="00FD3955" w14:paraId="799D56AC" w14:textId="77777777">
            <w:pPr>
              <w:widowControl/>
              <w:jc w:val="center"/>
              <w:rPr>
                <w:rFonts w:asciiTheme="minorHAnsi" w:hAnsiTheme="minorHAnsi" w:cstheme="minorHAnsi"/>
                <w:b/>
                <w:bCs/>
                <w:color w:val="000000"/>
                <w:sz w:val="16"/>
                <w:szCs w:val="16"/>
              </w:rPr>
            </w:pPr>
            <w:r w:rsidRPr="00851FE9">
              <w:rPr>
                <w:rFonts w:asciiTheme="minorHAnsi" w:hAnsiTheme="minorHAnsi" w:cstheme="minorHAnsi"/>
                <w:b/>
                <w:bCs/>
                <w:color w:val="000000"/>
                <w:sz w:val="16"/>
                <w:szCs w:val="16"/>
              </w:rPr>
              <w:t xml:space="preserve"> Total # of Annual Responses</w:t>
            </w:r>
          </w:p>
        </w:tc>
        <w:tc>
          <w:tcPr>
            <w:tcW w:w="162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51FE9" w:rsidP="00FD3955" w14:paraId="24130058" w14:textId="77777777">
            <w:pPr>
              <w:widowControl/>
              <w:jc w:val="center"/>
              <w:rPr>
                <w:rFonts w:asciiTheme="minorHAnsi" w:hAnsiTheme="minorHAnsi" w:cstheme="minorHAnsi"/>
                <w:b/>
                <w:bCs/>
                <w:color w:val="000000"/>
                <w:sz w:val="16"/>
                <w:szCs w:val="16"/>
              </w:rPr>
            </w:pPr>
            <w:r w:rsidRPr="00851FE9">
              <w:rPr>
                <w:rFonts w:asciiTheme="minorHAnsi" w:hAnsiTheme="minorHAnsi" w:cstheme="minorHAnsi"/>
                <w:b/>
                <w:bCs/>
                <w:color w:val="000000"/>
                <w:sz w:val="16"/>
                <w:szCs w:val="16"/>
              </w:rPr>
              <w:t>Cost Burden</w:t>
            </w:r>
          </w:p>
        </w:tc>
        <w:tc>
          <w:tcPr>
            <w:tcW w:w="1341"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rsidR="00FD70FE" w:rsidRPr="00851FE9" w:rsidP="00FD3955" w14:paraId="0800ED30" w14:textId="77777777">
            <w:pPr>
              <w:widowControl/>
              <w:jc w:val="center"/>
              <w:rPr>
                <w:rFonts w:asciiTheme="minorHAnsi" w:hAnsiTheme="minorHAnsi" w:cstheme="minorHAnsi"/>
                <w:b/>
                <w:bCs/>
                <w:color w:val="000000"/>
                <w:sz w:val="16"/>
                <w:szCs w:val="16"/>
              </w:rPr>
            </w:pPr>
            <w:r w:rsidRPr="00851FE9">
              <w:rPr>
                <w:rFonts w:asciiTheme="minorHAnsi" w:hAnsiTheme="minorHAnsi" w:cstheme="minorHAnsi"/>
                <w:b/>
                <w:bCs/>
                <w:color w:val="000000"/>
                <w:sz w:val="16"/>
                <w:szCs w:val="16"/>
              </w:rPr>
              <w:t>Total Annual Cost Burden</w:t>
            </w:r>
          </w:p>
        </w:tc>
      </w:tr>
      <w:tr w14:paraId="109CE925" w14:textId="77777777" w:rsidTr="005B5DA5">
        <w:tblPrEx>
          <w:tblW w:w="9701" w:type="dxa"/>
          <w:tblLook w:val="04A0"/>
        </w:tblPrEx>
        <w:trPr>
          <w:trHeight w:val="296"/>
        </w:trPr>
        <w:tc>
          <w:tcPr>
            <w:tcW w:w="2690" w:type="dxa"/>
            <w:tcBorders>
              <w:top w:val="nil"/>
              <w:left w:val="single" w:sz="4" w:space="0" w:color="auto"/>
              <w:bottom w:val="single" w:sz="4" w:space="0" w:color="auto"/>
              <w:right w:val="single" w:sz="4" w:space="0" w:color="auto"/>
            </w:tcBorders>
            <w:shd w:val="clear" w:color="auto" w:fill="auto"/>
            <w:vAlign w:val="center"/>
          </w:tcPr>
          <w:p w:rsidR="00FD70FE" w:rsidRPr="003332F9" w:rsidP="00FD3955" w14:paraId="3242112B" w14:textId="77777777">
            <w:pPr>
              <w:widowControl/>
              <w:rPr>
                <w:rFonts w:ascii="Calibri" w:hAnsi="Calibri" w:cs="Calibri"/>
                <w:color w:val="000000"/>
                <w:sz w:val="18"/>
                <w:szCs w:val="18"/>
              </w:rPr>
            </w:pPr>
            <w:r w:rsidRPr="003332F9">
              <w:rPr>
                <w:rFonts w:ascii="Calibri" w:hAnsi="Calibri" w:cs="Calibri"/>
                <w:color w:val="000000"/>
                <w:sz w:val="18"/>
                <w:szCs w:val="18"/>
              </w:rPr>
              <w:t>Groundfish Hook-and-line Marker Buoys</w:t>
            </w:r>
          </w:p>
        </w:tc>
        <w:tc>
          <w:tcPr>
            <w:tcW w:w="1260" w:type="dxa"/>
            <w:tcBorders>
              <w:top w:val="nil"/>
              <w:left w:val="nil"/>
              <w:bottom w:val="single" w:sz="4" w:space="0" w:color="auto"/>
              <w:right w:val="single" w:sz="4" w:space="0" w:color="auto"/>
            </w:tcBorders>
            <w:shd w:val="clear" w:color="auto" w:fill="auto"/>
            <w:vAlign w:val="center"/>
          </w:tcPr>
          <w:p w:rsidR="00FD70FE" w:rsidRPr="00E62184" w:rsidP="00FD3955" w14:paraId="2B997730" w14:textId="77777777">
            <w:pPr>
              <w:widowControl/>
              <w:jc w:val="center"/>
              <w:rPr>
                <w:rFonts w:ascii="Calibri" w:hAnsi="Calibri" w:cs="Calibri"/>
                <w:color w:val="000000"/>
                <w:sz w:val="18"/>
                <w:szCs w:val="18"/>
              </w:rPr>
            </w:pPr>
            <w:r w:rsidRPr="00E62184">
              <w:rPr>
                <w:rFonts w:ascii="Calibri" w:hAnsi="Calibri" w:cs="Calibri"/>
                <w:color w:val="000000"/>
                <w:sz w:val="18"/>
                <w:szCs w:val="18"/>
              </w:rPr>
              <w:t>735</w:t>
            </w:r>
          </w:p>
        </w:tc>
        <w:tc>
          <w:tcPr>
            <w:tcW w:w="1350" w:type="dxa"/>
            <w:tcBorders>
              <w:top w:val="nil"/>
              <w:left w:val="nil"/>
              <w:bottom w:val="single" w:sz="4" w:space="0" w:color="auto"/>
              <w:right w:val="single" w:sz="4" w:space="0" w:color="auto"/>
            </w:tcBorders>
            <w:shd w:val="clear" w:color="auto" w:fill="auto"/>
            <w:vAlign w:val="center"/>
          </w:tcPr>
          <w:p w:rsidR="00FD70FE" w:rsidRPr="00E62184" w:rsidP="00FD3955" w14:paraId="397E3ABD" w14:textId="77777777">
            <w:pPr>
              <w:widowControl/>
              <w:jc w:val="center"/>
              <w:rPr>
                <w:rFonts w:ascii="Calibri" w:hAnsi="Calibri" w:cs="Calibri"/>
                <w:color w:val="000000"/>
                <w:sz w:val="18"/>
                <w:szCs w:val="18"/>
              </w:rPr>
            </w:pPr>
            <w:r w:rsidRPr="00E62184">
              <w:rPr>
                <w:rFonts w:ascii="Calibri" w:hAnsi="Calibri" w:cs="Calibri"/>
                <w:color w:val="000000"/>
                <w:sz w:val="18"/>
                <w:szCs w:val="18"/>
              </w:rPr>
              <w:t>550: 6 buoys</w:t>
            </w:r>
          </w:p>
          <w:p w:rsidR="00FD70FE" w:rsidRPr="00E62184" w:rsidP="00FD3955" w14:paraId="3AA03762" w14:textId="77777777">
            <w:pPr>
              <w:widowControl/>
              <w:jc w:val="center"/>
              <w:rPr>
                <w:rFonts w:ascii="Calibri" w:hAnsi="Calibri" w:cs="Calibri"/>
                <w:color w:val="000000"/>
                <w:sz w:val="18"/>
                <w:szCs w:val="18"/>
              </w:rPr>
            </w:pPr>
            <w:r w:rsidRPr="00E62184">
              <w:rPr>
                <w:rFonts w:ascii="Calibri" w:hAnsi="Calibri" w:cs="Calibri"/>
                <w:color w:val="000000"/>
                <w:sz w:val="18"/>
                <w:szCs w:val="18"/>
              </w:rPr>
              <w:t>185: 12 buoys</w:t>
            </w:r>
          </w:p>
        </w:tc>
        <w:tc>
          <w:tcPr>
            <w:tcW w:w="1440" w:type="dxa"/>
            <w:tcBorders>
              <w:top w:val="nil"/>
              <w:left w:val="nil"/>
              <w:bottom w:val="single" w:sz="4" w:space="0" w:color="auto"/>
              <w:right w:val="single" w:sz="4" w:space="0" w:color="auto"/>
            </w:tcBorders>
            <w:shd w:val="clear" w:color="auto" w:fill="auto"/>
            <w:vAlign w:val="center"/>
          </w:tcPr>
          <w:p w:rsidR="00FD70FE" w:rsidRPr="00E62184" w:rsidP="00FD3955" w14:paraId="2F797276" w14:textId="77777777">
            <w:pPr>
              <w:widowControl/>
              <w:jc w:val="center"/>
              <w:rPr>
                <w:rFonts w:ascii="Calibri" w:hAnsi="Calibri" w:cs="Calibri"/>
                <w:color w:val="000000"/>
                <w:sz w:val="18"/>
                <w:szCs w:val="18"/>
              </w:rPr>
            </w:pPr>
            <w:r w:rsidRPr="00E62184">
              <w:rPr>
                <w:rFonts w:ascii="Calibri" w:hAnsi="Calibri" w:cs="Calibri"/>
                <w:color w:val="000000"/>
                <w:sz w:val="18"/>
                <w:szCs w:val="18"/>
              </w:rPr>
              <w:t>5,520</w:t>
            </w:r>
          </w:p>
        </w:tc>
        <w:tc>
          <w:tcPr>
            <w:tcW w:w="1620" w:type="dxa"/>
            <w:tcBorders>
              <w:top w:val="nil"/>
              <w:left w:val="nil"/>
              <w:bottom w:val="single" w:sz="4" w:space="0" w:color="auto"/>
              <w:right w:val="single" w:sz="4" w:space="0" w:color="auto"/>
            </w:tcBorders>
            <w:shd w:val="clear" w:color="000000" w:fill="FFFFFF"/>
            <w:vAlign w:val="center"/>
          </w:tcPr>
          <w:p w:rsidR="00FD70FE" w:rsidRPr="00E62184" w:rsidP="00FD3955" w14:paraId="6128D3C2" w14:textId="77777777">
            <w:pPr>
              <w:widowControl/>
              <w:rPr>
                <w:rFonts w:ascii="Calibri" w:hAnsi="Calibri" w:cs="Calibri"/>
                <w:color w:val="000000"/>
                <w:sz w:val="18"/>
                <w:szCs w:val="18"/>
              </w:rPr>
            </w:pPr>
            <w:r w:rsidRPr="00E62184">
              <w:rPr>
                <w:rFonts w:ascii="Calibri" w:hAnsi="Calibri" w:cs="Calibri"/>
                <w:color w:val="000000"/>
                <w:sz w:val="18"/>
                <w:szCs w:val="18"/>
              </w:rPr>
              <w:t>Marking supplies: $100 per respondent</w:t>
            </w:r>
          </w:p>
        </w:tc>
        <w:tc>
          <w:tcPr>
            <w:tcW w:w="1341" w:type="dxa"/>
            <w:tcBorders>
              <w:top w:val="nil"/>
              <w:left w:val="nil"/>
              <w:bottom w:val="single" w:sz="4" w:space="0" w:color="auto"/>
              <w:right w:val="single" w:sz="8" w:space="0" w:color="auto"/>
            </w:tcBorders>
            <w:shd w:val="clear" w:color="000000" w:fill="FFFFFF"/>
            <w:vAlign w:val="center"/>
          </w:tcPr>
          <w:p w:rsidR="00FD70FE" w:rsidRPr="00E62184" w:rsidP="00FD3955" w14:paraId="7650B0D6" w14:textId="77777777">
            <w:pPr>
              <w:widowControl/>
              <w:jc w:val="center"/>
              <w:rPr>
                <w:rFonts w:ascii="Calibri" w:hAnsi="Calibri" w:cs="Calibri"/>
                <w:color w:val="000000"/>
                <w:sz w:val="18"/>
                <w:szCs w:val="18"/>
              </w:rPr>
            </w:pPr>
            <w:r w:rsidRPr="00E62184">
              <w:rPr>
                <w:rFonts w:ascii="Calibri" w:hAnsi="Calibri" w:cs="Calibri"/>
                <w:color w:val="000000"/>
                <w:sz w:val="18"/>
                <w:szCs w:val="18"/>
              </w:rPr>
              <w:t>$73,500</w:t>
            </w:r>
          </w:p>
        </w:tc>
      </w:tr>
      <w:tr w14:paraId="67215998" w14:textId="77777777" w:rsidTr="005B5DA5">
        <w:tblPrEx>
          <w:tblW w:w="9701" w:type="dxa"/>
          <w:tblLook w:val="04A0"/>
        </w:tblPrEx>
        <w:trPr>
          <w:trHeight w:val="296"/>
        </w:trPr>
        <w:tc>
          <w:tcPr>
            <w:tcW w:w="2690" w:type="dxa"/>
            <w:tcBorders>
              <w:top w:val="nil"/>
              <w:left w:val="single" w:sz="4" w:space="0" w:color="auto"/>
              <w:bottom w:val="single" w:sz="4" w:space="0" w:color="auto"/>
              <w:right w:val="single" w:sz="4" w:space="0" w:color="auto"/>
            </w:tcBorders>
            <w:shd w:val="clear" w:color="auto" w:fill="auto"/>
            <w:vAlign w:val="center"/>
          </w:tcPr>
          <w:p w:rsidR="00FD70FE" w:rsidRPr="003332F9" w:rsidP="00FD3955" w14:paraId="6EA8FD64" w14:textId="77777777">
            <w:pPr>
              <w:widowControl/>
              <w:rPr>
                <w:rFonts w:ascii="Calibri" w:hAnsi="Calibri" w:cs="Calibri"/>
                <w:color w:val="000000"/>
                <w:sz w:val="18"/>
                <w:szCs w:val="18"/>
              </w:rPr>
            </w:pPr>
            <w:r w:rsidRPr="003332F9">
              <w:rPr>
                <w:rFonts w:ascii="Calibri" w:hAnsi="Calibri" w:cs="Calibri"/>
                <w:color w:val="000000"/>
                <w:sz w:val="18"/>
                <w:szCs w:val="18"/>
              </w:rPr>
              <w:t>Longline Pot Gear</w:t>
            </w:r>
            <w:r>
              <w:rPr>
                <w:rFonts w:ascii="Calibri" w:hAnsi="Calibri" w:cs="Calibri"/>
                <w:color w:val="000000"/>
                <w:sz w:val="18"/>
                <w:szCs w:val="18"/>
              </w:rPr>
              <w:t xml:space="preserve"> Marker Buoys</w:t>
            </w:r>
          </w:p>
        </w:tc>
        <w:tc>
          <w:tcPr>
            <w:tcW w:w="1260" w:type="dxa"/>
            <w:tcBorders>
              <w:top w:val="nil"/>
              <w:left w:val="nil"/>
              <w:bottom w:val="single" w:sz="4" w:space="0" w:color="auto"/>
              <w:right w:val="single" w:sz="4" w:space="0" w:color="auto"/>
            </w:tcBorders>
            <w:shd w:val="clear" w:color="auto" w:fill="auto"/>
            <w:vAlign w:val="center"/>
          </w:tcPr>
          <w:p w:rsidR="00FD70FE" w:rsidRPr="00FC2033" w:rsidP="00FC2033" w14:paraId="640DD412" w14:textId="6E0CCA98">
            <w:pPr>
              <w:widowControl/>
              <w:jc w:val="center"/>
              <w:rPr>
                <w:rFonts w:ascii="Calibri" w:hAnsi="Calibri" w:cs="Calibri"/>
                <w:color w:val="000000"/>
                <w:sz w:val="18"/>
                <w:szCs w:val="18"/>
              </w:rPr>
            </w:pPr>
            <w:r w:rsidRPr="00FC2033">
              <w:rPr>
                <w:rFonts w:ascii="Calibri" w:hAnsi="Calibri" w:cs="Calibri"/>
                <w:color w:val="000000"/>
                <w:sz w:val="18"/>
                <w:szCs w:val="18"/>
              </w:rPr>
              <w:t>16</w:t>
            </w:r>
            <w:r w:rsidR="003A2808">
              <w:rPr>
                <w:rFonts w:ascii="Calibri" w:hAnsi="Calibri" w:cs="Calibri"/>
                <w:color w:val="000000"/>
                <w:sz w:val="18"/>
                <w:szCs w:val="18"/>
              </w:rPr>
              <w:t>9</w:t>
            </w:r>
          </w:p>
        </w:tc>
        <w:tc>
          <w:tcPr>
            <w:tcW w:w="1350" w:type="dxa"/>
            <w:tcBorders>
              <w:top w:val="nil"/>
              <w:left w:val="nil"/>
              <w:bottom w:val="single" w:sz="4" w:space="0" w:color="auto"/>
              <w:right w:val="single" w:sz="4" w:space="0" w:color="auto"/>
            </w:tcBorders>
            <w:shd w:val="clear" w:color="auto" w:fill="auto"/>
            <w:vAlign w:val="center"/>
          </w:tcPr>
          <w:p w:rsidR="00FD70FE" w:rsidRPr="00FC2033" w:rsidP="00FD3955" w14:paraId="018DA25D" w14:textId="77777777">
            <w:pPr>
              <w:widowControl/>
              <w:jc w:val="center"/>
              <w:rPr>
                <w:rFonts w:ascii="Calibri" w:hAnsi="Calibri" w:cs="Calibri"/>
                <w:color w:val="000000"/>
                <w:sz w:val="18"/>
                <w:szCs w:val="18"/>
              </w:rPr>
            </w:pPr>
            <w:r w:rsidRPr="00FC2033">
              <w:rPr>
                <w:rFonts w:ascii="Calibri" w:hAnsi="Calibri" w:cs="Calibri"/>
                <w:color w:val="000000"/>
                <w:sz w:val="18"/>
                <w:szCs w:val="18"/>
              </w:rPr>
              <w:t>6 buoys</w:t>
            </w:r>
          </w:p>
        </w:tc>
        <w:tc>
          <w:tcPr>
            <w:tcW w:w="1440" w:type="dxa"/>
            <w:tcBorders>
              <w:top w:val="nil"/>
              <w:left w:val="nil"/>
              <w:bottom w:val="single" w:sz="4" w:space="0" w:color="auto"/>
              <w:right w:val="single" w:sz="4" w:space="0" w:color="auto"/>
            </w:tcBorders>
            <w:shd w:val="clear" w:color="auto" w:fill="auto"/>
            <w:vAlign w:val="center"/>
          </w:tcPr>
          <w:p w:rsidR="00FD70FE" w:rsidRPr="00FC2033" w:rsidP="00FD3955" w14:paraId="319A8BE0" w14:textId="60B36F0E">
            <w:pPr>
              <w:widowControl/>
              <w:jc w:val="center"/>
              <w:rPr>
                <w:rFonts w:ascii="Calibri" w:hAnsi="Calibri" w:cs="Calibri"/>
                <w:color w:val="000000"/>
                <w:sz w:val="18"/>
                <w:szCs w:val="18"/>
              </w:rPr>
            </w:pPr>
            <w:r>
              <w:rPr>
                <w:rFonts w:ascii="Calibri" w:hAnsi="Calibri" w:cs="Calibri"/>
                <w:color w:val="000000"/>
                <w:sz w:val="18"/>
                <w:szCs w:val="18"/>
              </w:rPr>
              <w:t>1,014</w:t>
            </w:r>
          </w:p>
        </w:tc>
        <w:tc>
          <w:tcPr>
            <w:tcW w:w="1620" w:type="dxa"/>
            <w:tcBorders>
              <w:top w:val="nil"/>
              <w:left w:val="nil"/>
              <w:bottom w:val="single" w:sz="4" w:space="0" w:color="auto"/>
              <w:right w:val="single" w:sz="4" w:space="0" w:color="auto"/>
            </w:tcBorders>
            <w:shd w:val="clear" w:color="000000" w:fill="FFFFFF"/>
            <w:vAlign w:val="center"/>
          </w:tcPr>
          <w:p w:rsidR="00FD70FE" w:rsidRPr="00FC2033" w:rsidP="00FD3955" w14:paraId="10F4CBCC" w14:textId="77777777">
            <w:pPr>
              <w:widowControl/>
              <w:rPr>
                <w:rFonts w:ascii="Calibri" w:hAnsi="Calibri" w:cs="Calibri"/>
                <w:color w:val="000000"/>
                <w:sz w:val="18"/>
                <w:szCs w:val="18"/>
              </w:rPr>
            </w:pPr>
            <w:r w:rsidRPr="00FC2033">
              <w:rPr>
                <w:rFonts w:ascii="Calibri" w:hAnsi="Calibri" w:cs="Calibri"/>
                <w:color w:val="000000"/>
                <w:sz w:val="18"/>
                <w:szCs w:val="18"/>
              </w:rPr>
              <w:t>Marking supplies: $100 per respondent</w:t>
            </w:r>
          </w:p>
        </w:tc>
        <w:tc>
          <w:tcPr>
            <w:tcW w:w="1341" w:type="dxa"/>
            <w:tcBorders>
              <w:top w:val="nil"/>
              <w:left w:val="nil"/>
              <w:bottom w:val="single" w:sz="4" w:space="0" w:color="auto"/>
              <w:right w:val="single" w:sz="8" w:space="0" w:color="auto"/>
            </w:tcBorders>
            <w:shd w:val="clear" w:color="000000" w:fill="FFFFFF"/>
            <w:vAlign w:val="center"/>
          </w:tcPr>
          <w:p w:rsidR="00FD70FE" w:rsidRPr="00FC2033" w:rsidP="00FC2033" w14:paraId="1A3B11AA" w14:textId="75879026">
            <w:pPr>
              <w:widowControl/>
              <w:jc w:val="center"/>
              <w:rPr>
                <w:rFonts w:ascii="Calibri" w:hAnsi="Calibri" w:cs="Calibri"/>
                <w:color w:val="000000"/>
                <w:sz w:val="18"/>
                <w:szCs w:val="18"/>
              </w:rPr>
            </w:pPr>
            <w:r w:rsidRPr="00FC2033">
              <w:rPr>
                <w:rFonts w:ascii="Calibri" w:hAnsi="Calibri" w:cs="Calibri"/>
                <w:color w:val="000000"/>
                <w:sz w:val="18"/>
                <w:szCs w:val="18"/>
              </w:rPr>
              <w:t>$16,</w:t>
            </w:r>
            <w:r w:rsidR="003A2808">
              <w:rPr>
                <w:rFonts w:ascii="Calibri" w:hAnsi="Calibri" w:cs="Calibri"/>
                <w:color w:val="000000"/>
                <w:sz w:val="18"/>
                <w:szCs w:val="18"/>
              </w:rPr>
              <w:t>9</w:t>
            </w:r>
            <w:r w:rsidRPr="00FC2033">
              <w:rPr>
                <w:rFonts w:ascii="Calibri" w:hAnsi="Calibri" w:cs="Calibri"/>
                <w:color w:val="000000"/>
                <w:sz w:val="18"/>
                <w:szCs w:val="18"/>
              </w:rPr>
              <w:t>00</w:t>
            </w:r>
          </w:p>
        </w:tc>
      </w:tr>
      <w:tr w14:paraId="724CB906" w14:textId="77777777" w:rsidTr="00851FE9">
        <w:tblPrEx>
          <w:tblW w:w="9701" w:type="dxa"/>
          <w:tblLook w:val="04A0"/>
        </w:tblPrEx>
        <w:trPr>
          <w:trHeight w:val="421"/>
        </w:trPr>
        <w:tc>
          <w:tcPr>
            <w:tcW w:w="2690" w:type="dxa"/>
            <w:tcBorders>
              <w:top w:val="single" w:sz="8" w:space="0" w:color="auto"/>
              <w:left w:val="single" w:sz="8" w:space="0" w:color="auto"/>
              <w:bottom w:val="single" w:sz="8" w:space="0" w:color="auto"/>
              <w:right w:val="single" w:sz="4" w:space="0" w:color="auto"/>
            </w:tcBorders>
            <w:shd w:val="clear" w:color="auto" w:fill="C6D9F0" w:themeFill="text2" w:themeFillTint="33"/>
            <w:vAlign w:val="center"/>
            <w:hideMark/>
          </w:tcPr>
          <w:p w:rsidR="00FD70FE" w:rsidRPr="003332F9" w:rsidP="00FD3955" w14:paraId="05771292" w14:textId="77777777">
            <w:pPr>
              <w:widowControl/>
              <w:rPr>
                <w:rFonts w:ascii="Calibri" w:hAnsi="Calibri" w:cs="Calibri"/>
                <w:b/>
                <w:bCs/>
                <w:color w:val="000000"/>
                <w:sz w:val="18"/>
                <w:szCs w:val="18"/>
              </w:rPr>
            </w:pPr>
            <w:r w:rsidRPr="003332F9">
              <w:rPr>
                <w:rFonts w:ascii="Calibri" w:hAnsi="Calibri" w:cs="Calibri"/>
                <w:b/>
                <w:bCs/>
                <w:color w:val="000000"/>
                <w:sz w:val="18"/>
                <w:szCs w:val="18"/>
              </w:rPr>
              <w:t>TOTALS</w:t>
            </w:r>
          </w:p>
        </w:tc>
        <w:tc>
          <w:tcPr>
            <w:tcW w:w="1260" w:type="dxa"/>
            <w:tcBorders>
              <w:top w:val="single" w:sz="8" w:space="0" w:color="auto"/>
              <w:left w:val="nil"/>
              <w:bottom w:val="single" w:sz="8" w:space="0" w:color="auto"/>
              <w:right w:val="single" w:sz="4" w:space="0" w:color="auto"/>
            </w:tcBorders>
            <w:shd w:val="clear" w:color="auto" w:fill="C6D9F0" w:themeFill="text2" w:themeFillTint="33"/>
            <w:vAlign w:val="center"/>
            <w:hideMark/>
          </w:tcPr>
          <w:p w:rsidR="00FD70FE" w:rsidRPr="00FC2033" w:rsidP="00FD3955" w14:paraId="44102DE0" w14:textId="29A92ED4">
            <w:pPr>
              <w:widowControl/>
              <w:jc w:val="center"/>
              <w:rPr>
                <w:rFonts w:ascii="Calibri" w:hAnsi="Calibri" w:cs="Calibri"/>
                <w:b/>
                <w:bCs/>
                <w:color w:val="000000"/>
                <w:sz w:val="18"/>
                <w:szCs w:val="18"/>
              </w:rPr>
            </w:pPr>
            <w:r>
              <w:rPr>
                <w:rFonts w:ascii="Calibri" w:hAnsi="Calibri" w:cs="Calibri"/>
                <w:b/>
                <w:bCs/>
                <w:color w:val="000000"/>
                <w:sz w:val="18"/>
                <w:szCs w:val="18"/>
              </w:rPr>
              <w:t>90</w:t>
            </w:r>
            <w:r w:rsidR="003A2808">
              <w:rPr>
                <w:rFonts w:ascii="Calibri" w:hAnsi="Calibri" w:cs="Calibri"/>
                <w:b/>
                <w:bCs/>
                <w:color w:val="000000"/>
                <w:sz w:val="18"/>
                <w:szCs w:val="18"/>
              </w:rPr>
              <w:t>4</w:t>
            </w:r>
          </w:p>
        </w:tc>
        <w:tc>
          <w:tcPr>
            <w:tcW w:w="1350" w:type="dxa"/>
            <w:tcBorders>
              <w:top w:val="single" w:sz="8" w:space="0" w:color="auto"/>
              <w:left w:val="nil"/>
              <w:bottom w:val="single" w:sz="8" w:space="0" w:color="auto"/>
              <w:right w:val="single" w:sz="4" w:space="0" w:color="auto"/>
            </w:tcBorders>
            <w:shd w:val="clear" w:color="auto" w:fill="000000"/>
            <w:vAlign w:val="center"/>
            <w:hideMark/>
          </w:tcPr>
          <w:p w:rsidR="00FD70FE" w:rsidRPr="00FC2033" w:rsidP="00FD3955" w14:paraId="3BBCC51D" w14:textId="77777777">
            <w:pPr>
              <w:widowControl/>
              <w:jc w:val="right"/>
              <w:rPr>
                <w:rFonts w:ascii="Calibri" w:hAnsi="Calibri" w:cs="Calibri"/>
                <w:b/>
                <w:bCs/>
                <w:color w:val="000000"/>
                <w:sz w:val="18"/>
                <w:szCs w:val="18"/>
              </w:rPr>
            </w:pPr>
            <w:r w:rsidRPr="00FC2033">
              <w:rPr>
                <w:rFonts w:ascii="Calibri" w:hAnsi="Calibri" w:cs="Calibri"/>
                <w:b/>
                <w:bCs/>
                <w:color w:val="000000"/>
                <w:sz w:val="18"/>
                <w:szCs w:val="18"/>
              </w:rPr>
              <w:t> </w:t>
            </w:r>
          </w:p>
        </w:tc>
        <w:tc>
          <w:tcPr>
            <w:tcW w:w="1440" w:type="dxa"/>
            <w:tcBorders>
              <w:top w:val="single" w:sz="8" w:space="0" w:color="auto"/>
              <w:left w:val="nil"/>
              <w:bottom w:val="single" w:sz="8" w:space="0" w:color="auto"/>
              <w:right w:val="single" w:sz="4" w:space="0" w:color="auto"/>
            </w:tcBorders>
            <w:shd w:val="clear" w:color="auto" w:fill="C6D9F0" w:themeFill="text2" w:themeFillTint="33"/>
            <w:vAlign w:val="center"/>
          </w:tcPr>
          <w:p w:rsidR="00FD70FE" w:rsidRPr="00FC2033" w:rsidP="00FD3955" w14:paraId="53E2C219" w14:textId="185B1B28">
            <w:pPr>
              <w:widowControl/>
              <w:jc w:val="center"/>
              <w:rPr>
                <w:rFonts w:ascii="Calibri" w:hAnsi="Calibri" w:cs="Calibri"/>
                <w:b/>
                <w:bCs/>
                <w:color w:val="000000"/>
                <w:sz w:val="18"/>
                <w:szCs w:val="18"/>
              </w:rPr>
            </w:pPr>
            <w:r>
              <w:rPr>
                <w:rFonts w:ascii="Calibri" w:hAnsi="Calibri" w:cs="Calibri"/>
                <w:b/>
                <w:bCs/>
                <w:color w:val="000000"/>
                <w:sz w:val="18"/>
                <w:szCs w:val="18"/>
              </w:rPr>
              <w:t>6,534</w:t>
            </w:r>
          </w:p>
        </w:tc>
        <w:tc>
          <w:tcPr>
            <w:tcW w:w="1620" w:type="dxa"/>
            <w:tcBorders>
              <w:top w:val="single" w:sz="8" w:space="0" w:color="auto"/>
              <w:left w:val="nil"/>
              <w:bottom w:val="single" w:sz="8" w:space="0" w:color="auto"/>
              <w:right w:val="single" w:sz="4" w:space="0" w:color="auto"/>
            </w:tcBorders>
            <w:shd w:val="clear" w:color="auto" w:fill="000000"/>
            <w:vAlign w:val="center"/>
            <w:hideMark/>
          </w:tcPr>
          <w:p w:rsidR="00FD70FE" w:rsidRPr="00FC2033" w:rsidP="00FD3955" w14:paraId="3D3D2DBF" w14:textId="77777777">
            <w:pPr>
              <w:widowControl/>
              <w:jc w:val="right"/>
              <w:rPr>
                <w:rFonts w:ascii="Calibri" w:hAnsi="Calibri" w:cs="Calibri"/>
                <w:b/>
                <w:bCs/>
                <w:color w:val="000000"/>
                <w:sz w:val="18"/>
                <w:szCs w:val="18"/>
              </w:rPr>
            </w:pPr>
            <w:r w:rsidRPr="00FC2033">
              <w:rPr>
                <w:rFonts w:ascii="Calibri" w:hAnsi="Calibri" w:cs="Calibri"/>
                <w:b/>
                <w:bCs/>
                <w:color w:val="000000"/>
                <w:sz w:val="18"/>
                <w:szCs w:val="18"/>
              </w:rPr>
              <w:t> </w:t>
            </w:r>
          </w:p>
        </w:tc>
        <w:tc>
          <w:tcPr>
            <w:tcW w:w="1341"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FD70FE" w:rsidRPr="00FC2033" w:rsidP="00FD3955" w14:paraId="6F10CB1B" w14:textId="481A1285">
            <w:pPr>
              <w:widowControl/>
              <w:jc w:val="center"/>
              <w:rPr>
                <w:rFonts w:ascii="Calibri" w:hAnsi="Calibri" w:cs="Calibri"/>
                <w:b/>
                <w:bCs/>
                <w:color w:val="000000"/>
                <w:sz w:val="18"/>
                <w:szCs w:val="18"/>
              </w:rPr>
            </w:pPr>
            <w:r w:rsidRPr="00FC2033">
              <w:rPr>
                <w:rFonts w:ascii="Calibri" w:hAnsi="Calibri" w:cs="Calibri"/>
                <w:b/>
                <w:bCs/>
                <w:color w:val="000000"/>
                <w:sz w:val="18"/>
                <w:szCs w:val="18"/>
              </w:rPr>
              <w:t>$</w:t>
            </w:r>
            <w:r w:rsidRPr="00FC2033" w:rsidR="00FC2033">
              <w:rPr>
                <w:rFonts w:ascii="Calibri" w:hAnsi="Calibri" w:cs="Calibri"/>
                <w:b/>
                <w:bCs/>
                <w:color w:val="000000"/>
                <w:sz w:val="18"/>
                <w:szCs w:val="18"/>
              </w:rPr>
              <w:t>90,</w:t>
            </w:r>
            <w:r w:rsidR="003A2808">
              <w:rPr>
                <w:rFonts w:ascii="Calibri" w:hAnsi="Calibri" w:cs="Calibri"/>
                <w:b/>
                <w:bCs/>
                <w:color w:val="000000"/>
                <w:sz w:val="18"/>
                <w:szCs w:val="18"/>
              </w:rPr>
              <w:t>4</w:t>
            </w:r>
            <w:r w:rsidRPr="00FC2033">
              <w:rPr>
                <w:rFonts w:ascii="Calibri" w:hAnsi="Calibri" w:cs="Calibri"/>
                <w:b/>
                <w:bCs/>
                <w:color w:val="000000"/>
                <w:sz w:val="18"/>
                <w:szCs w:val="18"/>
              </w:rPr>
              <w:t>00</w:t>
            </w:r>
          </w:p>
        </w:tc>
      </w:tr>
    </w:tbl>
    <w:p w:rsidR="00FD70FE" w:rsidP="00FD3955" w14:paraId="046322E1" w14:textId="77777777">
      <w:pPr>
        <w:pBdr>
          <w:top w:val="nil"/>
          <w:left w:val="nil"/>
          <w:bottom w:val="nil"/>
          <w:right w:val="nil"/>
          <w:between w:val="nil"/>
        </w:pBdr>
        <w:rPr>
          <w:b/>
          <w:color w:val="000000"/>
        </w:rPr>
      </w:pPr>
    </w:p>
    <w:p w:rsidR="00CC3E3F" w:rsidP="00FD3955" w14:paraId="31D7F208" w14:textId="77777777">
      <w:pPr>
        <w:pBdr>
          <w:top w:val="nil"/>
          <w:left w:val="nil"/>
          <w:bottom w:val="nil"/>
          <w:right w:val="nil"/>
          <w:between w:val="nil"/>
        </w:pBdr>
        <w:rPr>
          <w:b/>
          <w:color w:val="000000"/>
        </w:rPr>
      </w:pPr>
    </w:p>
    <w:p w:rsidR="00BD6DA0" w:rsidP="00FD3955" w14:paraId="446CF74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A1CF3" w:rsidP="00FD3955" w14:paraId="44CC25DD" w14:textId="66D5697F">
      <w:pPr>
        <w:autoSpaceDE w:val="0"/>
        <w:autoSpaceDN w:val="0"/>
        <w:rPr>
          <w:rFonts w:eastAsiaTheme="minorHAnsi"/>
        </w:rPr>
      </w:pPr>
    </w:p>
    <w:p w:rsidR="00FD70FE" w:rsidRPr="009A00BD" w:rsidP="00FD3955" w14:paraId="7B4C3165" w14:textId="77777777">
      <w:pPr>
        <w:tabs>
          <w:tab w:val="left" w:pos="540"/>
        </w:tabs>
        <w:autoSpaceDE w:val="0"/>
        <w:autoSpaceDN w:val="0"/>
        <w:adjustRightInd w:val="0"/>
      </w:pPr>
      <w:r w:rsidRPr="009A00BD">
        <w:t>No costs to the Federal Government are associated with the requirement to identify gear because this involves marking gear by respondents from whom no information is received to process.</w:t>
      </w:r>
    </w:p>
    <w:p w:rsidR="00BD6DA0" w:rsidRPr="00601256" w:rsidP="00FD3955" w14:paraId="13AB1D04" w14:textId="77777777">
      <w:pPr>
        <w:pBdr>
          <w:top w:val="nil"/>
          <w:left w:val="nil"/>
          <w:bottom w:val="nil"/>
          <w:right w:val="nil"/>
          <w:between w:val="nil"/>
        </w:pBdr>
        <w:rPr>
          <w:color w:val="000000"/>
        </w:rPr>
      </w:pPr>
    </w:p>
    <w:p w:rsidR="00BD6DA0" w:rsidP="00FD3955" w14:paraId="2684DF26" w14:textId="1C098EBB">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E7254D" w:rsidP="00FD3955" w14:paraId="1C2C7F5F" w14:textId="721F1336">
      <w:pPr>
        <w:pBdr>
          <w:top w:val="nil"/>
          <w:left w:val="nil"/>
          <w:bottom w:val="nil"/>
          <w:right w:val="nil"/>
          <w:between w:val="nil"/>
        </w:pBdr>
        <w:rPr>
          <w:b/>
          <w:color w:val="000000"/>
        </w:rPr>
      </w:pPr>
    </w:p>
    <w:p w:rsidR="00601256" w:rsidP="00FD3955" w14:paraId="189FB2C0" w14:textId="3D9A8B46">
      <w:pPr>
        <w:pBdr>
          <w:top w:val="nil"/>
          <w:left w:val="nil"/>
          <w:bottom w:val="nil"/>
          <w:right w:val="nil"/>
          <w:between w:val="nil"/>
        </w:pBdr>
        <w:rPr>
          <w:noProof/>
        </w:rPr>
      </w:pPr>
      <w:r>
        <w:rPr>
          <w:noProof/>
        </w:rPr>
        <w:t xml:space="preserve">This </w:t>
      </w:r>
      <w:r w:rsidR="00A94CA5">
        <w:rPr>
          <w:noProof/>
        </w:rPr>
        <w:t xml:space="preserve"> proposed </w:t>
      </w:r>
      <w:r>
        <w:rPr>
          <w:noProof/>
        </w:rPr>
        <w:t>rule (RIN 0648-B</w:t>
      </w:r>
      <w:r w:rsidR="00315B38">
        <w:rPr>
          <w:noProof/>
        </w:rPr>
        <w:t>M77</w:t>
      </w:r>
      <w:r>
        <w:rPr>
          <w:noProof/>
        </w:rPr>
        <w:t>)</w:t>
      </w:r>
      <w:r w:rsidRPr="006A4B56">
        <w:rPr>
          <w:noProof/>
        </w:rPr>
        <w:t xml:space="preserve"> </w:t>
      </w:r>
      <w:r>
        <w:rPr>
          <w:noProof/>
        </w:rPr>
        <w:t>wo</w:t>
      </w:r>
      <w:r w:rsidR="00993B67">
        <w:rPr>
          <w:noProof/>
        </w:rPr>
        <w:t>u</w:t>
      </w:r>
      <w:r>
        <w:rPr>
          <w:noProof/>
        </w:rPr>
        <w:t xml:space="preserve">ld </w:t>
      </w:r>
      <w:r w:rsidRPr="00315B38" w:rsidR="00315B38">
        <w:rPr>
          <w:noProof/>
        </w:rPr>
        <w:t>amend the requirement for marking longline pot gear</w:t>
      </w:r>
      <w:r w:rsidR="00144D48">
        <w:rPr>
          <w:noProof/>
        </w:rPr>
        <w:t xml:space="preserve"> to include vessels in the Ber</w:t>
      </w:r>
      <w:r w:rsidR="00A94CA5">
        <w:rPr>
          <w:noProof/>
        </w:rPr>
        <w:t>i</w:t>
      </w:r>
      <w:r w:rsidR="00144D48">
        <w:rPr>
          <w:noProof/>
        </w:rPr>
        <w:t>ng Sea Greenland turbot fishery</w:t>
      </w:r>
      <w:r w:rsidRPr="006A4B56">
        <w:rPr>
          <w:noProof/>
        </w:rPr>
        <w:t>.</w:t>
      </w:r>
      <w:r>
        <w:rPr>
          <w:noProof/>
        </w:rPr>
        <w:t xml:space="preserve"> This </w:t>
      </w:r>
      <w:r w:rsidR="004C412C">
        <w:rPr>
          <w:noProof/>
        </w:rPr>
        <w:t xml:space="preserve">would </w:t>
      </w:r>
      <w:r w:rsidR="00315B38">
        <w:rPr>
          <w:noProof/>
        </w:rPr>
        <w:t xml:space="preserve">increase the respondents </w:t>
      </w:r>
      <w:r w:rsidR="004C412C">
        <w:rPr>
          <w:noProof/>
        </w:rPr>
        <w:t>f</w:t>
      </w:r>
      <w:r w:rsidR="00315B38">
        <w:rPr>
          <w:noProof/>
        </w:rPr>
        <w:t>or marking longline pot gear, which increases the total annual responses, burden hours, and costs</w:t>
      </w:r>
      <w:r w:rsidR="001C3506">
        <w:rPr>
          <w:noProof/>
        </w:rPr>
        <w:t xml:space="preserve"> for this collection</w:t>
      </w:r>
      <w:r w:rsidR="00315B38">
        <w:rPr>
          <w:noProof/>
        </w:rPr>
        <w:t xml:space="preserve">. The labor costs have been adjusted </w:t>
      </w:r>
      <w:r w:rsidRPr="00315B38" w:rsidR="00315B38">
        <w:rPr>
          <w:noProof/>
        </w:rPr>
        <w:t>to use the most current hourly wage rate available from the U.</w:t>
      </w:r>
      <w:r w:rsidR="00315B38">
        <w:rPr>
          <w:noProof/>
        </w:rPr>
        <w:t xml:space="preserve"> S. Bureau of Labor Statistics.</w:t>
      </w:r>
    </w:p>
    <w:p w:rsidR="00601256" w:rsidP="00FD3955" w14:paraId="41992579" w14:textId="77777777">
      <w:pPr>
        <w:pBdr>
          <w:top w:val="nil"/>
          <w:left w:val="nil"/>
          <w:bottom w:val="nil"/>
          <w:right w:val="nil"/>
          <w:between w:val="nil"/>
        </w:pBdr>
        <w:rPr>
          <w:noProof/>
        </w:rPr>
      </w:pPr>
    </w:p>
    <w:tbl>
      <w:tblPr>
        <w:tblStyle w:val="a30"/>
        <w:tblW w:w="10077" w:type="dxa"/>
        <w:jc w:val="center"/>
        <w:tblLayout w:type="fixed"/>
        <w:tblLook w:val="0400"/>
      </w:tblPr>
      <w:tblGrid>
        <w:gridCol w:w="2150"/>
        <w:gridCol w:w="810"/>
        <w:gridCol w:w="810"/>
        <w:gridCol w:w="810"/>
        <w:gridCol w:w="810"/>
        <w:gridCol w:w="810"/>
        <w:gridCol w:w="810"/>
        <w:gridCol w:w="3067"/>
      </w:tblGrid>
      <w:tr w14:paraId="30353ADC" w14:textId="77777777" w:rsidTr="00851FE9">
        <w:tblPrEx>
          <w:tblW w:w="10077" w:type="dxa"/>
          <w:jc w:val="center"/>
          <w:tblLayout w:type="fixed"/>
          <w:tblLook w:val="0400"/>
        </w:tblPrEx>
        <w:trPr>
          <w:trHeight w:val="294"/>
          <w:jc w:val="center"/>
        </w:trPr>
        <w:tc>
          <w:tcPr>
            <w:tcW w:w="2150"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601256" w:rsidRPr="00D646EA" w:rsidP="00FD3955" w14:paraId="3C997022"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Information Collection</w:t>
            </w:r>
          </w:p>
        </w:tc>
        <w:tc>
          <w:tcPr>
            <w:tcW w:w="162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601256" w:rsidRPr="00D646EA" w:rsidP="00FD3955" w14:paraId="656FA1D0"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Respondents</w:t>
            </w:r>
          </w:p>
        </w:tc>
        <w:tc>
          <w:tcPr>
            <w:tcW w:w="162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601256" w:rsidRPr="00D646EA" w:rsidP="00FD3955" w14:paraId="069FA420"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Responses</w:t>
            </w:r>
          </w:p>
        </w:tc>
        <w:tc>
          <w:tcPr>
            <w:tcW w:w="162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601256" w:rsidRPr="00D646EA" w:rsidP="00FD3955" w14:paraId="356800E5"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Burden Hours</w:t>
            </w:r>
          </w:p>
        </w:tc>
        <w:tc>
          <w:tcPr>
            <w:tcW w:w="3067"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601256" w:rsidRPr="00D646EA" w:rsidP="00FD3955" w14:paraId="71F71D8A" w14:textId="77777777">
            <w:pPr>
              <w:widowControl/>
              <w:jc w:val="center"/>
              <w:rPr>
                <w:rFonts w:ascii="Calibri" w:eastAsia="Calibri" w:hAnsi="Calibri" w:cs="Calibri"/>
                <w:b/>
                <w:color w:val="000000"/>
                <w:sz w:val="18"/>
                <w:szCs w:val="18"/>
              </w:rPr>
            </w:pPr>
            <w:r w:rsidRPr="00D646EA">
              <w:rPr>
                <w:rFonts w:ascii="Calibri" w:eastAsia="Calibri" w:hAnsi="Calibri" w:cs="Calibri"/>
                <w:b/>
                <w:color w:val="000000"/>
                <w:sz w:val="18"/>
                <w:szCs w:val="18"/>
              </w:rPr>
              <w:t>Reason for change or adjustment</w:t>
            </w:r>
          </w:p>
        </w:tc>
      </w:tr>
      <w:tr w14:paraId="1E3BBF9C" w14:textId="77777777" w:rsidTr="004C4A4C">
        <w:tblPrEx>
          <w:tblW w:w="10077" w:type="dxa"/>
          <w:jc w:val="center"/>
          <w:tblLayout w:type="fixed"/>
          <w:tblLook w:val="0400"/>
        </w:tblPrEx>
        <w:trPr>
          <w:trHeight w:val="646"/>
          <w:jc w:val="center"/>
        </w:trPr>
        <w:tc>
          <w:tcPr>
            <w:tcW w:w="215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01256" w:rsidP="00FD3955" w14:paraId="051FC9FD"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810" w:type="dxa"/>
            <w:tcBorders>
              <w:top w:val="nil"/>
              <w:left w:val="nil"/>
              <w:bottom w:val="single" w:sz="8" w:space="0" w:color="000000"/>
              <w:right w:val="dashed" w:sz="8" w:space="0" w:color="000000"/>
            </w:tcBorders>
            <w:shd w:val="clear" w:color="auto" w:fill="FBE4D5"/>
            <w:vAlign w:val="center"/>
          </w:tcPr>
          <w:p w:rsidR="00601256" w:rsidP="00FD3955" w14:paraId="2F94AE0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601256" w:rsidP="00FD3955" w14:paraId="75E40D9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0" w:type="dxa"/>
            <w:tcBorders>
              <w:top w:val="nil"/>
              <w:left w:val="nil"/>
              <w:bottom w:val="single" w:sz="8" w:space="0" w:color="000000"/>
              <w:right w:val="dashed" w:sz="8" w:space="0" w:color="000000"/>
            </w:tcBorders>
            <w:shd w:val="clear" w:color="auto" w:fill="FBE4D5"/>
            <w:vAlign w:val="center"/>
          </w:tcPr>
          <w:p w:rsidR="00601256" w:rsidP="00FD3955" w14:paraId="48EA40A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601256" w:rsidP="00FD3955" w14:paraId="5DBF4EF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0" w:type="dxa"/>
            <w:tcBorders>
              <w:top w:val="nil"/>
              <w:left w:val="nil"/>
              <w:bottom w:val="single" w:sz="8" w:space="0" w:color="000000"/>
              <w:right w:val="dashed" w:sz="8" w:space="0" w:color="000000"/>
            </w:tcBorders>
            <w:shd w:val="clear" w:color="auto" w:fill="FBE4D5"/>
            <w:vAlign w:val="center"/>
          </w:tcPr>
          <w:p w:rsidR="00601256" w:rsidP="00FD3955" w14:paraId="0F451CB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601256" w:rsidP="00FD3955" w14:paraId="696B812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06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01256" w:rsidP="00FD3955" w14:paraId="5C46ABDA"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F9E5D1D" w14:textId="77777777" w:rsidTr="004C4A4C">
        <w:tblPrEx>
          <w:tblW w:w="10077" w:type="dxa"/>
          <w:jc w:val="center"/>
          <w:tblLayout w:type="fixed"/>
          <w:tblLook w:val="0400"/>
        </w:tblPrEx>
        <w:trPr>
          <w:trHeight w:val="504"/>
          <w:jc w:val="center"/>
        </w:trPr>
        <w:tc>
          <w:tcPr>
            <w:tcW w:w="2150" w:type="dxa"/>
            <w:tcBorders>
              <w:top w:val="nil"/>
              <w:left w:val="single" w:sz="8" w:space="0" w:color="000000"/>
              <w:bottom w:val="single" w:sz="8" w:space="0" w:color="000000"/>
              <w:right w:val="single" w:sz="8" w:space="0" w:color="000000"/>
            </w:tcBorders>
            <w:shd w:val="clear" w:color="auto" w:fill="auto"/>
            <w:vAlign w:val="center"/>
          </w:tcPr>
          <w:p w:rsidR="007B3DA8" w:rsidRPr="009321FD" w:rsidP="00FD3955" w14:paraId="75328F59" w14:textId="77777777">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Groundfish Hook-and-line Marker Buoys</w:t>
            </w:r>
          </w:p>
        </w:tc>
        <w:tc>
          <w:tcPr>
            <w:tcW w:w="810" w:type="dxa"/>
            <w:tcBorders>
              <w:top w:val="nil"/>
              <w:left w:val="nil"/>
              <w:bottom w:val="dotted" w:sz="4" w:space="0" w:color="000000"/>
              <w:right w:val="dashed" w:sz="8" w:space="0" w:color="000000"/>
            </w:tcBorders>
            <w:shd w:val="clear" w:color="auto" w:fill="auto"/>
            <w:vAlign w:val="center"/>
          </w:tcPr>
          <w:p w:rsidR="007B3DA8" w:rsidRPr="00E62184" w:rsidP="00FD3955" w14:paraId="2FB234B5" w14:textId="38FDBE9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735</w:t>
            </w:r>
          </w:p>
        </w:tc>
        <w:tc>
          <w:tcPr>
            <w:tcW w:w="810" w:type="dxa"/>
            <w:tcBorders>
              <w:top w:val="single" w:sz="8" w:space="0" w:color="000000"/>
              <w:left w:val="nil"/>
              <w:bottom w:val="dotted" w:sz="4" w:space="0" w:color="000000"/>
              <w:right w:val="single" w:sz="8" w:space="0" w:color="000000"/>
            </w:tcBorders>
            <w:shd w:val="clear" w:color="auto" w:fill="auto"/>
            <w:vAlign w:val="center"/>
          </w:tcPr>
          <w:p w:rsidR="007B3DA8" w:rsidRPr="00E62184" w:rsidP="00FD3955" w14:paraId="629CC278" w14:textId="18373F6A">
            <w:pPr>
              <w:widowControl/>
              <w:jc w:val="center"/>
              <w:rPr>
                <w:rFonts w:eastAsia="Calibri" w:asciiTheme="minorHAnsi" w:hAnsiTheme="minorHAnsi" w:cstheme="minorHAnsi"/>
                <w:color w:val="000000"/>
                <w:sz w:val="18"/>
                <w:szCs w:val="18"/>
              </w:rPr>
            </w:pPr>
            <w:r w:rsidRPr="00E62184">
              <w:rPr>
                <w:rFonts w:eastAsia="Calibri" w:asciiTheme="minorHAnsi" w:hAnsiTheme="minorHAnsi" w:cstheme="minorHAnsi"/>
                <w:color w:val="000000"/>
                <w:sz w:val="18"/>
                <w:szCs w:val="18"/>
              </w:rPr>
              <w:t>735</w:t>
            </w:r>
          </w:p>
        </w:tc>
        <w:tc>
          <w:tcPr>
            <w:tcW w:w="810" w:type="dxa"/>
            <w:tcBorders>
              <w:top w:val="nil"/>
              <w:left w:val="single" w:sz="8" w:space="0" w:color="000000"/>
              <w:bottom w:val="dotted" w:sz="4" w:space="0" w:color="000000"/>
              <w:right w:val="dashed" w:sz="8" w:space="0" w:color="000000"/>
            </w:tcBorders>
            <w:shd w:val="clear" w:color="auto" w:fill="auto"/>
            <w:vAlign w:val="center"/>
          </w:tcPr>
          <w:p w:rsidR="007B3DA8" w:rsidRPr="00E62184" w:rsidP="00FD3955" w14:paraId="32DD50B5" w14:textId="5DEA7FE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5,520</w:t>
            </w:r>
          </w:p>
        </w:tc>
        <w:tc>
          <w:tcPr>
            <w:tcW w:w="810" w:type="dxa"/>
            <w:tcBorders>
              <w:top w:val="single" w:sz="8" w:space="0" w:color="000000"/>
              <w:left w:val="nil"/>
              <w:bottom w:val="dotted" w:sz="4" w:space="0" w:color="000000"/>
              <w:right w:val="single" w:sz="8" w:space="0" w:color="000000"/>
            </w:tcBorders>
            <w:shd w:val="clear" w:color="auto" w:fill="auto"/>
            <w:vAlign w:val="center"/>
          </w:tcPr>
          <w:p w:rsidR="007B3DA8" w:rsidRPr="00E62184" w:rsidP="00FD3955" w14:paraId="6F6E04CC" w14:textId="69B25837">
            <w:pPr>
              <w:widowControl/>
              <w:jc w:val="center"/>
              <w:rPr>
                <w:rFonts w:eastAsia="Calibri" w:asciiTheme="minorHAnsi" w:hAnsiTheme="minorHAnsi" w:cstheme="minorHAnsi"/>
                <w:color w:val="000000"/>
                <w:sz w:val="18"/>
                <w:szCs w:val="18"/>
              </w:rPr>
            </w:pPr>
            <w:r w:rsidRPr="00E62184">
              <w:rPr>
                <w:rFonts w:asciiTheme="minorHAnsi" w:hAnsiTheme="minorHAnsi" w:cstheme="minorHAnsi"/>
                <w:sz w:val="18"/>
                <w:szCs w:val="18"/>
              </w:rPr>
              <w:t>5,520</w:t>
            </w:r>
          </w:p>
        </w:tc>
        <w:tc>
          <w:tcPr>
            <w:tcW w:w="810" w:type="dxa"/>
            <w:tcBorders>
              <w:top w:val="nil"/>
              <w:left w:val="single" w:sz="8" w:space="0" w:color="000000"/>
              <w:bottom w:val="dotted" w:sz="4" w:space="0" w:color="000000"/>
              <w:right w:val="dashed" w:sz="8" w:space="0" w:color="000000"/>
            </w:tcBorders>
            <w:shd w:val="clear" w:color="auto" w:fill="auto"/>
            <w:vAlign w:val="center"/>
          </w:tcPr>
          <w:p w:rsidR="007B3DA8" w:rsidRPr="00E62184" w:rsidP="00BA57C9" w14:paraId="6ABAE62A" w14:textId="4E213F7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2,760</w:t>
            </w:r>
          </w:p>
        </w:tc>
        <w:tc>
          <w:tcPr>
            <w:tcW w:w="810" w:type="dxa"/>
            <w:tcBorders>
              <w:top w:val="single" w:sz="8" w:space="0" w:color="000000"/>
              <w:left w:val="nil"/>
              <w:bottom w:val="dotted" w:sz="4" w:space="0" w:color="000000"/>
              <w:right w:val="single" w:sz="8" w:space="0" w:color="000000"/>
            </w:tcBorders>
            <w:shd w:val="clear" w:color="auto" w:fill="auto"/>
            <w:vAlign w:val="center"/>
          </w:tcPr>
          <w:p w:rsidR="007B3DA8" w:rsidRPr="004C4A4C" w:rsidP="00FD3955" w14:paraId="1F1CD45E" w14:textId="336261A6">
            <w:pPr>
              <w:widowControl/>
              <w:jc w:val="center"/>
              <w:rPr>
                <w:rFonts w:eastAsia="Calibri" w:asciiTheme="minorHAnsi" w:hAnsiTheme="minorHAnsi" w:cstheme="minorHAnsi"/>
                <w:color w:val="000000"/>
                <w:sz w:val="18"/>
                <w:szCs w:val="18"/>
              </w:rPr>
            </w:pPr>
            <w:r w:rsidRPr="004C4A4C">
              <w:rPr>
                <w:rFonts w:asciiTheme="minorHAnsi" w:hAnsiTheme="minorHAnsi" w:cstheme="minorHAnsi"/>
                <w:sz w:val="18"/>
                <w:szCs w:val="18"/>
              </w:rPr>
              <w:t>2,760</w:t>
            </w:r>
          </w:p>
        </w:tc>
        <w:tc>
          <w:tcPr>
            <w:tcW w:w="3067" w:type="dxa"/>
            <w:tcBorders>
              <w:top w:val="nil"/>
              <w:left w:val="single" w:sz="8" w:space="0" w:color="000000"/>
              <w:bottom w:val="dotted" w:sz="4" w:space="0" w:color="000000"/>
              <w:right w:val="single" w:sz="8" w:space="0" w:color="000000"/>
            </w:tcBorders>
            <w:shd w:val="clear" w:color="auto" w:fill="auto"/>
            <w:vAlign w:val="center"/>
          </w:tcPr>
          <w:p w:rsidR="007B3DA8" w:rsidRPr="009321FD" w:rsidP="00FD3955" w14:paraId="525D47F5" w14:textId="2F131C45">
            <w:pPr>
              <w:widowControl/>
              <w:spacing w:before="96" w:beforeLines="40" w:after="96" w:afterLines="4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0BBE8ADF" w14:textId="77777777" w:rsidTr="004C4A4C">
        <w:tblPrEx>
          <w:tblW w:w="10077" w:type="dxa"/>
          <w:jc w:val="center"/>
          <w:tblLayout w:type="fixed"/>
          <w:tblLook w:val="0400"/>
        </w:tblPrEx>
        <w:trPr>
          <w:trHeight w:val="504"/>
          <w:jc w:val="center"/>
        </w:trPr>
        <w:tc>
          <w:tcPr>
            <w:tcW w:w="2150" w:type="dxa"/>
            <w:tcBorders>
              <w:top w:val="nil"/>
              <w:left w:val="single" w:sz="8" w:space="0" w:color="000000"/>
              <w:bottom w:val="single" w:sz="8" w:space="0" w:color="000000"/>
              <w:right w:val="single" w:sz="8" w:space="0" w:color="000000"/>
            </w:tcBorders>
            <w:shd w:val="clear" w:color="auto" w:fill="auto"/>
            <w:vAlign w:val="center"/>
          </w:tcPr>
          <w:p w:rsidR="007B3DA8" w:rsidRPr="009321FD" w:rsidP="00FD3955" w14:paraId="59671CF1" w14:textId="77777777">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Longline Pot Gear</w:t>
            </w:r>
            <w:r>
              <w:rPr>
                <w:rFonts w:asciiTheme="minorHAnsi" w:hAnsiTheme="minorHAnsi" w:cstheme="minorHAnsi"/>
                <w:sz w:val="18"/>
                <w:szCs w:val="18"/>
              </w:rPr>
              <w:t xml:space="preserve"> Marker Buoys</w:t>
            </w:r>
          </w:p>
        </w:tc>
        <w:tc>
          <w:tcPr>
            <w:tcW w:w="810" w:type="dxa"/>
            <w:tcBorders>
              <w:top w:val="nil"/>
              <w:left w:val="nil"/>
              <w:bottom w:val="single" w:sz="4" w:space="0" w:color="000000"/>
              <w:right w:val="dashed" w:sz="8" w:space="0" w:color="000000"/>
            </w:tcBorders>
            <w:shd w:val="clear" w:color="auto" w:fill="auto"/>
            <w:vAlign w:val="center"/>
          </w:tcPr>
          <w:p w:rsidR="007B3DA8" w:rsidRPr="00FC2033" w:rsidP="00FD3955" w14:paraId="63CE299B" w14:textId="33D066AC">
            <w:pPr>
              <w:widowControl/>
              <w:jc w:val="center"/>
              <w:rPr>
                <w:rFonts w:eastAsia="Calibri" w:asciiTheme="minorHAnsi" w:hAnsiTheme="minorHAnsi" w:cstheme="minorHAnsi"/>
                <w:color w:val="000000"/>
                <w:sz w:val="18"/>
                <w:szCs w:val="18"/>
              </w:rPr>
            </w:pPr>
            <w:r w:rsidRPr="00FC2033">
              <w:rPr>
                <w:rFonts w:eastAsia="Calibri" w:asciiTheme="minorHAnsi" w:hAnsiTheme="minorHAnsi" w:cstheme="minorHAnsi"/>
                <w:color w:val="000000"/>
                <w:sz w:val="18"/>
                <w:szCs w:val="18"/>
              </w:rPr>
              <w:t>16</w:t>
            </w:r>
            <w:r w:rsidR="003A2808">
              <w:rPr>
                <w:rFonts w:eastAsia="Calibri" w:asciiTheme="minorHAnsi" w:hAnsiTheme="minorHAnsi" w:cstheme="minorHAnsi"/>
                <w:color w:val="000000"/>
                <w:sz w:val="18"/>
                <w:szCs w:val="18"/>
              </w:rPr>
              <w:t>9</w:t>
            </w:r>
          </w:p>
        </w:tc>
        <w:tc>
          <w:tcPr>
            <w:tcW w:w="810" w:type="dxa"/>
            <w:tcBorders>
              <w:top w:val="nil"/>
              <w:left w:val="nil"/>
              <w:bottom w:val="single" w:sz="4" w:space="0" w:color="000000"/>
              <w:right w:val="single" w:sz="8" w:space="0" w:color="000000"/>
            </w:tcBorders>
            <w:shd w:val="clear" w:color="auto" w:fill="auto"/>
            <w:vAlign w:val="center"/>
          </w:tcPr>
          <w:p w:rsidR="007B3DA8" w:rsidRPr="00FC2033" w:rsidP="00FD3955" w14:paraId="771F1A43" w14:textId="51F26DE1">
            <w:pPr>
              <w:widowControl/>
              <w:jc w:val="center"/>
              <w:rPr>
                <w:rFonts w:eastAsia="Calibri" w:asciiTheme="minorHAnsi" w:hAnsiTheme="minorHAnsi" w:cstheme="minorHAnsi"/>
                <w:color w:val="000000"/>
                <w:sz w:val="18"/>
                <w:szCs w:val="18"/>
              </w:rPr>
            </w:pPr>
            <w:r w:rsidRPr="00FC2033">
              <w:rPr>
                <w:rFonts w:eastAsia="Calibri" w:asciiTheme="minorHAnsi" w:hAnsiTheme="minorHAnsi" w:cstheme="minorHAnsi"/>
                <w:color w:val="000000"/>
                <w:sz w:val="18"/>
                <w:szCs w:val="18"/>
              </w:rPr>
              <w:t>160</w:t>
            </w:r>
          </w:p>
        </w:tc>
        <w:tc>
          <w:tcPr>
            <w:tcW w:w="810" w:type="dxa"/>
            <w:tcBorders>
              <w:top w:val="nil"/>
              <w:left w:val="single" w:sz="8" w:space="0" w:color="000000"/>
              <w:bottom w:val="single" w:sz="4" w:space="0" w:color="000000"/>
              <w:right w:val="dashed" w:sz="8" w:space="0" w:color="000000"/>
            </w:tcBorders>
            <w:shd w:val="clear" w:color="auto" w:fill="auto"/>
            <w:vAlign w:val="center"/>
          </w:tcPr>
          <w:p w:rsidR="007B3DA8" w:rsidRPr="00FC2033" w:rsidP="003A2808" w14:paraId="7F3F7F50" w14:textId="02EB5DEF">
            <w:pPr>
              <w:widowControl/>
              <w:jc w:val="center"/>
              <w:rPr>
                <w:rFonts w:eastAsia="Calibri" w:asciiTheme="minorHAnsi" w:hAnsiTheme="minorHAnsi" w:cstheme="minorHAnsi"/>
                <w:color w:val="000000"/>
                <w:sz w:val="18"/>
                <w:szCs w:val="18"/>
              </w:rPr>
            </w:pPr>
            <w:r w:rsidRPr="00FC2033">
              <w:rPr>
                <w:rFonts w:eastAsia="Calibri" w:asciiTheme="minorHAnsi" w:hAnsiTheme="minorHAnsi" w:cstheme="minorHAnsi"/>
                <w:color w:val="000000"/>
                <w:sz w:val="18"/>
                <w:szCs w:val="18"/>
              </w:rPr>
              <w:t>1,</w:t>
            </w:r>
            <w:r w:rsidRPr="00FC2033" w:rsidR="003A2808">
              <w:rPr>
                <w:rFonts w:eastAsia="Calibri" w:asciiTheme="minorHAnsi" w:hAnsiTheme="minorHAnsi" w:cstheme="minorHAnsi"/>
                <w:color w:val="000000"/>
                <w:sz w:val="18"/>
                <w:szCs w:val="18"/>
              </w:rPr>
              <w:t>0</w:t>
            </w:r>
            <w:r w:rsidR="003A2808">
              <w:rPr>
                <w:rFonts w:eastAsia="Calibri" w:asciiTheme="minorHAnsi" w:hAnsiTheme="minorHAnsi" w:cstheme="minorHAnsi"/>
                <w:color w:val="000000"/>
                <w:sz w:val="18"/>
                <w:szCs w:val="18"/>
              </w:rPr>
              <w:t>14</w:t>
            </w:r>
          </w:p>
        </w:tc>
        <w:tc>
          <w:tcPr>
            <w:tcW w:w="810" w:type="dxa"/>
            <w:tcBorders>
              <w:top w:val="nil"/>
              <w:left w:val="nil"/>
              <w:bottom w:val="single" w:sz="4" w:space="0" w:color="000000"/>
              <w:right w:val="single" w:sz="8" w:space="0" w:color="000000"/>
            </w:tcBorders>
            <w:shd w:val="clear" w:color="auto" w:fill="auto"/>
            <w:vAlign w:val="center"/>
          </w:tcPr>
          <w:p w:rsidR="007B3DA8" w:rsidRPr="00FC2033" w:rsidP="00FD3955" w14:paraId="42040D62" w14:textId="79EF2399">
            <w:pPr>
              <w:widowControl/>
              <w:jc w:val="center"/>
              <w:rPr>
                <w:rFonts w:eastAsia="Calibri" w:asciiTheme="minorHAnsi" w:hAnsiTheme="minorHAnsi" w:cstheme="minorHAnsi"/>
                <w:color w:val="000000"/>
                <w:sz w:val="18"/>
                <w:szCs w:val="18"/>
              </w:rPr>
            </w:pPr>
            <w:r w:rsidRPr="00FC2033">
              <w:rPr>
                <w:rFonts w:asciiTheme="minorHAnsi" w:hAnsiTheme="minorHAnsi" w:cstheme="minorHAnsi"/>
                <w:sz w:val="18"/>
                <w:szCs w:val="18"/>
              </w:rPr>
              <w:t>960</w:t>
            </w:r>
          </w:p>
        </w:tc>
        <w:tc>
          <w:tcPr>
            <w:tcW w:w="810" w:type="dxa"/>
            <w:tcBorders>
              <w:top w:val="nil"/>
              <w:left w:val="single" w:sz="8" w:space="0" w:color="000000"/>
              <w:bottom w:val="single" w:sz="4" w:space="0" w:color="000000"/>
              <w:right w:val="dashed" w:sz="8" w:space="0" w:color="000000"/>
            </w:tcBorders>
            <w:shd w:val="clear" w:color="auto" w:fill="auto"/>
            <w:vAlign w:val="center"/>
          </w:tcPr>
          <w:p w:rsidR="007B3DA8" w:rsidRPr="00FC2033" w:rsidP="00FD3955" w14:paraId="3082430B" w14:textId="458D6F01">
            <w:pPr>
              <w:widowControl/>
              <w:jc w:val="center"/>
              <w:rPr>
                <w:rFonts w:eastAsia="Calibri" w:asciiTheme="minorHAnsi" w:hAnsiTheme="minorHAnsi" w:cstheme="minorHAnsi"/>
                <w:color w:val="000000"/>
                <w:sz w:val="18"/>
                <w:szCs w:val="18"/>
              </w:rPr>
            </w:pPr>
            <w:r w:rsidRPr="00FC2033">
              <w:rPr>
                <w:rFonts w:eastAsia="Calibri" w:asciiTheme="minorHAnsi" w:hAnsiTheme="minorHAnsi" w:cstheme="minorHAnsi"/>
                <w:color w:val="000000"/>
                <w:sz w:val="18"/>
                <w:szCs w:val="18"/>
              </w:rPr>
              <w:t>50</w:t>
            </w:r>
            <w:r w:rsidR="003A2808">
              <w:rPr>
                <w:rFonts w:eastAsia="Calibri" w:asciiTheme="minorHAnsi" w:hAnsiTheme="minorHAnsi" w:cstheme="minorHAnsi"/>
                <w:color w:val="000000"/>
                <w:sz w:val="18"/>
                <w:szCs w:val="18"/>
              </w:rPr>
              <w:t>7</w:t>
            </w:r>
          </w:p>
        </w:tc>
        <w:tc>
          <w:tcPr>
            <w:tcW w:w="810" w:type="dxa"/>
            <w:tcBorders>
              <w:top w:val="nil"/>
              <w:left w:val="nil"/>
              <w:bottom w:val="single" w:sz="4" w:space="0" w:color="000000"/>
              <w:right w:val="single" w:sz="8" w:space="0" w:color="000000"/>
            </w:tcBorders>
            <w:shd w:val="clear" w:color="auto" w:fill="auto"/>
            <w:vAlign w:val="center"/>
          </w:tcPr>
          <w:p w:rsidR="007B3DA8" w:rsidRPr="004C4A4C" w:rsidP="00FD3955" w14:paraId="1052B9B1" w14:textId="6048DF2A">
            <w:pPr>
              <w:widowControl/>
              <w:jc w:val="center"/>
              <w:rPr>
                <w:rFonts w:eastAsia="Calibri" w:asciiTheme="minorHAnsi" w:hAnsiTheme="minorHAnsi" w:cstheme="minorHAnsi"/>
                <w:color w:val="000000"/>
                <w:sz w:val="18"/>
                <w:szCs w:val="18"/>
              </w:rPr>
            </w:pPr>
            <w:r w:rsidRPr="004C4A4C">
              <w:rPr>
                <w:rFonts w:asciiTheme="minorHAnsi" w:hAnsiTheme="minorHAnsi" w:cstheme="minorHAnsi"/>
                <w:sz w:val="18"/>
                <w:szCs w:val="18"/>
              </w:rPr>
              <w:t>480</w:t>
            </w:r>
          </w:p>
        </w:tc>
        <w:tc>
          <w:tcPr>
            <w:tcW w:w="3067" w:type="dxa"/>
            <w:tcBorders>
              <w:top w:val="nil"/>
              <w:left w:val="single" w:sz="8" w:space="0" w:color="000000"/>
              <w:bottom w:val="dotted" w:sz="4" w:space="0" w:color="000000"/>
              <w:right w:val="single" w:sz="8" w:space="0" w:color="000000"/>
            </w:tcBorders>
            <w:shd w:val="clear" w:color="auto" w:fill="auto"/>
            <w:vAlign w:val="center"/>
          </w:tcPr>
          <w:p w:rsidR="007B3DA8" w:rsidRPr="009321FD" w:rsidP="00FC2033" w14:paraId="770EBEE7" w14:textId="20B016F9">
            <w:pPr>
              <w:widowControl/>
              <w:spacing w:before="96" w:beforeLines="40" w:after="96" w:afterLines="4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Program change:</w:t>
            </w:r>
            <w:r w:rsidRPr="001C4085">
              <w:rPr>
                <w:rFonts w:eastAsia="Calibri" w:asciiTheme="minorHAnsi" w:hAnsiTheme="minorHAnsi" w:cstheme="minorHAnsi"/>
                <w:color w:val="000000"/>
                <w:sz w:val="18"/>
                <w:szCs w:val="18"/>
              </w:rPr>
              <w:t xml:space="preserve"> </w:t>
            </w:r>
            <w:r>
              <w:rPr>
                <w:rFonts w:eastAsia="Calibri" w:asciiTheme="minorHAnsi" w:hAnsiTheme="minorHAnsi" w:cstheme="minorHAnsi"/>
                <w:color w:val="000000"/>
                <w:sz w:val="18"/>
                <w:szCs w:val="18"/>
              </w:rPr>
              <w:t>The rule</w:t>
            </w:r>
            <w:r w:rsidR="004C412C">
              <w:rPr>
                <w:rFonts w:eastAsia="Calibri" w:asciiTheme="minorHAnsi" w:hAnsiTheme="minorHAnsi" w:cstheme="minorHAnsi"/>
                <w:color w:val="000000"/>
                <w:sz w:val="18"/>
                <w:szCs w:val="18"/>
              </w:rPr>
              <w:t xml:space="preserve"> would</w:t>
            </w:r>
            <w:r>
              <w:rPr>
                <w:rFonts w:eastAsia="Calibri" w:asciiTheme="minorHAnsi" w:hAnsiTheme="minorHAnsi" w:cstheme="minorHAnsi"/>
                <w:color w:val="000000"/>
                <w:sz w:val="18"/>
                <w:szCs w:val="18"/>
              </w:rPr>
              <w:t xml:space="preserve"> increase the number of respondents, which increases the total annual responses and burden hours. </w:t>
            </w:r>
          </w:p>
        </w:tc>
      </w:tr>
      <w:tr w14:paraId="239D7F32" w14:textId="77777777" w:rsidTr="00851FE9">
        <w:tblPrEx>
          <w:tblW w:w="10077" w:type="dxa"/>
          <w:jc w:val="center"/>
          <w:tblLayout w:type="fixed"/>
          <w:tblLook w:val="0400"/>
        </w:tblPrEx>
        <w:trPr>
          <w:trHeight w:val="435"/>
          <w:jc w:val="center"/>
        </w:trPr>
        <w:tc>
          <w:tcPr>
            <w:tcW w:w="2150" w:type="dxa"/>
            <w:tcBorders>
              <w:top w:val="nil"/>
              <w:left w:val="single" w:sz="8" w:space="0" w:color="000000"/>
              <w:bottom w:val="nil"/>
              <w:right w:val="single" w:sz="8" w:space="0" w:color="000000"/>
            </w:tcBorders>
            <w:shd w:val="clear" w:color="auto" w:fill="C6D9F0" w:themeFill="text2" w:themeFillTint="33"/>
            <w:vAlign w:val="center"/>
          </w:tcPr>
          <w:p w:rsidR="007B3DA8" w:rsidRPr="009321FD" w:rsidP="00FD3955" w14:paraId="27E256AB" w14:textId="77777777">
            <w:pPr>
              <w:widowControl/>
              <w:jc w:val="center"/>
              <w:rPr>
                <w:rFonts w:eastAsia="Calibri" w:asciiTheme="minorHAnsi" w:hAnsiTheme="minorHAnsi" w:cstheme="minorHAnsi"/>
                <w:b/>
                <w:color w:val="000000"/>
                <w:sz w:val="18"/>
                <w:szCs w:val="18"/>
              </w:rPr>
            </w:pPr>
            <w:r w:rsidRPr="009321FD">
              <w:rPr>
                <w:rFonts w:eastAsia="Calibri" w:asciiTheme="minorHAnsi" w:hAnsiTheme="minorHAnsi" w:cstheme="minorHAnsi"/>
                <w:b/>
                <w:color w:val="000000"/>
                <w:sz w:val="18"/>
                <w:szCs w:val="18"/>
              </w:rPr>
              <w:t>Total for Collection</w:t>
            </w:r>
          </w:p>
        </w:tc>
        <w:tc>
          <w:tcPr>
            <w:tcW w:w="810" w:type="dxa"/>
            <w:tcBorders>
              <w:top w:val="single" w:sz="4" w:space="0" w:color="000000"/>
              <w:left w:val="nil"/>
              <w:bottom w:val="nil"/>
              <w:right w:val="dashed" w:sz="8" w:space="0" w:color="000000"/>
            </w:tcBorders>
            <w:shd w:val="clear" w:color="auto" w:fill="C6D9F0" w:themeFill="text2" w:themeFillTint="33"/>
            <w:vAlign w:val="center"/>
          </w:tcPr>
          <w:p w:rsidR="007B3DA8" w:rsidRPr="005255DD" w:rsidP="003A2808" w14:paraId="3123A6CE" w14:textId="7CF7BB52">
            <w:pPr>
              <w:widowControl/>
              <w:jc w:val="center"/>
              <w:rPr>
                <w:rFonts w:eastAsia="Calibri" w:asciiTheme="minorHAnsi" w:hAnsiTheme="minorHAnsi" w:cstheme="minorHAnsi"/>
                <w:b/>
                <w:color w:val="000000"/>
                <w:sz w:val="18"/>
                <w:szCs w:val="18"/>
                <w:highlight w:val="cyan"/>
              </w:rPr>
            </w:pPr>
            <w:r w:rsidRPr="005255DD">
              <w:rPr>
                <w:rFonts w:eastAsia="Calibri" w:asciiTheme="minorHAnsi" w:hAnsiTheme="minorHAnsi" w:cstheme="minorHAnsi"/>
                <w:b/>
                <w:color w:val="000000"/>
                <w:sz w:val="18"/>
                <w:szCs w:val="18"/>
              </w:rPr>
              <w:t>90</w:t>
            </w:r>
            <w:r>
              <w:rPr>
                <w:rFonts w:eastAsia="Calibri" w:asciiTheme="minorHAnsi" w:hAnsiTheme="minorHAnsi" w:cstheme="minorHAnsi"/>
                <w:b/>
                <w:color w:val="000000"/>
                <w:sz w:val="18"/>
                <w:szCs w:val="18"/>
              </w:rPr>
              <w:t>4</w:t>
            </w:r>
          </w:p>
        </w:tc>
        <w:tc>
          <w:tcPr>
            <w:tcW w:w="810" w:type="dxa"/>
            <w:tcBorders>
              <w:top w:val="single" w:sz="4" w:space="0" w:color="000000"/>
              <w:left w:val="nil"/>
              <w:bottom w:val="nil"/>
              <w:right w:val="single" w:sz="8" w:space="0" w:color="000000"/>
            </w:tcBorders>
            <w:shd w:val="clear" w:color="auto" w:fill="C6D9F0" w:themeFill="text2" w:themeFillTint="33"/>
            <w:vAlign w:val="center"/>
          </w:tcPr>
          <w:p w:rsidR="007B3DA8" w:rsidRPr="005255DD" w:rsidP="00FD3955" w14:paraId="3FC2E7A8" w14:textId="7E39E285">
            <w:pPr>
              <w:widowControl/>
              <w:jc w:val="center"/>
              <w:rPr>
                <w:rFonts w:eastAsia="Calibri" w:asciiTheme="minorHAnsi" w:hAnsiTheme="minorHAnsi" w:cstheme="minorHAnsi"/>
                <w:b/>
                <w:color w:val="000000"/>
                <w:sz w:val="18"/>
                <w:szCs w:val="18"/>
              </w:rPr>
            </w:pPr>
            <w:r w:rsidRPr="005255DD">
              <w:rPr>
                <w:rFonts w:eastAsia="Calibri" w:asciiTheme="minorHAnsi" w:hAnsiTheme="minorHAnsi" w:cstheme="minorHAnsi"/>
                <w:b/>
                <w:color w:val="000000"/>
                <w:sz w:val="18"/>
                <w:szCs w:val="18"/>
              </w:rPr>
              <w:t>895</w:t>
            </w:r>
          </w:p>
        </w:tc>
        <w:tc>
          <w:tcPr>
            <w:tcW w:w="810" w:type="dxa"/>
            <w:tcBorders>
              <w:top w:val="single" w:sz="4" w:space="0" w:color="000000"/>
              <w:left w:val="single" w:sz="8" w:space="0" w:color="000000"/>
              <w:bottom w:val="nil"/>
              <w:right w:val="dashed" w:sz="8" w:space="0" w:color="000000"/>
            </w:tcBorders>
            <w:shd w:val="clear" w:color="auto" w:fill="C6D9F0" w:themeFill="text2" w:themeFillTint="33"/>
            <w:vAlign w:val="center"/>
          </w:tcPr>
          <w:p w:rsidR="007B3DA8" w:rsidRPr="005255DD" w:rsidP="003A2808" w14:paraId="333DE210" w14:textId="57B0D7C1">
            <w:pPr>
              <w:widowControl/>
              <w:jc w:val="center"/>
              <w:rPr>
                <w:rFonts w:eastAsia="Calibri" w:asciiTheme="minorHAnsi" w:hAnsiTheme="minorHAnsi" w:cstheme="minorHAnsi"/>
                <w:b/>
                <w:color w:val="000000"/>
                <w:sz w:val="18"/>
                <w:szCs w:val="18"/>
              </w:rPr>
            </w:pPr>
            <w:r w:rsidRPr="005255DD">
              <w:rPr>
                <w:rFonts w:eastAsia="Calibri" w:asciiTheme="minorHAnsi" w:hAnsiTheme="minorHAnsi" w:cstheme="minorHAnsi"/>
                <w:b/>
                <w:color w:val="000000"/>
                <w:sz w:val="18"/>
                <w:szCs w:val="18"/>
              </w:rPr>
              <w:t>6,</w:t>
            </w:r>
            <w:r w:rsidRPr="005255DD" w:rsidR="003A2808">
              <w:rPr>
                <w:rFonts w:eastAsia="Calibri" w:asciiTheme="minorHAnsi" w:hAnsiTheme="minorHAnsi" w:cstheme="minorHAnsi"/>
                <w:b/>
                <w:color w:val="000000"/>
                <w:sz w:val="18"/>
                <w:szCs w:val="18"/>
              </w:rPr>
              <w:t>5</w:t>
            </w:r>
            <w:r w:rsidR="003A2808">
              <w:rPr>
                <w:rFonts w:eastAsia="Calibri" w:asciiTheme="minorHAnsi" w:hAnsiTheme="minorHAnsi" w:cstheme="minorHAnsi"/>
                <w:b/>
                <w:color w:val="000000"/>
                <w:sz w:val="18"/>
                <w:szCs w:val="18"/>
              </w:rPr>
              <w:t>34</w:t>
            </w:r>
          </w:p>
        </w:tc>
        <w:tc>
          <w:tcPr>
            <w:tcW w:w="810" w:type="dxa"/>
            <w:tcBorders>
              <w:top w:val="single" w:sz="4" w:space="0" w:color="000000"/>
              <w:left w:val="nil"/>
              <w:bottom w:val="nil"/>
              <w:right w:val="single" w:sz="8" w:space="0" w:color="000000"/>
            </w:tcBorders>
            <w:shd w:val="clear" w:color="auto" w:fill="C6D9F0" w:themeFill="text2" w:themeFillTint="33"/>
            <w:vAlign w:val="center"/>
          </w:tcPr>
          <w:p w:rsidR="007B3DA8" w:rsidRPr="005255DD" w:rsidP="00FD3955" w14:paraId="681644F8" w14:textId="66359AD1">
            <w:pPr>
              <w:widowControl/>
              <w:jc w:val="center"/>
              <w:rPr>
                <w:rFonts w:eastAsia="Calibri" w:asciiTheme="minorHAnsi" w:hAnsiTheme="minorHAnsi" w:cstheme="minorHAnsi"/>
                <w:b/>
                <w:color w:val="000000"/>
                <w:sz w:val="18"/>
                <w:szCs w:val="18"/>
              </w:rPr>
            </w:pPr>
            <w:r w:rsidRPr="005255DD">
              <w:rPr>
                <w:rFonts w:asciiTheme="minorHAnsi" w:hAnsiTheme="minorHAnsi" w:cstheme="minorHAnsi"/>
                <w:b/>
                <w:sz w:val="18"/>
                <w:szCs w:val="18"/>
              </w:rPr>
              <w:t>6,480</w:t>
            </w:r>
          </w:p>
        </w:tc>
        <w:tc>
          <w:tcPr>
            <w:tcW w:w="810" w:type="dxa"/>
            <w:tcBorders>
              <w:top w:val="single" w:sz="4" w:space="0" w:color="000000"/>
              <w:left w:val="single" w:sz="8" w:space="0" w:color="000000"/>
              <w:bottom w:val="nil"/>
              <w:right w:val="dashed" w:sz="8" w:space="0" w:color="000000"/>
            </w:tcBorders>
            <w:shd w:val="clear" w:color="auto" w:fill="C6D9F0" w:themeFill="text2" w:themeFillTint="33"/>
            <w:vAlign w:val="center"/>
          </w:tcPr>
          <w:p w:rsidR="007B3DA8" w:rsidRPr="005255DD" w:rsidP="00FD3955" w14:paraId="3960D109" w14:textId="785ED77B">
            <w:pPr>
              <w:widowControl/>
              <w:jc w:val="center"/>
              <w:rPr>
                <w:rFonts w:eastAsia="Calibri" w:asciiTheme="minorHAnsi" w:hAnsiTheme="minorHAnsi" w:cstheme="minorHAnsi"/>
                <w:b/>
                <w:color w:val="000000"/>
                <w:sz w:val="18"/>
                <w:szCs w:val="18"/>
              </w:rPr>
            </w:pPr>
            <w:r w:rsidRPr="005255DD">
              <w:rPr>
                <w:rFonts w:eastAsia="Calibri" w:asciiTheme="minorHAnsi" w:hAnsiTheme="minorHAnsi" w:cstheme="minorHAnsi"/>
                <w:b/>
                <w:color w:val="000000"/>
                <w:sz w:val="18"/>
                <w:szCs w:val="18"/>
              </w:rPr>
              <w:t>3,26</w:t>
            </w:r>
            <w:r w:rsidR="003A2808">
              <w:rPr>
                <w:rFonts w:eastAsia="Calibri" w:asciiTheme="minorHAnsi" w:hAnsiTheme="minorHAnsi" w:cstheme="minorHAnsi"/>
                <w:b/>
                <w:color w:val="000000"/>
                <w:sz w:val="18"/>
                <w:szCs w:val="18"/>
              </w:rPr>
              <w:t>7</w:t>
            </w:r>
          </w:p>
        </w:tc>
        <w:tc>
          <w:tcPr>
            <w:tcW w:w="810" w:type="dxa"/>
            <w:tcBorders>
              <w:top w:val="single" w:sz="4" w:space="0" w:color="000000"/>
              <w:left w:val="nil"/>
              <w:bottom w:val="nil"/>
              <w:right w:val="single" w:sz="8" w:space="0" w:color="000000"/>
            </w:tcBorders>
            <w:shd w:val="clear" w:color="auto" w:fill="C6D9F0" w:themeFill="text2" w:themeFillTint="33"/>
            <w:vAlign w:val="center"/>
          </w:tcPr>
          <w:p w:rsidR="007B3DA8" w:rsidRPr="005255DD" w:rsidP="00FD3955" w14:paraId="5240122C" w14:textId="66A6417F">
            <w:pPr>
              <w:widowControl/>
              <w:jc w:val="center"/>
              <w:rPr>
                <w:rFonts w:eastAsia="Calibri" w:asciiTheme="minorHAnsi" w:hAnsiTheme="minorHAnsi" w:cstheme="minorHAnsi"/>
                <w:b/>
                <w:color w:val="000000"/>
                <w:sz w:val="18"/>
                <w:szCs w:val="18"/>
              </w:rPr>
            </w:pPr>
            <w:r w:rsidRPr="005255DD">
              <w:rPr>
                <w:rFonts w:asciiTheme="minorHAnsi" w:hAnsiTheme="minorHAnsi" w:cstheme="minorHAnsi"/>
                <w:b/>
                <w:sz w:val="18"/>
                <w:szCs w:val="18"/>
              </w:rPr>
              <w:t>3,240</w:t>
            </w:r>
          </w:p>
        </w:tc>
        <w:tc>
          <w:tcPr>
            <w:tcW w:w="3067" w:type="dxa"/>
            <w:tcBorders>
              <w:top w:val="nil"/>
              <w:left w:val="single" w:sz="8" w:space="0" w:color="000000"/>
              <w:bottom w:val="nil"/>
              <w:right w:val="single" w:sz="8" w:space="0" w:color="000000"/>
            </w:tcBorders>
            <w:shd w:val="clear" w:color="auto" w:fill="000000"/>
            <w:vAlign w:val="center"/>
          </w:tcPr>
          <w:p w:rsidR="007B3DA8" w:rsidRPr="009321FD" w:rsidP="00FD3955" w14:paraId="7F05FBE5" w14:textId="77777777">
            <w:pPr>
              <w:widowControl/>
              <w:jc w:val="center"/>
              <w:rPr>
                <w:rFonts w:eastAsia="Calibri" w:asciiTheme="minorHAnsi" w:hAnsiTheme="minorHAnsi" w:cstheme="minorHAnsi"/>
                <w:b/>
                <w:color w:val="000000"/>
                <w:sz w:val="18"/>
                <w:szCs w:val="18"/>
              </w:rPr>
            </w:pPr>
            <w:r w:rsidRPr="009321FD">
              <w:rPr>
                <w:rFonts w:eastAsia="Calibri" w:asciiTheme="minorHAnsi" w:hAnsiTheme="minorHAnsi" w:cstheme="minorHAnsi"/>
                <w:b/>
                <w:color w:val="000000"/>
                <w:sz w:val="18"/>
                <w:szCs w:val="18"/>
              </w:rPr>
              <w:t> </w:t>
            </w:r>
          </w:p>
        </w:tc>
      </w:tr>
      <w:tr w14:paraId="73396948" w14:textId="77777777" w:rsidTr="004C4A4C">
        <w:tblPrEx>
          <w:tblW w:w="10077" w:type="dxa"/>
          <w:jc w:val="center"/>
          <w:tblLayout w:type="fixed"/>
          <w:tblLook w:val="0400"/>
        </w:tblPrEx>
        <w:trPr>
          <w:trHeight w:val="294"/>
          <w:jc w:val="center"/>
        </w:trPr>
        <w:tc>
          <w:tcPr>
            <w:tcW w:w="2150" w:type="dxa"/>
            <w:tcBorders>
              <w:top w:val="single" w:sz="8" w:space="0" w:color="000000"/>
              <w:left w:val="single" w:sz="8" w:space="0" w:color="000000"/>
              <w:bottom w:val="single" w:sz="8" w:space="0" w:color="000000"/>
              <w:right w:val="nil"/>
            </w:tcBorders>
            <w:shd w:val="clear" w:color="auto" w:fill="FCE4D6"/>
            <w:vAlign w:val="center"/>
          </w:tcPr>
          <w:p w:rsidR="00601256" w:rsidRPr="006755EC" w:rsidP="00FD3955" w14:paraId="6C257681" w14:textId="77777777">
            <w:pPr>
              <w:widowControl/>
              <w:jc w:val="center"/>
              <w:rPr>
                <w:rFonts w:ascii="Calibri" w:eastAsia="Calibri" w:hAnsi="Calibri" w:cs="Calibri"/>
                <w:b/>
                <w:color w:val="000000"/>
                <w:sz w:val="18"/>
                <w:szCs w:val="18"/>
              </w:rPr>
            </w:pPr>
            <w:r w:rsidRPr="006755EC">
              <w:rPr>
                <w:rFonts w:ascii="Calibri" w:eastAsia="Calibri" w:hAnsi="Calibri" w:cs="Calibri"/>
                <w:b/>
                <w:color w:val="000000"/>
                <w:sz w:val="18"/>
                <w:szCs w:val="18"/>
              </w:rPr>
              <w:t>Difference</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5255DD" w:rsidP="00FD3955" w14:paraId="35FDBF38" w14:textId="72CCFF7C">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9</w:t>
            </w:r>
            <w:r w:rsidRPr="005255DD">
              <w:rPr>
                <w:rFonts w:ascii="Calibri" w:eastAsia="Calibri" w:hAnsi="Calibri" w:cs="Calibri"/>
                <w:b/>
                <w:color w:val="000000"/>
                <w:sz w:val="18"/>
                <w:szCs w:val="18"/>
              </w:rPr>
              <w:t xml:space="preserve"> </w:t>
            </w:r>
          </w:p>
          <w:p w:rsidR="00601256" w:rsidRPr="006755EC" w:rsidP="00FD3955" w14:paraId="74402ECB" w14:textId="084ABB3D">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(program change)</w:t>
            </w:r>
          </w:p>
        </w:tc>
        <w:tc>
          <w:tcPr>
            <w:tcW w:w="1620" w:type="dxa"/>
            <w:gridSpan w:val="2"/>
            <w:tcBorders>
              <w:top w:val="single" w:sz="8" w:space="0" w:color="000000"/>
              <w:left w:val="nil"/>
              <w:bottom w:val="single" w:sz="8" w:space="0" w:color="000000"/>
              <w:right w:val="single" w:sz="8" w:space="0" w:color="000000"/>
            </w:tcBorders>
            <w:shd w:val="clear" w:color="auto" w:fill="FCE4D6"/>
            <w:vAlign w:val="center"/>
          </w:tcPr>
          <w:p w:rsidR="00FC2033" w:rsidP="00FD3955" w14:paraId="6FEB7D13" w14:textId="27E0D6D0">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54</w:t>
            </w:r>
          </w:p>
          <w:p w:rsidR="00601256" w:rsidRPr="00A12FEB" w:rsidP="00FD3955" w14:paraId="62F75E45" w14:textId="14E9FF15">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(program change)</w:t>
            </w:r>
          </w:p>
        </w:tc>
        <w:tc>
          <w:tcPr>
            <w:tcW w:w="1620" w:type="dxa"/>
            <w:gridSpan w:val="2"/>
            <w:tcBorders>
              <w:top w:val="single" w:sz="8" w:space="0" w:color="000000"/>
              <w:left w:val="nil"/>
              <w:bottom w:val="single" w:sz="8" w:space="0" w:color="000000"/>
              <w:right w:val="single" w:sz="4" w:space="0" w:color="000000"/>
            </w:tcBorders>
            <w:shd w:val="clear" w:color="auto" w:fill="FCE4D6"/>
            <w:vAlign w:val="center"/>
          </w:tcPr>
          <w:p w:rsidR="00FC2033" w:rsidRPr="00FC2033" w:rsidP="00FD3955" w14:paraId="37D745D8" w14:textId="6F20B0E5">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27</w:t>
            </w:r>
          </w:p>
          <w:p w:rsidR="00601256" w:rsidRPr="00A12FEB" w:rsidP="00FC2033" w14:paraId="5AF8ECD7" w14:textId="414C7C4C">
            <w:pPr>
              <w:widowControl/>
              <w:jc w:val="center"/>
              <w:rPr>
                <w:rFonts w:ascii="Calibri" w:eastAsia="Calibri" w:hAnsi="Calibri" w:cs="Calibri"/>
                <w:b/>
                <w:color w:val="000000"/>
                <w:sz w:val="18"/>
                <w:szCs w:val="18"/>
              </w:rPr>
            </w:pPr>
            <w:r w:rsidRPr="00FC2033">
              <w:rPr>
                <w:rFonts w:ascii="Calibri" w:eastAsia="Calibri" w:hAnsi="Calibri" w:cs="Calibri"/>
                <w:b/>
                <w:color w:val="000000"/>
                <w:sz w:val="18"/>
                <w:szCs w:val="18"/>
              </w:rPr>
              <w:t>(program change)</w:t>
            </w:r>
          </w:p>
        </w:tc>
        <w:tc>
          <w:tcPr>
            <w:tcW w:w="3067" w:type="dxa"/>
            <w:tcBorders>
              <w:top w:val="single" w:sz="8" w:space="0" w:color="000000"/>
              <w:left w:val="nil"/>
              <w:bottom w:val="single" w:sz="8" w:space="0" w:color="000000"/>
              <w:right w:val="single" w:sz="8" w:space="0" w:color="000000"/>
            </w:tcBorders>
            <w:shd w:val="clear" w:color="auto" w:fill="000000"/>
            <w:vAlign w:val="bottom"/>
          </w:tcPr>
          <w:p w:rsidR="00601256" w:rsidRPr="009321FD" w:rsidP="00FD3955" w14:paraId="1AA2D105" w14:textId="77777777">
            <w:pPr>
              <w:widowControl/>
              <w:rPr>
                <w:rFonts w:ascii="Calibri" w:eastAsia="Calibri" w:hAnsi="Calibri" w:cs="Calibri"/>
                <w:color w:val="000000"/>
                <w:sz w:val="18"/>
                <w:szCs w:val="18"/>
              </w:rPr>
            </w:pPr>
            <w:r w:rsidRPr="009321FD">
              <w:rPr>
                <w:rFonts w:ascii="Calibri" w:eastAsia="Calibri" w:hAnsi="Calibri" w:cs="Calibri"/>
                <w:color w:val="000000"/>
                <w:sz w:val="18"/>
                <w:szCs w:val="18"/>
              </w:rPr>
              <w:t> </w:t>
            </w:r>
          </w:p>
        </w:tc>
      </w:tr>
    </w:tbl>
    <w:p w:rsidR="00601256" w:rsidP="00FD3955" w14:paraId="7C88DF65" w14:textId="77777777">
      <w:pPr>
        <w:pBdr>
          <w:top w:val="nil"/>
          <w:left w:val="nil"/>
          <w:bottom w:val="nil"/>
          <w:right w:val="nil"/>
          <w:between w:val="nil"/>
        </w:pBdr>
        <w:rPr>
          <w:b/>
          <w:color w:val="000000"/>
        </w:rPr>
      </w:pPr>
    </w:p>
    <w:p w:rsidR="00601256" w:rsidP="00FD3955" w14:paraId="29EF29CB" w14:textId="77777777">
      <w:pPr>
        <w:pBdr>
          <w:top w:val="nil"/>
          <w:left w:val="nil"/>
          <w:bottom w:val="nil"/>
          <w:right w:val="nil"/>
          <w:between w:val="nil"/>
        </w:pBdr>
        <w:rPr>
          <w:b/>
          <w:color w:val="000000"/>
        </w:rPr>
      </w:pPr>
    </w:p>
    <w:tbl>
      <w:tblPr>
        <w:tblStyle w:val="a40"/>
        <w:tblW w:w="10147" w:type="dxa"/>
        <w:jc w:val="center"/>
        <w:tblLayout w:type="fixed"/>
        <w:tblLook w:val="0400"/>
      </w:tblPr>
      <w:tblGrid>
        <w:gridCol w:w="2339"/>
        <w:gridCol w:w="1071"/>
        <w:gridCol w:w="990"/>
        <w:gridCol w:w="900"/>
        <w:gridCol w:w="900"/>
        <w:gridCol w:w="3947"/>
      </w:tblGrid>
      <w:tr w14:paraId="71A58461" w14:textId="77777777" w:rsidTr="00B057EB">
        <w:tblPrEx>
          <w:tblW w:w="10147" w:type="dxa"/>
          <w:jc w:val="center"/>
          <w:tblLayout w:type="fixed"/>
          <w:tblLook w:val="0400"/>
        </w:tblPrEx>
        <w:trPr>
          <w:trHeight w:val="293"/>
          <w:jc w:val="center"/>
        </w:trPr>
        <w:tc>
          <w:tcPr>
            <w:tcW w:w="2339"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601256" w:rsidRPr="00A86190" w:rsidP="00FD3955" w14:paraId="57230D36" w14:textId="77777777">
            <w:pPr>
              <w:keepNext/>
              <w:keepLines/>
              <w:widowControl/>
              <w:jc w:val="center"/>
              <w:rPr>
                <w:rFonts w:ascii="Calibri" w:eastAsia="Calibri" w:hAnsi="Calibri" w:cs="Calibri"/>
                <w:b/>
                <w:color w:val="000000"/>
                <w:sz w:val="18"/>
                <w:szCs w:val="18"/>
              </w:rPr>
            </w:pPr>
            <w:r w:rsidRPr="00A86190">
              <w:rPr>
                <w:rFonts w:ascii="Calibri" w:eastAsia="Calibri" w:hAnsi="Calibri" w:cs="Calibri"/>
                <w:b/>
                <w:color w:val="000000"/>
                <w:sz w:val="18"/>
                <w:szCs w:val="18"/>
              </w:rPr>
              <w:t>Information Collection</w:t>
            </w:r>
          </w:p>
        </w:tc>
        <w:tc>
          <w:tcPr>
            <w:tcW w:w="2061"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601256" w:rsidRPr="00A86190" w:rsidP="00FD3955" w14:paraId="76BEC0DB" w14:textId="77777777">
            <w:pPr>
              <w:keepNext/>
              <w:keepLines/>
              <w:widowControl/>
              <w:jc w:val="center"/>
              <w:rPr>
                <w:rFonts w:ascii="Calibri" w:eastAsia="Calibri" w:hAnsi="Calibri" w:cs="Calibri"/>
                <w:b/>
                <w:color w:val="000000"/>
                <w:sz w:val="18"/>
                <w:szCs w:val="18"/>
              </w:rPr>
            </w:pPr>
            <w:r w:rsidRPr="00A86190">
              <w:rPr>
                <w:rFonts w:ascii="Calibri" w:eastAsia="Calibri" w:hAnsi="Calibri" w:cs="Calibri"/>
                <w:b/>
                <w:color w:val="000000"/>
                <w:sz w:val="18"/>
                <w:szCs w:val="18"/>
              </w:rPr>
              <w:t>Labor Costs</w:t>
            </w:r>
          </w:p>
        </w:tc>
        <w:tc>
          <w:tcPr>
            <w:tcW w:w="180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601256" w:rsidRPr="00A86190" w:rsidP="00FD3955" w14:paraId="0EF99583" w14:textId="77777777">
            <w:pPr>
              <w:keepNext/>
              <w:keepLines/>
              <w:widowControl/>
              <w:jc w:val="center"/>
              <w:rPr>
                <w:rFonts w:ascii="Calibri" w:eastAsia="Calibri" w:hAnsi="Calibri" w:cs="Calibri"/>
                <w:b/>
                <w:color w:val="000000"/>
                <w:sz w:val="18"/>
                <w:szCs w:val="18"/>
              </w:rPr>
            </w:pPr>
            <w:r w:rsidRPr="00A86190">
              <w:rPr>
                <w:rFonts w:ascii="Calibri" w:eastAsia="Calibri" w:hAnsi="Calibri" w:cs="Calibri"/>
                <w:b/>
                <w:color w:val="000000"/>
                <w:sz w:val="18"/>
                <w:szCs w:val="18"/>
              </w:rPr>
              <w:t>Miscellaneous Costs</w:t>
            </w:r>
          </w:p>
        </w:tc>
        <w:tc>
          <w:tcPr>
            <w:tcW w:w="3947"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601256" w:rsidRPr="00A86190" w:rsidP="00FD3955" w14:paraId="17E97120" w14:textId="77777777">
            <w:pPr>
              <w:keepNext/>
              <w:keepLines/>
              <w:widowControl/>
              <w:jc w:val="center"/>
              <w:rPr>
                <w:rFonts w:ascii="Calibri" w:eastAsia="Calibri" w:hAnsi="Calibri" w:cs="Calibri"/>
                <w:b/>
                <w:color w:val="000000"/>
                <w:sz w:val="18"/>
                <w:szCs w:val="18"/>
              </w:rPr>
            </w:pPr>
            <w:r w:rsidRPr="00A86190">
              <w:rPr>
                <w:rFonts w:ascii="Calibri" w:eastAsia="Calibri" w:hAnsi="Calibri" w:cs="Calibri"/>
                <w:b/>
                <w:color w:val="000000"/>
                <w:sz w:val="18"/>
                <w:szCs w:val="18"/>
              </w:rPr>
              <w:t>Reason for change or adjustment</w:t>
            </w:r>
          </w:p>
        </w:tc>
      </w:tr>
      <w:tr w14:paraId="18C588F1" w14:textId="77777777" w:rsidTr="00B057EB">
        <w:tblPrEx>
          <w:tblW w:w="10147" w:type="dxa"/>
          <w:jc w:val="center"/>
          <w:tblLayout w:type="fixed"/>
          <w:tblLook w:val="0400"/>
        </w:tblPrEx>
        <w:trPr>
          <w:trHeight w:val="646"/>
          <w:jc w:val="center"/>
        </w:trPr>
        <w:tc>
          <w:tcPr>
            <w:tcW w:w="2339"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01256" w:rsidP="00FD3955" w14:paraId="75D4806F" w14:textId="77777777">
            <w:pPr>
              <w:keepNext/>
              <w:keepLines/>
              <w:pBdr>
                <w:top w:val="nil"/>
                <w:left w:val="nil"/>
                <w:bottom w:val="nil"/>
                <w:right w:val="nil"/>
                <w:between w:val="nil"/>
              </w:pBdr>
              <w:spacing w:line="276" w:lineRule="auto"/>
              <w:rPr>
                <w:rFonts w:ascii="Calibri" w:eastAsia="Calibri" w:hAnsi="Calibri" w:cs="Calibri"/>
                <w:b/>
                <w:color w:val="000000"/>
                <w:sz w:val="16"/>
                <w:szCs w:val="16"/>
              </w:rPr>
            </w:pPr>
          </w:p>
        </w:tc>
        <w:tc>
          <w:tcPr>
            <w:tcW w:w="1071" w:type="dxa"/>
            <w:tcBorders>
              <w:top w:val="nil"/>
              <w:left w:val="nil"/>
              <w:bottom w:val="single" w:sz="8" w:space="0" w:color="000000"/>
              <w:right w:val="dashed" w:sz="8" w:space="0" w:color="000000"/>
            </w:tcBorders>
            <w:shd w:val="clear" w:color="auto" w:fill="FBE4D5"/>
            <w:vAlign w:val="center"/>
          </w:tcPr>
          <w:p w:rsidR="00601256" w:rsidP="00FD3955" w14:paraId="7450249F"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tcPr>
          <w:p w:rsidR="00601256" w:rsidP="00FD3955" w14:paraId="4199E32B"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00" w:type="dxa"/>
            <w:tcBorders>
              <w:top w:val="nil"/>
              <w:left w:val="nil"/>
              <w:bottom w:val="single" w:sz="8" w:space="0" w:color="000000"/>
              <w:right w:val="dashed" w:sz="8" w:space="0" w:color="000000"/>
            </w:tcBorders>
            <w:shd w:val="clear" w:color="auto" w:fill="FBE4D5"/>
            <w:vAlign w:val="center"/>
          </w:tcPr>
          <w:p w:rsidR="00601256" w:rsidP="00FD3955" w14:paraId="47ACC8C1"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00" w:type="dxa"/>
            <w:tcBorders>
              <w:top w:val="nil"/>
              <w:left w:val="nil"/>
              <w:bottom w:val="single" w:sz="8" w:space="0" w:color="000000"/>
              <w:right w:val="single" w:sz="8" w:space="0" w:color="000000"/>
            </w:tcBorders>
            <w:shd w:val="clear" w:color="auto" w:fill="FBE4D5"/>
            <w:vAlign w:val="center"/>
          </w:tcPr>
          <w:p w:rsidR="00601256" w:rsidP="00FD3955" w14:paraId="4A9E6FAD"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394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01256" w:rsidP="00FD3955" w14:paraId="3B2F1857" w14:textId="77777777">
            <w:pPr>
              <w:keepNext/>
              <w:keepLines/>
              <w:pBdr>
                <w:top w:val="nil"/>
                <w:left w:val="nil"/>
                <w:bottom w:val="nil"/>
                <w:right w:val="nil"/>
                <w:between w:val="nil"/>
              </w:pBdr>
              <w:spacing w:line="276" w:lineRule="auto"/>
              <w:rPr>
                <w:rFonts w:ascii="Calibri" w:eastAsia="Calibri" w:hAnsi="Calibri" w:cs="Calibri"/>
                <w:color w:val="000000"/>
                <w:sz w:val="16"/>
                <w:szCs w:val="16"/>
              </w:rPr>
            </w:pPr>
          </w:p>
        </w:tc>
      </w:tr>
      <w:tr w14:paraId="2F33AC84" w14:textId="77777777" w:rsidTr="00B057EB">
        <w:tblPrEx>
          <w:tblW w:w="10147" w:type="dxa"/>
          <w:jc w:val="center"/>
          <w:tblLayout w:type="fixed"/>
          <w:tblLook w:val="0400"/>
        </w:tblPrEx>
        <w:trPr>
          <w:trHeight w:val="477"/>
          <w:jc w:val="center"/>
        </w:trPr>
        <w:tc>
          <w:tcPr>
            <w:tcW w:w="2339" w:type="dxa"/>
            <w:tcBorders>
              <w:top w:val="nil"/>
              <w:left w:val="single" w:sz="8" w:space="0" w:color="000000"/>
              <w:bottom w:val="single" w:sz="8" w:space="0" w:color="000000"/>
              <w:right w:val="single" w:sz="8" w:space="0" w:color="000000"/>
            </w:tcBorders>
            <w:shd w:val="clear" w:color="auto" w:fill="auto"/>
            <w:vAlign w:val="center"/>
          </w:tcPr>
          <w:p w:rsidR="007B3DA8" w:rsidRPr="005E3038" w:rsidP="00FD3955" w14:paraId="6D233607" w14:textId="77777777">
            <w:pPr>
              <w:keepNext/>
              <w:keepLines/>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Groundfish Hook-and-line Marker Buoys</w:t>
            </w:r>
          </w:p>
        </w:tc>
        <w:tc>
          <w:tcPr>
            <w:tcW w:w="1071" w:type="dxa"/>
            <w:tcBorders>
              <w:top w:val="nil"/>
              <w:left w:val="nil"/>
              <w:bottom w:val="dotted" w:sz="4" w:space="0" w:color="000000"/>
              <w:right w:val="dashed" w:sz="8" w:space="0" w:color="000000"/>
            </w:tcBorders>
            <w:shd w:val="clear" w:color="auto" w:fill="auto"/>
            <w:vAlign w:val="center"/>
          </w:tcPr>
          <w:p w:rsidR="007B3DA8" w:rsidRPr="004C4A4C" w:rsidP="00FD3955" w14:paraId="7ADC9862" w14:textId="67E8B6EA">
            <w:pPr>
              <w:keepNext/>
              <w:keepLines/>
              <w:widowControl/>
              <w:jc w:val="center"/>
              <w:rPr>
                <w:rFonts w:eastAsia="Calibri" w:asciiTheme="minorHAnsi" w:hAnsiTheme="minorHAnsi" w:cstheme="minorHAnsi"/>
                <w:color w:val="000000"/>
                <w:sz w:val="18"/>
                <w:szCs w:val="18"/>
                <w:highlight w:val="cyan"/>
              </w:rPr>
            </w:pPr>
            <w:r w:rsidRPr="00E62184">
              <w:rPr>
                <w:rFonts w:eastAsia="Calibri" w:asciiTheme="minorHAnsi" w:hAnsiTheme="minorHAnsi" w:cstheme="minorHAnsi"/>
                <w:color w:val="000000"/>
                <w:sz w:val="18"/>
                <w:szCs w:val="18"/>
              </w:rPr>
              <w:t>66,820</w:t>
            </w:r>
          </w:p>
        </w:tc>
        <w:tc>
          <w:tcPr>
            <w:tcW w:w="990" w:type="dxa"/>
            <w:tcBorders>
              <w:top w:val="single" w:sz="8" w:space="0" w:color="000000"/>
              <w:left w:val="nil"/>
              <w:bottom w:val="dotted" w:sz="4" w:space="0" w:color="000000"/>
              <w:right w:val="single" w:sz="8" w:space="0" w:color="000000"/>
            </w:tcBorders>
            <w:shd w:val="clear" w:color="auto" w:fill="auto"/>
            <w:vAlign w:val="center"/>
          </w:tcPr>
          <w:p w:rsidR="007B3DA8" w:rsidRPr="007B3DA8" w:rsidP="00FD3955" w14:paraId="7BCEF2E4" w14:textId="52FFE008">
            <w:pPr>
              <w:keepNext/>
              <w:keepLines/>
              <w:widowControl/>
              <w:jc w:val="center"/>
              <w:rPr>
                <w:rFonts w:eastAsia="Calibri" w:asciiTheme="minorHAnsi" w:hAnsiTheme="minorHAnsi" w:cstheme="minorHAnsi"/>
                <w:color w:val="000000"/>
                <w:sz w:val="18"/>
                <w:szCs w:val="18"/>
              </w:rPr>
            </w:pPr>
            <w:r w:rsidRPr="007B3DA8">
              <w:rPr>
                <w:rFonts w:asciiTheme="minorHAnsi" w:hAnsiTheme="minorHAnsi" w:cstheme="minorHAnsi"/>
                <w:sz w:val="18"/>
                <w:szCs w:val="18"/>
              </w:rPr>
              <w:t>58,374</w:t>
            </w:r>
          </w:p>
        </w:tc>
        <w:tc>
          <w:tcPr>
            <w:tcW w:w="900" w:type="dxa"/>
            <w:tcBorders>
              <w:top w:val="nil"/>
              <w:left w:val="single" w:sz="8" w:space="0" w:color="000000"/>
              <w:bottom w:val="dotted" w:sz="4" w:space="0" w:color="000000"/>
              <w:right w:val="dashed" w:sz="8" w:space="0" w:color="000000"/>
            </w:tcBorders>
            <w:shd w:val="clear" w:color="auto" w:fill="auto"/>
            <w:vAlign w:val="center"/>
          </w:tcPr>
          <w:p w:rsidR="007B3DA8" w:rsidRPr="007B3DA8" w:rsidP="00FD3955" w14:paraId="4D490871" w14:textId="6C1554AE">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73,500</w:t>
            </w:r>
          </w:p>
        </w:tc>
        <w:tc>
          <w:tcPr>
            <w:tcW w:w="900" w:type="dxa"/>
            <w:tcBorders>
              <w:top w:val="single" w:sz="8" w:space="0" w:color="000000"/>
              <w:left w:val="nil"/>
              <w:bottom w:val="dotted" w:sz="4" w:space="0" w:color="000000"/>
              <w:right w:val="single" w:sz="8" w:space="0" w:color="000000"/>
            </w:tcBorders>
            <w:shd w:val="clear" w:color="auto" w:fill="auto"/>
            <w:vAlign w:val="center"/>
          </w:tcPr>
          <w:p w:rsidR="007B3DA8" w:rsidRPr="007B3DA8" w:rsidP="00FD3955" w14:paraId="05D5BB62" w14:textId="303C7B88">
            <w:pPr>
              <w:keepNext/>
              <w:keepLines/>
              <w:widowControl/>
              <w:jc w:val="center"/>
              <w:rPr>
                <w:rFonts w:eastAsia="Calibri" w:asciiTheme="minorHAnsi" w:hAnsiTheme="minorHAnsi" w:cstheme="minorHAnsi"/>
                <w:color w:val="000000"/>
                <w:sz w:val="18"/>
                <w:szCs w:val="18"/>
              </w:rPr>
            </w:pPr>
            <w:r w:rsidRPr="007B3DA8">
              <w:rPr>
                <w:rFonts w:asciiTheme="minorHAnsi" w:hAnsiTheme="minorHAnsi" w:cstheme="minorHAnsi"/>
                <w:sz w:val="18"/>
                <w:szCs w:val="18"/>
              </w:rPr>
              <w:t>73,500</w:t>
            </w:r>
          </w:p>
        </w:tc>
        <w:tc>
          <w:tcPr>
            <w:tcW w:w="3947" w:type="dxa"/>
            <w:tcBorders>
              <w:top w:val="nil"/>
              <w:left w:val="single" w:sz="8" w:space="0" w:color="000000"/>
              <w:bottom w:val="dotted" w:sz="4" w:space="0" w:color="000000"/>
              <w:right w:val="single" w:sz="8" w:space="0" w:color="000000"/>
            </w:tcBorders>
            <w:shd w:val="clear" w:color="auto" w:fill="auto"/>
            <w:vAlign w:val="center"/>
          </w:tcPr>
          <w:p w:rsidR="007B3DA8" w:rsidRPr="005E3038" w:rsidP="00FD3955" w14:paraId="6AD2AC94" w14:textId="46DA367C">
            <w:pPr>
              <w:keepNext/>
              <w:keepLines/>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Labor: (Adjustment) Updated to use the most recent BLS hourly wage rate.</w:t>
            </w:r>
          </w:p>
        </w:tc>
      </w:tr>
      <w:tr w14:paraId="5B901B71" w14:textId="77777777" w:rsidTr="00B057EB">
        <w:tblPrEx>
          <w:tblW w:w="10147" w:type="dxa"/>
          <w:jc w:val="center"/>
          <w:tblLayout w:type="fixed"/>
          <w:tblLook w:val="0400"/>
        </w:tblPrEx>
        <w:trPr>
          <w:trHeight w:val="494"/>
          <w:jc w:val="center"/>
        </w:trPr>
        <w:tc>
          <w:tcPr>
            <w:tcW w:w="2339" w:type="dxa"/>
            <w:tcBorders>
              <w:top w:val="nil"/>
              <w:left w:val="single" w:sz="8" w:space="0" w:color="000000"/>
              <w:bottom w:val="single" w:sz="8" w:space="0" w:color="000000"/>
              <w:right w:val="single" w:sz="8" w:space="0" w:color="000000"/>
            </w:tcBorders>
            <w:shd w:val="clear" w:color="auto" w:fill="auto"/>
            <w:vAlign w:val="center"/>
          </w:tcPr>
          <w:p w:rsidR="007B3DA8" w:rsidRPr="005E3038" w:rsidP="00FD3955" w14:paraId="6C6E1C71" w14:textId="77777777">
            <w:pPr>
              <w:keepNext/>
              <w:keepLines/>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Longline Pot Gear</w:t>
            </w:r>
            <w:r>
              <w:rPr>
                <w:rFonts w:asciiTheme="minorHAnsi" w:hAnsiTheme="minorHAnsi" w:cstheme="minorHAnsi"/>
                <w:sz w:val="18"/>
                <w:szCs w:val="18"/>
              </w:rPr>
              <w:t xml:space="preserve"> Marker Buoys</w:t>
            </w:r>
          </w:p>
        </w:tc>
        <w:tc>
          <w:tcPr>
            <w:tcW w:w="1071" w:type="dxa"/>
            <w:tcBorders>
              <w:top w:val="nil"/>
              <w:left w:val="nil"/>
              <w:bottom w:val="single" w:sz="4" w:space="0" w:color="000000"/>
              <w:right w:val="dashed" w:sz="8" w:space="0" w:color="000000"/>
            </w:tcBorders>
            <w:shd w:val="clear" w:color="auto" w:fill="auto"/>
            <w:vAlign w:val="center"/>
          </w:tcPr>
          <w:p w:rsidR="007B3DA8" w:rsidRPr="004C4A4C" w:rsidP="00280A84" w14:paraId="574608BF" w14:textId="120AE295">
            <w:pPr>
              <w:keepNext/>
              <w:keepLines/>
              <w:widowControl/>
              <w:jc w:val="center"/>
              <w:rPr>
                <w:rFonts w:eastAsia="Calibri" w:asciiTheme="minorHAnsi" w:hAnsiTheme="minorHAnsi" w:cstheme="minorHAnsi"/>
                <w:color w:val="000000"/>
                <w:sz w:val="18"/>
                <w:szCs w:val="18"/>
                <w:highlight w:val="cyan"/>
              </w:rPr>
            </w:pPr>
            <w:r w:rsidRPr="000D7DF6">
              <w:rPr>
                <w:rFonts w:eastAsia="Calibri" w:asciiTheme="minorHAnsi" w:hAnsiTheme="minorHAnsi" w:cstheme="minorHAnsi"/>
                <w:color w:val="000000"/>
                <w:sz w:val="18"/>
                <w:szCs w:val="18"/>
              </w:rPr>
              <w:t>12,</w:t>
            </w:r>
            <w:r w:rsidR="00280A84">
              <w:rPr>
                <w:rFonts w:eastAsia="Calibri" w:asciiTheme="minorHAnsi" w:hAnsiTheme="minorHAnsi" w:cstheme="minorHAnsi"/>
                <w:color w:val="000000"/>
                <w:sz w:val="18"/>
                <w:szCs w:val="18"/>
              </w:rPr>
              <w:t>274</w:t>
            </w:r>
          </w:p>
        </w:tc>
        <w:tc>
          <w:tcPr>
            <w:tcW w:w="990" w:type="dxa"/>
            <w:tcBorders>
              <w:top w:val="nil"/>
              <w:left w:val="nil"/>
              <w:bottom w:val="single" w:sz="4" w:space="0" w:color="000000"/>
              <w:right w:val="single" w:sz="8" w:space="0" w:color="000000"/>
            </w:tcBorders>
            <w:shd w:val="clear" w:color="auto" w:fill="auto"/>
            <w:vAlign w:val="center"/>
          </w:tcPr>
          <w:p w:rsidR="007B3DA8" w:rsidRPr="007B3DA8" w:rsidP="00FD3955" w14:paraId="34CA5E3B" w14:textId="3D4262C8">
            <w:pPr>
              <w:keepNext/>
              <w:keepLines/>
              <w:widowControl/>
              <w:jc w:val="center"/>
              <w:rPr>
                <w:rFonts w:eastAsia="Calibri" w:asciiTheme="minorHAnsi" w:hAnsiTheme="minorHAnsi" w:cstheme="minorHAnsi"/>
                <w:color w:val="000000"/>
                <w:sz w:val="18"/>
                <w:szCs w:val="18"/>
              </w:rPr>
            </w:pPr>
            <w:r w:rsidRPr="007B3DA8">
              <w:rPr>
                <w:rFonts w:asciiTheme="minorHAnsi" w:hAnsiTheme="minorHAnsi" w:cstheme="minorHAnsi"/>
                <w:sz w:val="18"/>
                <w:szCs w:val="18"/>
              </w:rPr>
              <w:t>10,152</w:t>
            </w:r>
          </w:p>
        </w:tc>
        <w:tc>
          <w:tcPr>
            <w:tcW w:w="900" w:type="dxa"/>
            <w:tcBorders>
              <w:top w:val="nil"/>
              <w:left w:val="single" w:sz="8" w:space="0" w:color="000000"/>
              <w:bottom w:val="single" w:sz="4" w:space="0" w:color="000000"/>
              <w:right w:val="dashed" w:sz="8" w:space="0" w:color="000000"/>
            </w:tcBorders>
            <w:shd w:val="clear" w:color="auto" w:fill="auto"/>
            <w:vAlign w:val="center"/>
          </w:tcPr>
          <w:p w:rsidR="007B3DA8" w:rsidRPr="007B3DA8" w:rsidP="00280A84" w14:paraId="528DC4EA" w14:textId="5506AF34">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w:t>
            </w:r>
            <w:r w:rsidR="00280A84">
              <w:rPr>
                <w:rFonts w:eastAsia="Calibri" w:asciiTheme="minorHAnsi" w:hAnsiTheme="minorHAnsi" w:cstheme="minorHAnsi"/>
                <w:color w:val="000000"/>
                <w:sz w:val="18"/>
                <w:szCs w:val="18"/>
              </w:rPr>
              <w:t>900</w:t>
            </w:r>
          </w:p>
        </w:tc>
        <w:tc>
          <w:tcPr>
            <w:tcW w:w="900" w:type="dxa"/>
            <w:tcBorders>
              <w:top w:val="nil"/>
              <w:left w:val="nil"/>
              <w:bottom w:val="single" w:sz="4" w:space="0" w:color="000000"/>
              <w:right w:val="single" w:sz="8" w:space="0" w:color="000000"/>
            </w:tcBorders>
            <w:shd w:val="clear" w:color="auto" w:fill="auto"/>
            <w:vAlign w:val="center"/>
          </w:tcPr>
          <w:p w:rsidR="007B3DA8" w:rsidRPr="007B3DA8" w:rsidP="00FD3955" w14:paraId="23C829CA" w14:textId="1B5BE574">
            <w:pPr>
              <w:keepNext/>
              <w:keepLines/>
              <w:widowControl/>
              <w:jc w:val="center"/>
              <w:rPr>
                <w:rFonts w:eastAsia="Calibri" w:asciiTheme="minorHAnsi" w:hAnsiTheme="minorHAnsi" w:cstheme="minorHAnsi"/>
                <w:color w:val="000000"/>
                <w:sz w:val="18"/>
                <w:szCs w:val="18"/>
              </w:rPr>
            </w:pPr>
            <w:r w:rsidRPr="007B3DA8">
              <w:rPr>
                <w:rFonts w:asciiTheme="minorHAnsi" w:hAnsiTheme="minorHAnsi" w:cstheme="minorHAnsi"/>
                <w:sz w:val="18"/>
                <w:szCs w:val="18"/>
              </w:rPr>
              <w:t>16,000</w:t>
            </w:r>
          </w:p>
        </w:tc>
        <w:tc>
          <w:tcPr>
            <w:tcW w:w="3947" w:type="dxa"/>
            <w:tcBorders>
              <w:top w:val="nil"/>
              <w:left w:val="single" w:sz="8" w:space="0" w:color="000000"/>
              <w:bottom w:val="dotted" w:sz="4" w:space="0" w:color="000000"/>
              <w:right w:val="single" w:sz="8" w:space="0" w:color="000000"/>
            </w:tcBorders>
            <w:shd w:val="clear" w:color="auto" w:fill="auto"/>
            <w:vAlign w:val="center"/>
          </w:tcPr>
          <w:p w:rsidR="004C412C" w:rsidP="004C412C" w14:paraId="2DF205B6" w14:textId="4D7FB4A3">
            <w:pPr>
              <w:keepNext/>
              <w:keepLines/>
              <w:widowControl/>
              <w:spacing w:before="60" w:after="60"/>
              <w:rPr>
                <w:rFonts w:eastAsia="Calibri" w:asciiTheme="minorHAnsi" w:hAnsiTheme="minorHAnsi" w:cstheme="minorHAnsi"/>
                <w:color w:val="000000"/>
                <w:sz w:val="18"/>
                <w:szCs w:val="18"/>
              </w:rPr>
            </w:pPr>
            <w:r w:rsidRPr="004C412C">
              <w:rPr>
                <w:rFonts w:eastAsia="Calibri" w:asciiTheme="minorHAnsi" w:hAnsiTheme="minorHAnsi" w:cstheme="minorHAnsi"/>
                <w:color w:val="000000"/>
                <w:sz w:val="18"/>
                <w:szCs w:val="18"/>
              </w:rPr>
              <w:t xml:space="preserve">Program Change: </w:t>
            </w:r>
            <w:r>
              <w:rPr>
                <w:rFonts w:eastAsia="Calibri" w:asciiTheme="minorHAnsi" w:hAnsiTheme="minorHAnsi" w:cstheme="minorHAnsi"/>
                <w:color w:val="000000"/>
                <w:sz w:val="18"/>
                <w:szCs w:val="18"/>
              </w:rPr>
              <w:t>This</w:t>
            </w:r>
            <w:r w:rsidRPr="004C412C">
              <w:rPr>
                <w:rFonts w:eastAsia="Calibri" w:asciiTheme="minorHAnsi" w:hAnsiTheme="minorHAnsi" w:cstheme="minorHAnsi"/>
                <w:color w:val="000000"/>
                <w:sz w:val="18"/>
                <w:szCs w:val="18"/>
              </w:rPr>
              <w:t xml:space="preserve"> rule </w:t>
            </w:r>
            <w:r>
              <w:rPr>
                <w:rFonts w:eastAsia="Calibri" w:asciiTheme="minorHAnsi" w:hAnsiTheme="minorHAnsi" w:cstheme="minorHAnsi"/>
                <w:color w:val="000000"/>
                <w:sz w:val="18"/>
                <w:szCs w:val="18"/>
              </w:rPr>
              <w:t>would</w:t>
            </w:r>
            <w:r w:rsidRPr="004C412C">
              <w:rPr>
                <w:rFonts w:eastAsia="Calibri" w:asciiTheme="minorHAnsi" w:hAnsiTheme="minorHAnsi" w:cstheme="minorHAnsi"/>
                <w:color w:val="000000"/>
                <w:sz w:val="18"/>
                <w:szCs w:val="18"/>
              </w:rPr>
              <w:t xml:space="preserve"> increase the respondents, which increases the labor costs and miscellaneous costs </w:t>
            </w:r>
            <w:r>
              <w:rPr>
                <w:rFonts w:eastAsia="Calibri" w:asciiTheme="minorHAnsi" w:hAnsiTheme="minorHAnsi" w:cstheme="minorHAnsi"/>
                <w:color w:val="000000"/>
                <w:sz w:val="18"/>
                <w:szCs w:val="18"/>
              </w:rPr>
              <w:t>for</w:t>
            </w:r>
            <w:r w:rsidRPr="004C412C">
              <w:rPr>
                <w:rFonts w:eastAsia="Calibri" w:asciiTheme="minorHAnsi" w:hAnsiTheme="minorHAnsi" w:cstheme="minorHAnsi"/>
                <w:color w:val="000000"/>
                <w:sz w:val="18"/>
                <w:szCs w:val="18"/>
              </w:rPr>
              <w:t xml:space="preserve"> this collection.</w:t>
            </w:r>
          </w:p>
          <w:p w:rsidR="007B3DA8" w:rsidRPr="000F08E7" w:rsidP="004C412C" w14:paraId="51CA5E4A" w14:textId="0C4A34B5">
            <w:pPr>
              <w:keepNext/>
              <w:keepLines/>
              <w:widowControl/>
              <w:spacing w:before="60" w:after="60"/>
              <w:rPr>
                <w:rFonts w:eastAsia="Calibri" w:asciiTheme="minorHAnsi" w:hAnsiTheme="minorHAnsi" w:cstheme="minorHAnsi"/>
                <w:color w:val="000000"/>
                <w:sz w:val="18"/>
                <w:szCs w:val="18"/>
              </w:rPr>
            </w:pPr>
            <w:r w:rsidRPr="004C412C">
              <w:rPr>
                <w:rFonts w:eastAsia="Calibri" w:asciiTheme="minorHAnsi" w:hAnsiTheme="minorHAnsi" w:cstheme="minorHAnsi"/>
                <w:color w:val="000000"/>
                <w:sz w:val="18"/>
                <w:szCs w:val="18"/>
              </w:rPr>
              <w:t>Adjustment: Labor costs were adjusted to use the most current BLS hourly wage rate.</w:t>
            </w:r>
          </w:p>
        </w:tc>
      </w:tr>
      <w:tr w14:paraId="4A20AFBD" w14:textId="77777777" w:rsidTr="00B057EB">
        <w:tblPrEx>
          <w:tblW w:w="10147" w:type="dxa"/>
          <w:jc w:val="center"/>
          <w:tblLayout w:type="fixed"/>
          <w:tblLook w:val="0400"/>
        </w:tblPrEx>
        <w:trPr>
          <w:trHeight w:val="435"/>
          <w:jc w:val="center"/>
        </w:trPr>
        <w:tc>
          <w:tcPr>
            <w:tcW w:w="2339" w:type="dxa"/>
            <w:tcBorders>
              <w:top w:val="nil"/>
              <w:left w:val="single" w:sz="8" w:space="0" w:color="000000"/>
              <w:bottom w:val="nil"/>
              <w:right w:val="single" w:sz="8" w:space="0" w:color="000000"/>
            </w:tcBorders>
            <w:shd w:val="clear" w:color="auto" w:fill="C6D9F0" w:themeFill="text2" w:themeFillTint="33"/>
            <w:vAlign w:val="center"/>
          </w:tcPr>
          <w:p w:rsidR="007B3DA8" w:rsidRPr="005E3038" w:rsidP="00FD3955" w14:paraId="4279A0BB" w14:textId="77777777">
            <w:pPr>
              <w:keepNext/>
              <w:keepLines/>
              <w:widowControl/>
              <w:jc w:val="center"/>
              <w:rPr>
                <w:rFonts w:ascii="Calibri" w:eastAsia="Calibri" w:hAnsi="Calibri" w:cs="Calibri"/>
                <w:b/>
                <w:color w:val="000000"/>
                <w:sz w:val="18"/>
                <w:szCs w:val="18"/>
              </w:rPr>
            </w:pPr>
            <w:r w:rsidRPr="005E3038">
              <w:rPr>
                <w:rFonts w:ascii="Calibri" w:eastAsia="Calibri" w:hAnsi="Calibri" w:cs="Calibri"/>
                <w:b/>
                <w:color w:val="000000"/>
                <w:sz w:val="18"/>
                <w:szCs w:val="18"/>
              </w:rPr>
              <w:t>Total for Collection</w:t>
            </w:r>
          </w:p>
        </w:tc>
        <w:tc>
          <w:tcPr>
            <w:tcW w:w="1071" w:type="dxa"/>
            <w:tcBorders>
              <w:top w:val="single" w:sz="4" w:space="0" w:color="000000"/>
              <w:left w:val="nil"/>
              <w:bottom w:val="nil"/>
              <w:right w:val="dashed" w:sz="8" w:space="0" w:color="000000"/>
            </w:tcBorders>
            <w:shd w:val="clear" w:color="auto" w:fill="C6D9F0" w:themeFill="text2" w:themeFillTint="33"/>
            <w:vAlign w:val="center"/>
          </w:tcPr>
          <w:p w:rsidR="007B3DA8" w:rsidRPr="007B3DA8" w:rsidP="00280A84" w14:paraId="4F18083D" w14:textId="09701475">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280A84">
              <w:rPr>
                <w:rFonts w:eastAsia="Calibri" w:asciiTheme="minorHAnsi" w:hAnsiTheme="minorHAnsi" w:cstheme="minorHAnsi"/>
                <w:b/>
                <w:color w:val="000000"/>
                <w:sz w:val="18"/>
                <w:szCs w:val="18"/>
              </w:rPr>
              <w:t>79,094</w:t>
            </w:r>
          </w:p>
        </w:tc>
        <w:tc>
          <w:tcPr>
            <w:tcW w:w="990" w:type="dxa"/>
            <w:tcBorders>
              <w:top w:val="single" w:sz="4" w:space="0" w:color="000000"/>
              <w:left w:val="nil"/>
              <w:bottom w:val="nil"/>
              <w:right w:val="single" w:sz="8" w:space="0" w:color="000000"/>
            </w:tcBorders>
            <w:shd w:val="clear" w:color="auto" w:fill="C6D9F0" w:themeFill="text2" w:themeFillTint="33"/>
            <w:vAlign w:val="center"/>
          </w:tcPr>
          <w:p w:rsidR="007B3DA8" w:rsidRPr="007B3DA8" w:rsidP="00FD3955" w14:paraId="6800F1FC" w14:textId="36D45E43">
            <w:pPr>
              <w:keepNext/>
              <w:keepLines/>
              <w:widowControl/>
              <w:jc w:val="center"/>
              <w:rPr>
                <w:rFonts w:eastAsia="Calibri" w:asciiTheme="minorHAnsi" w:hAnsiTheme="minorHAnsi" w:cstheme="minorHAnsi"/>
                <w:b/>
                <w:color w:val="000000"/>
                <w:sz w:val="18"/>
                <w:szCs w:val="18"/>
              </w:rPr>
            </w:pPr>
            <w:r w:rsidRPr="007B3DA8">
              <w:rPr>
                <w:rFonts w:asciiTheme="minorHAnsi" w:hAnsiTheme="minorHAnsi" w:cstheme="minorHAnsi"/>
                <w:b/>
                <w:sz w:val="18"/>
                <w:szCs w:val="18"/>
              </w:rPr>
              <w:t>$68,526</w:t>
            </w:r>
          </w:p>
        </w:tc>
        <w:tc>
          <w:tcPr>
            <w:tcW w:w="900" w:type="dxa"/>
            <w:tcBorders>
              <w:top w:val="single" w:sz="4" w:space="0" w:color="000000"/>
              <w:left w:val="single" w:sz="8" w:space="0" w:color="000000"/>
              <w:bottom w:val="nil"/>
              <w:right w:val="dashed" w:sz="8" w:space="0" w:color="000000"/>
            </w:tcBorders>
            <w:shd w:val="clear" w:color="auto" w:fill="C6D9F0" w:themeFill="text2" w:themeFillTint="33"/>
            <w:vAlign w:val="center"/>
          </w:tcPr>
          <w:p w:rsidR="007B3DA8" w:rsidRPr="007B3DA8" w:rsidP="00280A84" w14:paraId="07504AFC" w14:textId="47117B1E">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b/>
                <w:color w:val="000000"/>
                <w:sz w:val="18"/>
                <w:szCs w:val="18"/>
              </w:rPr>
              <w:t>$90,</w:t>
            </w:r>
            <w:r w:rsidR="00280A84">
              <w:rPr>
                <w:rFonts w:eastAsia="Calibri" w:asciiTheme="minorHAnsi" w:hAnsiTheme="minorHAnsi" w:cstheme="minorHAnsi"/>
                <w:b/>
                <w:color w:val="000000"/>
                <w:sz w:val="18"/>
                <w:szCs w:val="18"/>
              </w:rPr>
              <w:t>400</w:t>
            </w:r>
          </w:p>
        </w:tc>
        <w:tc>
          <w:tcPr>
            <w:tcW w:w="900" w:type="dxa"/>
            <w:tcBorders>
              <w:top w:val="single" w:sz="4" w:space="0" w:color="000000"/>
              <w:left w:val="nil"/>
              <w:bottom w:val="single" w:sz="4" w:space="0" w:color="000000"/>
              <w:right w:val="single" w:sz="8" w:space="0" w:color="000000"/>
            </w:tcBorders>
            <w:shd w:val="clear" w:color="auto" w:fill="C6D9F0" w:themeFill="text2" w:themeFillTint="33"/>
            <w:vAlign w:val="center"/>
          </w:tcPr>
          <w:p w:rsidR="007B3DA8" w:rsidRPr="007B3DA8" w:rsidP="00FD3955" w14:paraId="2E595162" w14:textId="2F7E4CD6">
            <w:pPr>
              <w:keepNext/>
              <w:keepLines/>
              <w:widowControl/>
              <w:jc w:val="center"/>
              <w:rPr>
                <w:rFonts w:eastAsia="Calibri" w:asciiTheme="minorHAnsi" w:hAnsiTheme="minorHAnsi" w:cstheme="minorHAnsi"/>
                <w:b/>
                <w:color w:val="000000"/>
                <w:sz w:val="18"/>
                <w:szCs w:val="18"/>
              </w:rPr>
            </w:pPr>
            <w:r w:rsidRPr="007B3DA8">
              <w:rPr>
                <w:rFonts w:asciiTheme="minorHAnsi" w:hAnsiTheme="minorHAnsi" w:cstheme="minorHAnsi"/>
                <w:b/>
                <w:sz w:val="18"/>
                <w:szCs w:val="18"/>
              </w:rPr>
              <w:t>$89,500</w:t>
            </w:r>
          </w:p>
        </w:tc>
        <w:tc>
          <w:tcPr>
            <w:tcW w:w="3947" w:type="dxa"/>
            <w:tcBorders>
              <w:top w:val="nil"/>
              <w:left w:val="single" w:sz="8" w:space="0" w:color="000000"/>
              <w:bottom w:val="nil"/>
              <w:right w:val="single" w:sz="8" w:space="0" w:color="000000"/>
            </w:tcBorders>
            <w:shd w:val="clear" w:color="auto" w:fill="000000"/>
            <w:vAlign w:val="center"/>
          </w:tcPr>
          <w:p w:rsidR="007B3DA8" w:rsidRPr="005E3038" w:rsidP="00FD3955" w14:paraId="3393DA0B" w14:textId="77777777">
            <w:pPr>
              <w:keepNext/>
              <w:keepLines/>
              <w:widowControl/>
              <w:jc w:val="center"/>
              <w:rPr>
                <w:rFonts w:ascii="Calibri" w:eastAsia="Calibri" w:hAnsi="Calibri" w:cs="Calibri"/>
                <w:b/>
                <w:color w:val="000000"/>
                <w:sz w:val="18"/>
                <w:szCs w:val="18"/>
              </w:rPr>
            </w:pPr>
            <w:r w:rsidRPr="005E3038">
              <w:rPr>
                <w:rFonts w:ascii="Calibri" w:eastAsia="Calibri" w:hAnsi="Calibri" w:cs="Calibri"/>
                <w:b/>
                <w:color w:val="000000"/>
                <w:sz w:val="18"/>
                <w:szCs w:val="18"/>
              </w:rPr>
              <w:t> </w:t>
            </w:r>
          </w:p>
        </w:tc>
      </w:tr>
      <w:tr w14:paraId="4A7E6EBE" w14:textId="77777777" w:rsidTr="00B057EB">
        <w:tblPrEx>
          <w:tblW w:w="10147" w:type="dxa"/>
          <w:jc w:val="center"/>
          <w:tblLayout w:type="fixed"/>
          <w:tblLook w:val="0400"/>
        </w:tblPrEx>
        <w:trPr>
          <w:trHeight w:val="293"/>
          <w:jc w:val="center"/>
        </w:trPr>
        <w:tc>
          <w:tcPr>
            <w:tcW w:w="2339" w:type="dxa"/>
            <w:tcBorders>
              <w:top w:val="single" w:sz="8" w:space="0" w:color="000000"/>
              <w:left w:val="single" w:sz="8" w:space="0" w:color="000000"/>
              <w:bottom w:val="single" w:sz="8" w:space="0" w:color="000000"/>
              <w:right w:val="nil"/>
            </w:tcBorders>
            <w:shd w:val="clear" w:color="auto" w:fill="FCE4D6"/>
            <w:vAlign w:val="center"/>
          </w:tcPr>
          <w:p w:rsidR="00601256" w:rsidRPr="005E3038" w:rsidP="00FD3955" w14:paraId="6302B409" w14:textId="77777777">
            <w:pPr>
              <w:keepNext/>
              <w:keepLines/>
              <w:widowControl/>
              <w:jc w:val="center"/>
              <w:rPr>
                <w:rFonts w:ascii="Calibri" w:eastAsia="Calibri" w:hAnsi="Calibri" w:cs="Calibri"/>
                <w:b/>
                <w:color w:val="000000"/>
                <w:sz w:val="18"/>
                <w:szCs w:val="18"/>
              </w:rPr>
            </w:pPr>
            <w:r w:rsidRPr="005E3038">
              <w:rPr>
                <w:rFonts w:ascii="Calibri" w:eastAsia="Calibri" w:hAnsi="Calibri" w:cs="Calibri"/>
                <w:b/>
                <w:color w:val="000000"/>
                <w:sz w:val="18"/>
                <w:szCs w:val="18"/>
              </w:rPr>
              <w:t>Difference</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601256" w:rsidP="00FD3955" w14:paraId="438A57D2" w14:textId="51D11B9E">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$10,</w:t>
            </w:r>
            <w:r w:rsidR="00280A84">
              <w:rPr>
                <w:rFonts w:eastAsia="Calibri" w:asciiTheme="minorHAnsi" w:hAnsiTheme="minorHAnsi" w:cstheme="minorHAnsi"/>
                <w:b/>
                <w:color w:val="000000"/>
                <w:sz w:val="18"/>
                <w:szCs w:val="18"/>
              </w:rPr>
              <w:t>568</w:t>
            </w:r>
          </w:p>
          <w:p w:rsidR="005255DD" w:rsidRPr="007B3DA8" w:rsidP="00280A84" w14:paraId="79C196F5" w14:textId="74E5CB64">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B057EB">
              <w:rPr>
                <w:rFonts w:eastAsia="Calibri" w:asciiTheme="minorHAnsi" w:hAnsiTheme="minorHAnsi" w:cstheme="minorHAnsi"/>
                <w:b/>
                <w:color w:val="000000"/>
                <w:sz w:val="18"/>
                <w:szCs w:val="18"/>
              </w:rPr>
              <w:t>p</w:t>
            </w:r>
            <w:r>
              <w:rPr>
                <w:rFonts w:eastAsia="Calibri" w:asciiTheme="minorHAnsi" w:hAnsiTheme="minorHAnsi" w:cstheme="minorHAnsi"/>
                <w:b/>
                <w:color w:val="000000"/>
                <w:sz w:val="18"/>
                <w:szCs w:val="18"/>
              </w:rPr>
              <w:t xml:space="preserve">rogram </w:t>
            </w:r>
            <w:r w:rsidR="00B057EB">
              <w:rPr>
                <w:rFonts w:eastAsia="Calibri" w:asciiTheme="minorHAnsi" w:hAnsiTheme="minorHAnsi" w:cstheme="minorHAnsi"/>
                <w:b/>
                <w:color w:val="000000"/>
                <w:sz w:val="18"/>
                <w:szCs w:val="18"/>
              </w:rPr>
              <w:t>c</w:t>
            </w:r>
            <w:r>
              <w:rPr>
                <w:rFonts w:eastAsia="Calibri" w:asciiTheme="minorHAnsi" w:hAnsiTheme="minorHAnsi" w:cstheme="minorHAnsi"/>
                <w:b/>
                <w:color w:val="000000"/>
                <w:sz w:val="18"/>
                <w:szCs w:val="18"/>
              </w:rPr>
              <w:t>hange</w:t>
            </w:r>
            <w:r w:rsidR="00B057EB">
              <w:rPr>
                <w:rFonts w:eastAsia="Calibri" w:asciiTheme="minorHAnsi" w:hAnsiTheme="minorHAnsi" w:cstheme="minorHAnsi"/>
                <w:b/>
                <w:color w:val="000000"/>
                <w:sz w:val="18"/>
                <w:szCs w:val="18"/>
              </w:rPr>
              <w:t>: $</w:t>
            </w:r>
            <w:r w:rsidR="00280A84">
              <w:rPr>
                <w:rFonts w:eastAsia="Calibri" w:asciiTheme="minorHAnsi" w:hAnsiTheme="minorHAnsi" w:cstheme="minorHAnsi"/>
                <w:b/>
                <w:color w:val="000000"/>
                <w:sz w:val="18"/>
                <w:szCs w:val="18"/>
              </w:rPr>
              <w:t>653</w:t>
            </w:r>
            <w:r w:rsidR="00B057EB">
              <w:rPr>
                <w:rFonts w:eastAsia="Calibri" w:asciiTheme="minorHAnsi" w:hAnsiTheme="minorHAnsi" w:cstheme="minorHAnsi"/>
                <w:b/>
                <w:color w:val="000000"/>
                <w:sz w:val="18"/>
                <w:szCs w:val="18"/>
              </w:rPr>
              <w:t>; adjustment: $9,915</w:t>
            </w:r>
            <w:r>
              <w:rPr>
                <w:rFonts w:eastAsia="Calibri" w:asciiTheme="minorHAnsi" w:hAnsiTheme="minorHAnsi" w:cstheme="minorHAnsi"/>
                <w:b/>
                <w:color w:val="000000"/>
                <w:sz w:val="18"/>
                <w:szCs w:val="18"/>
              </w:rPr>
              <w:t>)</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5255DD" w:rsidP="00FD3955" w14:paraId="5A733059" w14:textId="6AFF2395">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280A84">
              <w:rPr>
                <w:rFonts w:eastAsia="Calibri" w:asciiTheme="minorHAnsi" w:hAnsiTheme="minorHAnsi" w:cstheme="minorHAnsi"/>
                <w:b/>
                <w:color w:val="000000"/>
                <w:sz w:val="18"/>
                <w:szCs w:val="18"/>
              </w:rPr>
              <w:t xml:space="preserve">900 </w:t>
            </w:r>
          </w:p>
          <w:p w:rsidR="00601256" w:rsidRPr="007B3DA8" w:rsidP="00B057EB" w14:paraId="12C91F1B" w14:textId="6264CE88">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B057EB">
              <w:rPr>
                <w:rFonts w:eastAsia="Calibri" w:asciiTheme="minorHAnsi" w:hAnsiTheme="minorHAnsi" w:cstheme="minorHAnsi"/>
                <w:b/>
                <w:color w:val="000000"/>
                <w:sz w:val="18"/>
                <w:szCs w:val="18"/>
              </w:rPr>
              <w:t>program c</w:t>
            </w:r>
            <w:r>
              <w:rPr>
                <w:rFonts w:eastAsia="Calibri" w:asciiTheme="minorHAnsi" w:hAnsiTheme="minorHAnsi" w:cstheme="minorHAnsi"/>
                <w:b/>
                <w:color w:val="000000"/>
                <w:sz w:val="18"/>
                <w:szCs w:val="18"/>
              </w:rPr>
              <w:t>hange)</w:t>
            </w:r>
          </w:p>
        </w:tc>
        <w:tc>
          <w:tcPr>
            <w:tcW w:w="3947" w:type="dxa"/>
            <w:tcBorders>
              <w:top w:val="single" w:sz="8" w:space="0" w:color="000000"/>
              <w:left w:val="nil"/>
              <w:bottom w:val="single" w:sz="8" w:space="0" w:color="000000"/>
              <w:right w:val="single" w:sz="8" w:space="0" w:color="000000"/>
            </w:tcBorders>
            <w:shd w:val="clear" w:color="auto" w:fill="000000"/>
            <w:vAlign w:val="bottom"/>
          </w:tcPr>
          <w:p w:rsidR="00601256" w:rsidRPr="005E3038" w:rsidP="00FD3955" w14:paraId="48BB0A14" w14:textId="77777777">
            <w:pPr>
              <w:keepNext/>
              <w:keepLines/>
              <w:widowControl/>
              <w:rPr>
                <w:rFonts w:ascii="Calibri" w:eastAsia="Calibri" w:hAnsi="Calibri" w:cs="Calibri"/>
                <w:color w:val="000000"/>
                <w:sz w:val="18"/>
                <w:szCs w:val="18"/>
              </w:rPr>
            </w:pPr>
            <w:r w:rsidRPr="005E3038">
              <w:rPr>
                <w:rFonts w:ascii="Calibri" w:eastAsia="Calibri" w:hAnsi="Calibri" w:cs="Calibri"/>
                <w:color w:val="000000"/>
                <w:sz w:val="18"/>
                <w:szCs w:val="18"/>
              </w:rPr>
              <w:t> </w:t>
            </w:r>
          </w:p>
        </w:tc>
      </w:tr>
    </w:tbl>
    <w:p w:rsidR="00BD6DA0" w:rsidRPr="00601256" w:rsidP="00FD3955" w14:paraId="56803552" w14:textId="77777777">
      <w:pPr>
        <w:pBdr>
          <w:top w:val="nil"/>
          <w:left w:val="nil"/>
          <w:bottom w:val="nil"/>
          <w:right w:val="nil"/>
          <w:between w:val="nil"/>
        </w:pBdr>
        <w:rPr>
          <w:color w:val="000000"/>
        </w:rPr>
      </w:pPr>
    </w:p>
    <w:p w:rsidR="00BD6DA0" w:rsidRPr="00601256" w:rsidP="00FD3955" w14:paraId="4FC5A795" w14:textId="77777777">
      <w:pPr>
        <w:pBdr>
          <w:top w:val="nil"/>
          <w:left w:val="nil"/>
          <w:bottom w:val="nil"/>
          <w:right w:val="nil"/>
          <w:between w:val="nil"/>
        </w:pBdr>
        <w:rPr>
          <w:color w:val="000000"/>
        </w:rPr>
      </w:pPr>
    </w:p>
    <w:p w:rsidR="00BD6DA0" w:rsidRPr="00601256" w:rsidP="00FD3955" w14:paraId="6CBADA04" w14:textId="77777777">
      <w:pPr>
        <w:pBdr>
          <w:top w:val="nil"/>
          <w:left w:val="nil"/>
          <w:bottom w:val="nil"/>
          <w:right w:val="nil"/>
          <w:between w:val="nil"/>
        </w:pBdr>
        <w:rPr>
          <w:color w:val="000000"/>
        </w:rPr>
      </w:pPr>
    </w:p>
    <w:p w:rsidR="00BD6DA0" w:rsidP="00FD3955" w14:paraId="574AB1F4"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6112" w:rsidRPr="00CA1CF3" w:rsidP="00FD3955" w14:paraId="11E99B49" w14:textId="77777777">
      <w:pPr>
        <w:pBdr>
          <w:top w:val="nil"/>
          <w:left w:val="nil"/>
          <w:bottom w:val="nil"/>
          <w:right w:val="nil"/>
          <w:between w:val="nil"/>
        </w:pBdr>
      </w:pPr>
    </w:p>
    <w:p w:rsidR="00666112" w:rsidP="00FD3955" w14:paraId="23D49B4A" w14:textId="17CF4555">
      <w:pPr>
        <w:pBdr>
          <w:top w:val="nil"/>
          <w:left w:val="nil"/>
          <w:bottom w:val="nil"/>
          <w:right w:val="nil"/>
          <w:between w:val="nil"/>
        </w:pBdr>
      </w:pPr>
      <w:r w:rsidRPr="00601256">
        <w:t>Information from this collection is not published.</w:t>
      </w:r>
    </w:p>
    <w:p w:rsidR="00E7254D" w:rsidP="00FD3955" w14:paraId="4300A7F4" w14:textId="0B381A34">
      <w:pPr>
        <w:pBdr>
          <w:top w:val="nil"/>
          <w:left w:val="nil"/>
          <w:bottom w:val="nil"/>
          <w:right w:val="nil"/>
          <w:between w:val="nil"/>
        </w:pBdr>
      </w:pPr>
    </w:p>
    <w:p w:rsidR="00BD6DA0" w:rsidP="00FD3955" w14:paraId="2E563AA1"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BD6DA0" w:rsidP="00FD3955" w14:paraId="1BA266AF" w14:textId="74555026"/>
    <w:p w:rsidR="00CA1CF3" w:rsidP="00FD3955" w14:paraId="36D48091" w14:textId="6603DB71">
      <w:pPr>
        <w:autoSpaceDE w:val="0"/>
        <w:autoSpaceDN w:val="0"/>
        <w:rPr>
          <w:rFonts w:eastAsiaTheme="minorHAnsi"/>
        </w:rPr>
      </w:pPr>
      <w:r w:rsidRPr="00601256">
        <w:rPr>
          <w:rFonts w:eastAsiaTheme="minorHAnsi"/>
        </w:rPr>
        <w:t>There are no forms associated with this information collection on which to display an expiration date.</w:t>
      </w:r>
    </w:p>
    <w:p w:rsidR="00E56D34" w:rsidRPr="00E56D34" w:rsidP="00FD3955" w14:paraId="3D02D10D" w14:textId="77777777"/>
    <w:p w:rsidR="00BD6DA0" w:rsidP="00FD3955" w14:paraId="301AA748"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E56D34" w:rsidP="00FD3955" w14:paraId="09903A8B" w14:textId="77777777">
      <w:pPr>
        <w:jc w:val="both"/>
      </w:pPr>
    </w:p>
    <w:p w:rsidR="00BD6DA0" w:rsidP="00FD3955" w14:paraId="7D22A19C" w14:textId="77777777">
      <w:pPr>
        <w:jc w:val="both"/>
      </w:pPr>
      <w:r>
        <w:t xml:space="preserve">The agency certifies compliance with </w:t>
      </w:r>
      <w:hyperlink r:id="rId17">
        <w:r>
          <w:rPr>
            <w:color w:val="0563C1"/>
            <w:u w:val="single"/>
          </w:rPr>
          <w:t>5 CFR 1320.9</w:t>
        </w:r>
      </w:hyperlink>
      <w:hyperlink r:id="rId17">
        <w:r>
          <w:rPr>
            <w:color w:val="0563C1"/>
          </w:rPr>
          <w:t xml:space="preserve"> </w:t>
        </w:r>
      </w:hyperlink>
      <w:r>
        <w:t xml:space="preserve">and the related provisions of </w:t>
      </w:r>
      <w:hyperlink r:id="rId18">
        <w:r>
          <w:rPr>
            <w:color w:val="0563C1"/>
            <w:u w:val="single"/>
          </w:rPr>
          <w:t>5 CFR</w:t>
        </w:r>
      </w:hyperlink>
      <w:r>
        <w:rPr>
          <w:color w:val="0563C1"/>
        </w:rPr>
        <w:t xml:space="preserve"> </w:t>
      </w:r>
      <w:hyperlink r:id="rId18">
        <w:r>
          <w:rPr>
            <w:color w:val="0563C1"/>
            <w:u w:val="single"/>
          </w:rPr>
          <w:t>1320.8(b)(3)</w:t>
        </w:r>
      </w:hyperlink>
      <w:r>
        <w:t>.</w:t>
      </w:r>
    </w:p>
    <w:sectPr w:rsidSect="00E7254D">
      <w:footerReference w:type="default" r:id="rId19"/>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15783"/>
      <w:docPartObj>
        <w:docPartGallery w:val="Page Numbers (Bottom of Page)"/>
        <w:docPartUnique/>
      </w:docPartObj>
    </w:sdtPr>
    <w:sdtEndPr>
      <w:rPr>
        <w:rFonts w:asciiTheme="minorHAnsi" w:hAnsiTheme="minorHAnsi" w:cstheme="minorHAnsi"/>
        <w:noProof/>
        <w:sz w:val="20"/>
        <w:szCs w:val="20"/>
      </w:rPr>
    </w:sdtEndPr>
    <w:sdtContent>
      <w:p w:rsidR="00A030C9" w:rsidRPr="00E7254D" w14:paraId="61B193F8" w14:textId="4C799D93">
        <w:pPr>
          <w:pStyle w:val="Footer"/>
          <w:jc w:val="center"/>
          <w:rPr>
            <w:rFonts w:asciiTheme="minorHAnsi" w:hAnsiTheme="minorHAnsi" w:cstheme="minorHAnsi"/>
            <w:sz w:val="20"/>
            <w:szCs w:val="20"/>
          </w:rPr>
        </w:pPr>
        <w:r w:rsidRPr="00E7254D">
          <w:rPr>
            <w:rFonts w:asciiTheme="minorHAnsi" w:hAnsiTheme="minorHAnsi" w:cstheme="minorHAnsi"/>
            <w:sz w:val="20"/>
            <w:szCs w:val="20"/>
          </w:rPr>
          <w:fldChar w:fldCharType="begin"/>
        </w:r>
        <w:r w:rsidRPr="00E7254D">
          <w:rPr>
            <w:rFonts w:asciiTheme="minorHAnsi" w:hAnsiTheme="minorHAnsi" w:cstheme="minorHAnsi"/>
            <w:sz w:val="20"/>
            <w:szCs w:val="20"/>
          </w:rPr>
          <w:instrText xml:space="preserve"> PAGE   \* MERGEFORMAT </w:instrText>
        </w:r>
        <w:r w:rsidRPr="00E7254D">
          <w:rPr>
            <w:rFonts w:asciiTheme="minorHAnsi" w:hAnsiTheme="minorHAnsi" w:cstheme="minorHAnsi"/>
            <w:sz w:val="20"/>
            <w:szCs w:val="20"/>
          </w:rPr>
          <w:fldChar w:fldCharType="separate"/>
        </w:r>
        <w:r w:rsidR="003B4A84">
          <w:rPr>
            <w:rFonts w:asciiTheme="minorHAnsi" w:hAnsiTheme="minorHAnsi" w:cstheme="minorHAnsi"/>
            <w:noProof/>
            <w:sz w:val="20"/>
            <w:szCs w:val="20"/>
          </w:rPr>
          <w:t>8</w:t>
        </w:r>
        <w:r w:rsidRPr="00E7254D">
          <w:rPr>
            <w:rFonts w:asciiTheme="minorHAnsi" w:hAnsiTheme="minorHAnsi" w:cstheme="minorHAnsi"/>
            <w:noProof/>
            <w:sz w:val="20"/>
            <w:szCs w:val="20"/>
          </w:rPr>
          <w:fldChar w:fldCharType="end"/>
        </w:r>
      </w:p>
    </w:sdtContent>
  </w:sdt>
  <w:p w:rsidR="00A030C9" w14:paraId="7C9D8A2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D0FB9"/>
    <w:multiLevelType w:val="multilevel"/>
    <w:tmpl w:val="C5E454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3EA492B"/>
    <w:multiLevelType w:val="multilevel"/>
    <w:tmpl w:val="357E71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
    <w:nsid w:val="10CA3FB5"/>
    <w:multiLevelType w:val="multilevel"/>
    <w:tmpl w:val="7136BBC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11466A8C"/>
    <w:multiLevelType w:val="hybridMultilevel"/>
    <w:tmpl w:val="748ED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15187181"/>
    <w:multiLevelType w:val="hybridMultilevel"/>
    <w:tmpl w:val="5FF23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FD1A90"/>
    <w:multiLevelType w:val="hybridMultilevel"/>
    <w:tmpl w:val="4154C916"/>
    <w:lvl w:ilvl="0">
      <w:start w:val="1"/>
      <w:numFmt w:val="decimal"/>
      <w:suff w:val="space"/>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0">
    <w:nsid w:val="1E2F21B8"/>
    <w:multiLevelType w:val="hybridMultilevel"/>
    <w:tmpl w:val="A60A6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CD2F26"/>
    <w:multiLevelType w:val="multilevel"/>
    <w:tmpl w:val="284EADF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2">
    <w:nsid w:val="26D32176"/>
    <w:multiLevelType w:val="multilevel"/>
    <w:tmpl w:val="BF8029F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328140CC"/>
    <w:multiLevelType w:val="hybridMultilevel"/>
    <w:tmpl w:val="3EC21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6">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7">
    <w:nsid w:val="40AF298B"/>
    <w:multiLevelType w:val="multilevel"/>
    <w:tmpl w:val="080CFA8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8">
    <w:nsid w:val="486E78D7"/>
    <w:multiLevelType w:val="multilevel"/>
    <w:tmpl w:val="602CF1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9">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0">
    <w:nsid w:val="4B52465E"/>
    <w:multiLevelType w:val="multilevel"/>
    <w:tmpl w:val="AE6299F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1">
    <w:nsid w:val="4B5C42D9"/>
    <w:multiLevelType w:val="multilevel"/>
    <w:tmpl w:val="6D26E0F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2">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4">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5">
    <w:nsid w:val="62B16C0A"/>
    <w:multiLevelType w:val="hybridMultilevel"/>
    <w:tmpl w:val="0C660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415E0E"/>
    <w:multiLevelType w:val="hybridMultilevel"/>
    <w:tmpl w:val="235613D4"/>
    <w:lvl w:ilvl="0">
      <w:start w:val="1"/>
      <w:numFmt w:val="bullet"/>
      <w:lvlText w:val=""/>
      <w:lvlJc w:val="left"/>
      <w:pPr>
        <w:ind w:left="710" w:hanging="360"/>
      </w:pPr>
      <w:rPr>
        <w:rFonts w:ascii="Symbol" w:hAnsi="Symbol" w:hint="default"/>
      </w:rPr>
    </w:lvl>
    <w:lvl w:ilvl="1" w:tentative="1">
      <w:start w:val="1"/>
      <w:numFmt w:val="bullet"/>
      <w:lvlText w:val="o"/>
      <w:lvlJc w:val="left"/>
      <w:pPr>
        <w:ind w:left="1430" w:hanging="360"/>
      </w:pPr>
      <w:rPr>
        <w:rFonts w:ascii="Courier New" w:hAnsi="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hint="default"/>
      </w:rPr>
    </w:lvl>
    <w:lvl w:ilvl="8" w:tentative="1">
      <w:start w:val="1"/>
      <w:numFmt w:val="bullet"/>
      <w:lvlText w:val=""/>
      <w:lvlJc w:val="left"/>
      <w:pPr>
        <w:ind w:left="6470" w:hanging="360"/>
      </w:pPr>
      <w:rPr>
        <w:rFonts w:ascii="Wingdings" w:hAnsi="Wingdings" w:hint="default"/>
      </w:rPr>
    </w:lvl>
  </w:abstractNum>
  <w:abstractNum w:abstractNumId="27">
    <w:nsid w:val="65651B7C"/>
    <w:multiLevelType w:val="multilevel"/>
    <w:tmpl w:val="27D47C7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8">
    <w:nsid w:val="6B3F2109"/>
    <w:multiLevelType w:val="hybridMultilevel"/>
    <w:tmpl w:val="3F4EED72"/>
    <w:lvl w:ilvl="0">
      <w:start w:val="1"/>
      <w:numFmt w:val="bullet"/>
      <w:lvlText w:val=""/>
      <w:lvlJc w:val="left"/>
      <w:pPr>
        <w:ind w:left="710" w:hanging="360"/>
      </w:pPr>
      <w:rPr>
        <w:rFonts w:ascii="Symbol" w:hAnsi="Symbol" w:hint="default"/>
      </w:rPr>
    </w:lvl>
    <w:lvl w:ilvl="1" w:tentative="1">
      <w:start w:val="1"/>
      <w:numFmt w:val="bullet"/>
      <w:lvlText w:val="o"/>
      <w:lvlJc w:val="left"/>
      <w:pPr>
        <w:ind w:left="1430" w:hanging="360"/>
      </w:pPr>
      <w:rPr>
        <w:rFonts w:ascii="Courier New" w:hAnsi="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hint="default"/>
      </w:rPr>
    </w:lvl>
    <w:lvl w:ilvl="8" w:tentative="1">
      <w:start w:val="1"/>
      <w:numFmt w:val="bullet"/>
      <w:lvlText w:val=""/>
      <w:lvlJc w:val="left"/>
      <w:pPr>
        <w:ind w:left="6470" w:hanging="360"/>
      </w:pPr>
      <w:rPr>
        <w:rFonts w:ascii="Wingdings" w:hAnsi="Wingdings" w:hint="default"/>
      </w:rPr>
    </w:lvl>
  </w:abstractNum>
  <w:abstractNum w:abstractNumId="29">
    <w:nsid w:val="6D4841F4"/>
    <w:multiLevelType w:val="multilevel"/>
    <w:tmpl w:val="6C4AC1A0"/>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30">
    <w:nsid w:val="72625839"/>
    <w:multiLevelType w:val="hybridMultilevel"/>
    <w:tmpl w:val="BB70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0E0728"/>
    <w:multiLevelType w:val="multilevel"/>
    <w:tmpl w:val="6F6E4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3">
    <w:nsid w:val="76961B56"/>
    <w:multiLevelType w:val="multilevel"/>
    <w:tmpl w:val="CD7CA45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4">
    <w:nsid w:val="76E6327A"/>
    <w:multiLevelType w:val="multilevel"/>
    <w:tmpl w:val="60A03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B8E529E"/>
    <w:multiLevelType w:val="hybridMultilevel"/>
    <w:tmpl w:val="A2820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7">
    <w:nsid w:val="7FAE7F81"/>
    <w:multiLevelType w:val="hybridMultilevel"/>
    <w:tmpl w:val="AD588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29"/>
  </w:num>
  <w:num w:numId="4">
    <w:abstractNumId w:val="20"/>
  </w:num>
  <w:num w:numId="5">
    <w:abstractNumId w:val="21"/>
  </w:num>
  <w:num w:numId="6">
    <w:abstractNumId w:val="0"/>
  </w:num>
  <w:num w:numId="7">
    <w:abstractNumId w:val="12"/>
  </w:num>
  <w:num w:numId="8">
    <w:abstractNumId w:val="3"/>
  </w:num>
  <w:num w:numId="9">
    <w:abstractNumId w:val="18"/>
  </w:num>
  <w:num w:numId="10">
    <w:abstractNumId w:val="27"/>
  </w:num>
  <w:num w:numId="11">
    <w:abstractNumId w:val="11"/>
  </w:num>
  <w:num w:numId="12">
    <w:abstractNumId w:val="22"/>
  </w:num>
  <w:num w:numId="13">
    <w:abstractNumId w:val="6"/>
  </w:num>
  <w:num w:numId="14">
    <w:abstractNumId w:val="24"/>
  </w:num>
  <w:num w:numId="15">
    <w:abstractNumId w:val="7"/>
  </w:num>
  <w:num w:numId="16">
    <w:abstractNumId w:val="15"/>
  </w:num>
  <w:num w:numId="17">
    <w:abstractNumId w:val="16"/>
  </w:num>
  <w:num w:numId="18">
    <w:abstractNumId w:val="9"/>
  </w:num>
  <w:num w:numId="19">
    <w:abstractNumId w:val="5"/>
  </w:num>
  <w:num w:numId="20">
    <w:abstractNumId w:val="19"/>
  </w:num>
  <w:num w:numId="21">
    <w:abstractNumId w:val="32"/>
  </w:num>
  <w:num w:numId="22">
    <w:abstractNumId w:val="13"/>
  </w:num>
  <w:num w:numId="23">
    <w:abstractNumId w:val="23"/>
  </w:num>
  <w:num w:numId="24">
    <w:abstractNumId w:val="2"/>
  </w:num>
  <w:num w:numId="25">
    <w:abstractNumId w:val="36"/>
  </w:num>
  <w:num w:numId="26">
    <w:abstractNumId w:val="1"/>
  </w:num>
  <w:num w:numId="27">
    <w:abstractNumId w:val="31"/>
  </w:num>
  <w:num w:numId="28">
    <w:abstractNumId w:val="26"/>
  </w:num>
  <w:num w:numId="29">
    <w:abstractNumId w:val="28"/>
  </w:num>
  <w:num w:numId="30">
    <w:abstractNumId w:val="8"/>
  </w:num>
  <w:num w:numId="31">
    <w:abstractNumId w:val="14"/>
  </w:num>
  <w:num w:numId="32">
    <w:abstractNumId w:val="35"/>
  </w:num>
  <w:num w:numId="33">
    <w:abstractNumId w:val="4"/>
  </w:num>
  <w:num w:numId="34">
    <w:abstractNumId w:val="25"/>
  </w:num>
  <w:num w:numId="35">
    <w:abstractNumId w:val="37"/>
  </w:num>
  <w:num w:numId="36">
    <w:abstractNumId w:val="10"/>
  </w:num>
  <w:num w:numId="37">
    <w:abstractNumId w:val="3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A0"/>
    <w:rsid w:val="00001EDD"/>
    <w:rsid w:val="0008538E"/>
    <w:rsid w:val="00093A90"/>
    <w:rsid w:val="000B1950"/>
    <w:rsid w:val="000D7DF6"/>
    <w:rsid w:val="000F08E7"/>
    <w:rsid w:val="0011051A"/>
    <w:rsid w:val="0011336A"/>
    <w:rsid w:val="00126F7A"/>
    <w:rsid w:val="00144D48"/>
    <w:rsid w:val="00157CD3"/>
    <w:rsid w:val="001663EA"/>
    <w:rsid w:val="001763F2"/>
    <w:rsid w:val="001C0C7D"/>
    <w:rsid w:val="001C3506"/>
    <w:rsid w:val="001C4085"/>
    <w:rsid w:val="001E4016"/>
    <w:rsid w:val="00225F29"/>
    <w:rsid w:val="00240318"/>
    <w:rsid w:val="002425AB"/>
    <w:rsid w:val="002449AB"/>
    <w:rsid w:val="00252407"/>
    <w:rsid w:val="00270DAC"/>
    <w:rsid w:val="0028065F"/>
    <w:rsid w:val="00280A84"/>
    <w:rsid w:val="0028368A"/>
    <w:rsid w:val="002A09DF"/>
    <w:rsid w:val="002B2993"/>
    <w:rsid w:val="002D22ED"/>
    <w:rsid w:val="002F079C"/>
    <w:rsid w:val="002F17D3"/>
    <w:rsid w:val="003049BE"/>
    <w:rsid w:val="00312E55"/>
    <w:rsid w:val="00313197"/>
    <w:rsid w:val="00315B38"/>
    <w:rsid w:val="00326665"/>
    <w:rsid w:val="003332F9"/>
    <w:rsid w:val="00334721"/>
    <w:rsid w:val="0035044D"/>
    <w:rsid w:val="0035607B"/>
    <w:rsid w:val="003749B0"/>
    <w:rsid w:val="00387BF1"/>
    <w:rsid w:val="003A2808"/>
    <w:rsid w:val="003B412E"/>
    <w:rsid w:val="003B4A84"/>
    <w:rsid w:val="003C1725"/>
    <w:rsid w:val="003C27D4"/>
    <w:rsid w:val="003D462E"/>
    <w:rsid w:val="003E437B"/>
    <w:rsid w:val="00404269"/>
    <w:rsid w:val="004204F5"/>
    <w:rsid w:val="0043750A"/>
    <w:rsid w:val="004538DB"/>
    <w:rsid w:val="0046770C"/>
    <w:rsid w:val="00477E9F"/>
    <w:rsid w:val="004C13EA"/>
    <w:rsid w:val="004C412C"/>
    <w:rsid w:val="004C4A4C"/>
    <w:rsid w:val="004C4B23"/>
    <w:rsid w:val="004E6C0C"/>
    <w:rsid w:val="004F088B"/>
    <w:rsid w:val="005255DD"/>
    <w:rsid w:val="005345B9"/>
    <w:rsid w:val="005449F1"/>
    <w:rsid w:val="0054655B"/>
    <w:rsid w:val="00564522"/>
    <w:rsid w:val="005938B4"/>
    <w:rsid w:val="005A1A17"/>
    <w:rsid w:val="005A608C"/>
    <w:rsid w:val="005B028D"/>
    <w:rsid w:val="005B5DA5"/>
    <w:rsid w:val="005D4686"/>
    <w:rsid w:val="005D7412"/>
    <w:rsid w:val="005E3038"/>
    <w:rsid w:val="00601256"/>
    <w:rsid w:val="00630088"/>
    <w:rsid w:val="00666112"/>
    <w:rsid w:val="006755EC"/>
    <w:rsid w:val="00681ECA"/>
    <w:rsid w:val="006A3C52"/>
    <w:rsid w:val="006A4B56"/>
    <w:rsid w:val="006B21F8"/>
    <w:rsid w:val="00700BF7"/>
    <w:rsid w:val="00746D65"/>
    <w:rsid w:val="0075125D"/>
    <w:rsid w:val="00761F5F"/>
    <w:rsid w:val="007663CF"/>
    <w:rsid w:val="007718C0"/>
    <w:rsid w:val="00793931"/>
    <w:rsid w:val="007A6225"/>
    <w:rsid w:val="007B3DA8"/>
    <w:rsid w:val="007B5CD3"/>
    <w:rsid w:val="007C6054"/>
    <w:rsid w:val="007D2CFD"/>
    <w:rsid w:val="007D5828"/>
    <w:rsid w:val="007D7810"/>
    <w:rsid w:val="00822D5A"/>
    <w:rsid w:val="0083201A"/>
    <w:rsid w:val="00835870"/>
    <w:rsid w:val="00851FE9"/>
    <w:rsid w:val="008624BD"/>
    <w:rsid w:val="008820DF"/>
    <w:rsid w:val="008C21BB"/>
    <w:rsid w:val="008D0CF8"/>
    <w:rsid w:val="00902EB3"/>
    <w:rsid w:val="00910267"/>
    <w:rsid w:val="00916F03"/>
    <w:rsid w:val="009238E2"/>
    <w:rsid w:val="0092671F"/>
    <w:rsid w:val="009321FD"/>
    <w:rsid w:val="00961E1E"/>
    <w:rsid w:val="009709F2"/>
    <w:rsid w:val="00993B67"/>
    <w:rsid w:val="009A00BD"/>
    <w:rsid w:val="009A55D0"/>
    <w:rsid w:val="009B05C9"/>
    <w:rsid w:val="00A030C9"/>
    <w:rsid w:val="00A10088"/>
    <w:rsid w:val="00A117A9"/>
    <w:rsid w:val="00A12FEB"/>
    <w:rsid w:val="00A13782"/>
    <w:rsid w:val="00A15C15"/>
    <w:rsid w:val="00A7475A"/>
    <w:rsid w:val="00A86190"/>
    <w:rsid w:val="00A91E92"/>
    <w:rsid w:val="00A94CA5"/>
    <w:rsid w:val="00AA38DC"/>
    <w:rsid w:val="00AA52A5"/>
    <w:rsid w:val="00AA5766"/>
    <w:rsid w:val="00AB083D"/>
    <w:rsid w:val="00AB7CE6"/>
    <w:rsid w:val="00B057EB"/>
    <w:rsid w:val="00B072EC"/>
    <w:rsid w:val="00B42A44"/>
    <w:rsid w:val="00B6691E"/>
    <w:rsid w:val="00B87919"/>
    <w:rsid w:val="00B9036F"/>
    <w:rsid w:val="00B946A2"/>
    <w:rsid w:val="00BA57C9"/>
    <w:rsid w:val="00BD6DA0"/>
    <w:rsid w:val="00BE66B7"/>
    <w:rsid w:val="00C20CD4"/>
    <w:rsid w:val="00C5589A"/>
    <w:rsid w:val="00C55DFF"/>
    <w:rsid w:val="00C61259"/>
    <w:rsid w:val="00C70830"/>
    <w:rsid w:val="00C80369"/>
    <w:rsid w:val="00C87043"/>
    <w:rsid w:val="00C91681"/>
    <w:rsid w:val="00CA1CF3"/>
    <w:rsid w:val="00CA52D8"/>
    <w:rsid w:val="00CC3E3F"/>
    <w:rsid w:val="00CE0AAD"/>
    <w:rsid w:val="00CE2337"/>
    <w:rsid w:val="00CE60A5"/>
    <w:rsid w:val="00CF5D1A"/>
    <w:rsid w:val="00D437C0"/>
    <w:rsid w:val="00D4745D"/>
    <w:rsid w:val="00D53A39"/>
    <w:rsid w:val="00D5770B"/>
    <w:rsid w:val="00D646EA"/>
    <w:rsid w:val="00D7421C"/>
    <w:rsid w:val="00DA3BAA"/>
    <w:rsid w:val="00DD3D06"/>
    <w:rsid w:val="00DE09A3"/>
    <w:rsid w:val="00DE54F6"/>
    <w:rsid w:val="00E040A1"/>
    <w:rsid w:val="00E070D8"/>
    <w:rsid w:val="00E21DD1"/>
    <w:rsid w:val="00E56D34"/>
    <w:rsid w:val="00E62184"/>
    <w:rsid w:val="00E7254D"/>
    <w:rsid w:val="00E8579F"/>
    <w:rsid w:val="00E94770"/>
    <w:rsid w:val="00EA1744"/>
    <w:rsid w:val="00EB18AD"/>
    <w:rsid w:val="00EB1EB6"/>
    <w:rsid w:val="00EC30A7"/>
    <w:rsid w:val="00EF6B6F"/>
    <w:rsid w:val="00EF6FB9"/>
    <w:rsid w:val="00F54F7E"/>
    <w:rsid w:val="00F81F0C"/>
    <w:rsid w:val="00FA728B"/>
    <w:rsid w:val="00FC2033"/>
    <w:rsid w:val="00FD3955"/>
    <w:rsid w:val="00FD70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2D8813"/>
  <w15:docId w15:val="{C48BEABB-A21A-4434-9D26-103B109B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C8704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87043"/>
    <w:rPr>
      <w:rFonts w:ascii="Arial" w:eastAsia="Arial" w:hAnsi="Arial" w:cs="Arial"/>
      <w:b/>
      <w:bCs/>
      <w:color w:val="2E5395"/>
      <w:sz w:val="20"/>
      <w:szCs w:val="20"/>
    </w:rPr>
  </w:style>
  <w:style w:type="numbering" w:customStyle="1" w:styleId="NoList1">
    <w:name w:val="No List1"/>
    <w:next w:val="NoList"/>
    <w:uiPriority w:val="99"/>
    <w:semiHidden/>
    <w:unhideWhenUsed/>
    <w:rsid w:val="00EC30A7"/>
  </w:style>
  <w:style w:type="character" w:customStyle="1" w:styleId="TitleChar">
    <w:name w:val="Title Char"/>
    <w:basedOn w:val="DefaultParagraphFont"/>
    <w:link w:val="Title"/>
    <w:uiPriority w:val="10"/>
    <w:rsid w:val="00EC30A7"/>
    <w:rPr>
      <w:b/>
      <w:sz w:val="72"/>
      <w:szCs w:val="72"/>
    </w:rPr>
  </w:style>
  <w:style w:type="paragraph" w:styleId="NormalWeb">
    <w:name w:val="Normal (Web)"/>
    <w:basedOn w:val="Normal"/>
    <w:uiPriority w:val="99"/>
    <w:semiHidden/>
    <w:unhideWhenUsed/>
    <w:rsid w:val="00EC30A7"/>
    <w:pPr>
      <w:widowControl/>
      <w:spacing w:before="100" w:beforeAutospacing="1" w:after="100" w:afterAutospacing="1"/>
    </w:pPr>
  </w:style>
  <w:style w:type="paragraph" w:styleId="FootnoteText">
    <w:name w:val="footnote text"/>
    <w:basedOn w:val="Normal"/>
    <w:link w:val="FootnoteTextChar"/>
    <w:uiPriority w:val="99"/>
    <w:semiHidden/>
    <w:unhideWhenUsed/>
    <w:rsid w:val="00EC30A7"/>
    <w:pPr>
      <w:autoSpaceDE w:val="0"/>
      <w:autoSpaceDN w:val="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EC30A7"/>
    <w:rPr>
      <w:rFonts w:eastAsiaTheme="minorHAnsi" w:cstheme="minorBidi"/>
      <w:sz w:val="20"/>
      <w:szCs w:val="20"/>
    </w:rPr>
  </w:style>
  <w:style w:type="character" w:styleId="FootnoteReference">
    <w:name w:val="footnote reference"/>
    <w:basedOn w:val="DefaultParagraphFont"/>
    <w:uiPriority w:val="99"/>
    <w:semiHidden/>
    <w:unhideWhenUsed/>
    <w:rsid w:val="00EC30A7"/>
    <w:rPr>
      <w:vertAlign w:val="superscript"/>
    </w:rPr>
  </w:style>
  <w:style w:type="paragraph" w:styleId="Revision">
    <w:name w:val="Revision"/>
    <w:hidden/>
    <w:uiPriority w:val="99"/>
    <w:semiHidden/>
    <w:rsid w:val="00EC30A7"/>
    <w:pPr>
      <w:widowControl/>
    </w:pPr>
    <w:rPr>
      <w:rFonts w:eastAsiaTheme="minorHAnsi" w:cstheme="minorBidi"/>
      <w:szCs w:val="22"/>
    </w:rPr>
  </w:style>
  <w:style w:type="table" w:customStyle="1" w:styleId="a30">
    <w:name w:val="a3_0"/>
    <w:basedOn w:val="TableNormal"/>
    <w:rsid w:val="00601256"/>
    <w:tblPr>
      <w:tblStyleRowBandSize w:val="1"/>
      <w:tblStyleColBandSize w:val="1"/>
      <w:tblCellMar>
        <w:left w:w="115" w:type="dxa"/>
        <w:right w:w="115" w:type="dxa"/>
      </w:tblCellMar>
    </w:tblPr>
  </w:style>
  <w:style w:type="table" w:customStyle="1" w:styleId="a40">
    <w:name w:val="a4_0"/>
    <w:basedOn w:val="TableNormal"/>
    <w:rsid w:val="00601256"/>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phc.int/uploads/pdf/basic-texts/iphc-1979-pacific-halibut-convention.pdf" TargetMode="External" /><Relationship Id="rId11" Type="http://schemas.openxmlformats.org/officeDocument/2006/relationships/hyperlink" Target="http://www.ecfr.gov/cgi-bin/text-idx?SID=1b6410b43d5a730b28bdc5f30957551c&amp;amp;node=sp50.11.300.e&amp;amp;rgn=div6" TargetMode="External" /><Relationship Id="rId12" Type="http://schemas.openxmlformats.org/officeDocument/2006/relationships/hyperlink" Target="https://www.ecfr.gov/cgi-bin/text-idx?SID=5fd8a00e93f344560eb478ef3f0a4486&amp;mc=true&amp;node=sp50.11.300.e&amp;rgn=div6" TargetMode="External" /><Relationship Id="rId13" Type="http://schemas.openxmlformats.org/officeDocument/2006/relationships/hyperlink" Target="https://ecfr.federalregister.gov/current/title-50/chapter-III/part-300/subpart-E/section-300.62" TargetMode="External" /><Relationship Id="rId14" Type="http://schemas.openxmlformats.org/officeDocument/2006/relationships/hyperlink" Target="https://ecfr.federalregister.gov/current/title-50/chapter-VI/part-679/subpart-B/section-679.24" TargetMode="External" /><Relationship Id="rId15" Type="http://schemas.openxmlformats.org/officeDocument/2006/relationships/hyperlink" Target="https://www.ecfr.gov/current/title-50/part-679/section-679.24" TargetMode="External" /><Relationship Id="rId16" Type="http://schemas.openxmlformats.org/officeDocument/2006/relationships/hyperlink" Target="https://www.bls.gov/oes/current/oes_ak.htm%23:~:text=1.5%25-,45%2D0000,5.7%25,-45%2D1011" TargetMode="External" /><Relationship Id="rId17" Type="http://schemas.openxmlformats.org/officeDocument/2006/relationships/hyperlink" Target="http://www.gpo.gov/fdsys/pkg/CFR-2014-title5-vol3/pdf/CFR-2014-title5-vol3-sec1320-9.pdf" TargetMode="External" /><Relationship Id="rId18" Type="http://schemas.openxmlformats.org/officeDocument/2006/relationships/hyperlink" Target="http://www.gpo.gov/fdsys/pkg/CFR-2014-title5-vol3/pdf/CFR-2014-title5-vol3-sec1320-8.pdf"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ecfr.federalregister.gov/current/title-50/chapter-VI/part-600" TargetMode="External" /><Relationship Id="rId8" Type="http://schemas.openxmlformats.org/officeDocument/2006/relationships/hyperlink" Target="https://ecfr.federalregister.gov/current/title-50/chapter-VI/part-679" TargetMode="External" /><Relationship Id="rId9"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68E2C90-3990-4A93-8C5E-A9039ABA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8</Pages>
  <Words>3737</Words>
  <Characters>21304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Gabrielle Aberle</cp:lastModifiedBy>
  <cp:revision>79</cp:revision>
  <dcterms:created xsi:type="dcterms:W3CDTF">2020-05-07T13:39:00Z</dcterms:created>
  <dcterms:modified xsi:type="dcterms:W3CDTF">2024-09-10T20:56:00Z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