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00BA1A0C" w:rsidP="00CE5AA9" w14:paraId="22E2A2F0" w14:textId="306B6A9F">
      <w:pPr>
        <w:tabs>
          <w:tab w:val="center" w:pos="4680"/>
        </w:tabs>
        <w:spacing w:before="120"/>
        <w:jc w:val="center"/>
        <w:rPr>
          <w:rFonts w:ascii="Arial" w:hAnsi="Arial" w:cs="Arial"/>
          <w:b/>
          <w:bCs/>
          <w:sz w:val="32"/>
          <w:szCs w:val="32"/>
        </w:rPr>
      </w:pPr>
      <w:r w:rsidRPr="009333B8">
        <w:rPr>
          <w:rFonts w:ascii="Arial" w:hAnsi="Arial" w:cs="Arial"/>
          <w:b/>
          <w:bCs/>
          <w:sz w:val="32"/>
          <w:szCs w:val="32"/>
        </w:rPr>
        <w:t>State Maternal Health Innovation (State MHI) Maternal Health Annual Report (MHAR)</w:t>
      </w:r>
    </w:p>
    <w:p w:rsidR="009333B8" w:rsidRPr="00C45431" w:rsidP="00CE5AA9" w14:paraId="34AF1E27" w14:textId="77777777">
      <w:pPr>
        <w:tabs>
          <w:tab w:val="center" w:pos="4680"/>
        </w:tabs>
        <w:spacing w:before="120"/>
        <w:jc w:val="center"/>
        <w:rPr>
          <w:rFonts w:ascii="Arial" w:hAnsi="Arial" w:cs="Arial"/>
          <w:b/>
          <w:bCs/>
          <w:sz w:val="32"/>
          <w:szCs w:val="32"/>
        </w:rPr>
      </w:pPr>
    </w:p>
    <w:p w:rsidR="00BA1A0C" w:rsidRPr="00D92D11" w:rsidP="00CE5AA9" w14:paraId="22E2A2F1" w14:textId="0433FFBC">
      <w:pPr>
        <w:tabs>
          <w:tab w:val="center" w:pos="4680"/>
        </w:tabs>
        <w:spacing w:before="120"/>
        <w:jc w:val="center"/>
        <w:rPr>
          <w:rFonts w:ascii="Arial" w:hAnsi="Arial" w:cs="Arial"/>
          <w:b/>
          <w:bCs/>
          <w:sz w:val="32"/>
          <w:szCs w:val="32"/>
        </w:rPr>
      </w:pPr>
      <w:r w:rsidRPr="00D92D11">
        <w:rPr>
          <w:rFonts w:ascii="Arial" w:hAnsi="Arial" w:cs="Arial"/>
          <w:b/>
          <w:bCs/>
          <w:sz w:val="32"/>
          <w:szCs w:val="32"/>
        </w:rPr>
        <w:t xml:space="preserve">OMB Control No. </w:t>
      </w:r>
      <w:r w:rsidRPr="00D92D11" w:rsidR="00C96292">
        <w:rPr>
          <w:rFonts w:ascii="Arial" w:hAnsi="Arial" w:cs="Arial"/>
          <w:b/>
          <w:bCs/>
          <w:sz w:val="32"/>
          <w:szCs w:val="32"/>
        </w:rPr>
        <w:t>0906</w:t>
      </w:r>
      <w:r w:rsidRPr="00D92D11">
        <w:rPr>
          <w:rFonts w:ascii="Arial" w:hAnsi="Arial" w:cs="Arial"/>
          <w:b/>
          <w:bCs/>
          <w:sz w:val="32"/>
          <w:szCs w:val="32"/>
        </w:rPr>
        <w:t>-XXXX</w:t>
      </w:r>
    </w:p>
    <w:p w:rsidR="00BA1A0C" w:rsidRPr="00C45431" w:rsidP="00CE5AA9" w14:paraId="22E2A2F2" w14:textId="77777777">
      <w:pPr>
        <w:tabs>
          <w:tab w:val="center" w:pos="4680"/>
        </w:tabs>
        <w:spacing w:before="120"/>
        <w:jc w:val="center"/>
        <w:rPr>
          <w:rFonts w:ascii="Arial" w:hAnsi="Arial" w:cs="Arial"/>
          <w:b/>
          <w:bCs/>
          <w:sz w:val="32"/>
          <w:szCs w:val="32"/>
        </w:rPr>
      </w:pPr>
    </w:p>
    <w:p w:rsidR="009B3794" w:rsidRPr="00C45431" w:rsidP="00CE5AA9" w14:paraId="22E2A2F3" w14:textId="77777777">
      <w:pPr>
        <w:tabs>
          <w:tab w:val="center" w:pos="4680"/>
        </w:tabs>
        <w:spacing w:before="120"/>
        <w:jc w:val="center"/>
        <w:rPr>
          <w:rFonts w:ascii="Arial" w:hAnsi="Arial" w:cs="Arial"/>
          <w:b/>
          <w:bCs/>
          <w:sz w:val="32"/>
          <w:szCs w:val="32"/>
        </w:rPr>
      </w:pPr>
    </w:p>
    <w:p w:rsidR="009B3794" w:rsidRPr="00C45431" w:rsidP="00CE5AA9" w14:paraId="22E2A2F4" w14:textId="5DB8F0C3">
      <w:pPr>
        <w:spacing w:before="120"/>
        <w:rPr>
          <w:rFonts w:ascii="Arial" w:hAnsi="Arial" w:cs="Arial"/>
          <w:b/>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Pr="0033123B" w:rsidR="0033123B">
        <w:rPr>
          <w:rFonts w:ascii="Arial" w:hAnsi="Arial" w:cs="Arial"/>
          <w:sz w:val="24"/>
        </w:rPr>
        <w:t>N</w:t>
      </w:r>
      <w:r w:rsidRPr="0033123B">
        <w:rPr>
          <w:rFonts w:ascii="Arial" w:hAnsi="Arial" w:cs="Arial"/>
          <w:sz w:val="24"/>
        </w:rPr>
        <w:t>one</w:t>
      </w:r>
      <w:r w:rsidRPr="00C45431" w:rsidR="00BA1A0C">
        <w:rPr>
          <w:rFonts w:ascii="Arial" w:hAnsi="Arial" w:cs="Arial"/>
          <w:b/>
          <w:sz w:val="24"/>
        </w:rPr>
        <w:t xml:space="preserve"> </w:t>
      </w: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P="00CE22C5" w14:paraId="22E2A2F6"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705448" w:rsidP="00CA3DA6" w14:paraId="29D38E3C" w14:textId="534CBF8C">
      <w:pPr>
        <w:spacing w:before="120"/>
        <w:rPr>
          <w:rFonts w:ascii="Arial" w:hAnsi="Arial" w:cs="Arial"/>
          <w:sz w:val="24"/>
        </w:rPr>
      </w:pPr>
      <w:r w:rsidRPr="00635564">
        <w:rPr>
          <w:rFonts w:ascii="Arial" w:hAnsi="Arial" w:cs="Arial"/>
          <w:sz w:val="24"/>
        </w:rPr>
        <w:t xml:space="preserve">HRSA is requesting OMB approval for a new information collection request, the State Maternal Health Innovation (State MHI) </w:t>
      </w:r>
      <w:r w:rsidR="00676FAF">
        <w:rPr>
          <w:rFonts w:ascii="Arial" w:hAnsi="Arial" w:cs="Arial"/>
          <w:sz w:val="24"/>
        </w:rPr>
        <w:t xml:space="preserve">program </w:t>
      </w:r>
      <w:r w:rsidRPr="00635564">
        <w:rPr>
          <w:rFonts w:ascii="Arial" w:hAnsi="Arial" w:cs="Arial"/>
          <w:sz w:val="24"/>
        </w:rPr>
        <w:t xml:space="preserve">Maternal Health Annual Report (MHAR), which will </w:t>
      </w:r>
      <w:r w:rsidRPr="00635564" w:rsidR="00F552CB">
        <w:rPr>
          <w:rFonts w:ascii="Arial" w:hAnsi="Arial" w:cs="Arial"/>
          <w:sz w:val="24"/>
        </w:rPr>
        <w:t xml:space="preserve">monitor grantee’s progress in </w:t>
      </w:r>
      <w:r w:rsidRPr="00D519BD" w:rsidR="00D519BD">
        <w:rPr>
          <w:rFonts w:ascii="Arial" w:hAnsi="Arial" w:cs="Arial"/>
          <w:sz w:val="24"/>
        </w:rPr>
        <w:t>accessing, analyzing, and using state-level maternal health data and to summarize the data focused work that grantees accomplish</w:t>
      </w:r>
      <w:r w:rsidR="00D519BD">
        <w:rPr>
          <w:rFonts w:ascii="Arial" w:hAnsi="Arial" w:cs="Arial"/>
          <w:sz w:val="24"/>
        </w:rPr>
        <w:t xml:space="preserve">. </w:t>
      </w:r>
      <w:r w:rsidRPr="00D519BD" w:rsidR="007E1989">
        <w:rPr>
          <w:rFonts w:ascii="Arial" w:hAnsi="Arial" w:cs="Arial"/>
          <w:sz w:val="24"/>
        </w:rPr>
        <w:t xml:space="preserve">The purpose of the State </w:t>
      </w:r>
      <w:r w:rsidR="00635564">
        <w:rPr>
          <w:rFonts w:ascii="Arial" w:hAnsi="Arial" w:cs="Arial"/>
          <w:sz w:val="24"/>
        </w:rPr>
        <w:t>MHI</w:t>
      </w:r>
      <w:r w:rsidRPr="00D519BD" w:rsidR="007E1989">
        <w:rPr>
          <w:rFonts w:ascii="Arial" w:hAnsi="Arial" w:cs="Arial"/>
          <w:sz w:val="24"/>
        </w:rPr>
        <w:t xml:space="preserve"> program is to reduce maternal mortality and severe maternal morbidity (SMM</w:t>
      </w:r>
      <w:r w:rsidR="00635564">
        <w:rPr>
          <w:rFonts w:ascii="Arial" w:hAnsi="Arial" w:cs="Arial"/>
          <w:sz w:val="24"/>
        </w:rPr>
        <w:t>)</w:t>
      </w:r>
      <w:r w:rsidRPr="00D519BD" w:rsidR="007E1989">
        <w:rPr>
          <w:rFonts w:ascii="Arial" w:hAnsi="Arial" w:cs="Arial"/>
          <w:sz w:val="24"/>
        </w:rPr>
        <w:t xml:space="preserve"> by</w:t>
      </w:r>
      <w:r w:rsidRPr="00635564" w:rsidR="00635564">
        <w:rPr>
          <w:rFonts w:ascii="Arial" w:hAnsi="Arial" w:cs="Arial"/>
          <w:sz w:val="24"/>
        </w:rPr>
        <w:t xml:space="preserve"> i</w:t>
      </w:r>
      <w:r w:rsidRPr="00D519BD" w:rsidR="007E1989">
        <w:rPr>
          <w:rFonts w:ascii="Arial" w:hAnsi="Arial" w:cs="Arial"/>
          <w:sz w:val="24"/>
        </w:rPr>
        <w:t xml:space="preserve">mproving access to care that is comprehensive, high-quality, appropriate, and on-going throughout the preconception, prenatal, labor and delivery, and postpartum periods; </w:t>
      </w:r>
      <w:r w:rsidRPr="00635564" w:rsidR="00635564">
        <w:rPr>
          <w:rFonts w:ascii="Arial" w:hAnsi="Arial" w:cs="Arial"/>
          <w:sz w:val="24"/>
        </w:rPr>
        <w:t>e</w:t>
      </w:r>
      <w:r w:rsidRPr="00D519BD" w:rsidR="007E1989">
        <w:rPr>
          <w:rFonts w:ascii="Arial" w:hAnsi="Arial" w:cs="Arial"/>
          <w:sz w:val="24"/>
        </w:rPr>
        <w:t>nhancing state maternal health surveillance and data capacity; and</w:t>
      </w:r>
      <w:r w:rsidR="00635564">
        <w:rPr>
          <w:rFonts w:ascii="Arial" w:hAnsi="Arial" w:cs="Arial"/>
          <w:sz w:val="24"/>
        </w:rPr>
        <w:t xml:space="preserve"> i</w:t>
      </w:r>
      <w:r w:rsidRPr="00D519BD" w:rsidR="007E1989">
        <w:rPr>
          <w:rFonts w:ascii="Arial" w:hAnsi="Arial" w:cs="Arial"/>
          <w:sz w:val="24"/>
        </w:rPr>
        <w:t>dentifying and implementing innovative interventions to improve outcomes for populations disproportionately impacted by maternal mortality and SMM.</w:t>
      </w:r>
      <w:r w:rsidR="00635564">
        <w:rPr>
          <w:rFonts w:ascii="Arial" w:hAnsi="Arial" w:cs="Arial"/>
          <w:sz w:val="24"/>
        </w:rPr>
        <w:t xml:space="preserve"> </w:t>
      </w:r>
      <w:r w:rsidRPr="00E61AB8" w:rsidR="00E61AB8">
        <w:rPr>
          <w:rFonts w:ascii="Arial" w:hAnsi="Arial" w:cs="Arial"/>
          <w:sz w:val="24"/>
        </w:rPr>
        <w:t>The State MHI program is authorized by 42 U.S.C. § 701(a)(2) (Title V, § 501(a)(2) of the Social Security Act), which authorizes awards for special projects of regional and national significance (SPRANS) in maternal and child health. SPRANS projects support HRSA’s MCHB mission to improve the health and well-being of America’s mothers, children, and families</w:t>
      </w:r>
      <w:r w:rsidR="00E61AB8">
        <w:rPr>
          <w:rFonts w:ascii="Arial" w:hAnsi="Arial" w:cs="Arial"/>
          <w:sz w:val="24"/>
        </w:rPr>
        <w:t>.</w:t>
      </w:r>
      <w:r w:rsidR="00D14817">
        <w:rPr>
          <w:rFonts w:ascii="Arial" w:hAnsi="Arial" w:cs="Arial"/>
          <w:sz w:val="24"/>
        </w:rPr>
        <w:t xml:space="preserve"> </w:t>
      </w:r>
      <w:r w:rsidR="00AE65F9">
        <w:rPr>
          <w:rFonts w:ascii="Arial" w:hAnsi="Arial" w:cs="Arial"/>
          <w:sz w:val="24"/>
        </w:rPr>
        <w:t xml:space="preserve"> </w:t>
      </w:r>
    </w:p>
    <w:p w:rsidR="009B3794" w:rsidRPr="00F43582" w:rsidP="00CE22C5" w14:paraId="22E2A2FB"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F43582" w:rsidRPr="005D65E7" w:rsidP="00297DCF" w14:paraId="24A407FB" w14:textId="20466A26">
      <w:pPr>
        <w:spacing w:before="240"/>
        <w:rPr>
          <w:rStyle w:val="normaltextrun"/>
          <w:rFonts w:ascii="Arial" w:hAnsi="Arial" w:cs="Arial"/>
          <w:color w:val="000000" w:themeColor="text1"/>
          <w:sz w:val="24"/>
        </w:rPr>
      </w:pPr>
      <w:r w:rsidRPr="005D65E7">
        <w:rPr>
          <w:rStyle w:val="normaltextrun"/>
          <w:rFonts w:ascii="Arial" w:hAnsi="Arial" w:cs="Arial"/>
          <w:color w:val="000000"/>
          <w:sz w:val="24"/>
          <w:shd w:val="clear" w:color="auto" w:fill="FFFFFF"/>
        </w:rPr>
        <w:t>The information will be used by the HRSA program team to</w:t>
      </w:r>
      <w:r w:rsidRPr="005D65E7" w:rsidR="00482AD3">
        <w:rPr>
          <w:rStyle w:val="normaltextrun"/>
          <w:rFonts w:ascii="Arial" w:hAnsi="Arial" w:cs="Arial"/>
          <w:color w:val="000000"/>
          <w:sz w:val="24"/>
          <w:shd w:val="clear" w:color="auto" w:fill="FFFFFF"/>
        </w:rPr>
        <w:t xml:space="preserve"> monitor </w:t>
      </w:r>
      <w:r w:rsidRPr="005D65E7" w:rsidR="00EC5372">
        <w:rPr>
          <w:rStyle w:val="normaltextrun"/>
          <w:rFonts w:ascii="Arial" w:hAnsi="Arial" w:cs="Arial"/>
          <w:color w:val="000000"/>
          <w:sz w:val="24"/>
          <w:shd w:val="clear" w:color="auto" w:fill="FFFFFF"/>
        </w:rPr>
        <w:t>grantees</w:t>
      </w:r>
      <w:r w:rsidRPr="005D65E7" w:rsidR="005F1C2E">
        <w:rPr>
          <w:rStyle w:val="normaltextrun"/>
          <w:rFonts w:ascii="Arial" w:hAnsi="Arial" w:cs="Arial"/>
          <w:color w:val="000000"/>
          <w:sz w:val="24"/>
          <w:shd w:val="clear" w:color="auto" w:fill="FFFFFF"/>
        </w:rPr>
        <w:t>’</w:t>
      </w:r>
      <w:r w:rsidRPr="005D65E7" w:rsidR="00EC5372">
        <w:rPr>
          <w:rStyle w:val="normaltextrun"/>
          <w:rFonts w:ascii="Arial" w:hAnsi="Arial" w:cs="Arial"/>
          <w:color w:val="000000"/>
          <w:sz w:val="24"/>
          <w:shd w:val="clear" w:color="auto" w:fill="FFFFFF"/>
        </w:rPr>
        <w:t xml:space="preserve"> progress in </w:t>
      </w:r>
      <w:r w:rsidRPr="005D65E7" w:rsidR="005F1C2E">
        <w:rPr>
          <w:rStyle w:val="normaltextrun"/>
          <w:rFonts w:ascii="Arial" w:hAnsi="Arial" w:cs="Arial"/>
          <w:color w:val="000000"/>
          <w:sz w:val="24"/>
          <w:shd w:val="clear" w:color="auto" w:fill="FFFFFF"/>
        </w:rPr>
        <w:t xml:space="preserve">accessing, </w:t>
      </w:r>
      <w:r w:rsidRPr="005D65E7" w:rsidR="00EC5372">
        <w:rPr>
          <w:rStyle w:val="normaltextrun"/>
          <w:rFonts w:ascii="Arial" w:hAnsi="Arial" w:cs="Arial"/>
          <w:color w:val="000000"/>
          <w:sz w:val="24"/>
          <w:shd w:val="clear" w:color="auto" w:fill="FFFFFF"/>
        </w:rPr>
        <w:t>analyzing</w:t>
      </w:r>
      <w:r w:rsidRPr="005D65E7" w:rsidR="005F1C2E">
        <w:rPr>
          <w:rStyle w:val="normaltextrun"/>
          <w:rFonts w:ascii="Arial" w:hAnsi="Arial" w:cs="Arial"/>
          <w:color w:val="000000"/>
          <w:sz w:val="24"/>
          <w:shd w:val="clear" w:color="auto" w:fill="FFFFFF"/>
        </w:rPr>
        <w:t>, and using</w:t>
      </w:r>
      <w:r w:rsidRPr="005D65E7" w:rsidR="00EC5372">
        <w:rPr>
          <w:rStyle w:val="normaltextrun"/>
          <w:rFonts w:ascii="Arial" w:hAnsi="Arial" w:cs="Arial"/>
          <w:color w:val="000000"/>
          <w:sz w:val="24"/>
          <w:shd w:val="clear" w:color="auto" w:fill="FFFFFF"/>
        </w:rPr>
        <w:t xml:space="preserve"> state-level maternal health data</w:t>
      </w:r>
      <w:r w:rsidR="003B7757">
        <w:rPr>
          <w:rStyle w:val="normaltextrun"/>
          <w:rFonts w:ascii="Arial" w:hAnsi="Arial" w:cs="Arial"/>
          <w:color w:val="000000"/>
          <w:sz w:val="24"/>
          <w:shd w:val="clear" w:color="auto" w:fill="FFFFFF"/>
        </w:rPr>
        <w:t xml:space="preserve"> to demonstrate improvement in addressing maternal health disparities through innovative programs</w:t>
      </w:r>
      <w:r w:rsidRPr="005D65E7" w:rsidR="006113BB">
        <w:rPr>
          <w:rStyle w:val="normaltextrun"/>
          <w:rFonts w:ascii="Arial" w:hAnsi="Arial" w:cs="Arial"/>
          <w:color w:val="000000"/>
          <w:sz w:val="24"/>
          <w:shd w:val="clear" w:color="auto" w:fill="FFFFFF"/>
        </w:rPr>
        <w:t>.</w:t>
      </w:r>
      <w:r w:rsidR="00876176">
        <w:rPr>
          <w:rStyle w:val="normaltextrun"/>
          <w:rFonts w:ascii="Arial" w:hAnsi="Arial" w:cs="Arial"/>
          <w:color w:val="000000"/>
          <w:sz w:val="24"/>
          <w:shd w:val="clear" w:color="auto" w:fill="FFFFFF"/>
        </w:rPr>
        <w:t xml:space="preserve"> </w:t>
      </w:r>
      <w:r w:rsidR="00142F9B">
        <w:rPr>
          <w:rStyle w:val="normaltextrun"/>
          <w:rFonts w:ascii="Arial" w:hAnsi="Arial" w:cs="Arial"/>
          <w:color w:val="000000"/>
          <w:sz w:val="24"/>
          <w:shd w:val="clear" w:color="auto" w:fill="FFFFFF"/>
        </w:rPr>
        <w:t xml:space="preserve">Information collected will include </w:t>
      </w:r>
      <w:r w:rsidR="00D37318">
        <w:rPr>
          <w:rStyle w:val="normaltextrun"/>
          <w:rFonts w:ascii="Arial" w:hAnsi="Arial" w:cs="Arial"/>
          <w:color w:val="000000"/>
          <w:sz w:val="24"/>
          <w:shd w:val="clear" w:color="auto" w:fill="FFFFFF"/>
        </w:rPr>
        <w:t>t</w:t>
      </w:r>
      <w:r w:rsidRPr="00D37318" w:rsidR="00D37318">
        <w:rPr>
          <w:rStyle w:val="normaltextrun"/>
          <w:rFonts w:ascii="Arial" w:hAnsi="Arial" w:cs="Arial"/>
          <w:color w:val="000000"/>
          <w:sz w:val="24"/>
          <w:shd w:val="clear" w:color="auto" w:fill="FFFFFF"/>
        </w:rPr>
        <w:t>otal number of live births</w:t>
      </w:r>
      <w:r w:rsidR="00D37318">
        <w:rPr>
          <w:rStyle w:val="normaltextrun"/>
          <w:rFonts w:ascii="Arial" w:hAnsi="Arial" w:cs="Arial"/>
          <w:color w:val="000000"/>
          <w:sz w:val="24"/>
          <w:shd w:val="clear" w:color="auto" w:fill="FFFFFF"/>
        </w:rPr>
        <w:t>, t</w:t>
      </w:r>
      <w:r w:rsidRPr="00D37318" w:rsidR="00D37318">
        <w:rPr>
          <w:rStyle w:val="normaltextrun"/>
          <w:rFonts w:ascii="Arial" w:hAnsi="Arial" w:cs="Arial"/>
          <w:color w:val="000000"/>
          <w:sz w:val="24"/>
          <w:shd w:val="clear" w:color="auto" w:fill="FFFFFF"/>
        </w:rPr>
        <w:t>otal number of pregnancy-related deaths</w:t>
      </w:r>
      <w:r w:rsidR="00D37318">
        <w:rPr>
          <w:rStyle w:val="normaltextrun"/>
          <w:rFonts w:ascii="Arial" w:hAnsi="Arial" w:cs="Arial"/>
          <w:color w:val="000000"/>
          <w:sz w:val="24"/>
          <w:shd w:val="clear" w:color="auto" w:fill="FFFFFF"/>
        </w:rPr>
        <w:t>, p</w:t>
      </w:r>
      <w:r w:rsidRPr="00D37318" w:rsidR="00D37318">
        <w:rPr>
          <w:rStyle w:val="normaltextrun"/>
          <w:rFonts w:ascii="Arial" w:hAnsi="Arial" w:cs="Arial"/>
          <w:color w:val="000000"/>
          <w:sz w:val="24"/>
          <w:shd w:val="clear" w:color="auto" w:fill="FFFFFF"/>
        </w:rPr>
        <w:t>ercent of live births where the mother had health insurance</w:t>
      </w:r>
      <w:r w:rsidR="00D37318">
        <w:rPr>
          <w:rStyle w:val="normaltextrun"/>
          <w:rFonts w:ascii="Arial" w:hAnsi="Arial" w:cs="Arial"/>
          <w:color w:val="000000"/>
          <w:sz w:val="24"/>
          <w:shd w:val="clear" w:color="auto" w:fill="FFFFFF"/>
        </w:rPr>
        <w:t>, r</w:t>
      </w:r>
      <w:r w:rsidRPr="00D37318" w:rsidR="00D37318">
        <w:rPr>
          <w:rStyle w:val="normaltextrun"/>
          <w:rFonts w:ascii="Arial" w:hAnsi="Arial" w:cs="Arial"/>
          <w:color w:val="000000"/>
          <w:sz w:val="24"/>
          <w:shd w:val="clear" w:color="auto" w:fill="FFFFFF"/>
        </w:rPr>
        <w:t>ate of low-risk cesarean birth</w:t>
      </w:r>
      <w:r w:rsidR="00D37318">
        <w:rPr>
          <w:rStyle w:val="normaltextrun"/>
          <w:rFonts w:ascii="Arial" w:hAnsi="Arial" w:cs="Arial"/>
          <w:color w:val="000000"/>
          <w:sz w:val="24"/>
          <w:shd w:val="clear" w:color="auto" w:fill="FFFFFF"/>
        </w:rPr>
        <w:t>, p</w:t>
      </w:r>
      <w:r w:rsidRPr="00D37318" w:rsidR="00D37318">
        <w:rPr>
          <w:rStyle w:val="normaltextrun"/>
          <w:rFonts w:ascii="Arial" w:hAnsi="Arial" w:cs="Arial"/>
          <w:color w:val="000000"/>
          <w:sz w:val="24"/>
          <w:shd w:val="clear" w:color="auto" w:fill="FFFFFF"/>
        </w:rPr>
        <w:t>ercent of women with a recent live birth who received a postpartum visit</w:t>
      </w:r>
      <w:r w:rsidR="00D37318">
        <w:rPr>
          <w:rStyle w:val="normaltextrun"/>
          <w:rFonts w:ascii="Arial" w:hAnsi="Arial" w:cs="Arial"/>
          <w:color w:val="000000"/>
          <w:sz w:val="24"/>
          <w:shd w:val="clear" w:color="auto" w:fill="FFFFFF"/>
        </w:rPr>
        <w:t>, p</w:t>
      </w:r>
      <w:r w:rsidRPr="00D37318" w:rsidR="00D37318">
        <w:rPr>
          <w:rStyle w:val="normaltextrun"/>
          <w:rFonts w:ascii="Arial" w:hAnsi="Arial" w:cs="Arial"/>
          <w:color w:val="000000"/>
          <w:sz w:val="24"/>
          <w:shd w:val="clear" w:color="auto" w:fill="FFFFFF"/>
        </w:rPr>
        <w:t>ercent of women with a recent live birth screened for postpartum depressio</w:t>
      </w:r>
      <w:r w:rsidR="00D37318">
        <w:rPr>
          <w:rStyle w:val="normaltextrun"/>
          <w:rFonts w:ascii="Arial" w:hAnsi="Arial" w:cs="Arial"/>
          <w:color w:val="000000"/>
          <w:sz w:val="24"/>
          <w:shd w:val="clear" w:color="auto" w:fill="FFFFFF"/>
        </w:rPr>
        <w:t xml:space="preserve">n or </w:t>
      </w:r>
      <w:r w:rsidR="00D37318">
        <w:rPr>
          <w:rStyle w:val="normaltextrun"/>
          <w:rFonts w:ascii="Arial" w:hAnsi="Arial" w:cs="Arial"/>
          <w:color w:val="000000"/>
          <w:sz w:val="24"/>
          <w:shd w:val="clear" w:color="auto" w:fill="FFFFFF"/>
        </w:rPr>
        <w:t>p</w:t>
      </w:r>
      <w:r w:rsidRPr="00D37318" w:rsidR="00D37318">
        <w:rPr>
          <w:rStyle w:val="normaltextrun"/>
          <w:rFonts w:ascii="Arial" w:hAnsi="Arial" w:cs="Arial"/>
          <w:color w:val="000000"/>
          <w:sz w:val="24"/>
          <w:shd w:val="clear" w:color="auto" w:fill="FFFFFF"/>
        </w:rPr>
        <w:t>ercent of women screened for depression or anxiety following a recent live birth</w:t>
      </w:r>
      <w:r w:rsidR="007C5E1B">
        <w:rPr>
          <w:rStyle w:val="normaltextrun"/>
          <w:rFonts w:ascii="Arial" w:hAnsi="Arial" w:cs="Arial"/>
          <w:color w:val="000000"/>
          <w:sz w:val="24"/>
          <w:shd w:val="clear" w:color="auto" w:fill="FFFFFF"/>
        </w:rPr>
        <w:t>.</w:t>
      </w:r>
      <w:r w:rsidR="00E54358">
        <w:rPr>
          <w:rStyle w:val="normaltextrun"/>
          <w:rFonts w:ascii="Arial" w:hAnsi="Arial" w:cs="Arial"/>
          <w:color w:val="000000"/>
          <w:sz w:val="24"/>
          <w:shd w:val="clear" w:color="auto" w:fill="FFFFFF"/>
        </w:rPr>
        <w:t xml:space="preserve"> Additional information collected will include t</w:t>
      </w:r>
      <w:r w:rsidRPr="00E54358" w:rsidR="00E54358">
        <w:rPr>
          <w:rStyle w:val="normaltextrun"/>
          <w:rFonts w:ascii="Arial" w:hAnsi="Arial" w:cs="Arial"/>
          <w:color w:val="000000"/>
          <w:sz w:val="24"/>
          <w:shd w:val="clear" w:color="auto" w:fill="FFFFFF"/>
        </w:rPr>
        <w:t>he leading causes of pregnancy-related deaths</w:t>
      </w:r>
      <w:r w:rsidR="00E54358">
        <w:rPr>
          <w:rStyle w:val="normaltextrun"/>
          <w:rFonts w:ascii="Arial" w:hAnsi="Arial" w:cs="Arial"/>
          <w:color w:val="000000"/>
          <w:sz w:val="24"/>
          <w:shd w:val="clear" w:color="auto" w:fill="FFFFFF"/>
        </w:rPr>
        <w:t>, c</w:t>
      </w:r>
      <w:r w:rsidRPr="00E54358" w:rsidR="00E54358">
        <w:rPr>
          <w:rStyle w:val="normaltextrun"/>
          <w:rFonts w:ascii="Arial" w:hAnsi="Arial" w:cs="Arial"/>
          <w:color w:val="000000"/>
          <w:sz w:val="24"/>
          <w:shd w:val="clear" w:color="auto" w:fill="FFFFFF"/>
        </w:rPr>
        <w:t>ontributing factors that may be associated with the leading causes of pregnancy-related deaths</w:t>
      </w:r>
      <w:r w:rsidR="00E54358">
        <w:rPr>
          <w:rStyle w:val="normaltextrun"/>
          <w:rFonts w:ascii="Arial" w:hAnsi="Arial" w:cs="Arial"/>
          <w:color w:val="000000"/>
          <w:sz w:val="24"/>
          <w:shd w:val="clear" w:color="auto" w:fill="FFFFFF"/>
        </w:rPr>
        <w:t xml:space="preserve">, </w:t>
      </w:r>
      <w:r w:rsidRPr="00E54358" w:rsidR="00E54358">
        <w:rPr>
          <w:rStyle w:val="normaltextrun"/>
          <w:rFonts w:ascii="Arial" w:hAnsi="Arial" w:cs="Arial"/>
          <w:color w:val="000000"/>
          <w:sz w:val="24"/>
          <w:shd w:val="clear" w:color="auto" w:fill="FFFFFF"/>
        </w:rPr>
        <w:t>the SMM rate</w:t>
      </w:r>
      <w:r w:rsidR="00E54358">
        <w:rPr>
          <w:rStyle w:val="normaltextrun"/>
          <w:rFonts w:ascii="Arial" w:hAnsi="Arial" w:cs="Arial"/>
          <w:color w:val="000000"/>
          <w:sz w:val="24"/>
          <w:shd w:val="clear" w:color="auto" w:fill="FFFFFF"/>
        </w:rPr>
        <w:t xml:space="preserve">, </w:t>
      </w:r>
      <w:r w:rsidRPr="00E54358" w:rsidR="00E54358">
        <w:rPr>
          <w:rStyle w:val="normaltextrun"/>
          <w:rFonts w:ascii="Arial" w:hAnsi="Arial" w:cs="Arial"/>
          <w:color w:val="000000"/>
          <w:sz w:val="24"/>
          <w:shd w:val="clear" w:color="auto" w:fill="FFFFFF"/>
        </w:rPr>
        <w:t>populations disproportionately affected by maternal mortality or other maternal health factors</w:t>
      </w:r>
      <w:r w:rsidR="00E54358">
        <w:rPr>
          <w:rStyle w:val="normaltextrun"/>
          <w:rFonts w:ascii="Arial" w:hAnsi="Arial" w:cs="Arial"/>
          <w:color w:val="000000"/>
          <w:sz w:val="24"/>
          <w:shd w:val="clear" w:color="auto" w:fill="FFFFFF"/>
        </w:rPr>
        <w:t xml:space="preserve">, efforts linking data to action, efforts improving data collection and analysis, and efforts sharing data. </w:t>
      </w:r>
    </w:p>
    <w:p w:rsidR="002D085B" w:rsidP="00CE22C5" w14:paraId="5362A60C" w14:textId="77777777">
      <w:pPr>
        <w:numPr>
          <w:ilvl w:val="0"/>
          <w:numId w:val="1"/>
        </w:numPr>
        <w:tabs>
          <w:tab w:val="num" w:pos="360"/>
          <w:tab w:val="clear" w:pos="108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600118" w:rsidRPr="002D085B" w:rsidP="00297DCF" w14:paraId="7747ABB2" w14:textId="32317647">
      <w:pPr>
        <w:spacing w:before="240"/>
        <w:rPr>
          <w:rFonts w:ascii="Arial" w:hAnsi="Arial" w:cs="Arial"/>
          <w:sz w:val="24"/>
        </w:rPr>
      </w:pPr>
      <w:r w:rsidRPr="0053586A">
        <w:rPr>
          <w:rFonts w:ascii="Arial" w:hAnsi="Arial" w:cs="Arial"/>
          <w:sz w:val="24"/>
        </w:rPr>
        <w:t>The MHAR data collection tool has been used</w:t>
      </w:r>
      <w:r w:rsidRPr="0053586A" w:rsidR="00E447B0">
        <w:rPr>
          <w:rFonts w:ascii="Arial" w:hAnsi="Arial" w:cs="Arial"/>
          <w:sz w:val="24"/>
        </w:rPr>
        <w:t xml:space="preserve"> </w:t>
      </w:r>
      <w:r w:rsidR="00C11CD6">
        <w:rPr>
          <w:rFonts w:ascii="Arial" w:hAnsi="Arial" w:cs="Arial"/>
          <w:sz w:val="24"/>
        </w:rPr>
        <w:t>by</w:t>
      </w:r>
      <w:r w:rsidRPr="0053586A" w:rsidR="00C11CD6">
        <w:rPr>
          <w:rFonts w:ascii="Arial" w:hAnsi="Arial" w:cs="Arial"/>
          <w:sz w:val="24"/>
        </w:rPr>
        <w:t xml:space="preserve"> </w:t>
      </w:r>
      <w:r w:rsidRPr="0053586A" w:rsidR="00E447B0">
        <w:rPr>
          <w:rFonts w:ascii="Arial" w:hAnsi="Arial" w:cs="Arial"/>
          <w:sz w:val="24"/>
        </w:rPr>
        <w:t>the inaugural</w:t>
      </w:r>
      <w:r w:rsidRPr="0053586A" w:rsidR="00A21683">
        <w:rPr>
          <w:rFonts w:ascii="Arial" w:hAnsi="Arial" w:cs="Arial"/>
          <w:sz w:val="24"/>
        </w:rPr>
        <w:t xml:space="preserve"> </w:t>
      </w:r>
      <w:r w:rsidRPr="0053586A" w:rsidR="00755054">
        <w:rPr>
          <w:rFonts w:ascii="Arial" w:hAnsi="Arial" w:cs="Arial"/>
          <w:sz w:val="24"/>
        </w:rPr>
        <w:t>cohort of grantees</w:t>
      </w:r>
      <w:r w:rsidRPr="0053586A" w:rsidR="00E447B0">
        <w:rPr>
          <w:rFonts w:ascii="Arial" w:hAnsi="Arial" w:cs="Arial"/>
          <w:sz w:val="24"/>
        </w:rPr>
        <w:t xml:space="preserve"> </w:t>
      </w:r>
      <w:r w:rsidRPr="0053586A">
        <w:rPr>
          <w:rFonts w:ascii="Arial" w:hAnsi="Arial" w:cs="Arial"/>
          <w:sz w:val="24"/>
        </w:rPr>
        <w:t xml:space="preserve">for the </w:t>
      </w:r>
      <w:r w:rsidRPr="0053586A" w:rsidR="00C27EDF">
        <w:rPr>
          <w:rFonts w:ascii="Arial" w:hAnsi="Arial" w:cs="Arial"/>
          <w:sz w:val="24"/>
        </w:rPr>
        <w:t>first</w:t>
      </w:r>
      <w:r w:rsidRPr="0053586A">
        <w:rPr>
          <w:rFonts w:ascii="Arial" w:hAnsi="Arial" w:cs="Arial"/>
          <w:sz w:val="24"/>
        </w:rPr>
        <w:t xml:space="preserve"> </w:t>
      </w:r>
      <w:r w:rsidR="0080707B">
        <w:rPr>
          <w:rFonts w:ascii="Arial" w:hAnsi="Arial" w:cs="Arial"/>
          <w:sz w:val="24"/>
        </w:rPr>
        <w:t>four</w:t>
      </w:r>
      <w:r w:rsidRPr="0053586A" w:rsidR="00A21683">
        <w:rPr>
          <w:rFonts w:ascii="Arial" w:hAnsi="Arial" w:cs="Arial"/>
          <w:sz w:val="24"/>
        </w:rPr>
        <w:t xml:space="preserve"> </w:t>
      </w:r>
      <w:r w:rsidRPr="0053586A" w:rsidR="00E447B0">
        <w:rPr>
          <w:rFonts w:ascii="Arial" w:hAnsi="Arial" w:cs="Arial"/>
          <w:sz w:val="24"/>
        </w:rPr>
        <w:t>years</w:t>
      </w:r>
      <w:r w:rsidRPr="0053586A" w:rsidR="00C27EDF">
        <w:rPr>
          <w:rFonts w:ascii="Arial" w:hAnsi="Arial" w:cs="Arial"/>
          <w:sz w:val="24"/>
        </w:rPr>
        <w:t xml:space="preserve"> of their grant</w:t>
      </w:r>
      <w:r w:rsidR="00C11CD6">
        <w:rPr>
          <w:rFonts w:ascii="Arial" w:hAnsi="Arial" w:cs="Arial"/>
          <w:sz w:val="24"/>
        </w:rPr>
        <w:t>, which began in fiscal year (FY) 2019</w:t>
      </w:r>
      <w:r w:rsidRPr="0053586A" w:rsidR="00D35581">
        <w:rPr>
          <w:rFonts w:ascii="Arial" w:hAnsi="Arial" w:cs="Arial"/>
          <w:sz w:val="24"/>
        </w:rPr>
        <w:t>.</w:t>
      </w:r>
      <w:r w:rsidR="00255E23">
        <w:rPr>
          <w:rFonts w:ascii="Arial" w:hAnsi="Arial" w:cs="Arial"/>
          <w:sz w:val="24"/>
        </w:rPr>
        <w:t xml:space="preserve"> </w:t>
      </w:r>
      <w:r w:rsidRPr="00D37318" w:rsidR="005F2E17">
        <w:rPr>
          <w:rFonts w:ascii="Arial" w:hAnsi="Arial" w:cs="Arial"/>
          <w:sz w:val="24"/>
        </w:rPr>
        <w:t xml:space="preserve">PRA did not apply at this time </w:t>
      </w:r>
      <w:r w:rsidRPr="00D37318" w:rsidR="001225A9">
        <w:rPr>
          <w:rFonts w:ascii="Arial" w:hAnsi="Arial" w:cs="Arial"/>
          <w:sz w:val="24"/>
        </w:rPr>
        <w:t xml:space="preserve">because the information </w:t>
      </w:r>
      <w:r w:rsidR="00C11CD6">
        <w:rPr>
          <w:rFonts w:ascii="Arial" w:hAnsi="Arial" w:cs="Arial"/>
          <w:sz w:val="24"/>
        </w:rPr>
        <w:t>collection</w:t>
      </w:r>
      <w:r w:rsidRPr="00D37318" w:rsidR="001225A9">
        <w:rPr>
          <w:rFonts w:ascii="Arial" w:hAnsi="Arial" w:cs="Arial"/>
          <w:sz w:val="24"/>
        </w:rPr>
        <w:t xml:space="preserve"> </w:t>
      </w:r>
      <w:r w:rsidR="00C11CD6">
        <w:rPr>
          <w:rFonts w:ascii="Arial" w:hAnsi="Arial" w:cs="Arial"/>
          <w:sz w:val="24"/>
        </w:rPr>
        <w:t>involved</w:t>
      </w:r>
      <w:r w:rsidRPr="00D37318" w:rsidR="00C71859">
        <w:rPr>
          <w:rFonts w:ascii="Arial" w:hAnsi="Arial" w:cs="Arial"/>
          <w:sz w:val="24"/>
        </w:rPr>
        <w:t xml:space="preserve"> </w:t>
      </w:r>
      <w:r w:rsidRPr="00D37318" w:rsidR="001225A9">
        <w:rPr>
          <w:rFonts w:ascii="Arial" w:hAnsi="Arial" w:cs="Arial"/>
          <w:sz w:val="24"/>
        </w:rPr>
        <w:t xml:space="preserve">fewer </w:t>
      </w:r>
      <w:r w:rsidR="00C11CD6">
        <w:rPr>
          <w:rFonts w:ascii="Arial" w:hAnsi="Arial" w:cs="Arial"/>
          <w:sz w:val="24"/>
        </w:rPr>
        <w:t xml:space="preserve">than </w:t>
      </w:r>
      <w:r w:rsidR="0080707B">
        <w:rPr>
          <w:rFonts w:ascii="Arial" w:hAnsi="Arial" w:cs="Arial"/>
          <w:sz w:val="24"/>
        </w:rPr>
        <w:t xml:space="preserve">nine </w:t>
      </w:r>
      <w:r w:rsidRPr="00D37318" w:rsidR="001225A9">
        <w:rPr>
          <w:rFonts w:ascii="Arial" w:hAnsi="Arial" w:cs="Arial"/>
          <w:sz w:val="24"/>
        </w:rPr>
        <w:t>people/entities in a 12-month period.</w:t>
      </w:r>
      <w:r w:rsidRPr="001225A9" w:rsidR="001225A9">
        <w:rPr>
          <w:rFonts w:ascii="Arial" w:hAnsi="Arial" w:cs="Arial"/>
          <w:sz w:val="24"/>
        </w:rPr>
        <w:t xml:space="preserve"> </w:t>
      </w:r>
      <w:r w:rsidRPr="0053586A" w:rsidR="002D085B">
        <w:rPr>
          <w:rFonts w:ascii="Arial" w:hAnsi="Arial" w:cs="Arial"/>
          <w:sz w:val="24"/>
        </w:rPr>
        <w:t xml:space="preserve">To minimize the burden on </w:t>
      </w:r>
      <w:r w:rsidRPr="0053586A" w:rsidR="00B66515">
        <w:rPr>
          <w:rFonts w:ascii="Arial" w:hAnsi="Arial" w:cs="Arial"/>
          <w:sz w:val="24"/>
        </w:rPr>
        <w:t xml:space="preserve">future </w:t>
      </w:r>
      <w:r w:rsidRPr="0053586A" w:rsidR="002D085B">
        <w:rPr>
          <w:rFonts w:ascii="Arial" w:hAnsi="Arial" w:cs="Arial"/>
          <w:sz w:val="24"/>
        </w:rPr>
        <w:t>respondents, the</w:t>
      </w:r>
      <w:r w:rsidR="002D085B">
        <w:rPr>
          <w:rFonts w:ascii="Arial" w:hAnsi="Arial" w:cs="Arial"/>
          <w:sz w:val="24"/>
        </w:rPr>
        <w:t xml:space="preserve"> </w:t>
      </w:r>
      <w:r>
        <w:rPr>
          <w:rFonts w:ascii="Arial" w:hAnsi="Arial" w:cs="Arial"/>
          <w:sz w:val="24"/>
        </w:rPr>
        <w:t xml:space="preserve">MHAR </w:t>
      </w:r>
      <w:r w:rsidR="00D35581">
        <w:rPr>
          <w:rFonts w:ascii="Arial" w:hAnsi="Arial" w:cs="Arial"/>
          <w:sz w:val="24"/>
        </w:rPr>
        <w:t xml:space="preserve">data collection tool </w:t>
      </w:r>
      <w:r w:rsidR="00EE6A81">
        <w:rPr>
          <w:rFonts w:ascii="Arial" w:hAnsi="Arial" w:cs="Arial"/>
          <w:sz w:val="24"/>
        </w:rPr>
        <w:t xml:space="preserve">has </w:t>
      </w:r>
      <w:r w:rsidR="00F3555E">
        <w:rPr>
          <w:rFonts w:ascii="Arial" w:hAnsi="Arial" w:cs="Arial"/>
          <w:sz w:val="24"/>
        </w:rPr>
        <w:t xml:space="preserve">been revised </w:t>
      </w:r>
      <w:r w:rsidRPr="00D37318" w:rsidR="00F3555E">
        <w:rPr>
          <w:rFonts w:ascii="Arial" w:hAnsi="Arial" w:cs="Arial"/>
          <w:sz w:val="24"/>
        </w:rPr>
        <w:t xml:space="preserve">based on </w:t>
      </w:r>
      <w:r w:rsidRPr="00D37318" w:rsidR="008A7558">
        <w:rPr>
          <w:rFonts w:ascii="Arial" w:hAnsi="Arial" w:cs="Arial"/>
          <w:sz w:val="24"/>
        </w:rPr>
        <w:t xml:space="preserve">non-standardized discussions with the first cohort </w:t>
      </w:r>
      <w:r w:rsidRPr="00565C28" w:rsidR="00EA447D">
        <w:rPr>
          <w:rFonts w:ascii="Arial" w:hAnsi="Arial" w:cs="Arial"/>
          <w:sz w:val="24"/>
        </w:rPr>
        <w:t xml:space="preserve">of grantees in </w:t>
      </w:r>
      <w:r w:rsidR="003B7757">
        <w:rPr>
          <w:rFonts w:ascii="Arial" w:hAnsi="Arial" w:cs="Arial"/>
          <w:sz w:val="24"/>
        </w:rPr>
        <w:t>routine</w:t>
      </w:r>
      <w:r w:rsidRPr="00D37318" w:rsidR="008A7558">
        <w:rPr>
          <w:rFonts w:ascii="Arial" w:hAnsi="Arial" w:cs="Arial"/>
          <w:sz w:val="24"/>
        </w:rPr>
        <w:t xml:space="preserve"> grantee calls with Project Officers,</w:t>
      </w:r>
      <w:r w:rsidR="00940D53">
        <w:rPr>
          <w:rFonts w:ascii="Arial" w:hAnsi="Arial" w:cs="Arial"/>
          <w:sz w:val="24"/>
        </w:rPr>
        <w:t xml:space="preserve"> so the guidance is easier to understand</w:t>
      </w:r>
      <w:r w:rsidRPr="2AD167E7" w:rsidR="49C27E9C">
        <w:rPr>
          <w:rFonts w:ascii="Arial" w:hAnsi="Arial" w:cs="Arial"/>
          <w:sz w:val="24"/>
        </w:rPr>
        <w:t>,</w:t>
      </w:r>
      <w:r w:rsidR="00940D53">
        <w:rPr>
          <w:rFonts w:ascii="Arial" w:hAnsi="Arial" w:cs="Arial"/>
          <w:sz w:val="24"/>
        </w:rPr>
        <w:t xml:space="preserve"> and the report format is standardized and clear</w:t>
      </w:r>
      <w:r w:rsidR="00C27EDF">
        <w:rPr>
          <w:rFonts w:ascii="Arial" w:hAnsi="Arial" w:cs="Arial"/>
          <w:sz w:val="24"/>
        </w:rPr>
        <w:t xml:space="preserve">. Grantees are aware of reporting requirements and </w:t>
      </w:r>
      <w:r w:rsidR="00803EB4">
        <w:rPr>
          <w:rFonts w:ascii="Arial" w:hAnsi="Arial" w:cs="Arial"/>
          <w:sz w:val="24"/>
        </w:rPr>
        <w:t>the program will provide training and guidance for them before the MHAR is due</w:t>
      </w:r>
      <w:r w:rsidR="00830285">
        <w:rPr>
          <w:rFonts w:ascii="Arial" w:hAnsi="Arial" w:cs="Arial"/>
          <w:sz w:val="24"/>
        </w:rPr>
        <w:t>.</w:t>
      </w:r>
      <w:r w:rsidR="00C27EDF">
        <w:rPr>
          <w:rFonts w:ascii="Arial" w:hAnsi="Arial" w:cs="Arial"/>
          <w:sz w:val="24"/>
        </w:rPr>
        <w:t xml:space="preserve"> </w:t>
      </w:r>
    </w:p>
    <w:p w:rsidR="009B3794" w:rsidRPr="00C45431" w:rsidP="00CE22C5" w14:paraId="22E2A305" w14:textId="3B824B52">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rsidR="009B3794" w:rsidRPr="000E268F" w:rsidP="00CA3DA6" w14:paraId="22E2A306" w14:textId="47C549C0">
      <w:pPr>
        <w:spacing w:before="120"/>
        <w:rPr>
          <w:rFonts w:ascii="Arial" w:hAnsi="Arial" w:cs="Arial"/>
          <w:bCs/>
          <w:sz w:val="24"/>
        </w:rPr>
      </w:pPr>
      <w:r w:rsidRPr="000E268F">
        <w:rPr>
          <w:rFonts w:ascii="Arial" w:hAnsi="Arial" w:cs="Arial"/>
          <w:bCs/>
          <w:sz w:val="24"/>
        </w:rPr>
        <w:t xml:space="preserve">The information is not collected through any other means. The information is specific to the </w:t>
      </w:r>
      <w:r>
        <w:rPr>
          <w:rFonts w:ascii="Arial" w:hAnsi="Arial" w:cs="Arial"/>
          <w:bCs/>
          <w:sz w:val="24"/>
        </w:rPr>
        <w:t>State MHI</w:t>
      </w:r>
      <w:r w:rsidRPr="000E268F">
        <w:rPr>
          <w:rFonts w:ascii="Arial" w:hAnsi="Arial" w:cs="Arial"/>
          <w:bCs/>
          <w:sz w:val="24"/>
        </w:rPr>
        <w:t xml:space="preserve"> program and is not included in other information collection efforts.</w:t>
      </w:r>
    </w:p>
    <w:p w:rsidR="009B3794" w:rsidRPr="00C45431" w:rsidP="00CE22C5" w14:paraId="22E2A307" w14:textId="77777777">
      <w:pPr>
        <w:numPr>
          <w:ilvl w:val="0"/>
          <w:numId w:val="1"/>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D60FB3" w:rsidRPr="00D91A79" w:rsidP="000E268F" w14:paraId="22E2A308" w14:textId="57BE9A96">
      <w:pPr>
        <w:spacing w:before="120"/>
        <w:rPr>
          <w:rFonts w:ascii="Arial" w:hAnsi="Arial" w:cs="Arial"/>
          <w:bCs/>
          <w:color w:val="000000"/>
          <w:sz w:val="24"/>
        </w:rPr>
      </w:pPr>
      <w:r w:rsidRPr="00D91A79">
        <w:rPr>
          <w:rFonts w:ascii="Arial" w:hAnsi="Arial" w:cs="Arial"/>
          <w:bCs/>
          <w:color w:val="000000"/>
          <w:sz w:val="24"/>
        </w:rPr>
        <w:t>This data collection will not impact small businesses or other small entities.</w:t>
      </w:r>
      <w:r w:rsidRPr="009A0633" w:rsidR="009A0633">
        <w:t xml:space="preserve"> </w:t>
      </w:r>
      <w:r w:rsidRPr="009A0633" w:rsidR="009A0633">
        <w:rPr>
          <w:rFonts w:ascii="Arial" w:hAnsi="Arial" w:cs="Arial"/>
          <w:bCs/>
          <w:color w:val="000000"/>
          <w:sz w:val="24"/>
        </w:rPr>
        <w:t xml:space="preserve">No small businesses will be involved in this </w:t>
      </w:r>
      <w:r w:rsidR="007E05FF">
        <w:rPr>
          <w:rFonts w:ascii="Arial" w:hAnsi="Arial" w:cs="Arial"/>
          <w:bCs/>
          <w:color w:val="000000"/>
          <w:sz w:val="24"/>
        </w:rPr>
        <w:t>report</w:t>
      </w:r>
      <w:r w:rsidR="0080707B">
        <w:rPr>
          <w:rFonts w:ascii="Arial" w:hAnsi="Arial" w:cs="Arial"/>
          <w:bCs/>
          <w:color w:val="000000"/>
          <w:sz w:val="24"/>
        </w:rPr>
        <w:t>.</w:t>
      </w:r>
    </w:p>
    <w:p w:rsidR="009B3794" w:rsidRPr="00C45431" w:rsidP="00CE22C5" w14:paraId="22E2A30D"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9B3794" w:rsidRPr="00C45431" w:rsidP="0058549D" w14:paraId="22E2A311" w14:textId="5220B70E">
      <w:pPr>
        <w:widowControl/>
        <w:autoSpaceDE/>
        <w:autoSpaceDN/>
        <w:adjustRightInd/>
        <w:spacing w:before="120"/>
        <w:rPr>
          <w:rFonts w:ascii="Arial" w:hAnsi="Arial" w:cs="Arial"/>
          <w:sz w:val="24"/>
        </w:rPr>
      </w:pPr>
      <w:r>
        <w:rPr>
          <w:rFonts w:ascii="Arial" w:hAnsi="Arial" w:cs="Arial"/>
          <w:sz w:val="24"/>
        </w:rPr>
        <w:t>On average, r</w:t>
      </w:r>
      <w:r w:rsidR="0058549D">
        <w:rPr>
          <w:rFonts w:ascii="Arial" w:hAnsi="Arial" w:cs="Arial"/>
          <w:sz w:val="24"/>
        </w:rPr>
        <w:t xml:space="preserve">espondents will </w:t>
      </w:r>
      <w:r w:rsidR="00043636">
        <w:rPr>
          <w:rFonts w:ascii="Arial" w:hAnsi="Arial" w:cs="Arial"/>
          <w:sz w:val="24"/>
        </w:rPr>
        <w:t xml:space="preserve">complete </w:t>
      </w:r>
      <w:r w:rsidR="0058549D">
        <w:rPr>
          <w:rFonts w:ascii="Arial" w:hAnsi="Arial" w:cs="Arial"/>
          <w:sz w:val="24"/>
        </w:rPr>
        <w:t xml:space="preserve">this data collection </w:t>
      </w:r>
      <w:r w:rsidRPr="00B96FC6" w:rsidR="00323ED4">
        <w:rPr>
          <w:rFonts w:ascii="Arial" w:hAnsi="Arial" w:cs="Arial"/>
          <w:sz w:val="24"/>
        </w:rPr>
        <w:t xml:space="preserve">about </w:t>
      </w:r>
      <w:r w:rsidRPr="00B96FC6" w:rsidR="0031078D">
        <w:rPr>
          <w:rFonts w:ascii="Arial" w:hAnsi="Arial" w:cs="Arial"/>
          <w:sz w:val="24"/>
        </w:rPr>
        <w:t>once</w:t>
      </w:r>
      <w:r w:rsidR="0031078D">
        <w:rPr>
          <w:rFonts w:ascii="Arial" w:hAnsi="Arial" w:cs="Arial"/>
          <w:sz w:val="24"/>
        </w:rPr>
        <w:t xml:space="preserve"> per year</w:t>
      </w:r>
      <w:r w:rsidR="0058549D">
        <w:rPr>
          <w:rFonts w:ascii="Arial" w:hAnsi="Arial" w:cs="Arial"/>
          <w:sz w:val="24"/>
        </w:rPr>
        <w:t>.</w:t>
      </w:r>
      <w:r w:rsidR="007454E3">
        <w:rPr>
          <w:rFonts w:ascii="Arial" w:hAnsi="Arial" w:cs="Arial"/>
          <w:sz w:val="24"/>
        </w:rPr>
        <w:t xml:space="preserve"> </w:t>
      </w:r>
      <w:r w:rsidRPr="00022260" w:rsidR="007454E3">
        <w:rPr>
          <w:rFonts w:ascii="Arial" w:hAnsi="Arial" w:cs="Arial"/>
          <w:sz w:val="24"/>
        </w:rPr>
        <w:t xml:space="preserve">Collecting </w:t>
      </w:r>
      <w:r w:rsidR="007454E3">
        <w:rPr>
          <w:rFonts w:ascii="Arial" w:hAnsi="Arial" w:cs="Arial"/>
          <w:sz w:val="24"/>
        </w:rPr>
        <w:t>grantee</w:t>
      </w:r>
      <w:r w:rsidRPr="00022260" w:rsidR="007454E3">
        <w:rPr>
          <w:rFonts w:ascii="Arial" w:hAnsi="Arial" w:cs="Arial"/>
          <w:sz w:val="24"/>
        </w:rPr>
        <w:t xml:space="preserve"> data less frequently would result in insufficient data </w:t>
      </w:r>
      <w:r w:rsidR="007454E3">
        <w:rPr>
          <w:rFonts w:ascii="Arial" w:hAnsi="Arial" w:cs="Arial"/>
          <w:sz w:val="24"/>
        </w:rPr>
        <w:t>to m</w:t>
      </w:r>
      <w:r w:rsidRPr="00544BE0" w:rsidR="007454E3">
        <w:rPr>
          <w:rFonts w:ascii="Arial" w:hAnsi="Arial" w:cs="Arial"/>
          <w:sz w:val="24"/>
        </w:rPr>
        <w:t>onitor grantee’s progress in analyzing state-level maternal health data</w:t>
      </w:r>
      <w:r w:rsidR="007454E3">
        <w:rPr>
          <w:rFonts w:ascii="Arial" w:hAnsi="Arial" w:cs="Arial"/>
          <w:sz w:val="24"/>
        </w:rPr>
        <w:t xml:space="preserve">. </w:t>
      </w:r>
    </w:p>
    <w:p w:rsidR="009B3794" w:rsidRPr="00C45431" w:rsidP="00CE22C5" w14:paraId="22E2A312"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8B6BB7" w:rsidRPr="00C45431" w:rsidP="000E268F" w14:paraId="2650993A" w14:textId="10BF2761">
      <w:pPr>
        <w:spacing w:before="120"/>
        <w:rPr>
          <w:rFonts w:ascii="Arial" w:hAnsi="Arial" w:cs="Arial"/>
          <w:sz w:val="24"/>
        </w:rPr>
      </w:pPr>
      <w:r w:rsidRPr="00D91A79">
        <w:rPr>
          <w:rFonts w:ascii="Arial" w:hAnsi="Arial" w:cs="Arial"/>
          <w:sz w:val="24"/>
        </w:rPr>
        <w:t>The request fully complies with the regulation</w:t>
      </w:r>
      <w:r w:rsidR="00022260">
        <w:rPr>
          <w:rFonts w:ascii="Arial" w:hAnsi="Arial" w:cs="Arial"/>
          <w:sz w:val="24"/>
        </w:rPr>
        <w:t xml:space="preserve">. </w:t>
      </w:r>
      <w:r w:rsidR="00B96FC6">
        <w:rPr>
          <w:rFonts w:ascii="Arial" w:hAnsi="Arial" w:cs="Arial"/>
          <w:sz w:val="24"/>
        </w:rPr>
        <w:t xml:space="preserve">The </w:t>
      </w:r>
      <w:r w:rsidRPr="008B6BB7">
        <w:rPr>
          <w:rFonts w:ascii="Arial" w:hAnsi="Arial" w:cs="Arial"/>
          <w:sz w:val="24"/>
        </w:rPr>
        <w:t>minimum SPD-15 racial/ethnic categories are used</w:t>
      </w:r>
      <w:r>
        <w:rPr>
          <w:rFonts w:ascii="Arial" w:hAnsi="Arial" w:cs="Arial"/>
          <w:sz w:val="24"/>
        </w:rPr>
        <w:t xml:space="preserve"> </w:t>
      </w:r>
      <w:r w:rsidR="00B96FC6">
        <w:rPr>
          <w:rFonts w:ascii="Arial" w:hAnsi="Arial" w:cs="Arial"/>
          <w:sz w:val="24"/>
        </w:rPr>
        <w:t xml:space="preserve">in this information collection </w:t>
      </w:r>
      <w:r>
        <w:rPr>
          <w:rFonts w:ascii="Arial" w:hAnsi="Arial" w:cs="Arial"/>
          <w:sz w:val="24"/>
        </w:rPr>
        <w:t>because</w:t>
      </w:r>
      <w:r w:rsidR="00B96FC6">
        <w:rPr>
          <w:rFonts w:ascii="Arial" w:hAnsi="Arial" w:cs="Arial"/>
          <w:sz w:val="24"/>
        </w:rPr>
        <w:t xml:space="preserve"> the </w:t>
      </w:r>
      <w:r w:rsidRPr="00B96FC6" w:rsidR="00B96FC6">
        <w:rPr>
          <w:rFonts w:ascii="Arial" w:hAnsi="Arial" w:cs="Arial"/>
          <w:sz w:val="24"/>
        </w:rPr>
        <w:t xml:space="preserve">minimum categories </w:t>
      </w:r>
      <w:r w:rsidR="00B96FC6">
        <w:rPr>
          <w:rFonts w:ascii="Arial" w:hAnsi="Arial" w:cs="Arial"/>
          <w:sz w:val="24"/>
        </w:rPr>
        <w:t>are</w:t>
      </w:r>
      <w:r w:rsidRPr="00B96FC6" w:rsidR="00B96FC6">
        <w:rPr>
          <w:rFonts w:ascii="Arial" w:hAnsi="Arial" w:cs="Arial"/>
          <w:sz w:val="24"/>
        </w:rPr>
        <w:t xml:space="preserve"> consistent with the data sources</w:t>
      </w:r>
      <w:r w:rsidR="00B96FC6">
        <w:rPr>
          <w:rFonts w:ascii="Arial" w:hAnsi="Arial" w:cs="Arial"/>
          <w:sz w:val="24"/>
        </w:rPr>
        <w:t xml:space="preserve"> (such as the </w:t>
      </w:r>
      <w:r w:rsidRPr="00B96FC6" w:rsidR="00B96FC6">
        <w:rPr>
          <w:rFonts w:ascii="Arial" w:hAnsi="Arial" w:cs="Arial"/>
          <w:sz w:val="24"/>
        </w:rPr>
        <w:t xml:space="preserve">Maternal Mortality Review Information Application (MMRIA) </w:t>
      </w:r>
      <w:r w:rsidR="00B96FC6">
        <w:rPr>
          <w:rFonts w:ascii="Arial" w:hAnsi="Arial" w:cs="Arial"/>
          <w:sz w:val="24"/>
        </w:rPr>
        <w:t xml:space="preserve">and the </w:t>
      </w:r>
      <w:r w:rsidRPr="00B96FC6" w:rsidR="00B96FC6">
        <w:rPr>
          <w:rFonts w:ascii="Arial" w:hAnsi="Arial" w:cs="Arial"/>
          <w:sz w:val="24"/>
        </w:rPr>
        <w:t xml:space="preserve">Pregnancy Mortality Surveillance System </w:t>
      </w:r>
      <w:r w:rsidR="00B96FC6">
        <w:rPr>
          <w:rFonts w:ascii="Arial" w:hAnsi="Arial" w:cs="Arial"/>
          <w:sz w:val="24"/>
        </w:rPr>
        <w:t xml:space="preserve">(PMSS)) </w:t>
      </w:r>
      <w:r w:rsidRPr="00B96FC6" w:rsidR="00B96FC6">
        <w:rPr>
          <w:rFonts w:ascii="Arial" w:hAnsi="Arial" w:cs="Arial"/>
          <w:sz w:val="24"/>
        </w:rPr>
        <w:t xml:space="preserve">the </w:t>
      </w:r>
      <w:r w:rsidR="00B96FC6">
        <w:rPr>
          <w:rFonts w:ascii="Arial" w:hAnsi="Arial" w:cs="Arial"/>
          <w:sz w:val="24"/>
        </w:rPr>
        <w:t>respondents</w:t>
      </w:r>
      <w:r w:rsidRPr="00B96FC6" w:rsidR="00B96FC6">
        <w:rPr>
          <w:rFonts w:ascii="Arial" w:hAnsi="Arial" w:cs="Arial"/>
          <w:sz w:val="24"/>
        </w:rPr>
        <w:t xml:space="preserve"> </w:t>
      </w:r>
      <w:r w:rsidR="00D206A8">
        <w:rPr>
          <w:rFonts w:ascii="Arial" w:hAnsi="Arial" w:cs="Arial"/>
          <w:sz w:val="24"/>
        </w:rPr>
        <w:t>rely on</w:t>
      </w:r>
      <w:r w:rsidRPr="00B96FC6" w:rsidR="00B96FC6">
        <w:rPr>
          <w:rFonts w:ascii="Arial" w:hAnsi="Arial" w:cs="Arial"/>
          <w:sz w:val="24"/>
        </w:rPr>
        <w:t xml:space="preserve"> </w:t>
      </w:r>
      <w:r w:rsidR="00B96FC6">
        <w:rPr>
          <w:rFonts w:ascii="Arial" w:hAnsi="Arial" w:cs="Arial"/>
          <w:sz w:val="24"/>
        </w:rPr>
        <w:t>to complete the information collection</w:t>
      </w:r>
      <w:r w:rsidR="00D206A8">
        <w:rPr>
          <w:rFonts w:ascii="Arial" w:hAnsi="Arial" w:cs="Arial"/>
          <w:sz w:val="24"/>
        </w:rPr>
        <w:t>; these data sources do not yet provide data by race/ethnicity sub-categories</w:t>
      </w:r>
      <w:r w:rsidR="00B96FC6">
        <w:rPr>
          <w:rFonts w:ascii="Arial" w:hAnsi="Arial" w:cs="Arial"/>
          <w:sz w:val="24"/>
        </w:rPr>
        <w:t xml:space="preserve">. Additionally, the data sets respondents use </w:t>
      </w:r>
      <w:r w:rsidR="00D206A8">
        <w:rPr>
          <w:rFonts w:ascii="Arial" w:hAnsi="Arial" w:cs="Arial"/>
          <w:sz w:val="24"/>
        </w:rPr>
        <w:t>often involve</w:t>
      </w:r>
      <w:r w:rsidR="00B96FC6">
        <w:rPr>
          <w:rFonts w:ascii="Arial" w:hAnsi="Arial" w:cs="Arial"/>
          <w:sz w:val="24"/>
        </w:rPr>
        <w:t xml:space="preserve"> small numbers that, if stratified into the detailed </w:t>
      </w:r>
      <w:r w:rsidR="00D206A8">
        <w:rPr>
          <w:rFonts w:ascii="Arial" w:hAnsi="Arial" w:cs="Arial"/>
          <w:sz w:val="24"/>
        </w:rPr>
        <w:t>race/ethnicity sub-categories</w:t>
      </w:r>
      <w:r w:rsidR="00B96FC6">
        <w:rPr>
          <w:rFonts w:ascii="Arial" w:hAnsi="Arial" w:cs="Arial"/>
          <w:sz w:val="24"/>
        </w:rPr>
        <w:t>, may become identifiable</w:t>
      </w:r>
      <w:r w:rsidR="00D206A8">
        <w:rPr>
          <w:rFonts w:ascii="Arial" w:hAnsi="Arial" w:cs="Arial"/>
          <w:sz w:val="24"/>
        </w:rPr>
        <w:t xml:space="preserve"> and would generally be suppressed for reporting</w:t>
      </w:r>
      <w:r w:rsidR="00651DAC">
        <w:rPr>
          <w:rFonts w:ascii="Arial" w:hAnsi="Arial" w:cs="Arial"/>
          <w:sz w:val="24"/>
        </w:rPr>
        <w:t xml:space="preserve">. </w:t>
      </w:r>
    </w:p>
    <w:p w:rsidR="009B3794" w:rsidRPr="00C45431" w:rsidP="00CE22C5" w14:paraId="22E2A31C"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P="00CA3DA6" w14:paraId="22E2A31D" w14:textId="77777777">
      <w:pPr>
        <w:spacing w:before="120"/>
        <w:rPr>
          <w:rFonts w:ascii="Arial" w:hAnsi="Arial" w:cs="Arial"/>
          <w:b/>
          <w:sz w:val="28"/>
          <w:szCs w:val="28"/>
        </w:rPr>
      </w:pPr>
      <w:r w:rsidRPr="00C45431">
        <w:rPr>
          <w:rFonts w:ascii="Arial" w:hAnsi="Arial" w:cs="Arial"/>
          <w:b/>
          <w:sz w:val="28"/>
          <w:szCs w:val="28"/>
        </w:rPr>
        <w:t>Section 8A:</w:t>
      </w:r>
    </w:p>
    <w:p w:rsidR="0091449C" w:rsidRPr="00565C28" w:rsidP="00565C28" w14:paraId="71F8D467" w14:textId="43616C5D">
      <w:pPr>
        <w:spacing w:before="120"/>
        <w:rPr>
          <w:rFonts w:ascii="Arial" w:hAnsi="Arial" w:cs="Arial"/>
          <w:sz w:val="24"/>
        </w:rPr>
      </w:pPr>
      <w:r w:rsidRPr="00565C28">
        <w:rPr>
          <w:rFonts w:ascii="Arial" w:hAnsi="Arial" w:cs="Arial"/>
          <w:sz w:val="24"/>
        </w:rPr>
        <w:t xml:space="preserve">A 60-day Federal Register Notice was published in the </w:t>
      </w:r>
      <w:r w:rsidRPr="00565C28">
        <w:rPr>
          <w:rFonts w:ascii="Arial" w:hAnsi="Arial" w:cs="Arial"/>
          <w:i/>
          <w:iCs/>
          <w:sz w:val="24"/>
        </w:rPr>
        <w:t xml:space="preserve">Federal Register </w:t>
      </w:r>
      <w:r w:rsidRPr="00565C28">
        <w:rPr>
          <w:rFonts w:ascii="Arial" w:hAnsi="Arial" w:cs="Arial"/>
          <w:sz w:val="24"/>
        </w:rPr>
        <w:t xml:space="preserve">on </w:t>
      </w:r>
      <w:r w:rsidRPr="00565C28" w:rsidR="00690CE2">
        <w:rPr>
          <w:rFonts w:ascii="Arial" w:hAnsi="Arial" w:cs="Arial"/>
          <w:sz w:val="24"/>
        </w:rPr>
        <w:t>July</w:t>
      </w:r>
      <w:r w:rsidRPr="00565C28">
        <w:rPr>
          <w:rFonts w:ascii="Arial" w:hAnsi="Arial" w:cs="Arial"/>
          <w:sz w:val="24"/>
        </w:rPr>
        <w:t xml:space="preserve"> </w:t>
      </w:r>
      <w:r w:rsidRPr="00565C28" w:rsidR="00690CE2">
        <w:rPr>
          <w:rFonts w:ascii="Arial" w:hAnsi="Arial" w:cs="Arial"/>
          <w:sz w:val="24"/>
        </w:rPr>
        <w:t>8</w:t>
      </w:r>
      <w:r w:rsidRPr="00565C28">
        <w:rPr>
          <w:rFonts w:ascii="Arial" w:hAnsi="Arial" w:cs="Arial"/>
          <w:sz w:val="24"/>
        </w:rPr>
        <w:t>, 2</w:t>
      </w:r>
      <w:r w:rsidRPr="00565C28" w:rsidR="00CE5AA9">
        <w:rPr>
          <w:rFonts w:ascii="Arial" w:hAnsi="Arial" w:cs="Arial"/>
          <w:sz w:val="24"/>
        </w:rPr>
        <w:t>0</w:t>
      </w:r>
      <w:r w:rsidRPr="00565C28" w:rsidR="00690CE2">
        <w:rPr>
          <w:rFonts w:ascii="Arial" w:hAnsi="Arial" w:cs="Arial"/>
          <w:sz w:val="24"/>
        </w:rPr>
        <w:t>24</w:t>
      </w:r>
      <w:r w:rsidRPr="00565C28">
        <w:rPr>
          <w:rFonts w:ascii="Arial" w:hAnsi="Arial" w:cs="Arial"/>
          <w:sz w:val="24"/>
        </w:rPr>
        <w:t xml:space="preserve">, vol. </w:t>
      </w:r>
      <w:r w:rsidRPr="00565C28" w:rsidR="00690CE2">
        <w:rPr>
          <w:rFonts w:ascii="Arial" w:hAnsi="Arial" w:cs="Arial"/>
          <w:sz w:val="24"/>
        </w:rPr>
        <w:t>89</w:t>
      </w:r>
      <w:r w:rsidRPr="00565C28">
        <w:rPr>
          <w:rFonts w:ascii="Arial" w:hAnsi="Arial" w:cs="Arial"/>
          <w:sz w:val="24"/>
        </w:rPr>
        <w:t>, No.</w:t>
      </w:r>
      <w:r w:rsidRPr="00565C28" w:rsidR="00CE5AA9">
        <w:rPr>
          <w:rFonts w:ascii="Arial" w:hAnsi="Arial" w:cs="Arial"/>
          <w:sz w:val="24"/>
        </w:rPr>
        <w:t xml:space="preserve"> </w:t>
      </w:r>
      <w:r w:rsidRPr="00565C28" w:rsidR="00690CE2">
        <w:rPr>
          <w:rFonts w:ascii="Arial" w:hAnsi="Arial" w:cs="Arial"/>
          <w:sz w:val="24"/>
        </w:rPr>
        <w:t>130</w:t>
      </w:r>
      <w:r w:rsidRPr="00565C28">
        <w:rPr>
          <w:rFonts w:ascii="Arial" w:hAnsi="Arial" w:cs="Arial"/>
          <w:sz w:val="24"/>
        </w:rPr>
        <w:t xml:space="preserve">; pp. </w:t>
      </w:r>
      <w:r w:rsidRPr="00565C28" w:rsidR="00690CE2">
        <w:rPr>
          <w:rFonts w:ascii="Arial" w:hAnsi="Arial" w:cs="Arial"/>
          <w:sz w:val="24"/>
        </w:rPr>
        <w:t>55950-55951</w:t>
      </w:r>
      <w:r w:rsidRPr="00565C28">
        <w:rPr>
          <w:rFonts w:ascii="Arial" w:hAnsi="Arial" w:cs="Arial"/>
          <w:sz w:val="24"/>
        </w:rPr>
        <w:t>. There were no public comments.</w:t>
      </w:r>
    </w:p>
    <w:p w:rsidR="00DE3A45" w:rsidRPr="00C45431" w:rsidP="00CA3DA6" w14:paraId="22E2A321" w14:textId="77777777">
      <w:pPr>
        <w:spacing w:before="120"/>
        <w:rPr>
          <w:rFonts w:ascii="Arial" w:hAnsi="Arial" w:cs="Arial"/>
          <w:b/>
          <w:sz w:val="28"/>
          <w:szCs w:val="28"/>
        </w:rPr>
      </w:pPr>
      <w:r w:rsidRPr="00394D63">
        <w:rPr>
          <w:rFonts w:ascii="Arial" w:hAnsi="Arial" w:cs="Arial"/>
          <w:b/>
          <w:sz w:val="28"/>
          <w:szCs w:val="28"/>
        </w:rPr>
        <w:t>Section 8B:</w:t>
      </w:r>
    </w:p>
    <w:p w:rsidR="00677E60" w:rsidP="00394D63" w14:paraId="6DE362BB" w14:textId="4B1854DC">
      <w:pPr>
        <w:spacing w:before="120"/>
        <w:rPr>
          <w:rFonts w:ascii="Arial" w:hAnsi="Arial" w:cs="Arial"/>
          <w:sz w:val="24"/>
        </w:rPr>
      </w:pPr>
      <w:r w:rsidRPr="00677E60">
        <w:rPr>
          <w:rFonts w:ascii="Arial" w:hAnsi="Arial" w:cs="Arial"/>
          <w:sz w:val="24"/>
        </w:rPr>
        <w:t xml:space="preserve">To minimize the burden on future respondents, the MHAR data collection tool has been revised based on non-standardized discussions with the first cohort of </w:t>
      </w:r>
      <w:r>
        <w:rPr>
          <w:rFonts w:ascii="Arial" w:hAnsi="Arial" w:cs="Arial"/>
          <w:sz w:val="24"/>
        </w:rPr>
        <w:t xml:space="preserve">nine </w:t>
      </w:r>
      <w:r w:rsidRPr="00677E60">
        <w:rPr>
          <w:rFonts w:ascii="Arial" w:hAnsi="Arial" w:cs="Arial"/>
          <w:sz w:val="24"/>
        </w:rPr>
        <w:t>grantees</w:t>
      </w:r>
      <w:r>
        <w:rPr>
          <w:rFonts w:ascii="Arial" w:hAnsi="Arial" w:cs="Arial"/>
          <w:sz w:val="24"/>
        </w:rPr>
        <w:t xml:space="preserve"> </w:t>
      </w:r>
      <w:r w:rsidRPr="00677E60">
        <w:rPr>
          <w:rFonts w:ascii="Arial" w:hAnsi="Arial" w:cs="Arial"/>
          <w:sz w:val="24"/>
        </w:rPr>
        <w:t xml:space="preserve">in </w:t>
      </w:r>
      <w:r w:rsidR="00624678">
        <w:rPr>
          <w:rFonts w:ascii="Arial" w:hAnsi="Arial" w:cs="Arial"/>
          <w:sz w:val="24"/>
        </w:rPr>
        <w:t>routine</w:t>
      </w:r>
      <w:r w:rsidRPr="00677E60">
        <w:rPr>
          <w:rFonts w:ascii="Arial" w:hAnsi="Arial" w:cs="Arial"/>
          <w:sz w:val="24"/>
        </w:rPr>
        <w:t xml:space="preserve"> grantee calls with Project Officers</w:t>
      </w:r>
      <w:r>
        <w:rPr>
          <w:rFonts w:ascii="Arial" w:hAnsi="Arial" w:cs="Arial"/>
          <w:sz w:val="24"/>
        </w:rPr>
        <w:t xml:space="preserve"> in 2022 and 2023. </w:t>
      </w:r>
      <w:r w:rsidR="00E8198A">
        <w:rPr>
          <w:rFonts w:ascii="Arial" w:hAnsi="Arial" w:cs="Arial"/>
          <w:sz w:val="24"/>
        </w:rPr>
        <w:t>The nine g</w:t>
      </w:r>
      <w:r>
        <w:rPr>
          <w:rFonts w:ascii="Arial" w:hAnsi="Arial" w:cs="Arial"/>
          <w:sz w:val="24"/>
        </w:rPr>
        <w:t xml:space="preserve">rantees consulted include state and local health officials. </w:t>
      </w:r>
      <w:r w:rsidR="00B1193E">
        <w:rPr>
          <w:rFonts w:ascii="Arial" w:hAnsi="Arial" w:cs="Arial"/>
          <w:sz w:val="24"/>
        </w:rPr>
        <w:t xml:space="preserve">No major problems were raised from the </w:t>
      </w:r>
      <w:r w:rsidRPr="00677E60" w:rsidR="00B1193E">
        <w:rPr>
          <w:rFonts w:ascii="Arial" w:hAnsi="Arial" w:cs="Arial"/>
          <w:sz w:val="24"/>
        </w:rPr>
        <w:t>non-standardized discussions</w:t>
      </w:r>
      <w:r w:rsidR="00B1193E">
        <w:rPr>
          <w:rFonts w:ascii="Arial" w:hAnsi="Arial" w:cs="Arial"/>
          <w:sz w:val="24"/>
        </w:rPr>
        <w:t xml:space="preserve"> and no other public comments were received. </w:t>
      </w:r>
    </w:p>
    <w:p w:rsidR="009B3794" w:rsidRPr="00C45431" w:rsidP="00CE22C5" w14:paraId="22E2A32A"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935E77" w:rsidRPr="00A5544F" w:rsidP="000E268F" w14:paraId="22E2A32D" w14:textId="58784CBC">
      <w:pPr>
        <w:spacing w:before="120"/>
        <w:rPr>
          <w:rFonts w:ascii="Arial" w:hAnsi="Arial" w:cs="Arial"/>
          <w:bCs/>
          <w:sz w:val="24"/>
        </w:rPr>
      </w:pPr>
      <w:r w:rsidRPr="00A5544F">
        <w:rPr>
          <w:rFonts w:ascii="Arial" w:hAnsi="Arial" w:cs="Arial"/>
          <w:bCs/>
          <w:sz w:val="24"/>
        </w:rPr>
        <w:t>Respondents will not receive any payments or gifts.</w:t>
      </w:r>
    </w:p>
    <w:p w:rsidR="009B3794" w:rsidRPr="00C45431" w:rsidP="00CE22C5" w14:paraId="22E2A32E"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7A79D2" w:rsidP="00565C28" w14:paraId="153D1B06" w14:textId="205ED982">
      <w:pPr>
        <w:spacing w:before="120"/>
        <w:rPr>
          <w:rFonts w:ascii="Arial" w:hAnsi="Arial" w:cs="Arial"/>
          <w:b/>
          <w:sz w:val="24"/>
          <w:u w:val="single"/>
        </w:rPr>
      </w:pPr>
      <w:r w:rsidRPr="004235DD">
        <w:rPr>
          <w:rFonts w:ascii="Arial" w:hAnsi="Arial" w:cs="Arial"/>
          <w:sz w:val="24"/>
        </w:rPr>
        <w:t xml:space="preserve">Data will be kept private to the extent allowed by law. Data collected will be </w:t>
      </w:r>
      <w:r w:rsidR="00157673">
        <w:rPr>
          <w:rFonts w:ascii="Arial" w:hAnsi="Arial" w:cs="Arial"/>
          <w:sz w:val="24"/>
        </w:rPr>
        <w:t>state</w:t>
      </w:r>
      <w:r w:rsidRPr="004235DD">
        <w:rPr>
          <w:rFonts w:ascii="Arial" w:hAnsi="Arial" w:cs="Arial"/>
          <w:sz w:val="24"/>
        </w:rPr>
        <w:t>-level information and will not include personal identifiers.</w:t>
      </w:r>
    </w:p>
    <w:p w:rsidR="009B3794" w:rsidRPr="00C45431" w:rsidP="00CE22C5" w14:paraId="22E2A336" w14:textId="41C09C68">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Justification for Sensitive Questions</w:t>
      </w:r>
    </w:p>
    <w:p w:rsidR="009B3794" w:rsidRPr="00C45431" w:rsidP="00395487" w14:paraId="22E2A33B" w14:textId="069E4284">
      <w:pPr>
        <w:widowControl/>
        <w:spacing w:before="120"/>
        <w:rPr>
          <w:rFonts w:ascii="Arial" w:hAnsi="Arial" w:cs="Arial"/>
          <w:sz w:val="24"/>
        </w:rPr>
      </w:pPr>
      <w:r w:rsidRPr="00395487">
        <w:rPr>
          <w:rFonts w:ascii="Arial" w:hAnsi="Arial" w:cs="Arial"/>
          <w:sz w:val="24"/>
        </w:rPr>
        <w:t xml:space="preserve">The </w:t>
      </w:r>
      <w:r>
        <w:rPr>
          <w:rFonts w:ascii="Arial" w:hAnsi="Arial" w:cs="Arial"/>
          <w:sz w:val="24"/>
        </w:rPr>
        <w:t>MHAR</w:t>
      </w:r>
      <w:r w:rsidRPr="00395487">
        <w:rPr>
          <w:rFonts w:ascii="Arial" w:hAnsi="Arial" w:cs="Arial"/>
          <w:sz w:val="24"/>
        </w:rPr>
        <w:t xml:space="preserve"> does not include sensitive questions. No personally identifiable information will be collected from respondents. Individual-level data will be not obtained from the grantees. </w:t>
      </w:r>
      <w:r w:rsidRPr="00C45431">
        <w:rPr>
          <w:rFonts w:ascii="Arial" w:hAnsi="Arial" w:cs="Arial"/>
          <w:sz w:val="24"/>
        </w:rPr>
        <w:t xml:space="preserve"> </w:t>
      </w:r>
    </w:p>
    <w:p w:rsidR="009B3794" w:rsidRPr="00C45431" w:rsidP="00CE22C5" w14:paraId="22E2A33C" w14:textId="77777777">
      <w:pPr>
        <w:numPr>
          <w:ilvl w:val="0"/>
          <w:numId w:val="1"/>
        </w:numPr>
        <w:tabs>
          <w:tab w:val="num" w:pos="360"/>
          <w:tab w:val="clear" w:pos="108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rsidR="009B3794" w:rsidRPr="00C45431" w:rsidP="00CC438D" w14:paraId="22E2A33E" w14:textId="63AC6992">
      <w:pPr>
        <w:widowControl/>
        <w:spacing w:before="120"/>
        <w:rPr>
          <w:rFonts w:ascii="Arial" w:hAnsi="Arial" w:cs="Arial"/>
          <w:sz w:val="24"/>
        </w:rPr>
      </w:pPr>
    </w:p>
    <w:p w:rsidR="009B3794" w:rsidP="00CA3DA6" w14:paraId="22E2A33F" w14:textId="77777777">
      <w:pPr>
        <w:widowControl/>
        <w:tabs>
          <w:tab w:val="num" w:pos="720"/>
        </w:tabs>
        <w:spacing w:before="120"/>
        <w:rPr>
          <w:rFonts w:ascii="Arial" w:hAnsi="Arial" w:cs="Arial"/>
          <w:b/>
          <w:sz w:val="24"/>
        </w:rPr>
      </w:pPr>
      <w:r w:rsidRPr="00C45431">
        <w:rPr>
          <w:rFonts w:ascii="Arial" w:hAnsi="Arial" w:cs="Arial"/>
          <w:b/>
          <w:sz w:val="28"/>
          <w:szCs w:val="28"/>
        </w:rPr>
        <w:t>12A.</w:t>
      </w:r>
      <w:r w:rsidRPr="00C45431">
        <w:rPr>
          <w:rFonts w:ascii="Arial" w:hAnsi="Arial" w:cs="Arial"/>
          <w:sz w:val="24"/>
        </w:rPr>
        <w:t xml:space="preserve">        </w:t>
      </w:r>
      <w:r w:rsidRPr="00C45431">
        <w:rPr>
          <w:rFonts w:ascii="Arial" w:hAnsi="Arial" w:cs="Arial"/>
          <w:b/>
          <w:sz w:val="24"/>
        </w:rPr>
        <w:t>Estimated Annualized Burden Hours</w:t>
      </w:r>
    </w:p>
    <w:p w:rsidR="00701B5C" w:rsidP="00CA3DA6" w14:paraId="5CA8CE62" w14:textId="6515A71F">
      <w:pPr>
        <w:widowControl/>
        <w:tabs>
          <w:tab w:val="num" w:pos="720"/>
        </w:tabs>
        <w:spacing w:before="120"/>
        <w:rPr>
          <w:rFonts w:ascii="Arial" w:hAnsi="Arial" w:cs="Arial"/>
          <w:sz w:val="24"/>
        </w:rPr>
      </w:pPr>
      <w:r w:rsidRPr="00EE454A">
        <w:rPr>
          <w:rFonts w:ascii="Arial" w:hAnsi="Arial" w:cs="Arial"/>
          <w:sz w:val="24"/>
        </w:rPr>
        <w:t xml:space="preserve">Hour burden estimates were developed in consultation with </w:t>
      </w:r>
      <w:r w:rsidR="0098201A">
        <w:rPr>
          <w:rFonts w:ascii="Arial" w:hAnsi="Arial" w:cs="Arial"/>
          <w:sz w:val="24"/>
        </w:rPr>
        <w:t xml:space="preserve">a sample of </w:t>
      </w:r>
      <w:r w:rsidRPr="00EE454A">
        <w:rPr>
          <w:rFonts w:ascii="Arial" w:hAnsi="Arial" w:cs="Arial"/>
          <w:sz w:val="24"/>
        </w:rPr>
        <w:t xml:space="preserve">the </w:t>
      </w:r>
      <w:r>
        <w:rPr>
          <w:rFonts w:ascii="Arial" w:hAnsi="Arial" w:cs="Arial"/>
          <w:sz w:val="24"/>
        </w:rPr>
        <w:t xml:space="preserve">State MHI program </w:t>
      </w:r>
      <w:r w:rsidR="0098201A">
        <w:rPr>
          <w:rFonts w:ascii="Arial" w:hAnsi="Arial" w:cs="Arial"/>
          <w:sz w:val="24"/>
        </w:rPr>
        <w:t>grantees</w:t>
      </w:r>
      <w:r w:rsidRPr="003210C3" w:rsidR="001E79C0">
        <w:rPr>
          <w:rFonts w:ascii="Arial" w:hAnsi="Arial" w:cs="Arial"/>
          <w:sz w:val="24"/>
        </w:rPr>
        <w:t>.</w:t>
      </w:r>
      <w:r w:rsidRPr="003210C3" w:rsidR="00F75F3A">
        <w:rPr>
          <w:rFonts w:ascii="Arial" w:hAnsi="Arial" w:cs="Arial"/>
          <w:sz w:val="24"/>
        </w:rPr>
        <w:t xml:space="preserve"> The </w:t>
      </w:r>
      <w:r w:rsidRPr="00565C28" w:rsidR="00F75F3A">
        <w:rPr>
          <w:rFonts w:ascii="Arial" w:hAnsi="Arial" w:cs="Arial"/>
          <w:sz w:val="24"/>
        </w:rPr>
        <w:t>n</w:t>
      </w:r>
      <w:r w:rsidRPr="003210C3" w:rsidR="00F75F3A">
        <w:rPr>
          <w:rFonts w:ascii="Arial" w:hAnsi="Arial" w:cs="Arial"/>
          <w:sz w:val="24"/>
        </w:rPr>
        <w:t>umber of respondents is determined by the number of awarded grantees</w:t>
      </w:r>
      <w:r w:rsidR="00C75D66">
        <w:rPr>
          <w:rFonts w:ascii="Arial" w:hAnsi="Arial" w:cs="Arial"/>
          <w:sz w:val="24"/>
        </w:rPr>
        <w:t>; HRSA funded 30 grantees in this grant cycle</w:t>
      </w:r>
      <w:r w:rsidRPr="003210C3" w:rsidR="00F75F3A">
        <w:rPr>
          <w:rFonts w:ascii="Arial" w:hAnsi="Arial" w:cs="Arial"/>
          <w:sz w:val="24"/>
        </w:rPr>
        <w:t>.</w:t>
      </w:r>
      <w:r w:rsidR="00F75F3A">
        <w:rPr>
          <w:rFonts w:ascii="Arial" w:hAnsi="Arial" w:cs="Arial"/>
          <w:sz w:val="24"/>
        </w:rPr>
        <w:t xml:space="preserve"> </w:t>
      </w:r>
    </w:p>
    <w:p w:rsidR="00701B5C" w14:paraId="0AB93B1D" w14:textId="77777777">
      <w:pPr>
        <w:widowControl/>
        <w:autoSpaceDE/>
        <w:autoSpaceDN/>
        <w:adjustRightInd/>
        <w:rPr>
          <w:rFonts w:ascii="Arial" w:hAnsi="Arial" w:cs="Arial"/>
          <w:sz w:val="24"/>
        </w:rPr>
      </w:pPr>
      <w:r>
        <w:rPr>
          <w:rFonts w:ascii="Arial" w:hAnsi="Arial" w:cs="Arial"/>
          <w:sz w:val="24"/>
        </w:rPr>
        <w:br w:type="page"/>
      </w:r>
    </w:p>
    <w:p w:rsidR="00924782" w:rsidP="00CA3DA6" w14:paraId="5EF7D790" w14:textId="77777777">
      <w:pPr>
        <w:widowControl/>
        <w:tabs>
          <w:tab w:val="num" w:pos="720"/>
        </w:tabs>
        <w:spacing w:before="120"/>
        <w:rPr>
          <w:rFonts w:ascii="Arial" w:hAnsi="Arial" w:cs="Arial"/>
          <w:sz w:val="24"/>
        </w:rPr>
      </w:pPr>
    </w:p>
    <w:p w:rsidR="00EE454A" w:rsidRPr="00C45431" w:rsidP="00CA3DA6" w14:paraId="5ED6ECF2" w14:textId="77777777">
      <w:pPr>
        <w:widowControl/>
        <w:tabs>
          <w:tab w:val="num" w:pos="720"/>
        </w:tabs>
        <w:spacing w:before="120"/>
        <w:rPr>
          <w:rFonts w:ascii="Arial" w:hAnsi="Arial" w:cs="Arial"/>
          <w:sz w:val="24"/>
        </w:rPr>
      </w:pPr>
    </w:p>
    <w:tbl>
      <w:tblPr>
        <w:tblpPr w:leftFromText="180" w:rightFromText="180" w:vertAnchor="text" w:horzAnchor="margin" w:tblpXSpec="center" w:tblpY="34"/>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5"/>
        <w:gridCol w:w="1855"/>
        <w:gridCol w:w="1737"/>
        <w:gridCol w:w="1603"/>
        <w:gridCol w:w="1365"/>
        <w:gridCol w:w="1330"/>
      </w:tblGrid>
      <w:tr w14:paraId="22E2A351" w14:textId="77777777" w:rsidTr="00D519BD">
        <w:tblPrEx>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89"/>
        </w:trPr>
        <w:tc>
          <w:tcPr>
            <w:tcW w:w="902" w:type="pct"/>
          </w:tcPr>
          <w:p w:rsidR="00CA3DA6" w:rsidRPr="00C45431" w:rsidP="00CA3DA6" w14:paraId="22E2A340" w14:textId="77777777">
            <w:pPr>
              <w:widowControl/>
              <w:tabs>
                <w:tab w:val="num" w:pos="1080"/>
              </w:tabs>
              <w:spacing w:before="120"/>
              <w:rPr>
                <w:rFonts w:ascii="Arial" w:hAnsi="Arial" w:cs="Arial"/>
                <w:b/>
                <w:bCs/>
                <w:sz w:val="24"/>
              </w:rPr>
            </w:pPr>
            <w:r w:rsidRPr="00C45431">
              <w:rPr>
                <w:rFonts w:ascii="Arial" w:hAnsi="Arial" w:cs="Arial"/>
                <w:b/>
                <w:bCs/>
                <w:sz w:val="24"/>
              </w:rPr>
              <w:t>Type of</w:t>
            </w:r>
          </w:p>
          <w:p w:rsidR="00CA3DA6" w:rsidRPr="00C45431" w:rsidP="00CA3DA6" w14:paraId="22E2A341" w14:textId="77777777">
            <w:pPr>
              <w:widowControl/>
              <w:tabs>
                <w:tab w:val="num" w:pos="1080"/>
              </w:tabs>
              <w:spacing w:before="120"/>
              <w:rPr>
                <w:rFonts w:ascii="Arial" w:hAnsi="Arial" w:cs="Arial"/>
                <w:b/>
                <w:bCs/>
                <w:sz w:val="24"/>
              </w:rPr>
            </w:pPr>
            <w:r w:rsidRPr="00C45431">
              <w:rPr>
                <w:rFonts w:ascii="Arial" w:hAnsi="Arial" w:cs="Arial"/>
                <w:b/>
                <w:bCs/>
                <w:sz w:val="24"/>
              </w:rPr>
              <w:t>Respondent</w:t>
            </w:r>
          </w:p>
          <w:p w:rsidR="00CA3DA6" w:rsidRPr="00C45431" w:rsidP="00CA3DA6" w14:paraId="22E2A342" w14:textId="77777777">
            <w:pPr>
              <w:widowControl/>
              <w:tabs>
                <w:tab w:val="num" w:pos="1080"/>
              </w:tabs>
              <w:spacing w:before="120"/>
              <w:rPr>
                <w:rFonts w:ascii="Arial" w:hAnsi="Arial" w:cs="Arial"/>
                <w:b/>
                <w:bCs/>
                <w:sz w:val="24"/>
              </w:rPr>
            </w:pPr>
          </w:p>
        </w:tc>
        <w:tc>
          <w:tcPr>
            <w:tcW w:w="964" w:type="pct"/>
          </w:tcPr>
          <w:p w:rsidR="00CA3DA6" w:rsidRPr="00C45431" w:rsidP="00CA3DA6" w14:paraId="22E2A343" w14:textId="77777777">
            <w:pPr>
              <w:widowControl/>
              <w:tabs>
                <w:tab w:val="num" w:pos="1080"/>
              </w:tabs>
              <w:spacing w:before="120"/>
              <w:rPr>
                <w:rFonts w:ascii="Arial" w:hAnsi="Arial" w:cs="Arial"/>
                <w:b/>
                <w:bCs/>
                <w:sz w:val="24"/>
              </w:rPr>
            </w:pPr>
            <w:r w:rsidRPr="00C45431">
              <w:rPr>
                <w:rFonts w:ascii="Arial" w:hAnsi="Arial" w:cs="Arial"/>
                <w:b/>
                <w:bCs/>
                <w:sz w:val="24"/>
              </w:rPr>
              <w:t>Form</w:t>
            </w:r>
          </w:p>
          <w:p w:rsidR="00CA3DA6" w:rsidRPr="00C45431" w:rsidP="00CA3DA6" w14:paraId="22E2A344" w14:textId="77777777">
            <w:pPr>
              <w:widowControl/>
              <w:tabs>
                <w:tab w:val="num" w:pos="1080"/>
              </w:tabs>
              <w:spacing w:before="120"/>
              <w:rPr>
                <w:rFonts w:ascii="Arial" w:hAnsi="Arial" w:cs="Arial"/>
                <w:b/>
                <w:bCs/>
                <w:sz w:val="24"/>
              </w:rPr>
            </w:pPr>
            <w:r w:rsidRPr="00C45431">
              <w:rPr>
                <w:rFonts w:ascii="Arial" w:hAnsi="Arial" w:cs="Arial"/>
                <w:b/>
                <w:bCs/>
                <w:sz w:val="24"/>
              </w:rPr>
              <w:t>Name</w:t>
            </w:r>
          </w:p>
          <w:p w:rsidR="00CA3DA6" w:rsidRPr="00C45431" w:rsidP="00CA3DA6" w14:paraId="22E2A345" w14:textId="77777777">
            <w:pPr>
              <w:widowControl/>
              <w:tabs>
                <w:tab w:val="num" w:pos="1080"/>
              </w:tabs>
              <w:spacing w:before="120"/>
              <w:rPr>
                <w:rFonts w:ascii="Arial" w:hAnsi="Arial" w:cs="Arial"/>
                <w:b/>
                <w:bCs/>
                <w:sz w:val="24"/>
              </w:rPr>
            </w:pPr>
          </w:p>
        </w:tc>
        <w:tc>
          <w:tcPr>
            <w:tcW w:w="902" w:type="pct"/>
          </w:tcPr>
          <w:p w:rsidR="00CA3DA6" w:rsidRPr="00C45431" w:rsidP="00CA3DA6" w14:paraId="22E2A346" w14:textId="77777777">
            <w:pPr>
              <w:widowControl/>
              <w:tabs>
                <w:tab w:val="num" w:pos="1080"/>
              </w:tabs>
              <w:spacing w:before="120"/>
              <w:rPr>
                <w:rFonts w:ascii="Arial" w:hAnsi="Arial" w:cs="Arial"/>
                <w:b/>
                <w:bCs/>
                <w:sz w:val="24"/>
              </w:rPr>
            </w:pPr>
            <w:r w:rsidRPr="00C45431">
              <w:rPr>
                <w:rFonts w:ascii="Arial" w:hAnsi="Arial" w:cs="Arial"/>
                <w:b/>
                <w:bCs/>
                <w:sz w:val="24"/>
              </w:rPr>
              <w:t>No. of</w:t>
            </w:r>
          </w:p>
          <w:p w:rsidR="00CA3DA6" w:rsidRPr="00C45431" w:rsidP="00CA3DA6" w14:paraId="22E2A347" w14:textId="77777777">
            <w:pPr>
              <w:widowControl/>
              <w:tabs>
                <w:tab w:val="num" w:pos="1080"/>
              </w:tabs>
              <w:spacing w:before="120"/>
              <w:rPr>
                <w:rFonts w:ascii="Arial" w:hAnsi="Arial" w:cs="Arial"/>
                <w:b/>
                <w:bCs/>
                <w:sz w:val="24"/>
              </w:rPr>
            </w:pPr>
            <w:r w:rsidRPr="00C45431">
              <w:rPr>
                <w:rFonts w:ascii="Arial" w:hAnsi="Arial" w:cs="Arial"/>
                <w:b/>
                <w:bCs/>
                <w:sz w:val="24"/>
              </w:rPr>
              <w:t>Respondents</w:t>
            </w:r>
          </w:p>
        </w:tc>
        <w:tc>
          <w:tcPr>
            <w:tcW w:w="832" w:type="pct"/>
          </w:tcPr>
          <w:p w:rsidR="00CA3DA6" w:rsidRPr="00C45431" w:rsidP="00CA3DA6" w14:paraId="22E2A348" w14:textId="77777777">
            <w:pPr>
              <w:widowControl/>
              <w:tabs>
                <w:tab w:val="num" w:pos="1080"/>
              </w:tabs>
              <w:spacing w:before="120"/>
              <w:rPr>
                <w:rFonts w:ascii="Arial" w:hAnsi="Arial" w:cs="Arial"/>
                <w:b/>
                <w:bCs/>
                <w:sz w:val="24"/>
              </w:rPr>
            </w:pPr>
            <w:r w:rsidRPr="00C45431">
              <w:rPr>
                <w:rFonts w:ascii="Arial" w:hAnsi="Arial" w:cs="Arial"/>
                <w:b/>
                <w:bCs/>
                <w:sz w:val="24"/>
              </w:rPr>
              <w:t>No.</w:t>
            </w:r>
          </w:p>
          <w:p w:rsidR="00CA3DA6" w:rsidRPr="00C45431" w:rsidP="00CA3DA6" w14:paraId="22E2A349" w14:textId="77777777">
            <w:pPr>
              <w:widowControl/>
              <w:tabs>
                <w:tab w:val="num" w:pos="1080"/>
              </w:tabs>
              <w:spacing w:before="120"/>
              <w:rPr>
                <w:rFonts w:ascii="Arial" w:hAnsi="Arial" w:cs="Arial"/>
                <w:b/>
                <w:bCs/>
                <w:sz w:val="24"/>
              </w:rPr>
            </w:pPr>
            <w:r w:rsidRPr="00C45431">
              <w:rPr>
                <w:rFonts w:ascii="Arial" w:hAnsi="Arial" w:cs="Arial"/>
                <w:b/>
                <w:bCs/>
                <w:sz w:val="24"/>
              </w:rPr>
              <w:t>Responses</w:t>
            </w:r>
          </w:p>
          <w:p w:rsidR="00CA3DA6" w:rsidRPr="00C45431" w:rsidP="00CA3DA6" w14:paraId="22E2A34A" w14:textId="77777777">
            <w:pPr>
              <w:widowControl/>
              <w:tabs>
                <w:tab w:val="num" w:pos="1080"/>
              </w:tabs>
              <w:spacing w:before="120"/>
              <w:rPr>
                <w:rFonts w:ascii="Arial" w:hAnsi="Arial" w:cs="Arial"/>
                <w:b/>
                <w:bCs/>
                <w:sz w:val="24"/>
              </w:rPr>
            </w:pPr>
            <w:r w:rsidRPr="00C45431">
              <w:rPr>
                <w:rFonts w:ascii="Arial" w:hAnsi="Arial" w:cs="Arial"/>
                <w:b/>
                <w:bCs/>
                <w:sz w:val="24"/>
              </w:rPr>
              <w:t>per</w:t>
            </w:r>
          </w:p>
          <w:p w:rsidR="00CA3DA6" w:rsidRPr="00C45431" w:rsidP="00CA3DA6" w14:paraId="22E2A34B" w14:textId="77777777">
            <w:pPr>
              <w:widowControl/>
              <w:tabs>
                <w:tab w:val="num" w:pos="1080"/>
              </w:tabs>
              <w:spacing w:before="120"/>
              <w:rPr>
                <w:rFonts w:ascii="Arial" w:hAnsi="Arial" w:cs="Arial"/>
                <w:b/>
                <w:bCs/>
                <w:sz w:val="24"/>
              </w:rPr>
            </w:pPr>
            <w:r w:rsidRPr="00C45431">
              <w:rPr>
                <w:rFonts w:ascii="Arial" w:hAnsi="Arial" w:cs="Arial"/>
                <w:b/>
                <w:bCs/>
                <w:sz w:val="24"/>
              </w:rPr>
              <w:t>Respondent</w:t>
            </w:r>
          </w:p>
        </w:tc>
        <w:tc>
          <w:tcPr>
            <w:tcW w:w="709" w:type="pct"/>
          </w:tcPr>
          <w:p w:rsidR="00CA3DA6" w:rsidRPr="00C45431" w:rsidP="00CA3DA6" w14:paraId="22E2A34C" w14:textId="77777777">
            <w:pPr>
              <w:widowControl/>
              <w:tabs>
                <w:tab w:val="num" w:pos="1080"/>
              </w:tabs>
              <w:spacing w:before="120"/>
              <w:rPr>
                <w:rFonts w:ascii="Arial" w:hAnsi="Arial" w:cs="Arial"/>
                <w:b/>
                <w:bCs/>
                <w:sz w:val="24"/>
              </w:rPr>
            </w:pPr>
            <w:r w:rsidRPr="00C45431">
              <w:rPr>
                <w:rFonts w:ascii="Arial" w:hAnsi="Arial" w:cs="Arial"/>
                <w:b/>
                <w:bCs/>
                <w:sz w:val="24"/>
              </w:rPr>
              <w:t>Average</w:t>
            </w:r>
          </w:p>
          <w:p w:rsidR="00CA3DA6" w:rsidRPr="00C45431" w:rsidP="00CA3DA6" w14:paraId="22E2A34D" w14:textId="77777777">
            <w:pPr>
              <w:widowControl/>
              <w:tabs>
                <w:tab w:val="num" w:pos="1080"/>
              </w:tabs>
              <w:spacing w:before="120"/>
              <w:rPr>
                <w:rFonts w:ascii="Arial" w:hAnsi="Arial" w:cs="Arial"/>
                <w:b/>
                <w:bCs/>
                <w:sz w:val="24"/>
              </w:rPr>
            </w:pPr>
            <w:r w:rsidRPr="00C45431">
              <w:rPr>
                <w:rFonts w:ascii="Arial" w:hAnsi="Arial" w:cs="Arial"/>
                <w:b/>
                <w:bCs/>
                <w:sz w:val="24"/>
              </w:rPr>
              <w:t>Burden per</w:t>
            </w:r>
          </w:p>
          <w:p w:rsidR="00CA3DA6" w:rsidRPr="00C45431" w:rsidP="00CA3DA6" w14:paraId="22E2A34E" w14:textId="77777777">
            <w:pPr>
              <w:widowControl/>
              <w:tabs>
                <w:tab w:val="num" w:pos="1080"/>
              </w:tabs>
              <w:spacing w:before="120"/>
              <w:rPr>
                <w:rFonts w:ascii="Arial" w:hAnsi="Arial" w:cs="Arial"/>
                <w:b/>
                <w:bCs/>
                <w:sz w:val="24"/>
              </w:rPr>
            </w:pPr>
            <w:r w:rsidRPr="00C45431">
              <w:rPr>
                <w:rFonts w:ascii="Arial" w:hAnsi="Arial" w:cs="Arial"/>
                <w:b/>
                <w:bCs/>
                <w:sz w:val="24"/>
              </w:rPr>
              <w:t>Response</w:t>
            </w:r>
          </w:p>
          <w:p w:rsidR="00CA3DA6" w:rsidRPr="00C45431" w:rsidP="00CA3DA6" w14:paraId="22E2A34F" w14:textId="77777777">
            <w:pPr>
              <w:widowControl/>
              <w:tabs>
                <w:tab w:val="num" w:pos="1080"/>
              </w:tabs>
              <w:spacing w:before="120"/>
              <w:rPr>
                <w:rFonts w:ascii="Arial" w:hAnsi="Arial" w:cs="Arial"/>
                <w:b/>
                <w:bCs/>
                <w:sz w:val="24"/>
              </w:rPr>
            </w:pPr>
            <w:r w:rsidRPr="00C45431">
              <w:rPr>
                <w:rFonts w:ascii="Arial" w:hAnsi="Arial" w:cs="Arial"/>
                <w:b/>
                <w:bCs/>
                <w:sz w:val="24"/>
              </w:rPr>
              <w:t>(in hours)</w:t>
            </w:r>
          </w:p>
        </w:tc>
        <w:tc>
          <w:tcPr>
            <w:tcW w:w="691" w:type="pct"/>
          </w:tcPr>
          <w:p w:rsidR="00CA3DA6" w:rsidRPr="00C45431" w:rsidP="00CA3DA6" w14:paraId="22E2A350" w14:textId="77777777">
            <w:pPr>
              <w:widowControl/>
              <w:tabs>
                <w:tab w:val="num" w:pos="1080"/>
              </w:tabs>
              <w:spacing w:before="120"/>
              <w:rPr>
                <w:rFonts w:ascii="Arial" w:hAnsi="Arial" w:cs="Arial"/>
                <w:b/>
                <w:bCs/>
                <w:sz w:val="24"/>
              </w:rPr>
            </w:pPr>
            <w:r w:rsidRPr="00C45431">
              <w:rPr>
                <w:rFonts w:ascii="Arial" w:hAnsi="Arial" w:cs="Arial"/>
                <w:b/>
                <w:bCs/>
                <w:sz w:val="24"/>
              </w:rPr>
              <w:t>Total Burden Hours</w:t>
            </w:r>
          </w:p>
        </w:tc>
      </w:tr>
      <w:tr w14:paraId="22E2A358" w14:textId="77777777" w:rsidTr="00D519BD">
        <w:tblPrEx>
          <w:tblW w:w="5147" w:type="pct"/>
          <w:tblLook w:val="01E0"/>
        </w:tblPrEx>
        <w:trPr>
          <w:trHeight w:val="679"/>
        </w:trPr>
        <w:tc>
          <w:tcPr>
            <w:tcW w:w="902" w:type="pct"/>
          </w:tcPr>
          <w:p w:rsidR="00CA3DA6" w:rsidRPr="000E268F" w:rsidP="00CA3DA6" w14:paraId="22E2A352" w14:textId="0222D2D3">
            <w:pPr>
              <w:widowControl/>
              <w:tabs>
                <w:tab w:val="num" w:pos="1080"/>
              </w:tabs>
              <w:spacing w:before="120"/>
              <w:rPr>
                <w:rFonts w:ascii="Arial" w:hAnsi="Arial" w:cs="Arial"/>
                <w:sz w:val="24"/>
              </w:rPr>
            </w:pPr>
            <w:r>
              <w:rPr>
                <w:rFonts w:ascii="Arial" w:hAnsi="Arial" w:cs="Arial"/>
                <w:sz w:val="24"/>
              </w:rPr>
              <w:t>Grantees</w:t>
            </w:r>
            <w:r w:rsidR="00260491">
              <w:rPr>
                <w:rFonts w:ascii="Arial" w:hAnsi="Arial" w:cs="Arial"/>
                <w:sz w:val="24"/>
              </w:rPr>
              <w:t xml:space="preserve"> </w:t>
            </w:r>
            <w:r w:rsidRPr="008E010A" w:rsidR="00260491">
              <w:rPr>
                <w:rFonts w:ascii="Arial" w:hAnsi="Arial" w:cs="Arial"/>
                <w:i/>
                <w:iCs/>
                <w:sz w:val="24"/>
              </w:rPr>
              <w:t>(Medical and Health Services Managers)</w:t>
            </w:r>
          </w:p>
        </w:tc>
        <w:tc>
          <w:tcPr>
            <w:tcW w:w="964" w:type="pct"/>
          </w:tcPr>
          <w:p w:rsidR="00CA3DA6" w:rsidRPr="00C45431" w:rsidP="00CA3DA6" w14:paraId="22E2A353" w14:textId="491733F4">
            <w:pPr>
              <w:widowControl/>
              <w:tabs>
                <w:tab w:val="num" w:pos="1080"/>
              </w:tabs>
              <w:spacing w:before="120"/>
              <w:rPr>
                <w:rFonts w:ascii="Arial" w:hAnsi="Arial" w:cs="Arial"/>
                <w:b/>
                <w:bCs/>
                <w:sz w:val="24"/>
              </w:rPr>
            </w:pPr>
            <w:r w:rsidRPr="007A3723">
              <w:rPr>
                <w:rFonts w:ascii="Arial" w:hAnsi="Arial" w:cs="Arial"/>
                <w:sz w:val="24"/>
              </w:rPr>
              <w:t>Maternal Health Annual Report (MHAR)</w:t>
            </w:r>
          </w:p>
        </w:tc>
        <w:tc>
          <w:tcPr>
            <w:tcW w:w="902" w:type="pct"/>
          </w:tcPr>
          <w:p w:rsidR="00CA3DA6" w:rsidRPr="00C45431" w:rsidP="00656C44" w14:paraId="22E2A354" w14:textId="6FEA6841">
            <w:pPr>
              <w:widowControl/>
              <w:tabs>
                <w:tab w:val="num" w:pos="1080"/>
              </w:tabs>
              <w:spacing w:before="120"/>
              <w:jc w:val="right"/>
              <w:rPr>
                <w:rFonts w:ascii="Arial" w:hAnsi="Arial" w:cs="Arial"/>
                <w:b/>
                <w:bCs/>
                <w:sz w:val="24"/>
              </w:rPr>
            </w:pPr>
            <w:r>
              <w:rPr>
                <w:rFonts w:ascii="Arial" w:hAnsi="Arial" w:cs="Arial"/>
                <w:sz w:val="24"/>
              </w:rPr>
              <w:t>3</w:t>
            </w:r>
            <w:r w:rsidRPr="00C45431">
              <w:rPr>
                <w:rFonts w:ascii="Arial" w:hAnsi="Arial" w:cs="Arial"/>
                <w:sz w:val="24"/>
              </w:rPr>
              <w:t xml:space="preserve">0  </w:t>
            </w:r>
          </w:p>
        </w:tc>
        <w:tc>
          <w:tcPr>
            <w:tcW w:w="832" w:type="pct"/>
          </w:tcPr>
          <w:p w:rsidR="00CA3DA6" w:rsidRPr="00C45431" w:rsidP="00656C44" w14:paraId="22E2A355" w14:textId="5859145C">
            <w:pPr>
              <w:widowControl/>
              <w:tabs>
                <w:tab w:val="num" w:pos="1080"/>
              </w:tabs>
              <w:spacing w:before="120"/>
              <w:jc w:val="right"/>
              <w:rPr>
                <w:rFonts w:ascii="Arial" w:hAnsi="Arial" w:cs="Arial"/>
                <w:b/>
                <w:bCs/>
                <w:sz w:val="24"/>
              </w:rPr>
            </w:pPr>
            <w:r>
              <w:rPr>
                <w:rFonts w:ascii="Arial" w:hAnsi="Arial" w:cs="Arial"/>
                <w:sz w:val="24"/>
              </w:rPr>
              <w:t>1</w:t>
            </w:r>
          </w:p>
        </w:tc>
        <w:tc>
          <w:tcPr>
            <w:tcW w:w="709" w:type="pct"/>
          </w:tcPr>
          <w:p w:rsidR="00CA3DA6" w:rsidRPr="00803A25" w:rsidP="00923682" w14:paraId="22E2A356" w14:textId="27BF2260">
            <w:pPr>
              <w:widowControl/>
              <w:tabs>
                <w:tab w:val="num" w:pos="1080"/>
              </w:tabs>
              <w:spacing w:before="120" w:line="259" w:lineRule="auto"/>
              <w:jc w:val="right"/>
              <w:rPr>
                <w:rFonts w:ascii="Arial" w:eastAsia="Arial" w:hAnsi="Arial" w:cs="Arial"/>
                <w:sz w:val="24"/>
              </w:rPr>
            </w:pPr>
            <w:r>
              <w:rPr>
                <w:rFonts w:ascii="Arial" w:hAnsi="Arial" w:cs="Arial"/>
                <w:sz w:val="24"/>
              </w:rPr>
              <w:t>12</w:t>
            </w:r>
          </w:p>
        </w:tc>
        <w:tc>
          <w:tcPr>
            <w:tcW w:w="691" w:type="pct"/>
          </w:tcPr>
          <w:p w:rsidR="00CA3DA6" w:rsidRPr="00803A25" w:rsidP="00923682" w14:paraId="22E2A357" w14:textId="643CDA38">
            <w:pPr>
              <w:widowControl/>
              <w:tabs>
                <w:tab w:val="num" w:pos="1080"/>
              </w:tabs>
              <w:spacing w:before="120" w:line="259" w:lineRule="auto"/>
              <w:jc w:val="right"/>
              <w:rPr>
                <w:rFonts w:ascii="Arial" w:eastAsia="Arial" w:hAnsi="Arial" w:cs="Arial"/>
                <w:sz w:val="24"/>
              </w:rPr>
            </w:pPr>
            <w:r>
              <w:rPr>
                <w:rFonts w:ascii="Arial" w:hAnsi="Arial" w:cs="Arial"/>
                <w:sz w:val="24"/>
              </w:rPr>
              <w:t>360</w:t>
            </w:r>
          </w:p>
        </w:tc>
      </w:tr>
      <w:tr w14:paraId="22E2A368" w14:textId="77777777" w:rsidTr="00D519BD">
        <w:tblPrEx>
          <w:tblW w:w="5147" w:type="pct"/>
          <w:tblLook w:val="01E0"/>
        </w:tblPrEx>
        <w:trPr>
          <w:trHeight w:val="815"/>
        </w:trPr>
        <w:tc>
          <w:tcPr>
            <w:tcW w:w="902" w:type="pct"/>
          </w:tcPr>
          <w:p w:rsidR="00CA3DA6" w:rsidRPr="00C45431" w:rsidP="00CA3DA6" w14:paraId="22E2A361" w14:textId="77777777">
            <w:pPr>
              <w:widowControl/>
              <w:tabs>
                <w:tab w:val="num" w:pos="1080"/>
              </w:tabs>
              <w:spacing w:before="120"/>
              <w:rPr>
                <w:rFonts w:ascii="Arial" w:hAnsi="Arial" w:cs="Arial"/>
                <w:b/>
                <w:bCs/>
                <w:sz w:val="24"/>
              </w:rPr>
            </w:pPr>
            <w:r w:rsidRPr="00C45431">
              <w:rPr>
                <w:rFonts w:ascii="Arial" w:hAnsi="Arial" w:cs="Arial"/>
                <w:b/>
                <w:bCs/>
                <w:sz w:val="24"/>
              </w:rPr>
              <w:t>Total</w:t>
            </w:r>
          </w:p>
        </w:tc>
        <w:tc>
          <w:tcPr>
            <w:tcW w:w="964" w:type="pct"/>
          </w:tcPr>
          <w:p w:rsidR="00CA3DA6" w:rsidRPr="00C45431" w:rsidP="00CA3DA6" w14:paraId="22E2A362" w14:textId="77777777">
            <w:pPr>
              <w:widowControl/>
              <w:tabs>
                <w:tab w:val="num" w:pos="1080"/>
              </w:tabs>
              <w:spacing w:before="120"/>
              <w:rPr>
                <w:rFonts w:ascii="Arial" w:hAnsi="Arial" w:cs="Arial"/>
                <w:sz w:val="24"/>
              </w:rPr>
            </w:pPr>
          </w:p>
        </w:tc>
        <w:tc>
          <w:tcPr>
            <w:tcW w:w="902" w:type="pct"/>
          </w:tcPr>
          <w:p w:rsidR="00CA3DA6" w:rsidRPr="00C45431" w:rsidP="00656C44" w14:paraId="22E2A363" w14:textId="77777777">
            <w:pPr>
              <w:widowControl/>
              <w:tabs>
                <w:tab w:val="num" w:pos="1080"/>
              </w:tabs>
              <w:spacing w:before="120"/>
              <w:jc w:val="right"/>
              <w:rPr>
                <w:rFonts w:ascii="Arial" w:hAnsi="Arial" w:cs="Arial"/>
                <w:sz w:val="24"/>
              </w:rPr>
            </w:pPr>
          </w:p>
        </w:tc>
        <w:tc>
          <w:tcPr>
            <w:tcW w:w="832" w:type="pct"/>
          </w:tcPr>
          <w:p w:rsidR="00CA3DA6" w:rsidRPr="00C45431" w:rsidP="00656C44" w14:paraId="22E2A364" w14:textId="77777777">
            <w:pPr>
              <w:widowControl/>
              <w:tabs>
                <w:tab w:val="num" w:pos="1080"/>
              </w:tabs>
              <w:spacing w:before="120"/>
              <w:jc w:val="right"/>
              <w:rPr>
                <w:rFonts w:ascii="Arial" w:hAnsi="Arial" w:cs="Arial"/>
                <w:sz w:val="24"/>
              </w:rPr>
            </w:pPr>
          </w:p>
        </w:tc>
        <w:tc>
          <w:tcPr>
            <w:tcW w:w="709" w:type="pct"/>
          </w:tcPr>
          <w:p w:rsidR="00CA3DA6" w:rsidRPr="00C45431" w:rsidP="00656C44" w14:paraId="22E2A365" w14:textId="77777777">
            <w:pPr>
              <w:widowControl/>
              <w:tabs>
                <w:tab w:val="num" w:pos="1080"/>
              </w:tabs>
              <w:spacing w:before="120"/>
              <w:jc w:val="right"/>
              <w:rPr>
                <w:rFonts w:ascii="Arial" w:hAnsi="Arial" w:cs="Arial"/>
                <w:sz w:val="24"/>
              </w:rPr>
            </w:pPr>
          </w:p>
        </w:tc>
        <w:tc>
          <w:tcPr>
            <w:tcW w:w="691" w:type="pct"/>
          </w:tcPr>
          <w:p w:rsidR="00CA3DA6" w:rsidRPr="00C45431" w:rsidP="00656C44" w14:paraId="22E2A366" w14:textId="129A08F9">
            <w:pPr>
              <w:widowControl/>
              <w:tabs>
                <w:tab w:val="num" w:pos="1080"/>
              </w:tabs>
              <w:spacing w:before="120"/>
              <w:jc w:val="right"/>
              <w:rPr>
                <w:rFonts w:ascii="Arial" w:hAnsi="Arial" w:cs="Arial"/>
                <w:sz w:val="24"/>
              </w:rPr>
            </w:pPr>
            <w:r>
              <w:rPr>
                <w:rFonts w:ascii="Arial" w:hAnsi="Arial" w:cs="Arial"/>
                <w:b/>
                <w:bCs/>
                <w:sz w:val="24"/>
              </w:rPr>
              <w:t>3</w:t>
            </w:r>
            <w:r w:rsidR="003203D5">
              <w:rPr>
                <w:rFonts w:ascii="Arial" w:hAnsi="Arial" w:cs="Arial"/>
                <w:b/>
                <w:bCs/>
                <w:sz w:val="24"/>
              </w:rPr>
              <w:t>6</w:t>
            </w:r>
            <w:r>
              <w:rPr>
                <w:rFonts w:ascii="Arial" w:hAnsi="Arial" w:cs="Arial"/>
                <w:b/>
                <w:bCs/>
                <w:sz w:val="24"/>
              </w:rPr>
              <w:t>0</w:t>
            </w:r>
          </w:p>
          <w:p w:rsidR="00CA3DA6" w:rsidRPr="00C45431" w:rsidP="00656C44" w14:paraId="22E2A367" w14:textId="77777777">
            <w:pPr>
              <w:widowControl/>
              <w:tabs>
                <w:tab w:val="num" w:pos="1080"/>
              </w:tabs>
              <w:spacing w:before="120"/>
              <w:jc w:val="right"/>
              <w:rPr>
                <w:rFonts w:ascii="Arial" w:hAnsi="Arial" w:cs="Arial"/>
                <w:sz w:val="24"/>
              </w:rPr>
            </w:pPr>
          </w:p>
        </w:tc>
      </w:tr>
    </w:tbl>
    <w:p w:rsidR="009B3794" w:rsidRPr="00C45431" w:rsidP="00CA3DA6" w14:paraId="22E2A369" w14:textId="77777777">
      <w:pPr>
        <w:widowControl/>
        <w:tabs>
          <w:tab w:val="num" w:pos="1080"/>
        </w:tabs>
        <w:spacing w:before="120"/>
        <w:rPr>
          <w:rFonts w:ascii="Arial" w:hAnsi="Arial" w:cs="Arial"/>
          <w:b/>
          <w:bCs/>
          <w:sz w:val="24"/>
        </w:rPr>
      </w:pPr>
    </w:p>
    <w:p w:rsidR="00D92E1D" w:rsidRPr="00C45431" w:rsidP="00CA3DA6" w14:paraId="22E2A372" w14:textId="77777777">
      <w:pPr>
        <w:widowControl/>
        <w:spacing w:before="120"/>
        <w:rPr>
          <w:rFonts w:ascii="Arial" w:hAnsi="Arial" w:cs="Arial"/>
          <w:sz w:val="28"/>
          <w:szCs w:val="28"/>
        </w:rPr>
      </w:pPr>
      <w:r w:rsidRPr="00C45431">
        <w:rPr>
          <w:rFonts w:ascii="Arial" w:hAnsi="Arial" w:cs="Arial"/>
          <w:b/>
          <w:sz w:val="28"/>
          <w:szCs w:val="28"/>
        </w:rPr>
        <w:t>12B</w:t>
      </w:r>
      <w:r w:rsidRPr="00C45431">
        <w:rPr>
          <w:rFonts w:ascii="Arial" w:hAnsi="Arial" w:cs="Arial"/>
          <w:sz w:val="28"/>
          <w:szCs w:val="28"/>
        </w:rPr>
        <w:t xml:space="preserve">.  </w:t>
      </w:r>
    </w:p>
    <w:p w:rsidR="005C39C5" w:rsidP="52F6A4F2" w14:paraId="75708D32" w14:textId="65145E58">
      <w:pPr>
        <w:widowControl/>
        <w:spacing w:before="120"/>
        <w:ind w:left="270"/>
        <w:rPr>
          <w:rFonts w:ascii="Arial" w:hAnsi="Arial" w:cs="Arial"/>
          <w:sz w:val="24"/>
        </w:rPr>
      </w:pPr>
      <w:r w:rsidRPr="003C6F86">
        <w:rPr>
          <w:rFonts w:ascii="Arial" w:hAnsi="Arial" w:cs="Arial"/>
          <w:sz w:val="24"/>
        </w:rPr>
        <w:t xml:space="preserve">Hourly wage rates were determined using the </w:t>
      </w:r>
      <w:r w:rsidRPr="52F6A4F2" w:rsidR="009B3794">
        <w:rPr>
          <w:rFonts w:ascii="Arial" w:hAnsi="Arial" w:cs="Arial"/>
          <w:sz w:val="24"/>
        </w:rPr>
        <w:t>Department of Labor website</w:t>
      </w:r>
      <w:r w:rsidR="00996985">
        <w:rPr>
          <w:rFonts w:ascii="Arial" w:hAnsi="Arial" w:cs="Arial"/>
          <w:sz w:val="24"/>
        </w:rPr>
        <w:t xml:space="preserve">, based on the </w:t>
      </w:r>
      <w:r w:rsidR="006D2D4A">
        <w:rPr>
          <w:rFonts w:ascii="Arial" w:hAnsi="Arial" w:cs="Arial"/>
          <w:sz w:val="24"/>
        </w:rPr>
        <w:t xml:space="preserve">median hourly wage for </w:t>
      </w:r>
      <w:r w:rsidRPr="00584D74" w:rsidR="00584D74">
        <w:rPr>
          <w:rFonts w:ascii="Arial" w:hAnsi="Arial" w:cs="Arial"/>
          <w:sz w:val="24"/>
        </w:rPr>
        <w:t>Medical and Health Services Managers.</w:t>
      </w:r>
      <w:r w:rsidR="00584D74">
        <w:rPr>
          <w:rFonts w:ascii="Arial" w:hAnsi="Arial" w:cs="Arial"/>
          <w:sz w:val="24"/>
        </w:rPr>
        <w:t xml:space="preserve"> </w:t>
      </w:r>
      <w:r w:rsidRPr="0082567A" w:rsidR="0082567A">
        <w:rPr>
          <w:rFonts w:ascii="Arial" w:hAnsi="Arial" w:cs="Arial"/>
          <w:sz w:val="24"/>
        </w:rPr>
        <w:t>The Median hourly rate is used, as opposed to adjusting for locality, since award recipients are spread across the country</w:t>
      </w:r>
      <w:r w:rsidR="002E3BF0">
        <w:rPr>
          <w:rFonts w:ascii="Arial" w:hAnsi="Arial" w:cs="Arial"/>
          <w:sz w:val="24"/>
        </w:rPr>
        <w:t xml:space="preserve">. </w:t>
      </w:r>
      <w:r w:rsidRPr="002E3BF0" w:rsidR="002E3BF0">
        <w:rPr>
          <w:rFonts w:ascii="Arial" w:hAnsi="Arial" w:cs="Arial"/>
          <w:sz w:val="24"/>
        </w:rPr>
        <w:t>Wage has been doubled to account for overhead costs.</w:t>
      </w:r>
    </w:p>
    <w:p w:rsidR="009B3794" w:rsidRPr="00C45431" w:rsidP="00CA3DA6" w14:paraId="22E2A374" w14:textId="024F1CB1">
      <w:pPr>
        <w:widowControl/>
        <w:spacing w:before="120"/>
        <w:ind w:left="270"/>
        <w:rPr>
          <w:rFonts w:ascii="Arial" w:hAnsi="Arial" w:cs="Arial"/>
          <w:b/>
          <w:sz w:val="24"/>
        </w:rPr>
      </w:pPr>
      <w:r w:rsidRPr="52F6A4F2">
        <w:rPr>
          <w:rFonts w:ascii="Arial" w:hAnsi="Arial" w:cs="Arial"/>
          <w:b/>
          <w:bCs/>
          <w:color w:val="00B050"/>
          <w:sz w:val="24"/>
        </w:rPr>
        <w:t xml:space="preserve"> </w:t>
      </w:r>
      <w:r w:rsidRPr="00C45431">
        <w:rPr>
          <w:rFonts w:ascii="Arial" w:hAnsi="Arial" w:cs="Arial"/>
          <w:b/>
          <w:sz w:val="24"/>
        </w:rPr>
        <w:t>Estimated Annualized Burden Costs</w:t>
      </w:r>
    </w:p>
    <w:tbl>
      <w:tblPr>
        <w:tblW w:w="596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3"/>
        <w:gridCol w:w="1072"/>
        <w:gridCol w:w="1177"/>
        <w:gridCol w:w="1603"/>
      </w:tblGrid>
      <w:tr w14:paraId="22E2A380" w14:textId="77777777" w:rsidTr="00BE35B2">
        <w:tblPrEx>
          <w:tblW w:w="596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252" w:type="dxa"/>
          </w:tcPr>
          <w:p w:rsidR="009B3794" w:rsidRPr="00C45431" w:rsidP="00CE5AA9" w14:paraId="22E2A375" w14:textId="77777777">
            <w:pPr>
              <w:widowControl/>
              <w:spacing w:before="120"/>
              <w:rPr>
                <w:rFonts w:ascii="Arial" w:hAnsi="Arial" w:cs="Arial"/>
                <w:b/>
                <w:bCs/>
                <w:sz w:val="24"/>
              </w:rPr>
            </w:pPr>
            <w:r w:rsidRPr="00C45431">
              <w:rPr>
                <w:rFonts w:ascii="Arial" w:hAnsi="Arial" w:cs="Arial"/>
                <w:b/>
                <w:bCs/>
                <w:sz w:val="24"/>
              </w:rPr>
              <w:t>Type of</w:t>
            </w:r>
          </w:p>
          <w:p w:rsidR="009B3794" w:rsidRPr="00C45431" w:rsidP="00CE5AA9" w14:paraId="22E2A376" w14:textId="77777777">
            <w:pPr>
              <w:widowControl/>
              <w:spacing w:before="120"/>
              <w:rPr>
                <w:rFonts w:ascii="Arial" w:hAnsi="Arial" w:cs="Arial"/>
                <w:sz w:val="24"/>
              </w:rPr>
            </w:pPr>
            <w:r w:rsidRPr="00C45431">
              <w:rPr>
                <w:rFonts w:ascii="Arial" w:hAnsi="Arial" w:cs="Arial"/>
                <w:b/>
                <w:bCs/>
                <w:sz w:val="24"/>
              </w:rPr>
              <w:t>Respondent</w:t>
            </w:r>
          </w:p>
          <w:p w:rsidR="009B3794" w:rsidRPr="00C45431" w:rsidP="00CE5AA9" w14:paraId="22E2A377" w14:textId="77777777">
            <w:pPr>
              <w:widowControl/>
              <w:spacing w:before="120"/>
              <w:rPr>
                <w:rFonts w:ascii="Arial" w:hAnsi="Arial" w:cs="Arial"/>
                <w:b/>
                <w:bCs/>
                <w:sz w:val="24"/>
              </w:rPr>
            </w:pPr>
          </w:p>
        </w:tc>
        <w:tc>
          <w:tcPr>
            <w:tcW w:w="1076" w:type="dxa"/>
          </w:tcPr>
          <w:p w:rsidR="009B3794" w:rsidRPr="00C45431" w:rsidP="00CE5AA9" w14:paraId="22E2A378" w14:textId="77777777">
            <w:pPr>
              <w:widowControl/>
              <w:spacing w:before="120"/>
              <w:rPr>
                <w:rFonts w:ascii="Arial" w:hAnsi="Arial" w:cs="Arial"/>
                <w:b/>
                <w:bCs/>
                <w:sz w:val="24"/>
              </w:rPr>
            </w:pPr>
            <w:r w:rsidRPr="00C45431">
              <w:rPr>
                <w:rFonts w:ascii="Arial" w:hAnsi="Arial" w:cs="Arial"/>
                <w:b/>
                <w:bCs/>
                <w:sz w:val="24"/>
              </w:rPr>
              <w:t>Total Burden</w:t>
            </w:r>
          </w:p>
          <w:p w:rsidR="009B3794" w:rsidRPr="00C45431" w:rsidP="00CE5AA9" w14:paraId="22E2A379" w14:textId="77777777">
            <w:pPr>
              <w:widowControl/>
              <w:spacing w:before="120"/>
              <w:rPr>
                <w:rFonts w:ascii="Arial" w:hAnsi="Arial" w:cs="Arial"/>
                <w:sz w:val="24"/>
              </w:rPr>
            </w:pPr>
            <w:r w:rsidRPr="00C45431">
              <w:rPr>
                <w:rFonts w:ascii="Arial" w:hAnsi="Arial" w:cs="Arial"/>
                <w:b/>
                <w:bCs/>
                <w:sz w:val="24"/>
              </w:rPr>
              <w:t>Hours</w:t>
            </w:r>
          </w:p>
          <w:p w:rsidR="009B3794" w:rsidRPr="00C45431" w:rsidP="00CE5AA9" w14:paraId="22E2A37A" w14:textId="77777777">
            <w:pPr>
              <w:widowControl/>
              <w:spacing w:before="120"/>
              <w:rPr>
                <w:rFonts w:ascii="Arial" w:hAnsi="Arial" w:cs="Arial"/>
                <w:b/>
                <w:bCs/>
                <w:sz w:val="24"/>
              </w:rPr>
            </w:pPr>
          </w:p>
        </w:tc>
        <w:tc>
          <w:tcPr>
            <w:tcW w:w="1100" w:type="dxa"/>
          </w:tcPr>
          <w:p w:rsidR="009B3794" w:rsidRPr="00C45431" w:rsidP="00CE5AA9" w14:paraId="22E2A37B" w14:textId="77777777">
            <w:pPr>
              <w:widowControl/>
              <w:spacing w:before="120"/>
              <w:rPr>
                <w:rFonts w:ascii="Arial" w:hAnsi="Arial" w:cs="Arial"/>
                <w:b/>
                <w:bCs/>
                <w:sz w:val="24"/>
              </w:rPr>
            </w:pPr>
            <w:r w:rsidRPr="00C45431">
              <w:rPr>
                <w:rFonts w:ascii="Arial" w:hAnsi="Arial" w:cs="Arial"/>
                <w:b/>
                <w:bCs/>
                <w:sz w:val="24"/>
              </w:rPr>
              <w:t>Hourly</w:t>
            </w:r>
          </w:p>
          <w:p w:rsidR="009B3794" w:rsidRPr="00C45431" w:rsidP="00CE5AA9" w14:paraId="22E2A37C" w14:textId="219E6F29">
            <w:pPr>
              <w:widowControl/>
              <w:spacing w:before="120"/>
              <w:rPr>
                <w:rFonts w:ascii="Arial" w:hAnsi="Arial" w:cs="Arial"/>
                <w:sz w:val="24"/>
              </w:rPr>
            </w:pPr>
            <w:r w:rsidRPr="00C45431">
              <w:rPr>
                <w:rFonts w:ascii="Arial" w:hAnsi="Arial" w:cs="Arial"/>
                <w:b/>
                <w:bCs/>
                <w:sz w:val="24"/>
              </w:rPr>
              <w:t>Wage Rate</w:t>
            </w:r>
            <w:r w:rsidR="003130C3">
              <w:rPr>
                <w:rFonts w:ascii="Arial" w:hAnsi="Arial" w:cs="Arial"/>
                <w:b/>
                <w:bCs/>
                <w:sz w:val="24"/>
              </w:rPr>
              <w:t xml:space="preserve"> (x2)</w:t>
            </w:r>
          </w:p>
          <w:p w:rsidR="009B3794" w:rsidRPr="00C45431" w:rsidP="00CE5AA9" w14:paraId="22E2A37D" w14:textId="77777777">
            <w:pPr>
              <w:widowControl/>
              <w:spacing w:before="120"/>
              <w:rPr>
                <w:rFonts w:ascii="Arial" w:hAnsi="Arial" w:cs="Arial"/>
                <w:b/>
                <w:bCs/>
                <w:sz w:val="24"/>
              </w:rPr>
            </w:pPr>
          </w:p>
        </w:tc>
        <w:tc>
          <w:tcPr>
            <w:tcW w:w="1537" w:type="dxa"/>
          </w:tcPr>
          <w:p w:rsidR="009B3794" w:rsidRPr="00C45431" w:rsidP="00CE5AA9" w14:paraId="22E2A37E" w14:textId="77777777">
            <w:pPr>
              <w:widowControl/>
              <w:spacing w:before="120"/>
              <w:rPr>
                <w:rFonts w:ascii="Arial" w:hAnsi="Arial" w:cs="Arial"/>
                <w:sz w:val="24"/>
              </w:rPr>
            </w:pPr>
            <w:r w:rsidRPr="00C45431">
              <w:rPr>
                <w:rFonts w:ascii="Arial" w:hAnsi="Arial" w:cs="Arial"/>
                <w:b/>
                <w:bCs/>
                <w:sz w:val="24"/>
              </w:rPr>
              <w:t>Total Respondent Costs</w:t>
            </w:r>
          </w:p>
          <w:p w:rsidR="009B3794" w:rsidRPr="00C45431" w:rsidP="00CE5AA9" w14:paraId="22E2A37F" w14:textId="77777777">
            <w:pPr>
              <w:widowControl/>
              <w:spacing w:before="120"/>
              <w:rPr>
                <w:rFonts w:ascii="Arial" w:hAnsi="Arial" w:cs="Arial"/>
                <w:b/>
                <w:bCs/>
                <w:sz w:val="24"/>
              </w:rPr>
            </w:pPr>
          </w:p>
        </w:tc>
      </w:tr>
      <w:tr w14:paraId="22E2A38A" w14:textId="77777777" w:rsidTr="00BE35B2">
        <w:tblPrEx>
          <w:tblW w:w="5965" w:type="dxa"/>
          <w:tblInd w:w="607" w:type="dxa"/>
          <w:tblLook w:val="01E0"/>
        </w:tblPrEx>
        <w:tc>
          <w:tcPr>
            <w:tcW w:w="2252" w:type="dxa"/>
          </w:tcPr>
          <w:p w:rsidR="009B3794" w:rsidRPr="00C45431" w:rsidP="00CE5AA9" w14:paraId="22E2A386" w14:textId="3B1BDAA7">
            <w:pPr>
              <w:spacing w:before="120"/>
              <w:rPr>
                <w:rFonts w:ascii="Arial" w:hAnsi="Arial" w:cs="Arial"/>
                <w:sz w:val="24"/>
              </w:rPr>
            </w:pPr>
            <w:r>
              <w:rPr>
                <w:rFonts w:ascii="Arial" w:hAnsi="Arial" w:cs="Arial"/>
                <w:sz w:val="24"/>
              </w:rPr>
              <w:t>Grantees</w:t>
            </w:r>
            <w:r w:rsidR="008E010A">
              <w:rPr>
                <w:rFonts w:ascii="Arial" w:hAnsi="Arial" w:cs="Arial"/>
                <w:sz w:val="24"/>
              </w:rPr>
              <w:t xml:space="preserve"> </w:t>
            </w:r>
            <w:r w:rsidRPr="008E010A" w:rsidR="008E010A">
              <w:rPr>
                <w:rFonts w:ascii="Arial" w:hAnsi="Arial" w:cs="Arial"/>
                <w:i/>
                <w:iCs/>
                <w:sz w:val="24"/>
              </w:rPr>
              <w:t>(Medical and Health Services Managers)</w:t>
            </w:r>
          </w:p>
        </w:tc>
        <w:tc>
          <w:tcPr>
            <w:tcW w:w="1076" w:type="dxa"/>
          </w:tcPr>
          <w:p w:rsidR="009B3794" w:rsidRPr="00C45431" w:rsidP="00CE5AA9" w14:paraId="22E2A387" w14:textId="58C03B45">
            <w:pPr>
              <w:spacing w:before="120"/>
              <w:rPr>
                <w:rFonts w:ascii="Arial" w:hAnsi="Arial" w:cs="Arial"/>
                <w:sz w:val="24"/>
              </w:rPr>
            </w:pPr>
            <w:r>
              <w:rPr>
                <w:rFonts w:ascii="Arial" w:hAnsi="Arial" w:cs="Arial"/>
                <w:sz w:val="24"/>
              </w:rPr>
              <w:t>360</w:t>
            </w:r>
          </w:p>
        </w:tc>
        <w:tc>
          <w:tcPr>
            <w:tcW w:w="1100" w:type="dxa"/>
          </w:tcPr>
          <w:p w:rsidR="009B3794" w:rsidRPr="00C45431" w:rsidP="002D38E8" w14:paraId="22E2A388" w14:textId="58D42846">
            <w:pPr>
              <w:spacing w:before="120"/>
              <w:jc w:val="center"/>
              <w:rPr>
                <w:rFonts w:ascii="Arial" w:hAnsi="Arial" w:cs="Arial"/>
                <w:sz w:val="24"/>
              </w:rPr>
            </w:pPr>
            <w:r w:rsidRPr="00C45431">
              <w:rPr>
                <w:rFonts w:ascii="Arial" w:hAnsi="Arial" w:cs="Arial"/>
                <w:sz w:val="24"/>
              </w:rPr>
              <w:t>$</w:t>
            </w:r>
            <w:r w:rsidR="00BE35B2">
              <w:rPr>
                <w:rFonts w:ascii="Arial" w:hAnsi="Arial" w:cs="Arial"/>
                <w:sz w:val="24"/>
              </w:rPr>
              <w:t>10</w:t>
            </w:r>
            <w:r w:rsidR="00931858">
              <w:rPr>
                <w:rFonts w:ascii="Arial" w:hAnsi="Arial" w:cs="Arial"/>
                <w:sz w:val="24"/>
              </w:rPr>
              <w:t>6</w:t>
            </w:r>
            <w:r w:rsidRPr="00C45431">
              <w:rPr>
                <w:rFonts w:ascii="Arial" w:hAnsi="Arial" w:cs="Arial"/>
                <w:sz w:val="24"/>
              </w:rPr>
              <w:t>.</w:t>
            </w:r>
            <w:r w:rsidR="00931858">
              <w:rPr>
                <w:rFonts w:ascii="Arial" w:hAnsi="Arial" w:cs="Arial"/>
                <w:sz w:val="24"/>
              </w:rPr>
              <w:t>42</w:t>
            </w:r>
            <w:r w:rsidR="005077CD">
              <w:rPr>
                <w:rFonts w:ascii="Arial" w:hAnsi="Arial" w:cs="Arial"/>
                <w:sz w:val="24"/>
              </w:rPr>
              <w:t>*</w:t>
            </w:r>
          </w:p>
        </w:tc>
        <w:tc>
          <w:tcPr>
            <w:tcW w:w="1537" w:type="dxa"/>
          </w:tcPr>
          <w:p w:rsidR="009B3794" w:rsidRPr="00C45431" w:rsidP="00CE5AA9" w14:paraId="22E2A389" w14:textId="61021334">
            <w:pPr>
              <w:spacing w:before="120"/>
              <w:jc w:val="right"/>
              <w:rPr>
                <w:rFonts w:ascii="Arial" w:hAnsi="Arial" w:cs="Arial"/>
                <w:sz w:val="24"/>
              </w:rPr>
            </w:pPr>
            <w:r w:rsidRPr="00C45431">
              <w:rPr>
                <w:rFonts w:ascii="Arial" w:hAnsi="Arial" w:cs="Arial"/>
                <w:sz w:val="24"/>
              </w:rPr>
              <w:t xml:space="preserve"> $</w:t>
            </w:r>
            <w:r w:rsidR="00892876">
              <w:rPr>
                <w:rFonts w:ascii="Arial" w:hAnsi="Arial" w:cs="Arial"/>
                <w:sz w:val="24"/>
              </w:rPr>
              <w:t>38</w:t>
            </w:r>
            <w:r w:rsidR="002D0947">
              <w:rPr>
                <w:rFonts w:ascii="Arial" w:hAnsi="Arial" w:cs="Arial"/>
                <w:sz w:val="24"/>
              </w:rPr>
              <w:t>,</w:t>
            </w:r>
            <w:r w:rsidR="00892876">
              <w:rPr>
                <w:rFonts w:ascii="Arial" w:hAnsi="Arial" w:cs="Arial"/>
                <w:sz w:val="24"/>
              </w:rPr>
              <w:t>311</w:t>
            </w:r>
            <w:r w:rsidRPr="00C45431">
              <w:rPr>
                <w:rFonts w:ascii="Arial" w:hAnsi="Arial" w:cs="Arial"/>
                <w:sz w:val="24"/>
              </w:rPr>
              <w:t>.</w:t>
            </w:r>
            <w:r w:rsidR="00892876">
              <w:rPr>
                <w:rFonts w:ascii="Arial" w:hAnsi="Arial" w:cs="Arial"/>
                <w:sz w:val="24"/>
              </w:rPr>
              <w:t>2</w:t>
            </w:r>
            <w:r w:rsidRPr="00C45431">
              <w:rPr>
                <w:rFonts w:ascii="Arial" w:hAnsi="Arial" w:cs="Arial"/>
                <w:sz w:val="24"/>
              </w:rPr>
              <w:t>0</w:t>
            </w:r>
          </w:p>
        </w:tc>
      </w:tr>
      <w:tr w14:paraId="22E2A38F" w14:textId="77777777" w:rsidTr="00BE35B2">
        <w:tblPrEx>
          <w:tblW w:w="5965" w:type="dxa"/>
          <w:tblInd w:w="607" w:type="dxa"/>
          <w:tblLook w:val="01E0"/>
        </w:tblPrEx>
        <w:trPr>
          <w:trHeight w:val="440"/>
        </w:trPr>
        <w:tc>
          <w:tcPr>
            <w:tcW w:w="2252" w:type="dxa"/>
          </w:tcPr>
          <w:p w:rsidR="009B3794" w:rsidRPr="00C45431" w:rsidP="00CE5AA9" w14:paraId="22E2A38B" w14:textId="77777777">
            <w:pPr>
              <w:widowControl/>
              <w:spacing w:before="120"/>
              <w:rPr>
                <w:rFonts w:ascii="Arial" w:hAnsi="Arial" w:cs="Arial"/>
                <w:sz w:val="24"/>
              </w:rPr>
            </w:pPr>
            <w:r w:rsidRPr="00C45431">
              <w:rPr>
                <w:rFonts w:ascii="Arial" w:hAnsi="Arial" w:cs="Arial"/>
                <w:sz w:val="24"/>
              </w:rPr>
              <w:t>Total</w:t>
            </w:r>
          </w:p>
        </w:tc>
        <w:tc>
          <w:tcPr>
            <w:tcW w:w="1076" w:type="dxa"/>
          </w:tcPr>
          <w:p w:rsidR="009B3794" w:rsidRPr="00C45431" w:rsidP="00CE5AA9" w14:paraId="22E2A38C" w14:textId="77777777">
            <w:pPr>
              <w:widowControl/>
              <w:spacing w:before="120"/>
              <w:rPr>
                <w:rFonts w:ascii="Arial" w:hAnsi="Arial" w:cs="Arial"/>
                <w:sz w:val="24"/>
              </w:rPr>
            </w:pPr>
          </w:p>
        </w:tc>
        <w:tc>
          <w:tcPr>
            <w:tcW w:w="1100" w:type="dxa"/>
          </w:tcPr>
          <w:p w:rsidR="009B3794" w:rsidRPr="00C45431" w:rsidP="00CE5AA9" w14:paraId="22E2A38D" w14:textId="77777777">
            <w:pPr>
              <w:widowControl/>
              <w:spacing w:before="120"/>
              <w:jc w:val="right"/>
              <w:rPr>
                <w:rFonts w:ascii="Arial" w:hAnsi="Arial" w:cs="Arial"/>
                <w:sz w:val="24"/>
              </w:rPr>
            </w:pPr>
          </w:p>
        </w:tc>
        <w:tc>
          <w:tcPr>
            <w:tcW w:w="1537" w:type="dxa"/>
          </w:tcPr>
          <w:p w:rsidR="009B3794" w:rsidRPr="00C45431" w:rsidP="00CE5AA9" w14:paraId="22E2A38E" w14:textId="63886102">
            <w:pPr>
              <w:widowControl/>
              <w:spacing w:before="120"/>
              <w:jc w:val="right"/>
              <w:rPr>
                <w:rFonts w:ascii="Arial" w:hAnsi="Arial" w:cs="Arial"/>
                <w:sz w:val="24"/>
              </w:rPr>
            </w:pPr>
            <w:r w:rsidRPr="00C45431">
              <w:rPr>
                <w:rFonts w:ascii="Arial" w:hAnsi="Arial" w:cs="Arial"/>
                <w:sz w:val="24"/>
              </w:rPr>
              <w:t>$</w:t>
            </w:r>
            <w:r w:rsidR="00892876">
              <w:rPr>
                <w:rFonts w:ascii="Arial" w:hAnsi="Arial" w:cs="Arial"/>
                <w:sz w:val="24"/>
              </w:rPr>
              <w:t>38,311</w:t>
            </w:r>
            <w:r w:rsidRPr="00C45431" w:rsidR="00892876">
              <w:rPr>
                <w:rFonts w:ascii="Arial" w:hAnsi="Arial" w:cs="Arial"/>
                <w:sz w:val="24"/>
              </w:rPr>
              <w:t>.</w:t>
            </w:r>
            <w:r w:rsidR="00892876">
              <w:rPr>
                <w:rFonts w:ascii="Arial" w:hAnsi="Arial" w:cs="Arial"/>
                <w:sz w:val="24"/>
              </w:rPr>
              <w:t>2</w:t>
            </w:r>
            <w:r w:rsidRPr="00C45431" w:rsidR="00892876">
              <w:rPr>
                <w:rFonts w:ascii="Arial" w:hAnsi="Arial" w:cs="Arial"/>
                <w:sz w:val="24"/>
              </w:rPr>
              <w:t>0</w:t>
            </w:r>
          </w:p>
        </w:tc>
      </w:tr>
    </w:tbl>
    <w:p w:rsidR="00A21AFD" w:rsidRPr="00D519BD" w:rsidP="00656C44" w14:paraId="18FD2F92" w14:textId="02C4C3D7">
      <w:pPr>
        <w:spacing w:before="240"/>
        <w:ind w:left="720"/>
        <w:rPr>
          <w:rFonts w:ascii="Arial" w:hAnsi="Arial" w:cs="Arial"/>
          <w:iCs/>
          <w:sz w:val="24"/>
        </w:rPr>
      </w:pPr>
      <w:r w:rsidRPr="00D519BD">
        <w:rPr>
          <w:rFonts w:ascii="Arial" w:hAnsi="Arial" w:cs="Arial"/>
          <w:iCs/>
          <w:sz w:val="24"/>
        </w:rPr>
        <w:t xml:space="preserve">*Median </w:t>
      </w:r>
      <w:r w:rsidRPr="00D519BD">
        <w:rPr>
          <w:rFonts w:ascii="Arial" w:hAnsi="Arial" w:cs="Arial"/>
          <w:iCs/>
          <w:sz w:val="24"/>
        </w:rPr>
        <w:t>Hourly Wage Rate based on the United States Department of Labor, Bureau of Labor Statistics</w:t>
      </w:r>
      <w:r w:rsidRPr="00D519BD" w:rsidR="00B6127B">
        <w:rPr>
          <w:rFonts w:ascii="Arial" w:hAnsi="Arial" w:cs="Arial"/>
          <w:iCs/>
          <w:sz w:val="24"/>
        </w:rPr>
        <w:t xml:space="preserve"> </w:t>
      </w:r>
      <w:r w:rsidR="00EF1D6C">
        <w:rPr>
          <w:rFonts w:ascii="Arial" w:hAnsi="Arial" w:cs="Arial"/>
          <w:iCs/>
          <w:sz w:val="24"/>
        </w:rPr>
        <w:t xml:space="preserve">for </w:t>
      </w:r>
      <w:r w:rsidRPr="00EF1D6C" w:rsidR="00EF1D6C">
        <w:rPr>
          <w:rFonts w:ascii="Arial" w:hAnsi="Arial" w:cs="Arial"/>
          <w:iCs/>
          <w:sz w:val="24"/>
        </w:rPr>
        <w:t>Medical and Health Services Managers</w:t>
      </w:r>
      <w:r w:rsidRPr="00EF1D6C" w:rsidR="00EF1D6C">
        <w:rPr>
          <w:rFonts w:ascii="Arial" w:hAnsi="Arial" w:cs="Arial"/>
          <w:iCs/>
          <w:sz w:val="24"/>
        </w:rPr>
        <w:t xml:space="preserve"> </w:t>
      </w:r>
      <w:r w:rsidRPr="00D519BD" w:rsidR="00B6127B">
        <w:rPr>
          <w:rFonts w:ascii="Arial" w:hAnsi="Arial" w:cs="Arial"/>
          <w:iCs/>
          <w:sz w:val="24"/>
        </w:rPr>
        <w:t>(</w:t>
      </w:r>
      <w:hyperlink r:id="rId8" w:history="1">
        <w:r w:rsidRPr="00551D7D" w:rsidR="0065202A">
          <w:rPr>
            <w:rStyle w:val="Hyperlink"/>
            <w:rFonts w:ascii="Arial" w:hAnsi="Arial" w:cs="Arial"/>
            <w:iCs/>
            <w:color w:val="17365D" w:themeColor="text2" w:themeShade="BF"/>
            <w:sz w:val="24"/>
          </w:rPr>
          <w:t xml:space="preserve">Medical </w:t>
        </w:r>
        <w:r w:rsidRPr="00551D7D" w:rsidR="0065202A">
          <w:rPr>
            <w:rStyle w:val="Hyperlink"/>
            <w:rFonts w:ascii="Arial" w:hAnsi="Arial" w:cs="Arial"/>
            <w:iCs/>
            <w:color w:val="17365D" w:themeColor="text2" w:themeShade="BF"/>
            <w:sz w:val="24"/>
          </w:rPr>
          <w:t>and Health Services Managers (bls.gov)</w:t>
        </w:r>
      </w:hyperlink>
      <w:r w:rsidRPr="00551D7D" w:rsidR="00B6127B">
        <w:rPr>
          <w:rFonts w:ascii="Arial" w:hAnsi="Arial" w:cs="Arial"/>
          <w:iCs/>
          <w:color w:val="17365D" w:themeColor="text2" w:themeShade="BF"/>
          <w:sz w:val="24"/>
        </w:rPr>
        <w:t>)</w:t>
      </w:r>
      <w:r w:rsidRPr="00551D7D">
        <w:rPr>
          <w:rFonts w:ascii="Arial" w:hAnsi="Arial" w:cs="Arial"/>
          <w:iCs/>
          <w:color w:val="17365D" w:themeColor="text2" w:themeShade="BF"/>
          <w:sz w:val="24"/>
        </w:rPr>
        <w:t>.</w:t>
      </w:r>
      <w:r w:rsidRPr="00551D7D" w:rsidR="00F400C9">
        <w:rPr>
          <w:rFonts w:ascii="Arial" w:hAnsi="Arial" w:cs="Arial"/>
          <w:iCs/>
          <w:color w:val="17365D" w:themeColor="text2" w:themeShade="BF"/>
          <w:sz w:val="24"/>
        </w:rPr>
        <w:t xml:space="preserve"> </w:t>
      </w:r>
      <w:r w:rsidRPr="00D519BD">
        <w:rPr>
          <w:rFonts w:ascii="Arial" w:hAnsi="Arial" w:cs="Arial"/>
          <w:iCs/>
          <w:sz w:val="24"/>
        </w:rPr>
        <w:t>Hourly wage doubled to account for benefits</w:t>
      </w:r>
      <w:r w:rsidR="006D44B7">
        <w:rPr>
          <w:rFonts w:ascii="Arial" w:hAnsi="Arial" w:cs="Arial"/>
          <w:iCs/>
          <w:sz w:val="24"/>
        </w:rPr>
        <w:t xml:space="preserve"> and other overhead costs</w:t>
      </w:r>
      <w:r w:rsidRPr="00D519BD">
        <w:rPr>
          <w:rFonts w:ascii="Arial" w:hAnsi="Arial" w:cs="Arial"/>
          <w:iCs/>
          <w:sz w:val="24"/>
        </w:rPr>
        <w:t xml:space="preserve">. </w:t>
      </w:r>
    </w:p>
    <w:p w:rsidR="009B3794" w:rsidRPr="00C45431" w:rsidP="00CE22C5" w14:paraId="22E2A391"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rsidR="00D11CA3" w:rsidRPr="0049726E" w:rsidP="00E061F2" w14:paraId="22E2A394" w14:textId="5E798DD9">
      <w:pPr>
        <w:pStyle w:val="BodyTextIndent"/>
        <w:spacing w:before="120"/>
        <w:ind w:left="0" w:firstLine="360"/>
        <w:rPr>
          <w:rFonts w:ascii="Arial" w:hAnsi="Arial" w:cs="Arial"/>
          <w:bCs/>
        </w:rPr>
      </w:pPr>
      <w:r w:rsidRPr="0049726E">
        <w:rPr>
          <w:rFonts w:ascii="Arial" w:hAnsi="Arial" w:cs="Arial"/>
          <w:bCs/>
        </w:rPr>
        <w:t>Other than their time, there is no cost to respondents.</w:t>
      </w:r>
    </w:p>
    <w:p w:rsidR="009B3794" w:rsidRPr="00F51500" w:rsidP="00CE22C5" w14:paraId="22E2A395"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Annualized Cost to Federal Government</w:t>
      </w:r>
    </w:p>
    <w:p w:rsidR="00F51500" w:rsidRPr="00C45431" w:rsidP="00F51500" w14:paraId="5BD3D3EF" w14:textId="77777777">
      <w:pPr>
        <w:spacing w:before="240"/>
        <w:ind w:left="360"/>
        <w:rPr>
          <w:rFonts w:ascii="Arial" w:hAnsi="Arial" w:cs="Arial"/>
          <w:b/>
          <w:sz w:val="24"/>
        </w:rPr>
      </w:pPr>
    </w:p>
    <w:tbl>
      <w:tblPr>
        <w:tblW w:w="8819" w:type="dxa"/>
        <w:tblInd w:w="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99"/>
        <w:gridCol w:w="1911"/>
        <w:gridCol w:w="1088"/>
        <w:gridCol w:w="2621"/>
      </w:tblGrid>
      <w:tr w14:paraId="715986D9" w14:textId="77777777" w:rsidTr="00AB70AA">
        <w:tblPrEx>
          <w:tblW w:w="8819" w:type="dxa"/>
          <w:tblInd w:w="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199" w:type="dxa"/>
            <w:tcBorders>
              <w:top w:val="single" w:sz="6" w:space="0" w:color="auto"/>
              <w:left w:val="single" w:sz="6" w:space="0" w:color="auto"/>
              <w:bottom w:val="single" w:sz="6" w:space="0" w:color="auto"/>
              <w:right w:val="single" w:sz="6" w:space="0" w:color="auto"/>
            </w:tcBorders>
            <w:shd w:val="clear" w:color="auto" w:fill="auto"/>
            <w:hideMark/>
          </w:tcPr>
          <w:p w:rsidR="00F51500" w:rsidRPr="00F51500" w:rsidP="00F51500" w14:paraId="432642D0" w14:textId="77777777">
            <w:pPr>
              <w:widowControl/>
              <w:autoSpaceDE/>
              <w:autoSpaceDN/>
              <w:adjustRightInd/>
              <w:textAlignment w:val="baseline"/>
              <w:rPr>
                <w:rFonts w:ascii="Segoe UI" w:hAnsi="Segoe UI" w:cs="Segoe UI"/>
                <w:sz w:val="18"/>
                <w:szCs w:val="18"/>
              </w:rPr>
            </w:pPr>
            <w:r w:rsidRPr="00F51500">
              <w:rPr>
                <w:rFonts w:ascii="Arial" w:hAnsi="Arial" w:cs="Arial"/>
                <w:b/>
                <w:bCs/>
                <w:sz w:val="24"/>
              </w:rPr>
              <w:t>Item</w:t>
            </w:r>
            <w:r w:rsidRPr="00F51500">
              <w:rPr>
                <w:rFonts w:ascii="Arial" w:hAnsi="Arial" w:cs="Arial"/>
                <w:sz w:val="24"/>
              </w:rPr>
              <w:t> </w:t>
            </w:r>
          </w:p>
        </w:tc>
        <w:tc>
          <w:tcPr>
            <w:tcW w:w="1911" w:type="dxa"/>
            <w:tcBorders>
              <w:top w:val="single" w:sz="6" w:space="0" w:color="auto"/>
              <w:left w:val="single" w:sz="6" w:space="0" w:color="auto"/>
              <w:bottom w:val="single" w:sz="6" w:space="0" w:color="auto"/>
              <w:right w:val="single" w:sz="6" w:space="0" w:color="auto"/>
            </w:tcBorders>
            <w:shd w:val="clear" w:color="auto" w:fill="auto"/>
            <w:hideMark/>
          </w:tcPr>
          <w:p w:rsidR="00F51500" w:rsidRPr="00330EBA" w:rsidP="00F51500" w14:paraId="2DDDEBEC" w14:textId="77777777">
            <w:pPr>
              <w:widowControl/>
              <w:autoSpaceDE/>
              <w:autoSpaceDN/>
              <w:adjustRightInd/>
              <w:textAlignment w:val="baseline"/>
              <w:rPr>
                <w:rFonts w:ascii="Arial" w:hAnsi="Arial" w:cs="Arial"/>
                <w:sz w:val="24"/>
              </w:rPr>
            </w:pPr>
            <w:r w:rsidRPr="00330EBA">
              <w:rPr>
                <w:rFonts w:ascii="Arial" w:hAnsi="Arial" w:cs="Arial"/>
                <w:b/>
                <w:bCs/>
                <w:sz w:val="24"/>
              </w:rPr>
              <w:t>Grade/Salary</w:t>
            </w:r>
            <w:r w:rsidRPr="00330EBA">
              <w:rPr>
                <w:rFonts w:ascii="Arial" w:hAnsi="Arial" w:cs="Arial"/>
                <w:sz w:val="24"/>
              </w:rPr>
              <w:t> </w:t>
            </w:r>
          </w:p>
          <w:p w:rsidR="00F51500" w:rsidRPr="00330EBA" w:rsidP="00F51500" w14:paraId="35B085B7" w14:textId="77777777">
            <w:pPr>
              <w:widowControl/>
              <w:autoSpaceDE/>
              <w:autoSpaceDN/>
              <w:adjustRightInd/>
              <w:textAlignment w:val="baseline"/>
              <w:rPr>
                <w:rFonts w:ascii="Arial" w:hAnsi="Arial" w:cs="Arial"/>
                <w:sz w:val="24"/>
              </w:rPr>
            </w:pPr>
            <w:r w:rsidRPr="00330EBA">
              <w:rPr>
                <w:rFonts w:ascii="Arial" w:hAnsi="Arial" w:cs="Arial"/>
                <w:sz w:val="24"/>
              </w:rPr>
              <w:t>  </w:t>
            </w:r>
          </w:p>
        </w:tc>
        <w:tc>
          <w:tcPr>
            <w:tcW w:w="1088" w:type="dxa"/>
            <w:tcBorders>
              <w:top w:val="single" w:sz="6" w:space="0" w:color="auto"/>
              <w:left w:val="single" w:sz="6" w:space="0" w:color="auto"/>
              <w:bottom w:val="single" w:sz="6" w:space="0" w:color="auto"/>
              <w:right w:val="single" w:sz="6" w:space="0" w:color="auto"/>
            </w:tcBorders>
            <w:shd w:val="clear" w:color="auto" w:fill="auto"/>
            <w:hideMark/>
          </w:tcPr>
          <w:p w:rsidR="00F51500" w:rsidRPr="00F51500" w:rsidP="00F51500" w14:paraId="5006942C" w14:textId="77777777">
            <w:pPr>
              <w:widowControl/>
              <w:autoSpaceDE/>
              <w:autoSpaceDN/>
              <w:adjustRightInd/>
              <w:textAlignment w:val="baseline"/>
              <w:rPr>
                <w:rFonts w:ascii="Segoe UI" w:hAnsi="Segoe UI" w:cs="Segoe UI"/>
                <w:sz w:val="18"/>
                <w:szCs w:val="18"/>
              </w:rPr>
            </w:pPr>
            <w:r w:rsidRPr="00F51500">
              <w:rPr>
                <w:rFonts w:ascii="Arial" w:hAnsi="Arial" w:cs="Arial"/>
                <w:b/>
                <w:bCs/>
                <w:sz w:val="24"/>
              </w:rPr>
              <w:t>Hours</w:t>
            </w:r>
            <w:r w:rsidRPr="00F51500">
              <w:rPr>
                <w:rFonts w:ascii="Arial" w:hAnsi="Arial" w:cs="Arial"/>
                <w:sz w:val="24"/>
              </w:rPr>
              <w:t> </w:t>
            </w:r>
          </w:p>
        </w:tc>
        <w:tc>
          <w:tcPr>
            <w:tcW w:w="2621" w:type="dxa"/>
            <w:tcBorders>
              <w:top w:val="single" w:sz="6" w:space="0" w:color="auto"/>
              <w:left w:val="single" w:sz="6" w:space="0" w:color="auto"/>
              <w:bottom w:val="single" w:sz="6" w:space="0" w:color="auto"/>
              <w:right w:val="single" w:sz="6" w:space="0" w:color="auto"/>
            </w:tcBorders>
            <w:shd w:val="clear" w:color="auto" w:fill="auto"/>
            <w:hideMark/>
          </w:tcPr>
          <w:p w:rsidR="00F51500" w:rsidRPr="00F51500" w:rsidP="00F51500" w14:paraId="276F3BE5" w14:textId="77777777">
            <w:pPr>
              <w:widowControl/>
              <w:autoSpaceDE/>
              <w:autoSpaceDN/>
              <w:adjustRightInd/>
              <w:textAlignment w:val="baseline"/>
              <w:rPr>
                <w:rFonts w:ascii="Segoe UI" w:hAnsi="Segoe UI" w:cs="Segoe UI"/>
                <w:sz w:val="18"/>
                <w:szCs w:val="18"/>
              </w:rPr>
            </w:pPr>
            <w:r w:rsidRPr="00F51500">
              <w:rPr>
                <w:rFonts w:ascii="Arial" w:hAnsi="Arial" w:cs="Arial"/>
                <w:b/>
                <w:bCs/>
                <w:sz w:val="24"/>
              </w:rPr>
              <w:t>Annualized Cost</w:t>
            </w:r>
            <w:r w:rsidRPr="00F51500">
              <w:rPr>
                <w:rFonts w:ascii="Arial" w:hAnsi="Arial" w:cs="Arial"/>
                <w:sz w:val="24"/>
              </w:rPr>
              <w:t> </w:t>
            </w:r>
          </w:p>
        </w:tc>
      </w:tr>
      <w:tr w14:paraId="743326C4" w14:textId="77777777" w:rsidTr="00D519BD">
        <w:tblPrEx>
          <w:tblW w:w="8819" w:type="dxa"/>
          <w:tblInd w:w="525" w:type="dxa"/>
          <w:tblCellMar>
            <w:left w:w="0" w:type="dxa"/>
            <w:right w:w="0" w:type="dxa"/>
          </w:tblCellMar>
          <w:tblLook w:val="04A0"/>
        </w:tblPrEx>
        <w:trPr>
          <w:trHeight w:val="336"/>
        </w:trPr>
        <w:tc>
          <w:tcPr>
            <w:tcW w:w="3199" w:type="dxa"/>
            <w:tcBorders>
              <w:top w:val="single" w:sz="6" w:space="0" w:color="auto"/>
              <w:left w:val="single" w:sz="6" w:space="0" w:color="auto"/>
              <w:bottom w:val="single" w:sz="6" w:space="0" w:color="auto"/>
              <w:right w:val="single" w:sz="6" w:space="0" w:color="auto"/>
            </w:tcBorders>
            <w:shd w:val="clear" w:color="auto" w:fill="auto"/>
            <w:hideMark/>
          </w:tcPr>
          <w:p w:rsidR="00F51500" w:rsidRPr="00F51500" w:rsidP="00F51500" w14:paraId="129717B0" w14:textId="129A1300">
            <w:pPr>
              <w:widowControl/>
              <w:autoSpaceDE/>
              <w:autoSpaceDN/>
              <w:adjustRightInd/>
              <w:textAlignment w:val="baseline"/>
              <w:rPr>
                <w:rFonts w:ascii="Segoe UI" w:hAnsi="Segoe UI" w:cs="Segoe UI"/>
                <w:sz w:val="18"/>
                <w:szCs w:val="18"/>
              </w:rPr>
            </w:pPr>
            <w:r w:rsidRPr="00F51500">
              <w:rPr>
                <w:rFonts w:ascii="Arial" w:hAnsi="Arial" w:cs="Arial"/>
                <w:sz w:val="24"/>
              </w:rPr>
              <w:t>HRSA/MCHB/DHSPS/</w:t>
            </w:r>
            <w:r w:rsidR="00A21DCA">
              <w:rPr>
                <w:rFonts w:ascii="Arial" w:hAnsi="Arial" w:cs="Arial"/>
                <w:sz w:val="24"/>
              </w:rPr>
              <w:t>Data Analyst</w:t>
            </w:r>
          </w:p>
        </w:tc>
        <w:tc>
          <w:tcPr>
            <w:tcW w:w="1911" w:type="dxa"/>
            <w:tcBorders>
              <w:top w:val="single" w:sz="6" w:space="0" w:color="auto"/>
              <w:left w:val="single" w:sz="6" w:space="0" w:color="auto"/>
              <w:bottom w:val="single" w:sz="6" w:space="0" w:color="auto"/>
              <w:right w:val="single" w:sz="6" w:space="0" w:color="auto"/>
            </w:tcBorders>
            <w:shd w:val="clear" w:color="auto" w:fill="auto"/>
            <w:hideMark/>
          </w:tcPr>
          <w:p w:rsidR="00330EBA" w:rsidRPr="00AB70AA" w:rsidP="00F51500" w14:paraId="5F366D8C" w14:textId="4B6D6A83">
            <w:pPr>
              <w:widowControl/>
              <w:autoSpaceDE/>
              <w:autoSpaceDN/>
              <w:adjustRightInd/>
              <w:textAlignment w:val="baseline"/>
              <w:rPr>
                <w:rFonts w:ascii="Arial" w:hAnsi="Arial" w:cs="Arial"/>
                <w:sz w:val="24"/>
              </w:rPr>
            </w:pPr>
            <w:r w:rsidRPr="00AB70AA">
              <w:rPr>
                <w:rFonts w:ascii="Arial" w:hAnsi="Arial" w:cs="Arial"/>
                <w:sz w:val="24"/>
              </w:rPr>
              <w:t>GS-1</w:t>
            </w:r>
            <w:r w:rsidRPr="00AB70AA" w:rsidR="00C0182C">
              <w:rPr>
                <w:rFonts w:ascii="Arial" w:hAnsi="Arial" w:cs="Arial"/>
                <w:sz w:val="24"/>
              </w:rPr>
              <w:t>3</w:t>
            </w:r>
            <w:r w:rsidRPr="00AB70AA">
              <w:rPr>
                <w:rFonts w:ascii="Arial" w:hAnsi="Arial" w:cs="Arial"/>
                <w:sz w:val="24"/>
              </w:rPr>
              <w:t>-1</w:t>
            </w:r>
            <w:r w:rsidR="003B474E">
              <w:rPr>
                <w:rFonts w:ascii="Arial" w:hAnsi="Arial" w:cs="Arial"/>
                <w:sz w:val="24"/>
              </w:rPr>
              <w:t>*</w:t>
            </w:r>
            <w:r w:rsidRPr="00AB70AA" w:rsidR="00F51500">
              <w:rPr>
                <w:rFonts w:ascii="Arial" w:hAnsi="Arial" w:cs="Arial"/>
                <w:sz w:val="24"/>
              </w:rPr>
              <w:t xml:space="preserve"> </w:t>
            </w:r>
          </w:p>
          <w:p w:rsidR="00F51500" w:rsidRPr="00D519BD" w:rsidP="00F51500" w14:paraId="4974814B" w14:textId="01FE6571">
            <w:pPr>
              <w:widowControl/>
              <w:autoSpaceDE/>
              <w:autoSpaceDN/>
              <w:adjustRightInd/>
              <w:textAlignment w:val="baseline"/>
              <w:rPr>
                <w:rFonts w:ascii="Arial" w:hAnsi="Arial" w:cs="Arial"/>
                <w:sz w:val="24"/>
              </w:rPr>
            </w:pPr>
            <w:r w:rsidRPr="00AB70AA">
              <w:rPr>
                <w:rFonts w:ascii="Arial" w:hAnsi="Arial" w:cs="Arial"/>
                <w:sz w:val="24"/>
              </w:rPr>
              <w:t>$</w:t>
            </w:r>
            <w:r w:rsidR="003210C3">
              <w:rPr>
                <w:rFonts w:ascii="Arial" w:hAnsi="Arial" w:cs="Arial"/>
                <w:sz w:val="24"/>
              </w:rPr>
              <w:t>84</w:t>
            </w:r>
            <w:r w:rsidRPr="00AB70AA" w:rsidR="003210C3">
              <w:rPr>
                <w:rFonts w:ascii="Arial" w:hAnsi="Arial" w:cs="Arial"/>
                <w:sz w:val="24"/>
              </w:rPr>
              <w:t>.</w:t>
            </w:r>
            <w:r w:rsidR="003210C3">
              <w:rPr>
                <w:rFonts w:ascii="Arial" w:hAnsi="Arial" w:cs="Arial"/>
                <w:sz w:val="24"/>
              </w:rPr>
              <w:t>78</w:t>
            </w:r>
            <w:r w:rsidR="008E58DB">
              <w:rPr>
                <w:sz w:val="24"/>
              </w:rPr>
              <w:t>†</w:t>
            </w:r>
          </w:p>
        </w:tc>
        <w:tc>
          <w:tcPr>
            <w:tcW w:w="1088" w:type="dxa"/>
            <w:tcBorders>
              <w:top w:val="single" w:sz="6" w:space="0" w:color="auto"/>
              <w:left w:val="single" w:sz="6" w:space="0" w:color="auto"/>
              <w:bottom w:val="single" w:sz="6" w:space="0" w:color="auto"/>
              <w:right w:val="single" w:sz="6" w:space="0" w:color="auto"/>
            </w:tcBorders>
            <w:shd w:val="clear" w:color="auto" w:fill="auto"/>
            <w:hideMark/>
          </w:tcPr>
          <w:p w:rsidR="00F51500" w:rsidRPr="00D519BD" w:rsidP="00F51500" w14:paraId="15910998" w14:textId="067376DF">
            <w:pPr>
              <w:widowControl/>
              <w:autoSpaceDE/>
              <w:autoSpaceDN/>
              <w:adjustRightInd/>
              <w:textAlignment w:val="baseline"/>
              <w:rPr>
                <w:rFonts w:ascii="Arial" w:hAnsi="Arial" w:cs="Arial"/>
                <w:sz w:val="24"/>
              </w:rPr>
            </w:pPr>
            <w:r w:rsidRPr="00AB70AA">
              <w:rPr>
                <w:rFonts w:ascii="Arial" w:hAnsi="Arial" w:cs="Arial"/>
                <w:sz w:val="24"/>
              </w:rPr>
              <w:t>30</w:t>
            </w:r>
            <w:r w:rsidRPr="00AB70AA">
              <w:rPr>
                <w:rFonts w:ascii="Arial" w:hAnsi="Arial" w:cs="Arial"/>
                <w:sz w:val="24"/>
              </w:rPr>
              <w:t> </w:t>
            </w:r>
          </w:p>
        </w:tc>
        <w:tc>
          <w:tcPr>
            <w:tcW w:w="2621" w:type="dxa"/>
            <w:tcBorders>
              <w:top w:val="single" w:sz="6" w:space="0" w:color="auto"/>
              <w:left w:val="single" w:sz="6" w:space="0" w:color="auto"/>
              <w:bottom w:val="single" w:sz="6" w:space="0" w:color="auto"/>
              <w:right w:val="single" w:sz="6" w:space="0" w:color="auto"/>
            </w:tcBorders>
            <w:shd w:val="clear" w:color="auto" w:fill="auto"/>
            <w:hideMark/>
          </w:tcPr>
          <w:p w:rsidR="00F51500" w:rsidRPr="00D519BD" w:rsidP="00F51500" w14:paraId="7829BC8B" w14:textId="4CE56181">
            <w:pPr>
              <w:widowControl/>
              <w:autoSpaceDE/>
              <w:autoSpaceDN/>
              <w:adjustRightInd/>
              <w:textAlignment w:val="baseline"/>
              <w:rPr>
                <w:rFonts w:ascii="Arial" w:hAnsi="Arial" w:cs="Arial"/>
                <w:sz w:val="24"/>
              </w:rPr>
            </w:pPr>
            <w:r w:rsidRPr="00AB70AA">
              <w:rPr>
                <w:rFonts w:ascii="Arial" w:hAnsi="Arial" w:cs="Arial"/>
                <w:sz w:val="24"/>
              </w:rPr>
              <w:t>$</w:t>
            </w:r>
            <w:r w:rsidR="003210C3">
              <w:rPr>
                <w:rFonts w:ascii="Arial" w:hAnsi="Arial" w:cs="Arial"/>
                <w:sz w:val="24"/>
              </w:rPr>
              <w:t>2</w:t>
            </w:r>
            <w:r w:rsidRPr="00D519BD" w:rsidR="00AB70AA">
              <w:rPr>
                <w:rFonts w:ascii="Arial" w:hAnsi="Arial" w:cs="Arial"/>
                <w:sz w:val="24"/>
              </w:rPr>
              <w:t>,</w:t>
            </w:r>
            <w:r w:rsidR="003210C3">
              <w:rPr>
                <w:rFonts w:ascii="Arial" w:hAnsi="Arial" w:cs="Arial"/>
                <w:sz w:val="24"/>
              </w:rPr>
              <w:t>543</w:t>
            </w:r>
            <w:r w:rsidRPr="00D519BD" w:rsidR="00AB70AA">
              <w:rPr>
                <w:rFonts w:ascii="Arial" w:hAnsi="Arial" w:cs="Arial"/>
                <w:sz w:val="24"/>
              </w:rPr>
              <w:t>.</w:t>
            </w:r>
            <w:r w:rsidR="003210C3">
              <w:rPr>
                <w:rFonts w:ascii="Arial" w:hAnsi="Arial" w:cs="Arial"/>
                <w:sz w:val="24"/>
              </w:rPr>
              <w:t>4</w:t>
            </w:r>
            <w:r w:rsidRPr="00D519BD" w:rsidR="00AB70AA">
              <w:rPr>
                <w:rFonts w:ascii="Arial" w:hAnsi="Arial" w:cs="Arial"/>
                <w:sz w:val="24"/>
              </w:rPr>
              <w:t>0</w:t>
            </w:r>
          </w:p>
        </w:tc>
      </w:tr>
      <w:tr w14:paraId="0142D502" w14:textId="77777777" w:rsidTr="00AB70AA">
        <w:tblPrEx>
          <w:tblW w:w="8819" w:type="dxa"/>
          <w:tblInd w:w="525" w:type="dxa"/>
          <w:tblCellMar>
            <w:left w:w="0" w:type="dxa"/>
            <w:right w:w="0" w:type="dxa"/>
          </w:tblCellMar>
          <w:tblLook w:val="04A0"/>
        </w:tblPrEx>
        <w:trPr>
          <w:trHeight w:val="300"/>
        </w:trPr>
        <w:tc>
          <w:tcPr>
            <w:tcW w:w="3199" w:type="dxa"/>
            <w:tcBorders>
              <w:top w:val="single" w:sz="6" w:space="0" w:color="auto"/>
              <w:left w:val="single" w:sz="6" w:space="0" w:color="auto"/>
              <w:bottom w:val="single" w:sz="6" w:space="0" w:color="auto"/>
              <w:right w:val="single" w:sz="6" w:space="0" w:color="auto"/>
            </w:tcBorders>
            <w:shd w:val="clear" w:color="auto" w:fill="auto"/>
          </w:tcPr>
          <w:p w:rsidR="00AB70AA" w:rsidRPr="00F51500" w:rsidP="00AB70AA" w14:paraId="1A243946" w14:textId="4E2DD97C">
            <w:pPr>
              <w:widowControl/>
              <w:autoSpaceDE/>
              <w:autoSpaceDN/>
              <w:adjustRightInd/>
              <w:textAlignment w:val="baseline"/>
              <w:rPr>
                <w:rFonts w:ascii="Arial" w:hAnsi="Arial" w:cs="Arial"/>
                <w:sz w:val="24"/>
              </w:rPr>
            </w:pPr>
            <w:r>
              <w:rPr>
                <w:rFonts w:ascii="Arial" w:hAnsi="Arial" w:cs="Arial"/>
                <w:sz w:val="24"/>
              </w:rPr>
              <w:t xml:space="preserve">MRSA/MCHB/DHSPS Project Officer </w:t>
            </w:r>
          </w:p>
        </w:tc>
        <w:tc>
          <w:tcPr>
            <w:tcW w:w="1911" w:type="dxa"/>
            <w:tcBorders>
              <w:top w:val="single" w:sz="6" w:space="0" w:color="auto"/>
              <w:left w:val="single" w:sz="6" w:space="0" w:color="auto"/>
              <w:bottom w:val="single" w:sz="6" w:space="0" w:color="auto"/>
              <w:right w:val="single" w:sz="6" w:space="0" w:color="auto"/>
            </w:tcBorders>
            <w:shd w:val="clear" w:color="auto" w:fill="auto"/>
          </w:tcPr>
          <w:p w:rsidR="00AB70AA" w:rsidRPr="00AB70AA" w:rsidP="00AB70AA" w14:paraId="54647C17" w14:textId="12051364">
            <w:pPr>
              <w:widowControl/>
              <w:autoSpaceDE/>
              <w:autoSpaceDN/>
              <w:adjustRightInd/>
              <w:textAlignment w:val="baseline"/>
              <w:rPr>
                <w:rFonts w:ascii="Arial" w:hAnsi="Arial" w:cs="Arial"/>
                <w:sz w:val="24"/>
              </w:rPr>
            </w:pPr>
            <w:r w:rsidRPr="00AB70AA">
              <w:rPr>
                <w:rFonts w:ascii="Arial" w:hAnsi="Arial" w:cs="Arial"/>
                <w:sz w:val="24"/>
              </w:rPr>
              <w:t>GS-13-1</w:t>
            </w:r>
            <w:r w:rsidR="003B474E">
              <w:rPr>
                <w:rFonts w:ascii="Arial" w:hAnsi="Arial" w:cs="Arial"/>
                <w:sz w:val="24"/>
              </w:rPr>
              <w:t>*</w:t>
            </w:r>
          </w:p>
          <w:p w:rsidR="00AB70AA" w:rsidRPr="00AB70AA" w:rsidP="00AB70AA" w14:paraId="7AB5F629" w14:textId="16DA6F9A">
            <w:pPr>
              <w:widowControl/>
              <w:autoSpaceDE/>
              <w:autoSpaceDN/>
              <w:adjustRightInd/>
              <w:textAlignment w:val="baseline"/>
              <w:rPr>
                <w:rFonts w:ascii="Arial" w:hAnsi="Arial" w:cs="Arial"/>
                <w:sz w:val="24"/>
              </w:rPr>
            </w:pPr>
            <w:r w:rsidRPr="00AB70AA">
              <w:rPr>
                <w:rFonts w:ascii="Arial" w:hAnsi="Arial" w:cs="Arial"/>
                <w:sz w:val="24"/>
              </w:rPr>
              <w:t>$</w:t>
            </w:r>
            <w:r w:rsidR="003210C3">
              <w:rPr>
                <w:rFonts w:ascii="Arial" w:hAnsi="Arial" w:cs="Arial"/>
                <w:sz w:val="24"/>
              </w:rPr>
              <w:t>84</w:t>
            </w:r>
            <w:r w:rsidRPr="00AB70AA" w:rsidR="003210C3">
              <w:rPr>
                <w:rFonts w:ascii="Arial" w:hAnsi="Arial" w:cs="Arial"/>
                <w:sz w:val="24"/>
              </w:rPr>
              <w:t>.</w:t>
            </w:r>
            <w:r w:rsidR="003210C3">
              <w:rPr>
                <w:rFonts w:ascii="Arial" w:hAnsi="Arial" w:cs="Arial"/>
                <w:sz w:val="24"/>
              </w:rPr>
              <w:t>78</w:t>
            </w:r>
            <w:r w:rsidR="008E58DB">
              <w:rPr>
                <w:sz w:val="24"/>
              </w:rPr>
              <w:t>†</w:t>
            </w:r>
          </w:p>
        </w:tc>
        <w:tc>
          <w:tcPr>
            <w:tcW w:w="1088" w:type="dxa"/>
            <w:tcBorders>
              <w:top w:val="single" w:sz="6" w:space="0" w:color="auto"/>
              <w:left w:val="single" w:sz="6" w:space="0" w:color="auto"/>
              <w:bottom w:val="single" w:sz="6" w:space="0" w:color="auto"/>
              <w:right w:val="single" w:sz="6" w:space="0" w:color="auto"/>
            </w:tcBorders>
            <w:shd w:val="clear" w:color="auto" w:fill="auto"/>
          </w:tcPr>
          <w:p w:rsidR="00AB70AA" w:rsidRPr="00AB70AA" w:rsidP="00AB70AA" w14:paraId="31B18AE4" w14:textId="43E355ED">
            <w:pPr>
              <w:widowControl/>
              <w:autoSpaceDE/>
              <w:autoSpaceDN/>
              <w:adjustRightInd/>
              <w:textAlignment w:val="baseline"/>
              <w:rPr>
                <w:rFonts w:ascii="Arial" w:hAnsi="Arial" w:cs="Arial"/>
                <w:sz w:val="24"/>
              </w:rPr>
            </w:pPr>
            <w:r w:rsidRPr="00AB70AA">
              <w:rPr>
                <w:rFonts w:ascii="Arial" w:hAnsi="Arial" w:cs="Arial"/>
                <w:sz w:val="24"/>
              </w:rPr>
              <w:t>30</w:t>
            </w:r>
          </w:p>
        </w:tc>
        <w:tc>
          <w:tcPr>
            <w:tcW w:w="2621" w:type="dxa"/>
            <w:tcBorders>
              <w:top w:val="single" w:sz="6" w:space="0" w:color="auto"/>
              <w:left w:val="single" w:sz="6" w:space="0" w:color="auto"/>
              <w:bottom w:val="single" w:sz="6" w:space="0" w:color="auto"/>
              <w:right w:val="single" w:sz="6" w:space="0" w:color="auto"/>
            </w:tcBorders>
            <w:shd w:val="clear" w:color="auto" w:fill="auto"/>
          </w:tcPr>
          <w:p w:rsidR="00AB70AA" w:rsidRPr="00AB70AA" w:rsidP="00AB70AA" w14:paraId="032A1A62" w14:textId="4E708384">
            <w:pPr>
              <w:widowControl/>
              <w:autoSpaceDE/>
              <w:autoSpaceDN/>
              <w:adjustRightInd/>
              <w:textAlignment w:val="baseline"/>
              <w:rPr>
                <w:rFonts w:ascii="Arial" w:hAnsi="Arial" w:cs="Arial"/>
                <w:sz w:val="24"/>
              </w:rPr>
            </w:pPr>
            <w:r w:rsidRPr="00AB70AA">
              <w:rPr>
                <w:rFonts w:ascii="Arial" w:hAnsi="Arial" w:cs="Arial"/>
                <w:sz w:val="24"/>
              </w:rPr>
              <w:t>$</w:t>
            </w:r>
            <w:r w:rsidR="003210C3">
              <w:rPr>
                <w:rFonts w:ascii="Arial" w:hAnsi="Arial" w:cs="Arial"/>
                <w:sz w:val="24"/>
              </w:rPr>
              <w:t>2</w:t>
            </w:r>
            <w:r w:rsidRPr="00D519BD" w:rsidR="003210C3">
              <w:rPr>
                <w:rFonts w:ascii="Arial" w:hAnsi="Arial" w:cs="Arial"/>
                <w:sz w:val="24"/>
              </w:rPr>
              <w:t>,</w:t>
            </w:r>
            <w:r w:rsidR="003210C3">
              <w:rPr>
                <w:rFonts w:ascii="Arial" w:hAnsi="Arial" w:cs="Arial"/>
                <w:sz w:val="24"/>
              </w:rPr>
              <w:t>543</w:t>
            </w:r>
            <w:r w:rsidRPr="00D519BD" w:rsidR="003210C3">
              <w:rPr>
                <w:rFonts w:ascii="Arial" w:hAnsi="Arial" w:cs="Arial"/>
                <w:sz w:val="24"/>
              </w:rPr>
              <w:t>.</w:t>
            </w:r>
            <w:r w:rsidR="003210C3">
              <w:rPr>
                <w:rFonts w:ascii="Arial" w:hAnsi="Arial" w:cs="Arial"/>
                <w:sz w:val="24"/>
              </w:rPr>
              <w:t>4</w:t>
            </w:r>
            <w:r w:rsidRPr="00D519BD" w:rsidR="003210C3">
              <w:rPr>
                <w:rFonts w:ascii="Arial" w:hAnsi="Arial" w:cs="Arial"/>
                <w:sz w:val="24"/>
              </w:rPr>
              <w:t>0</w:t>
            </w:r>
          </w:p>
        </w:tc>
      </w:tr>
      <w:tr w14:paraId="34EFEF75" w14:textId="77777777" w:rsidTr="00AB70AA">
        <w:tblPrEx>
          <w:tblW w:w="8819" w:type="dxa"/>
          <w:tblInd w:w="525" w:type="dxa"/>
          <w:tblCellMar>
            <w:left w:w="0" w:type="dxa"/>
            <w:right w:w="0" w:type="dxa"/>
          </w:tblCellMar>
          <w:tblLook w:val="04A0"/>
        </w:tblPrEx>
        <w:trPr>
          <w:trHeight w:val="300"/>
        </w:trPr>
        <w:tc>
          <w:tcPr>
            <w:tcW w:w="3199" w:type="dxa"/>
            <w:tcBorders>
              <w:top w:val="single" w:sz="6" w:space="0" w:color="auto"/>
              <w:left w:val="single" w:sz="6" w:space="0" w:color="auto"/>
              <w:bottom w:val="single" w:sz="6" w:space="0" w:color="auto"/>
              <w:right w:val="single" w:sz="6" w:space="0" w:color="auto"/>
            </w:tcBorders>
            <w:shd w:val="clear" w:color="auto" w:fill="auto"/>
            <w:hideMark/>
          </w:tcPr>
          <w:p w:rsidR="00AB70AA" w:rsidRPr="00F51500" w:rsidP="00AB70AA" w14:paraId="28962D7A" w14:textId="77777777">
            <w:pPr>
              <w:widowControl/>
              <w:autoSpaceDE/>
              <w:autoSpaceDN/>
              <w:adjustRightInd/>
              <w:textAlignment w:val="baseline"/>
              <w:rPr>
                <w:rFonts w:ascii="Segoe UI" w:hAnsi="Segoe UI" w:cs="Segoe UI"/>
                <w:sz w:val="18"/>
                <w:szCs w:val="18"/>
              </w:rPr>
            </w:pPr>
            <w:r w:rsidRPr="00F51500">
              <w:rPr>
                <w:rFonts w:ascii="Arial" w:hAnsi="Arial" w:cs="Arial"/>
                <w:sz w:val="24"/>
              </w:rPr>
              <w:t>Total </w:t>
            </w:r>
          </w:p>
        </w:tc>
        <w:tc>
          <w:tcPr>
            <w:tcW w:w="1911" w:type="dxa"/>
            <w:tcBorders>
              <w:top w:val="single" w:sz="6" w:space="0" w:color="auto"/>
              <w:left w:val="single" w:sz="6" w:space="0" w:color="auto"/>
              <w:bottom w:val="single" w:sz="6" w:space="0" w:color="auto"/>
              <w:right w:val="single" w:sz="6" w:space="0" w:color="auto"/>
            </w:tcBorders>
            <w:shd w:val="clear" w:color="auto" w:fill="auto"/>
            <w:hideMark/>
          </w:tcPr>
          <w:p w:rsidR="00AB70AA" w:rsidRPr="00F51500" w:rsidP="00AB70AA" w14:paraId="245B7CA9" w14:textId="77777777">
            <w:pPr>
              <w:widowControl/>
              <w:autoSpaceDE/>
              <w:autoSpaceDN/>
              <w:adjustRightInd/>
              <w:textAlignment w:val="baseline"/>
              <w:rPr>
                <w:rFonts w:ascii="Segoe UI" w:hAnsi="Segoe UI" w:cs="Segoe UI"/>
                <w:sz w:val="18"/>
                <w:szCs w:val="18"/>
              </w:rPr>
            </w:pPr>
            <w:r w:rsidRPr="00F51500">
              <w:rPr>
                <w:rFonts w:ascii="Arial" w:hAnsi="Arial" w:cs="Arial"/>
                <w:sz w:val="24"/>
              </w:rPr>
              <w:t>  </w:t>
            </w:r>
          </w:p>
        </w:tc>
        <w:tc>
          <w:tcPr>
            <w:tcW w:w="1088" w:type="dxa"/>
            <w:tcBorders>
              <w:top w:val="single" w:sz="6" w:space="0" w:color="auto"/>
              <w:left w:val="single" w:sz="6" w:space="0" w:color="auto"/>
              <w:bottom w:val="single" w:sz="6" w:space="0" w:color="auto"/>
              <w:right w:val="single" w:sz="6" w:space="0" w:color="auto"/>
            </w:tcBorders>
            <w:shd w:val="clear" w:color="auto" w:fill="auto"/>
            <w:hideMark/>
          </w:tcPr>
          <w:p w:rsidR="00AB70AA" w:rsidRPr="00F51500" w:rsidP="00AB70AA" w14:paraId="64CA22FA" w14:textId="77777777">
            <w:pPr>
              <w:widowControl/>
              <w:autoSpaceDE/>
              <w:autoSpaceDN/>
              <w:adjustRightInd/>
              <w:textAlignment w:val="baseline"/>
              <w:rPr>
                <w:rFonts w:ascii="Segoe UI" w:hAnsi="Segoe UI" w:cs="Segoe UI"/>
                <w:sz w:val="18"/>
                <w:szCs w:val="18"/>
              </w:rPr>
            </w:pPr>
            <w:r w:rsidRPr="00F51500">
              <w:rPr>
                <w:rFonts w:ascii="Arial" w:hAnsi="Arial" w:cs="Arial"/>
                <w:sz w:val="24"/>
              </w:rPr>
              <w:t>  </w:t>
            </w:r>
          </w:p>
        </w:tc>
        <w:tc>
          <w:tcPr>
            <w:tcW w:w="2621" w:type="dxa"/>
            <w:tcBorders>
              <w:top w:val="single" w:sz="6" w:space="0" w:color="auto"/>
              <w:left w:val="single" w:sz="6" w:space="0" w:color="auto"/>
              <w:bottom w:val="single" w:sz="6" w:space="0" w:color="auto"/>
              <w:right w:val="single" w:sz="6" w:space="0" w:color="auto"/>
            </w:tcBorders>
            <w:shd w:val="clear" w:color="auto" w:fill="auto"/>
            <w:hideMark/>
          </w:tcPr>
          <w:p w:rsidR="00AB70AA" w:rsidRPr="00330EBA" w:rsidP="00AB70AA" w14:paraId="39ACCAE1" w14:textId="4D7240A9">
            <w:pPr>
              <w:widowControl/>
              <w:autoSpaceDE/>
              <w:autoSpaceDN/>
              <w:adjustRightInd/>
              <w:textAlignment w:val="baseline"/>
              <w:rPr>
                <w:rFonts w:ascii="Segoe UI" w:hAnsi="Segoe UI" w:cs="Segoe UI"/>
                <w:sz w:val="18"/>
                <w:szCs w:val="18"/>
              </w:rPr>
            </w:pPr>
            <w:r w:rsidRPr="00330EBA">
              <w:rPr>
                <w:rFonts w:ascii="Arial" w:hAnsi="Arial" w:cs="Arial"/>
                <w:sz w:val="24"/>
              </w:rPr>
              <w:t>$</w:t>
            </w:r>
            <w:r w:rsidR="00630E9E">
              <w:rPr>
                <w:rFonts w:ascii="Arial" w:hAnsi="Arial" w:cs="Arial"/>
                <w:sz w:val="24"/>
              </w:rPr>
              <w:t>5,086.80</w:t>
            </w:r>
          </w:p>
        </w:tc>
      </w:tr>
    </w:tbl>
    <w:p w:rsidR="003B474E" w:rsidP="00E731A2" w14:paraId="7AF1CE3E" w14:textId="332767D7">
      <w:pPr>
        <w:pStyle w:val="BodyTextIndent"/>
        <w:spacing w:before="120"/>
        <w:ind w:left="360"/>
        <w:rPr>
          <w:rStyle w:val="normaltextrun"/>
          <w:rFonts w:ascii="Arial" w:hAnsi="Arial" w:cs="Arial"/>
          <w:color w:val="000000"/>
          <w:shd w:val="clear" w:color="auto" w:fill="FFFFFF"/>
        </w:rPr>
      </w:pPr>
      <w:r w:rsidRPr="003B474E">
        <w:rPr>
          <w:rStyle w:val="normaltextrun"/>
          <w:rFonts w:ascii="Arial" w:hAnsi="Arial" w:cs="Arial"/>
          <w:color w:val="000000"/>
          <w:shd w:val="clear" w:color="auto" w:fill="FFFFFF"/>
        </w:rPr>
        <w:t xml:space="preserve">*Government personnel involved in reviewing and analyzing the </w:t>
      </w:r>
      <w:r w:rsidR="006B3150">
        <w:rPr>
          <w:rStyle w:val="normaltextrun"/>
          <w:rFonts w:ascii="Arial" w:hAnsi="Arial" w:cs="Arial"/>
          <w:color w:val="000000"/>
          <w:shd w:val="clear" w:color="auto" w:fill="FFFFFF"/>
        </w:rPr>
        <w:t>MHAR</w:t>
      </w:r>
      <w:r w:rsidRPr="003B474E">
        <w:rPr>
          <w:rStyle w:val="normaltextrun"/>
          <w:rFonts w:ascii="Arial" w:hAnsi="Arial" w:cs="Arial"/>
          <w:color w:val="000000"/>
          <w:shd w:val="clear" w:color="auto" w:fill="FFFFFF"/>
        </w:rPr>
        <w:t xml:space="preserve"> include those in GS</w:t>
      </w:r>
      <w:r w:rsidR="00D71E31">
        <w:rPr>
          <w:rStyle w:val="normaltextrun"/>
          <w:rFonts w:ascii="Arial" w:hAnsi="Arial" w:cs="Arial"/>
          <w:color w:val="000000"/>
          <w:shd w:val="clear" w:color="auto" w:fill="FFFFFF"/>
        </w:rPr>
        <w:t>-12</w:t>
      </w:r>
      <w:r w:rsidRPr="003B474E">
        <w:rPr>
          <w:rStyle w:val="normaltextrun"/>
          <w:rFonts w:ascii="Arial" w:hAnsi="Arial" w:cs="Arial"/>
          <w:color w:val="000000"/>
          <w:shd w:val="clear" w:color="auto" w:fill="FFFFFF"/>
        </w:rPr>
        <w:t xml:space="preserve"> </w:t>
      </w:r>
      <w:r w:rsidR="00D71E31">
        <w:rPr>
          <w:rStyle w:val="normaltextrun"/>
          <w:rFonts w:ascii="Arial" w:hAnsi="Arial" w:cs="Arial"/>
          <w:color w:val="000000"/>
          <w:shd w:val="clear" w:color="auto" w:fill="FFFFFF"/>
        </w:rPr>
        <w:t>t</w:t>
      </w:r>
      <w:r w:rsidRPr="003B474E">
        <w:rPr>
          <w:rStyle w:val="normaltextrun"/>
          <w:rFonts w:ascii="Arial" w:hAnsi="Arial" w:cs="Arial"/>
          <w:color w:val="000000"/>
          <w:shd w:val="clear" w:color="auto" w:fill="FFFFFF"/>
        </w:rPr>
        <w:t xml:space="preserve">hrough </w:t>
      </w:r>
      <w:r w:rsidR="00D71E31">
        <w:rPr>
          <w:rStyle w:val="normaltextrun"/>
          <w:rFonts w:ascii="Arial" w:hAnsi="Arial" w:cs="Arial"/>
          <w:color w:val="000000"/>
          <w:shd w:val="clear" w:color="auto" w:fill="FFFFFF"/>
        </w:rPr>
        <w:t>GS-</w:t>
      </w:r>
      <w:r w:rsidRPr="003B474E">
        <w:rPr>
          <w:rStyle w:val="normaltextrun"/>
          <w:rFonts w:ascii="Arial" w:hAnsi="Arial" w:cs="Arial"/>
          <w:color w:val="000000"/>
          <w:shd w:val="clear" w:color="auto" w:fill="FFFFFF"/>
        </w:rPr>
        <w:t>14 and may vary from year to year</w:t>
      </w:r>
      <w:r w:rsidR="00275C64">
        <w:rPr>
          <w:rStyle w:val="normaltextrun"/>
          <w:rFonts w:ascii="Arial" w:hAnsi="Arial" w:cs="Arial"/>
          <w:color w:val="000000"/>
          <w:shd w:val="clear" w:color="auto" w:fill="FFFFFF"/>
        </w:rPr>
        <w:t xml:space="preserve">. Therefore, </w:t>
      </w:r>
      <w:r w:rsidRPr="003B474E">
        <w:rPr>
          <w:rStyle w:val="normaltextrun"/>
          <w:rFonts w:ascii="Arial" w:hAnsi="Arial" w:cs="Arial"/>
          <w:color w:val="000000"/>
          <w:shd w:val="clear" w:color="auto" w:fill="FFFFFF"/>
        </w:rPr>
        <w:t>GS</w:t>
      </w:r>
      <w:r w:rsidR="006B3150">
        <w:rPr>
          <w:rStyle w:val="normaltextrun"/>
          <w:rFonts w:ascii="Arial" w:hAnsi="Arial" w:cs="Arial"/>
          <w:color w:val="000000"/>
          <w:shd w:val="clear" w:color="auto" w:fill="FFFFFF"/>
        </w:rPr>
        <w:t xml:space="preserve">-13 </w:t>
      </w:r>
      <w:r w:rsidR="00275C64">
        <w:rPr>
          <w:rStyle w:val="normaltextrun"/>
          <w:rFonts w:ascii="Arial" w:hAnsi="Arial" w:cs="Arial"/>
          <w:color w:val="000000"/>
          <w:shd w:val="clear" w:color="auto" w:fill="FFFFFF"/>
        </w:rPr>
        <w:t>is used as t</w:t>
      </w:r>
      <w:r w:rsidRPr="003B474E">
        <w:rPr>
          <w:rStyle w:val="normaltextrun"/>
          <w:rFonts w:ascii="Arial" w:hAnsi="Arial" w:cs="Arial"/>
          <w:color w:val="000000"/>
          <w:shd w:val="clear" w:color="auto" w:fill="FFFFFF"/>
        </w:rPr>
        <w:t>he average for th</w:t>
      </w:r>
      <w:r w:rsidR="00275C64">
        <w:rPr>
          <w:rStyle w:val="normaltextrun"/>
          <w:rFonts w:ascii="Arial" w:hAnsi="Arial" w:cs="Arial"/>
          <w:color w:val="000000"/>
          <w:shd w:val="clear" w:color="auto" w:fill="FFFFFF"/>
        </w:rPr>
        <w:t>is</w:t>
      </w:r>
      <w:r w:rsidRPr="003B474E">
        <w:rPr>
          <w:rStyle w:val="normaltextrun"/>
          <w:rFonts w:ascii="Arial" w:hAnsi="Arial" w:cs="Arial"/>
          <w:color w:val="000000"/>
          <w:shd w:val="clear" w:color="auto" w:fill="FFFFFF"/>
        </w:rPr>
        <w:t xml:space="preserve"> estimate.</w:t>
      </w:r>
    </w:p>
    <w:p w:rsidR="003B474E" w:rsidP="00701B5C" w14:paraId="7BCB5D5B" w14:textId="300C5AD7">
      <w:pPr>
        <w:pStyle w:val="BodyTextIndent"/>
        <w:spacing w:before="120"/>
        <w:ind w:left="360"/>
        <w:rPr>
          <w:rStyle w:val="normaltextrun"/>
          <w:rFonts w:ascii="Arial" w:hAnsi="Arial" w:cs="Arial"/>
          <w:color w:val="000000"/>
          <w:shd w:val="clear" w:color="auto" w:fill="FFFFFF"/>
        </w:rPr>
      </w:pPr>
      <w:r>
        <w:t>†</w:t>
      </w:r>
      <w:r>
        <w:rPr>
          <w:rStyle w:val="normaltextrun"/>
          <w:rFonts w:ascii="Arial" w:hAnsi="Arial" w:cs="Arial"/>
          <w:color w:val="000000"/>
          <w:shd w:val="clear" w:color="auto" w:fill="FFFFFF"/>
        </w:rPr>
        <w:t>Hourly basic rate based on GS-13 Step 1 and adjusted f</w:t>
      </w:r>
      <w:r w:rsidRPr="00E86C69">
        <w:rPr>
          <w:rStyle w:val="normaltextrun"/>
          <w:rFonts w:ascii="Arial" w:hAnsi="Arial" w:cs="Arial"/>
          <w:color w:val="000000"/>
          <w:shd w:val="clear" w:color="auto" w:fill="FFFFFF"/>
        </w:rPr>
        <w:t>or the Locality Pay Area of Washington-Baltimore-Arlington, DC-MD-VA-WV-PA</w:t>
      </w:r>
      <w:r>
        <w:rPr>
          <w:rStyle w:val="eop"/>
          <w:rFonts w:ascii="Arial" w:hAnsi="Arial" w:cs="Arial"/>
          <w:color w:val="000000"/>
          <w:shd w:val="clear" w:color="auto" w:fill="FFFFFF"/>
        </w:rPr>
        <w:t xml:space="preserve"> effective January 2024. </w:t>
      </w:r>
      <w:r>
        <w:rPr>
          <w:rStyle w:val="normaltextrun"/>
          <w:rFonts w:ascii="Arial" w:hAnsi="Arial" w:cs="Arial"/>
          <w:color w:val="000000"/>
          <w:shd w:val="clear" w:color="auto" w:fill="FFFFFF"/>
        </w:rPr>
        <w:t>Federal staff cost includes overhead and benefits</w:t>
      </w:r>
      <w:r w:rsidR="00647F14">
        <w:rPr>
          <w:rStyle w:val="normaltextrun"/>
          <w:rFonts w:ascii="Arial" w:hAnsi="Arial" w:cs="Arial"/>
          <w:color w:val="000000"/>
          <w:shd w:val="clear" w:color="auto" w:fill="FFFFFF"/>
        </w:rPr>
        <w:t xml:space="preserve">. </w:t>
      </w:r>
      <w:r w:rsidRPr="00D519BD" w:rsidR="00647F14">
        <w:rPr>
          <w:rFonts w:ascii="Arial" w:hAnsi="Arial" w:cs="Arial"/>
          <w:iCs/>
        </w:rPr>
        <w:t xml:space="preserve">Hourly wage </w:t>
      </w:r>
      <w:r w:rsidR="00647F14">
        <w:rPr>
          <w:rFonts w:ascii="Arial" w:hAnsi="Arial" w:cs="Arial"/>
          <w:iCs/>
        </w:rPr>
        <w:t>multiplied by 1.5</w:t>
      </w:r>
      <w:r w:rsidRPr="00D519BD" w:rsidR="00647F14">
        <w:rPr>
          <w:rFonts w:ascii="Arial" w:hAnsi="Arial" w:cs="Arial"/>
          <w:iCs/>
        </w:rPr>
        <w:t xml:space="preserve"> to account for benefits</w:t>
      </w:r>
      <w:r w:rsidR="00647F14">
        <w:rPr>
          <w:rFonts w:ascii="Arial" w:hAnsi="Arial" w:cs="Arial"/>
          <w:iCs/>
        </w:rPr>
        <w:t xml:space="preserve"> and other overhead costs</w:t>
      </w:r>
    </w:p>
    <w:p w:rsidR="009B3794" w:rsidRPr="00C45431" w:rsidP="00CE22C5" w14:paraId="22E2A398"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for Program Changes or Adjustments</w:t>
      </w:r>
    </w:p>
    <w:p w:rsidR="00E962DB" w:rsidRPr="00C45431" w:rsidP="00887EC1" w14:paraId="22E2A39F" w14:textId="0DF144EA">
      <w:pPr>
        <w:pStyle w:val="BodyTextIndent"/>
        <w:spacing w:before="120"/>
        <w:ind w:left="0" w:firstLine="360"/>
        <w:rPr>
          <w:rFonts w:ascii="Arial" w:hAnsi="Arial" w:cs="Arial"/>
        </w:rPr>
      </w:pPr>
      <w:r w:rsidRPr="00C45431">
        <w:rPr>
          <w:rFonts w:ascii="Arial" w:hAnsi="Arial" w:cs="Arial"/>
        </w:rPr>
        <w:t xml:space="preserve">This is a new </w:t>
      </w:r>
      <w:r w:rsidRPr="00C45431" w:rsidR="00FE6C30">
        <w:rPr>
          <w:rFonts w:ascii="Arial" w:hAnsi="Arial" w:cs="Arial"/>
        </w:rPr>
        <w:t>information</w:t>
      </w:r>
      <w:r w:rsidRPr="00C45431">
        <w:rPr>
          <w:rFonts w:ascii="Arial" w:hAnsi="Arial" w:cs="Arial"/>
        </w:rPr>
        <w:t xml:space="preserve"> collection.</w:t>
      </w:r>
    </w:p>
    <w:p w:rsidR="009B3794" w:rsidRPr="00BE0B24" w:rsidP="00CE22C5" w14:paraId="22E2A3A0"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Plans for Tabulation</w:t>
      </w:r>
      <w:r w:rsidRPr="00C45431" w:rsidR="002118B4">
        <w:rPr>
          <w:rFonts w:ascii="Arial" w:hAnsi="Arial" w:cs="Arial"/>
          <w:b/>
          <w:sz w:val="24"/>
          <w:u w:val="single"/>
        </w:rPr>
        <w:t xml:space="preserve">, </w:t>
      </w:r>
      <w:r w:rsidRPr="00C45431">
        <w:rPr>
          <w:rFonts w:ascii="Arial" w:hAnsi="Arial" w:cs="Arial"/>
          <w:b/>
          <w:sz w:val="24"/>
          <w:u w:val="single"/>
        </w:rPr>
        <w:t>Publication</w:t>
      </w:r>
      <w:r w:rsidRPr="00C45431" w:rsidR="002118B4">
        <w:rPr>
          <w:rFonts w:ascii="Arial" w:hAnsi="Arial" w:cs="Arial"/>
          <w:b/>
          <w:sz w:val="24"/>
          <w:u w:val="single"/>
        </w:rPr>
        <w:t>,</w:t>
      </w:r>
      <w:r w:rsidRPr="00C45431">
        <w:rPr>
          <w:rFonts w:ascii="Arial" w:hAnsi="Arial" w:cs="Arial"/>
          <w:b/>
          <w:sz w:val="24"/>
          <w:u w:val="single"/>
        </w:rPr>
        <w:t xml:space="preserve"> and Project Time Schedule</w:t>
      </w:r>
    </w:p>
    <w:p w:rsidR="00047A29" w:rsidRPr="00C758EB" w:rsidP="00887EC1" w14:paraId="054BFF71" w14:textId="1436C18C">
      <w:pPr>
        <w:spacing w:before="240"/>
        <w:ind w:left="360"/>
        <w:rPr>
          <w:rFonts w:ascii="Arial" w:hAnsi="Arial" w:cs="Arial"/>
          <w:bCs/>
          <w:sz w:val="24"/>
        </w:rPr>
      </w:pPr>
      <w:r w:rsidRPr="00C758EB">
        <w:rPr>
          <w:rFonts w:ascii="Arial" w:hAnsi="Arial" w:cs="Arial"/>
          <w:bCs/>
          <w:sz w:val="24"/>
        </w:rPr>
        <w:t xml:space="preserve">There are no plans for publishing, tabulating, or manipulating the collected MHAR data. </w:t>
      </w:r>
      <w:r w:rsidRPr="00565C28" w:rsidR="00C758EB">
        <w:rPr>
          <w:rFonts w:ascii="Arial" w:hAnsi="Arial" w:cs="Arial"/>
          <w:bCs/>
          <w:sz w:val="24"/>
        </w:rPr>
        <w:t>The agency is c</w:t>
      </w:r>
      <w:r w:rsidRPr="00C758EB" w:rsidR="00DD47D7">
        <w:rPr>
          <w:rFonts w:ascii="Arial" w:hAnsi="Arial" w:cs="Arial"/>
          <w:bCs/>
          <w:sz w:val="24"/>
        </w:rPr>
        <w:t xml:space="preserve">urrently withholding </w:t>
      </w:r>
      <w:r w:rsidR="00C758EB">
        <w:rPr>
          <w:rFonts w:ascii="Arial" w:hAnsi="Arial" w:cs="Arial"/>
          <w:bCs/>
          <w:sz w:val="24"/>
        </w:rPr>
        <w:t xml:space="preserve">MHAR </w:t>
      </w:r>
      <w:r w:rsidRPr="00C758EB" w:rsidR="00DD47D7">
        <w:rPr>
          <w:rFonts w:ascii="Arial" w:hAnsi="Arial" w:cs="Arial"/>
          <w:bCs/>
          <w:sz w:val="24"/>
        </w:rPr>
        <w:t xml:space="preserve">data </w:t>
      </w:r>
      <w:r w:rsidR="00C758EB">
        <w:rPr>
          <w:rFonts w:ascii="Arial" w:hAnsi="Arial" w:cs="Arial"/>
          <w:bCs/>
          <w:sz w:val="24"/>
        </w:rPr>
        <w:t>because the nature of the data is very sensitive and respondents are continuing to build their capacity to produce reliable and accurate data. Additionally, respondents were told the data would be used to</w:t>
      </w:r>
      <w:r w:rsidRPr="00C758EB" w:rsidR="00C758EB">
        <w:t xml:space="preserve"> </w:t>
      </w:r>
      <w:r w:rsidRPr="00C758EB" w:rsidR="00C758EB">
        <w:rPr>
          <w:rFonts w:ascii="Arial" w:hAnsi="Arial" w:cs="Arial"/>
          <w:bCs/>
          <w:sz w:val="24"/>
        </w:rPr>
        <w:t>monitor grantees’ progress in accessing, analyzing, and using state-level maternal health data</w:t>
      </w:r>
      <w:r w:rsidR="00C758EB">
        <w:rPr>
          <w:rFonts w:ascii="Arial" w:hAnsi="Arial" w:cs="Arial"/>
          <w:bCs/>
          <w:sz w:val="24"/>
        </w:rPr>
        <w:t xml:space="preserve"> and were told the data would not be released to the public</w:t>
      </w:r>
      <w:r w:rsidR="00250516">
        <w:rPr>
          <w:rFonts w:ascii="Arial" w:hAnsi="Arial" w:cs="Arial"/>
          <w:bCs/>
          <w:sz w:val="24"/>
        </w:rPr>
        <w:t xml:space="preserve"> in guidance and trainings</w:t>
      </w:r>
      <w:r w:rsidR="00C758EB">
        <w:rPr>
          <w:rFonts w:ascii="Arial" w:hAnsi="Arial" w:cs="Arial"/>
          <w:bCs/>
          <w:sz w:val="24"/>
        </w:rPr>
        <w:t xml:space="preserve">. </w:t>
      </w:r>
    </w:p>
    <w:p w:rsidR="006076D4" w14:paraId="2533FA13" w14:textId="792C2527">
      <w:pPr>
        <w:widowControl/>
        <w:autoSpaceDE/>
        <w:autoSpaceDN/>
        <w:adjustRightInd/>
        <w:rPr>
          <w:rFonts w:ascii="Arial" w:hAnsi="Arial" w:cs="Arial"/>
          <w:b/>
          <w:sz w:val="24"/>
        </w:rPr>
      </w:pPr>
      <w:r>
        <w:rPr>
          <w:rFonts w:ascii="Arial" w:hAnsi="Arial" w:cs="Arial"/>
          <w:b/>
          <w:sz w:val="24"/>
        </w:rPr>
        <w:br w:type="page"/>
      </w:r>
    </w:p>
    <w:p w:rsidR="00294AF3" w:rsidP="00CA3DA6" w14:paraId="2D9A33CB" w14:textId="77777777">
      <w:pPr>
        <w:spacing w:before="120"/>
        <w:ind w:left="360"/>
        <w:rPr>
          <w:rFonts w:ascii="Arial" w:hAnsi="Arial" w:cs="Arial"/>
          <w:b/>
          <w:sz w:val="24"/>
        </w:rPr>
      </w:pP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35"/>
        <w:gridCol w:w="2970"/>
      </w:tblGrid>
      <w:tr w14:paraId="2921DA21" w14:textId="77777777" w:rsidTr="00294AF3">
        <w:tblPrEx>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835" w:type="dxa"/>
            <w:tcBorders>
              <w:top w:val="single" w:sz="6" w:space="0" w:color="A3A3A3"/>
              <w:left w:val="single" w:sz="6" w:space="0" w:color="A3A3A3"/>
              <w:bottom w:val="single" w:sz="6" w:space="0" w:color="A3A3A3"/>
              <w:right w:val="single" w:sz="6" w:space="0" w:color="A3A3A3"/>
            </w:tcBorders>
            <w:shd w:val="clear" w:color="auto" w:fill="E7E6E6"/>
            <w:hideMark/>
          </w:tcPr>
          <w:p w:rsidR="00294AF3" w:rsidRPr="00294AF3" w:rsidP="00294AF3" w14:paraId="61952FC8" w14:textId="77777777">
            <w:pPr>
              <w:spacing w:before="120"/>
              <w:ind w:left="360"/>
              <w:rPr>
                <w:rFonts w:ascii="Arial" w:hAnsi="Arial" w:cs="Arial"/>
                <w:sz w:val="24"/>
              </w:rPr>
            </w:pPr>
            <w:r w:rsidRPr="00294AF3">
              <w:rPr>
                <w:rFonts w:ascii="Arial" w:hAnsi="Arial" w:cs="Arial"/>
                <w:b/>
                <w:bCs/>
                <w:sz w:val="24"/>
              </w:rPr>
              <w:t>Item</w:t>
            </w:r>
            <w:r w:rsidRPr="00294AF3">
              <w:rPr>
                <w:rFonts w:ascii="Arial" w:hAnsi="Arial" w:cs="Arial"/>
                <w:sz w:val="24"/>
              </w:rPr>
              <w:t> </w:t>
            </w:r>
          </w:p>
        </w:tc>
        <w:tc>
          <w:tcPr>
            <w:tcW w:w="2970" w:type="dxa"/>
            <w:tcBorders>
              <w:top w:val="single" w:sz="6" w:space="0" w:color="A3A3A3"/>
              <w:left w:val="single" w:sz="6" w:space="0" w:color="A3A3A3"/>
              <w:bottom w:val="single" w:sz="6" w:space="0" w:color="A3A3A3"/>
              <w:right w:val="single" w:sz="6" w:space="0" w:color="A3A3A3"/>
            </w:tcBorders>
            <w:shd w:val="clear" w:color="auto" w:fill="E7E6E6"/>
            <w:hideMark/>
          </w:tcPr>
          <w:p w:rsidR="00294AF3" w:rsidRPr="00294AF3" w:rsidP="00294AF3" w14:paraId="3356EF2A" w14:textId="77777777">
            <w:pPr>
              <w:spacing w:before="120"/>
              <w:ind w:left="360"/>
              <w:rPr>
                <w:rFonts w:ascii="Arial" w:hAnsi="Arial" w:cs="Arial"/>
                <w:sz w:val="24"/>
              </w:rPr>
            </w:pPr>
            <w:r w:rsidRPr="00294AF3">
              <w:rPr>
                <w:rFonts w:ascii="Arial" w:hAnsi="Arial" w:cs="Arial"/>
                <w:b/>
                <w:bCs/>
                <w:sz w:val="24"/>
              </w:rPr>
              <w:t>Due Date</w:t>
            </w:r>
            <w:r w:rsidRPr="00294AF3">
              <w:rPr>
                <w:rFonts w:ascii="Arial" w:hAnsi="Arial" w:cs="Arial"/>
                <w:sz w:val="24"/>
              </w:rPr>
              <w:t> </w:t>
            </w:r>
          </w:p>
        </w:tc>
      </w:tr>
      <w:tr w14:paraId="2F084AFC" w14:textId="77777777" w:rsidTr="00294AF3">
        <w:tblPrEx>
          <w:tblW w:w="8805" w:type="dxa"/>
          <w:tblCellMar>
            <w:left w:w="0" w:type="dxa"/>
            <w:right w:w="0" w:type="dxa"/>
          </w:tblCellMar>
          <w:tblLook w:val="04A0"/>
        </w:tblPrEx>
        <w:trPr>
          <w:trHeight w:val="300"/>
        </w:trPr>
        <w:tc>
          <w:tcPr>
            <w:tcW w:w="5835" w:type="dxa"/>
            <w:tcBorders>
              <w:top w:val="single" w:sz="6" w:space="0" w:color="A3A3A3"/>
              <w:left w:val="single" w:sz="6" w:space="0" w:color="A3A3A3"/>
              <w:bottom w:val="single" w:sz="6" w:space="0" w:color="A3A3A3"/>
              <w:right w:val="single" w:sz="6" w:space="0" w:color="A3A3A3"/>
            </w:tcBorders>
            <w:shd w:val="clear" w:color="auto" w:fill="auto"/>
            <w:hideMark/>
          </w:tcPr>
          <w:p w:rsidR="00294AF3" w:rsidRPr="00294AF3" w:rsidP="00294AF3" w14:paraId="12B9DC7D" w14:textId="414FB32D">
            <w:pPr>
              <w:spacing w:before="120"/>
              <w:ind w:left="360"/>
              <w:rPr>
                <w:rFonts w:ascii="Arial" w:hAnsi="Arial" w:cs="Arial"/>
                <w:sz w:val="24"/>
              </w:rPr>
            </w:pPr>
            <w:r>
              <w:rPr>
                <w:rFonts w:ascii="Arial" w:hAnsi="Arial" w:cs="Arial"/>
                <w:sz w:val="24"/>
              </w:rPr>
              <w:t>MHAR</w:t>
            </w:r>
            <w:r w:rsidRPr="00294AF3">
              <w:rPr>
                <w:rFonts w:ascii="Arial" w:hAnsi="Arial" w:cs="Arial"/>
                <w:sz w:val="24"/>
              </w:rPr>
              <w:t xml:space="preserve"> sent to </w:t>
            </w:r>
            <w:r w:rsidR="006B7F43">
              <w:rPr>
                <w:rFonts w:ascii="Arial" w:hAnsi="Arial" w:cs="Arial"/>
                <w:sz w:val="24"/>
              </w:rPr>
              <w:t>grantees</w:t>
            </w:r>
            <w:r w:rsidRPr="00294AF3">
              <w:rPr>
                <w:rFonts w:ascii="Arial" w:hAnsi="Arial" w:cs="Arial"/>
                <w:sz w:val="24"/>
              </w:rPr>
              <w:t> </w:t>
            </w:r>
          </w:p>
        </w:tc>
        <w:tc>
          <w:tcPr>
            <w:tcW w:w="2970" w:type="dxa"/>
            <w:tcBorders>
              <w:top w:val="single" w:sz="6" w:space="0" w:color="A3A3A3"/>
              <w:left w:val="single" w:sz="6" w:space="0" w:color="A3A3A3"/>
              <w:bottom w:val="single" w:sz="6" w:space="0" w:color="A3A3A3"/>
              <w:right w:val="single" w:sz="6" w:space="0" w:color="A3A3A3"/>
            </w:tcBorders>
            <w:shd w:val="clear" w:color="auto" w:fill="auto"/>
            <w:hideMark/>
          </w:tcPr>
          <w:p w:rsidR="00294AF3" w:rsidRPr="00294AF3" w:rsidP="00294AF3" w14:paraId="7F4C593C" w14:textId="068F1A69">
            <w:pPr>
              <w:spacing w:before="120"/>
              <w:ind w:left="360"/>
              <w:rPr>
                <w:rFonts w:ascii="Arial" w:hAnsi="Arial" w:cs="Arial"/>
                <w:sz w:val="24"/>
              </w:rPr>
            </w:pPr>
            <w:r>
              <w:rPr>
                <w:rFonts w:ascii="Arial" w:hAnsi="Arial" w:cs="Arial"/>
                <w:sz w:val="24"/>
              </w:rPr>
              <w:t>August 2</w:t>
            </w:r>
            <w:r w:rsidR="00A97392">
              <w:rPr>
                <w:rFonts w:ascii="Arial" w:hAnsi="Arial" w:cs="Arial"/>
                <w:sz w:val="24"/>
              </w:rPr>
              <w:t>5</w:t>
            </w:r>
            <w:r>
              <w:rPr>
                <w:rFonts w:ascii="Arial" w:hAnsi="Arial" w:cs="Arial"/>
                <w:sz w:val="24"/>
              </w:rPr>
              <w:t xml:space="preserve">, </w:t>
            </w:r>
            <w:r w:rsidRPr="00294AF3">
              <w:rPr>
                <w:rFonts w:ascii="Arial" w:hAnsi="Arial" w:cs="Arial"/>
                <w:sz w:val="24"/>
              </w:rPr>
              <w:t>202</w:t>
            </w:r>
            <w:r w:rsidR="009735C0">
              <w:rPr>
                <w:rFonts w:ascii="Arial" w:hAnsi="Arial" w:cs="Arial"/>
                <w:sz w:val="24"/>
              </w:rPr>
              <w:t>5</w:t>
            </w:r>
            <w:r w:rsidRPr="00294AF3">
              <w:rPr>
                <w:rFonts w:ascii="Arial" w:hAnsi="Arial" w:cs="Arial"/>
                <w:sz w:val="24"/>
              </w:rPr>
              <w:t> </w:t>
            </w:r>
          </w:p>
        </w:tc>
      </w:tr>
      <w:tr w14:paraId="4A49550E" w14:textId="77777777" w:rsidTr="00294AF3">
        <w:tblPrEx>
          <w:tblW w:w="8805" w:type="dxa"/>
          <w:tblCellMar>
            <w:left w:w="0" w:type="dxa"/>
            <w:right w:w="0" w:type="dxa"/>
          </w:tblCellMar>
          <w:tblLook w:val="04A0"/>
        </w:tblPrEx>
        <w:trPr>
          <w:trHeight w:val="300"/>
        </w:trPr>
        <w:tc>
          <w:tcPr>
            <w:tcW w:w="5835" w:type="dxa"/>
            <w:tcBorders>
              <w:top w:val="single" w:sz="6" w:space="0" w:color="A3A3A3"/>
              <w:left w:val="single" w:sz="6" w:space="0" w:color="A3A3A3"/>
              <w:bottom w:val="single" w:sz="6" w:space="0" w:color="A3A3A3"/>
              <w:right w:val="single" w:sz="6" w:space="0" w:color="A3A3A3"/>
            </w:tcBorders>
            <w:shd w:val="clear" w:color="auto" w:fill="auto"/>
            <w:hideMark/>
          </w:tcPr>
          <w:p w:rsidR="00294AF3" w:rsidRPr="00294AF3" w:rsidP="00294AF3" w14:paraId="6C316682" w14:textId="199DC092">
            <w:pPr>
              <w:spacing w:before="120"/>
              <w:ind w:left="360"/>
              <w:rPr>
                <w:rFonts w:ascii="Arial" w:hAnsi="Arial" w:cs="Arial"/>
                <w:sz w:val="24"/>
              </w:rPr>
            </w:pPr>
            <w:r>
              <w:rPr>
                <w:rFonts w:ascii="Arial" w:hAnsi="Arial" w:cs="Arial"/>
                <w:sz w:val="24"/>
              </w:rPr>
              <w:t>MHAR</w:t>
            </w:r>
            <w:r w:rsidRPr="00294AF3">
              <w:rPr>
                <w:rFonts w:ascii="Arial" w:hAnsi="Arial" w:cs="Arial"/>
                <w:sz w:val="24"/>
              </w:rPr>
              <w:t xml:space="preserve"> due from </w:t>
            </w:r>
            <w:r w:rsidR="006B7F43">
              <w:rPr>
                <w:rFonts w:ascii="Arial" w:hAnsi="Arial" w:cs="Arial"/>
                <w:sz w:val="24"/>
              </w:rPr>
              <w:t>grantees</w:t>
            </w:r>
            <w:r w:rsidRPr="00294AF3">
              <w:rPr>
                <w:rFonts w:ascii="Arial" w:hAnsi="Arial" w:cs="Arial"/>
                <w:sz w:val="24"/>
              </w:rPr>
              <w:t> </w:t>
            </w:r>
          </w:p>
        </w:tc>
        <w:tc>
          <w:tcPr>
            <w:tcW w:w="2970" w:type="dxa"/>
            <w:tcBorders>
              <w:top w:val="single" w:sz="6" w:space="0" w:color="A3A3A3"/>
              <w:left w:val="single" w:sz="6" w:space="0" w:color="A3A3A3"/>
              <w:bottom w:val="single" w:sz="6" w:space="0" w:color="A3A3A3"/>
              <w:right w:val="single" w:sz="6" w:space="0" w:color="A3A3A3"/>
            </w:tcBorders>
            <w:shd w:val="clear" w:color="auto" w:fill="auto"/>
            <w:hideMark/>
          </w:tcPr>
          <w:p w:rsidR="00294AF3" w:rsidRPr="00294AF3" w:rsidP="00294AF3" w14:paraId="3E367593" w14:textId="0309C637">
            <w:pPr>
              <w:spacing w:before="120"/>
              <w:ind w:left="360"/>
              <w:rPr>
                <w:rFonts w:ascii="Arial" w:hAnsi="Arial" w:cs="Arial"/>
                <w:sz w:val="24"/>
              </w:rPr>
            </w:pPr>
            <w:r>
              <w:rPr>
                <w:rFonts w:ascii="Arial" w:hAnsi="Arial" w:cs="Arial"/>
                <w:sz w:val="24"/>
              </w:rPr>
              <w:t>September 2</w:t>
            </w:r>
            <w:r w:rsidR="002F234C">
              <w:rPr>
                <w:rFonts w:ascii="Arial" w:hAnsi="Arial" w:cs="Arial"/>
                <w:sz w:val="24"/>
              </w:rPr>
              <w:t>6</w:t>
            </w:r>
            <w:r w:rsidRPr="00294AF3">
              <w:rPr>
                <w:rFonts w:ascii="Arial" w:hAnsi="Arial" w:cs="Arial"/>
                <w:sz w:val="24"/>
              </w:rPr>
              <w:t xml:space="preserve">, </w:t>
            </w:r>
            <w:r w:rsidRPr="00294AF3">
              <w:rPr>
                <w:rFonts w:ascii="Arial" w:hAnsi="Arial" w:cs="Arial"/>
                <w:sz w:val="24"/>
              </w:rPr>
              <w:t>202</w:t>
            </w:r>
            <w:r w:rsidR="009735C0">
              <w:rPr>
                <w:rFonts w:ascii="Arial" w:hAnsi="Arial" w:cs="Arial"/>
                <w:sz w:val="24"/>
              </w:rPr>
              <w:t>5</w:t>
            </w:r>
            <w:r w:rsidRPr="00294AF3">
              <w:rPr>
                <w:rFonts w:ascii="Arial" w:hAnsi="Arial" w:cs="Arial"/>
                <w:sz w:val="24"/>
              </w:rPr>
              <w:t> </w:t>
            </w:r>
          </w:p>
        </w:tc>
      </w:tr>
      <w:tr w14:paraId="3AFF7333" w14:textId="77777777" w:rsidTr="00294AF3">
        <w:tblPrEx>
          <w:tblW w:w="8805" w:type="dxa"/>
          <w:tblCellMar>
            <w:left w:w="0" w:type="dxa"/>
            <w:right w:w="0" w:type="dxa"/>
          </w:tblCellMar>
          <w:tblLook w:val="04A0"/>
        </w:tblPrEx>
        <w:trPr>
          <w:trHeight w:val="300"/>
        </w:trPr>
        <w:tc>
          <w:tcPr>
            <w:tcW w:w="5835" w:type="dxa"/>
            <w:tcBorders>
              <w:top w:val="single" w:sz="6" w:space="0" w:color="A3A3A3"/>
              <w:left w:val="single" w:sz="6" w:space="0" w:color="A3A3A3"/>
              <w:bottom w:val="single" w:sz="6" w:space="0" w:color="A3A3A3"/>
              <w:right w:val="single" w:sz="6" w:space="0" w:color="A3A3A3"/>
            </w:tcBorders>
            <w:shd w:val="clear" w:color="auto" w:fill="auto"/>
            <w:hideMark/>
          </w:tcPr>
          <w:p w:rsidR="00294AF3" w:rsidRPr="00294AF3" w:rsidP="00294AF3" w14:paraId="7A50CCF4" w14:textId="7CD82400">
            <w:pPr>
              <w:spacing w:before="120"/>
              <w:ind w:left="360"/>
              <w:rPr>
                <w:rFonts w:ascii="Arial" w:hAnsi="Arial" w:cs="Arial"/>
                <w:sz w:val="24"/>
              </w:rPr>
            </w:pPr>
            <w:r>
              <w:rPr>
                <w:rFonts w:ascii="Arial" w:hAnsi="Arial" w:cs="Arial"/>
                <w:sz w:val="24"/>
              </w:rPr>
              <w:t xml:space="preserve">MHAR </w:t>
            </w:r>
            <w:r w:rsidRPr="00294AF3">
              <w:rPr>
                <w:rFonts w:ascii="Arial" w:hAnsi="Arial" w:cs="Arial"/>
                <w:sz w:val="24"/>
              </w:rPr>
              <w:t xml:space="preserve">validations and follow-up with </w:t>
            </w:r>
            <w:r w:rsidR="006B7F43">
              <w:rPr>
                <w:rFonts w:ascii="Arial" w:hAnsi="Arial" w:cs="Arial"/>
                <w:sz w:val="24"/>
              </w:rPr>
              <w:t xml:space="preserve">grantees </w:t>
            </w:r>
            <w:r w:rsidRPr="00294AF3">
              <w:rPr>
                <w:rFonts w:ascii="Arial" w:hAnsi="Arial" w:cs="Arial"/>
                <w:sz w:val="24"/>
              </w:rPr>
              <w:t>completed </w:t>
            </w:r>
          </w:p>
        </w:tc>
        <w:tc>
          <w:tcPr>
            <w:tcW w:w="2970" w:type="dxa"/>
            <w:tcBorders>
              <w:top w:val="single" w:sz="6" w:space="0" w:color="A3A3A3"/>
              <w:left w:val="single" w:sz="6" w:space="0" w:color="A3A3A3"/>
              <w:bottom w:val="single" w:sz="6" w:space="0" w:color="A3A3A3"/>
              <w:right w:val="single" w:sz="6" w:space="0" w:color="A3A3A3"/>
            </w:tcBorders>
            <w:shd w:val="clear" w:color="auto" w:fill="auto"/>
            <w:hideMark/>
          </w:tcPr>
          <w:p w:rsidR="00294AF3" w:rsidRPr="00294AF3" w:rsidP="00294AF3" w14:paraId="08D3A8CD" w14:textId="36DE7537">
            <w:pPr>
              <w:spacing w:before="120"/>
              <w:ind w:left="360"/>
              <w:rPr>
                <w:rFonts w:ascii="Arial" w:hAnsi="Arial" w:cs="Arial"/>
                <w:sz w:val="24"/>
              </w:rPr>
            </w:pPr>
            <w:r>
              <w:rPr>
                <w:rFonts w:ascii="Arial" w:hAnsi="Arial" w:cs="Arial"/>
                <w:sz w:val="24"/>
              </w:rPr>
              <w:t>October 11</w:t>
            </w:r>
            <w:r w:rsidRPr="00294AF3">
              <w:rPr>
                <w:rFonts w:ascii="Arial" w:hAnsi="Arial" w:cs="Arial"/>
                <w:sz w:val="24"/>
              </w:rPr>
              <w:t xml:space="preserve">, </w:t>
            </w:r>
            <w:r w:rsidRPr="00294AF3">
              <w:rPr>
                <w:rFonts w:ascii="Arial" w:hAnsi="Arial" w:cs="Arial"/>
                <w:sz w:val="24"/>
              </w:rPr>
              <w:t>202</w:t>
            </w:r>
            <w:r w:rsidR="009735C0">
              <w:rPr>
                <w:rFonts w:ascii="Arial" w:hAnsi="Arial" w:cs="Arial"/>
                <w:sz w:val="24"/>
              </w:rPr>
              <w:t>5</w:t>
            </w:r>
            <w:r w:rsidRPr="00294AF3">
              <w:rPr>
                <w:rFonts w:ascii="Arial" w:hAnsi="Arial" w:cs="Arial"/>
                <w:sz w:val="24"/>
              </w:rPr>
              <w:t> </w:t>
            </w:r>
          </w:p>
        </w:tc>
      </w:tr>
      <w:tr w14:paraId="640E3564" w14:textId="77777777" w:rsidTr="00294AF3">
        <w:tblPrEx>
          <w:tblW w:w="8805" w:type="dxa"/>
          <w:tblCellMar>
            <w:left w:w="0" w:type="dxa"/>
            <w:right w:w="0" w:type="dxa"/>
          </w:tblCellMar>
          <w:tblLook w:val="04A0"/>
        </w:tblPrEx>
        <w:trPr>
          <w:trHeight w:val="300"/>
        </w:trPr>
        <w:tc>
          <w:tcPr>
            <w:tcW w:w="5835" w:type="dxa"/>
            <w:tcBorders>
              <w:top w:val="single" w:sz="6" w:space="0" w:color="A3A3A3"/>
              <w:left w:val="single" w:sz="6" w:space="0" w:color="A3A3A3"/>
              <w:bottom w:val="single" w:sz="6" w:space="0" w:color="A3A3A3"/>
              <w:right w:val="single" w:sz="6" w:space="0" w:color="A3A3A3"/>
            </w:tcBorders>
            <w:shd w:val="clear" w:color="auto" w:fill="auto"/>
            <w:hideMark/>
          </w:tcPr>
          <w:p w:rsidR="00294AF3" w:rsidRPr="00294AF3" w:rsidP="00294AF3" w14:paraId="74F3443D" w14:textId="77777777">
            <w:pPr>
              <w:spacing w:before="120"/>
              <w:ind w:left="360"/>
              <w:rPr>
                <w:rFonts w:ascii="Arial" w:hAnsi="Arial" w:cs="Arial"/>
                <w:sz w:val="24"/>
              </w:rPr>
            </w:pPr>
            <w:r w:rsidRPr="00294AF3">
              <w:rPr>
                <w:rFonts w:ascii="Arial" w:hAnsi="Arial" w:cs="Arial"/>
                <w:sz w:val="24"/>
              </w:rPr>
              <w:t>Review and finalize report summary </w:t>
            </w:r>
          </w:p>
        </w:tc>
        <w:tc>
          <w:tcPr>
            <w:tcW w:w="2970" w:type="dxa"/>
            <w:tcBorders>
              <w:top w:val="single" w:sz="6" w:space="0" w:color="A3A3A3"/>
              <w:left w:val="single" w:sz="6" w:space="0" w:color="A3A3A3"/>
              <w:bottom w:val="single" w:sz="6" w:space="0" w:color="A3A3A3"/>
              <w:right w:val="single" w:sz="6" w:space="0" w:color="A3A3A3"/>
            </w:tcBorders>
            <w:shd w:val="clear" w:color="auto" w:fill="auto"/>
            <w:hideMark/>
          </w:tcPr>
          <w:p w:rsidR="00294AF3" w:rsidRPr="00294AF3" w:rsidP="00294AF3" w14:paraId="338DDAC3" w14:textId="2DB53433">
            <w:pPr>
              <w:spacing w:before="120"/>
              <w:ind w:left="360"/>
              <w:rPr>
                <w:rFonts w:ascii="Arial" w:hAnsi="Arial" w:cs="Arial"/>
                <w:sz w:val="24"/>
              </w:rPr>
            </w:pPr>
            <w:r>
              <w:rPr>
                <w:rFonts w:ascii="Arial" w:hAnsi="Arial" w:cs="Arial"/>
                <w:sz w:val="24"/>
              </w:rPr>
              <w:t>October 18</w:t>
            </w:r>
            <w:r w:rsidRPr="00294AF3">
              <w:rPr>
                <w:rFonts w:ascii="Arial" w:hAnsi="Arial" w:cs="Arial"/>
                <w:sz w:val="24"/>
              </w:rPr>
              <w:t>, 202</w:t>
            </w:r>
            <w:r w:rsidR="009735C0">
              <w:rPr>
                <w:rFonts w:ascii="Arial" w:hAnsi="Arial" w:cs="Arial"/>
                <w:sz w:val="24"/>
              </w:rPr>
              <w:t>5</w:t>
            </w:r>
          </w:p>
        </w:tc>
      </w:tr>
    </w:tbl>
    <w:p w:rsidR="00294AF3" w:rsidRPr="00C45431" w:rsidP="00CA3DA6" w14:paraId="6ECF6C95" w14:textId="77777777">
      <w:pPr>
        <w:spacing w:before="120"/>
        <w:ind w:left="360"/>
        <w:rPr>
          <w:rFonts w:ascii="Arial" w:hAnsi="Arial" w:cs="Arial"/>
          <w:sz w:val="24"/>
        </w:rPr>
      </w:pPr>
    </w:p>
    <w:p w:rsidR="009B3794" w:rsidRPr="00C45431" w:rsidP="00CE22C5" w14:paraId="22E2A3A3"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rsidR="009B3794" w:rsidRPr="000E1984" w:rsidP="0049726E" w14:paraId="22E2A3A4" w14:textId="384AAFDC">
      <w:pPr>
        <w:pStyle w:val="BodyTextIndent"/>
        <w:spacing w:before="120"/>
        <w:ind w:left="0"/>
        <w:rPr>
          <w:rFonts w:ascii="Arial" w:hAnsi="Arial" w:cs="Arial"/>
          <w:bCs/>
        </w:rPr>
      </w:pPr>
      <w:r w:rsidRPr="000E1984">
        <w:rPr>
          <w:rFonts w:ascii="Arial" w:hAnsi="Arial" w:cs="Arial"/>
          <w:bCs/>
        </w:rPr>
        <w:t>The OMB number and Expiration date will be displayed on every page of every form/instrument.</w:t>
      </w:r>
    </w:p>
    <w:p w:rsidR="009B3794" w:rsidRPr="00C45431" w:rsidP="00CE22C5" w14:paraId="22E2A3A5"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rsidR="00013EF0" w:rsidP="0049726E" w14:paraId="22E2A3A6" w14:textId="14E6BFBE">
      <w:pPr>
        <w:pStyle w:val="BodyTextIndent"/>
        <w:spacing w:before="120"/>
        <w:ind w:left="0"/>
        <w:rPr>
          <w:rFonts w:ascii="Arial" w:hAnsi="Arial" w:cs="Arial"/>
          <w:bCs/>
        </w:rPr>
      </w:pPr>
      <w:r w:rsidRPr="000E1984">
        <w:rPr>
          <w:rFonts w:ascii="Arial" w:hAnsi="Arial" w:cs="Arial"/>
          <w:bCs/>
        </w:rPr>
        <w:t>There are no exceptions to the certification</w:t>
      </w:r>
      <w:r w:rsidRPr="000E1984" w:rsidR="000E1984">
        <w:rPr>
          <w:rFonts w:ascii="Arial" w:hAnsi="Arial" w:cs="Arial"/>
          <w:bCs/>
        </w:rPr>
        <w:t>.</w:t>
      </w:r>
    </w:p>
    <w:p w:rsidR="00013EF0" w:rsidRPr="00565C28" w:rsidP="00565C28" w14:paraId="2EE2C0A3" w14:textId="263831CE">
      <w:pPr>
        <w:widowControl/>
        <w:autoSpaceDE/>
        <w:autoSpaceDN/>
        <w:adjustRightInd/>
        <w:rPr>
          <w:rFonts w:ascii="Arial" w:hAnsi="Arial" w:cs="Arial"/>
          <w:bCs/>
          <w:sz w:val="24"/>
        </w:rPr>
      </w:pPr>
    </w:p>
    <w:sectPr w:rsidSect="001D4856">
      <w:footerReference w:type="default" r:id="rId9"/>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14:paraId="22E2A3AC" w14:textId="389F55E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F2F34">
      <w:rPr>
        <w:noProof/>
        <w:sz w:val="24"/>
      </w:rPr>
      <w:t>2</w:t>
    </w:r>
    <w:r>
      <w:rPr>
        <w:sz w:val="24"/>
      </w:rPr>
      <w:fldChar w:fldCharType="end"/>
    </w:r>
  </w:p>
  <w:p w:rsidR="00D92E1D" w14:paraId="22E2A3AD"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6F1F18"/>
    <w:multiLevelType w:val="hybridMultilevel"/>
    <w:tmpl w:val="27F0910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282B27C5"/>
    <w:multiLevelType w:val="hybridMultilevel"/>
    <w:tmpl w:val="F17E004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
    <w:nsid w:val="2AD67E71"/>
    <w:multiLevelType w:val="hybridMultilevel"/>
    <w:tmpl w:val="FA08CB36"/>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5">
    <w:nsid w:val="37724EF7"/>
    <w:multiLevelType w:val="hybridMultilevel"/>
    <w:tmpl w:val="45BCBBC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6">
    <w:nsid w:val="43165BD8"/>
    <w:multiLevelType w:val="hybridMultilevel"/>
    <w:tmpl w:val="6EC868B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7">
    <w:nsid w:val="453962B6"/>
    <w:multiLevelType w:val="hybridMultilevel"/>
    <w:tmpl w:val="AB00D24E"/>
    <w:lvl w:ilvl="0">
      <w:start w:val="3"/>
      <w:numFmt w:val="decimal"/>
      <w:lvlText w:val="%1."/>
      <w:lvlJc w:val="left"/>
      <w:pPr>
        <w:ind w:left="1080" w:hanging="360"/>
      </w:pPr>
      <w:rPr>
        <w:rFonts w:hint="default"/>
        <w:b/>
        <w:b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5DD734C"/>
    <w:multiLevelType w:val="hybridMultilevel"/>
    <w:tmpl w:val="D55CCCB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9">
    <w:nsid w:val="483550B8"/>
    <w:multiLevelType w:val="hybridMultilevel"/>
    <w:tmpl w:val="B5DEB1F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0">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1EF0453"/>
    <w:multiLevelType w:val="hybridMultilevel"/>
    <w:tmpl w:val="300EE9A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2">
    <w:nsid w:val="57B75299"/>
    <w:multiLevelType w:val="hybridMultilevel"/>
    <w:tmpl w:val="EACAF48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3">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6872398E"/>
    <w:multiLevelType w:val="hybridMultilevel"/>
    <w:tmpl w:val="918ADF4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6">
    <w:nsid w:val="6F820BF5"/>
    <w:multiLevelType w:val="hybridMultilevel"/>
    <w:tmpl w:val="DE70FAA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7">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79B974A1"/>
    <w:multiLevelType w:val="hybridMultilevel"/>
    <w:tmpl w:val="2DC2BE2C"/>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bCs/>
        <w:color w:val="auto"/>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7A3A52F3"/>
    <w:multiLevelType w:val="hybridMultilevel"/>
    <w:tmpl w:val="0FE413A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num w:numId="1" w16cid:durableId="1665935422">
    <w:abstractNumId w:val="10"/>
  </w:num>
  <w:num w:numId="2" w16cid:durableId="1826044622">
    <w:abstractNumId w:val="14"/>
  </w:num>
  <w:num w:numId="3" w16cid:durableId="1320308753">
    <w:abstractNumId w:val="18"/>
  </w:num>
  <w:num w:numId="4" w16cid:durableId="2110732317">
    <w:abstractNumId w:val="17"/>
  </w:num>
  <w:num w:numId="5" w16cid:durableId="331832655">
    <w:abstractNumId w:val="2"/>
  </w:num>
  <w:num w:numId="6" w16cid:durableId="1804272224">
    <w:abstractNumId w:val="13"/>
  </w:num>
  <w:num w:numId="7" w16cid:durableId="2093886759">
    <w:abstractNumId w:val="0"/>
  </w:num>
  <w:num w:numId="8" w16cid:durableId="1307128659">
    <w:abstractNumId w:val="7"/>
  </w:num>
  <w:num w:numId="9" w16cid:durableId="1001087479">
    <w:abstractNumId w:val="12"/>
  </w:num>
  <w:num w:numId="10" w16cid:durableId="885793940">
    <w:abstractNumId w:val="19"/>
  </w:num>
  <w:num w:numId="11" w16cid:durableId="237326756">
    <w:abstractNumId w:val="4"/>
  </w:num>
  <w:num w:numId="12" w16cid:durableId="1110392179">
    <w:abstractNumId w:val="5"/>
  </w:num>
  <w:num w:numId="13" w16cid:durableId="1686862363">
    <w:abstractNumId w:val="3"/>
  </w:num>
  <w:num w:numId="14" w16cid:durableId="1758016184">
    <w:abstractNumId w:val="9"/>
  </w:num>
  <w:num w:numId="15" w16cid:durableId="2029256954">
    <w:abstractNumId w:val="8"/>
  </w:num>
  <w:num w:numId="16" w16cid:durableId="502817796">
    <w:abstractNumId w:val="11"/>
  </w:num>
  <w:num w:numId="17" w16cid:durableId="1325431772">
    <w:abstractNumId w:val="15"/>
  </w:num>
  <w:num w:numId="18" w16cid:durableId="879710969">
    <w:abstractNumId w:val="6"/>
  </w:num>
  <w:num w:numId="19" w16cid:durableId="666514033">
    <w:abstractNumId w:val="1"/>
  </w:num>
  <w:num w:numId="20" w16cid:durableId="87951461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06BE"/>
    <w:rsid w:val="00013EF0"/>
    <w:rsid w:val="00015505"/>
    <w:rsid w:val="00020D3D"/>
    <w:rsid w:val="00022260"/>
    <w:rsid w:val="00040A6D"/>
    <w:rsid w:val="00042BEF"/>
    <w:rsid w:val="00043636"/>
    <w:rsid w:val="0004368F"/>
    <w:rsid w:val="00044977"/>
    <w:rsid w:val="00045124"/>
    <w:rsid w:val="00047A29"/>
    <w:rsid w:val="00061AA9"/>
    <w:rsid w:val="00097D8F"/>
    <w:rsid w:val="000B5190"/>
    <w:rsid w:val="000C1DFE"/>
    <w:rsid w:val="000D12BE"/>
    <w:rsid w:val="000D1909"/>
    <w:rsid w:val="000D7585"/>
    <w:rsid w:val="000E1984"/>
    <w:rsid w:val="000E268F"/>
    <w:rsid w:val="000F4CBD"/>
    <w:rsid w:val="00102361"/>
    <w:rsid w:val="001204B1"/>
    <w:rsid w:val="001225A9"/>
    <w:rsid w:val="0013063F"/>
    <w:rsid w:val="001325B2"/>
    <w:rsid w:val="00135261"/>
    <w:rsid w:val="00141C73"/>
    <w:rsid w:val="00142F9B"/>
    <w:rsid w:val="00144D2C"/>
    <w:rsid w:val="00147721"/>
    <w:rsid w:val="00151281"/>
    <w:rsid w:val="00157673"/>
    <w:rsid w:val="0016187E"/>
    <w:rsid w:val="00163707"/>
    <w:rsid w:val="001747AC"/>
    <w:rsid w:val="00183A07"/>
    <w:rsid w:val="00191447"/>
    <w:rsid w:val="001920C3"/>
    <w:rsid w:val="00194CA2"/>
    <w:rsid w:val="00196371"/>
    <w:rsid w:val="001B0264"/>
    <w:rsid w:val="001C5BE0"/>
    <w:rsid w:val="001C7C3C"/>
    <w:rsid w:val="001D051D"/>
    <w:rsid w:val="001D4856"/>
    <w:rsid w:val="001E04AA"/>
    <w:rsid w:val="001E79C0"/>
    <w:rsid w:val="001F2465"/>
    <w:rsid w:val="001F27A4"/>
    <w:rsid w:val="0020259D"/>
    <w:rsid w:val="002061DE"/>
    <w:rsid w:val="002118B4"/>
    <w:rsid w:val="002303BF"/>
    <w:rsid w:val="00235A3B"/>
    <w:rsid w:val="002418CB"/>
    <w:rsid w:val="002426E8"/>
    <w:rsid w:val="00244ABF"/>
    <w:rsid w:val="00250516"/>
    <w:rsid w:val="00254CEF"/>
    <w:rsid w:val="002553F9"/>
    <w:rsid w:val="00255E23"/>
    <w:rsid w:val="00260491"/>
    <w:rsid w:val="00260C1F"/>
    <w:rsid w:val="002611AB"/>
    <w:rsid w:val="002640E7"/>
    <w:rsid w:val="00271C96"/>
    <w:rsid w:val="00275C64"/>
    <w:rsid w:val="0028094D"/>
    <w:rsid w:val="00281924"/>
    <w:rsid w:val="00294AF3"/>
    <w:rsid w:val="0029726E"/>
    <w:rsid w:val="00297DCF"/>
    <w:rsid w:val="002A4E78"/>
    <w:rsid w:val="002D085B"/>
    <w:rsid w:val="002D0947"/>
    <w:rsid w:val="002D38E8"/>
    <w:rsid w:val="002D413D"/>
    <w:rsid w:val="002E3BF0"/>
    <w:rsid w:val="002F00C2"/>
    <w:rsid w:val="002F234C"/>
    <w:rsid w:val="002F37F4"/>
    <w:rsid w:val="003064B0"/>
    <w:rsid w:val="0031078D"/>
    <w:rsid w:val="003110AE"/>
    <w:rsid w:val="003124DE"/>
    <w:rsid w:val="003130C3"/>
    <w:rsid w:val="00314E89"/>
    <w:rsid w:val="00316423"/>
    <w:rsid w:val="00317FF6"/>
    <w:rsid w:val="003203D5"/>
    <w:rsid w:val="003210C3"/>
    <w:rsid w:val="00322251"/>
    <w:rsid w:val="00322313"/>
    <w:rsid w:val="00323ED4"/>
    <w:rsid w:val="00330EBA"/>
    <w:rsid w:val="0033123B"/>
    <w:rsid w:val="003421FF"/>
    <w:rsid w:val="003465E1"/>
    <w:rsid w:val="00347600"/>
    <w:rsid w:val="003504E7"/>
    <w:rsid w:val="00353E25"/>
    <w:rsid w:val="003574B7"/>
    <w:rsid w:val="00374A67"/>
    <w:rsid w:val="00391E16"/>
    <w:rsid w:val="00394D63"/>
    <w:rsid w:val="00395487"/>
    <w:rsid w:val="003A1EE6"/>
    <w:rsid w:val="003B474E"/>
    <w:rsid w:val="003B7757"/>
    <w:rsid w:val="003C6F86"/>
    <w:rsid w:val="003D23B1"/>
    <w:rsid w:val="003F6CF6"/>
    <w:rsid w:val="003F6FE5"/>
    <w:rsid w:val="00412636"/>
    <w:rsid w:val="004153B8"/>
    <w:rsid w:val="004235DD"/>
    <w:rsid w:val="00434594"/>
    <w:rsid w:val="0046368C"/>
    <w:rsid w:val="0047031F"/>
    <w:rsid w:val="004706D5"/>
    <w:rsid w:val="00472847"/>
    <w:rsid w:val="004746CA"/>
    <w:rsid w:val="00475404"/>
    <w:rsid w:val="0048026F"/>
    <w:rsid w:val="00482AD3"/>
    <w:rsid w:val="00486EA2"/>
    <w:rsid w:val="00490720"/>
    <w:rsid w:val="00490CE7"/>
    <w:rsid w:val="0049726E"/>
    <w:rsid w:val="004A2E12"/>
    <w:rsid w:val="004A6F4E"/>
    <w:rsid w:val="004C2E6A"/>
    <w:rsid w:val="004C3DC3"/>
    <w:rsid w:val="004E22BB"/>
    <w:rsid w:val="004E687D"/>
    <w:rsid w:val="004E72A4"/>
    <w:rsid w:val="005010C8"/>
    <w:rsid w:val="00503BAB"/>
    <w:rsid w:val="00504B44"/>
    <w:rsid w:val="00504FF8"/>
    <w:rsid w:val="005077CD"/>
    <w:rsid w:val="00517637"/>
    <w:rsid w:val="00525F04"/>
    <w:rsid w:val="00531981"/>
    <w:rsid w:val="0053586A"/>
    <w:rsid w:val="00536B6B"/>
    <w:rsid w:val="00544BE0"/>
    <w:rsid w:val="00544C1A"/>
    <w:rsid w:val="00546DB7"/>
    <w:rsid w:val="005472CA"/>
    <w:rsid w:val="00551D7D"/>
    <w:rsid w:val="005553AB"/>
    <w:rsid w:val="005561C9"/>
    <w:rsid w:val="00562853"/>
    <w:rsid w:val="00565C28"/>
    <w:rsid w:val="00566C3B"/>
    <w:rsid w:val="00571843"/>
    <w:rsid w:val="00572E7B"/>
    <w:rsid w:val="00573648"/>
    <w:rsid w:val="00576B08"/>
    <w:rsid w:val="00581ED7"/>
    <w:rsid w:val="00584D74"/>
    <w:rsid w:val="0058549D"/>
    <w:rsid w:val="005939D1"/>
    <w:rsid w:val="005A3594"/>
    <w:rsid w:val="005C0D8C"/>
    <w:rsid w:val="005C3764"/>
    <w:rsid w:val="005C39C5"/>
    <w:rsid w:val="005D524A"/>
    <w:rsid w:val="005D5C4C"/>
    <w:rsid w:val="005D65E7"/>
    <w:rsid w:val="005D7625"/>
    <w:rsid w:val="005E1765"/>
    <w:rsid w:val="005F0A87"/>
    <w:rsid w:val="005F1C2E"/>
    <w:rsid w:val="005F2E17"/>
    <w:rsid w:val="005F5F05"/>
    <w:rsid w:val="00600118"/>
    <w:rsid w:val="006076D4"/>
    <w:rsid w:val="00610BAF"/>
    <w:rsid w:val="006113BB"/>
    <w:rsid w:val="006158FF"/>
    <w:rsid w:val="00617CF3"/>
    <w:rsid w:val="00624019"/>
    <w:rsid w:val="00624678"/>
    <w:rsid w:val="00627DF9"/>
    <w:rsid w:val="00627FFD"/>
    <w:rsid w:val="00630E9E"/>
    <w:rsid w:val="00635564"/>
    <w:rsid w:val="00640142"/>
    <w:rsid w:val="00640DDC"/>
    <w:rsid w:val="00642275"/>
    <w:rsid w:val="00647F14"/>
    <w:rsid w:val="00651DAC"/>
    <w:rsid w:val="0065202A"/>
    <w:rsid w:val="00656C44"/>
    <w:rsid w:val="0066345B"/>
    <w:rsid w:val="00671BE7"/>
    <w:rsid w:val="00676FAF"/>
    <w:rsid w:val="00677E60"/>
    <w:rsid w:val="00680D76"/>
    <w:rsid w:val="0068330C"/>
    <w:rsid w:val="00690CE2"/>
    <w:rsid w:val="0069334F"/>
    <w:rsid w:val="006A72FE"/>
    <w:rsid w:val="006B0C76"/>
    <w:rsid w:val="006B3150"/>
    <w:rsid w:val="006B46F1"/>
    <w:rsid w:val="006B7F43"/>
    <w:rsid w:val="006C4478"/>
    <w:rsid w:val="006D2D4A"/>
    <w:rsid w:val="006D44B7"/>
    <w:rsid w:val="006E7E89"/>
    <w:rsid w:val="006F6896"/>
    <w:rsid w:val="00701B5C"/>
    <w:rsid w:val="00705448"/>
    <w:rsid w:val="00707080"/>
    <w:rsid w:val="00710F56"/>
    <w:rsid w:val="00723E44"/>
    <w:rsid w:val="0073114C"/>
    <w:rsid w:val="00734A32"/>
    <w:rsid w:val="007378E5"/>
    <w:rsid w:val="00740324"/>
    <w:rsid w:val="007425CD"/>
    <w:rsid w:val="007454E3"/>
    <w:rsid w:val="00755054"/>
    <w:rsid w:val="00760AF0"/>
    <w:rsid w:val="007A13B5"/>
    <w:rsid w:val="007A3723"/>
    <w:rsid w:val="007A79D2"/>
    <w:rsid w:val="007B0D3C"/>
    <w:rsid w:val="007B5C59"/>
    <w:rsid w:val="007C22E4"/>
    <w:rsid w:val="007C5E1B"/>
    <w:rsid w:val="007D51F1"/>
    <w:rsid w:val="007E05FF"/>
    <w:rsid w:val="007E1989"/>
    <w:rsid w:val="007F047A"/>
    <w:rsid w:val="007F27DF"/>
    <w:rsid w:val="00800259"/>
    <w:rsid w:val="008002AB"/>
    <w:rsid w:val="00803A25"/>
    <w:rsid w:val="00803EB4"/>
    <w:rsid w:val="00805D68"/>
    <w:rsid w:val="0080707B"/>
    <w:rsid w:val="00811BEF"/>
    <w:rsid w:val="0082567A"/>
    <w:rsid w:val="0082795E"/>
    <w:rsid w:val="00827FEA"/>
    <w:rsid w:val="00830285"/>
    <w:rsid w:val="0085239F"/>
    <w:rsid w:val="008555FE"/>
    <w:rsid w:val="0087394D"/>
    <w:rsid w:val="00874176"/>
    <w:rsid w:val="00876176"/>
    <w:rsid w:val="0087713D"/>
    <w:rsid w:val="008775CF"/>
    <w:rsid w:val="00887EC1"/>
    <w:rsid w:val="00892876"/>
    <w:rsid w:val="00894639"/>
    <w:rsid w:val="008A7558"/>
    <w:rsid w:val="008B04CA"/>
    <w:rsid w:val="008B6BB7"/>
    <w:rsid w:val="008C265D"/>
    <w:rsid w:val="008D035F"/>
    <w:rsid w:val="008D0DD7"/>
    <w:rsid w:val="008D2D67"/>
    <w:rsid w:val="008E010A"/>
    <w:rsid w:val="008E58DB"/>
    <w:rsid w:val="008F05C9"/>
    <w:rsid w:val="008F0D05"/>
    <w:rsid w:val="008F55C2"/>
    <w:rsid w:val="008F6C97"/>
    <w:rsid w:val="009120CF"/>
    <w:rsid w:val="0091449C"/>
    <w:rsid w:val="00922CC2"/>
    <w:rsid w:val="00923682"/>
    <w:rsid w:val="00924782"/>
    <w:rsid w:val="00927442"/>
    <w:rsid w:val="00930258"/>
    <w:rsid w:val="00931858"/>
    <w:rsid w:val="009333B8"/>
    <w:rsid w:val="00935E77"/>
    <w:rsid w:val="009376AE"/>
    <w:rsid w:val="00937E85"/>
    <w:rsid w:val="00940D53"/>
    <w:rsid w:val="00951E96"/>
    <w:rsid w:val="00962F25"/>
    <w:rsid w:val="0097077B"/>
    <w:rsid w:val="00972E8D"/>
    <w:rsid w:val="009735C0"/>
    <w:rsid w:val="0098201A"/>
    <w:rsid w:val="00983DA2"/>
    <w:rsid w:val="009841F9"/>
    <w:rsid w:val="00992624"/>
    <w:rsid w:val="00996985"/>
    <w:rsid w:val="009A0633"/>
    <w:rsid w:val="009A217A"/>
    <w:rsid w:val="009B3794"/>
    <w:rsid w:val="009B38FA"/>
    <w:rsid w:val="009B7E4D"/>
    <w:rsid w:val="009C1704"/>
    <w:rsid w:val="009C2E1C"/>
    <w:rsid w:val="009D03AE"/>
    <w:rsid w:val="009D6510"/>
    <w:rsid w:val="009D6B72"/>
    <w:rsid w:val="009E249C"/>
    <w:rsid w:val="009F0268"/>
    <w:rsid w:val="00A00F2F"/>
    <w:rsid w:val="00A10D46"/>
    <w:rsid w:val="00A11047"/>
    <w:rsid w:val="00A11CEB"/>
    <w:rsid w:val="00A1688A"/>
    <w:rsid w:val="00A21683"/>
    <w:rsid w:val="00A21AFD"/>
    <w:rsid w:val="00A21DCA"/>
    <w:rsid w:val="00A26F6F"/>
    <w:rsid w:val="00A32F4A"/>
    <w:rsid w:val="00A34282"/>
    <w:rsid w:val="00A5241B"/>
    <w:rsid w:val="00A5544F"/>
    <w:rsid w:val="00A720BF"/>
    <w:rsid w:val="00A92CAB"/>
    <w:rsid w:val="00A92F32"/>
    <w:rsid w:val="00A97392"/>
    <w:rsid w:val="00AA7ADE"/>
    <w:rsid w:val="00AB2A0B"/>
    <w:rsid w:val="00AB3D35"/>
    <w:rsid w:val="00AB4017"/>
    <w:rsid w:val="00AB70AA"/>
    <w:rsid w:val="00AC18C6"/>
    <w:rsid w:val="00AC6BCE"/>
    <w:rsid w:val="00AE65F9"/>
    <w:rsid w:val="00AE7154"/>
    <w:rsid w:val="00AE7F24"/>
    <w:rsid w:val="00AF0DF9"/>
    <w:rsid w:val="00AF177C"/>
    <w:rsid w:val="00AF3AF9"/>
    <w:rsid w:val="00B002D1"/>
    <w:rsid w:val="00B00D08"/>
    <w:rsid w:val="00B02F21"/>
    <w:rsid w:val="00B1193E"/>
    <w:rsid w:val="00B20CBA"/>
    <w:rsid w:val="00B21386"/>
    <w:rsid w:val="00B21566"/>
    <w:rsid w:val="00B32BC1"/>
    <w:rsid w:val="00B336B2"/>
    <w:rsid w:val="00B341CB"/>
    <w:rsid w:val="00B54A15"/>
    <w:rsid w:val="00B6127B"/>
    <w:rsid w:val="00B655C6"/>
    <w:rsid w:val="00B66515"/>
    <w:rsid w:val="00B7322F"/>
    <w:rsid w:val="00B824D3"/>
    <w:rsid w:val="00B832AC"/>
    <w:rsid w:val="00B83A4C"/>
    <w:rsid w:val="00B84BC7"/>
    <w:rsid w:val="00B9560A"/>
    <w:rsid w:val="00B96FC6"/>
    <w:rsid w:val="00BA1A0C"/>
    <w:rsid w:val="00BA1E30"/>
    <w:rsid w:val="00BC6B07"/>
    <w:rsid w:val="00BC7534"/>
    <w:rsid w:val="00BD55DA"/>
    <w:rsid w:val="00BE0B24"/>
    <w:rsid w:val="00BE35B2"/>
    <w:rsid w:val="00BF2F34"/>
    <w:rsid w:val="00BF3DBD"/>
    <w:rsid w:val="00BF5B4F"/>
    <w:rsid w:val="00C0182C"/>
    <w:rsid w:val="00C076B8"/>
    <w:rsid w:val="00C11CD6"/>
    <w:rsid w:val="00C225F8"/>
    <w:rsid w:val="00C2298E"/>
    <w:rsid w:val="00C25FCE"/>
    <w:rsid w:val="00C27EDF"/>
    <w:rsid w:val="00C45431"/>
    <w:rsid w:val="00C54534"/>
    <w:rsid w:val="00C55E1C"/>
    <w:rsid w:val="00C57B4E"/>
    <w:rsid w:val="00C70B08"/>
    <w:rsid w:val="00C715F4"/>
    <w:rsid w:val="00C71859"/>
    <w:rsid w:val="00C74B86"/>
    <w:rsid w:val="00C758EB"/>
    <w:rsid w:val="00C75D66"/>
    <w:rsid w:val="00C8110A"/>
    <w:rsid w:val="00C92A18"/>
    <w:rsid w:val="00C96292"/>
    <w:rsid w:val="00C968F8"/>
    <w:rsid w:val="00C96B11"/>
    <w:rsid w:val="00CA3DA6"/>
    <w:rsid w:val="00CA4A59"/>
    <w:rsid w:val="00CC438D"/>
    <w:rsid w:val="00CD36E7"/>
    <w:rsid w:val="00CE22C5"/>
    <w:rsid w:val="00CE5AA9"/>
    <w:rsid w:val="00D034AE"/>
    <w:rsid w:val="00D117AC"/>
    <w:rsid w:val="00D11CA3"/>
    <w:rsid w:val="00D14817"/>
    <w:rsid w:val="00D206A8"/>
    <w:rsid w:val="00D229F8"/>
    <w:rsid w:val="00D350BD"/>
    <w:rsid w:val="00D35581"/>
    <w:rsid w:val="00D37318"/>
    <w:rsid w:val="00D456EE"/>
    <w:rsid w:val="00D46313"/>
    <w:rsid w:val="00D519BD"/>
    <w:rsid w:val="00D55739"/>
    <w:rsid w:val="00D56178"/>
    <w:rsid w:val="00D5631F"/>
    <w:rsid w:val="00D56CC2"/>
    <w:rsid w:val="00D57AF9"/>
    <w:rsid w:val="00D60FB3"/>
    <w:rsid w:val="00D653F6"/>
    <w:rsid w:val="00D70602"/>
    <w:rsid w:val="00D71E31"/>
    <w:rsid w:val="00D74B86"/>
    <w:rsid w:val="00D80938"/>
    <w:rsid w:val="00D80E4B"/>
    <w:rsid w:val="00D81B67"/>
    <w:rsid w:val="00D8488A"/>
    <w:rsid w:val="00D91A79"/>
    <w:rsid w:val="00D92D11"/>
    <w:rsid w:val="00D92E1D"/>
    <w:rsid w:val="00DA07CA"/>
    <w:rsid w:val="00DA676E"/>
    <w:rsid w:val="00DB5881"/>
    <w:rsid w:val="00DD47D7"/>
    <w:rsid w:val="00DE2A02"/>
    <w:rsid w:val="00DE3A45"/>
    <w:rsid w:val="00E00CEE"/>
    <w:rsid w:val="00E03BCE"/>
    <w:rsid w:val="00E04E14"/>
    <w:rsid w:val="00E061F2"/>
    <w:rsid w:val="00E06499"/>
    <w:rsid w:val="00E1028E"/>
    <w:rsid w:val="00E203FA"/>
    <w:rsid w:val="00E34A1F"/>
    <w:rsid w:val="00E424C2"/>
    <w:rsid w:val="00E447B0"/>
    <w:rsid w:val="00E45753"/>
    <w:rsid w:val="00E51C1B"/>
    <w:rsid w:val="00E53FD3"/>
    <w:rsid w:val="00E54302"/>
    <w:rsid w:val="00E54358"/>
    <w:rsid w:val="00E61AB8"/>
    <w:rsid w:val="00E731A2"/>
    <w:rsid w:val="00E8198A"/>
    <w:rsid w:val="00E86C69"/>
    <w:rsid w:val="00E87554"/>
    <w:rsid w:val="00E94991"/>
    <w:rsid w:val="00E94FCD"/>
    <w:rsid w:val="00E962DB"/>
    <w:rsid w:val="00E97256"/>
    <w:rsid w:val="00EA447D"/>
    <w:rsid w:val="00EB4426"/>
    <w:rsid w:val="00EC2897"/>
    <w:rsid w:val="00EC38CD"/>
    <w:rsid w:val="00EC49D7"/>
    <w:rsid w:val="00EC5372"/>
    <w:rsid w:val="00ED18EA"/>
    <w:rsid w:val="00ED7406"/>
    <w:rsid w:val="00EE0DC7"/>
    <w:rsid w:val="00EE454A"/>
    <w:rsid w:val="00EE529C"/>
    <w:rsid w:val="00EE6A81"/>
    <w:rsid w:val="00EF1D6C"/>
    <w:rsid w:val="00F109A3"/>
    <w:rsid w:val="00F12335"/>
    <w:rsid w:val="00F1474D"/>
    <w:rsid w:val="00F14E3A"/>
    <w:rsid w:val="00F17A13"/>
    <w:rsid w:val="00F20B41"/>
    <w:rsid w:val="00F23F2E"/>
    <w:rsid w:val="00F300C4"/>
    <w:rsid w:val="00F3555E"/>
    <w:rsid w:val="00F400C9"/>
    <w:rsid w:val="00F4221E"/>
    <w:rsid w:val="00F43582"/>
    <w:rsid w:val="00F51500"/>
    <w:rsid w:val="00F552CB"/>
    <w:rsid w:val="00F60DFB"/>
    <w:rsid w:val="00F61037"/>
    <w:rsid w:val="00F714E3"/>
    <w:rsid w:val="00F73C3E"/>
    <w:rsid w:val="00F75F3A"/>
    <w:rsid w:val="00F77153"/>
    <w:rsid w:val="00F948A6"/>
    <w:rsid w:val="00FA0482"/>
    <w:rsid w:val="00FA4BA2"/>
    <w:rsid w:val="00FA4D63"/>
    <w:rsid w:val="00FC36D4"/>
    <w:rsid w:val="00FC54A3"/>
    <w:rsid w:val="00FC703C"/>
    <w:rsid w:val="00FE6C30"/>
    <w:rsid w:val="00FF16F0"/>
    <w:rsid w:val="00FF2E45"/>
    <w:rsid w:val="00FF5A06"/>
    <w:rsid w:val="0A5E7C83"/>
    <w:rsid w:val="0C280075"/>
    <w:rsid w:val="0E8E3A61"/>
    <w:rsid w:val="0F76F8CD"/>
    <w:rsid w:val="141C80F1"/>
    <w:rsid w:val="154B072B"/>
    <w:rsid w:val="17886ABE"/>
    <w:rsid w:val="18F994A4"/>
    <w:rsid w:val="1E115928"/>
    <w:rsid w:val="1F3C05D7"/>
    <w:rsid w:val="20DBB20C"/>
    <w:rsid w:val="26174355"/>
    <w:rsid w:val="294B3E1F"/>
    <w:rsid w:val="299D149C"/>
    <w:rsid w:val="2AC830A8"/>
    <w:rsid w:val="2AD167E7"/>
    <w:rsid w:val="2C475A69"/>
    <w:rsid w:val="2C887F78"/>
    <w:rsid w:val="3397774D"/>
    <w:rsid w:val="3496344D"/>
    <w:rsid w:val="37490F4C"/>
    <w:rsid w:val="38044AD5"/>
    <w:rsid w:val="385F044C"/>
    <w:rsid w:val="3938457E"/>
    <w:rsid w:val="3AAACFA1"/>
    <w:rsid w:val="3D514126"/>
    <w:rsid w:val="3F8CA0B1"/>
    <w:rsid w:val="418427F8"/>
    <w:rsid w:val="418D5D87"/>
    <w:rsid w:val="452AA331"/>
    <w:rsid w:val="474BB24C"/>
    <w:rsid w:val="49C27E9C"/>
    <w:rsid w:val="49FBA520"/>
    <w:rsid w:val="4B0CB098"/>
    <w:rsid w:val="4B8F799B"/>
    <w:rsid w:val="4E2333CF"/>
    <w:rsid w:val="4EEE6132"/>
    <w:rsid w:val="52F6A4F2"/>
    <w:rsid w:val="54B5F461"/>
    <w:rsid w:val="56490E98"/>
    <w:rsid w:val="57991CC5"/>
    <w:rsid w:val="5A51F633"/>
    <w:rsid w:val="5CABA241"/>
    <w:rsid w:val="5DC48748"/>
    <w:rsid w:val="5EC29377"/>
    <w:rsid w:val="5F7B7FC2"/>
    <w:rsid w:val="61F214DD"/>
    <w:rsid w:val="64B086A3"/>
    <w:rsid w:val="656A33B1"/>
    <w:rsid w:val="68814F14"/>
    <w:rsid w:val="6B7FCEC6"/>
    <w:rsid w:val="6EB86ACA"/>
    <w:rsid w:val="73E01283"/>
    <w:rsid w:val="75E35865"/>
    <w:rsid w:val="793D9200"/>
    <w:rsid w:val="7A66DCE2"/>
    <w:rsid w:val="7D8E9D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FF023347-AE27-49BA-A2DF-6D4DD91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4">
    <w:name w:val="heading 4"/>
    <w:basedOn w:val="Normal"/>
    <w:next w:val="Normal"/>
    <w:link w:val="Heading4Char"/>
    <w:semiHidden/>
    <w:unhideWhenUsed/>
    <w:qFormat/>
    <w:rsid w:val="008E010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semiHidden/>
    <w:unhideWhenUsed/>
    <w:rsid w:val="00E51C1B"/>
    <w:pPr>
      <w:tabs>
        <w:tab w:val="center" w:pos="4680"/>
        <w:tab w:val="right" w:pos="9360"/>
      </w:tabs>
    </w:pPr>
  </w:style>
  <w:style w:type="character" w:customStyle="1" w:styleId="HeaderChar">
    <w:name w:val="Header Char"/>
    <w:basedOn w:val="DefaultParagraphFont"/>
    <w:link w:val="Header"/>
    <w:semiHidden/>
    <w:rsid w:val="00E51C1B"/>
    <w:rPr>
      <w:szCs w:val="24"/>
    </w:rPr>
  </w:style>
  <w:style w:type="paragraph" w:styleId="Footer">
    <w:name w:val="footer"/>
    <w:basedOn w:val="Normal"/>
    <w:link w:val="FooterChar"/>
    <w:semiHidden/>
    <w:unhideWhenUsed/>
    <w:rsid w:val="00E51C1B"/>
    <w:pPr>
      <w:tabs>
        <w:tab w:val="center" w:pos="4680"/>
        <w:tab w:val="right" w:pos="9360"/>
      </w:tabs>
    </w:pPr>
  </w:style>
  <w:style w:type="character" w:customStyle="1" w:styleId="FooterChar">
    <w:name w:val="Footer Char"/>
    <w:basedOn w:val="DefaultParagraphFont"/>
    <w:link w:val="Footer"/>
    <w:semiHidden/>
    <w:rsid w:val="00E51C1B"/>
    <w:rPr>
      <w:szCs w:val="24"/>
    </w:rPr>
  </w:style>
  <w:style w:type="character" w:customStyle="1" w:styleId="normaltextrun">
    <w:name w:val="normaltextrun"/>
    <w:basedOn w:val="DefaultParagraphFont"/>
    <w:rsid w:val="00566C3B"/>
  </w:style>
  <w:style w:type="character" w:styleId="FollowedHyperlink">
    <w:name w:val="FollowedHyperlink"/>
    <w:basedOn w:val="DefaultParagraphFont"/>
    <w:semiHidden/>
    <w:unhideWhenUsed/>
    <w:rsid w:val="003C6F86"/>
    <w:rPr>
      <w:color w:val="800080" w:themeColor="followedHyperlink"/>
      <w:u w:val="single"/>
    </w:rPr>
  </w:style>
  <w:style w:type="character" w:styleId="UnresolvedMention">
    <w:name w:val="Unresolved Mention"/>
    <w:basedOn w:val="DefaultParagraphFont"/>
    <w:uiPriority w:val="99"/>
    <w:semiHidden/>
    <w:unhideWhenUsed/>
    <w:rsid w:val="00F1474D"/>
    <w:rPr>
      <w:color w:val="605E5C"/>
      <w:shd w:val="clear" w:color="auto" w:fill="E1DFDD"/>
    </w:rPr>
  </w:style>
  <w:style w:type="paragraph" w:customStyle="1" w:styleId="paragraph">
    <w:name w:val="paragraph"/>
    <w:basedOn w:val="Normal"/>
    <w:rsid w:val="00F51500"/>
    <w:pPr>
      <w:widowControl/>
      <w:autoSpaceDE/>
      <w:autoSpaceDN/>
      <w:adjustRightInd/>
      <w:spacing w:before="100" w:beforeAutospacing="1" w:after="100" w:afterAutospacing="1"/>
    </w:pPr>
    <w:rPr>
      <w:sz w:val="24"/>
    </w:rPr>
  </w:style>
  <w:style w:type="character" w:customStyle="1" w:styleId="eop">
    <w:name w:val="eop"/>
    <w:basedOn w:val="DefaultParagraphFont"/>
    <w:rsid w:val="00F51500"/>
  </w:style>
  <w:style w:type="character" w:customStyle="1" w:styleId="Heading4Char">
    <w:name w:val="Heading 4 Char"/>
    <w:basedOn w:val="DefaultParagraphFont"/>
    <w:link w:val="Heading4"/>
    <w:semiHidden/>
    <w:rsid w:val="008E010A"/>
    <w:rPr>
      <w:rFonts w:asciiTheme="majorHAnsi" w:eastAsiaTheme="majorEastAsia" w:hAnsiTheme="majorHAnsi" w:cstheme="majorBidi"/>
      <w:i/>
      <w:iCs/>
      <w:color w:val="365F91" w:themeColor="accent1" w:themeShade="BF"/>
      <w:szCs w:val="24"/>
    </w:rPr>
  </w:style>
  <w:style w:type="paragraph" w:customStyle="1" w:styleId="Default">
    <w:name w:val="Default"/>
    <w:rsid w:val="007E198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19111.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F244A32179640B2BFB446DD35D374" ma:contentTypeVersion="25" ma:contentTypeDescription="Create a new document." ma:contentTypeScope="" ma:versionID="da92b2374ae6bdefd771a2eccdcf85e4">
  <xsd:schema xmlns:xsd="http://www.w3.org/2001/XMLSchema" xmlns:xs="http://www.w3.org/2001/XMLSchema" xmlns:p="http://schemas.microsoft.com/office/2006/metadata/properties" xmlns:ns2="f12dafca-ffd2-47b9-a7dc-ea73860b958a" xmlns:ns3="9eb54f51-5fa9-4a6d-a624-f4d0fbec5ed5" targetNamespace="http://schemas.microsoft.com/office/2006/metadata/properties" ma:root="true" ma:fieldsID="3efdf8930adf15b181ecd76c268450e8" ns2:_="" ns3:_="">
    <xsd:import namespace="f12dafca-ffd2-47b9-a7dc-ea73860b958a"/>
    <xsd:import namespace="9eb54f51-5fa9-4a6d-a624-f4d0fbec5ed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b54f51-5fa9-4a6d-a624-f4d0fbec5ed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12dafca-ffd2-47b9-a7dc-ea73860b958a">CHY75YFUAV2K-1737966316-15581</_dlc_DocId>
    <_dlc_DocIdUrl xmlns="f12dafca-ffd2-47b9-a7dc-ea73860b958a">
      <Url>https://nih.sharepoint.com/sites/HRSA-MCHB/MCHB-Team/dhsps/_layouts/15/DocIdRedir.aspx?ID=CHY75YFUAV2K-1737966316-15581</Url>
      <Description>CHY75YFUAV2K-1737966316-15581</Description>
    </_dlc_DocIdUrl>
    <lcf76f155ced4ddcb4097134ff3c332f xmlns="9eb54f51-5fa9-4a6d-a624-f4d0fbec5ed5">
      <Terms xmlns="http://schemas.microsoft.com/office/infopath/2007/PartnerControls"/>
    </lcf76f155ced4ddcb4097134ff3c332f>
    <TaxCatchAll xmlns="f12dafca-ffd2-47b9-a7dc-ea73860b958a" xsi:nil="true"/>
    <_dlc_DocIdPersistId xmlns="f12dafca-ffd2-47b9-a7dc-ea73860b95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45A848-EB58-4B0C-9B90-6C1E17FFB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9eb54f51-5fa9-4a6d-a624-f4d0fbec5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f12dafca-ffd2-47b9-a7dc-ea73860b958a"/>
    <ds:schemaRef ds:uri="9eb54f51-5fa9-4a6d-a624-f4d0fbec5ed5"/>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AEFB678B-6567-43A5-A073-A870486D66DF}">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1383</Words>
  <Characters>8103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7</cp:revision>
  <cp:lastPrinted>2010-10-14T16:41:00Z</cp:lastPrinted>
  <dcterms:created xsi:type="dcterms:W3CDTF">2024-09-27T16:48:00Z</dcterms:created>
  <dcterms:modified xsi:type="dcterms:W3CDTF">2024-09-27T19:01:00Z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0x010100CF0F244A32179640B2BFB446DD35D374</vt:lpwstr>
  </property>
  <property fmtid="{D5CDD505-2E9C-101B-9397-08002B2CF9AE}" pid="3" name="MediaServiceImageTags">
    <vt:lpwstr/>
  </property>
  <property fmtid="{D5CDD505-2E9C-101B-9397-08002B2CF9AE}" pid="4" name="Order">
    <vt:r8>4600</vt:r8>
  </property>
  <property fmtid="{D5CDD505-2E9C-101B-9397-08002B2CF9AE}" pid="5" name="TaxKeyword">
    <vt:lpwstr/>
  </property>
  <property fmtid="{D5CDD505-2E9C-101B-9397-08002B2CF9AE}" pid="6" name="_dlc_DocIdItemGuid">
    <vt:lpwstr>6121fde5-0957-4d28-a097-dd6b63bbb9ce</vt:lpwstr>
  </property>
</Properties>
</file>