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3BB1641B" w14:textId="796BA38A">
      <w:pPr>
        <w:jc w:val="center"/>
        <w:rPr>
          <w:rFonts w:eastAsia="Calibri"/>
        </w:rPr>
      </w:pPr>
      <w:r>
        <w:rPr>
          <w:rFonts w:eastAsia="Calibri"/>
        </w:rPr>
        <w:t>UNITED STATES FOOD &amp; DRUG ADMINISTRATION</w:t>
      </w:r>
    </w:p>
    <w:p w:rsidR="00357C8A" w:rsidP="00357C8A" w14:paraId="1F5A3BBF" w14:textId="77777777">
      <w:pPr>
        <w:jc w:val="center"/>
        <w:rPr>
          <w:rFonts w:eastAsia="Calibri"/>
        </w:rPr>
      </w:pPr>
    </w:p>
    <w:p w:rsidR="00214995" w:rsidRPr="00BE1757" w:rsidP="00214995" w14:paraId="63B2E35B" w14:textId="7351B5BD">
      <w:pPr>
        <w:spacing w:line="480" w:lineRule="auto"/>
        <w:contextualSpacing/>
        <w:jc w:val="center"/>
      </w:pPr>
      <w:r w:rsidRPr="00BE1757">
        <w:t>Antimicrobial Animal Drug Sales and Distribution</w:t>
      </w:r>
    </w:p>
    <w:p w:rsidR="00357C8A" w:rsidRPr="00291960" w:rsidP="00357C8A" w14:paraId="60C8F326" w14:textId="7963746B">
      <w:pPr>
        <w:jc w:val="center"/>
        <w:rPr>
          <w:rFonts w:eastAsia="Calibri"/>
          <w:u w:val="single"/>
        </w:rPr>
      </w:pPr>
      <w:r w:rsidRPr="00291960">
        <w:rPr>
          <w:rFonts w:eastAsia="Calibri"/>
          <w:u w:val="single"/>
        </w:rPr>
        <w:t>OMB Control No. 0910-</w:t>
      </w:r>
      <w:r w:rsidRPr="00291960" w:rsidR="00214995">
        <w:rPr>
          <w:rFonts w:eastAsia="Calibri"/>
          <w:u w:val="single"/>
        </w:rPr>
        <w:t>0659</w:t>
      </w:r>
      <w:r w:rsidRPr="00291960" w:rsidR="00727CDF">
        <w:rPr>
          <w:rFonts w:eastAsia="Calibri"/>
          <w:u w:val="single"/>
        </w:rPr>
        <w:t xml:space="preserve"> </w:t>
      </w:r>
      <w:r w:rsidR="003866D1">
        <w:rPr>
          <w:rFonts w:eastAsia="Calibri"/>
          <w:u w:val="single"/>
        </w:rPr>
        <w:t xml:space="preserve">– </w:t>
      </w:r>
      <w:r w:rsidRPr="00291960" w:rsidR="00727CDF">
        <w:rPr>
          <w:rFonts w:eastAsia="Calibri"/>
          <w:u w:val="single"/>
        </w:rPr>
        <w:t>EXTENSION</w:t>
      </w:r>
    </w:p>
    <w:p w:rsidR="00357C8A" w:rsidP="00357C8A" w14:paraId="1824D186" w14:textId="77777777">
      <w:pPr>
        <w:jc w:val="center"/>
        <w:rPr>
          <w:rFonts w:eastAsia="Calibri"/>
        </w:rPr>
      </w:pPr>
    </w:p>
    <w:p w:rsidR="00357C8A" w:rsidP="00357C8A" w14:paraId="5786B78D" w14:textId="77777777">
      <w:pPr>
        <w:jc w:val="center"/>
        <w:rPr>
          <w:rFonts w:eastAsia="Calibri"/>
        </w:rPr>
      </w:pPr>
      <w:r w:rsidRPr="00357C8A">
        <w:rPr>
          <w:rFonts w:eastAsia="Calibri"/>
        </w:rPr>
        <w:t>SUPPORTING STATEMENT</w:t>
      </w:r>
    </w:p>
    <w:p w:rsidR="009B4DF2" w:rsidP="00357C8A" w14:paraId="663C8D10" w14:textId="77777777">
      <w:pPr>
        <w:jc w:val="center"/>
        <w:rPr>
          <w:rFonts w:eastAsia="Calibri"/>
        </w:rPr>
      </w:pPr>
    </w:p>
    <w:p w:rsidR="009B4DF2" w:rsidP="009B4DF2" w14:paraId="3BFC8DC8" w14:textId="77777777">
      <w:r w:rsidRPr="009122AE">
        <w:rPr>
          <w:rFonts w:eastAsia="Calibri"/>
          <w:u w:val="single"/>
        </w:rPr>
        <w:t>Terms of Clearance</w:t>
      </w:r>
      <w:r>
        <w:rPr>
          <w:rFonts w:eastAsia="Calibri"/>
        </w:rPr>
        <w:t xml:space="preserve">: </w:t>
      </w:r>
      <w:r w:rsidR="00214995">
        <w:rPr>
          <w:rFonts w:eastAsia="Calibri"/>
        </w:rPr>
        <w:t>None.</w:t>
      </w:r>
    </w:p>
    <w:p w:rsidR="00C71649" w:rsidP="009B4DF2" w14:paraId="62D80BDE" w14:textId="77777777"/>
    <w:p w:rsidR="00357C8A" w:rsidP="000D79CC" w14:paraId="154C382A" w14:textId="77777777">
      <w:pPr>
        <w:rPr>
          <w:rFonts w:eastAsia="Calibri"/>
        </w:rPr>
      </w:pPr>
      <w:r w:rsidRPr="00357C8A">
        <w:rPr>
          <w:rFonts w:eastAsia="Calibri"/>
          <w:b/>
        </w:rPr>
        <w:t>Part A:  Justification</w:t>
      </w:r>
      <w:r w:rsidRPr="00357C8A">
        <w:rPr>
          <w:rFonts w:eastAsia="Calibri"/>
        </w:rPr>
        <w:t>:</w:t>
      </w:r>
    </w:p>
    <w:p w:rsidR="000D79CC" w:rsidRPr="00357C8A" w:rsidP="000D79CC" w14:paraId="2813680B" w14:textId="77777777">
      <w:pPr>
        <w:rPr>
          <w:rFonts w:eastAsia="Calibri"/>
        </w:rPr>
      </w:pPr>
    </w:p>
    <w:p w:rsidR="00357C8A" w:rsidRPr="00357C8A" w:rsidP="006705EA" w14:paraId="0B8B3E19"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CF3388" w:rsidP="00CF3388" w14:paraId="77D9FF39" w14:textId="0F7E1545">
      <w:pPr>
        <w:contextualSpacing/>
      </w:pPr>
      <w:r w:rsidRPr="005C71CA">
        <w:rPr>
          <w:rFonts w:eastAsia="Calibri"/>
        </w:rPr>
        <w:t xml:space="preserve">This information collection </w:t>
      </w:r>
      <w:r w:rsidR="00E05C5B">
        <w:rPr>
          <w:rFonts w:eastAsia="Calibri"/>
        </w:rPr>
        <w:t xml:space="preserve">helps </w:t>
      </w:r>
      <w:r w:rsidRPr="005C71CA">
        <w:rPr>
          <w:rFonts w:eastAsia="Calibri"/>
        </w:rPr>
        <w:t xml:space="preserve">supports </w:t>
      </w:r>
      <w:r w:rsidRPr="00BE1757" w:rsidR="00E84E16">
        <w:t>implementation of statutory and regulatory requirements regarding new animal drugs containing an antimicrobial active ingredient.  Sponsors of approved or conditionally approved applications for new animal drugs containing an antimicrobial active ingredient are required by section 512 of the Federal Food, Drug, and Cosmetic Act (FD&amp;C Act) (21 U.S.C. 360b) to submit to FDA an annual report on the amount of each such ingredient in the drug that is sold or distributed for use in food-producing animals.  Sponsors are also required to maintain distribution records for their animal drug products, including separate information for each month of the calendar year, under section 512(l)(3) of the FD&amp;C Act.  These provisions were enacted to assist FDA in our continuing analysis of the interactions (including drug resistance), efficacy, and safety of antimicrobials approved for use in both humans and food-producing animals for the purpose of mitigating the public health risk associated with antimicrobial resistance.</w:t>
      </w:r>
    </w:p>
    <w:p w:rsidR="00E84E16" w:rsidRPr="00BE1757" w:rsidP="00CF3388" w14:paraId="01212C1D" w14:textId="77777777">
      <w:pPr>
        <w:ind w:firstLine="720"/>
        <w:contextualSpacing/>
      </w:pPr>
      <w:r w:rsidRPr="00BE1757">
        <w:t xml:space="preserve">  </w:t>
      </w:r>
    </w:p>
    <w:p w:rsidR="00423272" w:rsidRPr="005C71CA" w:rsidP="00CF3388" w14:paraId="70A6187E" w14:textId="77777777">
      <w:pPr>
        <w:rPr>
          <w:rFonts w:eastAsia="Calibri"/>
        </w:rPr>
      </w:pPr>
      <w:r w:rsidRPr="00BE1757">
        <w:t xml:space="preserve">Section 514.87 of our regulations (21 CFR 514.87) codifies the reporting requirements established in the FD&amp;C Act.  Sponsors submit antimicrobial animal drug sales and distribution reports to us on </w:t>
      </w:r>
      <w:r w:rsidRPr="00987732">
        <w:rPr>
          <w:b/>
          <w:bCs/>
        </w:rPr>
        <w:t>Form FDA 3744</w:t>
      </w:r>
      <w:r w:rsidRPr="00BE1757">
        <w:t>.  Each report must specify: (1) the amount of each antimicrobial active ingredient by container size, strength, and dosage form; (2) quantities distributed domestically and quantities exported; and (3) a listing of the target animals, indications, and production classes that are specified on the approved label of the product.  The report must cover the period of the preceding calendar year and include separate information for each month of the calendar year.  Each report must also provide a species-specific estimate of the percentage of each product that was sold or distributed domestically in the reporting year for use in cattle, swine, chickens, or turkeys for such species that appear on the approved label.</w:t>
      </w:r>
    </w:p>
    <w:p w:rsidR="00423272" w:rsidP="00423272" w14:paraId="2F069050" w14:textId="77777777">
      <w:pPr>
        <w:rPr>
          <w:rFonts w:eastAsia="Calibri"/>
        </w:rPr>
      </w:pPr>
    </w:p>
    <w:p w:rsidR="00423272" w:rsidRPr="00423272" w:rsidP="00423272" w14:paraId="29DB19B7" w14:textId="07D4FB5A">
      <w:pPr>
        <w:rPr>
          <w:rFonts w:eastAsia="Calibri"/>
          <w:i/>
        </w:rPr>
      </w:pPr>
      <w:r w:rsidRPr="005C71CA">
        <w:rPr>
          <w:rFonts w:eastAsia="Calibri"/>
        </w:rPr>
        <w:t xml:space="preserve">We therefore request OMB extension of </w:t>
      </w:r>
      <w:r w:rsidR="00CF3388">
        <w:rPr>
          <w:rFonts w:eastAsia="Calibri"/>
        </w:rPr>
        <w:t xml:space="preserve">the </w:t>
      </w:r>
      <w:r w:rsidRPr="00220D62" w:rsidR="00CF3388">
        <w:t>reporting</w:t>
      </w:r>
      <w:r w:rsidR="00CF3388">
        <w:t xml:space="preserve"> and recordkeeping</w:t>
      </w:r>
      <w:r w:rsidRPr="00220D62" w:rsidR="00CF3388">
        <w:t xml:space="preserve"> requirements</w:t>
      </w:r>
      <w:r w:rsidRPr="005C71CA">
        <w:rPr>
          <w:rFonts w:eastAsia="Calibri"/>
        </w:rPr>
        <w:t xml:space="preserve"> as discussed in this supporting statement.</w:t>
      </w:r>
    </w:p>
    <w:p w:rsidR="00357C8A" w:rsidRPr="00357C8A" w:rsidP="0022425B" w14:paraId="5576545A" w14:textId="77777777">
      <w:pPr>
        <w:spacing w:after="200"/>
        <w:rPr>
          <w:rFonts w:eastAsia="Calibri"/>
          <w:color w:val="FF0000"/>
        </w:rPr>
      </w:pPr>
    </w:p>
    <w:p w:rsidR="00357C8A" w:rsidRPr="00357C8A" w:rsidP="006705EA" w14:paraId="378ED67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6228E0" w:rsidRPr="006228E0" w:rsidP="006228E0" w14:paraId="7DC7526C" w14:textId="77777777">
      <w:pPr>
        <w:spacing w:after="200"/>
        <w:rPr>
          <w:rFonts w:eastAsia="Calibri"/>
        </w:rPr>
      </w:pPr>
      <w:r w:rsidRPr="006228E0">
        <w:rPr>
          <w:rFonts w:eastAsia="Calibri"/>
        </w:rPr>
        <w:t xml:space="preserve">Collection of information on the amount of animal antimicrobials being distributed, including species-specific information, is necessary to support our ongoing efforts to encourage the judicious use of antimicrobials in food-producing animals to help ensure the continued availability </w:t>
      </w:r>
      <w:r w:rsidRPr="006228E0">
        <w:rPr>
          <w:rFonts w:eastAsia="Calibri"/>
        </w:rPr>
        <w:t>of safe and effective antimicrobials for animals and humans.  We intend to use these data to supplement existing information, including data collected under the National Animal Health Monitoring System (NAHMS) and the National Antimicrobial Resistance Monitoring System (NARMS) programs.  Data from multiple sources are needed to provide a comprehensive and science-based picture of antimicrobial drug use and resistance in animal agriculture.</w:t>
      </w:r>
    </w:p>
    <w:p w:rsidR="00357C8A" w:rsidRPr="006228E0" w:rsidP="0022425B" w14:paraId="62B1F158" w14:textId="77777777">
      <w:pPr>
        <w:spacing w:after="200"/>
        <w:rPr>
          <w:rFonts w:eastAsia="Calibri"/>
        </w:rPr>
      </w:pPr>
      <w:r w:rsidRPr="006228E0">
        <w:rPr>
          <w:rFonts w:eastAsia="Calibri"/>
          <w:i/>
          <w:iCs/>
        </w:rPr>
        <w:t>Description of Respondents:</w:t>
      </w:r>
      <w:r w:rsidRPr="006228E0">
        <w:rPr>
          <w:rFonts w:eastAsia="Calibri"/>
        </w:rPr>
        <w:t xml:space="preserve">  Animal drug manufacturers (sponsors).  Respondents include individuals and the private sector (for-profit businesses).</w:t>
      </w:r>
    </w:p>
    <w:p w:rsidR="00357C8A" w:rsidRPr="00357C8A" w:rsidP="006705EA" w14:paraId="5F849D66"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6644A4" w:rsidP="0022425B" w14:paraId="7D97497D" w14:textId="3A62E4BC">
      <w:pPr>
        <w:spacing w:after="200"/>
        <w:rPr>
          <w:rFonts w:eastAsia="Calibri"/>
        </w:rPr>
      </w:pPr>
      <w:r>
        <w:t xml:space="preserve">To facilitate reporting, we have developed and instituted </w:t>
      </w:r>
      <w:r w:rsidRPr="00987732">
        <w:rPr>
          <w:b/>
          <w:bCs/>
        </w:rPr>
        <w:t>Form FDA 3744</w:t>
      </w:r>
      <w:r>
        <w:t xml:space="preserve">, which may be submitted both in paper format and electronically via the CVM eSubmitter tool.  </w:t>
      </w:r>
      <w:r w:rsidRPr="00815216">
        <w:t>The CVM eSubmitter tool is an electronic, question-based submission tool for creating information to be transmitted electronically to FDA through its secure Electronic Submission Gateway (ESG).</w:t>
      </w:r>
      <w:r w:rsidR="00625BA9">
        <w:t xml:space="preserve">  </w:t>
      </w:r>
      <w:r w:rsidRPr="00613F30">
        <w:t xml:space="preserve">FDA estimates that </w:t>
      </w:r>
      <w:r w:rsidR="00B85CDC">
        <w:t>100</w:t>
      </w:r>
      <w:r>
        <w:t>%</w:t>
      </w:r>
      <w:r w:rsidRPr="00613F30">
        <w:t xml:space="preserve"> of the respondents will use electronic means to submit</w:t>
      </w:r>
      <w:r>
        <w:t xml:space="preserve"> their </w:t>
      </w:r>
      <w:r w:rsidRPr="00C9782E">
        <w:t>antimicrobial animal drug sales</w:t>
      </w:r>
      <w:r w:rsidR="001A0B28">
        <w:t xml:space="preserve">.  </w:t>
      </w:r>
      <w:r w:rsidRPr="00D462D8" w:rsidR="001A0B28">
        <w:rPr>
          <w:rFonts w:eastAsia="Calibri"/>
        </w:rPr>
        <w:t>Information collection associated with electronic records is currently approved under OMB control number 0910-0303</w:t>
      </w:r>
      <w:r w:rsidR="001A0B28">
        <w:rPr>
          <w:rFonts w:eastAsia="Calibri"/>
        </w:rPr>
        <w:t>.</w:t>
      </w:r>
    </w:p>
    <w:p w:rsidR="00357C8A" w:rsidRPr="00357C8A" w:rsidP="006705EA" w14:paraId="2FEB2EC8"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6644A4" w:rsidP="0053380B" w14:paraId="6C6E778F" w14:textId="77777777">
      <w:pPr>
        <w:spacing w:after="200"/>
      </w:pPr>
      <w:r w:rsidRPr="005C71CA">
        <w:t>We are unaware of duplicative information collection.</w:t>
      </w:r>
    </w:p>
    <w:p w:rsidR="00357C8A" w:rsidRPr="00357C8A" w:rsidP="006705EA" w14:paraId="64ED9F09"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0AFB004D" w14:textId="382D6978">
      <w:pPr>
        <w:spacing w:after="200"/>
        <w:rPr>
          <w:rFonts w:eastAsia="Calibri"/>
        </w:rPr>
      </w:pPr>
      <w:r w:rsidRPr="00C53532">
        <w:t xml:space="preserve">We estimate that approximately 35% of the respondents are small businesses. </w:t>
      </w:r>
      <w:r>
        <w:t xml:space="preserve"> Although the regulation provides for </w:t>
      </w:r>
      <w:r w:rsidRPr="00BC3154" w:rsidR="006644A4">
        <w:t>no exemption from the requirements for small businesses</w:t>
      </w:r>
      <w:r>
        <w:t xml:space="preserve">, </w:t>
      </w:r>
      <w:r w:rsidRPr="009C3D43" w:rsidR="006644A4">
        <w:t>FDA aids small businesses in complying with its requirements</w:t>
      </w:r>
      <w:r w:rsidRPr="00BC3154" w:rsidR="006644A4">
        <w:t xml:space="preserve"> through </w:t>
      </w:r>
      <w:r w:rsidR="003866D1">
        <w:t xml:space="preserve">its </w:t>
      </w:r>
      <w:r w:rsidRPr="00BC3154" w:rsidR="006644A4">
        <w:t xml:space="preserve">Regional Small Business Representatives and through the scientific and administrative staffs within the </w:t>
      </w:r>
      <w:r w:rsidR="003866D1">
        <w:t>a</w:t>
      </w:r>
      <w:r w:rsidRPr="00BC3154" w:rsidR="006644A4">
        <w:t xml:space="preserve">gency.  </w:t>
      </w:r>
      <w:r w:rsidR="003866D1">
        <w:t xml:space="preserve">We </w:t>
      </w:r>
      <w:r w:rsidRPr="00BC3154" w:rsidR="006644A4">
        <w:t xml:space="preserve">also provides a Small Business Guide on </w:t>
      </w:r>
      <w:r w:rsidR="003866D1">
        <w:t xml:space="preserve">our </w:t>
      </w:r>
      <w:r w:rsidRPr="00BC3154" w:rsidR="006644A4">
        <w:t>website at</w:t>
      </w:r>
      <w:r w:rsidR="006644A4">
        <w:t xml:space="preserve"> </w:t>
      </w:r>
      <w:hyperlink r:id="rId4" w:history="1">
        <w:r w:rsidRPr="001E3D19" w:rsidR="006644A4">
          <w:rPr>
            <w:rStyle w:val="Hyperlink"/>
          </w:rPr>
          <w:t>http://www.fda.g</w:t>
        </w:r>
        <w:r w:rsidRPr="001E3D19" w:rsidR="006644A4">
          <w:rPr>
            <w:rStyle w:val="Hyperlink"/>
          </w:rPr>
          <w:t>o</w:t>
        </w:r>
        <w:r w:rsidRPr="001E3D19" w:rsidR="006644A4">
          <w:rPr>
            <w:rStyle w:val="Hyperlink"/>
          </w:rPr>
          <w:t>v/ForIndustry/SmallBusin</w:t>
        </w:r>
        <w:r w:rsidRPr="001E3D19" w:rsidR="006644A4">
          <w:rPr>
            <w:rStyle w:val="Hyperlink"/>
          </w:rPr>
          <w:t>e</w:t>
        </w:r>
        <w:r w:rsidRPr="001E3D19" w:rsidR="006644A4">
          <w:rPr>
            <w:rStyle w:val="Hyperlink"/>
          </w:rPr>
          <w:t>ssAssistance/default.htm</w:t>
        </w:r>
      </w:hyperlink>
      <w:r w:rsidR="006644A4">
        <w:rPr>
          <w:color w:val="0000FF"/>
        </w:rPr>
        <w:t>.</w:t>
      </w:r>
    </w:p>
    <w:p w:rsidR="00357C8A" w:rsidRPr="00357C8A" w:rsidP="006705EA" w14:paraId="5A475041"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7CDEB5FC" w14:textId="4A7E1EA4">
      <w:pPr>
        <w:spacing w:after="200"/>
        <w:rPr>
          <w:rFonts w:eastAsia="Calibri"/>
          <w:color w:val="FF0000"/>
        </w:rPr>
      </w:pPr>
      <w:r w:rsidRPr="004E6C6C">
        <w:t xml:space="preserve">Data collection </w:t>
      </w:r>
      <w:r>
        <w:t xml:space="preserve">and recordkeeping </w:t>
      </w:r>
      <w:r w:rsidR="000A2C48">
        <w:t>is consistent with statutory and regulatory requirements</w:t>
      </w:r>
      <w:r w:rsidRPr="000E0D12">
        <w:t>.</w:t>
      </w:r>
      <w:r>
        <w:t xml:space="preserve">  Reporting of </w:t>
      </w:r>
      <w:r w:rsidRPr="00C9782E">
        <w:t>antimicrobial animal drug sales and distribution</w:t>
      </w:r>
      <w:r w:rsidRPr="000B3D25">
        <w:t xml:space="preserve"> </w:t>
      </w:r>
      <w:r>
        <w:t xml:space="preserve">data occurs annually, as required by </w:t>
      </w:r>
      <w:r w:rsidRPr="00CF4C39">
        <w:t>section 512(</w:t>
      </w:r>
      <w:r w:rsidRPr="00815216">
        <w:rPr>
          <w:i/>
        </w:rPr>
        <w:t>l</w:t>
      </w:r>
      <w:r w:rsidRPr="00CF4C39">
        <w:t xml:space="preserve">)(3) of the </w:t>
      </w:r>
      <w:r>
        <w:t xml:space="preserve">FD&amp;C Act.  Original </w:t>
      </w:r>
      <w:r w:rsidRPr="00C9782E">
        <w:t>antimicrobial animal drug sales and distribution</w:t>
      </w:r>
      <w:r w:rsidRPr="000B3D25">
        <w:t xml:space="preserve"> </w:t>
      </w:r>
      <w:r>
        <w:t>reports are submitted only once and therefore cannot be collected less frequently.</w:t>
      </w:r>
    </w:p>
    <w:p w:rsidR="00357C8A" w:rsidRPr="00357C8A" w:rsidP="006705EA" w14:paraId="06F885BA"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72EE9BF" w14:textId="77777777">
      <w:pPr>
        <w:spacing w:after="200"/>
        <w:rPr>
          <w:rFonts w:eastAsia="Calibri"/>
        </w:rPr>
      </w:pPr>
      <w:r>
        <w:rPr>
          <w:rFonts w:eastAsia="Calibri"/>
        </w:rPr>
        <w:t>There are no special circumstances for this collection of information.</w:t>
      </w:r>
    </w:p>
    <w:p w:rsidR="00357C8A" w:rsidRPr="00357C8A" w:rsidP="006705EA" w14:paraId="2DC9E83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8F7E18" w:rsidP="00357C8A" w14:paraId="35DDE5FD" w14:textId="2E0C835B">
      <w:pPr>
        <w:spacing w:after="200"/>
        <w:rPr>
          <w:rFonts w:eastAsia="Calibri"/>
        </w:rPr>
      </w:pPr>
      <w:r>
        <w:rPr>
          <w:rFonts w:eastAsia="Calibri"/>
        </w:rPr>
        <w:t xml:space="preserve">We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2C7577">
        <w:rPr>
          <w:rFonts w:eastAsia="Calibri"/>
        </w:rPr>
        <w:t>October 24, 2024</w:t>
      </w:r>
      <w:r w:rsidR="009009E7">
        <w:rPr>
          <w:rFonts w:eastAsia="Calibri"/>
        </w:rPr>
        <w:t xml:space="preserve"> (</w:t>
      </w:r>
      <w:r w:rsidR="002C7577">
        <w:rPr>
          <w:rFonts w:eastAsia="Calibri"/>
        </w:rPr>
        <w:t>89</w:t>
      </w:r>
      <w:r w:rsidR="00D14C17">
        <w:rPr>
          <w:rFonts w:eastAsia="Calibri"/>
        </w:rPr>
        <w:t xml:space="preserve"> </w:t>
      </w:r>
      <w:r w:rsidR="009009E7">
        <w:rPr>
          <w:rFonts w:eastAsia="Calibri"/>
        </w:rPr>
        <w:t xml:space="preserve">FR </w:t>
      </w:r>
      <w:r w:rsidR="002C7577">
        <w:rPr>
          <w:rFonts w:eastAsia="Calibri"/>
        </w:rPr>
        <w:t>84887</w:t>
      </w:r>
      <w:r w:rsidR="009009E7">
        <w:rPr>
          <w:rFonts w:eastAsia="Calibri"/>
        </w:rPr>
        <w:t>)</w:t>
      </w:r>
      <w:r w:rsidR="002C7577">
        <w:rPr>
          <w:rFonts w:eastAsia="Calibri"/>
        </w:rPr>
        <w:t xml:space="preserve">.  </w:t>
      </w:r>
      <w:r w:rsidR="009B1619">
        <w:rPr>
          <w:rFonts w:eastAsia="Calibri"/>
        </w:rPr>
        <w:t>Although one comment was received, it was not responsive to the four information collection topics solicited under 5 CFR 1320.8(d) and was therefore not addressed in our 30-day notice of May 1, 2025.</w:t>
      </w:r>
    </w:p>
    <w:p w:rsidR="00357C8A" w:rsidRPr="00357C8A" w:rsidP="006705EA" w14:paraId="1CCCDF3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864153" w:rsidP="00357C8A" w14:paraId="7DC1C100" w14:textId="208B196A">
      <w:pPr>
        <w:spacing w:after="200"/>
        <w:rPr>
          <w:rFonts w:eastAsia="Calibri"/>
          <w:i/>
        </w:rPr>
      </w:pPr>
      <w:r w:rsidRPr="002074FE">
        <w:rPr>
          <w:rFonts w:eastAsia="Calibri"/>
        </w:rPr>
        <w:t>There are no incentives, payments or gifts associated with this information collection</w:t>
      </w:r>
      <w:r w:rsidR="005945FB">
        <w:rPr>
          <w:rFonts w:eastAsia="Calibri"/>
        </w:rPr>
        <w:t>.</w:t>
      </w:r>
    </w:p>
    <w:p w:rsidR="00357C8A" w:rsidRPr="00357C8A" w:rsidP="006705EA" w14:paraId="0D16194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409FF" w:rsidRPr="00E05C5B" w:rsidP="005409FF" w14:paraId="57423C42" w14:textId="77777777">
      <w:pPr>
        <w:spacing w:after="200"/>
        <w:rPr>
          <w:rFonts w:eastAsia="Calibri"/>
          <w:i/>
          <w:iCs/>
          <w:u w:val="single"/>
        </w:rPr>
      </w:pPr>
      <w:r w:rsidRPr="00E05C5B">
        <w:rPr>
          <w:rFonts w:eastAsia="Calibri"/>
          <w:i/>
          <w:iCs/>
          <w:u w:val="single"/>
        </w:rPr>
        <w:t xml:space="preserve">The </w:t>
      </w:r>
      <w:r w:rsidRPr="00E05C5B">
        <w:rPr>
          <w:rFonts w:eastAsia="Calibri"/>
          <w:i/>
          <w:iCs/>
          <w:u w:val="single"/>
        </w:rPr>
        <w:t>Privacy Act</w:t>
      </w:r>
      <w:r w:rsidRPr="00E05C5B">
        <w:rPr>
          <w:rFonts w:eastAsia="Calibri"/>
          <w:i/>
          <w:iCs/>
          <w:u w:val="single"/>
        </w:rPr>
        <w:t xml:space="preserve"> of 1974</w:t>
      </w:r>
    </w:p>
    <w:p w:rsidR="005409FF" w:rsidP="005409FF" w14:paraId="230E8CF7" w14:textId="14E262BC">
      <w:pPr>
        <w:spacing w:after="200"/>
        <w:rPr>
          <w:rFonts w:eastAsia="Calibri"/>
        </w:rPr>
      </w:pPr>
      <w:r w:rsidRPr="00864153">
        <w:rPr>
          <w:rFonts w:eastAsia="Calibri"/>
        </w:rPr>
        <w:t xml:space="preserve">In preparing this </w:t>
      </w:r>
      <w:r>
        <w:rPr>
          <w:rFonts w:eastAsia="Calibri"/>
        </w:rPr>
        <w:t>s</w:t>
      </w:r>
      <w:r w:rsidRPr="00864153">
        <w:rPr>
          <w:rFonts w:eastAsia="Calibri"/>
        </w:rPr>
        <w:t xml:space="preserve">upporting </w:t>
      </w:r>
      <w:r>
        <w:rPr>
          <w:rFonts w:eastAsia="Calibri"/>
        </w:rPr>
        <w:t>s</w:t>
      </w:r>
      <w:r w:rsidRPr="00864153">
        <w:rPr>
          <w:rFonts w:eastAsia="Calibri"/>
        </w:rPr>
        <w:t>tatement, we consulted our Privacy Office to ensure appropriate identification and handling of information collected.</w:t>
      </w:r>
      <w:r>
        <w:rPr>
          <w:rFonts w:eastAsia="Calibri"/>
        </w:rPr>
        <w:t xml:space="preserve">  </w:t>
      </w:r>
      <w:r w:rsidRPr="005409FF">
        <w:rPr>
          <w:rFonts w:eastAsia="Calibri"/>
        </w:rPr>
        <w:t xml:space="preserve">This information collection request (ICR) does not collect personally identifiable information (PII) or information of a personal nature. This information collection supports the reporting of antimicrobial animal drug sales and distribution information to FDA. The FD&amp;C Act and FDA’s regulations specify the information that must be submitted to FDA by an animal drug manufacturer. Information collected using FDA </w:t>
      </w:r>
      <w:r w:rsidRPr="00632DF9">
        <w:rPr>
          <w:rFonts w:eastAsia="Calibri"/>
          <w:b/>
          <w:bCs/>
        </w:rPr>
        <w:t>Form 3744</w:t>
      </w:r>
      <w:r w:rsidRPr="005409FF">
        <w:rPr>
          <w:rFonts w:eastAsia="Calibri"/>
        </w:rPr>
        <w:t xml:space="preserve"> (</w:t>
      </w:r>
      <w:r w:rsidRPr="00632DF9">
        <w:rPr>
          <w:rFonts w:eastAsia="Calibri"/>
          <w:i/>
          <w:iCs/>
        </w:rPr>
        <w:t>Antimicrobial Animal Drug Distribution Report</w:t>
      </w:r>
      <w:r w:rsidRPr="005409FF">
        <w:rPr>
          <w:rFonts w:eastAsia="Calibri"/>
        </w:rPr>
        <w:t>) is not PII or other data of a personal nature.  Because neither FDA nor any party acting on behalf of the agency collects PII, the ICR is not subject to the Privacy Act of 1974 and the requirements of the Privacy Act such as displaying a Privacy Act Statement on a collection form do not apply.</w:t>
      </w:r>
    </w:p>
    <w:p w:rsidR="00E05C5B" w:rsidRPr="00E05C5B" w:rsidP="005409FF" w14:paraId="0042A32C" w14:textId="77777777">
      <w:pPr>
        <w:spacing w:after="200"/>
        <w:rPr>
          <w:rFonts w:eastAsia="Calibri"/>
          <w:i/>
          <w:iCs/>
          <w:u w:val="single"/>
        </w:rPr>
      </w:pPr>
      <w:r w:rsidRPr="00E05C5B">
        <w:rPr>
          <w:rFonts w:eastAsia="Calibri"/>
          <w:i/>
          <w:iCs/>
          <w:u w:val="single"/>
        </w:rPr>
        <w:t>The Freedom of Information Act</w:t>
      </w:r>
    </w:p>
    <w:p w:rsidR="001075D3" w:rsidRPr="001075D3" w:rsidP="005409FF" w14:paraId="177A6E62" w14:textId="77777777">
      <w:pPr>
        <w:spacing w:after="200"/>
      </w:pPr>
      <w:r w:rsidRPr="005409FF">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4EE95D33"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E06833" w:rsidP="0022425B" w14:paraId="69A94D31" w14:textId="77777777">
      <w:pPr>
        <w:spacing w:after="200"/>
        <w:rPr>
          <w:rFonts w:eastAsia="Calibri"/>
          <w:iCs/>
        </w:rPr>
      </w:pPr>
      <w:r w:rsidRPr="00E06833">
        <w:rPr>
          <w:rFonts w:eastAsia="Calibri"/>
          <w:iCs/>
        </w:rPr>
        <w:t>The collection of information does not involve sensitive questions.</w:t>
      </w:r>
    </w:p>
    <w:p w:rsidR="00357C8A" w:rsidRPr="00357C8A" w:rsidP="006705EA" w14:paraId="1F0330C9"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58735CA5" w14:textId="77777777">
      <w:pPr>
        <w:spacing w:after="200"/>
        <w:ind w:left="360"/>
        <w:rPr>
          <w:rFonts w:eastAsia="Calibri"/>
        </w:rPr>
      </w:pPr>
      <w:r w:rsidRPr="005C71CA">
        <w:rPr>
          <w:rFonts w:eastAsia="Calibri"/>
        </w:rPr>
        <w:t>12a.  Annualized Hour Burden Estimate</w:t>
      </w:r>
    </w:p>
    <w:p w:rsidR="00C47E19" w:rsidRPr="00941601" w:rsidP="00C47E19" w14:paraId="5CB606AC" w14:textId="77777777">
      <w:pPr>
        <w:contextualSpacing/>
        <w:jc w:val="center"/>
      </w:pPr>
      <w:r w:rsidRPr="00941601">
        <w:t>Table 1</w:t>
      </w:r>
      <w:r>
        <w:t>--</w:t>
      </w:r>
      <w:r w:rsidRPr="00941601">
        <w:t>Estimated Annual Reporting Burden</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3"/>
        <w:gridCol w:w="1438"/>
        <w:gridCol w:w="1497"/>
        <w:gridCol w:w="1145"/>
        <w:gridCol w:w="1245"/>
        <w:gridCol w:w="795"/>
      </w:tblGrid>
      <w:tr w14:paraId="323C04F9" w14:textId="77777777" w:rsidTr="000A19AB">
        <w:tblPrEx>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1888" w:type="pct"/>
            <w:shd w:val="clear" w:color="auto" w:fill="F2F2F2" w:themeFill="background1" w:themeFillShade="F2"/>
          </w:tcPr>
          <w:p w:rsidR="00C47E19" w:rsidRPr="000A19AB" w:rsidP="005C3B20" w14:paraId="4E2AE16E" w14:textId="77777777">
            <w:pPr>
              <w:jc w:val="center"/>
              <w:rPr>
                <w:sz w:val="22"/>
                <w:szCs w:val="22"/>
              </w:rPr>
            </w:pPr>
            <w:r w:rsidRPr="000A19AB">
              <w:rPr>
                <w:sz w:val="22"/>
                <w:szCs w:val="22"/>
              </w:rPr>
              <w:t>21 CFR Section</w:t>
            </w:r>
            <w:r w:rsidRPr="000A19AB" w:rsidR="0008538A">
              <w:rPr>
                <w:sz w:val="22"/>
                <w:szCs w:val="22"/>
              </w:rPr>
              <w:t>;</w:t>
            </w:r>
          </w:p>
          <w:p w:rsidR="0008538A" w:rsidRPr="000A19AB" w:rsidP="005C3B20" w14:paraId="5E1716D8" w14:textId="77777777">
            <w:pPr>
              <w:jc w:val="center"/>
              <w:rPr>
                <w:sz w:val="22"/>
                <w:szCs w:val="22"/>
              </w:rPr>
            </w:pPr>
            <w:r w:rsidRPr="000A19AB">
              <w:rPr>
                <w:sz w:val="22"/>
                <w:szCs w:val="22"/>
              </w:rPr>
              <w:t>FDA</w:t>
            </w:r>
            <w:r w:rsidRPr="000A19AB" w:rsidR="00B14587">
              <w:rPr>
                <w:sz w:val="22"/>
                <w:szCs w:val="22"/>
              </w:rPr>
              <w:t xml:space="preserve"> Form</w:t>
            </w:r>
            <w:r w:rsidRPr="000A19AB">
              <w:rPr>
                <w:sz w:val="22"/>
                <w:szCs w:val="22"/>
              </w:rPr>
              <w:t xml:space="preserve"> 3744</w:t>
            </w:r>
          </w:p>
        </w:tc>
        <w:tc>
          <w:tcPr>
            <w:tcW w:w="731" w:type="pct"/>
            <w:shd w:val="clear" w:color="auto" w:fill="F2F2F2" w:themeFill="background1" w:themeFillShade="F2"/>
          </w:tcPr>
          <w:p w:rsidR="00C47E19" w:rsidRPr="000A19AB" w:rsidP="005C3B20" w14:paraId="36D44D29" w14:textId="77777777">
            <w:pPr>
              <w:jc w:val="center"/>
              <w:rPr>
                <w:sz w:val="22"/>
                <w:szCs w:val="22"/>
              </w:rPr>
            </w:pPr>
            <w:r w:rsidRPr="000A19AB">
              <w:rPr>
                <w:sz w:val="22"/>
                <w:szCs w:val="22"/>
              </w:rPr>
              <w:t>No. of Respondents</w:t>
            </w:r>
          </w:p>
        </w:tc>
        <w:tc>
          <w:tcPr>
            <w:tcW w:w="761" w:type="pct"/>
            <w:shd w:val="clear" w:color="auto" w:fill="F2F2F2" w:themeFill="background1" w:themeFillShade="F2"/>
          </w:tcPr>
          <w:p w:rsidR="00C47E19" w:rsidRPr="000A19AB" w:rsidP="005C3B20" w14:paraId="09A0FEEE" w14:textId="77777777">
            <w:pPr>
              <w:jc w:val="center"/>
              <w:rPr>
                <w:sz w:val="22"/>
                <w:szCs w:val="22"/>
              </w:rPr>
            </w:pPr>
            <w:r w:rsidRPr="000A19AB">
              <w:rPr>
                <w:bCs/>
                <w:sz w:val="22"/>
                <w:szCs w:val="22"/>
              </w:rPr>
              <w:t>No. of Responses per Respondent</w:t>
            </w:r>
          </w:p>
        </w:tc>
        <w:tc>
          <w:tcPr>
            <w:tcW w:w="582" w:type="pct"/>
            <w:shd w:val="clear" w:color="auto" w:fill="F2F2F2" w:themeFill="background1" w:themeFillShade="F2"/>
          </w:tcPr>
          <w:p w:rsidR="00C47E19" w:rsidRPr="000A19AB" w:rsidP="005C3B20" w14:paraId="0060AC8F" w14:textId="77777777">
            <w:pPr>
              <w:jc w:val="center"/>
              <w:rPr>
                <w:sz w:val="22"/>
                <w:szCs w:val="22"/>
              </w:rPr>
            </w:pPr>
            <w:r w:rsidRPr="000A19AB">
              <w:rPr>
                <w:sz w:val="22"/>
                <w:szCs w:val="22"/>
              </w:rPr>
              <w:t>Total Annual Responses</w:t>
            </w:r>
          </w:p>
        </w:tc>
        <w:tc>
          <w:tcPr>
            <w:tcW w:w="633" w:type="pct"/>
            <w:shd w:val="clear" w:color="auto" w:fill="F2F2F2" w:themeFill="background1" w:themeFillShade="F2"/>
          </w:tcPr>
          <w:p w:rsidR="00C47E19" w:rsidRPr="000A19AB" w:rsidP="005C3B20" w14:paraId="17C890FD" w14:textId="77777777">
            <w:pPr>
              <w:jc w:val="center"/>
              <w:rPr>
                <w:sz w:val="22"/>
                <w:szCs w:val="22"/>
              </w:rPr>
            </w:pPr>
            <w:r w:rsidRPr="000A19AB">
              <w:rPr>
                <w:bCs/>
                <w:sz w:val="22"/>
                <w:szCs w:val="22"/>
              </w:rPr>
              <w:t>Average Burden per Response</w:t>
            </w:r>
          </w:p>
        </w:tc>
        <w:tc>
          <w:tcPr>
            <w:tcW w:w="404" w:type="pct"/>
            <w:shd w:val="clear" w:color="auto" w:fill="F2F2F2" w:themeFill="background1" w:themeFillShade="F2"/>
          </w:tcPr>
          <w:p w:rsidR="00C47E19" w:rsidRPr="000A19AB" w:rsidP="005C3B20" w14:paraId="046F05BE" w14:textId="77777777">
            <w:pPr>
              <w:jc w:val="center"/>
              <w:rPr>
                <w:sz w:val="22"/>
                <w:szCs w:val="22"/>
              </w:rPr>
            </w:pPr>
            <w:r w:rsidRPr="000A19AB">
              <w:rPr>
                <w:sz w:val="22"/>
                <w:szCs w:val="22"/>
              </w:rPr>
              <w:t>Total Hours</w:t>
            </w:r>
          </w:p>
        </w:tc>
      </w:tr>
      <w:tr w14:paraId="6D8BAAB6" w14:textId="77777777" w:rsidTr="000A19AB">
        <w:tblPrEx>
          <w:tblW w:w="5058" w:type="pct"/>
          <w:tblInd w:w="-5" w:type="dxa"/>
          <w:tblLook w:val="01E0"/>
        </w:tblPrEx>
        <w:trPr>
          <w:cantSplit/>
          <w:trHeight w:val="20"/>
        </w:trPr>
        <w:tc>
          <w:tcPr>
            <w:tcW w:w="1888" w:type="pct"/>
            <w:shd w:val="clear" w:color="auto" w:fill="auto"/>
          </w:tcPr>
          <w:p w:rsidR="00C47E19" w:rsidRPr="000A19AB" w:rsidP="005C3B20" w14:paraId="4397A446" w14:textId="77777777">
            <w:pPr>
              <w:rPr>
                <w:sz w:val="22"/>
                <w:szCs w:val="22"/>
              </w:rPr>
            </w:pPr>
            <w:bookmarkStart w:id="0" w:name="_Hlk520385507"/>
            <w:r w:rsidRPr="000A19AB">
              <w:rPr>
                <w:rFonts w:eastAsia="Calibri"/>
                <w:sz w:val="22"/>
                <w:szCs w:val="22"/>
              </w:rPr>
              <w:t>514.87</w:t>
            </w:r>
            <w:bookmarkEnd w:id="0"/>
            <w:r w:rsidRPr="000A19AB">
              <w:rPr>
                <w:rFonts w:eastAsia="Calibri"/>
                <w:sz w:val="22"/>
                <w:szCs w:val="22"/>
              </w:rPr>
              <w:t>(a)-(e)--Annual Reports for Sponsors With Active Applications--Paper Submission</w:t>
            </w:r>
          </w:p>
        </w:tc>
        <w:tc>
          <w:tcPr>
            <w:tcW w:w="731" w:type="pct"/>
            <w:shd w:val="clear" w:color="auto" w:fill="auto"/>
          </w:tcPr>
          <w:p w:rsidR="00C47E19" w:rsidRPr="000A19AB" w:rsidP="005C3B20" w14:paraId="2B85D8FD" w14:textId="77777777">
            <w:pPr>
              <w:jc w:val="right"/>
              <w:rPr>
                <w:sz w:val="22"/>
                <w:szCs w:val="22"/>
              </w:rPr>
            </w:pPr>
            <w:r w:rsidRPr="000A19AB">
              <w:rPr>
                <w:sz w:val="22"/>
                <w:szCs w:val="22"/>
              </w:rPr>
              <w:t>1</w:t>
            </w:r>
          </w:p>
        </w:tc>
        <w:tc>
          <w:tcPr>
            <w:tcW w:w="761" w:type="pct"/>
            <w:shd w:val="clear" w:color="auto" w:fill="auto"/>
          </w:tcPr>
          <w:p w:rsidR="00C47E19" w:rsidRPr="000A19AB" w:rsidP="005C3B20" w14:paraId="48E2274B" w14:textId="77777777">
            <w:pPr>
              <w:jc w:val="right"/>
              <w:rPr>
                <w:sz w:val="22"/>
                <w:szCs w:val="22"/>
              </w:rPr>
            </w:pPr>
            <w:r w:rsidRPr="000A19AB">
              <w:rPr>
                <w:sz w:val="22"/>
                <w:szCs w:val="22"/>
              </w:rPr>
              <w:t>1</w:t>
            </w:r>
          </w:p>
        </w:tc>
        <w:tc>
          <w:tcPr>
            <w:tcW w:w="582" w:type="pct"/>
            <w:shd w:val="clear" w:color="auto" w:fill="auto"/>
          </w:tcPr>
          <w:p w:rsidR="00C47E19" w:rsidRPr="000A19AB" w:rsidP="005C3B20" w14:paraId="270A49BB" w14:textId="77777777">
            <w:pPr>
              <w:jc w:val="right"/>
              <w:rPr>
                <w:sz w:val="22"/>
                <w:szCs w:val="22"/>
              </w:rPr>
            </w:pPr>
            <w:r w:rsidRPr="000A19AB">
              <w:rPr>
                <w:sz w:val="22"/>
                <w:szCs w:val="22"/>
              </w:rPr>
              <w:t>1</w:t>
            </w:r>
          </w:p>
        </w:tc>
        <w:tc>
          <w:tcPr>
            <w:tcW w:w="633" w:type="pct"/>
            <w:shd w:val="clear" w:color="auto" w:fill="auto"/>
          </w:tcPr>
          <w:p w:rsidR="00C47E19" w:rsidRPr="000A19AB" w:rsidP="005C3B20" w14:paraId="50BB4A79" w14:textId="77777777">
            <w:pPr>
              <w:jc w:val="right"/>
              <w:rPr>
                <w:sz w:val="22"/>
                <w:szCs w:val="22"/>
              </w:rPr>
            </w:pPr>
            <w:r w:rsidRPr="000A19AB">
              <w:rPr>
                <w:sz w:val="22"/>
                <w:szCs w:val="22"/>
              </w:rPr>
              <w:t>62</w:t>
            </w:r>
          </w:p>
        </w:tc>
        <w:tc>
          <w:tcPr>
            <w:tcW w:w="404" w:type="pct"/>
            <w:shd w:val="clear" w:color="auto" w:fill="auto"/>
          </w:tcPr>
          <w:p w:rsidR="00C47E19" w:rsidRPr="000A19AB" w:rsidP="005C3B20" w14:paraId="3C24DEFF" w14:textId="77777777">
            <w:pPr>
              <w:jc w:val="right"/>
              <w:rPr>
                <w:sz w:val="22"/>
                <w:szCs w:val="22"/>
              </w:rPr>
            </w:pPr>
            <w:r w:rsidRPr="000A19AB">
              <w:rPr>
                <w:sz w:val="22"/>
                <w:szCs w:val="22"/>
              </w:rPr>
              <w:t>62</w:t>
            </w:r>
          </w:p>
        </w:tc>
      </w:tr>
      <w:tr w14:paraId="7A7F0177" w14:textId="77777777" w:rsidTr="000A19AB">
        <w:tblPrEx>
          <w:tblW w:w="5058" w:type="pct"/>
          <w:tblInd w:w="-5" w:type="dxa"/>
          <w:tblLook w:val="01E0"/>
        </w:tblPrEx>
        <w:trPr>
          <w:cantSplit/>
          <w:trHeight w:val="20"/>
        </w:trPr>
        <w:tc>
          <w:tcPr>
            <w:tcW w:w="1888" w:type="pct"/>
            <w:tcBorders>
              <w:bottom w:val="single" w:sz="4" w:space="0" w:color="auto"/>
            </w:tcBorders>
            <w:shd w:val="clear" w:color="auto" w:fill="auto"/>
          </w:tcPr>
          <w:p w:rsidR="00C47E19" w:rsidRPr="000A19AB" w:rsidP="005C3B20" w14:paraId="2220EC4C" w14:textId="77777777">
            <w:pPr>
              <w:rPr>
                <w:sz w:val="22"/>
                <w:szCs w:val="22"/>
              </w:rPr>
            </w:pPr>
            <w:r w:rsidRPr="000A19AB">
              <w:rPr>
                <w:rFonts w:eastAsia="Calibri"/>
                <w:sz w:val="22"/>
                <w:szCs w:val="22"/>
              </w:rPr>
              <w:t>514.87(a)-(e)--Annual Reports for Sponsors With Active Applications--Electronic Submission</w:t>
            </w:r>
          </w:p>
        </w:tc>
        <w:tc>
          <w:tcPr>
            <w:tcW w:w="731" w:type="pct"/>
            <w:tcBorders>
              <w:bottom w:val="single" w:sz="4" w:space="0" w:color="auto"/>
            </w:tcBorders>
            <w:shd w:val="clear" w:color="auto" w:fill="auto"/>
          </w:tcPr>
          <w:p w:rsidR="00C47E19" w:rsidRPr="000A19AB" w:rsidP="005C3B20" w14:paraId="6415F3E7" w14:textId="77777777">
            <w:pPr>
              <w:jc w:val="right"/>
              <w:rPr>
                <w:sz w:val="22"/>
                <w:szCs w:val="22"/>
              </w:rPr>
            </w:pPr>
            <w:r w:rsidRPr="000A19AB">
              <w:rPr>
                <w:sz w:val="22"/>
                <w:szCs w:val="22"/>
              </w:rPr>
              <w:t>15</w:t>
            </w:r>
          </w:p>
        </w:tc>
        <w:tc>
          <w:tcPr>
            <w:tcW w:w="761" w:type="pct"/>
            <w:tcBorders>
              <w:bottom w:val="single" w:sz="4" w:space="0" w:color="auto"/>
            </w:tcBorders>
            <w:shd w:val="clear" w:color="auto" w:fill="auto"/>
          </w:tcPr>
          <w:p w:rsidR="00C47E19" w:rsidRPr="000A19AB" w:rsidP="005C3B20" w14:paraId="393ACC05" w14:textId="77777777">
            <w:pPr>
              <w:jc w:val="right"/>
              <w:rPr>
                <w:sz w:val="22"/>
                <w:szCs w:val="22"/>
              </w:rPr>
            </w:pPr>
            <w:r w:rsidRPr="000A19AB">
              <w:rPr>
                <w:sz w:val="22"/>
                <w:szCs w:val="22"/>
              </w:rPr>
              <w:t>10.1</w:t>
            </w:r>
          </w:p>
        </w:tc>
        <w:tc>
          <w:tcPr>
            <w:tcW w:w="582" w:type="pct"/>
            <w:tcBorders>
              <w:bottom w:val="single" w:sz="4" w:space="0" w:color="auto"/>
            </w:tcBorders>
            <w:shd w:val="clear" w:color="auto" w:fill="auto"/>
          </w:tcPr>
          <w:p w:rsidR="00C47E19" w:rsidRPr="000A19AB" w:rsidP="005C3B20" w14:paraId="1FB1B343" w14:textId="77777777">
            <w:pPr>
              <w:jc w:val="right"/>
              <w:rPr>
                <w:sz w:val="22"/>
                <w:szCs w:val="22"/>
              </w:rPr>
            </w:pPr>
            <w:r w:rsidRPr="000A19AB">
              <w:rPr>
                <w:sz w:val="22"/>
                <w:szCs w:val="22"/>
              </w:rPr>
              <w:t>152</w:t>
            </w:r>
          </w:p>
        </w:tc>
        <w:tc>
          <w:tcPr>
            <w:tcW w:w="633" w:type="pct"/>
            <w:tcBorders>
              <w:bottom w:val="single" w:sz="4" w:space="0" w:color="auto"/>
            </w:tcBorders>
            <w:shd w:val="clear" w:color="auto" w:fill="auto"/>
          </w:tcPr>
          <w:p w:rsidR="00C47E19" w:rsidRPr="000A19AB" w:rsidP="005C3B20" w14:paraId="7F36C3D7" w14:textId="77777777">
            <w:pPr>
              <w:jc w:val="right"/>
              <w:rPr>
                <w:sz w:val="22"/>
                <w:szCs w:val="22"/>
              </w:rPr>
            </w:pPr>
            <w:r w:rsidRPr="000A19AB">
              <w:rPr>
                <w:sz w:val="22"/>
                <w:szCs w:val="22"/>
              </w:rPr>
              <w:t>52</w:t>
            </w:r>
          </w:p>
        </w:tc>
        <w:tc>
          <w:tcPr>
            <w:tcW w:w="404" w:type="pct"/>
            <w:tcBorders>
              <w:bottom w:val="single" w:sz="4" w:space="0" w:color="auto"/>
            </w:tcBorders>
            <w:shd w:val="clear" w:color="auto" w:fill="auto"/>
          </w:tcPr>
          <w:p w:rsidR="00C47E19" w:rsidRPr="000A19AB" w:rsidP="005C3B20" w14:paraId="7303F947" w14:textId="77777777">
            <w:pPr>
              <w:jc w:val="right"/>
              <w:rPr>
                <w:sz w:val="22"/>
                <w:szCs w:val="22"/>
              </w:rPr>
            </w:pPr>
            <w:r w:rsidRPr="000A19AB">
              <w:rPr>
                <w:sz w:val="22"/>
                <w:szCs w:val="22"/>
              </w:rPr>
              <w:t>7,904</w:t>
            </w:r>
          </w:p>
        </w:tc>
      </w:tr>
      <w:tr w14:paraId="2E75ABE7" w14:textId="77777777" w:rsidTr="000A19AB">
        <w:tblPrEx>
          <w:tblW w:w="5058" w:type="pct"/>
          <w:tblInd w:w="-5" w:type="dxa"/>
          <w:tblLook w:val="01E0"/>
        </w:tblPrEx>
        <w:trPr>
          <w:cantSplit/>
          <w:trHeight w:val="20"/>
        </w:trPr>
        <w:tc>
          <w:tcPr>
            <w:tcW w:w="1888" w:type="pct"/>
            <w:shd w:val="clear" w:color="auto" w:fill="auto"/>
          </w:tcPr>
          <w:p w:rsidR="00C47E19" w:rsidRPr="000A19AB" w:rsidP="005C3B20" w14:paraId="756828FD" w14:textId="77777777">
            <w:pPr>
              <w:rPr>
                <w:sz w:val="22"/>
                <w:szCs w:val="22"/>
              </w:rPr>
            </w:pPr>
            <w:r w:rsidRPr="000A19AB">
              <w:rPr>
                <w:rFonts w:eastAsia="Calibri"/>
                <w:sz w:val="22"/>
                <w:szCs w:val="22"/>
              </w:rPr>
              <w:t>514.87(a)-(e)--Annual Reports for Sponsors With Inactive Applications--Paper Submission</w:t>
            </w:r>
          </w:p>
        </w:tc>
        <w:tc>
          <w:tcPr>
            <w:tcW w:w="731" w:type="pct"/>
            <w:shd w:val="clear" w:color="auto" w:fill="auto"/>
          </w:tcPr>
          <w:p w:rsidR="00C47E19" w:rsidRPr="000A19AB" w:rsidP="005C3B20" w14:paraId="37F96E5E" w14:textId="77777777">
            <w:pPr>
              <w:jc w:val="right"/>
              <w:rPr>
                <w:sz w:val="22"/>
                <w:szCs w:val="22"/>
              </w:rPr>
            </w:pPr>
            <w:r w:rsidRPr="000A19AB">
              <w:rPr>
                <w:sz w:val="22"/>
                <w:szCs w:val="22"/>
              </w:rPr>
              <w:t>2</w:t>
            </w:r>
          </w:p>
        </w:tc>
        <w:tc>
          <w:tcPr>
            <w:tcW w:w="761" w:type="pct"/>
            <w:shd w:val="clear" w:color="auto" w:fill="auto"/>
          </w:tcPr>
          <w:p w:rsidR="00C47E19" w:rsidRPr="000A19AB" w:rsidP="005C3B20" w14:paraId="770BDABF" w14:textId="77777777">
            <w:pPr>
              <w:jc w:val="right"/>
              <w:rPr>
                <w:sz w:val="22"/>
                <w:szCs w:val="22"/>
              </w:rPr>
            </w:pPr>
            <w:r w:rsidRPr="000A19AB">
              <w:rPr>
                <w:sz w:val="22"/>
                <w:szCs w:val="22"/>
              </w:rPr>
              <w:t>3.5</w:t>
            </w:r>
          </w:p>
        </w:tc>
        <w:tc>
          <w:tcPr>
            <w:tcW w:w="582" w:type="pct"/>
            <w:shd w:val="clear" w:color="auto" w:fill="auto"/>
          </w:tcPr>
          <w:p w:rsidR="00C47E19" w:rsidRPr="000A19AB" w:rsidP="005C3B20" w14:paraId="1CD3BFFC" w14:textId="77777777">
            <w:pPr>
              <w:jc w:val="right"/>
              <w:rPr>
                <w:sz w:val="22"/>
                <w:szCs w:val="22"/>
              </w:rPr>
            </w:pPr>
            <w:r w:rsidRPr="000A19AB">
              <w:rPr>
                <w:sz w:val="22"/>
                <w:szCs w:val="22"/>
              </w:rPr>
              <w:t>7</w:t>
            </w:r>
          </w:p>
        </w:tc>
        <w:tc>
          <w:tcPr>
            <w:tcW w:w="633" w:type="pct"/>
            <w:shd w:val="clear" w:color="auto" w:fill="auto"/>
          </w:tcPr>
          <w:p w:rsidR="00C47E19" w:rsidRPr="000A19AB" w:rsidP="005C3B20" w14:paraId="0278DDEC" w14:textId="77777777">
            <w:pPr>
              <w:jc w:val="right"/>
              <w:rPr>
                <w:sz w:val="22"/>
                <w:szCs w:val="22"/>
              </w:rPr>
            </w:pPr>
            <w:r w:rsidRPr="000A19AB">
              <w:rPr>
                <w:sz w:val="22"/>
                <w:szCs w:val="22"/>
              </w:rPr>
              <w:t>2</w:t>
            </w:r>
          </w:p>
        </w:tc>
        <w:tc>
          <w:tcPr>
            <w:tcW w:w="404" w:type="pct"/>
            <w:shd w:val="clear" w:color="auto" w:fill="auto"/>
          </w:tcPr>
          <w:p w:rsidR="00C47E19" w:rsidRPr="000A19AB" w:rsidP="005C3B20" w14:paraId="71E66320" w14:textId="77777777">
            <w:pPr>
              <w:jc w:val="right"/>
              <w:rPr>
                <w:sz w:val="22"/>
                <w:szCs w:val="22"/>
              </w:rPr>
            </w:pPr>
            <w:r w:rsidRPr="000A19AB">
              <w:rPr>
                <w:sz w:val="22"/>
                <w:szCs w:val="22"/>
              </w:rPr>
              <w:t>14</w:t>
            </w:r>
          </w:p>
        </w:tc>
      </w:tr>
      <w:tr w14:paraId="506C50AF" w14:textId="77777777" w:rsidTr="000A19AB">
        <w:tblPrEx>
          <w:tblW w:w="5058" w:type="pct"/>
          <w:tblInd w:w="-5" w:type="dxa"/>
          <w:tblLook w:val="01E0"/>
        </w:tblPrEx>
        <w:trPr>
          <w:cantSplit/>
          <w:trHeight w:val="20"/>
        </w:trPr>
        <w:tc>
          <w:tcPr>
            <w:tcW w:w="1888" w:type="pct"/>
            <w:shd w:val="clear" w:color="auto" w:fill="auto"/>
          </w:tcPr>
          <w:p w:rsidR="00C47E19" w:rsidRPr="000A19AB" w:rsidP="005C3B20" w14:paraId="73508F43" w14:textId="77777777">
            <w:pPr>
              <w:rPr>
                <w:sz w:val="22"/>
                <w:szCs w:val="22"/>
              </w:rPr>
            </w:pPr>
            <w:r w:rsidRPr="000A19AB">
              <w:rPr>
                <w:rFonts w:eastAsia="Calibri"/>
                <w:sz w:val="22"/>
                <w:szCs w:val="22"/>
              </w:rPr>
              <w:t>514.87(a)-(e)--Annual Reports for Sponsors With Inactive Applications--Electronic Submission</w:t>
            </w:r>
          </w:p>
        </w:tc>
        <w:tc>
          <w:tcPr>
            <w:tcW w:w="731" w:type="pct"/>
            <w:shd w:val="clear" w:color="auto" w:fill="auto"/>
          </w:tcPr>
          <w:p w:rsidR="00C47E19" w:rsidRPr="000A19AB" w:rsidP="005C3B20" w14:paraId="7494EF14" w14:textId="77777777">
            <w:pPr>
              <w:jc w:val="right"/>
              <w:rPr>
                <w:sz w:val="22"/>
                <w:szCs w:val="22"/>
              </w:rPr>
            </w:pPr>
            <w:r w:rsidRPr="000A19AB">
              <w:rPr>
                <w:sz w:val="22"/>
                <w:szCs w:val="22"/>
              </w:rPr>
              <w:t>10</w:t>
            </w:r>
          </w:p>
        </w:tc>
        <w:tc>
          <w:tcPr>
            <w:tcW w:w="761" w:type="pct"/>
            <w:shd w:val="clear" w:color="auto" w:fill="auto"/>
          </w:tcPr>
          <w:p w:rsidR="00C47E19" w:rsidRPr="000A19AB" w:rsidP="005C3B20" w14:paraId="10A4C848" w14:textId="77777777">
            <w:pPr>
              <w:jc w:val="right"/>
              <w:rPr>
                <w:sz w:val="22"/>
                <w:szCs w:val="22"/>
              </w:rPr>
            </w:pPr>
            <w:r w:rsidRPr="000A19AB">
              <w:rPr>
                <w:sz w:val="22"/>
                <w:szCs w:val="22"/>
              </w:rPr>
              <w:t>17.9</w:t>
            </w:r>
          </w:p>
        </w:tc>
        <w:tc>
          <w:tcPr>
            <w:tcW w:w="582" w:type="pct"/>
            <w:shd w:val="clear" w:color="auto" w:fill="auto"/>
          </w:tcPr>
          <w:p w:rsidR="00C47E19" w:rsidRPr="000A19AB" w:rsidP="005C3B20" w14:paraId="1CA428EE" w14:textId="77777777">
            <w:pPr>
              <w:jc w:val="right"/>
              <w:rPr>
                <w:sz w:val="22"/>
                <w:szCs w:val="22"/>
              </w:rPr>
            </w:pPr>
            <w:r w:rsidRPr="000A19AB">
              <w:rPr>
                <w:sz w:val="22"/>
                <w:szCs w:val="22"/>
              </w:rPr>
              <w:t>179</w:t>
            </w:r>
          </w:p>
        </w:tc>
        <w:tc>
          <w:tcPr>
            <w:tcW w:w="633" w:type="pct"/>
            <w:shd w:val="clear" w:color="auto" w:fill="auto"/>
          </w:tcPr>
          <w:p w:rsidR="00C47E19" w:rsidRPr="000A19AB" w:rsidP="005C3B20" w14:paraId="60C303D5" w14:textId="77777777">
            <w:pPr>
              <w:jc w:val="right"/>
              <w:rPr>
                <w:sz w:val="22"/>
                <w:szCs w:val="22"/>
              </w:rPr>
            </w:pPr>
            <w:r w:rsidRPr="000A19AB">
              <w:rPr>
                <w:sz w:val="22"/>
                <w:szCs w:val="22"/>
              </w:rPr>
              <w:t>2</w:t>
            </w:r>
          </w:p>
        </w:tc>
        <w:tc>
          <w:tcPr>
            <w:tcW w:w="404" w:type="pct"/>
            <w:shd w:val="clear" w:color="auto" w:fill="auto"/>
          </w:tcPr>
          <w:p w:rsidR="00C47E19" w:rsidRPr="000A19AB" w:rsidP="005C3B20" w14:paraId="3476E642" w14:textId="77777777">
            <w:pPr>
              <w:jc w:val="right"/>
              <w:rPr>
                <w:sz w:val="22"/>
                <w:szCs w:val="22"/>
              </w:rPr>
            </w:pPr>
            <w:r w:rsidRPr="000A19AB">
              <w:rPr>
                <w:sz w:val="22"/>
                <w:szCs w:val="22"/>
              </w:rPr>
              <w:t>358</w:t>
            </w:r>
          </w:p>
        </w:tc>
      </w:tr>
      <w:tr w14:paraId="4EB2CC8D" w14:textId="77777777" w:rsidTr="000A19AB">
        <w:tblPrEx>
          <w:tblW w:w="5058" w:type="pct"/>
          <w:tblInd w:w="-5" w:type="dxa"/>
          <w:tblLook w:val="01E0"/>
        </w:tblPrEx>
        <w:trPr>
          <w:cantSplit/>
          <w:trHeight w:val="20"/>
        </w:trPr>
        <w:tc>
          <w:tcPr>
            <w:tcW w:w="1888" w:type="pct"/>
            <w:shd w:val="clear" w:color="auto" w:fill="auto"/>
          </w:tcPr>
          <w:p w:rsidR="00C47E19" w:rsidRPr="000A19AB" w:rsidP="005C3B20" w14:paraId="66603A30" w14:textId="77777777">
            <w:pPr>
              <w:rPr>
                <w:rFonts w:eastAsia="Calibri"/>
                <w:sz w:val="22"/>
                <w:szCs w:val="22"/>
              </w:rPr>
            </w:pPr>
            <w:r w:rsidRPr="000A19AB">
              <w:rPr>
                <w:rFonts w:eastAsia="Calibri"/>
                <w:sz w:val="22"/>
                <w:szCs w:val="22"/>
              </w:rPr>
              <w:t>Total</w:t>
            </w:r>
          </w:p>
        </w:tc>
        <w:tc>
          <w:tcPr>
            <w:tcW w:w="731" w:type="pct"/>
            <w:shd w:val="clear" w:color="auto" w:fill="auto"/>
          </w:tcPr>
          <w:p w:rsidR="00C47E19" w:rsidRPr="000A19AB" w:rsidP="005C3B20" w14:paraId="14A543DE" w14:textId="77777777">
            <w:pPr>
              <w:jc w:val="right"/>
              <w:rPr>
                <w:sz w:val="22"/>
                <w:szCs w:val="22"/>
              </w:rPr>
            </w:pPr>
          </w:p>
        </w:tc>
        <w:tc>
          <w:tcPr>
            <w:tcW w:w="761" w:type="pct"/>
            <w:shd w:val="clear" w:color="auto" w:fill="auto"/>
          </w:tcPr>
          <w:p w:rsidR="00C47E19" w:rsidRPr="000A19AB" w:rsidP="005C3B20" w14:paraId="23295BDD" w14:textId="77777777">
            <w:pPr>
              <w:jc w:val="right"/>
              <w:rPr>
                <w:sz w:val="22"/>
                <w:szCs w:val="22"/>
              </w:rPr>
            </w:pPr>
          </w:p>
        </w:tc>
        <w:tc>
          <w:tcPr>
            <w:tcW w:w="582" w:type="pct"/>
            <w:shd w:val="clear" w:color="auto" w:fill="auto"/>
          </w:tcPr>
          <w:p w:rsidR="00C47E19" w:rsidRPr="000A19AB" w:rsidP="005C3B20" w14:paraId="04B5FA51" w14:textId="77777777">
            <w:pPr>
              <w:jc w:val="right"/>
              <w:rPr>
                <w:sz w:val="22"/>
                <w:szCs w:val="22"/>
              </w:rPr>
            </w:pPr>
          </w:p>
        </w:tc>
        <w:tc>
          <w:tcPr>
            <w:tcW w:w="633" w:type="pct"/>
            <w:shd w:val="clear" w:color="auto" w:fill="auto"/>
          </w:tcPr>
          <w:p w:rsidR="00C47E19" w:rsidRPr="000A19AB" w:rsidP="005C3B20" w14:paraId="54509E69" w14:textId="77777777">
            <w:pPr>
              <w:jc w:val="right"/>
              <w:rPr>
                <w:sz w:val="22"/>
                <w:szCs w:val="22"/>
              </w:rPr>
            </w:pPr>
          </w:p>
        </w:tc>
        <w:tc>
          <w:tcPr>
            <w:tcW w:w="404" w:type="pct"/>
            <w:shd w:val="clear" w:color="auto" w:fill="auto"/>
          </w:tcPr>
          <w:p w:rsidR="00C47E19" w:rsidRPr="000A19AB" w:rsidP="005C3B20" w14:paraId="33DA09B2" w14:textId="77777777">
            <w:pPr>
              <w:jc w:val="right"/>
              <w:rPr>
                <w:sz w:val="22"/>
                <w:szCs w:val="22"/>
              </w:rPr>
            </w:pPr>
            <w:r w:rsidRPr="000A19AB">
              <w:rPr>
                <w:sz w:val="22"/>
                <w:szCs w:val="22"/>
              </w:rPr>
              <w:t>8,338</w:t>
            </w:r>
          </w:p>
        </w:tc>
      </w:tr>
    </w:tbl>
    <w:p w:rsidR="00E05BE8" w:rsidP="00E05BE8" w14:paraId="3C5E23BA" w14:textId="77777777"/>
    <w:p w:rsidR="00ED2C2B" w:rsidP="00E05BE8" w14:paraId="48E57555" w14:textId="77777777">
      <w:pPr>
        <w:rPr>
          <w:rFonts w:eastAsia="Calibri"/>
        </w:rPr>
      </w:pPr>
      <w:r>
        <w:rPr>
          <w:rFonts w:eastAsia="Calibri"/>
        </w:rPr>
        <w:t xml:space="preserve">We base our estimate of the average burden per response on our recent experience with the existing antimicrobial animal drug distribution reports program.  We base our estimate of the number of affected respondents reported in tables 1 and 2 and the average number of responses per respondent in table 1 on a review of our records of sponsors with active and inactive applications.  </w:t>
      </w:r>
    </w:p>
    <w:p w:rsidR="00ED2C2B" w:rsidP="00E05BE8" w14:paraId="2BB53CE0" w14:textId="77777777">
      <w:pPr>
        <w:rPr>
          <w:rFonts w:eastAsia="Calibri"/>
        </w:rPr>
      </w:pPr>
    </w:p>
    <w:p w:rsidR="00ED2C2B" w:rsidP="00E05BE8" w14:paraId="3DD1542B" w14:textId="77777777">
      <w:pPr>
        <w:rPr>
          <w:rFonts w:eastAsia="Calibri"/>
        </w:rPr>
      </w:pPr>
      <w:r>
        <w:rPr>
          <w:rFonts w:eastAsia="Calibri"/>
        </w:rPr>
        <w:t xml:space="preserve">We estimate that </w:t>
      </w:r>
      <w:r w:rsidR="007C4488">
        <w:rPr>
          <w:rFonts w:eastAsia="Calibri"/>
        </w:rPr>
        <w:t>15</w:t>
      </w:r>
      <w:r>
        <w:rPr>
          <w:rFonts w:eastAsia="Calibri"/>
        </w:rPr>
        <w:t xml:space="preserve"> sponsors will have active applications and we assume that </w:t>
      </w:r>
      <w:r w:rsidR="007C4488">
        <w:rPr>
          <w:rFonts w:eastAsia="Calibri"/>
        </w:rPr>
        <w:t>100</w:t>
      </w:r>
      <w:r>
        <w:rPr>
          <w:rFonts w:eastAsia="Calibri"/>
        </w:rPr>
        <w:t xml:space="preserve"> percent of the respondents will report electronically.  </w:t>
      </w:r>
      <w:r w:rsidRPr="00D44FE1" w:rsidR="00D44FE1">
        <w:rPr>
          <w:rFonts w:eastAsia="Calibri"/>
        </w:rPr>
        <w:t>While we did not receive any paper submissions from Sponsors with active applications since our last review, we retain our current estimate of 1 respondent to permit such applications by respondents and also to permit related responses to FDA.</w:t>
      </w:r>
      <w:r w:rsidR="00D44FE1">
        <w:rPr>
          <w:rFonts w:eastAsia="Calibri"/>
        </w:rPr>
        <w:t xml:space="preserve">  </w:t>
      </w:r>
      <w:r>
        <w:rPr>
          <w:rFonts w:eastAsia="Calibri"/>
        </w:rPr>
        <w:t xml:space="preserve">We estimate that </w:t>
      </w:r>
      <w:r w:rsidR="004C2210">
        <w:rPr>
          <w:rFonts w:eastAsia="Calibri"/>
        </w:rPr>
        <w:t>a sponsor</w:t>
      </w:r>
      <w:r>
        <w:rPr>
          <w:rFonts w:eastAsia="Calibri"/>
        </w:rPr>
        <w:t xml:space="preserve"> will spend 62 hours annually to assemble the necessary information, prepare, and submit an annual antimicrobial animal drug sales and distribution report on paper and </w:t>
      </w:r>
      <w:r w:rsidR="007C4488">
        <w:rPr>
          <w:rFonts w:eastAsia="Calibri"/>
        </w:rPr>
        <w:t xml:space="preserve">15 </w:t>
      </w:r>
      <w:r>
        <w:rPr>
          <w:rFonts w:eastAsia="Calibri"/>
        </w:rPr>
        <w:t xml:space="preserve">sponsors with active applications will spend 52 hours annually to assemble the necessary information, prepare, and electronically submit an annual antimicrobial animal drug sales and distribution report.  </w:t>
      </w:r>
    </w:p>
    <w:p w:rsidR="00ED2C2B" w:rsidP="00E05BE8" w14:paraId="0B96B697" w14:textId="77777777">
      <w:pPr>
        <w:rPr>
          <w:rFonts w:eastAsia="Calibri"/>
        </w:rPr>
      </w:pPr>
    </w:p>
    <w:p w:rsidR="00ED2C2B" w:rsidP="00E05BE8" w14:paraId="5DAC91F4" w14:textId="77777777">
      <w:pPr>
        <w:rPr>
          <w:rFonts w:eastAsia="Calibri"/>
        </w:rPr>
      </w:pPr>
      <w:r>
        <w:rPr>
          <w:rFonts w:eastAsia="Calibri"/>
        </w:rPr>
        <w:t xml:space="preserve">We estimate that </w:t>
      </w:r>
      <w:r w:rsidR="007C4488">
        <w:rPr>
          <w:rFonts w:eastAsia="Calibri"/>
        </w:rPr>
        <w:t>10</w:t>
      </w:r>
      <w:r>
        <w:rPr>
          <w:rFonts w:eastAsia="Calibri"/>
        </w:rPr>
        <w:t xml:space="preserve"> sponsors will have inactive applications and we assume that </w:t>
      </w:r>
      <w:r w:rsidR="007C4488">
        <w:rPr>
          <w:rFonts w:eastAsia="Calibri"/>
        </w:rPr>
        <w:t>96</w:t>
      </w:r>
      <w:r>
        <w:rPr>
          <w:rFonts w:eastAsia="Calibri"/>
        </w:rPr>
        <w:t xml:space="preserve"> percent of these respondents will report electronically while the other </w:t>
      </w:r>
      <w:r w:rsidR="007C4488">
        <w:rPr>
          <w:rFonts w:eastAsia="Calibri"/>
        </w:rPr>
        <w:t>4</w:t>
      </w:r>
      <w:r>
        <w:rPr>
          <w:rFonts w:eastAsia="Calibri"/>
        </w:rPr>
        <w:t xml:space="preserve"> percent will report on paper.  </w:t>
      </w:r>
    </w:p>
    <w:p w:rsidR="00ED2C2B" w:rsidP="00E05BE8" w14:paraId="7747D999" w14:textId="77777777">
      <w:pPr>
        <w:rPr>
          <w:rFonts w:eastAsia="Calibri"/>
        </w:rPr>
      </w:pPr>
    </w:p>
    <w:p w:rsidR="00E05BE8" w:rsidP="00E05BE8" w14:paraId="028D5CA2" w14:textId="40682B09">
      <w:r>
        <w:rPr>
          <w:rFonts w:eastAsia="Calibri"/>
        </w:rPr>
        <w:t>We estimate that sponsors with inactive applications will spend 2 hours to prepare their annual antimicrobial animal drug sales and distribution reports, whether electronically or on paper.</w:t>
      </w:r>
    </w:p>
    <w:p w:rsidR="00E05BE8" w:rsidP="00C47E19" w14:paraId="04275FF6" w14:textId="77777777">
      <w:pPr>
        <w:jc w:val="center"/>
      </w:pPr>
    </w:p>
    <w:p w:rsidR="00C47E19" w:rsidRPr="00A80D95" w:rsidP="00C47E19" w14:paraId="7599212E" w14:textId="77777777">
      <w:pPr>
        <w:jc w:val="center"/>
      </w:pPr>
      <w:r w:rsidRPr="00A80D95">
        <w:t>Table 2</w:t>
      </w:r>
      <w:r>
        <w:t>--</w:t>
      </w:r>
      <w:r w:rsidRPr="00A80D95">
        <w:t>Estimated Annual Recordkeeping Burden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1709"/>
        <w:gridCol w:w="1621"/>
        <w:gridCol w:w="1081"/>
        <w:gridCol w:w="1670"/>
        <w:gridCol w:w="916"/>
      </w:tblGrid>
      <w:tr w14:paraId="094473BB" w14:textId="77777777" w:rsidTr="00540142">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blHeader/>
        </w:trPr>
        <w:tc>
          <w:tcPr>
            <w:tcW w:w="1401" w:type="pct"/>
            <w:shd w:val="clear" w:color="auto" w:fill="auto"/>
          </w:tcPr>
          <w:p w:rsidR="00C47E19" w:rsidP="005C3B20" w14:paraId="0E9AD71E" w14:textId="77777777">
            <w:pPr>
              <w:keepNext/>
              <w:jc w:val="center"/>
            </w:pPr>
            <w:r>
              <w:t>Activity</w:t>
            </w:r>
          </w:p>
        </w:tc>
        <w:tc>
          <w:tcPr>
            <w:tcW w:w="879" w:type="pct"/>
            <w:shd w:val="clear" w:color="auto" w:fill="auto"/>
          </w:tcPr>
          <w:p w:rsidR="00C47E19" w:rsidP="005C3B20" w14:paraId="653B565D" w14:textId="77777777">
            <w:pPr>
              <w:keepNext/>
              <w:jc w:val="center"/>
            </w:pPr>
            <w:r>
              <w:t>No. of Recordkeepers</w:t>
            </w:r>
          </w:p>
        </w:tc>
        <w:tc>
          <w:tcPr>
            <w:tcW w:w="834" w:type="pct"/>
            <w:shd w:val="clear" w:color="auto" w:fill="auto"/>
          </w:tcPr>
          <w:p w:rsidR="00C47E19" w:rsidP="005C3B20" w14:paraId="306D1E07" w14:textId="77777777">
            <w:pPr>
              <w:keepNext/>
              <w:jc w:val="center"/>
            </w:pPr>
            <w:r>
              <w:rPr>
                <w:bCs/>
              </w:rPr>
              <w:t>No. of Records per Recordkeeper</w:t>
            </w:r>
          </w:p>
        </w:tc>
        <w:tc>
          <w:tcPr>
            <w:tcW w:w="556" w:type="pct"/>
            <w:shd w:val="clear" w:color="auto" w:fill="auto"/>
          </w:tcPr>
          <w:p w:rsidR="00C47E19" w:rsidP="005C3B20" w14:paraId="6525D020" w14:textId="77777777">
            <w:pPr>
              <w:keepNext/>
              <w:jc w:val="center"/>
            </w:pPr>
            <w:r>
              <w:t>Total Annual Records</w:t>
            </w:r>
          </w:p>
        </w:tc>
        <w:tc>
          <w:tcPr>
            <w:tcW w:w="859" w:type="pct"/>
            <w:shd w:val="clear" w:color="auto" w:fill="auto"/>
          </w:tcPr>
          <w:p w:rsidR="00C47E19" w:rsidP="005C3B20" w14:paraId="76AE56CE" w14:textId="77777777">
            <w:pPr>
              <w:keepNext/>
              <w:jc w:val="center"/>
            </w:pPr>
            <w:r>
              <w:rPr>
                <w:bCs/>
              </w:rPr>
              <w:t xml:space="preserve">Average Burden per Recordkeeping </w:t>
            </w:r>
          </w:p>
        </w:tc>
        <w:tc>
          <w:tcPr>
            <w:tcW w:w="472" w:type="pct"/>
            <w:shd w:val="clear" w:color="auto" w:fill="auto"/>
          </w:tcPr>
          <w:p w:rsidR="00C47E19" w:rsidP="005C3B20" w14:paraId="19450E5B" w14:textId="77777777">
            <w:pPr>
              <w:keepNext/>
              <w:jc w:val="center"/>
            </w:pPr>
            <w:r>
              <w:t>Total Hours</w:t>
            </w:r>
          </w:p>
        </w:tc>
      </w:tr>
      <w:tr w14:paraId="156C3444" w14:textId="77777777" w:rsidTr="00540142">
        <w:tblPrEx>
          <w:tblW w:w="5000" w:type="pct"/>
          <w:tblInd w:w="-5" w:type="dxa"/>
          <w:tblLayout w:type="fixed"/>
          <w:tblLook w:val="01E0"/>
        </w:tblPrEx>
        <w:trPr>
          <w:trHeight w:val="620"/>
        </w:trPr>
        <w:tc>
          <w:tcPr>
            <w:tcW w:w="1401" w:type="pct"/>
            <w:shd w:val="clear" w:color="auto" w:fill="auto"/>
          </w:tcPr>
          <w:p w:rsidR="00C47E19" w:rsidP="005C3B20" w14:paraId="22188907" w14:textId="77777777">
            <w:pPr>
              <w:keepNext/>
            </w:pPr>
            <w:r w:rsidRPr="00A34757">
              <w:rPr>
                <w:rFonts w:eastAsia="Calibri"/>
              </w:rPr>
              <w:t>Recordkeeping required by section 512(</w:t>
            </w:r>
            <w:r w:rsidRPr="00CF7698">
              <w:rPr>
                <w:rFonts w:eastAsia="Calibri"/>
                <w:iCs/>
              </w:rPr>
              <w:t>l</w:t>
            </w:r>
            <w:r w:rsidRPr="00A34757">
              <w:rPr>
                <w:rFonts w:eastAsia="Calibri"/>
              </w:rPr>
              <w:t>)(3) of the FD&amp;C Act</w:t>
            </w:r>
            <w:r w:rsidRPr="00A34757">
              <w:rPr>
                <w:rFonts w:eastAsia="Calibri"/>
              </w:rPr>
              <w:t xml:space="preserve"> </w:t>
            </w:r>
          </w:p>
        </w:tc>
        <w:tc>
          <w:tcPr>
            <w:tcW w:w="879" w:type="pct"/>
            <w:shd w:val="clear" w:color="auto" w:fill="auto"/>
          </w:tcPr>
          <w:p w:rsidR="00C47E19" w:rsidRPr="00FE55E4" w:rsidP="00540142" w14:paraId="224D9EF2" w14:textId="77777777">
            <w:pPr>
              <w:keepNext/>
              <w:jc w:val="center"/>
            </w:pPr>
            <w:r w:rsidRPr="00FE55E4">
              <w:rPr>
                <w:rFonts w:eastAsia="Calibri"/>
              </w:rPr>
              <w:t>23</w:t>
            </w:r>
          </w:p>
        </w:tc>
        <w:tc>
          <w:tcPr>
            <w:tcW w:w="834" w:type="pct"/>
            <w:shd w:val="clear" w:color="auto" w:fill="auto"/>
          </w:tcPr>
          <w:p w:rsidR="00C47E19" w:rsidRPr="00FE55E4" w:rsidP="00540142" w14:paraId="16D775BF" w14:textId="77777777">
            <w:pPr>
              <w:keepNext/>
              <w:jc w:val="center"/>
            </w:pPr>
            <w:r>
              <w:rPr>
                <w:rFonts w:eastAsia="Calibri"/>
              </w:rPr>
              <w:t>1</w:t>
            </w:r>
          </w:p>
        </w:tc>
        <w:tc>
          <w:tcPr>
            <w:tcW w:w="556" w:type="pct"/>
            <w:shd w:val="clear" w:color="auto" w:fill="auto"/>
          </w:tcPr>
          <w:p w:rsidR="00C47E19" w:rsidRPr="00FE55E4" w:rsidP="00540142" w14:paraId="62CCCCF8" w14:textId="77777777">
            <w:pPr>
              <w:keepNext/>
              <w:jc w:val="center"/>
            </w:pPr>
            <w:r w:rsidRPr="00FE55E4">
              <w:rPr>
                <w:rFonts w:eastAsia="Calibri"/>
              </w:rPr>
              <w:t>23</w:t>
            </w:r>
          </w:p>
        </w:tc>
        <w:tc>
          <w:tcPr>
            <w:tcW w:w="859" w:type="pct"/>
            <w:shd w:val="clear" w:color="auto" w:fill="auto"/>
          </w:tcPr>
          <w:p w:rsidR="00C47E19" w:rsidRPr="00FE55E4" w:rsidP="00540142" w14:paraId="65E022DA" w14:textId="77777777">
            <w:pPr>
              <w:keepNext/>
              <w:jc w:val="center"/>
              <w:rPr>
                <w:rFonts w:eastAsia="Calibri"/>
              </w:rPr>
            </w:pPr>
            <w:r w:rsidRPr="00FE55E4">
              <w:rPr>
                <w:rFonts w:eastAsia="Calibri"/>
              </w:rPr>
              <w:t>2</w:t>
            </w:r>
          </w:p>
        </w:tc>
        <w:tc>
          <w:tcPr>
            <w:tcW w:w="472" w:type="pct"/>
            <w:shd w:val="clear" w:color="auto" w:fill="auto"/>
          </w:tcPr>
          <w:p w:rsidR="00C47E19" w:rsidRPr="00FE55E4" w:rsidP="00540142" w14:paraId="62A60073" w14:textId="77777777">
            <w:pPr>
              <w:keepNext/>
              <w:jc w:val="center"/>
            </w:pPr>
            <w:r w:rsidRPr="00FE55E4">
              <w:rPr>
                <w:rFonts w:eastAsia="Calibri"/>
              </w:rPr>
              <w:t>46</w:t>
            </w:r>
          </w:p>
        </w:tc>
      </w:tr>
    </w:tbl>
    <w:p w:rsidR="003D78F5" w:rsidP="00DC371B" w14:paraId="731DCB2C" w14:textId="77777777">
      <w:pPr>
        <w:spacing w:after="200"/>
        <w:ind w:left="360"/>
        <w:rPr>
          <w:rFonts w:eastAsia="Calibri"/>
        </w:rPr>
      </w:pPr>
    </w:p>
    <w:p w:rsidR="0057441B" w:rsidP="0078137F" w14:paraId="62C72440" w14:textId="35A7C43A">
      <w:pPr>
        <w:spacing w:after="200"/>
        <w:rPr>
          <w:rFonts w:eastAsia="Calibri"/>
        </w:rPr>
      </w:pPr>
      <w:r>
        <w:rPr>
          <w:rFonts w:eastAsia="Calibri"/>
        </w:rPr>
        <w:t>Animal drug manufacturers are already required to maintain distribution records for their animal drug products to comply with FDA’s current good manufacturing regulations for periodic drug reports under 21 CFR 514.80(b)(4)(i), approved under OMB control number 0910-0284. Section 512(</w:t>
      </w:r>
      <w:r>
        <w:rPr>
          <w:rFonts w:eastAsia="Calibri"/>
          <w:i/>
        </w:rPr>
        <w:t>l</w:t>
      </w:r>
      <w:r>
        <w:rPr>
          <w:rFonts w:eastAsia="Calibri"/>
        </w:rPr>
        <w:t xml:space="preserve">)(3) of the FD&amp;C Act differs from § 514.80(b)(4)(i) in that it requires that records include separate information for each month of the calendar year.  In addition, </w:t>
      </w:r>
      <w:r>
        <w:rPr>
          <w:rFonts w:eastAsia="Calibri"/>
        </w:rPr>
        <w:t>under 21 CFR 211.196 (approved under OMB control number 0910-0139), manufacturers currently are required to maintain distribution records that include dosage form, and date drug is distributed. Based on these requirements, FDA believes that manufacturers already keep detailed records of the dates when antimicrobial drugs are distributed for marketing and recall purposes from which monthly reports can be prepared as part of usual and customary business practices. However, FDA estimates an additional recordkeeping burden of 46 hours for further compliance with section 512(</w:t>
      </w:r>
      <w:r>
        <w:rPr>
          <w:rFonts w:eastAsia="Calibri"/>
          <w:i/>
        </w:rPr>
        <w:t>l</w:t>
      </w:r>
      <w:r>
        <w:rPr>
          <w:rFonts w:eastAsia="Calibri"/>
        </w:rPr>
        <w:t>)(3), as detailed in table 2.</w:t>
      </w:r>
      <w:r w:rsidR="00414494">
        <w:rPr>
          <w:rFonts w:eastAsia="Calibri"/>
        </w:rPr>
        <w:t xml:space="preserve"> </w:t>
      </w:r>
    </w:p>
    <w:p w:rsidR="00357C8A" w:rsidRPr="0078137F" w:rsidP="00DC371B" w14:paraId="0CC6A9A8" w14:textId="77777777">
      <w:pPr>
        <w:spacing w:after="200"/>
        <w:ind w:left="360"/>
        <w:rPr>
          <w:rFonts w:eastAsia="Calibri"/>
          <w:i/>
          <w:iCs/>
        </w:rPr>
      </w:pPr>
      <w:r w:rsidRPr="0078137F">
        <w:rPr>
          <w:rFonts w:eastAsia="Calibri"/>
          <w:i/>
          <w:iCs/>
        </w:rPr>
        <w:t>12b.  Annualized Cost Burden Estimate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90"/>
        <w:gridCol w:w="1944"/>
        <w:gridCol w:w="1926"/>
      </w:tblGrid>
      <w:tr w14:paraId="4A7399A4" w14:textId="77777777" w:rsidTr="0078137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40" w:type="dxa"/>
            <w:shd w:val="clear" w:color="auto" w:fill="auto"/>
          </w:tcPr>
          <w:p w:rsidR="00A707CC" w:rsidRPr="00046F94" w:rsidP="00312622" w14:paraId="3C6755EB" w14:textId="77777777">
            <w:pPr>
              <w:jc w:val="center"/>
              <w:rPr>
                <w:sz w:val="22"/>
                <w:szCs w:val="22"/>
              </w:rPr>
            </w:pPr>
            <w:r w:rsidRPr="00046F94">
              <w:rPr>
                <w:sz w:val="22"/>
                <w:szCs w:val="22"/>
              </w:rPr>
              <w:t>Type of Respondent</w:t>
            </w:r>
          </w:p>
        </w:tc>
        <w:tc>
          <w:tcPr>
            <w:tcW w:w="1890" w:type="dxa"/>
            <w:shd w:val="clear" w:color="auto" w:fill="auto"/>
          </w:tcPr>
          <w:p w:rsidR="00A707CC" w:rsidRPr="00046F94" w:rsidP="00312622" w14:paraId="6357E193" w14:textId="77777777">
            <w:pPr>
              <w:jc w:val="center"/>
              <w:rPr>
                <w:sz w:val="22"/>
                <w:szCs w:val="22"/>
              </w:rPr>
            </w:pPr>
            <w:r w:rsidRPr="00046F94">
              <w:rPr>
                <w:sz w:val="22"/>
                <w:szCs w:val="22"/>
              </w:rPr>
              <w:t>Total Burden Hours</w:t>
            </w:r>
          </w:p>
        </w:tc>
        <w:tc>
          <w:tcPr>
            <w:tcW w:w="1944" w:type="dxa"/>
            <w:shd w:val="clear" w:color="auto" w:fill="auto"/>
          </w:tcPr>
          <w:p w:rsidR="00A707CC" w:rsidRPr="00046F94" w:rsidP="00312622" w14:paraId="3D75B000" w14:textId="77777777">
            <w:pPr>
              <w:jc w:val="center"/>
              <w:rPr>
                <w:sz w:val="22"/>
                <w:szCs w:val="22"/>
              </w:rPr>
            </w:pPr>
            <w:r w:rsidRPr="00046F94">
              <w:rPr>
                <w:sz w:val="22"/>
                <w:szCs w:val="22"/>
              </w:rPr>
              <w:t>Hourly Wage Rate</w:t>
            </w:r>
          </w:p>
        </w:tc>
        <w:tc>
          <w:tcPr>
            <w:tcW w:w="1926" w:type="dxa"/>
            <w:shd w:val="clear" w:color="auto" w:fill="auto"/>
          </w:tcPr>
          <w:p w:rsidR="00A707CC" w:rsidRPr="00046F94" w:rsidP="00312622" w14:paraId="66EDC38B" w14:textId="77777777">
            <w:pPr>
              <w:jc w:val="center"/>
              <w:rPr>
                <w:sz w:val="22"/>
                <w:szCs w:val="22"/>
              </w:rPr>
            </w:pPr>
            <w:r w:rsidRPr="00046F94">
              <w:rPr>
                <w:sz w:val="22"/>
                <w:szCs w:val="22"/>
              </w:rPr>
              <w:t>Total Respondent Costs</w:t>
            </w:r>
          </w:p>
        </w:tc>
      </w:tr>
      <w:tr w14:paraId="545FA143" w14:textId="77777777" w:rsidTr="00046F94">
        <w:tblPrEx>
          <w:tblW w:w="0" w:type="auto"/>
          <w:tblInd w:w="108" w:type="dxa"/>
          <w:tblLook w:val="01E0"/>
        </w:tblPrEx>
        <w:trPr>
          <w:trHeight w:val="575"/>
        </w:trPr>
        <w:tc>
          <w:tcPr>
            <w:tcW w:w="3240" w:type="dxa"/>
            <w:shd w:val="clear" w:color="auto" w:fill="auto"/>
          </w:tcPr>
          <w:p w:rsidR="006D3678" w:rsidRPr="00046F94" w:rsidP="006D3678" w14:paraId="79ACD3C4" w14:textId="308F1716">
            <w:pPr>
              <w:rPr>
                <w:sz w:val="22"/>
                <w:szCs w:val="22"/>
              </w:rPr>
            </w:pPr>
            <w:r w:rsidRPr="00046F94">
              <w:rPr>
                <w:sz w:val="22"/>
                <w:szCs w:val="22"/>
              </w:rPr>
              <w:t>Animal Drug Manufacturer /Sponsor (Reporting)</w:t>
            </w:r>
          </w:p>
        </w:tc>
        <w:tc>
          <w:tcPr>
            <w:tcW w:w="1890" w:type="dxa"/>
            <w:shd w:val="clear" w:color="auto" w:fill="auto"/>
          </w:tcPr>
          <w:p w:rsidR="006D3678" w:rsidRPr="00046F94" w:rsidP="006D3678" w14:paraId="7644ED3A" w14:textId="77777777">
            <w:pPr>
              <w:jc w:val="center"/>
              <w:rPr>
                <w:sz w:val="22"/>
                <w:szCs w:val="22"/>
              </w:rPr>
            </w:pPr>
            <w:r w:rsidRPr="00046F94">
              <w:rPr>
                <w:sz w:val="22"/>
                <w:szCs w:val="22"/>
              </w:rPr>
              <w:t>8,3</w:t>
            </w:r>
            <w:r w:rsidRPr="00046F94" w:rsidR="00C47E19">
              <w:rPr>
                <w:sz w:val="22"/>
                <w:szCs w:val="22"/>
              </w:rPr>
              <w:t>38</w:t>
            </w:r>
          </w:p>
        </w:tc>
        <w:tc>
          <w:tcPr>
            <w:tcW w:w="1944" w:type="dxa"/>
            <w:shd w:val="clear" w:color="auto" w:fill="auto"/>
          </w:tcPr>
          <w:p w:rsidR="006D3678" w:rsidRPr="00046F94" w:rsidP="006D3678" w14:paraId="4D4DC0FB" w14:textId="77777777">
            <w:pPr>
              <w:jc w:val="center"/>
              <w:rPr>
                <w:sz w:val="22"/>
                <w:szCs w:val="22"/>
              </w:rPr>
            </w:pPr>
            <w:r w:rsidRPr="00046F94">
              <w:rPr>
                <w:sz w:val="22"/>
                <w:szCs w:val="22"/>
              </w:rPr>
              <w:t>$</w:t>
            </w:r>
            <w:r w:rsidRPr="00046F94" w:rsidR="00986C32">
              <w:rPr>
                <w:sz w:val="22"/>
                <w:szCs w:val="22"/>
              </w:rPr>
              <w:t>75.75</w:t>
            </w:r>
          </w:p>
        </w:tc>
        <w:tc>
          <w:tcPr>
            <w:tcW w:w="1926" w:type="dxa"/>
            <w:shd w:val="clear" w:color="auto" w:fill="auto"/>
          </w:tcPr>
          <w:p w:rsidR="006D3678" w:rsidRPr="00046F94" w:rsidP="006D3678" w14:paraId="3AF14137" w14:textId="77777777">
            <w:pPr>
              <w:jc w:val="center"/>
              <w:rPr>
                <w:sz w:val="22"/>
                <w:szCs w:val="22"/>
              </w:rPr>
            </w:pPr>
            <w:r w:rsidRPr="00046F94">
              <w:rPr>
                <w:sz w:val="22"/>
                <w:szCs w:val="22"/>
              </w:rPr>
              <w:t>$</w:t>
            </w:r>
            <w:r w:rsidRPr="00046F94" w:rsidR="00C47E19">
              <w:rPr>
                <w:sz w:val="22"/>
                <w:szCs w:val="22"/>
              </w:rPr>
              <w:t xml:space="preserve"> 631,603.50</w:t>
            </w:r>
          </w:p>
        </w:tc>
      </w:tr>
      <w:tr w14:paraId="529E6393" w14:textId="77777777" w:rsidTr="0078137F">
        <w:tblPrEx>
          <w:tblW w:w="0" w:type="auto"/>
          <w:tblInd w:w="108" w:type="dxa"/>
          <w:tblLook w:val="01E0"/>
        </w:tblPrEx>
        <w:tc>
          <w:tcPr>
            <w:tcW w:w="3240" w:type="dxa"/>
            <w:shd w:val="clear" w:color="auto" w:fill="auto"/>
          </w:tcPr>
          <w:p w:rsidR="006D3678" w:rsidRPr="00046F94" w:rsidP="006D3678" w14:paraId="73BA6FB6" w14:textId="77777777">
            <w:pPr>
              <w:rPr>
                <w:sz w:val="22"/>
                <w:szCs w:val="22"/>
              </w:rPr>
            </w:pPr>
            <w:r w:rsidRPr="00046F94">
              <w:rPr>
                <w:sz w:val="22"/>
                <w:szCs w:val="22"/>
              </w:rPr>
              <w:t>Animal Drug Manufacturer/</w:t>
            </w:r>
          </w:p>
          <w:p w:rsidR="006D3678" w:rsidRPr="00046F94" w:rsidP="006D3678" w14:paraId="45980EC8" w14:textId="053EF5C4">
            <w:pPr>
              <w:rPr>
                <w:sz w:val="22"/>
                <w:szCs w:val="22"/>
              </w:rPr>
            </w:pPr>
            <w:r w:rsidRPr="00046F94">
              <w:rPr>
                <w:sz w:val="22"/>
                <w:szCs w:val="22"/>
              </w:rPr>
              <w:t>Sponsor (Recordkeeping)</w:t>
            </w:r>
          </w:p>
        </w:tc>
        <w:tc>
          <w:tcPr>
            <w:tcW w:w="1890" w:type="dxa"/>
            <w:shd w:val="clear" w:color="auto" w:fill="auto"/>
          </w:tcPr>
          <w:p w:rsidR="006D3678" w:rsidRPr="00046F94" w:rsidP="006D3678" w14:paraId="757BD8D5" w14:textId="77777777">
            <w:pPr>
              <w:jc w:val="center"/>
              <w:rPr>
                <w:sz w:val="22"/>
                <w:szCs w:val="22"/>
              </w:rPr>
            </w:pPr>
            <w:r w:rsidRPr="00046F94">
              <w:rPr>
                <w:sz w:val="22"/>
                <w:szCs w:val="22"/>
              </w:rPr>
              <w:t>4</w:t>
            </w:r>
            <w:r w:rsidRPr="00046F94" w:rsidR="00C47E19">
              <w:rPr>
                <w:sz w:val="22"/>
                <w:szCs w:val="22"/>
              </w:rPr>
              <w:t>6</w:t>
            </w:r>
          </w:p>
        </w:tc>
        <w:tc>
          <w:tcPr>
            <w:tcW w:w="1944" w:type="dxa"/>
            <w:shd w:val="clear" w:color="auto" w:fill="auto"/>
          </w:tcPr>
          <w:p w:rsidR="006D3678" w:rsidRPr="00046F94" w:rsidP="006D3678" w14:paraId="2B3A5CD7" w14:textId="77777777">
            <w:pPr>
              <w:jc w:val="center"/>
              <w:rPr>
                <w:sz w:val="22"/>
                <w:szCs w:val="22"/>
              </w:rPr>
            </w:pPr>
            <w:r w:rsidRPr="00046F94">
              <w:rPr>
                <w:sz w:val="22"/>
                <w:szCs w:val="22"/>
              </w:rPr>
              <w:t>$</w:t>
            </w:r>
            <w:r w:rsidRPr="00046F94" w:rsidR="00986C32">
              <w:rPr>
                <w:sz w:val="22"/>
                <w:szCs w:val="22"/>
              </w:rPr>
              <w:t>75.75</w:t>
            </w:r>
          </w:p>
        </w:tc>
        <w:tc>
          <w:tcPr>
            <w:tcW w:w="1926" w:type="dxa"/>
            <w:shd w:val="clear" w:color="auto" w:fill="auto"/>
          </w:tcPr>
          <w:p w:rsidR="006D3678" w:rsidRPr="00046F94" w:rsidP="006D3678" w14:paraId="79086883" w14:textId="77777777">
            <w:pPr>
              <w:jc w:val="center"/>
              <w:rPr>
                <w:sz w:val="22"/>
                <w:szCs w:val="22"/>
              </w:rPr>
            </w:pPr>
            <w:r w:rsidRPr="00046F94">
              <w:rPr>
                <w:sz w:val="22"/>
                <w:szCs w:val="22"/>
              </w:rPr>
              <w:t>$</w:t>
            </w:r>
            <w:r w:rsidRPr="00046F94" w:rsidR="00C47E19">
              <w:rPr>
                <w:sz w:val="22"/>
                <w:szCs w:val="22"/>
              </w:rPr>
              <w:t xml:space="preserve"> 3,484.50</w:t>
            </w:r>
          </w:p>
        </w:tc>
      </w:tr>
      <w:tr w14:paraId="5A7EE3BC" w14:textId="77777777" w:rsidTr="0078137F">
        <w:tblPrEx>
          <w:tblW w:w="0" w:type="auto"/>
          <w:tblInd w:w="108" w:type="dxa"/>
          <w:tblLook w:val="01E0"/>
        </w:tblPrEx>
        <w:tc>
          <w:tcPr>
            <w:tcW w:w="7074" w:type="dxa"/>
            <w:gridSpan w:val="3"/>
            <w:shd w:val="clear" w:color="auto" w:fill="auto"/>
          </w:tcPr>
          <w:p w:rsidR="006D3678" w:rsidRPr="00046F94" w:rsidP="006D3678" w14:paraId="215ECD27" w14:textId="77777777">
            <w:pPr>
              <w:rPr>
                <w:sz w:val="22"/>
                <w:szCs w:val="22"/>
              </w:rPr>
            </w:pPr>
            <w:r w:rsidRPr="00046F94">
              <w:rPr>
                <w:sz w:val="22"/>
                <w:szCs w:val="22"/>
              </w:rPr>
              <w:t>Total</w:t>
            </w:r>
          </w:p>
        </w:tc>
        <w:tc>
          <w:tcPr>
            <w:tcW w:w="1926" w:type="dxa"/>
            <w:shd w:val="clear" w:color="auto" w:fill="auto"/>
          </w:tcPr>
          <w:p w:rsidR="006D3678" w:rsidRPr="00046F94" w:rsidP="006D3678" w14:paraId="4CF12756" w14:textId="77777777">
            <w:pPr>
              <w:jc w:val="center"/>
              <w:rPr>
                <w:sz w:val="22"/>
                <w:szCs w:val="22"/>
              </w:rPr>
            </w:pPr>
            <w:r w:rsidRPr="00046F94">
              <w:rPr>
                <w:sz w:val="22"/>
                <w:szCs w:val="22"/>
              </w:rPr>
              <w:t>$</w:t>
            </w:r>
            <w:r w:rsidRPr="00046F94" w:rsidR="00C47E19">
              <w:rPr>
                <w:sz w:val="22"/>
                <w:szCs w:val="22"/>
              </w:rPr>
              <w:t>635,088</w:t>
            </w:r>
          </w:p>
        </w:tc>
      </w:tr>
    </w:tbl>
    <w:p w:rsidR="00540142" w:rsidP="0078137F" w14:paraId="50F386CD" w14:textId="77777777">
      <w:pPr>
        <w:ind w:left="270"/>
        <w:rPr>
          <w:sz w:val="18"/>
          <w:szCs w:val="18"/>
        </w:rPr>
      </w:pPr>
      <w:r w:rsidRPr="00CF0A2B">
        <w:rPr>
          <w:sz w:val="18"/>
          <w:szCs w:val="18"/>
          <w:vertAlign w:val="superscript"/>
        </w:rPr>
        <w:t>1</w:t>
      </w:r>
      <w:r w:rsidRPr="00CF0A2B">
        <w:t xml:space="preserve"> </w:t>
      </w:r>
      <w:r w:rsidRPr="00CF0A2B">
        <w:rPr>
          <w:sz w:val="18"/>
          <w:szCs w:val="18"/>
        </w:rPr>
        <w:t>May 20</w:t>
      </w:r>
      <w:r>
        <w:rPr>
          <w:sz w:val="18"/>
          <w:szCs w:val="18"/>
        </w:rPr>
        <w:t>2</w:t>
      </w:r>
      <w:r w:rsidR="00986C32">
        <w:rPr>
          <w:sz w:val="18"/>
          <w:szCs w:val="18"/>
        </w:rPr>
        <w:t>3</w:t>
      </w:r>
      <w:r w:rsidRPr="00CF0A2B">
        <w:rPr>
          <w:sz w:val="18"/>
          <w:szCs w:val="18"/>
        </w:rPr>
        <w:t xml:space="preserve"> National Industry-Specific Occupational Employment and Wage Estimates, Bureau of Labor Statistics </w:t>
      </w:r>
    </w:p>
    <w:p w:rsidR="00986C32" w:rsidP="0078137F" w14:paraId="298748B5" w14:textId="77777777">
      <w:pPr>
        <w:ind w:left="270"/>
        <w:rPr>
          <w:sz w:val="18"/>
          <w:szCs w:val="18"/>
        </w:rPr>
      </w:pPr>
      <w:r w:rsidRPr="00CF0A2B">
        <w:rPr>
          <w:sz w:val="18"/>
          <w:szCs w:val="18"/>
        </w:rPr>
        <w:t>and including 30% for benefits</w:t>
      </w:r>
      <w:r>
        <w:rPr>
          <w:sz w:val="18"/>
          <w:szCs w:val="18"/>
        </w:rPr>
        <w:t xml:space="preserve"> (</w:t>
      </w:r>
      <w:hyperlink r:id="rId5" w:history="1">
        <w:r w:rsidRPr="00117723">
          <w:rPr>
            <w:rStyle w:val="Hyperlink"/>
            <w:sz w:val="18"/>
            <w:szCs w:val="18"/>
          </w:rPr>
          <w:t>https://www.bls.gov/oes/current/oes113012.htm</w:t>
        </w:r>
      </w:hyperlink>
      <w:r>
        <w:rPr>
          <w:sz w:val="18"/>
          <w:szCs w:val="18"/>
        </w:rPr>
        <w:t>)</w:t>
      </w:r>
    </w:p>
    <w:p w:rsidR="00357C8A" w:rsidRPr="00357C8A" w:rsidP="0078137F" w14:paraId="15FF6F72" w14:textId="77777777">
      <w:pPr>
        <w:rPr>
          <w:rFonts w:eastAsia="Calibri"/>
        </w:rPr>
      </w:pPr>
    </w:p>
    <w:p w:rsidR="00357C8A" w:rsidRPr="00357C8A" w:rsidP="006705EA" w14:paraId="036313E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E06833" w:rsidP="00E06833" w14:paraId="0AFE3957" w14:textId="77777777">
      <w:pPr>
        <w:spacing w:after="200"/>
        <w:rPr>
          <w:rFonts w:eastAsia="Calibri"/>
        </w:rPr>
      </w:pPr>
      <w:r w:rsidRPr="00FB5CCA">
        <w:rPr>
          <w:rFonts w:eastAsia="Calibri"/>
        </w:rPr>
        <w:t>There are no capital, start-up, operating or maintenance costs associated with this information collection.</w:t>
      </w:r>
    </w:p>
    <w:p w:rsidR="00357C8A" w:rsidRPr="00357C8A" w:rsidP="006705EA" w14:paraId="55EA849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405891" w:rsidP="00357C8A" w14:paraId="20ED615C" w14:textId="77777777">
      <w:pPr>
        <w:spacing w:after="200"/>
        <w:rPr>
          <w:rFonts w:eastAsia="Calibri"/>
        </w:rPr>
      </w:pPr>
      <w:r>
        <w:rPr>
          <w:rFonts w:eastAsia="Calibri"/>
        </w:rPr>
        <w:t xml:space="preserve">We estimate the annualized cost to the government to be $647,193. </w:t>
      </w:r>
      <w:r w:rsidR="00955B68">
        <w:rPr>
          <w:rFonts w:eastAsia="Calibri"/>
        </w:rPr>
        <w:t xml:space="preserve"> </w:t>
      </w:r>
      <w:r w:rsidRPr="00405891">
        <w:rPr>
          <w:rFonts w:eastAsia="Calibri"/>
        </w:rPr>
        <w:t>There</w:t>
      </w:r>
      <w:r w:rsidRPr="00405891" w:rsidR="00A506DE">
        <w:rPr>
          <w:rFonts w:eastAsia="Calibri"/>
        </w:rPr>
        <w:t xml:space="preserve"> </w:t>
      </w:r>
      <w:r w:rsidRPr="00405891">
        <w:rPr>
          <w:rFonts w:eastAsia="Calibri"/>
        </w:rPr>
        <w:t xml:space="preserve">are currently 5 FDA personnel supporting this project.  The average annual salary of personnel in the </w:t>
      </w:r>
      <w:r w:rsidRPr="00955B68">
        <w:rPr>
          <w:color w:val="1B1B1B"/>
          <w:shd w:val="clear" w:color="auto" w:fill="FFFFFF"/>
        </w:rPr>
        <w:t>Washington-Baltimore-Arlington, DC-MD-VA-WV-PA</w:t>
      </w:r>
      <w:r>
        <w:rPr>
          <w:color w:val="1B1B1B"/>
          <w:shd w:val="clear" w:color="auto" w:fill="FFFFFF"/>
        </w:rPr>
        <w:t xml:space="preserve"> pay area is </w:t>
      </w:r>
      <w:r w:rsidR="00955B68">
        <w:rPr>
          <w:color w:val="1B1B1B"/>
          <w:shd w:val="clear" w:color="auto" w:fill="FFFFFF"/>
        </w:rPr>
        <w:t>$</w:t>
      </w:r>
      <w:r w:rsidRPr="00405891">
        <w:rPr>
          <w:color w:val="1B1B1B"/>
          <w:shd w:val="clear" w:color="auto" w:fill="FFFFFF"/>
        </w:rPr>
        <w:t>129,438.6</w:t>
      </w:r>
      <w:r>
        <w:rPr>
          <w:color w:val="1B1B1B"/>
          <w:shd w:val="clear" w:color="auto" w:fill="FFFFFF"/>
        </w:rPr>
        <w:t>0</w:t>
      </w:r>
      <w:r w:rsidR="00955B68">
        <w:rPr>
          <w:color w:val="1B1B1B"/>
          <w:shd w:val="clear" w:color="auto" w:fill="FFFFFF"/>
        </w:rPr>
        <w:t xml:space="preserve"> ($129,438.60 x 5 = $647,193).</w:t>
      </w:r>
    </w:p>
    <w:p w:rsidR="00357C8A" w:rsidP="006705EA" w14:paraId="4DBCCB5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78137F" w14:paraId="5ED24018" w14:textId="77777777">
      <w:r w:rsidRPr="00BE1757">
        <w:t>Our estimated burden for the information collection reflects a decrease of 54 burden hours and a corresponding decrease of 27 total annual responses.</w:t>
      </w:r>
      <w:r w:rsidRPr="00302690">
        <w:t xml:space="preserve"> </w:t>
      </w:r>
      <w:r>
        <w:t xml:space="preserve"> </w:t>
      </w:r>
      <w:r w:rsidRPr="00BE1757">
        <w:t xml:space="preserve">We attribute this to respondents who submitted by paper in previous years </w:t>
      </w:r>
      <w:r>
        <w:t xml:space="preserve">and </w:t>
      </w:r>
      <w:r w:rsidRPr="00BE1757">
        <w:t>are now reporting electronically.</w:t>
      </w:r>
    </w:p>
    <w:p w:rsidR="0078137F" w:rsidRPr="00357C8A" w:rsidP="0078137F" w14:paraId="1ADBD320" w14:textId="77777777">
      <w:pPr>
        <w:rPr>
          <w:rFonts w:eastAsia="Calibri"/>
        </w:rPr>
      </w:pPr>
    </w:p>
    <w:p w:rsidR="00357C8A" w:rsidRPr="00357C8A" w:rsidP="006705EA" w14:paraId="42F1B0FC"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4D1F8C56" w14:textId="77777777">
      <w:pPr>
        <w:spacing w:after="200"/>
        <w:rPr>
          <w:rFonts w:eastAsia="Calibri"/>
        </w:rPr>
      </w:pPr>
      <w:r w:rsidRPr="005C71CA">
        <w:rPr>
          <w:rFonts w:eastAsia="Calibri"/>
        </w:rPr>
        <w:t>This information collected will not be published or tabulated.</w:t>
      </w:r>
    </w:p>
    <w:p w:rsidR="00357C8A" w:rsidRPr="00357C8A" w:rsidP="006705EA" w14:paraId="4E57A27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44525" w:rsidRPr="00357C8A" w:rsidP="00357C8A" w14:paraId="12FFDC23" w14:textId="15F137F4">
      <w:pPr>
        <w:spacing w:after="200"/>
        <w:rPr>
          <w:rFonts w:eastAsia="Calibri"/>
        </w:rPr>
      </w:pPr>
      <w:r w:rsidRPr="00CE5726">
        <w:rPr>
          <w:rFonts w:eastAsia="Calibri"/>
        </w:rPr>
        <w:t xml:space="preserve">FDA will display the OMB expiration date </w:t>
      </w:r>
      <w:r w:rsidR="00046F94">
        <w:rPr>
          <w:rFonts w:eastAsia="Calibri"/>
        </w:rPr>
        <w:t xml:space="preserve">and inform respondents of its significance </w:t>
      </w:r>
      <w:r w:rsidRPr="00CE5726">
        <w:rPr>
          <w:rFonts w:eastAsia="Calibri"/>
        </w:rPr>
        <w:t>as required by 5 CFR 1320.5</w:t>
      </w:r>
      <w:r>
        <w:rPr>
          <w:rFonts w:eastAsia="Calibri"/>
        </w:rPr>
        <w:t>.</w:t>
      </w:r>
    </w:p>
    <w:p w:rsidR="00357C8A" w:rsidRPr="00357C8A" w:rsidP="006705EA" w14:paraId="7CACF3B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8848F1" w14:paraId="120DCA5C" w14:textId="77777777">
      <w:pPr>
        <w:spacing w:after="200"/>
        <w:rPr>
          <w:rFonts w:eastAsia="Calibri"/>
        </w:rPr>
      </w:pPr>
      <w:r w:rsidRPr="007E59A8">
        <w:rPr>
          <w:rFonts w:eastAsia="Calibri"/>
        </w:rPr>
        <w:t>There are no exceptions to the certification</w:t>
      </w:r>
      <w:r>
        <w:rPr>
          <w:rFonts w:eastAsia="Calibri"/>
        </w:rPr>
        <w:t>.</w:t>
      </w:r>
    </w:p>
    <w:sectPr w:rsidSect="00F54A96">
      <w:footerReference w:type="even" r:id="rId6"/>
      <w:footerReference w:type="default" r:id="rId7"/>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47D38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2F12E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DEFAEC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F11E1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7794636">
    <w:abstractNumId w:val="5"/>
  </w:num>
  <w:num w:numId="2" w16cid:durableId="1919896638">
    <w:abstractNumId w:val="1"/>
  </w:num>
  <w:num w:numId="3" w16cid:durableId="570383250">
    <w:abstractNumId w:val="6"/>
  </w:num>
  <w:num w:numId="4" w16cid:durableId="1004667747">
    <w:abstractNumId w:val="3"/>
  </w:num>
  <w:num w:numId="5" w16cid:durableId="604271171">
    <w:abstractNumId w:val="7"/>
  </w:num>
  <w:num w:numId="6" w16cid:durableId="1094588872">
    <w:abstractNumId w:val="0"/>
  </w:num>
  <w:num w:numId="7" w16cid:durableId="1112016999">
    <w:abstractNumId w:val="2"/>
    <w:lvlOverride w:ilvl="0"/>
    <w:lvlOverride w:ilvl="1"/>
    <w:lvlOverride w:ilvl="2"/>
    <w:lvlOverride w:ilvl="3"/>
    <w:lvlOverride w:ilvl="4"/>
    <w:lvlOverride w:ilvl="5"/>
    <w:lvlOverride w:ilvl="6"/>
    <w:lvlOverride w:ilvl="7"/>
    <w:lvlOverride w:ilvl="8"/>
  </w:num>
  <w:num w:numId="8" w16cid:durableId="44423435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161E3"/>
    <w:rsid w:val="0002043D"/>
    <w:rsid w:val="00031A2C"/>
    <w:rsid w:val="00042B93"/>
    <w:rsid w:val="00043C7F"/>
    <w:rsid w:val="000467A8"/>
    <w:rsid w:val="00046F94"/>
    <w:rsid w:val="0006570F"/>
    <w:rsid w:val="00075DE8"/>
    <w:rsid w:val="0008538A"/>
    <w:rsid w:val="00087439"/>
    <w:rsid w:val="000A19AB"/>
    <w:rsid w:val="000A2C48"/>
    <w:rsid w:val="000B3D25"/>
    <w:rsid w:val="000C1260"/>
    <w:rsid w:val="000C560C"/>
    <w:rsid w:val="000D080B"/>
    <w:rsid w:val="000D48FD"/>
    <w:rsid w:val="000D79CC"/>
    <w:rsid w:val="000E0D12"/>
    <w:rsid w:val="000E1C64"/>
    <w:rsid w:val="000F5CF8"/>
    <w:rsid w:val="000F7119"/>
    <w:rsid w:val="00100739"/>
    <w:rsid w:val="0010493E"/>
    <w:rsid w:val="00106496"/>
    <w:rsid w:val="001075D3"/>
    <w:rsid w:val="00107885"/>
    <w:rsid w:val="00114FC4"/>
    <w:rsid w:val="00117723"/>
    <w:rsid w:val="0012329C"/>
    <w:rsid w:val="00134FA7"/>
    <w:rsid w:val="00137950"/>
    <w:rsid w:val="00140762"/>
    <w:rsid w:val="00144749"/>
    <w:rsid w:val="00152F29"/>
    <w:rsid w:val="00174D54"/>
    <w:rsid w:val="0017702C"/>
    <w:rsid w:val="00185270"/>
    <w:rsid w:val="001A0B28"/>
    <w:rsid w:val="001A3B5A"/>
    <w:rsid w:val="001A458C"/>
    <w:rsid w:val="001B7CE9"/>
    <w:rsid w:val="001D495A"/>
    <w:rsid w:val="001E244C"/>
    <w:rsid w:val="001E3D19"/>
    <w:rsid w:val="001F1437"/>
    <w:rsid w:val="00206799"/>
    <w:rsid w:val="002074FE"/>
    <w:rsid w:val="00214995"/>
    <w:rsid w:val="00220B33"/>
    <w:rsid w:val="00220D62"/>
    <w:rsid w:val="0022425B"/>
    <w:rsid w:val="00224EDE"/>
    <w:rsid w:val="002259EF"/>
    <w:rsid w:val="00242ED1"/>
    <w:rsid w:val="002444BB"/>
    <w:rsid w:val="00254069"/>
    <w:rsid w:val="00270748"/>
    <w:rsid w:val="002734E5"/>
    <w:rsid w:val="002746DB"/>
    <w:rsid w:val="00280CAF"/>
    <w:rsid w:val="00282F09"/>
    <w:rsid w:val="00291810"/>
    <w:rsid w:val="00291960"/>
    <w:rsid w:val="00294D62"/>
    <w:rsid w:val="00297532"/>
    <w:rsid w:val="00297FFD"/>
    <w:rsid w:val="002A1210"/>
    <w:rsid w:val="002A47D2"/>
    <w:rsid w:val="002A5119"/>
    <w:rsid w:val="002A7FB5"/>
    <w:rsid w:val="002B2074"/>
    <w:rsid w:val="002C7577"/>
    <w:rsid w:val="002D14D8"/>
    <w:rsid w:val="002D4799"/>
    <w:rsid w:val="002E3FA4"/>
    <w:rsid w:val="002E53A5"/>
    <w:rsid w:val="002E64B8"/>
    <w:rsid w:val="002E6834"/>
    <w:rsid w:val="00302690"/>
    <w:rsid w:val="003113FF"/>
    <w:rsid w:val="00312622"/>
    <w:rsid w:val="0032277F"/>
    <w:rsid w:val="00336B69"/>
    <w:rsid w:val="0034302B"/>
    <w:rsid w:val="00350523"/>
    <w:rsid w:val="0035189D"/>
    <w:rsid w:val="00355B62"/>
    <w:rsid w:val="00357C8A"/>
    <w:rsid w:val="003740BC"/>
    <w:rsid w:val="0037456B"/>
    <w:rsid w:val="003801A3"/>
    <w:rsid w:val="00383D90"/>
    <w:rsid w:val="003866D1"/>
    <w:rsid w:val="003870AE"/>
    <w:rsid w:val="003A1A27"/>
    <w:rsid w:val="003A50CC"/>
    <w:rsid w:val="003B42B3"/>
    <w:rsid w:val="003B6384"/>
    <w:rsid w:val="003C0FE2"/>
    <w:rsid w:val="003C4EBB"/>
    <w:rsid w:val="003D1531"/>
    <w:rsid w:val="003D78F5"/>
    <w:rsid w:val="003E4EC6"/>
    <w:rsid w:val="003E527E"/>
    <w:rsid w:val="003E553E"/>
    <w:rsid w:val="003E7078"/>
    <w:rsid w:val="003F3DF5"/>
    <w:rsid w:val="003F73B8"/>
    <w:rsid w:val="0040297E"/>
    <w:rsid w:val="00405891"/>
    <w:rsid w:val="00411D11"/>
    <w:rsid w:val="00413FB5"/>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2210"/>
    <w:rsid w:val="004C6979"/>
    <w:rsid w:val="004D13A2"/>
    <w:rsid w:val="004D3E7A"/>
    <w:rsid w:val="004E6C6C"/>
    <w:rsid w:val="004F594B"/>
    <w:rsid w:val="004F61E1"/>
    <w:rsid w:val="0053380B"/>
    <w:rsid w:val="00540142"/>
    <w:rsid w:val="005409FF"/>
    <w:rsid w:val="00543194"/>
    <w:rsid w:val="00544138"/>
    <w:rsid w:val="00554E34"/>
    <w:rsid w:val="005576EA"/>
    <w:rsid w:val="0057441B"/>
    <w:rsid w:val="00584583"/>
    <w:rsid w:val="00590E90"/>
    <w:rsid w:val="00590EEB"/>
    <w:rsid w:val="005945FB"/>
    <w:rsid w:val="005A4099"/>
    <w:rsid w:val="005C38B2"/>
    <w:rsid w:val="005C3B20"/>
    <w:rsid w:val="005C5029"/>
    <w:rsid w:val="005C55C2"/>
    <w:rsid w:val="005C699B"/>
    <w:rsid w:val="005C71CA"/>
    <w:rsid w:val="005C745C"/>
    <w:rsid w:val="005D4DF5"/>
    <w:rsid w:val="005E42BA"/>
    <w:rsid w:val="00611D6B"/>
    <w:rsid w:val="00613F30"/>
    <w:rsid w:val="006228E0"/>
    <w:rsid w:val="00625BA9"/>
    <w:rsid w:val="00625CFD"/>
    <w:rsid w:val="006326EC"/>
    <w:rsid w:val="00632DF9"/>
    <w:rsid w:val="00663A42"/>
    <w:rsid w:val="006641C7"/>
    <w:rsid w:val="006644A4"/>
    <w:rsid w:val="006705EA"/>
    <w:rsid w:val="00670BE2"/>
    <w:rsid w:val="006916D9"/>
    <w:rsid w:val="006A0E05"/>
    <w:rsid w:val="006A26C6"/>
    <w:rsid w:val="006A465A"/>
    <w:rsid w:val="006A7D5D"/>
    <w:rsid w:val="006D0C12"/>
    <w:rsid w:val="006D3678"/>
    <w:rsid w:val="006D5D57"/>
    <w:rsid w:val="006E2538"/>
    <w:rsid w:val="006E302F"/>
    <w:rsid w:val="006F4D6D"/>
    <w:rsid w:val="00705086"/>
    <w:rsid w:val="00722001"/>
    <w:rsid w:val="00727CDF"/>
    <w:rsid w:val="00744525"/>
    <w:rsid w:val="00751E66"/>
    <w:rsid w:val="00754497"/>
    <w:rsid w:val="00773201"/>
    <w:rsid w:val="0078137F"/>
    <w:rsid w:val="00787C39"/>
    <w:rsid w:val="00792947"/>
    <w:rsid w:val="00795DF3"/>
    <w:rsid w:val="007A373C"/>
    <w:rsid w:val="007A5623"/>
    <w:rsid w:val="007B225C"/>
    <w:rsid w:val="007C4488"/>
    <w:rsid w:val="007C75B1"/>
    <w:rsid w:val="007D3DFC"/>
    <w:rsid w:val="007E2F07"/>
    <w:rsid w:val="007E59A8"/>
    <w:rsid w:val="0080776D"/>
    <w:rsid w:val="00810145"/>
    <w:rsid w:val="008108FA"/>
    <w:rsid w:val="00810FF1"/>
    <w:rsid w:val="00815216"/>
    <w:rsid w:val="00822336"/>
    <w:rsid w:val="00823DFA"/>
    <w:rsid w:val="00824DE0"/>
    <w:rsid w:val="00842DB7"/>
    <w:rsid w:val="00843752"/>
    <w:rsid w:val="0084479F"/>
    <w:rsid w:val="0085725E"/>
    <w:rsid w:val="00864153"/>
    <w:rsid w:val="00873D4F"/>
    <w:rsid w:val="0087509F"/>
    <w:rsid w:val="008848F1"/>
    <w:rsid w:val="00885B09"/>
    <w:rsid w:val="00892400"/>
    <w:rsid w:val="008A209D"/>
    <w:rsid w:val="008A22BB"/>
    <w:rsid w:val="008B035D"/>
    <w:rsid w:val="008B0E29"/>
    <w:rsid w:val="008B0EFA"/>
    <w:rsid w:val="008B1FF6"/>
    <w:rsid w:val="008B30AB"/>
    <w:rsid w:val="008C3BB8"/>
    <w:rsid w:val="008C4B65"/>
    <w:rsid w:val="008E5F55"/>
    <w:rsid w:val="008F7E18"/>
    <w:rsid w:val="009009E7"/>
    <w:rsid w:val="00905DEF"/>
    <w:rsid w:val="00906056"/>
    <w:rsid w:val="009122AE"/>
    <w:rsid w:val="00913B43"/>
    <w:rsid w:val="00930203"/>
    <w:rsid w:val="009311D2"/>
    <w:rsid w:val="009311E6"/>
    <w:rsid w:val="00931275"/>
    <w:rsid w:val="00933E42"/>
    <w:rsid w:val="00936AC7"/>
    <w:rsid w:val="00941601"/>
    <w:rsid w:val="00947761"/>
    <w:rsid w:val="00953B64"/>
    <w:rsid w:val="00955B68"/>
    <w:rsid w:val="009646A7"/>
    <w:rsid w:val="00970A88"/>
    <w:rsid w:val="00977839"/>
    <w:rsid w:val="009818A1"/>
    <w:rsid w:val="0098377E"/>
    <w:rsid w:val="00986C32"/>
    <w:rsid w:val="00987732"/>
    <w:rsid w:val="009A1674"/>
    <w:rsid w:val="009B1619"/>
    <w:rsid w:val="009B38BE"/>
    <w:rsid w:val="009B4DF2"/>
    <w:rsid w:val="009C3D43"/>
    <w:rsid w:val="009C684F"/>
    <w:rsid w:val="009D074C"/>
    <w:rsid w:val="009D6E73"/>
    <w:rsid w:val="009F1F1D"/>
    <w:rsid w:val="009F2B4F"/>
    <w:rsid w:val="009F3C63"/>
    <w:rsid w:val="009F66B5"/>
    <w:rsid w:val="00A02F10"/>
    <w:rsid w:val="00A1060C"/>
    <w:rsid w:val="00A16221"/>
    <w:rsid w:val="00A20A7D"/>
    <w:rsid w:val="00A34757"/>
    <w:rsid w:val="00A35D42"/>
    <w:rsid w:val="00A46CCF"/>
    <w:rsid w:val="00A506DE"/>
    <w:rsid w:val="00A53451"/>
    <w:rsid w:val="00A70426"/>
    <w:rsid w:val="00A707CC"/>
    <w:rsid w:val="00A71410"/>
    <w:rsid w:val="00A80D95"/>
    <w:rsid w:val="00A91E9A"/>
    <w:rsid w:val="00A93ED9"/>
    <w:rsid w:val="00A96221"/>
    <w:rsid w:val="00AC2DBB"/>
    <w:rsid w:val="00AC4B25"/>
    <w:rsid w:val="00AC6A99"/>
    <w:rsid w:val="00AD6048"/>
    <w:rsid w:val="00AF0A45"/>
    <w:rsid w:val="00AF5177"/>
    <w:rsid w:val="00B055EF"/>
    <w:rsid w:val="00B06B5B"/>
    <w:rsid w:val="00B14587"/>
    <w:rsid w:val="00B23769"/>
    <w:rsid w:val="00B41789"/>
    <w:rsid w:val="00B81808"/>
    <w:rsid w:val="00B85CDC"/>
    <w:rsid w:val="00B86DFA"/>
    <w:rsid w:val="00B936D0"/>
    <w:rsid w:val="00BA5F83"/>
    <w:rsid w:val="00BB15FB"/>
    <w:rsid w:val="00BB27E6"/>
    <w:rsid w:val="00BC3154"/>
    <w:rsid w:val="00BD3D5B"/>
    <w:rsid w:val="00BE1757"/>
    <w:rsid w:val="00BE3600"/>
    <w:rsid w:val="00C015B3"/>
    <w:rsid w:val="00C01F6F"/>
    <w:rsid w:val="00C041EA"/>
    <w:rsid w:val="00C13BBD"/>
    <w:rsid w:val="00C149AB"/>
    <w:rsid w:val="00C16929"/>
    <w:rsid w:val="00C20690"/>
    <w:rsid w:val="00C36020"/>
    <w:rsid w:val="00C40694"/>
    <w:rsid w:val="00C40A0D"/>
    <w:rsid w:val="00C479BF"/>
    <w:rsid w:val="00C47E19"/>
    <w:rsid w:val="00C5124B"/>
    <w:rsid w:val="00C53532"/>
    <w:rsid w:val="00C70542"/>
    <w:rsid w:val="00C71649"/>
    <w:rsid w:val="00C75CBF"/>
    <w:rsid w:val="00C81FD9"/>
    <w:rsid w:val="00C9782E"/>
    <w:rsid w:val="00CA0997"/>
    <w:rsid w:val="00CA2E42"/>
    <w:rsid w:val="00CC2894"/>
    <w:rsid w:val="00CD77C3"/>
    <w:rsid w:val="00CE112C"/>
    <w:rsid w:val="00CE5726"/>
    <w:rsid w:val="00CF0A2B"/>
    <w:rsid w:val="00CF3388"/>
    <w:rsid w:val="00CF4C39"/>
    <w:rsid w:val="00CF55D4"/>
    <w:rsid w:val="00CF7698"/>
    <w:rsid w:val="00D0402C"/>
    <w:rsid w:val="00D14C17"/>
    <w:rsid w:val="00D44FE1"/>
    <w:rsid w:val="00D462D8"/>
    <w:rsid w:val="00D608DA"/>
    <w:rsid w:val="00D730BF"/>
    <w:rsid w:val="00D852F4"/>
    <w:rsid w:val="00D92B26"/>
    <w:rsid w:val="00DB1110"/>
    <w:rsid w:val="00DB3730"/>
    <w:rsid w:val="00DC371B"/>
    <w:rsid w:val="00DC3788"/>
    <w:rsid w:val="00DC76C7"/>
    <w:rsid w:val="00DD09F5"/>
    <w:rsid w:val="00DD0E02"/>
    <w:rsid w:val="00DD3EE5"/>
    <w:rsid w:val="00DD4201"/>
    <w:rsid w:val="00DD5E9F"/>
    <w:rsid w:val="00DE5711"/>
    <w:rsid w:val="00E00EA0"/>
    <w:rsid w:val="00E021CB"/>
    <w:rsid w:val="00E05BE8"/>
    <w:rsid w:val="00E05C5B"/>
    <w:rsid w:val="00E06833"/>
    <w:rsid w:val="00E138F1"/>
    <w:rsid w:val="00E2309D"/>
    <w:rsid w:val="00E26758"/>
    <w:rsid w:val="00E4357B"/>
    <w:rsid w:val="00E443A7"/>
    <w:rsid w:val="00E45904"/>
    <w:rsid w:val="00E63DE5"/>
    <w:rsid w:val="00E647AF"/>
    <w:rsid w:val="00E647C7"/>
    <w:rsid w:val="00E65A37"/>
    <w:rsid w:val="00E65EF7"/>
    <w:rsid w:val="00E77B48"/>
    <w:rsid w:val="00E84E16"/>
    <w:rsid w:val="00E857FB"/>
    <w:rsid w:val="00E91799"/>
    <w:rsid w:val="00E97DF8"/>
    <w:rsid w:val="00EA21FE"/>
    <w:rsid w:val="00EA34E3"/>
    <w:rsid w:val="00EB7538"/>
    <w:rsid w:val="00EC1868"/>
    <w:rsid w:val="00ED2C2B"/>
    <w:rsid w:val="00EE6468"/>
    <w:rsid w:val="00F1299B"/>
    <w:rsid w:val="00F207A4"/>
    <w:rsid w:val="00F25173"/>
    <w:rsid w:val="00F355AC"/>
    <w:rsid w:val="00F40CF7"/>
    <w:rsid w:val="00F44194"/>
    <w:rsid w:val="00F54A96"/>
    <w:rsid w:val="00F62B25"/>
    <w:rsid w:val="00F71A5A"/>
    <w:rsid w:val="00F73A1A"/>
    <w:rsid w:val="00F769E0"/>
    <w:rsid w:val="00FA4A46"/>
    <w:rsid w:val="00FA75FE"/>
    <w:rsid w:val="00FB1032"/>
    <w:rsid w:val="00FB39BC"/>
    <w:rsid w:val="00FB5CCA"/>
    <w:rsid w:val="00FB6A53"/>
    <w:rsid w:val="00FC11CA"/>
    <w:rsid w:val="00FC6BDE"/>
    <w:rsid w:val="00FE55E4"/>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A92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C47E19"/>
    <w:rPr>
      <w:sz w:val="16"/>
      <w:szCs w:val="16"/>
    </w:rPr>
  </w:style>
  <w:style w:type="paragraph" w:styleId="CommentText">
    <w:name w:val="annotation text"/>
    <w:basedOn w:val="Normal"/>
    <w:link w:val="CommentTextChar"/>
    <w:rsid w:val="00C47E19"/>
    <w:rPr>
      <w:sz w:val="20"/>
      <w:szCs w:val="20"/>
    </w:rPr>
  </w:style>
  <w:style w:type="character" w:customStyle="1" w:styleId="CommentTextChar">
    <w:name w:val="Comment Text Char"/>
    <w:basedOn w:val="DefaultParagraphFont"/>
    <w:link w:val="CommentText"/>
    <w:rsid w:val="00C47E19"/>
  </w:style>
  <w:style w:type="paragraph" w:styleId="CommentSubject">
    <w:name w:val="annotation subject"/>
    <w:basedOn w:val="CommentText"/>
    <w:next w:val="CommentText"/>
    <w:link w:val="CommentSubjectChar"/>
    <w:rsid w:val="00AF5177"/>
    <w:rPr>
      <w:b/>
      <w:bCs/>
    </w:rPr>
  </w:style>
  <w:style w:type="character" w:customStyle="1" w:styleId="CommentSubjectChar">
    <w:name w:val="Comment Subject Char"/>
    <w:link w:val="CommentSubject"/>
    <w:rsid w:val="00AF5177"/>
    <w:rPr>
      <w:b/>
      <w:bCs/>
    </w:rPr>
  </w:style>
  <w:style w:type="paragraph" w:styleId="Revision">
    <w:name w:val="Revision"/>
    <w:hidden/>
    <w:uiPriority w:val="99"/>
    <w:semiHidden/>
    <w:rsid w:val="00E05B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da.gov/ForIndustry/SmallBusinessAssistance/default.htm" TargetMode="External" /><Relationship Id="rId5" Type="http://schemas.openxmlformats.org/officeDocument/2006/relationships/hyperlink" Target="https://www.bls.gov/oes/current/oes113012.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2025-05-05T15:01:00Z</dcterms:created>
  <dcterms:modified xsi:type="dcterms:W3CDTF">2025-05-05T15:01:00Z</dcterms:modified>
</cp:coreProperties>
</file>