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970F40" w:rsidP="00357C8A" w14:paraId="6CF58685" w14:textId="77777777">
      <w:pPr>
        <w:jc w:val="center"/>
        <w:rPr>
          <w:rFonts w:eastAsia="Calibri"/>
        </w:rPr>
      </w:pPr>
      <w:r w:rsidRPr="00970F40">
        <w:rPr>
          <w:rFonts w:eastAsia="Calibri"/>
        </w:rPr>
        <w:t>United States Food and Drug Administration</w:t>
      </w:r>
    </w:p>
    <w:p w:rsidR="00357C8A" w:rsidRPr="00970F40" w:rsidP="00357C8A" w14:paraId="223690C2" w14:textId="77777777">
      <w:pPr>
        <w:jc w:val="center"/>
        <w:rPr>
          <w:rFonts w:eastAsia="Calibri"/>
        </w:rPr>
      </w:pPr>
    </w:p>
    <w:p w:rsidR="00357C8A" w:rsidRPr="00970F40" w:rsidP="00357C8A" w14:paraId="225C2072" w14:textId="7DEBDB5C">
      <w:pPr>
        <w:jc w:val="center"/>
        <w:rPr>
          <w:rFonts w:eastAsia="Calibri"/>
        </w:rPr>
      </w:pPr>
      <w:r w:rsidRPr="00970F40">
        <w:rPr>
          <w:rFonts w:eastAsia="Calibri"/>
        </w:rPr>
        <w:t xml:space="preserve">Medicated Feed Mill License Application </w:t>
      </w:r>
    </w:p>
    <w:p w:rsidR="00357C8A" w:rsidRPr="00970F40" w:rsidP="00357C8A" w14:paraId="43557135" w14:textId="77777777">
      <w:pPr>
        <w:jc w:val="center"/>
        <w:rPr>
          <w:rFonts w:eastAsia="Calibri"/>
        </w:rPr>
      </w:pPr>
    </w:p>
    <w:p w:rsidR="00357C8A" w:rsidRPr="00970F40" w:rsidP="00357C8A" w14:paraId="3FE4D625" w14:textId="77777777">
      <w:pPr>
        <w:jc w:val="center"/>
        <w:rPr>
          <w:rFonts w:eastAsia="Calibri"/>
        </w:rPr>
      </w:pPr>
      <w:r w:rsidRPr="00970F40">
        <w:rPr>
          <w:rFonts w:eastAsia="Calibri"/>
        </w:rPr>
        <w:t>OMB Control No. 0910-</w:t>
      </w:r>
      <w:r w:rsidRPr="00970F40" w:rsidR="00717E83">
        <w:rPr>
          <w:rFonts w:eastAsia="Calibri"/>
        </w:rPr>
        <w:t>0337</w:t>
      </w:r>
      <w:r w:rsidRPr="00970F40" w:rsidR="00727CDF">
        <w:rPr>
          <w:rFonts w:eastAsia="Calibri"/>
        </w:rPr>
        <w:t xml:space="preserve"> -- EXTENSION</w:t>
      </w:r>
    </w:p>
    <w:p w:rsidR="00357C8A" w:rsidRPr="00970F40" w:rsidP="00357C8A" w14:paraId="48F825C1" w14:textId="77777777">
      <w:pPr>
        <w:jc w:val="center"/>
        <w:rPr>
          <w:rFonts w:eastAsia="Calibri"/>
        </w:rPr>
      </w:pPr>
    </w:p>
    <w:p w:rsidR="00357C8A" w:rsidRPr="00970F40" w:rsidP="00357C8A" w14:paraId="72CD2E8F" w14:textId="77777777">
      <w:pPr>
        <w:jc w:val="center"/>
        <w:rPr>
          <w:rFonts w:eastAsia="Calibri"/>
        </w:rPr>
      </w:pPr>
      <w:r w:rsidRPr="00970F40">
        <w:rPr>
          <w:rFonts w:eastAsia="Calibri"/>
        </w:rPr>
        <w:t>SUPPORTING STATEMENT</w:t>
      </w:r>
    </w:p>
    <w:p w:rsidR="009B4DF2" w:rsidRPr="00970F40" w:rsidP="00357C8A" w14:paraId="44800ECC" w14:textId="77777777">
      <w:pPr>
        <w:jc w:val="center"/>
        <w:rPr>
          <w:rFonts w:eastAsia="Calibri"/>
        </w:rPr>
      </w:pPr>
    </w:p>
    <w:p w:rsidR="009B4DF2" w:rsidRPr="00970F40" w:rsidP="009B4DF2" w14:paraId="7FC482D8" w14:textId="77777777">
      <w:r w:rsidRPr="00970F40">
        <w:rPr>
          <w:rFonts w:eastAsia="Calibri"/>
          <w:u w:val="single"/>
        </w:rPr>
        <w:t>Terms of Clearance</w:t>
      </w:r>
      <w:r w:rsidRPr="00970F40">
        <w:rPr>
          <w:rFonts w:eastAsia="Calibri"/>
        </w:rPr>
        <w:t xml:space="preserve">: </w:t>
      </w:r>
      <w:r w:rsidRPr="00970F40" w:rsidR="00717E83">
        <w:rPr>
          <w:rFonts w:eastAsia="Calibri"/>
        </w:rPr>
        <w:t>None</w:t>
      </w:r>
      <w:r w:rsidRPr="00970F40">
        <w:t>.</w:t>
      </w:r>
    </w:p>
    <w:p w:rsidR="00C71649" w:rsidRPr="00970F40" w:rsidP="009B4DF2" w14:paraId="30DC9766" w14:textId="77777777"/>
    <w:p w:rsidR="00357C8A" w:rsidRPr="00970F40" w:rsidP="000D79CC" w14:paraId="19A8F282" w14:textId="77777777">
      <w:pPr>
        <w:rPr>
          <w:rFonts w:eastAsia="Calibri"/>
        </w:rPr>
      </w:pPr>
      <w:r w:rsidRPr="00970F40">
        <w:rPr>
          <w:rFonts w:eastAsia="Calibri"/>
          <w:b/>
        </w:rPr>
        <w:t>Part A:  Justification</w:t>
      </w:r>
      <w:r w:rsidRPr="00970F40">
        <w:rPr>
          <w:rFonts w:eastAsia="Calibri"/>
        </w:rPr>
        <w:t>:</w:t>
      </w:r>
    </w:p>
    <w:p w:rsidR="000D79CC" w:rsidRPr="00970F40" w:rsidP="000D79CC" w14:paraId="016C1F86" w14:textId="77777777">
      <w:pPr>
        <w:rPr>
          <w:rFonts w:eastAsia="Calibri"/>
        </w:rPr>
      </w:pPr>
    </w:p>
    <w:p w:rsidR="00357C8A" w:rsidRPr="00970F40" w:rsidP="006705EA" w14:paraId="2C02174C" w14:textId="77777777">
      <w:pPr>
        <w:numPr>
          <w:ilvl w:val="0"/>
          <w:numId w:val="6"/>
        </w:numPr>
        <w:spacing w:after="200" w:line="276" w:lineRule="auto"/>
        <w:rPr>
          <w:rFonts w:eastAsia="Calibri"/>
        </w:rPr>
      </w:pPr>
      <w:r w:rsidRPr="00970F40">
        <w:rPr>
          <w:rFonts w:eastAsia="Calibri"/>
          <w:u w:val="single"/>
        </w:rPr>
        <w:t>Circumstances Making the Collection of Information Necessary</w:t>
      </w:r>
    </w:p>
    <w:p w:rsidR="001C61C4" w:rsidRPr="00970F40" w:rsidP="001C61C4" w14:paraId="0381CC4B" w14:textId="793F3CA7">
      <w:pPr>
        <w:rPr>
          <w:rFonts w:eastAsia="Calibri"/>
        </w:rPr>
      </w:pPr>
      <w:r w:rsidRPr="00970F40">
        <w:rPr>
          <w:rFonts w:eastAsia="Calibri"/>
        </w:rPr>
        <w:t>This information collection helps support implementation of statutory and regulatory provisions related to medicated animal feed mill licensing.  Feed manufacturers that seek to manufacture a Type B or Type C medicated feed using Category II, Type A medicated articles or manufacture certain liquid and free-choice feed using Category I, Type A medicated articles that must follow proprietary formulas or specifications, are required to obtain a facility license under section 512 of the Federal Food, Drug, and Cosmetic Act (FD&amp;C Act) (21 U.S.C. 360b).  Our regulations in 21 CFR part 515 establish the procedures associated with applying for a facility license.  We require that a manufacturer seeking a facility license submit a completed medicated feed mill license application using Form FDA 3448 (21 CFR 515.10(b)).</w:t>
      </w:r>
      <w:bookmarkStart w:id="0" w:name="_Hlk186452479"/>
      <w:r w:rsidRPr="00970F40">
        <w:rPr>
          <w:rFonts w:eastAsia="Calibri"/>
        </w:rPr>
        <w:t xml:space="preserve"> </w:t>
      </w:r>
      <w:bookmarkEnd w:id="0"/>
      <w:r w:rsidRPr="00970F40">
        <w:rPr>
          <w:rFonts w:eastAsia="Calibri"/>
        </w:rPr>
        <w:t xml:space="preserve"> </w:t>
      </w:r>
      <w:r w:rsidRPr="00970F40" w:rsidR="00701D71">
        <w:rPr>
          <w:rFonts w:eastAsia="Calibri"/>
        </w:rPr>
        <w:t xml:space="preserve"> </w:t>
      </w:r>
    </w:p>
    <w:p w:rsidR="001C61C4" w:rsidRPr="00970F40" w:rsidP="001C61C4" w14:paraId="354129D1" w14:textId="77777777">
      <w:pPr>
        <w:rPr>
          <w:rFonts w:eastAsia="Calibri"/>
        </w:rPr>
      </w:pPr>
    </w:p>
    <w:p w:rsidR="001C61C4" w:rsidRPr="00970F40" w:rsidP="001C61C4" w14:paraId="2586FB31" w14:textId="673F1F28">
      <w:pPr>
        <w:rPr>
          <w:rFonts w:eastAsia="Calibri"/>
        </w:rPr>
      </w:pPr>
      <w:r w:rsidRPr="00970F40">
        <w:rPr>
          <w:rFonts w:eastAsia="Calibri"/>
        </w:rPr>
        <w:t>We require the submission of a supplemental medicated feed mill license application for a change in facility ownership</w:t>
      </w:r>
      <w:r w:rsidRPr="00970F40" w:rsidR="00B31B83">
        <w:rPr>
          <w:rFonts w:eastAsia="Calibri"/>
        </w:rPr>
        <w:t xml:space="preserve"> </w:t>
      </w:r>
      <w:r w:rsidRPr="00970F40">
        <w:rPr>
          <w:rFonts w:eastAsia="Calibri"/>
        </w:rPr>
        <w:t>or a change in facility address (§ 515.11(b) (21 CFR 515.11(b)))</w:t>
      </w:r>
      <w:r w:rsidRPr="00970F40" w:rsidR="00B31B83">
        <w:rPr>
          <w:rFonts w:eastAsia="Calibri"/>
        </w:rPr>
        <w:t>,</w:t>
      </w:r>
      <w:r w:rsidRPr="00970F40">
        <w:rPr>
          <w:rFonts w:eastAsia="Calibri"/>
        </w:rPr>
        <w:t xml:space="preserve"> </w:t>
      </w:r>
      <w:r w:rsidRPr="00970F40" w:rsidR="00B31B83">
        <w:rPr>
          <w:rFonts w:eastAsia="Calibri"/>
        </w:rPr>
        <w:t xml:space="preserve">or a change in facility name. </w:t>
      </w:r>
      <w:r w:rsidRPr="00970F40">
        <w:rPr>
          <w:rFonts w:eastAsia="Calibri"/>
        </w:rPr>
        <w:t xml:space="preserve"> If a licensed facility is no longer manufacturing medicated animal feed under § 515.23 (21 CFR 515.23), a manufacturer may request voluntary revocation of a medicated feed mill license.  An applicant also has the right to file a request for hearing under § 515.30(c) (21 CFR 515.30(c)) to give reasons why a medicated feed mill license should not be refused or revoked.</w:t>
      </w:r>
    </w:p>
    <w:p w:rsidR="001C61C4" w:rsidRPr="00970F40" w:rsidP="001C61C4" w14:paraId="5C99046B" w14:textId="77777777">
      <w:pPr>
        <w:rPr>
          <w:rFonts w:eastAsia="Calibri"/>
        </w:rPr>
      </w:pPr>
    </w:p>
    <w:p w:rsidR="00315E75" w:rsidRPr="00970F40" w:rsidP="001C61C4" w14:paraId="67447A40" w14:textId="4B357367">
      <w:pPr>
        <w:rPr>
          <w:rFonts w:eastAsia="Calibri"/>
        </w:rPr>
      </w:pPr>
      <w:r w:rsidRPr="00970F40">
        <w:rPr>
          <w:rFonts w:eastAsia="Calibri"/>
        </w:rPr>
        <w:t>Under § 510.305 (21 CFR 510.305), we require each applicant to maintain in a single accessible location:  (a) A copy of the approved medicated feed mill license (Form FDA 3448) on the premises of the manufacturing establishment; and (b) approved or index listed labeling for each Type B and/or Type C feed being manufactured on the premises of the manufacturing establishment or the facility where the feed labels are generated.</w:t>
      </w:r>
      <w:r w:rsidRPr="00970F40">
        <w:rPr>
          <w:rFonts w:eastAsia="Calibri"/>
        </w:rPr>
        <w:t xml:space="preserve">  </w:t>
      </w:r>
    </w:p>
    <w:p w:rsidR="00DD462B" w:rsidRPr="00970F40" w:rsidP="00315E75" w14:paraId="2038653C" w14:textId="77777777">
      <w:pPr>
        <w:rPr>
          <w:rFonts w:eastAsia="Calibri"/>
          <w:color w:val="FF0000"/>
        </w:rPr>
      </w:pPr>
    </w:p>
    <w:p w:rsidR="00357C8A" w:rsidRPr="00970F40" w:rsidP="006705EA" w14:paraId="6CDF9D44" w14:textId="77777777">
      <w:pPr>
        <w:numPr>
          <w:ilvl w:val="0"/>
          <w:numId w:val="6"/>
        </w:numPr>
        <w:spacing w:after="200" w:line="276" w:lineRule="auto"/>
        <w:rPr>
          <w:rFonts w:eastAsia="Calibri"/>
          <w:u w:val="single"/>
        </w:rPr>
      </w:pPr>
      <w:r w:rsidRPr="00970F40">
        <w:rPr>
          <w:rFonts w:eastAsia="Calibri"/>
          <w:u w:val="single"/>
        </w:rPr>
        <w:t xml:space="preserve">Purpose and Use of the Information Collection </w:t>
      </w:r>
    </w:p>
    <w:p w:rsidR="00357C8A" w:rsidP="0022425B" w14:paraId="183A5669" w14:textId="434A6162">
      <w:pPr>
        <w:spacing w:after="200"/>
        <w:rPr>
          <w:rFonts w:eastAsia="Calibri"/>
        </w:rPr>
      </w:pPr>
      <w:r w:rsidRPr="00970F40">
        <w:rPr>
          <w:rFonts w:eastAsia="Calibri"/>
        </w:rPr>
        <w:t xml:space="preserve">We use the information submitted to establish that the applicant has completed the certifications required by section 512 of the FD&amp;C Act, to register the mill as a drug establishment, and allow CVM to schedule a preapproval inspection. </w:t>
      </w:r>
      <w:r w:rsidRPr="00970F40" w:rsidR="00701D71">
        <w:rPr>
          <w:rFonts w:eastAsia="Calibri"/>
        </w:rPr>
        <w:t xml:space="preserve"> Medicated feed manufacturing facilities will not be allowed to enter the market if the information is not submitted.  </w:t>
      </w:r>
      <w:r w:rsidRPr="00970F40" w:rsidR="00315E75">
        <w:rPr>
          <w:rFonts w:eastAsia="Calibri"/>
        </w:rPr>
        <w:t>Respondents are manufacturers of medicated animal feed.  Respondents include individuals; the private sector (for-profit businesses); and State, Local or Tribal governments.</w:t>
      </w:r>
    </w:p>
    <w:p w:rsidR="005335A4" w:rsidP="0022425B" w14:paraId="4E9CE603" w14:textId="77777777">
      <w:pPr>
        <w:spacing w:after="200"/>
        <w:rPr>
          <w:rFonts w:eastAsia="Calibri"/>
        </w:rPr>
      </w:pPr>
    </w:p>
    <w:p w:rsidR="005335A4" w:rsidRPr="00970F40" w:rsidP="0022425B" w14:paraId="1456AB17" w14:textId="77777777">
      <w:pPr>
        <w:spacing w:after="200"/>
        <w:rPr>
          <w:rFonts w:eastAsia="Calibri"/>
          <w:color w:val="FF0000"/>
        </w:rPr>
      </w:pPr>
    </w:p>
    <w:p w:rsidR="00357C8A" w:rsidRPr="00970F40" w:rsidP="006705EA" w14:paraId="1111C587" w14:textId="77777777">
      <w:pPr>
        <w:numPr>
          <w:ilvl w:val="0"/>
          <w:numId w:val="6"/>
        </w:numPr>
        <w:spacing w:after="200" w:line="276" w:lineRule="auto"/>
        <w:rPr>
          <w:rFonts w:eastAsia="Calibri"/>
          <w:u w:val="single"/>
        </w:rPr>
      </w:pPr>
      <w:r w:rsidRPr="00970F40">
        <w:rPr>
          <w:rFonts w:eastAsia="Calibri"/>
          <w:u w:val="single"/>
        </w:rPr>
        <w:t>Use of Improved Information Technology and Burden Reduction</w:t>
      </w:r>
    </w:p>
    <w:p w:rsidR="00357C8A" w:rsidRPr="00970F40" w:rsidP="0022425B" w14:paraId="71D3752D" w14:textId="51E0ADE2">
      <w:pPr>
        <w:spacing w:after="200"/>
        <w:rPr>
          <w:rFonts w:eastAsia="Calibri"/>
        </w:rPr>
      </w:pPr>
      <w:r w:rsidRPr="00970F40">
        <w:rPr>
          <w:rFonts w:eastAsia="Calibri"/>
        </w:rPr>
        <w:t xml:space="preserve">Form FDA 3448 is available in a “fillable” form </w:t>
      </w:r>
      <w:r w:rsidRPr="00970F40" w:rsidR="00701D71">
        <w:rPr>
          <w:rFonts w:eastAsia="Calibri"/>
        </w:rPr>
        <w:t xml:space="preserve">and may be accessed on our website at:  </w:t>
      </w:r>
      <w:hyperlink r:id="rId7" w:history="1">
        <w:r w:rsidRPr="00970F40" w:rsidR="00701D71">
          <w:rPr>
            <w:rStyle w:val="Hyperlink"/>
            <w:rFonts w:eastAsia="Calibri"/>
          </w:rPr>
          <w:t>https://www.fda.gov/about-fda/reports-manuals-forms/forms</w:t>
        </w:r>
      </w:hyperlink>
    </w:p>
    <w:p w:rsidR="0088746F" w:rsidRPr="00970F40" w:rsidP="0088746F" w14:paraId="584334D6" w14:textId="145FFE1E">
      <w:pPr>
        <w:spacing w:after="200"/>
        <w:rPr>
          <w:rFonts w:eastAsia="Calibri"/>
        </w:rPr>
      </w:pPr>
      <w:r w:rsidRPr="00970F40">
        <w:rPr>
          <w:rFonts w:eastAsia="Calibri"/>
        </w:rPr>
        <w:t xml:space="preserve">Through technical amendment </w:t>
      </w:r>
      <w:r w:rsidRPr="00970F40">
        <w:t>(89 FR 51966)</w:t>
      </w:r>
      <w:r w:rsidRPr="00970F40">
        <w:rPr>
          <w:rFonts w:eastAsia="Calibri"/>
        </w:rPr>
        <w:t xml:space="preserve">, 21 CFR 515 was revised to allow for electronic submission of Form FDA 3448.  </w:t>
      </w:r>
      <w:r w:rsidRPr="00970F40">
        <w:rPr>
          <w:rFonts w:eastAsia="Calibri"/>
        </w:rPr>
        <w:t xml:space="preserve">We have </w:t>
      </w:r>
      <w:r w:rsidRPr="00970F40">
        <w:t>added a dedicated email address</w:t>
      </w:r>
      <w:r w:rsidRPr="00970F40" w:rsidR="00733180">
        <w:t xml:space="preserve"> (</w:t>
      </w:r>
      <w:hyperlink r:id="rId8" w:history="1">
        <w:r w:rsidRPr="00970F40" w:rsidR="00733180">
          <w:rPr>
            <w:rStyle w:val="Hyperlink"/>
            <w:rFonts w:eastAsia="Calibri"/>
          </w:rPr>
          <w:t>MedicatedFeedsTeamMail@fda.hhs.gov</w:t>
        </w:r>
      </w:hyperlink>
      <w:r w:rsidRPr="00970F40" w:rsidR="00733180">
        <w:rPr>
          <w:rFonts w:eastAsia="Calibri"/>
        </w:rPr>
        <w:t>)</w:t>
      </w:r>
      <w:r w:rsidRPr="00970F40">
        <w:t xml:space="preserve"> to facilitate electronic submission of applications consistent with our regulations in 21 CFR part 11 (Electronic Records; Electronic Signatures). </w:t>
      </w:r>
      <w:r w:rsidRPr="00970F40">
        <w:t xml:space="preserve"> </w:t>
      </w:r>
      <w:r w:rsidRPr="00970F40">
        <w:rPr>
          <w:rFonts w:eastAsia="Calibri"/>
        </w:rPr>
        <w:t xml:space="preserve">We estimate </w:t>
      </w:r>
      <w:r w:rsidRPr="00970F40" w:rsidR="00AC317E">
        <w:rPr>
          <w:rFonts w:eastAsia="Calibri"/>
        </w:rPr>
        <w:t>8</w:t>
      </w:r>
      <w:r w:rsidRPr="00970F40">
        <w:rPr>
          <w:rFonts w:eastAsia="Calibri"/>
        </w:rPr>
        <w:t>0% of submissions will be electronic.  Information collection associated with electronic records is currently approved under OMB control number 0910-0303.</w:t>
      </w:r>
    </w:p>
    <w:p w:rsidR="00357C8A" w:rsidRPr="00970F40" w:rsidP="006705EA" w14:paraId="254EC864" w14:textId="77777777">
      <w:pPr>
        <w:numPr>
          <w:ilvl w:val="0"/>
          <w:numId w:val="6"/>
        </w:numPr>
        <w:spacing w:after="200" w:line="276" w:lineRule="auto"/>
        <w:rPr>
          <w:rFonts w:eastAsia="Calibri"/>
        </w:rPr>
      </w:pPr>
      <w:r w:rsidRPr="00970F40">
        <w:rPr>
          <w:rFonts w:eastAsia="Calibri"/>
          <w:u w:val="single"/>
        </w:rPr>
        <w:t xml:space="preserve">Efforts to Identify Duplication and Use of Similar Information </w:t>
      </w:r>
    </w:p>
    <w:p w:rsidR="000C1260" w:rsidRPr="00970F40" w:rsidP="0053380B" w14:paraId="5A6A6537" w14:textId="77777777">
      <w:pPr>
        <w:spacing w:after="200"/>
        <w:rPr>
          <w:rFonts w:eastAsia="Calibri"/>
          <w:color w:val="FF0000"/>
        </w:rPr>
      </w:pPr>
      <w:r w:rsidRPr="00970F40">
        <w:t>We are unaware of duplicative information collection.</w:t>
      </w:r>
    </w:p>
    <w:p w:rsidR="00357C8A" w:rsidRPr="00970F40" w:rsidP="006705EA" w14:paraId="3EB9D45C" w14:textId="77777777">
      <w:pPr>
        <w:numPr>
          <w:ilvl w:val="0"/>
          <w:numId w:val="6"/>
        </w:numPr>
        <w:spacing w:after="200" w:line="276" w:lineRule="auto"/>
        <w:rPr>
          <w:rFonts w:eastAsia="Calibri"/>
        </w:rPr>
      </w:pPr>
      <w:r w:rsidRPr="00970F40">
        <w:rPr>
          <w:rFonts w:eastAsia="Calibri"/>
          <w:u w:val="single"/>
        </w:rPr>
        <w:t>Impact on Small Businesses or Other Small Entities</w:t>
      </w:r>
    </w:p>
    <w:p w:rsidR="00357C8A" w:rsidRPr="00970F40" w:rsidP="00357C8A" w14:paraId="7A149E0B" w14:textId="337BA89E">
      <w:pPr>
        <w:spacing w:after="200"/>
        <w:rPr>
          <w:rFonts w:eastAsia="Calibri"/>
        </w:rPr>
      </w:pPr>
      <w:r w:rsidRPr="00970F40">
        <w:rPr>
          <w:rFonts w:eastAsia="Calibri"/>
        </w:rPr>
        <w:t>The reporting requirements are those mandated by section 512(m) of the FD&amp;C Act and there is no statutory exception for small businesses.  The same information is requested from large and small firms and is the minimal amount needed.  Assuming that about half the respondents are small businesses, w</w:t>
      </w:r>
      <w:r w:rsidRPr="00970F40">
        <w:rPr>
          <w:rFonts w:eastAsia="Calibri"/>
          <w:bCs/>
        </w:rPr>
        <w:t xml:space="preserve">e estimate that </w:t>
      </w:r>
      <w:r w:rsidRPr="00970F40" w:rsidR="00406C3A">
        <w:rPr>
          <w:rFonts w:eastAsia="Calibri"/>
          <w:bCs/>
        </w:rPr>
        <w:t xml:space="preserve">23 </w:t>
      </w:r>
      <w:r w:rsidRPr="00970F40">
        <w:rPr>
          <w:rFonts w:eastAsia="Calibri"/>
          <w:bCs/>
        </w:rPr>
        <w:t>of the 3</w:t>
      </w:r>
      <w:r w:rsidRPr="00970F40" w:rsidR="00701D71">
        <w:rPr>
          <w:rFonts w:eastAsia="Calibri"/>
          <w:bCs/>
        </w:rPr>
        <w:t>4</w:t>
      </w:r>
      <w:r w:rsidRPr="00970F40">
        <w:rPr>
          <w:rFonts w:eastAsia="Calibri"/>
          <w:bCs/>
        </w:rPr>
        <w:t xml:space="preserve"> respondents reported in table 1 are small businesses.  </w:t>
      </w:r>
      <w:r w:rsidRPr="00970F40">
        <w:rPr>
          <w:rFonts w:eastAsia="Calibri"/>
        </w:rPr>
        <w:t xml:space="preserve"> FDA aids small businesses in complying with its requirements through the Agency’s Regional Small Business Representatives and through the scientific and administrative staffs within the Agency.  FDA also provides a Small Business Guide on the Agency’s website at </w:t>
      </w:r>
      <w:hyperlink r:id="rId9" w:history="1">
        <w:r w:rsidRPr="00970F40">
          <w:rPr>
            <w:rStyle w:val="Hyperlink"/>
            <w:rFonts w:eastAsia="Calibri"/>
          </w:rPr>
          <w:t>http://www.fda.gov/ForIndustry/SmallBusinessAssistance/default.htm</w:t>
        </w:r>
      </w:hyperlink>
      <w:r w:rsidRPr="00970F40">
        <w:rPr>
          <w:rFonts w:eastAsia="Calibri"/>
        </w:rPr>
        <w:t>.</w:t>
      </w:r>
    </w:p>
    <w:p w:rsidR="00357C8A" w:rsidRPr="00970F40" w:rsidP="006705EA" w14:paraId="03FFF6EC" w14:textId="77777777">
      <w:pPr>
        <w:numPr>
          <w:ilvl w:val="0"/>
          <w:numId w:val="6"/>
        </w:numPr>
        <w:spacing w:after="200" w:line="276" w:lineRule="auto"/>
        <w:rPr>
          <w:rFonts w:eastAsia="Calibri"/>
          <w:u w:val="single"/>
        </w:rPr>
      </w:pPr>
      <w:r w:rsidRPr="00970F40">
        <w:rPr>
          <w:rFonts w:eastAsia="Calibri"/>
          <w:u w:val="single"/>
        </w:rPr>
        <w:t>Consequences of Collecting the Information Less Frequently</w:t>
      </w:r>
    </w:p>
    <w:p w:rsidR="00357C8A" w:rsidRPr="00970F40" w:rsidP="00357C8A" w14:paraId="0DB07702" w14:textId="35A95862">
      <w:pPr>
        <w:spacing w:after="200"/>
        <w:rPr>
          <w:rFonts w:eastAsia="Calibri"/>
          <w:color w:val="FF0000"/>
        </w:rPr>
      </w:pPr>
      <w:r w:rsidRPr="00970F40">
        <w:rPr>
          <w:rFonts w:eastAsia="Calibri"/>
        </w:rPr>
        <w:t>The information collection schedule is consistent with statutory and regulatory authorities.</w:t>
      </w:r>
      <w:r w:rsidRPr="00970F40" w:rsidR="00B00ACE">
        <w:rPr>
          <w:rFonts w:eastAsia="Calibri"/>
        </w:rPr>
        <w:t xml:space="preserve">  </w:t>
      </w:r>
    </w:p>
    <w:p w:rsidR="00357C8A" w:rsidRPr="00970F40" w:rsidP="006705EA" w14:paraId="45D22ED7" w14:textId="77777777">
      <w:pPr>
        <w:numPr>
          <w:ilvl w:val="0"/>
          <w:numId w:val="6"/>
        </w:numPr>
        <w:spacing w:after="200" w:line="276" w:lineRule="auto"/>
        <w:rPr>
          <w:rFonts w:eastAsia="Calibri"/>
        </w:rPr>
      </w:pPr>
      <w:r w:rsidRPr="00970F40">
        <w:rPr>
          <w:rFonts w:eastAsia="Calibri"/>
          <w:u w:val="single"/>
        </w:rPr>
        <w:t>Special Circumstances Relating to the Guidelines of 5 CFR 1320.5</w:t>
      </w:r>
    </w:p>
    <w:p w:rsidR="00357C8A" w:rsidRPr="00970F40" w:rsidP="0022425B" w14:paraId="2B5BC0E7" w14:textId="77777777">
      <w:pPr>
        <w:spacing w:after="200"/>
        <w:rPr>
          <w:rFonts w:eastAsia="Calibri"/>
        </w:rPr>
      </w:pPr>
      <w:r w:rsidRPr="00970F40">
        <w:rPr>
          <w:rFonts w:eastAsia="Calibri"/>
        </w:rPr>
        <w:t>There are no special circumstances for this information collection.</w:t>
      </w:r>
    </w:p>
    <w:p w:rsidR="00357C8A" w:rsidRPr="00970F40" w:rsidP="006705EA" w14:paraId="7A042CBD" w14:textId="77777777">
      <w:pPr>
        <w:numPr>
          <w:ilvl w:val="0"/>
          <w:numId w:val="6"/>
        </w:numPr>
        <w:spacing w:after="200" w:line="276" w:lineRule="auto"/>
        <w:rPr>
          <w:rFonts w:eastAsia="Calibri"/>
        </w:rPr>
      </w:pPr>
      <w:r w:rsidRPr="00970F40">
        <w:rPr>
          <w:rFonts w:eastAsia="Calibri"/>
          <w:u w:val="single"/>
        </w:rPr>
        <w:t>Comments in Response to the Federal Register Notice and Efforts to Consult Outside the Agency</w:t>
      </w:r>
    </w:p>
    <w:p w:rsidR="00792947" w:rsidRPr="00970F40" w:rsidP="00357C8A" w14:paraId="0D35522A" w14:textId="343A0AF1">
      <w:pPr>
        <w:spacing w:after="200"/>
        <w:rPr>
          <w:rFonts w:eastAsia="Calibri"/>
        </w:rPr>
      </w:pPr>
      <w:r w:rsidRPr="00970F40">
        <w:rPr>
          <w:rFonts w:eastAsia="Calibri"/>
        </w:rPr>
        <w:t xml:space="preserve">FDA published a 60-day notice for public comment in the </w:t>
      </w:r>
      <w:r w:rsidRPr="00970F40">
        <w:rPr>
          <w:rFonts w:eastAsia="Calibri"/>
          <w:i/>
        </w:rPr>
        <w:t>Federal Register</w:t>
      </w:r>
      <w:r w:rsidRPr="00970F40">
        <w:rPr>
          <w:rFonts w:eastAsia="Calibri"/>
        </w:rPr>
        <w:t xml:space="preserve"> of </w:t>
      </w:r>
      <w:r w:rsidRPr="00970F40" w:rsidR="001C61C4">
        <w:rPr>
          <w:rFonts w:eastAsia="Calibri"/>
        </w:rPr>
        <w:t>November 29, 2024</w:t>
      </w:r>
      <w:r w:rsidRPr="00970F40" w:rsidR="009009E7">
        <w:rPr>
          <w:rFonts w:eastAsia="Calibri"/>
        </w:rPr>
        <w:t xml:space="preserve"> (</w:t>
      </w:r>
      <w:r w:rsidRPr="00970F40" w:rsidR="001C61C4">
        <w:rPr>
          <w:rFonts w:eastAsia="Calibri"/>
        </w:rPr>
        <w:t>89</w:t>
      </w:r>
      <w:r w:rsidRPr="00970F40" w:rsidR="009009E7">
        <w:rPr>
          <w:rFonts w:eastAsia="Calibri"/>
        </w:rPr>
        <w:t xml:space="preserve"> FR </w:t>
      </w:r>
      <w:r w:rsidRPr="00970F40" w:rsidR="001C61C4">
        <w:rPr>
          <w:rFonts w:eastAsia="Calibri"/>
        </w:rPr>
        <w:t>94740</w:t>
      </w:r>
      <w:r w:rsidRPr="00970F40" w:rsidR="009009E7">
        <w:rPr>
          <w:rFonts w:eastAsia="Calibri"/>
        </w:rPr>
        <w:t>)</w:t>
      </w:r>
      <w:r w:rsidRPr="00970F40" w:rsidR="001C61C4">
        <w:rPr>
          <w:rFonts w:eastAsia="Calibri"/>
        </w:rPr>
        <w:t>.</w:t>
      </w:r>
      <w:r w:rsidRPr="00970F40" w:rsidR="00946CC2">
        <w:rPr>
          <w:rFonts w:eastAsia="Calibri"/>
        </w:rPr>
        <w:t xml:space="preserve">  No comments were received.</w:t>
      </w:r>
    </w:p>
    <w:p w:rsidR="00357C8A" w:rsidRPr="00970F40" w:rsidP="006705EA" w14:paraId="519DC057" w14:textId="77777777">
      <w:pPr>
        <w:numPr>
          <w:ilvl w:val="0"/>
          <w:numId w:val="6"/>
        </w:numPr>
        <w:spacing w:after="200" w:line="276" w:lineRule="auto"/>
        <w:rPr>
          <w:rFonts w:eastAsia="Calibri"/>
        </w:rPr>
      </w:pPr>
      <w:r w:rsidRPr="00970F40">
        <w:rPr>
          <w:rFonts w:eastAsia="Calibri"/>
          <w:u w:val="single"/>
        </w:rPr>
        <w:t>Explanation of Any Payment or Gift to Respondents</w:t>
      </w:r>
    </w:p>
    <w:p w:rsidR="00357C8A" w:rsidRPr="00970F40" w:rsidP="00357C8A" w14:paraId="2BE8B474" w14:textId="77777777">
      <w:pPr>
        <w:spacing w:after="200"/>
        <w:rPr>
          <w:rFonts w:eastAsia="Calibri"/>
          <w:color w:val="FF0000"/>
        </w:rPr>
      </w:pPr>
      <w:r w:rsidRPr="00970F40">
        <w:rPr>
          <w:rFonts w:eastAsia="Calibri"/>
        </w:rPr>
        <w:t>There are no incentives, payments or gifts associated with this information collection.</w:t>
      </w:r>
    </w:p>
    <w:p w:rsidR="00357C8A" w:rsidRPr="00970F40" w:rsidP="006705EA" w14:paraId="195FA0BB" w14:textId="77777777">
      <w:pPr>
        <w:numPr>
          <w:ilvl w:val="0"/>
          <w:numId w:val="6"/>
        </w:numPr>
        <w:spacing w:after="200" w:line="276" w:lineRule="auto"/>
        <w:rPr>
          <w:rFonts w:eastAsia="Calibri"/>
        </w:rPr>
      </w:pPr>
      <w:r w:rsidRPr="00970F40">
        <w:rPr>
          <w:rFonts w:eastAsia="Calibri"/>
          <w:u w:val="single"/>
        </w:rPr>
        <w:t>Assurance of Confidentiality Provided to Respondents</w:t>
      </w:r>
    </w:p>
    <w:p w:rsidR="00B00ACE" w:rsidP="00A26ADF" w14:paraId="04A5F091" w14:textId="16684D91">
      <w:pPr>
        <w:spacing w:line="256" w:lineRule="auto"/>
        <w:rPr>
          <w:rFonts w:eastAsia="Calibri"/>
        </w:rPr>
      </w:pPr>
      <w:r w:rsidRPr="00970F40">
        <w:rPr>
          <w:color w:val="000000" w:themeColor="text1"/>
        </w:rPr>
        <w:t>Data will be kept private to the extent provided by law.</w:t>
      </w:r>
      <w:r w:rsidRPr="00970F40">
        <w:rPr>
          <w:color w:val="000000" w:themeColor="text1"/>
          <w:szCs w:val="22"/>
        </w:rPr>
        <w:t xml:space="preserve">  </w:t>
      </w:r>
      <w:r w:rsidRPr="00970F40">
        <w:rPr>
          <w:rFonts w:eastAsia="Calibri"/>
        </w:rPr>
        <w:t>In preparing this Supporting Statement, we consulted our Privacy Office to ensure appropriate identification and handling of information collected.</w:t>
      </w:r>
    </w:p>
    <w:p w:rsidR="00970F40" w:rsidP="00A26ADF" w14:paraId="4BA740D1" w14:textId="77777777">
      <w:pPr>
        <w:spacing w:line="256" w:lineRule="auto"/>
        <w:rPr>
          <w:color w:val="000000" w:themeColor="text1"/>
          <w:szCs w:val="22"/>
        </w:rPr>
      </w:pPr>
    </w:p>
    <w:p w:rsidR="005335A4" w:rsidRPr="00970F40" w:rsidP="00A26ADF" w14:paraId="5E213911" w14:textId="77777777">
      <w:pPr>
        <w:spacing w:line="256" w:lineRule="auto"/>
        <w:rPr>
          <w:color w:val="000000" w:themeColor="text1"/>
          <w:szCs w:val="22"/>
        </w:rPr>
      </w:pPr>
    </w:p>
    <w:p w:rsidR="00B00ACE" w:rsidRPr="00970F40" w:rsidP="00A26ADF" w14:paraId="6D0A9ADA" w14:textId="07772C67">
      <w:pPr>
        <w:spacing w:after="200"/>
        <w:ind w:firstLine="720"/>
        <w:rPr>
          <w:rFonts w:eastAsia="Calibri"/>
          <w:i/>
          <w:iCs/>
          <w:u w:val="single"/>
        </w:rPr>
      </w:pPr>
      <w:r w:rsidRPr="00970F40">
        <w:rPr>
          <w:rFonts w:eastAsia="Calibri"/>
          <w:i/>
          <w:iCs/>
          <w:u w:val="single"/>
        </w:rPr>
        <w:t>The Privacy Act</w:t>
      </w:r>
      <w:r w:rsidRPr="00970F40" w:rsidR="00036F92">
        <w:rPr>
          <w:rFonts w:eastAsia="Calibri"/>
          <w:i/>
          <w:iCs/>
          <w:u w:val="single"/>
        </w:rPr>
        <w:t xml:space="preserve"> of 1974</w:t>
      </w:r>
    </w:p>
    <w:p w:rsidR="007348F0" w:rsidRPr="00970F40" w:rsidP="007348F0" w14:paraId="7B3FF587" w14:textId="77777777">
      <w:pPr>
        <w:spacing w:after="200"/>
        <w:rPr>
          <w:rFonts w:eastAsia="Calibri"/>
        </w:rPr>
      </w:pPr>
      <w:r w:rsidRPr="00970F40">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via Form FDA 3448 (Medicated Feed Mill License Application) is name, address, telephone number, fax number, and email address. FDA determined that although PII is collected it is not subject to the Privacy Act of 1974 and the particular notice and other requirements of the Act do not apply. Specifically, the contractor or FDA do not use name or any other personal identifier to routinely retrieve records from the information collected.</w:t>
      </w:r>
    </w:p>
    <w:p w:rsidR="00B00ACE" w:rsidRPr="00970F40" w:rsidP="00A26ADF" w14:paraId="17EC5175" w14:textId="6095887A">
      <w:pPr>
        <w:spacing w:after="200"/>
        <w:ind w:firstLine="720"/>
        <w:rPr>
          <w:rFonts w:eastAsia="Calibri"/>
          <w:i/>
          <w:iCs/>
          <w:u w:val="single"/>
        </w:rPr>
      </w:pPr>
      <w:r w:rsidRPr="00970F40">
        <w:rPr>
          <w:rFonts w:eastAsia="Calibri"/>
          <w:i/>
          <w:iCs/>
          <w:u w:val="single"/>
        </w:rPr>
        <w:t>The Freedom of Information Act</w:t>
      </w:r>
      <w:r w:rsidRPr="00970F40" w:rsidR="00036F92">
        <w:rPr>
          <w:rFonts w:eastAsia="Calibri"/>
          <w:i/>
          <w:iCs/>
          <w:u w:val="single"/>
        </w:rPr>
        <w:t xml:space="preserve"> </w:t>
      </w:r>
    </w:p>
    <w:p w:rsidR="007348F0" w:rsidRPr="00970F40" w:rsidP="007348F0" w14:paraId="44527C06" w14:textId="77777777">
      <w:pPr>
        <w:spacing w:after="200"/>
        <w:rPr>
          <w:rFonts w:eastAsia="Calibri"/>
        </w:rPr>
      </w:pPr>
      <w:r w:rsidRPr="00970F40">
        <w:rPr>
          <w:rFonts w:eastAsia="Calibri"/>
        </w:rPr>
        <w:t>Under the Freedom of Information Act (FOIA) (5 U.S.C. 552), the public has broad access to government documents. However, FOIA provides certain exemptions from mandatory public disclosure of government records (5 U.S.C. 552(b</w:t>
      </w:r>
      <w:r w:rsidRPr="00970F40">
        <w:rPr>
          <w:rFonts w:eastAsia="Calibri"/>
        </w:rPr>
        <w:t>)(</w:t>
      </w:r>
      <w:r w:rsidRPr="00970F40">
        <w:rPr>
          <w:rFonts w:eastAsia="Calibri"/>
        </w:rPr>
        <w:t>1-9)).  FDA will make the fullest possible disclosure of records to the public, consistent with the rights of individuals to privacy, the property rights of persons in trade and confidential commercial or financial information.</w:t>
      </w:r>
    </w:p>
    <w:p w:rsidR="00357C8A" w:rsidRPr="00970F40" w:rsidP="006705EA" w14:paraId="16DC23A3" w14:textId="77777777">
      <w:pPr>
        <w:numPr>
          <w:ilvl w:val="0"/>
          <w:numId w:val="6"/>
        </w:numPr>
        <w:spacing w:after="200" w:line="276" w:lineRule="auto"/>
        <w:rPr>
          <w:rFonts w:eastAsia="Calibri"/>
        </w:rPr>
      </w:pPr>
      <w:r w:rsidRPr="00970F40">
        <w:rPr>
          <w:rFonts w:eastAsia="Calibri"/>
          <w:u w:val="single"/>
        </w:rPr>
        <w:t>Justification for Sensitive Questions</w:t>
      </w:r>
    </w:p>
    <w:p w:rsidR="00357C8A" w:rsidRPr="00970F40" w:rsidP="0022425B" w14:paraId="164FD200" w14:textId="77777777">
      <w:pPr>
        <w:spacing w:after="200"/>
        <w:rPr>
          <w:rFonts w:eastAsia="Calibri"/>
          <w:color w:val="FF0000"/>
        </w:rPr>
      </w:pPr>
      <w:r w:rsidRPr="00970F40">
        <w:rPr>
          <w:rFonts w:eastAsia="Calibri"/>
        </w:rPr>
        <w:t>The collection of information does not involve sensitive questions.</w:t>
      </w:r>
    </w:p>
    <w:p w:rsidR="00357C8A" w:rsidRPr="00970F40" w:rsidP="006705EA" w14:paraId="0F37FCCE" w14:textId="77777777">
      <w:pPr>
        <w:numPr>
          <w:ilvl w:val="0"/>
          <w:numId w:val="6"/>
        </w:numPr>
        <w:spacing w:after="200" w:line="276" w:lineRule="auto"/>
        <w:rPr>
          <w:rFonts w:eastAsia="Calibri"/>
          <w:u w:val="single"/>
        </w:rPr>
      </w:pPr>
      <w:r w:rsidRPr="00970F40">
        <w:rPr>
          <w:rFonts w:eastAsia="Calibri"/>
          <w:u w:val="single"/>
        </w:rPr>
        <w:t>Estimates of Annualized Burden Hours and Cost</w:t>
      </w:r>
    </w:p>
    <w:p w:rsidR="00970F40" w:rsidP="00970F40" w14:paraId="276BC822" w14:textId="77777777">
      <w:pPr>
        <w:spacing w:after="200"/>
        <w:ind w:left="360"/>
        <w:rPr>
          <w:rFonts w:eastAsia="Calibri"/>
        </w:rPr>
      </w:pPr>
      <w:r w:rsidRPr="00970F40">
        <w:rPr>
          <w:rFonts w:eastAsia="Calibri"/>
        </w:rPr>
        <w:t>12a.  Annualized Hour Burden Estimate</w:t>
      </w:r>
    </w:p>
    <w:p w:rsidR="00C40A0D" w:rsidRPr="00970F40" w:rsidP="00970F40" w14:paraId="349EC2FB" w14:textId="2E8E62A9">
      <w:pPr>
        <w:spacing w:after="200"/>
        <w:ind w:left="360"/>
        <w:jc w:val="center"/>
        <w:rPr>
          <w:sz w:val="20"/>
          <w:szCs w:val="20"/>
        </w:rPr>
      </w:pPr>
      <w:r w:rsidRPr="00970F40">
        <w:rPr>
          <w:sz w:val="20"/>
          <w:szCs w:val="20"/>
        </w:rPr>
        <w:t xml:space="preserve">Table </w:t>
      </w:r>
      <w:r w:rsidRPr="00970F40">
        <w:rPr>
          <w:sz w:val="20"/>
          <w:szCs w:val="20"/>
        </w:rPr>
        <w:t>1.--</w:t>
      </w:r>
      <w:r w:rsidRPr="00970F40">
        <w:rPr>
          <w:sz w:val="20"/>
          <w:szCs w:val="20"/>
        </w:rPr>
        <w:t>Estimated Annual Reporting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1239"/>
        <w:gridCol w:w="1405"/>
        <w:gridCol w:w="1318"/>
        <w:gridCol w:w="1316"/>
        <w:gridCol w:w="1212"/>
      </w:tblGrid>
      <w:tr w14:paraId="235E81DB" w14:textId="77777777" w:rsidTr="002A1B1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583" w:type="pct"/>
            <w:shd w:val="clear" w:color="auto" w:fill="auto"/>
          </w:tcPr>
          <w:p w:rsidR="002A1B13" w:rsidRPr="00970F40" w:rsidP="002A1B13" w14:paraId="484609F8" w14:textId="76FFB7E4">
            <w:pPr>
              <w:jc w:val="center"/>
              <w:rPr>
                <w:sz w:val="20"/>
                <w:szCs w:val="20"/>
              </w:rPr>
            </w:pPr>
            <w:r w:rsidRPr="00970F40">
              <w:rPr>
                <w:sz w:val="20"/>
                <w:szCs w:val="20"/>
              </w:rPr>
              <w:t>21 CFR Section; Activity</w:t>
            </w:r>
          </w:p>
        </w:tc>
        <w:tc>
          <w:tcPr>
            <w:tcW w:w="648" w:type="pct"/>
            <w:shd w:val="clear" w:color="auto" w:fill="auto"/>
          </w:tcPr>
          <w:p w:rsidR="002A1B13" w:rsidRPr="00970F40" w:rsidP="00C40A0D" w14:paraId="41F958F8" w14:textId="77777777">
            <w:pPr>
              <w:jc w:val="center"/>
              <w:rPr>
                <w:sz w:val="20"/>
                <w:szCs w:val="20"/>
              </w:rPr>
            </w:pPr>
            <w:r w:rsidRPr="00970F40">
              <w:rPr>
                <w:sz w:val="20"/>
                <w:szCs w:val="20"/>
              </w:rPr>
              <w:t>No. of Respondents</w:t>
            </w:r>
          </w:p>
        </w:tc>
        <w:tc>
          <w:tcPr>
            <w:tcW w:w="741" w:type="pct"/>
            <w:shd w:val="clear" w:color="auto" w:fill="auto"/>
          </w:tcPr>
          <w:p w:rsidR="002A1B13" w:rsidRPr="00970F40" w:rsidP="00C40A0D" w14:paraId="15D6EED3" w14:textId="77777777">
            <w:pPr>
              <w:jc w:val="center"/>
              <w:rPr>
                <w:sz w:val="20"/>
                <w:szCs w:val="20"/>
              </w:rPr>
            </w:pPr>
            <w:r w:rsidRPr="00970F40">
              <w:rPr>
                <w:bCs/>
                <w:sz w:val="20"/>
                <w:szCs w:val="20"/>
              </w:rPr>
              <w:t>No. of Responses per Respondent</w:t>
            </w:r>
          </w:p>
        </w:tc>
        <w:tc>
          <w:tcPr>
            <w:tcW w:w="695" w:type="pct"/>
            <w:shd w:val="clear" w:color="auto" w:fill="auto"/>
          </w:tcPr>
          <w:p w:rsidR="002A1B13" w:rsidRPr="00970F40" w:rsidP="00C40A0D" w14:paraId="7194C820" w14:textId="77777777">
            <w:pPr>
              <w:jc w:val="center"/>
              <w:rPr>
                <w:sz w:val="20"/>
                <w:szCs w:val="20"/>
              </w:rPr>
            </w:pPr>
            <w:r w:rsidRPr="00970F40">
              <w:rPr>
                <w:sz w:val="20"/>
                <w:szCs w:val="20"/>
              </w:rPr>
              <w:t>Total Annual Responses</w:t>
            </w:r>
          </w:p>
        </w:tc>
        <w:tc>
          <w:tcPr>
            <w:tcW w:w="694" w:type="pct"/>
            <w:shd w:val="clear" w:color="auto" w:fill="auto"/>
          </w:tcPr>
          <w:p w:rsidR="002A1B13" w:rsidRPr="00970F40" w:rsidP="00C40A0D" w14:paraId="73CE6BA8" w14:textId="77777777">
            <w:pPr>
              <w:jc w:val="center"/>
              <w:rPr>
                <w:sz w:val="20"/>
                <w:szCs w:val="20"/>
              </w:rPr>
            </w:pPr>
            <w:r w:rsidRPr="00970F40">
              <w:rPr>
                <w:bCs/>
                <w:sz w:val="20"/>
                <w:szCs w:val="20"/>
              </w:rPr>
              <w:t>Average Burden per Response</w:t>
            </w:r>
          </w:p>
        </w:tc>
        <w:tc>
          <w:tcPr>
            <w:tcW w:w="639" w:type="pct"/>
            <w:shd w:val="clear" w:color="auto" w:fill="auto"/>
          </w:tcPr>
          <w:p w:rsidR="002A1B13" w:rsidRPr="00970F40" w:rsidP="00C40A0D" w14:paraId="51050BEF" w14:textId="77777777">
            <w:pPr>
              <w:jc w:val="center"/>
              <w:rPr>
                <w:sz w:val="20"/>
                <w:szCs w:val="20"/>
              </w:rPr>
            </w:pPr>
            <w:r w:rsidRPr="00970F40">
              <w:rPr>
                <w:sz w:val="20"/>
                <w:szCs w:val="20"/>
              </w:rPr>
              <w:t>Total Hours</w:t>
            </w:r>
          </w:p>
        </w:tc>
      </w:tr>
      <w:tr w14:paraId="68660D70" w14:textId="77777777" w:rsidTr="002A1B13">
        <w:tblPrEx>
          <w:tblW w:w="5000" w:type="pct"/>
          <w:tblLook w:val="01E0"/>
        </w:tblPrEx>
        <w:trPr>
          <w:cantSplit/>
          <w:trHeight w:val="20"/>
        </w:trPr>
        <w:tc>
          <w:tcPr>
            <w:tcW w:w="1583" w:type="pct"/>
            <w:shd w:val="clear" w:color="auto" w:fill="auto"/>
          </w:tcPr>
          <w:p w:rsidR="002A1B13" w:rsidRPr="00970F40" w:rsidP="00C40A0D" w14:paraId="7BA86268" w14:textId="6B9BC9C6">
            <w:pPr>
              <w:rPr>
                <w:sz w:val="20"/>
                <w:szCs w:val="20"/>
              </w:rPr>
            </w:pPr>
            <w:bookmarkStart w:id="1" w:name="_Hlk105505084"/>
            <w:r w:rsidRPr="00970F40">
              <w:rPr>
                <w:sz w:val="20"/>
              </w:rPr>
              <w:t>515.10(b), 515.11(b); Medicated Feed Mill License Application and Supplemental Applications using Form FDA 3448</w:t>
            </w:r>
          </w:p>
        </w:tc>
        <w:tc>
          <w:tcPr>
            <w:tcW w:w="648" w:type="pct"/>
            <w:shd w:val="clear" w:color="auto" w:fill="auto"/>
          </w:tcPr>
          <w:p w:rsidR="002A1B13" w:rsidRPr="00970F40" w:rsidP="00C40A0D" w14:paraId="05D4244C" w14:textId="17245BD4">
            <w:pPr>
              <w:jc w:val="right"/>
              <w:rPr>
                <w:sz w:val="20"/>
                <w:szCs w:val="20"/>
              </w:rPr>
            </w:pPr>
            <w:r w:rsidRPr="00970F40">
              <w:rPr>
                <w:sz w:val="20"/>
                <w:szCs w:val="20"/>
              </w:rPr>
              <w:t>34</w:t>
            </w:r>
          </w:p>
        </w:tc>
        <w:tc>
          <w:tcPr>
            <w:tcW w:w="741" w:type="pct"/>
            <w:shd w:val="clear" w:color="auto" w:fill="auto"/>
          </w:tcPr>
          <w:p w:rsidR="002A1B13" w:rsidRPr="00970F40" w:rsidP="00C40A0D" w14:paraId="36813C78" w14:textId="68E38AC9">
            <w:pPr>
              <w:jc w:val="right"/>
              <w:rPr>
                <w:sz w:val="20"/>
                <w:szCs w:val="20"/>
              </w:rPr>
            </w:pPr>
            <w:r w:rsidRPr="00970F40">
              <w:rPr>
                <w:sz w:val="20"/>
                <w:szCs w:val="20"/>
              </w:rPr>
              <w:t>1</w:t>
            </w:r>
          </w:p>
        </w:tc>
        <w:tc>
          <w:tcPr>
            <w:tcW w:w="695" w:type="pct"/>
            <w:shd w:val="clear" w:color="auto" w:fill="auto"/>
          </w:tcPr>
          <w:p w:rsidR="002A1B13" w:rsidRPr="00970F40" w:rsidP="00C40A0D" w14:paraId="16F99EAA" w14:textId="7C5038C0">
            <w:pPr>
              <w:jc w:val="right"/>
              <w:rPr>
                <w:sz w:val="20"/>
                <w:szCs w:val="20"/>
              </w:rPr>
            </w:pPr>
            <w:r w:rsidRPr="00970F40">
              <w:rPr>
                <w:sz w:val="20"/>
                <w:szCs w:val="20"/>
              </w:rPr>
              <w:t>34</w:t>
            </w:r>
          </w:p>
        </w:tc>
        <w:tc>
          <w:tcPr>
            <w:tcW w:w="694" w:type="pct"/>
            <w:shd w:val="clear" w:color="auto" w:fill="auto"/>
          </w:tcPr>
          <w:p w:rsidR="002A1B13" w:rsidRPr="00970F40" w:rsidP="00C40A0D" w14:paraId="014895C9" w14:textId="2C9E27FF">
            <w:pPr>
              <w:jc w:val="right"/>
              <w:rPr>
                <w:sz w:val="20"/>
                <w:szCs w:val="20"/>
              </w:rPr>
            </w:pPr>
            <w:r w:rsidRPr="00970F40">
              <w:rPr>
                <w:sz w:val="20"/>
                <w:szCs w:val="20"/>
              </w:rPr>
              <w:t>0.25 (15 minutes)</w:t>
            </w:r>
          </w:p>
        </w:tc>
        <w:tc>
          <w:tcPr>
            <w:tcW w:w="639" w:type="pct"/>
            <w:shd w:val="clear" w:color="auto" w:fill="auto"/>
          </w:tcPr>
          <w:p w:rsidR="002A1B13" w:rsidRPr="00970F40" w:rsidP="00C40A0D" w14:paraId="58A6F212" w14:textId="4A711A0F">
            <w:pPr>
              <w:jc w:val="right"/>
              <w:rPr>
                <w:sz w:val="20"/>
                <w:szCs w:val="20"/>
              </w:rPr>
            </w:pPr>
            <w:r w:rsidRPr="00970F40">
              <w:rPr>
                <w:sz w:val="20"/>
                <w:szCs w:val="20"/>
              </w:rPr>
              <w:t>8.5</w:t>
            </w:r>
          </w:p>
        </w:tc>
      </w:tr>
      <w:tr w14:paraId="69AD9B18" w14:textId="77777777" w:rsidTr="002A1B13">
        <w:tblPrEx>
          <w:tblW w:w="5000" w:type="pct"/>
          <w:tblLook w:val="01E0"/>
        </w:tblPrEx>
        <w:trPr>
          <w:cantSplit/>
          <w:trHeight w:val="20"/>
        </w:trPr>
        <w:tc>
          <w:tcPr>
            <w:tcW w:w="1583" w:type="pct"/>
            <w:shd w:val="clear" w:color="auto" w:fill="auto"/>
          </w:tcPr>
          <w:p w:rsidR="002A1B13" w:rsidRPr="00970F40" w:rsidP="00C40A0D" w14:paraId="53D9A448" w14:textId="5D3173F0">
            <w:pPr>
              <w:rPr>
                <w:sz w:val="20"/>
              </w:rPr>
            </w:pPr>
            <w:r w:rsidRPr="00970F40">
              <w:rPr>
                <w:sz w:val="20"/>
              </w:rPr>
              <w:t>515.23; Voluntary Revocation of Medicated Feed Mill License</w:t>
            </w:r>
          </w:p>
        </w:tc>
        <w:tc>
          <w:tcPr>
            <w:tcW w:w="648" w:type="pct"/>
            <w:shd w:val="clear" w:color="auto" w:fill="auto"/>
          </w:tcPr>
          <w:p w:rsidR="002A1B13" w:rsidRPr="00970F40" w:rsidP="00C40A0D" w14:paraId="5F8035A7" w14:textId="610EEC0A">
            <w:pPr>
              <w:jc w:val="right"/>
              <w:rPr>
                <w:sz w:val="20"/>
                <w:szCs w:val="20"/>
              </w:rPr>
            </w:pPr>
            <w:r w:rsidRPr="00970F40">
              <w:rPr>
                <w:sz w:val="20"/>
                <w:szCs w:val="20"/>
              </w:rPr>
              <w:t>14</w:t>
            </w:r>
          </w:p>
        </w:tc>
        <w:tc>
          <w:tcPr>
            <w:tcW w:w="741" w:type="pct"/>
            <w:shd w:val="clear" w:color="auto" w:fill="auto"/>
          </w:tcPr>
          <w:p w:rsidR="002A1B13" w:rsidRPr="00970F40" w:rsidP="00C40A0D" w14:paraId="54972F5E" w14:textId="57CA6A62">
            <w:pPr>
              <w:jc w:val="right"/>
              <w:rPr>
                <w:sz w:val="20"/>
                <w:szCs w:val="20"/>
              </w:rPr>
            </w:pPr>
            <w:r w:rsidRPr="00970F40">
              <w:rPr>
                <w:sz w:val="20"/>
                <w:szCs w:val="20"/>
              </w:rPr>
              <w:t>1</w:t>
            </w:r>
          </w:p>
        </w:tc>
        <w:tc>
          <w:tcPr>
            <w:tcW w:w="695" w:type="pct"/>
            <w:shd w:val="clear" w:color="auto" w:fill="auto"/>
          </w:tcPr>
          <w:p w:rsidR="002A1B13" w:rsidRPr="00970F40" w:rsidP="00C40A0D" w14:paraId="470111F9" w14:textId="4A9F3764">
            <w:pPr>
              <w:jc w:val="right"/>
              <w:rPr>
                <w:sz w:val="20"/>
                <w:szCs w:val="20"/>
              </w:rPr>
            </w:pPr>
            <w:r w:rsidRPr="00970F40">
              <w:rPr>
                <w:sz w:val="20"/>
                <w:szCs w:val="20"/>
              </w:rPr>
              <w:t>14</w:t>
            </w:r>
          </w:p>
        </w:tc>
        <w:tc>
          <w:tcPr>
            <w:tcW w:w="694" w:type="pct"/>
            <w:shd w:val="clear" w:color="auto" w:fill="auto"/>
          </w:tcPr>
          <w:p w:rsidR="002A1B13" w:rsidRPr="00970F40" w:rsidP="00C40A0D" w14:paraId="0F1B5BB8" w14:textId="15A8419A">
            <w:pPr>
              <w:jc w:val="right"/>
              <w:rPr>
                <w:sz w:val="20"/>
                <w:szCs w:val="20"/>
              </w:rPr>
            </w:pPr>
            <w:r w:rsidRPr="00970F40">
              <w:rPr>
                <w:sz w:val="20"/>
                <w:szCs w:val="20"/>
              </w:rPr>
              <w:t>0.25 (15 minutes)</w:t>
            </w:r>
          </w:p>
        </w:tc>
        <w:tc>
          <w:tcPr>
            <w:tcW w:w="639" w:type="pct"/>
            <w:shd w:val="clear" w:color="auto" w:fill="auto"/>
          </w:tcPr>
          <w:p w:rsidR="002A1B13" w:rsidRPr="00970F40" w:rsidP="00C40A0D" w14:paraId="279A68A7" w14:textId="65637DCC">
            <w:pPr>
              <w:jc w:val="right"/>
              <w:rPr>
                <w:sz w:val="20"/>
                <w:szCs w:val="20"/>
              </w:rPr>
            </w:pPr>
            <w:r w:rsidRPr="00970F40">
              <w:rPr>
                <w:sz w:val="20"/>
                <w:szCs w:val="20"/>
              </w:rPr>
              <w:t>3.5</w:t>
            </w:r>
          </w:p>
        </w:tc>
      </w:tr>
      <w:tr w14:paraId="3D0D7088" w14:textId="77777777" w:rsidTr="002A1B13">
        <w:tblPrEx>
          <w:tblW w:w="5000" w:type="pct"/>
          <w:tblLook w:val="01E0"/>
        </w:tblPrEx>
        <w:trPr>
          <w:cantSplit/>
          <w:trHeight w:val="20"/>
        </w:trPr>
        <w:tc>
          <w:tcPr>
            <w:tcW w:w="1583" w:type="pct"/>
            <w:shd w:val="clear" w:color="auto" w:fill="auto"/>
          </w:tcPr>
          <w:p w:rsidR="002A1B13" w:rsidRPr="00970F40" w:rsidP="00C40A0D" w14:paraId="50470C29" w14:textId="16CABA86">
            <w:pPr>
              <w:rPr>
                <w:sz w:val="20"/>
              </w:rPr>
            </w:pPr>
            <w:r w:rsidRPr="00970F40">
              <w:rPr>
                <w:sz w:val="20"/>
              </w:rPr>
              <w:t>515.30; Filing a Request for a Hearing on Medicated Feed Mill License</w:t>
            </w:r>
          </w:p>
        </w:tc>
        <w:tc>
          <w:tcPr>
            <w:tcW w:w="648" w:type="pct"/>
            <w:shd w:val="clear" w:color="auto" w:fill="auto"/>
          </w:tcPr>
          <w:p w:rsidR="002A1B13" w:rsidRPr="00970F40" w:rsidP="00C40A0D" w14:paraId="50AA5F27" w14:textId="3D675B80">
            <w:pPr>
              <w:jc w:val="right"/>
              <w:rPr>
                <w:sz w:val="20"/>
                <w:szCs w:val="20"/>
              </w:rPr>
            </w:pPr>
            <w:r w:rsidRPr="00970F40">
              <w:rPr>
                <w:sz w:val="20"/>
                <w:szCs w:val="20"/>
              </w:rPr>
              <w:t>1</w:t>
            </w:r>
          </w:p>
        </w:tc>
        <w:tc>
          <w:tcPr>
            <w:tcW w:w="741" w:type="pct"/>
            <w:shd w:val="clear" w:color="auto" w:fill="auto"/>
          </w:tcPr>
          <w:p w:rsidR="002A1B13" w:rsidRPr="00970F40" w:rsidP="00C40A0D" w14:paraId="33114857" w14:textId="4F52CE08">
            <w:pPr>
              <w:jc w:val="right"/>
              <w:rPr>
                <w:sz w:val="20"/>
                <w:szCs w:val="20"/>
              </w:rPr>
            </w:pPr>
            <w:r w:rsidRPr="00970F40">
              <w:rPr>
                <w:sz w:val="20"/>
                <w:szCs w:val="20"/>
              </w:rPr>
              <w:t>1</w:t>
            </w:r>
          </w:p>
        </w:tc>
        <w:tc>
          <w:tcPr>
            <w:tcW w:w="695" w:type="pct"/>
            <w:shd w:val="clear" w:color="auto" w:fill="auto"/>
          </w:tcPr>
          <w:p w:rsidR="002A1B13" w:rsidRPr="00970F40" w:rsidP="00C40A0D" w14:paraId="3910FE08" w14:textId="7A10FAC1">
            <w:pPr>
              <w:jc w:val="right"/>
              <w:rPr>
                <w:sz w:val="20"/>
                <w:szCs w:val="20"/>
              </w:rPr>
            </w:pPr>
            <w:r w:rsidRPr="00970F40">
              <w:rPr>
                <w:sz w:val="20"/>
                <w:szCs w:val="20"/>
              </w:rPr>
              <w:t>1</w:t>
            </w:r>
          </w:p>
        </w:tc>
        <w:tc>
          <w:tcPr>
            <w:tcW w:w="694" w:type="pct"/>
            <w:shd w:val="clear" w:color="auto" w:fill="auto"/>
          </w:tcPr>
          <w:p w:rsidR="002A1B13" w:rsidRPr="00970F40" w:rsidP="00C40A0D" w14:paraId="5BEE5D3C" w14:textId="0D760AEE">
            <w:pPr>
              <w:jc w:val="right"/>
              <w:rPr>
                <w:sz w:val="20"/>
                <w:szCs w:val="20"/>
              </w:rPr>
            </w:pPr>
            <w:r w:rsidRPr="00970F40">
              <w:rPr>
                <w:sz w:val="20"/>
                <w:szCs w:val="20"/>
              </w:rPr>
              <w:t>4</w:t>
            </w:r>
          </w:p>
        </w:tc>
        <w:tc>
          <w:tcPr>
            <w:tcW w:w="639" w:type="pct"/>
            <w:shd w:val="clear" w:color="auto" w:fill="auto"/>
          </w:tcPr>
          <w:p w:rsidR="002A1B13" w:rsidRPr="00970F40" w:rsidP="00C40A0D" w14:paraId="627BA8F3" w14:textId="24C0906F">
            <w:pPr>
              <w:jc w:val="right"/>
              <w:rPr>
                <w:sz w:val="20"/>
                <w:szCs w:val="20"/>
              </w:rPr>
            </w:pPr>
            <w:r w:rsidRPr="00970F40">
              <w:rPr>
                <w:sz w:val="20"/>
                <w:szCs w:val="20"/>
              </w:rPr>
              <w:t>4</w:t>
            </w:r>
          </w:p>
        </w:tc>
      </w:tr>
      <w:tr w14:paraId="50A03EF2" w14:textId="77777777" w:rsidTr="002A1B13">
        <w:tblPrEx>
          <w:tblW w:w="5000" w:type="pct"/>
          <w:tblLook w:val="01E0"/>
        </w:tblPrEx>
        <w:trPr>
          <w:cantSplit/>
          <w:trHeight w:val="20"/>
        </w:trPr>
        <w:tc>
          <w:tcPr>
            <w:tcW w:w="1583" w:type="pct"/>
            <w:shd w:val="clear" w:color="auto" w:fill="auto"/>
          </w:tcPr>
          <w:p w:rsidR="002A1B13" w:rsidRPr="00970F40" w:rsidP="00C40A0D" w14:paraId="5965ECBF" w14:textId="7EE3D6FF">
            <w:pPr>
              <w:rPr>
                <w:sz w:val="20"/>
              </w:rPr>
            </w:pPr>
            <w:r w:rsidRPr="00970F40">
              <w:rPr>
                <w:sz w:val="20"/>
              </w:rPr>
              <w:t>Total</w:t>
            </w:r>
          </w:p>
        </w:tc>
        <w:tc>
          <w:tcPr>
            <w:tcW w:w="648" w:type="pct"/>
            <w:shd w:val="clear" w:color="auto" w:fill="auto"/>
          </w:tcPr>
          <w:p w:rsidR="002A1B13" w:rsidRPr="00970F40" w:rsidP="00C40A0D" w14:paraId="3638403E" w14:textId="77777777">
            <w:pPr>
              <w:jc w:val="right"/>
              <w:rPr>
                <w:sz w:val="20"/>
                <w:szCs w:val="20"/>
              </w:rPr>
            </w:pPr>
          </w:p>
        </w:tc>
        <w:tc>
          <w:tcPr>
            <w:tcW w:w="741" w:type="pct"/>
            <w:shd w:val="clear" w:color="auto" w:fill="auto"/>
          </w:tcPr>
          <w:p w:rsidR="002A1B13" w:rsidRPr="00970F40" w:rsidP="00C40A0D" w14:paraId="270550BC" w14:textId="77777777">
            <w:pPr>
              <w:jc w:val="right"/>
              <w:rPr>
                <w:sz w:val="20"/>
                <w:szCs w:val="20"/>
              </w:rPr>
            </w:pPr>
          </w:p>
        </w:tc>
        <w:tc>
          <w:tcPr>
            <w:tcW w:w="695" w:type="pct"/>
            <w:shd w:val="clear" w:color="auto" w:fill="auto"/>
          </w:tcPr>
          <w:p w:rsidR="002A1B13" w:rsidRPr="00970F40" w:rsidP="00C40A0D" w14:paraId="11F6F758" w14:textId="0AA008C1">
            <w:pPr>
              <w:jc w:val="right"/>
              <w:rPr>
                <w:sz w:val="20"/>
                <w:szCs w:val="20"/>
              </w:rPr>
            </w:pPr>
            <w:r w:rsidRPr="00970F40">
              <w:rPr>
                <w:sz w:val="20"/>
                <w:szCs w:val="20"/>
              </w:rPr>
              <w:t>49</w:t>
            </w:r>
          </w:p>
        </w:tc>
        <w:tc>
          <w:tcPr>
            <w:tcW w:w="694" w:type="pct"/>
            <w:shd w:val="clear" w:color="auto" w:fill="auto"/>
          </w:tcPr>
          <w:p w:rsidR="002A1B13" w:rsidRPr="00970F40" w:rsidP="00C40A0D" w14:paraId="4A7BA38A" w14:textId="77777777">
            <w:pPr>
              <w:jc w:val="right"/>
              <w:rPr>
                <w:sz w:val="20"/>
                <w:szCs w:val="20"/>
              </w:rPr>
            </w:pPr>
          </w:p>
        </w:tc>
        <w:tc>
          <w:tcPr>
            <w:tcW w:w="639" w:type="pct"/>
            <w:shd w:val="clear" w:color="auto" w:fill="auto"/>
          </w:tcPr>
          <w:p w:rsidR="002A1B13" w:rsidRPr="00970F40" w:rsidP="00C40A0D" w14:paraId="043DC44C" w14:textId="04B042C2">
            <w:pPr>
              <w:jc w:val="right"/>
              <w:rPr>
                <w:sz w:val="20"/>
                <w:szCs w:val="20"/>
              </w:rPr>
            </w:pPr>
            <w:r w:rsidRPr="00970F40">
              <w:rPr>
                <w:sz w:val="20"/>
                <w:szCs w:val="20"/>
              </w:rPr>
              <w:t>16</w:t>
            </w:r>
          </w:p>
        </w:tc>
      </w:tr>
      <w:bookmarkEnd w:id="1"/>
    </w:tbl>
    <w:p w:rsidR="00C40A0D" w:rsidRPr="00970F40" w:rsidP="00970F40" w14:paraId="6E3A7EF8" w14:textId="77777777">
      <w:pPr>
        <w:spacing w:after="200"/>
        <w:ind w:left="360"/>
        <w:rPr>
          <w:rFonts w:eastAsia="Calibri"/>
          <w:i/>
        </w:rPr>
      </w:pPr>
    </w:p>
    <w:p w:rsidR="009968C0" w:rsidRPr="00970F40" w:rsidP="00970F40" w14:paraId="7BD0E619" w14:textId="77777777">
      <w:pPr>
        <w:ind w:firstLine="720"/>
      </w:pPr>
      <w:r w:rsidRPr="00970F40">
        <w:t xml:space="preserve">We estimate that respondents will spend 15 minutes to assemble the necessary information, prepare, and </w:t>
      </w:r>
      <w:r w:rsidRPr="00970F40">
        <w:t>submit an application</w:t>
      </w:r>
      <w:r w:rsidRPr="00970F40">
        <w:t xml:space="preserve"> for a feed mill license or revocation of a feed mill license.  We estimate that respondents will spend 4 hours to prepare their request for a hearing.</w:t>
      </w:r>
    </w:p>
    <w:p w:rsidR="00970F40" w14:paraId="4811D3FC" w14:textId="4E1CF618">
      <w:pPr>
        <w:rPr>
          <w:rFonts w:eastAsia="Calibri"/>
          <w:iCs/>
        </w:rPr>
      </w:pPr>
      <w:r>
        <w:rPr>
          <w:rFonts w:eastAsia="Calibri"/>
          <w:iCs/>
        </w:rPr>
        <w:br w:type="page"/>
      </w:r>
    </w:p>
    <w:p w:rsidR="009968C0" w:rsidRPr="00970F40" w:rsidP="0022425B" w14:paraId="4819E28A" w14:textId="77777777">
      <w:pPr>
        <w:spacing w:after="200"/>
        <w:ind w:left="360"/>
        <w:rPr>
          <w:rFonts w:eastAsia="Calibri"/>
          <w:iCs/>
        </w:rPr>
      </w:pPr>
    </w:p>
    <w:p w:rsidR="002A1B13" w:rsidRPr="00970F40" w:rsidP="00733180" w14:paraId="13DD0EC8" w14:textId="3687C18C">
      <w:pPr>
        <w:spacing w:after="200"/>
        <w:ind w:left="360"/>
        <w:jc w:val="center"/>
        <w:rPr>
          <w:rFonts w:eastAsia="Calibri"/>
          <w:i/>
        </w:rPr>
      </w:pPr>
      <w:r w:rsidRPr="00970F40">
        <w:rPr>
          <w:sz w:val="20"/>
          <w:szCs w:val="20"/>
        </w:rPr>
        <w:t xml:space="preserve">Table </w:t>
      </w:r>
      <w:r w:rsidRPr="00970F40">
        <w:rPr>
          <w:sz w:val="20"/>
          <w:szCs w:val="20"/>
        </w:rPr>
        <w:t>2.--</w:t>
      </w:r>
      <w:r w:rsidRPr="00970F40">
        <w:rPr>
          <w:sz w:val="20"/>
          <w:szCs w:val="20"/>
        </w:rPr>
        <w:t>Estimated Annual Recordkeeping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6"/>
        <w:gridCol w:w="1532"/>
        <w:gridCol w:w="1352"/>
        <w:gridCol w:w="1116"/>
        <w:gridCol w:w="1585"/>
        <w:gridCol w:w="853"/>
      </w:tblGrid>
      <w:tr w14:paraId="376EF1C0" w14:textId="77777777" w:rsidTr="00946CC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17"/>
          <w:tblHeader/>
        </w:trPr>
        <w:tc>
          <w:tcPr>
            <w:tcW w:w="1609" w:type="pct"/>
            <w:shd w:val="clear" w:color="auto" w:fill="auto"/>
          </w:tcPr>
          <w:p w:rsidR="002A1B13" w:rsidRPr="00970F40" w:rsidP="002A1B13" w14:paraId="7520E9D9" w14:textId="3A627BB0">
            <w:pPr>
              <w:keepNext/>
              <w:jc w:val="center"/>
              <w:rPr>
                <w:sz w:val="20"/>
                <w:szCs w:val="20"/>
              </w:rPr>
            </w:pPr>
            <w:r w:rsidRPr="00970F40">
              <w:rPr>
                <w:sz w:val="20"/>
                <w:szCs w:val="20"/>
              </w:rPr>
              <w:t>21 CFR Part; Activity</w:t>
            </w:r>
          </w:p>
        </w:tc>
        <w:tc>
          <w:tcPr>
            <w:tcW w:w="807" w:type="pct"/>
            <w:shd w:val="clear" w:color="auto" w:fill="auto"/>
          </w:tcPr>
          <w:p w:rsidR="002A1B13" w:rsidRPr="00970F40" w:rsidP="00D0402C" w14:paraId="0AB81522" w14:textId="3CB0730E">
            <w:pPr>
              <w:keepNext/>
              <w:jc w:val="center"/>
              <w:rPr>
                <w:sz w:val="20"/>
                <w:szCs w:val="20"/>
              </w:rPr>
            </w:pPr>
            <w:r w:rsidRPr="00970F40">
              <w:rPr>
                <w:sz w:val="20"/>
                <w:szCs w:val="20"/>
              </w:rPr>
              <w:t>No. of Recordkeepers</w:t>
            </w:r>
          </w:p>
        </w:tc>
        <w:tc>
          <w:tcPr>
            <w:tcW w:w="712" w:type="pct"/>
            <w:shd w:val="clear" w:color="auto" w:fill="auto"/>
          </w:tcPr>
          <w:p w:rsidR="002A1B13" w:rsidRPr="00970F40" w:rsidP="00D0402C" w14:paraId="530F7106" w14:textId="77777777">
            <w:pPr>
              <w:keepNext/>
              <w:jc w:val="center"/>
              <w:rPr>
                <w:sz w:val="20"/>
                <w:szCs w:val="20"/>
              </w:rPr>
            </w:pPr>
            <w:r w:rsidRPr="00970F40">
              <w:rPr>
                <w:bCs/>
                <w:sz w:val="20"/>
                <w:szCs w:val="20"/>
              </w:rPr>
              <w:t>No. of Records per Recordkeeper</w:t>
            </w:r>
          </w:p>
        </w:tc>
        <w:tc>
          <w:tcPr>
            <w:tcW w:w="588" w:type="pct"/>
            <w:shd w:val="clear" w:color="auto" w:fill="auto"/>
          </w:tcPr>
          <w:p w:rsidR="002A1B13" w:rsidRPr="00970F40" w:rsidP="00D0402C" w14:paraId="126FCB73" w14:textId="77777777">
            <w:pPr>
              <w:keepNext/>
              <w:jc w:val="center"/>
              <w:rPr>
                <w:sz w:val="20"/>
                <w:szCs w:val="20"/>
              </w:rPr>
            </w:pPr>
            <w:r w:rsidRPr="00970F40">
              <w:rPr>
                <w:sz w:val="20"/>
                <w:szCs w:val="20"/>
              </w:rPr>
              <w:t>Total Annual Records</w:t>
            </w:r>
          </w:p>
        </w:tc>
        <w:tc>
          <w:tcPr>
            <w:tcW w:w="835" w:type="pct"/>
            <w:shd w:val="clear" w:color="auto" w:fill="auto"/>
          </w:tcPr>
          <w:p w:rsidR="002A1B13" w:rsidRPr="00970F40" w:rsidP="00D0402C" w14:paraId="65DCAD34" w14:textId="77777777">
            <w:pPr>
              <w:keepNext/>
              <w:jc w:val="center"/>
              <w:rPr>
                <w:sz w:val="20"/>
                <w:szCs w:val="20"/>
              </w:rPr>
            </w:pPr>
            <w:r w:rsidRPr="00970F40">
              <w:rPr>
                <w:bCs/>
                <w:sz w:val="20"/>
                <w:szCs w:val="20"/>
              </w:rPr>
              <w:t xml:space="preserve">Average Burden per Recordkeeping </w:t>
            </w:r>
          </w:p>
        </w:tc>
        <w:tc>
          <w:tcPr>
            <w:tcW w:w="450" w:type="pct"/>
            <w:shd w:val="clear" w:color="auto" w:fill="auto"/>
          </w:tcPr>
          <w:p w:rsidR="002A1B13" w:rsidRPr="00970F40" w:rsidP="00D0402C" w14:paraId="5DED8718" w14:textId="77777777">
            <w:pPr>
              <w:keepNext/>
              <w:jc w:val="center"/>
              <w:rPr>
                <w:sz w:val="20"/>
                <w:szCs w:val="20"/>
              </w:rPr>
            </w:pPr>
            <w:r w:rsidRPr="00970F40">
              <w:rPr>
                <w:sz w:val="20"/>
                <w:szCs w:val="20"/>
              </w:rPr>
              <w:t>Total Hours</w:t>
            </w:r>
          </w:p>
        </w:tc>
      </w:tr>
      <w:tr w14:paraId="20BA4AEC" w14:textId="77777777" w:rsidTr="00946CC2">
        <w:tblPrEx>
          <w:tblW w:w="5000" w:type="pct"/>
          <w:tblLayout w:type="fixed"/>
          <w:tblLook w:val="01E0"/>
        </w:tblPrEx>
        <w:trPr>
          <w:trHeight w:val="800"/>
        </w:trPr>
        <w:tc>
          <w:tcPr>
            <w:tcW w:w="1609" w:type="pct"/>
            <w:shd w:val="clear" w:color="auto" w:fill="auto"/>
          </w:tcPr>
          <w:p w:rsidR="002A1B13" w:rsidRPr="00970F40" w:rsidP="00D0402C" w14:paraId="363D1A3C" w14:textId="6F2FE088">
            <w:pPr>
              <w:keepNext/>
              <w:rPr>
                <w:sz w:val="20"/>
                <w:szCs w:val="20"/>
              </w:rPr>
            </w:pPr>
            <w:r w:rsidRPr="00970F40">
              <w:rPr>
                <w:sz w:val="20"/>
              </w:rPr>
              <w:t>510.305; Maintenance of Records for Approved Labeling for Each “Type B” and “Type C” Feed</w:t>
            </w:r>
          </w:p>
        </w:tc>
        <w:tc>
          <w:tcPr>
            <w:tcW w:w="807" w:type="pct"/>
            <w:shd w:val="clear" w:color="auto" w:fill="auto"/>
          </w:tcPr>
          <w:p w:rsidR="002A1B13" w:rsidRPr="00970F40" w:rsidP="00D0402C" w14:paraId="61242E36" w14:textId="3532C92F">
            <w:pPr>
              <w:keepNext/>
              <w:jc w:val="right"/>
              <w:rPr>
                <w:sz w:val="20"/>
                <w:szCs w:val="20"/>
              </w:rPr>
            </w:pPr>
            <w:r w:rsidRPr="00970F40">
              <w:rPr>
                <w:sz w:val="20"/>
                <w:szCs w:val="20"/>
              </w:rPr>
              <w:t>779</w:t>
            </w:r>
          </w:p>
        </w:tc>
        <w:tc>
          <w:tcPr>
            <w:tcW w:w="712" w:type="pct"/>
            <w:shd w:val="clear" w:color="auto" w:fill="auto"/>
          </w:tcPr>
          <w:p w:rsidR="002A1B13" w:rsidRPr="00970F40" w:rsidP="00D0402C" w14:paraId="440DB338" w14:textId="785CDF92">
            <w:pPr>
              <w:keepNext/>
              <w:jc w:val="right"/>
              <w:rPr>
                <w:sz w:val="20"/>
                <w:szCs w:val="20"/>
              </w:rPr>
            </w:pPr>
            <w:r w:rsidRPr="00970F40">
              <w:rPr>
                <w:sz w:val="20"/>
                <w:szCs w:val="20"/>
              </w:rPr>
              <w:t>1</w:t>
            </w:r>
          </w:p>
        </w:tc>
        <w:tc>
          <w:tcPr>
            <w:tcW w:w="588" w:type="pct"/>
            <w:shd w:val="clear" w:color="auto" w:fill="auto"/>
          </w:tcPr>
          <w:p w:rsidR="002A1B13" w:rsidRPr="00970F40" w:rsidP="00D0402C" w14:paraId="5CA150DF" w14:textId="1DF9D987">
            <w:pPr>
              <w:keepNext/>
              <w:jc w:val="right"/>
              <w:rPr>
                <w:sz w:val="20"/>
                <w:szCs w:val="20"/>
              </w:rPr>
            </w:pPr>
            <w:r w:rsidRPr="00970F40">
              <w:rPr>
                <w:sz w:val="20"/>
                <w:szCs w:val="20"/>
              </w:rPr>
              <w:t>779</w:t>
            </w:r>
          </w:p>
        </w:tc>
        <w:tc>
          <w:tcPr>
            <w:tcW w:w="835" w:type="pct"/>
            <w:shd w:val="clear" w:color="auto" w:fill="auto"/>
          </w:tcPr>
          <w:p w:rsidR="002A1B13" w:rsidRPr="00970F40" w:rsidP="00D0402C" w14:paraId="33A85993" w14:textId="151AE2B1">
            <w:pPr>
              <w:keepNext/>
              <w:jc w:val="right"/>
              <w:rPr>
                <w:sz w:val="20"/>
                <w:szCs w:val="20"/>
              </w:rPr>
            </w:pPr>
            <w:r w:rsidRPr="00970F40">
              <w:rPr>
                <w:sz w:val="20"/>
                <w:szCs w:val="20"/>
              </w:rPr>
              <w:t>0.03 (2 minutes)</w:t>
            </w:r>
          </w:p>
        </w:tc>
        <w:tc>
          <w:tcPr>
            <w:tcW w:w="450" w:type="pct"/>
            <w:shd w:val="clear" w:color="auto" w:fill="auto"/>
          </w:tcPr>
          <w:p w:rsidR="002A1B13" w:rsidRPr="00970F40" w:rsidP="00D0402C" w14:paraId="5C8118B8" w14:textId="43776130">
            <w:pPr>
              <w:keepNext/>
              <w:jc w:val="right"/>
              <w:rPr>
                <w:sz w:val="20"/>
                <w:szCs w:val="20"/>
              </w:rPr>
            </w:pPr>
            <w:r w:rsidRPr="00970F40">
              <w:rPr>
                <w:sz w:val="20"/>
                <w:szCs w:val="20"/>
              </w:rPr>
              <w:t>23</w:t>
            </w:r>
          </w:p>
        </w:tc>
      </w:tr>
    </w:tbl>
    <w:p w:rsidR="00D0402C" w:rsidRPr="00970F40" w:rsidP="0022425B" w14:paraId="7B2A1F15" w14:textId="77777777">
      <w:pPr>
        <w:spacing w:after="200"/>
        <w:ind w:left="360"/>
        <w:rPr>
          <w:rFonts w:eastAsia="Calibri"/>
          <w:iCs/>
        </w:rPr>
      </w:pPr>
    </w:p>
    <w:p w:rsidR="00357C8A" w:rsidRPr="00970F40" w:rsidP="00DC371B" w14:paraId="3FE5AE83" w14:textId="77777777">
      <w:pPr>
        <w:spacing w:after="200"/>
        <w:ind w:left="360"/>
        <w:rPr>
          <w:rFonts w:eastAsia="Calibri"/>
        </w:rPr>
      </w:pPr>
      <w:r w:rsidRPr="00970F40">
        <w:rPr>
          <w:rFonts w:eastAsia="Calibri"/>
        </w:rPr>
        <w:t>12b.  Annualized Cost Burden Estimate</w:t>
      </w:r>
    </w:p>
    <w:p w:rsidR="000E2C47" w:rsidRPr="00970F40" w:rsidP="000E2C47" w14:paraId="69649FF8" w14:textId="7D1AC580">
      <w:pPr>
        <w:rPr>
          <w:rFonts w:eastAsia="Calibri"/>
        </w:rPr>
      </w:pPr>
      <w:bookmarkStart w:id="2" w:name="_Hlk100223018"/>
      <w:r w:rsidRPr="00970F40">
        <w:rPr>
          <w:rFonts w:eastAsia="Calibri"/>
        </w:rPr>
        <w:t>We estimate that the average hourly wage for respondents is equivalent to a GS-</w:t>
      </w:r>
      <w:r w:rsidRPr="00970F40" w:rsidR="00C54035">
        <w:rPr>
          <w:rFonts w:eastAsia="Calibri"/>
        </w:rPr>
        <w:t>11</w:t>
      </w:r>
      <w:r w:rsidRPr="00970F40">
        <w:rPr>
          <w:rFonts w:eastAsia="Calibri"/>
        </w:rPr>
        <w:t xml:space="preserve"> Step </w:t>
      </w:r>
      <w:r w:rsidRPr="00970F40" w:rsidR="00C54035">
        <w:rPr>
          <w:rFonts w:eastAsia="Calibri"/>
        </w:rPr>
        <w:t>2</w:t>
      </w:r>
      <w:r w:rsidRPr="00970F40">
        <w:rPr>
          <w:rFonts w:eastAsia="Calibri"/>
        </w:rPr>
        <w:t xml:space="preserve"> level in the locality pay area of Washington-Baltimore-Arlington, DC-MD-VA-WV-PA in </w:t>
      </w:r>
      <w:r w:rsidRPr="00970F40" w:rsidR="00AB36E3">
        <w:rPr>
          <w:rFonts w:eastAsia="Calibri"/>
        </w:rPr>
        <w:t>2024</w:t>
      </w:r>
      <w:r w:rsidRPr="00970F40">
        <w:rPr>
          <w:rFonts w:eastAsia="Calibri"/>
        </w:rPr>
        <w:t>, approximately $</w:t>
      </w:r>
      <w:r w:rsidRPr="00970F40" w:rsidR="00C54035">
        <w:rPr>
          <w:rFonts w:eastAsia="Calibri"/>
        </w:rPr>
        <w:t>40.98</w:t>
      </w:r>
      <w:r w:rsidRPr="00970F40">
        <w:rPr>
          <w:rFonts w:eastAsia="Calibri"/>
        </w:rPr>
        <w:t>/hour.  Increasing this wage by 30% to account for overhead costs ($</w:t>
      </w:r>
      <w:r w:rsidRPr="00970F40" w:rsidR="00C54035">
        <w:rPr>
          <w:rFonts w:eastAsia="Calibri"/>
        </w:rPr>
        <w:t>12</w:t>
      </w:r>
      <w:r w:rsidRPr="00970F40">
        <w:rPr>
          <w:rFonts w:eastAsia="Calibri"/>
        </w:rPr>
        <w:t>.</w:t>
      </w:r>
      <w:r w:rsidRPr="00970F40" w:rsidR="00C54035">
        <w:rPr>
          <w:rFonts w:eastAsia="Calibri"/>
        </w:rPr>
        <w:t>29</w:t>
      </w:r>
      <w:r w:rsidRPr="00970F40">
        <w:rPr>
          <w:rFonts w:eastAsia="Calibri"/>
        </w:rPr>
        <w:t>), we estimate the average hourly cost to respondents to be $</w:t>
      </w:r>
      <w:r w:rsidRPr="00970F40" w:rsidR="00C54035">
        <w:rPr>
          <w:rFonts w:eastAsia="Calibri"/>
        </w:rPr>
        <w:t>53</w:t>
      </w:r>
      <w:r w:rsidRPr="00970F40">
        <w:rPr>
          <w:rFonts w:eastAsia="Calibri"/>
        </w:rPr>
        <w:t>.</w:t>
      </w:r>
      <w:r w:rsidRPr="00970F40" w:rsidR="00C54035">
        <w:rPr>
          <w:rFonts w:eastAsia="Calibri"/>
        </w:rPr>
        <w:t>27</w:t>
      </w:r>
      <w:r w:rsidRPr="00970F40">
        <w:rPr>
          <w:rFonts w:eastAsia="Calibri"/>
        </w:rPr>
        <w:t>/hour.  Thus, we estimate the overall cost burden incurred by the respondents to be $</w:t>
      </w:r>
      <w:r w:rsidRPr="00970F40" w:rsidR="00C54035">
        <w:rPr>
          <w:rFonts w:eastAsia="Calibri"/>
        </w:rPr>
        <w:t>2,077.53</w:t>
      </w:r>
      <w:r w:rsidRPr="00970F40">
        <w:rPr>
          <w:rFonts w:eastAsia="Calibri"/>
        </w:rPr>
        <w:t xml:space="preserve"> (</w:t>
      </w:r>
      <w:r w:rsidRPr="00970F40" w:rsidR="00AB36E3">
        <w:rPr>
          <w:rFonts w:eastAsia="Calibri"/>
        </w:rPr>
        <w:t>39</w:t>
      </w:r>
      <w:r w:rsidRPr="00970F40">
        <w:rPr>
          <w:rFonts w:eastAsia="Calibri"/>
        </w:rPr>
        <w:t xml:space="preserve"> burden hours x $</w:t>
      </w:r>
      <w:r w:rsidRPr="00970F40" w:rsidR="00C54035">
        <w:rPr>
          <w:rFonts w:eastAsia="Calibri"/>
        </w:rPr>
        <w:t>53</w:t>
      </w:r>
      <w:r w:rsidRPr="00970F40">
        <w:rPr>
          <w:rFonts w:eastAsia="Calibri"/>
        </w:rPr>
        <w:t>.</w:t>
      </w:r>
      <w:r w:rsidRPr="00970F40" w:rsidR="00C54035">
        <w:rPr>
          <w:rFonts w:eastAsia="Calibri"/>
        </w:rPr>
        <w:t>27</w:t>
      </w:r>
      <w:r w:rsidRPr="00970F40">
        <w:rPr>
          <w:rFonts w:eastAsia="Calibri"/>
        </w:rPr>
        <w:t>/hour = $</w:t>
      </w:r>
      <w:r w:rsidRPr="00970F40" w:rsidR="00C54035">
        <w:rPr>
          <w:rFonts w:eastAsia="Calibri"/>
        </w:rPr>
        <w:t>2,077.53</w:t>
      </w:r>
      <w:r w:rsidRPr="00970F40">
        <w:rPr>
          <w:rFonts w:eastAsia="Calibri"/>
        </w:rPr>
        <w:t>).</w:t>
      </w:r>
      <w:bookmarkEnd w:id="2"/>
    </w:p>
    <w:p w:rsidR="00357C8A" w:rsidRPr="00970F40" w:rsidP="00357C8A" w14:paraId="5459D8C4" w14:textId="77777777">
      <w:pPr>
        <w:rPr>
          <w:rFonts w:eastAsia="Calibri"/>
        </w:rPr>
      </w:pPr>
    </w:p>
    <w:p w:rsidR="00357C8A" w:rsidRPr="00970F40" w:rsidP="006705EA" w14:paraId="15DDB1B8" w14:textId="77777777">
      <w:pPr>
        <w:numPr>
          <w:ilvl w:val="0"/>
          <w:numId w:val="6"/>
        </w:numPr>
        <w:spacing w:after="200" w:line="276" w:lineRule="auto"/>
        <w:rPr>
          <w:rFonts w:eastAsia="Calibri"/>
        </w:rPr>
      </w:pPr>
      <w:r w:rsidRPr="00970F40">
        <w:rPr>
          <w:rFonts w:eastAsia="Calibri"/>
          <w:u w:val="single"/>
        </w:rPr>
        <w:t xml:space="preserve">Estimates of Other Total Annual Costs </w:t>
      </w:r>
      <w:r w:rsidRPr="00970F40" w:rsidR="00590E90">
        <w:rPr>
          <w:rFonts w:eastAsia="Calibri"/>
          <w:u w:val="single"/>
        </w:rPr>
        <w:t xml:space="preserve">to Respondents/Recordkeepers or </w:t>
      </w:r>
      <w:r w:rsidRPr="00970F40">
        <w:rPr>
          <w:rFonts w:eastAsia="Calibri"/>
          <w:u w:val="single"/>
        </w:rPr>
        <w:t xml:space="preserve">Capital Costs </w:t>
      </w:r>
    </w:p>
    <w:p w:rsidR="0022425B" w:rsidRPr="00970F40" w:rsidP="0022425B" w14:paraId="74F7A380" w14:textId="77777777">
      <w:pPr>
        <w:spacing w:after="200" w:line="276" w:lineRule="auto"/>
        <w:rPr>
          <w:rFonts w:eastAsia="Calibri"/>
          <w:u w:val="single"/>
        </w:rPr>
      </w:pPr>
      <w:r w:rsidRPr="00970F40">
        <w:rPr>
          <w:rFonts w:eastAsia="Calibri"/>
        </w:rPr>
        <w:t xml:space="preserve">There </w:t>
      </w:r>
      <w:r w:rsidRPr="00970F40">
        <w:rPr>
          <w:rFonts w:eastAsia="Calibri"/>
        </w:rPr>
        <w:t>are</w:t>
      </w:r>
      <w:r w:rsidRPr="00970F40">
        <w:rPr>
          <w:rFonts w:eastAsia="Calibri"/>
        </w:rPr>
        <w:t xml:space="preserve"> no capital, start-up, operating, or maintenance costs associated with this information collection.</w:t>
      </w:r>
    </w:p>
    <w:p w:rsidR="00357C8A" w:rsidRPr="00970F40" w:rsidP="006705EA" w14:paraId="5B486686" w14:textId="77777777">
      <w:pPr>
        <w:numPr>
          <w:ilvl w:val="0"/>
          <w:numId w:val="6"/>
        </w:numPr>
        <w:spacing w:after="200" w:line="276" w:lineRule="auto"/>
        <w:rPr>
          <w:rFonts w:eastAsia="Calibri"/>
          <w:u w:val="single"/>
        </w:rPr>
      </w:pPr>
      <w:r w:rsidRPr="00970F40">
        <w:rPr>
          <w:rFonts w:eastAsia="Calibri"/>
          <w:u w:val="single"/>
        </w:rPr>
        <w:t>Annualized Cost to the Federal Government</w:t>
      </w:r>
    </w:p>
    <w:p w:rsidR="00357C8A" w:rsidRPr="00970F40" w:rsidP="00357C8A" w14:paraId="171A97BE" w14:textId="2E71C64E">
      <w:pPr>
        <w:spacing w:after="200"/>
        <w:rPr>
          <w:rFonts w:eastAsia="Calibri"/>
        </w:rPr>
      </w:pPr>
      <w:r w:rsidRPr="00970F40">
        <w:t xml:space="preserve">We estimate the annualized cost to the Federal government for the review and evaluation of approximately </w:t>
      </w:r>
      <w:r w:rsidRPr="00970F40" w:rsidR="00AB36E3">
        <w:t>49</w:t>
      </w:r>
      <w:r w:rsidRPr="00970F40">
        <w:t xml:space="preserve"> original applications, supplemental applications and voluntary revocations, as well as one hearing request, to be $1,</w:t>
      </w:r>
      <w:r w:rsidRPr="00970F40" w:rsidR="007910C1">
        <w:t>711.</w:t>
      </w:r>
      <w:r w:rsidRPr="00970F40">
        <w:t xml:space="preserve">08.  We estimate that we expend approximately 40 minutes to process each of the </w:t>
      </w:r>
      <w:r w:rsidRPr="00970F40" w:rsidR="00AB36E3">
        <w:t>48</w:t>
      </w:r>
      <w:r w:rsidRPr="00970F40">
        <w:t xml:space="preserve"> submissions, for a total of </w:t>
      </w:r>
      <w:r w:rsidRPr="00970F40" w:rsidR="00AB36E3">
        <w:t>32</w:t>
      </w:r>
      <w:r w:rsidRPr="00970F40">
        <w:t>.</w:t>
      </w:r>
      <w:r w:rsidRPr="00970F40" w:rsidR="00AB36E3">
        <w:t>16</w:t>
      </w:r>
      <w:r w:rsidRPr="00970F40">
        <w:t xml:space="preserve"> hours, rounded to </w:t>
      </w:r>
      <w:r w:rsidRPr="00970F40" w:rsidR="00AB36E3">
        <w:t>32</w:t>
      </w:r>
      <w:r w:rsidRPr="00970F40">
        <w:t xml:space="preserve"> hours. In addition, we estimate that we expend approximately 4 hours to review and evaluate one hearing request, for a total of </w:t>
      </w:r>
      <w:r w:rsidRPr="00970F40" w:rsidR="00AB36E3">
        <w:t>36</w:t>
      </w:r>
      <w:r w:rsidRPr="00970F40">
        <w:t xml:space="preserve"> hours. We estimate the average hourly wage for personnel to review and evaluate these submissions to be at the GS-12-1 level in the locality pay area of Washington-Baltimore-Arlington, DC-MD-VA-WV-PA in 202</w:t>
      </w:r>
      <w:r w:rsidRPr="00970F40" w:rsidR="00AB36E3">
        <w:t>4</w:t>
      </w:r>
      <w:r w:rsidRPr="00970F40">
        <w:t>, approximately $4</w:t>
      </w:r>
      <w:r w:rsidRPr="00970F40" w:rsidR="00AB36E3">
        <w:t>7</w:t>
      </w:r>
      <w:r w:rsidRPr="00970F40">
        <w:t>.</w:t>
      </w:r>
      <w:r w:rsidRPr="00970F40" w:rsidR="00AB36E3">
        <w:t>53</w:t>
      </w:r>
      <w:r w:rsidRPr="00970F40">
        <w:t>/hour.  Thus, the estimated annualized cost to the Federal government is $1,</w:t>
      </w:r>
      <w:r w:rsidRPr="00970F40" w:rsidR="00AB36E3">
        <w:t>711</w:t>
      </w:r>
      <w:r w:rsidRPr="00970F40">
        <w:t>.08</w:t>
      </w:r>
      <w:r w:rsidRPr="00970F40" w:rsidR="00036F92">
        <w:t xml:space="preserve"> </w:t>
      </w:r>
      <w:r w:rsidRPr="00970F40">
        <w:t>(</w:t>
      </w:r>
      <w:r w:rsidRPr="00970F40" w:rsidR="00AB36E3">
        <w:t>36</w:t>
      </w:r>
      <w:r w:rsidRPr="00970F40">
        <w:t xml:space="preserve"> hours x $4</w:t>
      </w:r>
      <w:r w:rsidRPr="00970F40" w:rsidR="00AB36E3">
        <w:t>7</w:t>
      </w:r>
      <w:r w:rsidRPr="00970F40">
        <w:t>.</w:t>
      </w:r>
      <w:r w:rsidRPr="00970F40" w:rsidR="00AB36E3">
        <w:t>53</w:t>
      </w:r>
      <w:r w:rsidRPr="00970F40">
        <w:t>/</w:t>
      </w:r>
      <w:r w:rsidRPr="00970F40">
        <w:t>hr</w:t>
      </w:r>
      <w:r w:rsidRPr="00970F40">
        <w:t xml:space="preserve"> = $1,</w:t>
      </w:r>
      <w:r w:rsidRPr="00970F40" w:rsidR="00AB36E3">
        <w:t>711</w:t>
      </w:r>
      <w:r w:rsidRPr="00970F40">
        <w:t>.08).</w:t>
      </w:r>
      <w:r w:rsidRPr="00970F40" w:rsidR="00A506DE">
        <w:rPr>
          <w:rFonts w:eastAsia="Calibri"/>
        </w:rPr>
        <w:t xml:space="preserve"> </w:t>
      </w:r>
    </w:p>
    <w:p w:rsidR="00357C8A" w:rsidRPr="00970F40" w:rsidP="006705EA" w14:paraId="723C1E20" w14:textId="583AB68D">
      <w:pPr>
        <w:numPr>
          <w:ilvl w:val="0"/>
          <w:numId w:val="6"/>
        </w:numPr>
        <w:spacing w:after="200" w:line="276" w:lineRule="auto"/>
        <w:rPr>
          <w:rFonts w:eastAsia="Calibri"/>
          <w:u w:val="single"/>
        </w:rPr>
      </w:pPr>
      <w:r w:rsidRPr="00970F40">
        <w:rPr>
          <w:rFonts w:eastAsia="Calibri"/>
          <w:u w:val="single"/>
        </w:rPr>
        <w:t>Explanation for Program Changes or Adjustments</w:t>
      </w:r>
    </w:p>
    <w:p w:rsidR="00357C8A" w:rsidRPr="00357C8A" w:rsidP="00357C8A" w14:paraId="3613D440" w14:textId="4E637096">
      <w:pPr>
        <w:spacing w:after="200"/>
        <w:rPr>
          <w:rFonts w:eastAsia="Calibri"/>
          <w:color w:val="FF0000"/>
        </w:rPr>
      </w:pPr>
      <w:r w:rsidRPr="00970F40">
        <w:t xml:space="preserve">We base our estimates on our recent experience with the existing medicated feed mill license application process.  </w:t>
      </w:r>
      <w:r w:rsidRPr="00970F40" w:rsidR="002956F0">
        <w:t>Our estimated burden for the information collection reflects an overall increase of 2.5 hours.  We attribute this adjustment to a slight increase in the overall number of submissions we received over the last few years.</w:t>
      </w:r>
    </w:p>
    <w:p w:rsidR="00357C8A" w:rsidRPr="00357C8A" w:rsidP="006705EA" w14:paraId="31C2726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357C8A" w14:paraId="0BAB49B0" w14:textId="77777777">
      <w:pPr>
        <w:spacing w:after="200"/>
        <w:rPr>
          <w:color w:val="000000"/>
        </w:rPr>
      </w:pPr>
      <w:r w:rsidRPr="0083373D">
        <w:rPr>
          <w:color w:val="000000"/>
        </w:rPr>
        <w:t>We have no plans to tabulate and publish information from this information collection.  However, we maintain a listing of approved medicated feed mill licenses on our website.</w:t>
      </w:r>
    </w:p>
    <w:p w:rsidR="00970F40" w:rsidRPr="00357C8A" w:rsidP="00357C8A" w14:paraId="48C725E9" w14:textId="77777777">
      <w:pPr>
        <w:spacing w:after="200"/>
        <w:rPr>
          <w:rFonts w:eastAsia="Calibri"/>
          <w:color w:val="FF0000"/>
        </w:rPr>
      </w:pPr>
    </w:p>
    <w:p w:rsidR="00357C8A" w:rsidRPr="00357C8A" w:rsidP="006705EA" w14:paraId="453692D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59AD35C0" w14:textId="77777777">
      <w:pPr>
        <w:spacing w:after="200"/>
        <w:rPr>
          <w:rFonts w:eastAsia="Calibri"/>
          <w:color w:val="FF0000"/>
        </w:rPr>
      </w:pPr>
      <w:r>
        <w:rPr>
          <w:rFonts w:eastAsia="Calibri"/>
        </w:rPr>
        <w:t>F</w:t>
      </w:r>
      <w:r w:rsidRPr="00B41789">
        <w:t>DA will display the OMB expiration date as required by 5 CFR 1320.5.</w:t>
      </w:r>
    </w:p>
    <w:p w:rsidR="00357C8A" w:rsidRPr="00357C8A" w:rsidP="006705EA" w14:paraId="64F3DE3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B00ACE" w14:paraId="7A9FD6AA"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0"/>
      <w:footerReference w:type="default" r:id="rId11"/>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93575E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2F8C1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870B6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705BE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9409635">
    <w:abstractNumId w:val="5"/>
  </w:num>
  <w:num w:numId="2" w16cid:durableId="1384400837">
    <w:abstractNumId w:val="1"/>
  </w:num>
  <w:num w:numId="3" w16cid:durableId="526675475">
    <w:abstractNumId w:val="6"/>
  </w:num>
  <w:num w:numId="4" w16cid:durableId="762604926">
    <w:abstractNumId w:val="3"/>
  </w:num>
  <w:num w:numId="5" w16cid:durableId="1325627859">
    <w:abstractNumId w:val="7"/>
  </w:num>
  <w:num w:numId="6" w16cid:durableId="1502161010">
    <w:abstractNumId w:val="0"/>
  </w:num>
  <w:num w:numId="7" w16cid:durableId="1598564485">
    <w:abstractNumId w:val="2"/>
  </w:num>
  <w:num w:numId="8" w16cid:durableId="10178476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06E"/>
    <w:rsid w:val="000161E3"/>
    <w:rsid w:val="00031A2C"/>
    <w:rsid w:val="00036F92"/>
    <w:rsid w:val="00042B93"/>
    <w:rsid w:val="00043C7F"/>
    <w:rsid w:val="000467A8"/>
    <w:rsid w:val="00053F72"/>
    <w:rsid w:val="0006570F"/>
    <w:rsid w:val="00075DE8"/>
    <w:rsid w:val="00087439"/>
    <w:rsid w:val="000C1260"/>
    <w:rsid w:val="000C560C"/>
    <w:rsid w:val="000D080B"/>
    <w:rsid w:val="000D48FD"/>
    <w:rsid w:val="000D79CC"/>
    <w:rsid w:val="000E1C64"/>
    <w:rsid w:val="000E2C47"/>
    <w:rsid w:val="000F7119"/>
    <w:rsid w:val="00100739"/>
    <w:rsid w:val="0010493E"/>
    <w:rsid w:val="001075D3"/>
    <w:rsid w:val="00107885"/>
    <w:rsid w:val="00114FC4"/>
    <w:rsid w:val="0012329C"/>
    <w:rsid w:val="00131793"/>
    <w:rsid w:val="00134FA7"/>
    <w:rsid w:val="00137950"/>
    <w:rsid w:val="001404D1"/>
    <w:rsid w:val="00140762"/>
    <w:rsid w:val="00144749"/>
    <w:rsid w:val="00152F29"/>
    <w:rsid w:val="00174D54"/>
    <w:rsid w:val="0017702C"/>
    <w:rsid w:val="00185270"/>
    <w:rsid w:val="001A3B5A"/>
    <w:rsid w:val="001A458C"/>
    <w:rsid w:val="001B7CE9"/>
    <w:rsid w:val="001C61C4"/>
    <w:rsid w:val="001D495A"/>
    <w:rsid w:val="001E244C"/>
    <w:rsid w:val="001F1437"/>
    <w:rsid w:val="00206799"/>
    <w:rsid w:val="002074FE"/>
    <w:rsid w:val="0022425B"/>
    <w:rsid w:val="002259EF"/>
    <w:rsid w:val="00242ED1"/>
    <w:rsid w:val="002444BB"/>
    <w:rsid w:val="00254069"/>
    <w:rsid w:val="00256186"/>
    <w:rsid w:val="00270748"/>
    <w:rsid w:val="002734E5"/>
    <w:rsid w:val="002746DB"/>
    <w:rsid w:val="00280CAF"/>
    <w:rsid w:val="00282F09"/>
    <w:rsid w:val="00291810"/>
    <w:rsid w:val="00294D62"/>
    <w:rsid w:val="002956F0"/>
    <w:rsid w:val="00297532"/>
    <w:rsid w:val="00297FFD"/>
    <w:rsid w:val="002A1210"/>
    <w:rsid w:val="002A1B13"/>
    <w:rsid w:val="002A47D2"/>
    <w:rsid w:val="002A7FB5"/>
    <w:rsid w:val="002B2074"/>
    <w:rsid w:val="002D14D8"/>
    <w:rsid w:val="002D4799"/>
    <w:rsid w:val="002E3FA4"/>
    <w:rsid w:val="002E53A5"/>
    <w:rsid w:val="002E64B8"/>
    <w:rsid w:val="002E6834"/>
    <w:rsid w:val="003113FF"/>
    <w:rsid w:val="00312622"/>
    <w:rsid w:val="0031329D"/>
    <w:rsid w:val="00315D59"/>
    <w:rsid w:val="00315E75"/>
    <w:rsid w:val="00316ACB"/>
    <w:rsid w:val="0032277F"/>
    <w:rsid w:val="00322C09"/>
    <w:rsid w:val="00336B69"/>
    <w:rsid w:val="0034302B"/>
    <w:rsid w:val="00350523"/>
    <w:rsid w:val="0035189D"/>
    <w:rsid w:val="00355B62"/>
    <w:rsid w:val="00357C8A"/>
    <w:rsid w:val="00371EB0"/>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06C3A"/>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0140"/>
    <w:rsid w:val="004A5323"/>
    <w:rsid w:val="004A5A99"/>
    <w:rsid w:val="004C6979"/>
    <w:rsid w:val="004D13A2"/>
    <w:rsid w:val="004D3E7A"/>
    <w:rsid w:val="004F45BA"/>
    <w:rsid w:val="004F594B"/>
    <w:rsid w:val="004F61E1"/>
    <w:rsid w:val="005335A4"/>
    <w:rsid w:val="0053380B"/>
    <w:rsid w:val="00543194"/>
    <w:rsid w:val="00544138"/>
    <w:rsid w:val="0054632A"/>
    <w:rsid w:val="00554E34"/>
    <w:rsid w:val="005679F4"/>
    <w:rsid w:val="00581D0F"/>
    <w:rsid w:val="00581D34"/>
    <w:rsid w:val="00584583"/>
    <w:rsid w:val="00590E90"/>
    <w:rsid w:val="00590EEB"/>
    <w:rsid w:val="005A4099"/>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916D9"/>
    <w:rsid w:val="006A0E05"/>
    <w:rsid w:val="006A2152"/>
    <w:rsid w:val="006A26C6"/>
    <w:rsid w:val="006A465A"/>
    <w:rsid w:val="006A7D5D"/>
    <w:rsid w:val="006D0C12"/>
    <w:rsid w:val="006D5D57"/>
    <w:rsid w:val="006E2538"/>
    <w:rsid w:val="006E302F"/>
    <w:rsid w:val="006F4D6D"/>
    <w:rsid w:val="00701D71"/>
    <w:rsid w:val="00705086"/>
    <w:rsid w:val="00717E83"/>
    <w:rsid w:val="00722001"/>
    <w:rsid w:val="0072364A"/>
    <w:rsid w:val="00727CDF"/>
    <w:rsid w:val="00733180"/>
    <w:rsid w:val="007348F0"/>
    <w:rsid w:val="00744525"/>
    <w:rsid w:val="00751E66"/>
    <w:rsid w:val="00754497"/>
    <w:rsid w:val="00773201"/>
    <w:rsid w:val="00787C39"/>
    <w:rsid w:val="007910C1"/>
    <w:rsid w:val="00792947"/>
    <w:rsid w:val="00795DF3"/>
    <w:rsid w:val="007A373C"/>
    <w:rsid w:val="007B225C"/>
    <w:rsid w:val="007B44E6"/>
    <w:rsid w:val="007C75B1"/>
    <w:rsid w:val="007D3DFC"/>
    <w:rsid w:val="007E2F07"/>
    <w:rsid w:val="007E59A8"/>
    <w:rsid w:val="0080776D"/>
    <w:rsid w:val="00810145"/>
    <w:rsid w:val="008108FA"/>
    <w:rsid w:val="00810FF1"/>
    <w:rsid w:val="00822336"/>
    <w:rsid w:val="00823DFA"/>
    <w:rsid w:val="00824DE0"/>
    <w:rsid w:val="0083373D"/>
    <w:rsid w:val="00842DB7"/>
    <w:rsid w:val="00843752"/>
    <w:rsid w:val="0084479F"/>
    <w:rsid w:val="00847AD1"/>
    <w:rsid w:val="0085725E"/>
    <w:rsid w:val="00870864"/>
    <w:rsid w:val="00873D4F"/>
    <w:rsid w:val="0087509F"/>
    <w:rsid w:val="00885B09"/>
    <w:rsid w:val="0088746F"/>
    <w:rsid w:val="00892400"/>
    <w:rsid w:val="008A209D"/>
    <w:rsid w:val="008A22BB"/>
    <w:rsid w:val="008B035D"/>
    <w:rsid w:val="008B0E29"/>
    <w:rsid w:val="008B0EFA"/>
    <w:rsid w:val="008B30AB"/>
    <w:rsid w:val="008C3BB8"/>
    <w:rsid w:val="008C4B65"/>
    <w:rsid w:val="008E5F55"/>
    <w:rsid w:val="008F6755"/>
    <w:rsid w:val="009009E7"/>
    <w:rsid w:val="00905DEF"/>
    <w:rsid w:val="00906056"/>
    <w:rsid w:val="009122AE"/>
    <w:rsid w:val="00913B43"/>
    <w:rsid w:val="00930203"/>
    <w:rsid w:val="009311D2"/>
    <w:rsid w:val="009311E6"/>
    <w:rsid w:val="00931275"/>
    <w:rsid w:val="009335A2"/>
    <w:rsid w:val="00936AC7"/>
    <w:rsid w:val="00946CC2"/>
    <w:rsid w:val="00947761"/>
    <w:rsid w:val="00953B64"/>
    <w:rsid w:val="009646A7"/>
    <w:rsid w:val="00970A88"/>
    <w:rsid w:val="00970F40"/>
    <w:rsid w:val="009818A1"/>
    <w:rsid w:val="009968C0"/>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23AD5"/>
    <w:rsid w:val="00A26ADF"/>
    <w:rsid w:val="00A35D42"/>
    <w:rsid w:val="00A42B5E"/>
    <w:rsid w:val="00A46CCF"/>
    <w:rsid w:val="00A506DE"/>
    <w:rsid w:val="00A53451"/>
    <w:rsid w:val="00A70426"/>
    <w:rsid w:val="00A707CC"/>
    <w:rsid w:val="00A71410"/>
    <w:rsid w:val="00A91E9A"/>
    <w:rsid w:val="00A93ED9"/>
    <w:rsid w:val="00A96221"/>
    <w:rsid w:val="00AB36E3"/>
    <w:rsid w:val="00AC2DBB"/>
    <w:rsid w:val="00AC317E"/>
    <w:rsid w:val="00AC6A99"/>
    <w:rsid w:val="00AD6048"/>
    <w:rsid w:val="00AF0A45"/>
    <w:rsid w:val="00B00ACE"/>
    <w:rsid w:val="00B055EF"/>
    <w:rsid w:val="00B06B5B"/>
    <w:rsid w:val="00B23769"/>
    <w:rsid w:val="00B31B83"/>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0A0D"/>
    <w:rsid w:val="00C479BF"/>
    <w:rsid w:val="00C5124B"/>
    <w:rsid w:val="00C54035"/>
    <w:rsid w:val="00C65421"/>
    <w:rsid w:val="00C70542"/>
    <w:rsid w:val="00C71649"/>
    <w:rsid w:val="00C75CBF"/>
    <w:rsid w:val="00CC2894"/>
    <w:rsid w:val="00CD77C3"/>
    <w:rsid w:val="00CE112C"/>
    <w:rsid w:val="00CE4801"/>
    <w:rsid w:val="00CF55D4"/>
    <w:rsid w:val="00D0402C"/>
    <w:rsid w:val="00D3466A"/>
    <w:rsid w:val="00D608DA"/>
    <w:rsid w:val="00D730BF"/>
    <w:rsid w:val="00D852F4"/>
    <w:rsid w:val="00DB1110"/>
    <w:rsid w:val="00DB3730"/>
    <w:rsid w:val="00DC371B"/>
    <w:rsid w:val="00DC3788"/>
    <w:rsid w:val="00DC76C7"/>
    <w:rsid w:val="00DD09F5"/>
    <w:rsid w:val="00DD0E02"/>
    <w:rsid w:val="00DD4201"/>
    <w:rsid w:val="00DD462B"/>
    <w:rsid w:val="00DD5E9F"/>
    <w:rsid w:val="00DE5711"/>
    <w:rsid w:val="00E00EA0"/>
    <w:rsid w:val="00E021CB"/>
    <w:rsid w:val="00E138F1"/>
    <w:rsid w:val="00E208AE"/>
    <w:rsid w:val="00E2309D"/>
    <w:rsid w:val="00E26758"/>
    <w:rsid w:val="00E4357B"/>
    <w:rsid w:val="00E443A7"/>
    <w:rsid w:val="00E45904"/>
    <w:rsid w:val="00E63DE5"/>
    <w:rsid w:val="00E647AF"/>
    <w:rsid w:val="00E647C7"/>
    <w:rsid w:val="00E65A37"/>
    <w:rsid w:val="00E65EF7"/>
    <w:rsid w:val="00E77B48"/>
    <w:rsid w:val="00E820BD"/>
    <w:rsid w:val="00E857FB"/>
    <w:rsid w:val="00E91799"/>
    <w:rsid w:val="00E97DF8"/>
    <w:rsid w:val="00EA21FE"/>
    <w:rsid w:val="00EA34E3"/>
    <w:rsid w:val="00EB7538"/>
    <w:rsid w:val="00EC1868"/>
    <w:rsid w:val="00EE6468"/>
    <w:rsid w:val="00F1299B"/>
    <w:rsid w:val="00F207A4"/>
    <w:rsid w:val="00F25173"/>
    <w:rsid w:val="00F32F90"/>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D8E508"/>
  <w15:chartTrackingRefBased/>
  <w15:docId w15:val="{FA1E978B-3335-457B-8C8A-C4171FD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17E83"/>
    <w:rPr>
      <w:sz w:val="24"/>
      <w:szCs w:val="24"/>
    </w:rPr>
  </w:style>
  <w:style w:type="character" w:styleId="CommentReference">
    <w:name w:val="annotation reference"/>
    <w:rsid w:val="00315E75"/>
    <w:rPr>
      <w:sz w:val="16"/>
      <w:szCs w:val="16"/>
    </w:rPr>
  </w:style>
  <w:style w:type="paragraph" w:styleId="CommentText">
    <w:name w:val="annotation text"/>
    <w:basedOn w:val="Normal"/>
    <w:link w:val="CommentTextChar"/>
    <w:rsid w:val="00315E75"/>
    <w:rPr>
      <w:sz w:val="20"/>
      <w:szCs w:val="20"/>
    </w:rPr>
  </w:style>
  <w:style w:type="character" w:customStyle="1" w:styleId="CommentTextChar">
    <w:name w:val="Comment Text Char"/>
    <w:basedOn w:val="DefaultParagraphFont"/>
    <w:link w:val="CommentText"/>
    <w:rsid w:val="00315E75"/>
  </w:style>
  <w:style w:type="paragraph" w:styleId="CommentSubject">
    <w:name w:val="annotation subject"/>
    <w:basedOn w:val="CommentText"/>
    <w:next w:val="CommentText"/>
    <w:link w:val="CommentSubjectChar"/>
    <w:rsid w:val="00315E75"/>
    <w:rPr>
      <w:b/>
      <w:bCs/>
    </w:rPr>
  </w:style>
  <w:style w:type="character" w:customStyle="1" w:styleId="CommentSubjectChar">
    <w:name w:val="Comment Subject Char"/>
    <w:link w:val="CommentSubject"/>
    <w:rsid w:val="00315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about-fda/reports-manuals-forms/forms" TargetMode="External" /><Relationship Id="rId8" Type="http://schemas.openxmlformats.org/officeDocument/2006/relationships/hyperlink" Target="mailto:MedicatedFeedsTeamMail@fda.hhs.gov" TargetMode="External" /><Relationship Id="rId9" Type="http://schemas.openxmlformats.org/officeDocument/2006/relationships/hyperlink" Target="http://www.fda.gov/ForIndustry/SmallBusinessAssistance/defaul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DFA9C-EE56-4A9F-836B-2AC7A491EB73}">
  <ds:schemaRefs>
    <ds:schemaRef ds:uri="http://schemas.microsoft.com/office/2006/metadata/properties"/>
    <ds:schemaRef ds:uri="http://schemas.microsoft.com/office/infopath/2007/PartnerControls"/>
    <ds:schemaRef ds:uri="7389913f-922f-4e80-b417-8e04b3f2c4f9"/>
  </ds:schemaRefs>
</ds:datastoreItem>
</file>

<file path=customXml/itemProps2.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1529</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2</cp:revision>
  <cp:lastPrinted>2019-07-03T16:25:00Z</cp:lastPrinted>
  <dcterms:created xsi:type="dcterms:W3CDTF">2025-02-06T17:01:00Z</dcterms:created>
  <dcterms:modified xsi:type="dcterms:W3CDTF">2025-02-06T17:01:00Z</dcterms:modified>
</cp:coreProperties>
</file>