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7891" w:rsidP="00AA7891" w14:paraId="2B7DB298" w14:textId="1DC69E81">
      <w:pPr>
        <w:jc w:val="center"/>
      </w:pPr>
      <w:r>
        <w:t>U</w:t>
      </w:r>
      <w:r w:rsidR="0020080A">
        <w:t xml:space="preserve">nited </w:t>
      </w:r>
      <w:r>
        <w:t>S</w:t>
      </w:r>
      <w:r w:rsidR="006C60A0">
        <w:t>tates</w:t>
      </w:r>
      <w:r>
        <w:t xml:space="preserve"> Food and Drug Administration</w:t>
      </w:r>
    </w:p>
    <w:p w:rsidR="00E0020E" w:rsidP="00AA7891" w14:paraId="5146B1CA" w14:textId="77777777">
      <w:pPr>
        <w:jc w:val="center"/>
      </w:pPr>
    </w:p>
    <w:p w:rsidR="00AA7891" w:rsidP="00AA7891" w14:paraId="10394E0F" w14:textId="5D56429F">
      <w:pPr>
        <w:jc w:val="center"/>
      </w:pPr>
      <w:r>
        <w:t xml:space="preserve">Medical Device Recall Authority </w:t>
      </w:r>
    </w:p>
    <w:p w:rsidR="00AA7891" w:rsidP="00AA7891" w14:paraId="01744AF4" w14:textId="29CC4CD7">
      <w:pPr>
        <w:jc w:val="center"/>
      </w:pPr>
    </w:p>
    <w:p w:rsidR="00AA7891" w:rsidP="00AA7891" w14:paraId="656C1A47" w14:textId="7A8E5013">
      <w:pPr>
        <w:jc w:val="center"/>
      </w:pPr>
      <w:r>
        <w:t>OMB Control No. 0910-0432</w:t>
      </w:r>
      <w:r>
        <w:br/>
      </w:r>
    </w:p>
    <w:p w:rsidR="00E45E39" w:rsidP="006F1411" w14:paraId="130001A8" w14:textId="6A947544">
      <w:pPr>
        <w:jc w:val="center"/>
      </w:pPr>
      <w:r>
        <w:t>SUPPORTING STATEMENT</w:t>
      </w:r>
      <w:r w:rsidR="00E0020E">
        <w:t xml:space="preserve"> - Extension</w:t>
      </w:r>
    </w:p>
    <w:p w:rsidR="00BB3E90" w:rsidP="006F1411" w14:paraId="032CEC3E" w14:textId="77777777">
      <w:pPr>
        <w:jc w:val="center"/>
        <w:rPr>
          <w:b/>
        </w:rPr>
      </w:pPr>
    </w:p>
    <w:p w:rsidR="00E45E39" w:rsidP="00AA7891" w14:paraId="0F0DAE97" w14:textId="15F7EE50">
      <w:pPr>
        <w:rPr>
          <w:b/>
        </w:rPr>
      </w:pPr>
    </w:p>
    <w:p w:rsidR="00CE0158" w:rsidP="00CE0158" w14:paraId="458D42BD" w14:textId="77777777">
      <w:pPr>
        <w:autoSpaceDE w:val="0"/>
        <w:autoSpaceDN w:val="0"/>
        <w:adjustRightInd w:val="0"/>
      </w:pPr>
      <w:r>
        <w:t>Terms of Clearance:</w:t>
      </w:r>
      <w:r>
        <w:rPr>
          <w:b/>
        </w:rPr>
        <w:t xml:space="preserve"> </w:t>
      </w:r>
      <w:r>
        <w:t>None.</w:t>
      </w:r>
    </w:p>
    <w:p w:rsidR="00CE0158" w:rsidP="00AA7891" w14:paraId="637E20C4" w14:textId="77777777">
      <w:pPr>
        <w:rPr>
          <w:b/>
        </w:rPr>
      </w:pPr>
    </w:p>
    <w:p w:rsidR="00AA7891" w:rsidP="00BB3E90" w14:paraId="46CF512B" w14:textId="7AFFE23C">
      <w:pPr>
        <w:rPr>
          <w:b/>
        </w:rPr>
      </w:pPr>
      <w:r>
        <w:rPr>
          <w:b/>
        </w:rPr>
        <w:t>Part A: Justification</w:t>
      </w:r>
    </w:p>
    <w:p w:rsidR="00AA7891" w:rsidP="00AA7891" w14:paraId="6485DC29" w14:textId="7C20B82E">
      <w:pPr>
        <w:numPr>
          <w:ilvl w:val="0"/>
          <w:numId w:val="1"/>
        </w:numPr>
        <w:spacing w:before="100" w:beforeAutospacing="1" w:after="100" w:afterAutospacing="1"/>
        <w:rPr>
          <w:u w:val="single"/>
        </w:rPr>
      </w:pPr>
      <w:r>
        <w:rPr>
          <w:u w:val="single"/>
        </w:rPr>
        <w:t>Circumstances Making the Collection of Information Necessary</w:t>
      </w:r>
    </w:p>
    <w:p w:rsidR="00D90504" w:rsidP="00995343" w14:paraId="7D3CB243" w14:textId="6B97EB87">
      <w:pPr>
        <w:spacing w:before="100" w:beforeAutospacing="1" w:after="100" w:afterAutospacing="1"/>
      </w:pPr>
      <w:r>
        <w:t xml:space="preserve">This information collection supports Food and Drug Administration (FDA, us or we) regulations in part 810 (21 CFR part 810), Medical Device Recall Authority. FDA issued </w:t>
      </w:r>
      <w:hyperlink r:id="rId8" w:history="1">
        <w:r w:rsidRPr="00564A5E">
          <w:rPr>
            <w:rStyle w:val="Hyperlink"/>
          </w:rPr>
          <w:t>21 CFR part 810</w:t>
        </w:r>
      </w:hyperlink>
      <w:r>
        <w:t xml:space="preserve"> to implement the provisions of section 518(e) (</w:t>
      </w:r>
      <w:hyperlink r:id="rId9" w:history="1">
        <w:r w:rsidRPr="002106D9">
          <w:rPr>
            <w:rStyle w:val="Hyperlink"/>
          </w:rPr>
          <w:t>21 U.S.C. 360h</w:t>
        </w:r>
      </w:hyperlink>
      <w:r>
        <w:t xml:space="preserve">(e)) of the Federal Food, Drug, and Cosmetic Act (FD&amp;C Act). Section 518(e) of the FD&amp;C Act provides FDA the authority to issue an order requiring the appropriate person, including manufacturers, importers, distributors, and retailers of a device, if FDA finds that there is reasonable probability that the device intended for human use would cause serious adverse health consequences or death, to: (1) immediately cease distribution of such device; and (2) immediately notify health professionals and device user facilities of the order and to instruct such professionals and facilities to cease use of such device. </w:t>
      </w:r>
    </w:p>
    <w:p w:rsidR="00032F6F" w:rsidP="00995343" w14:paraId="0E46ACE2" w14:textId="26253A5C">
      <w:pPr>
        <w:spacing w:before="100" w:beforeAutospacing="1" w:after="100" w:afterAutospacing="1"/>
        <w:rPr>
          <w:u w:val="single"/>
        </w:rPr>
      </w:pPr>
      <w:r>
        <w:t>We therefore request extension of Office of Management and Budget (OMB) approval of the collections of information required by part 810 as discussed in this supporting statement. A description of the information collection requirements in part 810, subpart B, can be found in section 12a of this supporting statement.</w:t>
      </w:r>
    </w:p>
    <w:p w:rsidR="00AA7891" w:rsidP="00AA7891" w14:paraId="7EDDEB94" w14:textId="2564FE8C">
      <w:pPr>
        <w:numPr>
          <w:ilvl w:val="0"/>
          <w:numId w:val="1"/>
        </w:numPr>
        <w:spacing w:before="100" w:beforeAutospacing="1" w:after="100" w:afterAutospacing="1"/>
        <w:rPr>
          <w:u w:val="single"/>
        </w:rPr>
      </w:pPr>
      <w:r>
        <w:rPr>
          <w:u w:val="single"/>
        </w:rPr>
        <w:t xml:space="preserve">Purpose and Use of the Information Collection </w:t>
      </w:r>
    </w:p>
    <w:p w:rsidR="007B157C" w:rsidP="00995343" w14:paraId="7AB32A08" w14:textId="77777777">
      <w:pPr>
        <w:spacing w:before="100" w:beforeAutospacing="1" w:after="100" w:afterAutospacing="1"/>
      </w:pPr>
      <w:r>
        <w:t xml:space="preserve">The information collected under the recall authority will be used by FDA to ensure that all devices entering the market are safe and effective, to accurately and immediately detect serious problems with medical devices, and to remove dangerous and defective devices from the market. </w:t>
      </w:r>
    </w:p>
    <w:p w:rsidR="00FF1DC7" w:rsidP="00995343" w14:paraId="12FDAF48" w14:textId="6045296D">
      <w:pPr>
        <w:spacing w:before="100" w:beforeAutospacing="1" w:after="100" w:afterAutospacing="1"/>
      </w:pPr>
      <w:r>
        <w:t xml:space="preserve">Almost all recalls are carried out under the voluntary recall procedures found in part 7 (21 CFR part 7). FDA interprets the standard in 810.10(a) and 810.13 to match closely with the elements of a class I voluntary recall under part 7, subpart C, for which the Agency has a long record of experience. FDA will initiate a mandatory recall under section 518(e) of the FD&amp;C Act when FDA finds that there is a reasonable probability that a device would cause serious, adverse health consequences or death. A firm may initiate a voluntary recall of a violative device without FDA intervention. However, if FDA determines that such a voluntary recall is not effective in remedying a violation and there remains a reasonable probability that the violative device would cause serious, adverse health consequences or death, FDA will invoke the medical device recall authority in addition to the voluntary efforts that the manufacturer has already undertaken. FDA </w:t>
      </w:r>
      <w:r>
        <w:t xml:space="preserve">will not order a mandatory recall if a voluntary recall has been effective in addressing the problems. </w:t>
      </w:r>
    </w:p>
    <w:p w:rsidR="00181522" w:rsidP="00995343" w14:paraId="6CB1A8C2" w14:textId="77777777">
      <w:pPr>
        <w:spacing w:before="100" w:beforeAutospacing="1" w:after="100" w:afterAutospacing="1"/>
      </w:pPr>
      <w:r>
        <w:t xml:space="preserve">FDA believes that the regulation provides sufficient flexibility to minimize the burden on those required to take action, consistent with the determination that the device presents a risk or serious adverse health consequences or death. FDA expects that at most, one or two recalls per year would be ordered, which would not have occurred without this regulation. Section 518(e) of the FD&amp;C Act sets out a procedure for the issuance of a mandatory device recall order. First, after finding that there is a reasonable probability that a device intended for human use would cause serious, adverse health consequences or death, FDA shall issue a cease distribution and notification order requiring the appropriate person to: (1) immediately cease distribution of the device and (2) immediately notify health professionals and device user facilities of the order and to instruct such professionals and facilities to cease use of such device. FDA will then provide the person named in the cease distribution and notification order with the opportunity for an informal hearing on whether the order should be amended to require a mandatory recall of the device. If, after providing the opportunity for an informal hearing, FDA determines that such order is necessary, the Agency may amend the order to require a mandatory recall. </w:t>
      </w:r>
    </w:p>
    <w:p w:rsidR="00D90EB4" w:rsidP="00995343" w14:paraId="2E861694" w14:textId="1DAC9B37">
      <w:pPr>
        <w:spacing w:before="100" w:beforeAutospacing="1" w:after="100" w:afterAutospacing="1"/>
        <w:rPr>
          <w:u w:val="single"/>
        </w:rPr>
      </w:pPr>
      <w:r>
        <w:t>Respondents are private sector businesses</w:t>
      </w:r>
      <w:r w:rsidR="002844FA">
        <w:t xml:space="preserve"> </w:t>
      </w:r>
      <w:r w:rsidRPr="002844FA" w:rsidR="002844FA">
        <w:t>including medical device manufacturers, importers, distributors, and retailers, that have been issued a cease distribution and notification order or mandatory recall order in accordance with the provisions under 21 CFR part 810, during the timeframe(s) specified in the order.</w:t>
      </w:r>
    </w:p>
    <w:p w:rsidR="00AA7891" w:rsidP="00AA7891" w14:paraId="73CE5AB2" w14:textId="77777777">
      <w:pPr>
        <w:numPr>
          <w:ilvl w:val="0"/>
          <w:numId w:val="1"/>
        </w:numPr>
        <w:spacing w:before="100" w:beforeAutospacing="1" w:after="100" w:afterAutospacing="1"/>
        <w:ind w:right="-1440"/>
        <w:rPr>
          <w:u w:val="single"/>
        </w:rPr>
      </w:pPr>
      <w:r>
        <w:rPr>
          <w:u w:val="single"/>
        </w:rPr>
        <w:t xml:space="preserve">Use of Improved Information Technology and Burden Reduction </w:t>
      </w:r>
    </w:p>
    <w:p w:rsidR="00AA7891" w:rsidP="00995343" w14:paraId="4E7A5460" w14:textId="4641FB95">
      <w:r>
        <w:t xml:space="preserve">The FD&amp;C Act, as amended, permits the use of electronic technologies in a manner that is consistent with FDA’s overall mission and that preserve the integrity of the Agency’s enforcement activities. Reports and records concerning recalls may be submitted to FDA in electronic format or retained in electronic files provided that they comply with </w:t>
      </w:r>
      <w:hyperlink r:id="rId10" w:history="1">
        <w:r w:rsidRPr="00A02827">
          <w:rPr>
            <w:rStyle w:val="Hyperlink"/>
          </w:rPr>
          <w:t>21 CFR Part 11</w:t>
        </w:r>
      </w:hyperlink>
      <w:r>
        <w:t xml:space="preserve"> concerning electronic records and electronic signatures. Also, FDA currently allows respondents involved in recall actions to submit data to district offices electronically.</w:t>
      </w:r>
      <w:r w:rsidRPr="002844FA" w:rsidR="002844FA">
        <w:t xml:space="preserve"> </w:t>
      </w:r>
      <w:r w:rsidR="002844FA">
        <w:t xml:space="preserve"> </w:t>
      </w:r>
      <w:r w:rsidRPr="002844FA" w:rsidR="002844FA">
        <w:t xml:space="preserve">FDA currently allows for these requests, along with other reports and records concerning mandatory recalls, to be submitted to the agency using electronic methods including email and FDA’s </w:t>
      </w:r>
      <w:r w:rsidRPr="002844FA" w:rsidR="002844FA">
        <w:t>eSubmitter</w:t>
      </w:r>
      <w:r w:rsidRPr="002844FA" w:rsidR="002844FA">
        <w:t xml:space="preserve"> program (https://www.fda.gov/industry/fda-esubmitter). </w:t>
      </w:r>
      <w:r>
        <w:t xml:space="preserve"> FDA estimates that approximately 95% of the respondents will use electronic means to fulfill the Agency’s requirement or request. </w:t>
      </w:r>
    </w:p>
    <w:p w:rsidR="00AA7891" w:rsidP="00AA7891" w14:paraId="4603CE80" w14:textId="77777777">
      <w:pPr>
        <w:numPr>
          <w:ilvl w:val="0"/>
          <w:numId w:val="1"/>
        </w:numPr>
        <w:spacing w:before="100" w:beforeAutospacing="1" w:after="100" w:afterAutospacing="1"/>
        <w:rPr>
          <w:u w:val="single"/>
        </w:rPr>
      </w:pPr>
      <w:r>
        <w:rPr>
          <w:u w:val="single"/>
        </w:rPr>
        <w:t xml:space="preserve">Efforts to Identify Duplication and Use of Similar Information </w:t>
      </w:r>
    </w:p>
    <w:p w:rsidR="00A058B7" w:rsidRPr="00A058B7" w:rsidP="00995343" w14:paraId="49D1E7A0" w14:textId="7F1A7D68">
      <w:pPr>
        <w:spacing w:before="100" w:beforeAutospacing="1" w:after="100" w:afterAutospacing="1"/>
        <w:rPr>
          <w:u w:val="single"/>
        </w:rPr>
      </w:pPr>
      <w:r>
        <w:t>FDA is the only agency responsible for the collection of this information. Therefore, no duplication of data exists. In addition, no data exists from any other source that can be used to recall devices subject to final regulation. We are unaware of duplicative information collection.</w:t>
      </w:r>
    </w:p>
    <w:p w:rsidR="00AA7891" w:rsidP="00AA7891" w14:paraId="32331371" w14:textId="2825B65D">
      <w:pPr>
        <w:numPr>
          <w:ilvl w:val="0"/>
          <w:numId w:val="1"/>
        </w:numPr>
        <w:spacing w:before="100" w:beforeAutospacing="1" w:after="100" w:afterAutospacing="1"/>
        <w:rPr>
          <w:u w:val="single"/>
        </w:rPr>
      </w:pPr>
      <w:r>
        <w:rPr>
          <w:u w:val="single"/>
        </w:rPr>
        <w:t>Impact on Small Businesses or Other Small Entities</w:t>
      </w:r>
    </w:p>
    <w:p w:rsidR="00F617BE" w:rsidRPr="00F617BE" w:rsidP="00995343" w14:paraId="15458BE9" w14:textId="6CFEAB6A">
      <w:pPr>
        <w:spacing w:before="100" w:beforeAutospacing="1" w:after="100" w:afterAutospacing="1"/>
        <w:rPr>
          <w:u w:val="single"/>
        </w:rPr>
      </w:pPr>
      <w:r>
        <w:t xml:space="preserve">We estimate that the majority, approximately 95 percent, of respondents are small businesses. FDA aids small businesses in dealing with the requirements of the regulations by providing </w:t>
      </w:r>
      <w:r>
        <w:t xml:space="preserve">assistance through Center for Devices and Radiological Health’s Division of Industry and Consumer Education (DICE), and through the scientific and administrative staff, workshops in which FDA Staff participate, and through the CDRH website at </w:t>
      </w:r>
      <w:hyperlink r:id="rId11" w:history="1">
        <w:r w:rsidRPr="00F32E08">
          <w:rPr>
            <w:rStyle w:val="Hyperlink"/>
          </w:rPr>
          <w:t>http://www.fda.gov/MedicalDevices/default.htm</w:t>
        </w:r>
      </w:hyperlink>
      <w:r>
        <w:t>. These efforts help to assure that the burden on all manufacturers, including small manufacturers, is minimized. FDA also provides all manufacturers uniform device reporting criteria to avoid confusion and minimize burden to the respondent.</w:t>
      </w:r>
    </w:p>
    <w:p w:rsidR="00AA7891" w:rsidP="00AA7891" w14:paraId="78C58668" w14:textId="422B616E">
      <w:pPr>
        <w:numPr>
          <w:ilvl w:val="0"/>
          <w:numId w:val="1"/>
        </w:numPr>
        <w:spacing w:before="100" w:beforeAutospacing="1" w:after="100" w:afterAutospacing="1"/>
        <w:rPr>
          <w:u w:val="single"/>
        </w:rPr>
      </w:pPr>
      <w:r>
        <w:rPr>
          <w:u w:val="single"/>
        </w:rPr>
        <w:t>Consequences of Collecting the Information Less Frequently</w:t>
      </w:r>
    </w:p>
    <w:p w:rsidR="00AA7891" w:rsidP="00995343" w14:paraId="51A89887" w14:textId="189D762A">
      <w:r>
        <w:t>The information collection schedule is</w:t>
      </w:r>
      <w:r>
        <w:rPr>
          <w:spacing w:val="-4"/>
        </w:rPr>
        <w:t xml:space="preserve"> </w:t>
      </w:r>
      <w:r>
        <w:t>consistent</w:t>
      </w:r>
      <w:r>
        <w:rPr>
          <w:spacing w:val="-9"/>
        </w:rPr>
        <w:t xml:space="preserve"> </w:t>
      </w:r>
      <w:r>
        <w:t xml:space="preserve">with statutory and regulatory requirements.  </w:t>
      </w:r>
      <w:r w:rsidR="00A905AE">
        <w:t>Manufacturers are required to submit periodic progress reports to FDA only if FDA requires a cease distribution and notification order or a mandatory recall order. Therefore, respondents will respond to the information collection “occasionally.” If this information is collected less frequently, FDA will be unable to monitor the progress of such orders.</w:t>
      </w:r>
    </w:p>
    <w:p w:rsidR="00AA7891" w:rsidP="00AA7891" w14:paraId="4BF0513A" w14:textId="77777777">
      <w:pPr>
        <w:numPr>
          <w:ilvl w:val="0"/>
          <w:numId w:val="1"/>
        </w:numPr>
        <w:spacing w:before="100" w:beforeAutospacing="1" w:after="100" w:afterAutospacing="1"/>
        <w:rPr>
          <w:u w:val="single"/>
        </w:rPr>
      </w:pPr>
      <w:r>
        <w:rPr>
          <w:u w:val="single"/>
        </w:rPr>
        <w:t>Special Circumstances Relating to the Guidelines of 5 CFR 1320.5</w:t>
      </w:r>
    </w:p>
    <w:p w:rsidR="00AA7891" w:rsidP="00995343" w14:paraId="5D690445" w14:textId="77777777">
      <w:r>
        <w:t>There are no special circumstances for this collection of information.</w:t>
      </w:r>
    </w:p>
    <w:p w:rsidR="00AA7891" w:rsidP="00AA7891" w14:paraId="20D5C1FB" w14:textId="77777777">
      <w:pPr>
        <w:numPr>
          <w:ilvl w:val="0"/>
          <w:numId w:val="1"/>
        </w:numPr>
        <w:spacing w:before="100" w:beforeAutospacing="1" w:after="100" w:afterAutospacing="1"/>
        <w:rPr>
          <w:u w:val="single"/>
        </w:rPr>
      </w:pPr>
      <w:r>
        <w:rPr>
          <w:u w:val="single"/>
        </w:rPr>
        <w:t>Comments in Response to the Federal Register Notice and Efforts to Consult Outside the Agency</w:t>
      </w:r>
    </w:p>
    <w:p w:rsidR="00AA7891" w:rsidP="00FA5FCF" w14:paraId="437F77C6" w14:textId="5D1DE94D">
      <w:pPr>
        <w:contextualSpacing/>
      </w:pPr>
      <w:r>
        <w:t xml:space="preserve">In accordance with 5 CFR 1320.8(d), FDA published a 60-day notice for public comment in the Federal Register of </w:t>
      </w:r>
      <w:r w:rsidR="00B80C3A">
        <w:t>June 5, 2024</w:t>
      </w:r>
      <w:r>
        <w:t xml:space="preserve"> (</w:t>
      </w:r>
      <w:r w:rsidR="00B80C3A">
        <w:t xml:space="preserve">89 </w:t>
      </w:r>
      <w:r>
        <w:t>FR</w:t>
      </w:r>
      <w:r w:rsidRPr="00C35502" w:rsidR="00BE5CE0">
        <w:t xml:space="preserve"> 48174</w:t>
      </w:r>
      <w:r>
        <w:t xml:space="preserve">). No comments were received. </w:t>
      </w:r>
    </w:p>
    <w:p w:rsidR="00AA7891" w:rsidP="00AA7891" w14:paraId="0C22CC9C" w14:textId="77777777">
      <w:pPr>
        <w:numPr>
          <w:ilvl w:val="0"/>
          <w:numId w:val="1"/>
        </w:numPr>
        <w:spacing w:before="100" w:beforeAutospacing="1" w:after="100" w:afterAutospacing="1"/>
        <w:rPr>
          <w:u w:val="single"/>
        </w:rPr>
      </w:pPr>
      <w:r>
        <w:rPr>
          <w:u w:val="single"/>
        </w:rPr>
        <w:t>Explanation of Any Payment or Gift to Respondents</w:t>
      </w:r>
    </w:p>
    <w:p w:rsidR="00AA7891" w:rsidP="00995343" w14:paraId="2E1042CE" w14:textId="2EE67FE4">
      <w:r>
        <w:t>There are no incentives, payments or gifts associated with this information collection.</w:t>
      </w:r>
    </w:p>
    <w:p w:rsidR="00AA7891" w:rsidP="00AA7891" w14:paraId="40DFB346" w14:textId="77777777">
      <w:pPr>
        <w:keepNext/>
        <w:numPr>
          <w:ilvl w:val="0"/>
          <w:numId w:val="1"/>
        </w:numPr>
        <w:spacing w:before="100" w:beforeAutospacing="1" w:after="100" w:afterAutospacing="1"/>
        <w:rPr>
          <w:u w:val="single"/>
        </w:rPr>
      </w:pPr>
      <w:r>
        <w:rPr>
          <w:u w:val="single"/>
        </w:rPr>
        <w:t>Assurance of Confidentiality Provided to Respondents</w:t>
      </w:r>
    </w:p>
    <w:p w:rsidR="00386C30" w:rsidP="00ED079C" w14:paraId="3C47F155" w14:textId="05B70E46">
      <w:pPr>
        <w:pStyle w:val="BodyText"/>
      </w:pPr>
      <w:r>
        <w:t>In preparing this Supporting Statement, we consulted our Privacy Office to ensure</w:t>
      </w:r>
      <w:r w:rsidR="00BF63D0">
        <w:t xml:space="preserve"> </w:t>
      </w:r>
      <w:r>
        <w:t xml:space="preserve">appropriate identification and handling of information collected. </w:t>
      </w:r>
      <w:r w:rsidR="00DB1573">
        <w:t xml:space="preserve"> </w:t>
      </w:r>
      <w:r w:rsidRPr="00386C30">
        <w:t>Data will be kept private to the extent allowed by law.</w:t>
      </w:r>
    </w:p>
    <w:p w:rsidR="00DF621D" w:rsidRPr="005578F2" w:rsidP="00AA7891" w14:paraId="5F7F7059" w14:textId="6F9F6137">
      <w:pPr>
        <w:ind w:left="720"/>
        <w:rPr>
          <w:i/>
          <w:iCs/>
        </w:rPr>
      </w:pPr>
      <w:r w:rsidRPr="005578F2">
        <w:rPr>
          <w:i/>
          <w:iCs/>
        </w:rPr>
        <w:t>The Privacy Act of 1974</w:t>
      </w:r>
    </w:p>
    <w:p w:rsidR="00386C30" w:rsidP="00AA7891" w14:paraId="563D4CA3" w14:textId="77777777">
      <w:pPr>
        <w:ind w:left="720"/>
      </w:pPr>
    </w:p>
    <w:p w:rsidR="006E1709" w:rsidP="00995343" w14:paraId="3E170968" w14:textId="77777777">
      <w:r>
        <w:t xml:space="preserve">This ICR does not collect personally identifiable information (PII). Collections specified in the recall order under 810.10(d); Requests for a regulatory hearing under 810.11(a); Written requests for review under 810.12(a-b); Mandatory recall strategy under 810.14; Periodic status reports under 810.16(a-b); and Termination requests under 810.17(a). While the collection does not involve solicitation or collection of personally identifiable information a company may choose to send name or other contact information for a company point of contact. </w:t>
      </w:r>
    </w:p>
    <w:p w:rsidR="00386C30" w:rsidP="00AA7891" w14:paraId="7CFBFF3C" w14:textId="77777777">
      <w:pPr>
        <w:ind w:left="720"/>
      </w:pPr>
    </w:p>
    <w:p w:rsidR="006E1709" w:rsidRPr="005578F2" w:rsidP="00AA7891" w14:paraId="276015E8" w14:textId="3C143DF7">
      <w:pPr>
        <w:ind w:left="720"/>
        <w:rPr>
          <w:i/>
          <w:iCs/>
        </w:rPr>
      </w:pPr>
      <w:r w:rsidRPr="005578F2">
        <w:rPr>
          <w:i/>
          <w:iCs/>
        </w:rPr>
        <w:t>The Freedom of Information Act</w:t>
      </w:r>
    </w:p>
    <w:p w:rsidR="00386C30" w:rsidRPr="005578F2" w:rsidP="00AA7891" w14:paraId="6F99FBED" w14:textId="77777777">
      <w:pPr>
        <w:ind w:left="720"/>
        <w:rPr>
          <w:i/>
          <w:iCs/>
        </w:rPr>
      </w:pPr>
    </w:p>
    <w:p w:rsidR="00AA7891" w:rsidP="00995343" w14:paraId="30FF83E4" w14:textId="14D0BFF0">
      <w:r>
        <w:t>Under the Freedom of Information Act (FOIA) (5 U.S.C. 552), the public has broad access to government documents. However, FOIA provides certain exemptions from mandatory public disclosure of government records (5 U.S.C. 552(b)(1-9)). Recalls and other information submitted to FDA under 21 CFR Part 810 are releasable under 21 CFR Part 20. FDA will make the fullest possible disclosure of records to the public, consistent with the rights of individuals to privacy, the property rights of persons in trade and confidential commercial or financial information.</w:t>
      </w:r>
    </w:p>
    <w:p w:rsidR="00AA7891" w:rsidP="00FA5FCF" w14:paraId="4B5F0C60" w14:textId="77777777">
      <w:pPr>
        <w:keepNext/>
        <w:numPr>
          <w:ilvl w:val="0"/>
          <w:numId w:val="1"/>
        </w:numPr>
        <w:spacing w:before="100" w:beforeAutospacing="1" w:after="100" w:afterAutospacing="1"/>
        <w:rPr>
          <w:u w:val="single"/>
        </w:rPr>
      </w:pPr>
      <w:r>
        <w:rPr>
          <w:u w:val="single"/>
        </w:rPr>
        <w:t>Justification for Sensitive Questions</w:t>
      </w:r>
    </w:p>
    <w:p w:rsidR="00AA7891" w:rsidP="00995343" w14:paraId="186A9FFC" w14:textId="48438ECC">
      <w:pPr>
        <w:pStyle w:val="BodyText2"/>
      </w:pPr>
      <w:r>
        <w:t>The collection of information does not involve sensitive questions.</w:t>
      </w:r>
    </w:p>
    <w:p w:rsidR="00AA7891" w:rsidP="00AA7891" w14:paraId="4D88499B" w14:textId="77777777">
      <w:pPr>
        <w:numPr>
          <w:ilvl w:val="0"/>
          <w:numId w:val="1"/>
        </w:numPr>
        <w:spacing w:before="100" w:beforeAutospacing="1" w:after="100" w:afterAutospacing="1"/>
        <w:rPr>
          <w:u w:val="single"/>
        </w:rPr>
      </w:pPr>
      <w:r>
        <w:rPr>
          <w:u w:val="single"/>
        </w:rPr>
        <w:t>Estimates of Annualized Burden Hours and Costs</w:t>
      </w:r>
    </w:p>
    <w:p w:rsidR="00AA7891" w:rsidP="00995343" w14:paraId="007CAEF5" w14:textId="77777777">
      <w:r>
        <w:t xml:space="preserve">12a. </w:t>
      </w:r>
      <w:r>
        <w:rPr>
          <w:u w:val="single"/>
        </w:rPr>
        <w:t>Annualized Hour Burden Estimate</w:t>
      </w:r>
    </w:p>
    <w:p w:rsidR="00AA7891" w:rsidP="00AA7891" w14:paraId="4A5092D8" w14:textId="77777777"/>
    <w:p w:rsidR="00AA7891" w:rsidP="00995343" w14:paraId="72531FCF" w14:textId="2B876F74">
      <w:r>
        <w:t xml:space="preserve">The following estimates are based on FDA’s </w:t>
      </w:r>
      <w:r w:rsidR="002844FA">
        <w:t xml:space="preserve">recent </w:t>
      </w:r>
      <w:r>
        <w:t xml:space="preserve">experience with voluntary recalls under 21 CFR Part 7. </w:t>
      </w:r>
      <w:r w:rsidR="002844FA">
        <w:t xml:space="preserve"> Based on an analysis of cease and distribution and notification and mandatory recall order activity over the last 3 years, </w:t>
      </w:r>
      <w:r>
        <w:t>FDA expects no more than two mandatory recalls per year</w:t>
      </w:r>
      <w:r w:rsidR="002844FA">
        <w:t xml:space="preserve"> as a conservative estimate</w:t>
      </w:r>
      <w:r>
        <w:t>, as most recalls are done voluntarily.</w:t>
      </w:r>
    </w:p>
    <w:p w:rsidR="00545D64" w:rsidP="00B80BC1" w14:paraId="6ED7E760" w14:textId="77777777">
      <w:pPr>
        <w:ind w:left="360"/>
        <w:rPr>
          <w:rFonts w:cs="Arial"/>
          <w:b/>
        </w:rPr>
      </w:pPr>
    </w:p>
    <w:p w:rsidR="00AA7891" w:rsidRPr="00545D64" w:rsidP="00AA7891" w14:paraId="79F83D4F" w14:textId="3382864B">
      <w:pPr>
        <w:jc w:val="center"/>
        <w:rPr>
          <w:rFonts w:cs="Arial"/>
          <w:bCs/>
        </w:rPr>
      </w:pPr>
      <w:r w:rsidRPr="00545D64">
        <w:rPr>
          <w:rFonts w:cs="Arial"/>
          <w:bCs/>
        </w:rPr>
        <w:t>T</w:t>
      </w:r>
      <w:r w:rsidR="00F429DF">
        <w:rPr>
          <w:rFonts w:cs="Arial"/>
          <w:bCs/>
        </w:rPr>
        <w:t>able</w:t>
      </w:r>
      <w:r w:rsidRPr="00545D64">
        <w:rPr>
          <w:rFonts w:cs="Arial"/>
          <w:bCs/>
        </w:rPr>
        <w:t xml:space="preserve"> 1</w:t>
      </w:r>
      <w:r w:rsidR="00F429DF">
        <w:rPr>
          <w:rFonts w:cs="Arial"/>
          <w:bCs/>
        </w:rPr>
        <w:t>.</w:t>
      </w:r>
      <w:r w:rsidRPr="00545D64">
        <w:rPr>
          <w:rFonts w:cs="Arial"/>
          <w:bCs/>
        </w:rPr>
        <w:t>—</w:t>
      </w:r>
      <w:r w:rsidR="00F429DF">
        <w:rPr>
          <w:rFonts w:cs="Arial"/>
          <w:bCs/>
        </w:rPr>
        <w:t>Estimated</w:t>
      </w:r>
      <w:r w:rsidRPr="00545D64">
        <w:rPr>
          <w:rFonts w:cs="Arial"/>
          <w:bCs/>
        </w:rPr>
        <w:t xml:space="preserve"> </w:t>
      </w:r>
      <w:r w:rsidR="00F429DF">
        <w:rPr>
          <w:rFonts w:cs="Arial"/>
          <w:bCs/>
        </w:rPr>
        <w:t>Annual</w:t>
      </w:r>
      <w:r w:rsidRPr="00545D64">
        <w:rPr>
          <w:rFonts w:cs="Arial"/>
          <w:bCs/>
        </w:rPr>
        <w:t xml:space="preserve"> </w:t>
      </w:r>
      <w:r w:rsidR="00F429DF">
        <w:rPr>
          <w:rFonts w:cs="Arial"/>
          <w:bCs/>
        </w:rPr>
        <w:t>Reporting</w:t>
      </w:r>
      <w:r w:rsidRPr="00545D64">
        <w:rPr>
          <w:rFonts w:cs="Arial"/>
          <w:bCs/>
        </w:rPr>
        <w:t xml:space="preserve"> B</w:t>
      </w:r>
      <w:r w:rsidR="00F429DF">
        <w:rPr>
          <w:rFonts w:cs="Arial"/>
          <w:bCs/>
        </w:rPr>
        <w:t>urden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620"/>
        <w:gridCol w:w="1620"/>
        <w:gridCol w:w="1440"/>
        <w:gridCol w:w="1260"/>
        <w:gridCol w:w="900"/>
      </w:tblGrid>
      <w:tr w14:paraId="0A90F14D" w14:textId="77777777" w:rsidTr="00AA7891">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2520" w:type="dxa"/>
            <w:tcBorders>
              <w:top w:val="single" w:sz="4" w:space="0" w:color="auto"/>
              <w:left w:val="single" w:sz="4" w:space="0" w:color="auto"/>
              <w:bottom w:val="single" w:sz="4" w:space="0" w:color="auto"/>
              <w:right w:val="single" w:sz="4" w:space="0" w:color="auto"/>
            </w:tcBorders>
            <w:hideMark/>
          </w:tcPr>
          <w:p w:rsidR="00AA7891" w14:paraId="4354FC4E" w14:textId="77777777">
            <w:pPr>
              <w:jc w:val="center"/>
              <w:rPr>
                <w:rFonts w:cs="Arial"/>
              </w:rPr>
            </w:pPr>
            <w:r>
              <w:rPr>
                <w:rFonts w:cs="Arial"/>
              </w:rPr>
              <w:t>Collection Activity--21 CFR Section</w:t>
            </w:r>
          </w:p>
        </w:tc>
        <w:tc>
          <w:tcPr>
            <w:tcW w:w="1620" w:type="dxa"/>
            <w:tcBorders>
              <w:top w:val="single" w:sz="4" w:space="0" w:color="auto"/>
              <w:left w:val="single" w:sz="4" w:space="0" w:color="auto"/>
              <w:bottom w:val="single" w:sz="4" w:space="0" w:color="auto"/>
              <w:right w:val="single" w:sz="4" w:space="0" w:color="auto"/>
            </w:tcBorders>
            <w:hideMark/>
          </w:tcPr>
          <w:p w:rsidR="00AA7891" w14:paraId="2E6018E0" w14:textId="5ECD8EBC">
            <w:pPr>
              <w:jc w:val="center"/>
              <w:rPr>
                <w:rFonts w:cs="Arial"/>
              </w:rPr>
            </w:pPr>
            <w:r>
              <w:rPr>
                <w:rFonts w:cs="Arial"/>
              </w:rPr>
              <w:t>No. of Respondents</w:t>
            </w:r>
          </w:p>
        </w:tc>
        <w:tc>
          <w:tcPr>
            <w:tcW w:w="1620" w:type="dxa"/>
            <w:tcBorders>
              <w:top w:val="single" w:sz="4" w:space="0" w:color="auto"/>
              <w:left w:val="single" w:sz="4" w:space="0" w:color="auto"/>
              <w:bottom w:val="single" w:sz="4" w:space="0" w:color="auto"/>
              <w:right w:val="single" w:sz="4" w:space="0" w:color="auto"/>
            </w:tcBorders>
            <w:hideMark/>
          </w:tcPr>
          <w:p w:rsidR="00AA7891" w14:paraId="37A7095D" w14:textId="77777777">
            <w:pPr>
              <w:jc w:val="center"/>
              <w:rPr>
                <w:rFonts w:cs="Arial"/>
              </w:rPr>
            </w:pPr>
            <w:r>
              <w:rPr>
                <w:rFonts w:cs="Arial"/>
              </w:rPr>
              <w:t>No. of Responses per Respondent</w:t>
            </w:r>
          </w:p>
        </w:tc>
        <w:tc>
          <w:tcPr>
            <w:tcW w:w="1440" w:type="dxa"/>
            <w:tcBorders>
              <w:top w:val="single" w:sz="4" w:space="0" w:color="auto"/>
              <w:left w:val="single" w:sz="4" w:space="0" w:color="auto"/>
              <w:bottom w:val="single" w:sz="4" w:space="0" w:color="auto"/>
              <w:right w:val="single" w:sz="4" w:space="0" w:color="auto"/>
            </w:tcBorders>
            <w:hideMark/>
          </w:tcPr>
          <w:p w:rsidR="00AA7891" w14:paraId="1E1F1346" w14:textId="77777777">
            <w:pPr>
              <w:jc w:val="center"/>
              <w:rPr>
                <w:rFonts w:cs="Arial"/>
              </w:rPr>
            </w:pPr>
            <w:r>
              <w:rPr>
                <w:rFonts w:cs="Arial"/>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AA7891" w14:paraId="293319C8" w14:textId="77777777">
            <w:pPr>
              <w:jc w:val="center"/>
              <w:rPr>
                <w:rFonts w:cs="Arial"/>
              </w:rPr>
            </w:pPr>
            <w:r>
              <w:rPr>
                <w:rFonts w:cs="Arial"/>
              </w:rPr>
              <w:t>Average Burden per Response</w:t>
            </w:r>
          </w:p>
        </w:tc>
        <w:tc>
          <w:tcPr>
            <w:tcW w:w="900" w:type="dxa"/>
            <w:tcBorders>
              <w:top w:val="single" w:sz="4" w:space="0" w:color="auto"/>
              <w:left w:val="single" w:sz="4" w:space="0" w:color="auto"/>
              <w:bottom w:val="single" w:sz="4" w:space="0" w:color="auto"/>
              <w:right w:val="single" w:sz="4" w:space="0" w:color="auto"/>
            </w:tcBorders>
            <w:hideMark/>
          </w:tcPr>
          <w:p w:rsidR="00AA7891" w14:paraId="2870CDB9" w14:textId="77777777">
            <w:pPr>
              <w:jc w:val="center"/>
              <w:rPr>
                <w:rFonts w:cs="Arial"/>
              </w:rPr>
            </w:pPr>
            <w:r>
              <w:rPr>
                <w:rFonts w:cs="Arial"/>
              </w:rPr>
              <w:t>Total Hours</w:t>
            </w:r>
          </w:p>
        </w:tc>
      </w:tr>
      <w:tr w14:paraId="3FB1B8D8" w14:textId="77777777" w:rsidTr="00AA7891">
        <w:tblPrEx>
          <w:tblW w:w="9360" w:type="dxa"/>
          <w:jc w:val="center"/>
          <w:tblLayout w:type="fixed"/>
          <w:tblLook w:val="01E0"/>
        </w:tblPrEx>
        <w:trPr>
          <w:cantSplit/>
          <w:jc w:val="center"/>
        </w:trPr>
        <w:tc>
          <w:tcPr>
            <w:tcW w:w="2520" w:type="dxa"/>
            <w:tcBorders>
              <w:top w:val="single" w:sz="4" w:space="0" w:color="auto"/>
              <w:left w:val="single" w:sz="4" w:space="0" w:color="auto"/>
              <w:bottom w:val="single" w:sz="4" w:space="0" w:color="auto"/>
              <w:right w:val="single" w:sz="4" w:space="0" w:color="auto"/>
            </w:tcBorders>
            <w:hideMark/>
          </w:tcPr>
          <w:p w:rsidR="00AA7891" w14:paraId="7585C833" w14:textId="19BB913F">
            <w:pPr>
              <w:rPr>
                <w:rFonts w:cs="Arial"/>
              </w:rPr>
            </w:pPr>
            <w:r>
              <w:t>Submission of information to FDA about device distribution and remedial actions to be taken, as specified in the order</w:t>
            </w:r>
            <w:r w:rsidR="00A905AE">
              <w:rPr>
                <w:rFonts w:cs="Arial"/>
              </w:rPr>
              <w:t>--810.10(d)</w:t>
            </w:r>
          </w:p>
        </w:tc>
        <w:tc>
          <w:tcPr>
            <w:tcW w:w="1620" w:type="dxa"/>
            <w:tcBorders>
              <w:top w:val="single" w:sz="4" w:space="0" w:color="auto"/>
              <w:left w:val="single" w:sz="4" w:space="0" w:color="auto"/>
              <w:bottom w:val="single" w:sz="4" w:space="0" w:color="auto"/>
              <w:right w:val="single" w:sz="4" w:space="0" w:color="auto"/>
            </w:tcBorders>
            <w:hideMark/>
          </w:tcPr>
          <w:p w:rsidR="00AA7891" w14:paraId="285E3355" w14:textId="77777777">
            <w:pPr>
              <w:rPr>
                <w:rFonts w:cs="Arial"/>
              </w:rPr>
            </w:pPr>
            <w:r>
              <w:rPr>
                <w:rFonts w:cs="Arial"/>
              </w:rPr>
              <w:t>2</w:t>
            </w:r>
          </w:p>
        </w:tc>
        <w:tc>
          <w:tcPr>
            <w:tcW w:w="1620" w:type="dxa"/>
            <w:tcBorders>
              <w:top w:val="single" w:sz="4" w:space="0" w:color="auto"/>
              <w:left w:val="single" w:sz="4" w:space="0" w:color="auto"/>
              <w:bottom w:val="single" w:sz="4" w:space="0" w:color="auto"/>
              <w:right w:val="single" w:sz="4" w:space="0" w:color="auto"/>
            </w:tcBorders>
            <w:hideMark/>
          </w:tcPr>
          <w:p w:rsidR="00AA7891" w14:paraId="40E3FF72" w14:textId="77777777">
            <w:pPr>
              <w:rPr>
                <w:rFonts w:cs="Arial"/>
              </w:rPr>
            </w:pPr>
            <w:r>
              <w:rPr>
                <w:rFonts w:cs="Arial"/>
              </w:rPr>
              <w:t>1</w:t>
            </w:r>
          </w:p>
        </w:tc>
        <w:tc>
          <w:tcPr>
            <w:tcW w:w="1440" w:type="dxa"/>
            <w:tcBorders>
              <w:top w:val="single" w:sz="4" w:space="0" w:color="auto"/>
              <w:left w:val="single" w:sz="4" w:space="0" w:color="auto"/>
              <w:bottom w:val="single" w:sz="4" w:space="0" w:color="auto"/>
              <w:right w:val="single" w:sz="4" w:space="0" w:color="auto"/>
            </w:tcBorders>
            <w:hideMark/>
          </w:tcPr>
          <w:p w:rsidR="00AA7891" w14:paraId="05CBA1C4" w14:textId="77777777">
            <w:pPr>
              <w:rPr>
                <w:rFonts w:cs="Arial"/>
              </w:rPr>
            </w:pPr>
            <w:r>
              <w:rPr>
                <w:rFonts w:cs="Arial"/>
              </w:rPr>
              <w:t>2</w:t>
            </w:r>
          </w:p>
        </w:tc>
        <w:tc>
          <w:tcPr>
            <w:tcW w:w="1260" w:type="dxa"/>
            <w:tcBorders>
              <w:top w:val="single" w:sz="4" w:space="0" w:color="auto"/>
              <w:left w:val="single" w:sz="4" w:space="0" w:color="auto"/>
              <w:bottom w:val="single" w:sz="4" w:space="0" w:color="auto"/>
              <w:right w:val="single" w:sz="4" w:space="0" w:color="auto"/>
            </w:tcBorders>
            <w:hideMark/>
          </w:tcPr>
          <w:p w:rsidR="00AA7891" w14:paraId="70099E83" w14:textId="77777777">
            <w:pPr>
              <w:rPr>
                <w:rFonts w:cs="Arial"/>
              </w:rPr>
            </w:pPr>
            <w:r>
              <w:rPr>
                <w:rFonts w:cs="Arial"/>
              </w:rPr>
              <w:t>8</w:t>
            </w:r>
          </w:p>
        </w:tc>
        <w:tc>
          <w:tcPr>
            <w:tcW w:w="900" w:type="dxa"/>
            <w:tcBorders>
              <w:top w:val="single" w:sz="4" w:space="0" w:color="auto"/>
              <w:left w:val="single" w:sz="4" w:space="0" w:color="auto"/>
              <w:bottom w:val="single" w:sz="4" w:space="0" w:color="auto"/>
              <w:right w:val="single" w:sz="4" w:space="0" w:color="auto"/>
            </w:tcBorders>
            <w:hideMark/>
          </w:tcPr>
          <w:p w:rsidR="00AA7891" w14:paraId="3C12FE47" w14:textId="77777777">
            <w:pPr>
              <w:rPr>
                <w:rFonts w:cs="Arial"/>
              </w:rPr>
            </w:pPr>
            <w:r>
              <w:rPr>
                <w:rFonts w:cs="Arial"/>
              </w:rPr>
              <w:t>16</w:t>
            </w:r>
          </w:p>
        </w:tc>
      </w:tr>
      <w:tr w14:paraId="67595CA8" w14:textId="77777777" w:rsidTr="00AA7891">
        <w:tblPrEx>
          <w:tblW w:w="9360" w:type="dxa"/>
          <w:jc w:val="center"/>
          <w:tblLayout w:type="fixed"/>
          <w:tblLook w:val="01E0"/>
        </w:tblPrEx>
        <w:trPr>
          <w:cantSplit/>
          <w:jc w:val="center"/>
        </w:trPr>
        <w:tc>
          <w:tcPr>
            <w:tcW w:w="2520" w:type="dxa"/>
            <w:tcBorders>
              <w:top w:val="single" w:sz="4" w:space="0" w:color="auto"/>
              <w:left w:val="single" w:sz="4" w:space="0" w:color="auto"/>
              <w:bottom w:val="single" w:sz="4" w:space="0" w:color="auto"/>
              <w:right w:val="single" w:sz="4" w:space="0" w:color="auto"/>
            </w:tcBorders>
            <w:hideMark/>
          </w:tcPr>
          <w:p w:rsidR="00AA7891" w14:paraId="200D0226" w14:textId="4BBFD0C3">
            <w:pPr>
              <w:rPr>
                <w:rFonts w:cs="Arial"/>
              </w:rPr>
            </w:pPr>
            <w:r>
              <w:t>Submission of a written request for regulatory hearing</w:t>
            </w:r>
            <w:r w:rsidR="00A905AE">
              <w:rPr>
                <w:rFonts w:cs="Arial"/>
              </w:rPr>
              <w:t>--810.11(a)</w:t>
            </w:r>
          </w:p>
        </w:tc>
        <w:tc>
          <w:tcPr>
            <w:tcW w:w="1620" w:type="dxa"/>
            <w:tcBorders>
              <w:top w:val="single" w:sz="4" w:space="0" w:color="auto"/>
              <w:left w:val="single" w:sz="4" w:space="0" w:color="auto"/>
              <w:bottom w:val="single" w:sz="4" w:space="0" w:color="auto"/>
              <w:right w:val="single" w:sz="4" w:space="0" w:color="auto"/>
            </w:tcBorders>
            <w:hideMark/>
          </w:tcPr>
          <w:p w:rsidR="00AA7891" w14:paraId="2E1830D1" w14:textId="77777777">
            <w:pPr>
              <w:rPr>
                <w:rFonts w:cs="Arial"/>
              </w:rPr>
            </w:pPr>
            <w:r>
              <w:rPr>
                <w:rFonts w:cs="Arial"/>
              </w:rPr>
              <w:t>1</w:t>
            </w:r>
          </w:p>
        </w:tc>
        <w:tc>
          <w:tcPr>
            <w:tcW w:w="1620" w:type="dxa"/>
            <w:tcBorders>
              <w:top w:val="single" w:sz="4" w:space="0" w:color="auto"/>
              <w:left w:val="single" w:sz="4" w:space="0" w:color="auto"/>
              <w:bottom w:val="single" w:sz="4" w:space="0" w:color="auto"/>
              <w:right w:val="single" w:sz="4" w:space="0" w:color="auto"/>
            </w:tcBorders>
            <w:hideMark/>
          </w:tcPr>
          <w:p w:rsidR="00AA7891" w14:paraId="71158090" w14:textId="77777777">
            <w:pPr>
              <w:rPr>
                <w:rFonts w:cs="Arial"/>
              </w:rPr>
            </w:pPr>
            <w:r>
              <w:rPr>
                <w:rFonts w:cs="Arial"/>
              </w:rPr>
              <w:t>1</w:t>
            </w:r>
          </w:p>
        </w:tc>
        <w:tc>
          <w:tcPr>
            <w:tcW w:w="1440" w:type="dxa"/>
            <w:tcBorders>
              <w:top w:val="single" w:sz="4" w:space="0" w:color="auto"/>
              <w:left w:val="single" w:sz="4" w:space="0" w:color="auto"/>
              <w:bottom w:val="single" w:sz="4" w:space="0" w:color="auto"/>
              <w:right w:val="single" w:sz="4" w:space="0" w:color="auto"/>
            </w:tcBorders>
            <w:hideMark/>
          </w:tcPr>
          <w:p w:rsidR="00AA7891" w14:paraId="60F20ED2" w14:textId="77777777">
            <w:pPr>
              <w:rPr>
                <w:rFonts w:cs="Arial"/>
              </w:rPr>
            </w:pPr>
            <w:r>
              <w:rPr>
                <w:rFonts w:cs="Arial"/>
              </w:rPr>
              <w:t>1</w:t>
            </w:r>
          </w:p>
        </w:tc>
        <w:tc>
          <w:tcPr>
            <w:tcW w:w="1260" w:type="dxa"/>
            <w:tcBorders>
              <w:top w:val="single" w:sz="4" w:space="0" w:color="auto"/>
              <w:left w:val="single" w:sz="4" w:space="0" w:color="auto"/>
              <w:bottom w:val="single" w:sz="4" w:space="0" w:color="auto"/>
              <w:right w:val="single" w:sz="4" w:space="0" w:color="auto"/>
            </w:tcBorders>
            <w:hideMark/>
          </w:tcPr>
          <w:p w:rsidR="00AA7891" w14:paraId="412F6787" w14:textId="77777777">
            <w:pPr>
              <w:rPr>
                <w:rFonts w:cs="Arial"/>
              </w:rPr>
            </w:pPr>
            <w:r>
              <w:rPr>
                <w:rFonts w:cs="Arial"/>
              </w:rPr>
              <w:t>8</w:t>
            </w:r>
          </w:p>
        </w:tc>
        <w:tc>
          <w:tcPr>
            <w:tcW w:w="900" w:type="dxa"/>
            <w:tcBorders>
              <w:top w:val="single" w:sz="4" w:space="0" w:color="auto"/>
              <w:left w:val="single" w:sz="4" w:space="0" w:color="auto"/>
              <w:bottom w:val="single" w:sz="4" w:space="0" w:color="auto"/>
              <w:right w:val="single" w:sz="4" w:space="0" w:color="auto"/>
            </w:tcBorders>
            <w:hideMark/>
          </w:tcPr>
          <w:p w:rsidR="00AA7891" w14:paraId="52A38CB2" w14:textId="77777777">
            <w:pPr>
              <w:rPr>
                <w:rFonts w:cs="Arial"/>
              </w:rPr>
            </w:pPr>
            <w:r>
              <w:rPr>
                <w:rFonts w:cs="Arial"/>
              </w:rPr>
              <w:t>8</w:t>
            </w:r>
          </w:p>
        </w:tc>
      </w:tr>
      <w:tr w14:paraId="62AACAE0" w14:textId="77777777" w:rsidTr="00AA7891">
        <w:tblPrEx>
          <w:tblW w:w="9360" w:type="dxa"/>
          <w:jc w:val="center"/>
          <w:tblLayout w:type="fixed"/>
          <w:tblLook w:val="01E0"/>
        </w:tblPrEx>
        <w:trPr>
          <w:cantSplit/>
          <w:jc w:val="center"/>
        </w:trPr>
        <w:tc>
          <w:tcPr>
            <w:tcW w:w="2520" w:type="dxa"/>
            <w:tcBorders>
              <w:top w:val="single" w:sz="4" w:space="0" w:color="auto"/>
              <w:left w:val="single" w:sz="4" w:space="0" w:color="auto"/>
              <w:bottom w:val="single" w:sz="4" w:space="0" w:color="auto"/>
              <w:right w:val="single" w:sz="4" w:space="0" w:color="auto"/>
            </w:tcBorders>
            <w:hideMark/>
          </w:tcPr>
          <w:p w:rsidR="00AA7891" w14:paraId="6A448A9F" w14:textId="18B8AF7F">
            <w:pPr>
              <w:rPr>
                <w:rFonts w:cs="Arial"/>
              </w:rPr>
            </w:pPr>
            <w:r>
              <w:t>Submission of a written request to FDA asking that the order be modified or vacated</w:t>
            </w:r>
            <w:r w:rsidR="00A905AE">
              <w:rPr>
                <w:rFonts w:cs="Arial"/>
              </w:rPr>
              <w:t>--810.12(a-b)</w:t>
            </w:r>
          </w:p>
        </w:tc>
        <w:tc>
          <w:tcPr>
            <w:tcW w:w="1620" w:type="dxa"/>
            <w:tcBorders>
              <w:top w:val="single" w:sz="4" w:space="0" w:color="auto"/>
              <w:left w:val="single" w:sz="4" w:space="0" w:color="auto"/>
              <w:bottom w:val="single" w:sz="4" w:space="0" w:color="auto"/>
              <w:right w:val="single" w:sz="4" w:space="0" w:color="auto"/>
            </w:tcBorders>
            <w:hideMark/>
          </w:tcPr>
          <w:p w:rsidR="00AA7891" w14:paraId="6286DDAF" w14:textId="77777777">
            <w:pPr>
              <w:rPr>
                <w:rFonts w:cs="Arial"/>
              </w:rPr>
            </w:pPr>
            <w:r>
              <w:rPr>
                <w:rFonts w:cs="Arial"/>
              </w:rPr>
              <w:t>1</w:t>
            </w:r>
          </w:p>
        </w:tc>
        <w:tc>
          <w:tcPr>
            <w:tcW w:w="1620" w:type="dxa"/>
            <w:tcBorders>
              <w:top w:val="single" w:sz="4" w:space="0" w:color="auto"/>
              <w:left w:val="single" w:sz="4" w:space="0" w:color="auto"/>
              <w:bottom w:val="single" w:sz="4" w:space="0" w:color="auto"/>
              <w:right w:val="single" w:sz="4" w:space="0" w:color="auto"/>
            </w:tcBorders>
            <w:hideMark/>
          </w:tcPr>
          <w:p w:rsidR="00AA7891" w14:paraId="6AF3804D" w14:textId="77777777">
            <w:pPr>
              <w:rPr>
                <w:rFonts w:cs="Arial"/>
              </w:rPr>
            </w:pPr>
            <w:r>
              <w:rPr>
                <w:rFonts w:cs="Arial"/>
              </w:rPr>
              <w:t>1</w:t>
            </w:r>
          </w:p>
        </w:tc>
        <w:tc>
          <w:tcPr>
            <w:tcW w:w="1440" w:type="dxa"/>
            <w:tcBorders>
              <w:top w:val="single" w:sz="4" w:space="0" w:color="auto"/>
              <w:left w:val="single" w:sz="4" w:space="0" w:color="auto"/>
              <w:bottom w:val="single" w:sz="4" w:space="0" w:color="auto"/>
              <w:right w:val="single" w:sz="4" w:space="0" w:color="auto"/>
            </w:tcBorders>
            <w:hideMark/>
          </w:tcPr>
          <w:p w:rsidR="00AA7891" w14:paraId="1A8E023C" w14:textId="77777777">
            <w:pPr>
              <w:rPr>
                <w:rFonts w:cs="Arial"/>
              </w:rPr>
            </w:pPr>
            <w:r>
              <w:rPr>
                <w:rFonts w:cs="Arial"/>
              </w:rPr>
              <w:t>1</w:t>
            </w:r>
          </w:p>
        </w:tc>
        <w:tc>
          <w:tcPr>
            <w:tcW w:w="1260" w:type="dxa"/>
            <w:tcBorders>
              <w:top w:val="single" w:sz="4" w:space="0" w:color="auto"/>
              <w:left w:val="single" w:sz="4" w:space="0" w:color="auto"/>
              <w:bottom w:val="single" w:sz="4" w:space="0" w:color="auto"/>
              <w:right w:val="single" w:sz="4" w:space="0" w:color="auto"/>
            </w:tcBorders>
            <w:hideMark/>
          </w:tcPr>
          <w:p w:rsidR="00AA7891" w14:paraId="54F87FCD" w14:textId="77777777">
            <w:pPr>
              <w:rPr>
                <w:rFonts w:cs="Arial"/>
              </w:rPr>
            </w:pPr>
            <w:r>
              <w:rPr>
                <w:rFonts w:cs="Arial"/>
              </w:rPr>
              <w:t>8</w:t>
            </w:r>
          </w:p>
        </w:tc>
        <w:tc>
          <w:tcPr>
            <w:tcW w:w="900" w:type="dxa"/>
            <w:tcBorders>
              <w:top w:val="single" w:sz="4" w:space="0" w:color="auto"/>
              <w:left w:val="single" w:sz="4" w:space="0" w:color="auto"/>
              <w:bottom w:val="single" w:sz="4" w:space="0" w:color="auto"/>
              <w:right w:val="single" w:sz="4" w:space="0" w:color="auto"/>
            </w:tcBorders>
            <w:hideMark/>
          </w:tcPr>
          <w:p w:rsidR="00AA7891" w14:paraId="5C4BCAAA" w14:textId="77777777">
            <w:pPr>
              <w:rPr>
                <w:rFonts w:cs="Arial"/>
              </w:rPr>
            </w:pPr>
            <w:r>
              <w:rPr>
                <w:rFonts w:cs="Arial"/>
              </w:rPr>
              <w:t>8</w:t>
            </w:r>
          </w:p>
        </w:tc>
      </w:tr>
      <w:tr w14:paraId="32DF201E" w14:textId="77777777" w:rsidTr="00AA7891">
        <w:tblPrEx>
          <w:tblW w:w="9360" w:type="dxa"/>
          <w:jc w:val="center"/>
          <w:tblLayout w:type="fixed"/>
          <w:tblLook w:val="01E0"/>
        </w:tblPrEx>
        <w:trPr>
          <w:cantSplit/>
          <w:jc w:val="center"/>
        </w:trPr>
        <w:tc>
          <w:tcPr>
            <w:tcW w:w="2520" w:type="dxa"/>
            <w:tcBorders>
              <w:top w:val="single" w:sz="4" w:space="0" w:color="auto"/>
              <w:left w:val="single" w:sz="4" w:space="0" w:color="auto"/>
              <w:bottom w:val="single" w:sz="4" w:space="0" w:color="auto"/>
              <w:right w:val="single" w:sz="4" w:space="0" w:color="auto"/>
            </w:tcBorders>
            <w:hideMark/>
          </w:tcPr>
          <w:p w:rsidR="00AA7891" w14:paraId="4D35DB86" w14:textId="003148C6">
            <w:pPr>
              <w:rPr>
                <w:rFonts w:cs="Arial"/>
              </w:rPr>
            </w:pPr>
            <w:r w:rsidRPr="00384291">
              <w:rPr>
                <w:rFonts w:cs="Arial"/>
              </w:rPr>
              <w:t>Submission of a strategy for compliance with cease distribution and notification or mandatory recall order</w:t>
            </w:r>
            <w:r w:rsidR="00A905AE">
              <w:rPr>
                <w:rFonts w:cs="Arial"/>
              </w:rPr>
              <w:t>--810.14</w:t>
            </w:r>
          </w:p>
        </w:tc>
        <w:tc>
          <w:tcPr>
            <w:tcW w:w="1620" w:type="dxa"/>
            <w:tcBorders>
              <w:top w:val="single" w:sz="4" w:space="0" w:color="auto"/>
              <w:left w:val="single" w:sz="4" w:space="0" w:color="auto"/>
              <w:bottom w:val="single" w:sz="4" w:space="0" w:color="auto"/>
              <w:right w:val="single" w:sz="4" w:space="0" w:color="auto"/>
            </w:tcBorders>
            <w:hideMark/>
          </w:tcPr>
          <w:p w:rsidR="00AA7891" w14:paraId="26338FF4" w14:textId="77777777">
            <w:pPr>
              <w:rPr>
                <w:rFonts w:cs="Arial"/>
              </w:rPr>
            </w:pPr>
            <w:r>
              <w:rPr>
                <w:rFonts w:cs="Arial"/>
              </w:rPr>
              <w:t>2</w:t>
            </w:r>
          </w:p>
        </w:tc>
        <w:tc>
          <w:tcPr>
            <w:tcW w:w="1620" w:type="dxa"/>
            <w:tcBorders>
              <w:top w:val="single" w:sz="4" w:space="0" w:color="auto"/>
              <w:left w:val="single" w:sz="4" w:space="0" w:color="auto"/>
              <w:bottom w:val="single" w:sz="4" w:space="0" w:color="auto"/>
              <w:right w:val="single" w:sz="4" w:space="0" w:color="auto"/>
            </w:tcBorders>
            <w:hideMark/>
          </w:tcPr>
          <w:p w:rsidR="00AA7891" w14:paraId="2326492D" w14:textId="77777777">
            <w:pPr>
              <w:rPr>
                <w:rFonts w:cs="Arial"/>
              </w:rPr>
            </w:pPr>
            <w:r>
              <w:rPr>
                <w:rFonts w:cs="Arial"/>
              </w:rPr>
              <w:t>1</w:t>
            </w:r>
          </w:p>
        </w:tc>
        <w:tc>
          <w:tcPr>
            <w:tcW w:w="1440" w:type="dxa"/>
            <w:tcBorders>
              <w:top w:val="single" w:sz="4" w:space="0" w:color="auto"/>
              <w:left w:val="single" w:sz="4" w:space="0" w:color="auto"/>
              <w:bottom w:val="single" w:sz="4" w:space="0" w:color="auto"/>
              <w:right w:val="single" w:sz="4" w:space="0" w:color="auto"/>
            </w:tcBorders>
            <w:hideMark/>
          </w:tcPr>
          <w:p w:rsidR="00AA7891" w14:paraId="0ED20C68" w14:textId="77777777">
            <w:pPr>
              <w:rPr>
                <w:rFonts w:cs="Arial"/>
              </w:rPr>
            </w:pPr>
            <w:r>
              <w:rPr>
                <w:rFonts w:cs="Arial"/>
              </w:rPr>
              <w:t>2</w:t>
            </w:r>
          </w:p>
        </w:tc>
        <w:tc>
          <w:tcPr>
            <w:tcW w:w="1260" w:type="dxa"/>
            <w:tcBorders>
              <w:top w:val="single" w:sz="4" w:space="0" w:color="auto"/>
              <w:left w:val="single" w:sz="4" w:space="0" w:color="auto"/>
              <w:bottom w:val="single" w:sz="4" w:space="0" w:color="auto"/>
              <w:right w:val="single" w:sz="4" w:space="0" w:color="auto"/>
            </w:tcBorders>
            <w:hideMark/>
          </w:tcPr>
          <w:p w:rsidR="00AA7891" w14:paraId="2B32A914" w14:textId="77777777">
            <w:pPr>
              <w:rPr>
                <w:rFonts w:cs="Arial"/>
              </w:rPr>
            </w:pPr>
            <w:r>
              <w:rPr>
                <w:rFonts w:cs="Arial"/>
              </w:rPr>
              <w:t>16</w:t>
            </w:r>
          </w:p>
        </w:tc>
        <w:tc>
          <w:tcPr>
            <w:tcW w:w="900" w:type="dxa"/>
            <w:tcBorders>
              <w:top w:val="single" w:sz="4" w:space="0" w:color="auto"/>
              <w:left w:val="single" w:sz="4" w:space="0" w:color="auto"/>
              <w:bottom w:val="single" w:sz="4" w:space="0" w:color="auto"/>
              <w:right w:val="single" w:sz="4" w:space="0" w:color="auto"/>
            </w:tcBorders>
            <w:hideMark/>
          </w:tcPr>
          <w:p w:rsidR="00AA7891" w14:paraId="518D400D" w14:textId="77777777">
            <w:pPr>
              <w:rPr>
                <w:rFonts w:cs="Arial"/>
              </w:rPr>
            </w:pPr>
            <w:r>
              <w:rPr>
                <w:rFonts w:cs="Arial"/>
              </w:rPr>
              <w:t>32</w:t>
            </w:r>
          </w:p>
        </w:tc>
      </w:tr>
      <w:tr w14:paraId="3A180927" w14:textId="77777777" w:rsidTr="00AA7891">
        <w:tblPrEx>
          <w:tblW w:w="9360" w:type="dxa"/>
          <w:jc w:val="center"/>
          <w:tblLayout w:type="fixed"/>
          <w:tblLook w:val="01E0"/>
        </w:tblPrEx>
        <w:trPr>
          <w:cantSplit/>
          <w:jc w:val="center"/>
        </w:trPr>
        <w:tc>
          <w:tcPr>
            <w:tcW w:w="2520" w:type="dxa"/>
            <w:tcBorders>
              <w:top w:val="single" w:sz="4" w:space="0" w:color="auto"/>
              <w:left w:val="single" w:sz="4" w:space="0" w:color="auto"/>
              <w:bottom w:val="single" w:sz="4" w:space="0" w:color="auto"/>
              <w:right w:val="single" w:sz="4" w:space="0" w:color="auto"/>
            </w:tcBorders>
            <w:hideMark/>
          </w:tcPr>
          <w:p w:rsidR="00AA7891" w14:paraId="34E0003B" w14:textId="7DC178CA">
            <w:pPr>
              <w:rPr>
                <w:rFonts w:cs="Arial"/>
              </w:rPr>
            </w:pPr>
            <w:r>
              <w:t>Submission of periodic status reports to FDA to enable the Agency to assess progress in compliance with the order</w:t>
            </w:r>
            <w:r w:rsidR="00A905AE">
              <w:rPr>
                <w:rFonts w:cs="Arial"/>
              </w:rPr>
              <w:t>--810.16(a-b)</w:t>
            </w:r>
          </w:p>
        </w:tc>
        <w:tc>
          <w:tcPr>
            <w:tcW w:w="1620" w:type="dxa"/>
            <w:tcBorders>
              <w:top w:val="single" w:sz="4" w:space="0" w:color="auto"/>
              <w:left w:val="single" w:sz="4" w:space="0" w:color="auto"/>
              <w:bottom w:val="single" w:sz="4" w:space="0" w:color="auto"/>
              <w:right w:val="single" w:sz="4" w:space="0" w:color="auto"/>
            </w:tcBorders>
            <w:hideMark/>
          </w:tcPr>
          <w:p w:rsidR="00AA7891" w14:paraId="1075AF67" w14:textId="77777777">
            <w:pPr>
              <w:rPr>
                <w:rFonts w:cs="Arial"/>
              </w:rPr>
            </w:pPr>
            <w:r>
              <w:rPr>
                <w:rFonts w:cs="Arial"/>
              </w:rPr>
              <w:t>2</w:t>
            </w:r>
          </w:p>
        </w:tc>
        <w:tc>
          <w:tcPr>
            <w:tcW w:w="1620" w:type="dxa"/>
            <w:tcBorders>
              <w:top w:val="single" w:sz="4" w:space="0" w:color="auto"/>
              <w:left w:val="single" w:sz="4" w:space="0" w:color="auto"/>
              <w:bottom w:val="single" w:sz="4" w:space="0" w:color="auto"/>
              <w:right w:val="single" w:sz="4" w:space="0" w:color="auto"/>
            </w:tcBorders>
            <w:hideMark/>
          </w:tcPr>
          <w:p w:rsidR="00AA7891" w14:paraId="0DD6BF57" w14:textId="77777777">
            <w:pPr>
              <w:rPr>
                <w:rFonts w:cs="Arial"/>
              </w:rPr>
            </w:pPr>
            <w:r>
              <w:rPr>
                <w:rFonts w:cs="Arial"/>
              </w:rPr>
              <w:t>12</w:t>
            </w:r>
          </w:p>
        </w:tc>
        <w:tc>
          <w:tcPr>
            <w:tcW w:w="1440" w:type="dxa"/>
            <w:tcBorders>
              <w:top w:val="single" w:sz="4" w:space="0" w:color="auto"/>
              <w:left w:val="single" w:sz="4" w:space="0" w:color="auto"/>
              <w:bottom w:val="single" w:sz="4" w:space="0" w:color="auto"/>
              <w:right w:val="single" w:sz="4" w:space="0" w:color="auto"/>
            </w:tcBorders>
            <w:hideMark/>
          </w:tcPr>
          <w:p w:rsidR="00AA7891" w14:paraId="02771393" w14:textId="77777777">
            <w:pPr>
              <w:rPr>
                <w:rFonts w:cs="Arial"/>
              </w:rPr>
            </w:pPr>
            <w:r>
              <w:rPr>
                <w:rFonts w:cs="Arial"/>
              </w:rPr>
              <w:t>24</w:t>
            </w:r>
          </w:p>
        </w:tc>
        <w:tc>
          <w:tcPr>
            <w:tcW w:w="1260" w:type="dxa"/>
            <w:tcBorders>
              <w:top w:val="single" w:sz="4" w:space="0" w:color="auto"/>
              <w:left w:val="single" w:sz="4" w:space="0" w:color="auto"/>
              <w:bottom w:val="single" w:sz="4" w:space="0" w:color="auto"/>
              <w:right w:val="single" w:sz="4" w:space="0" w:color="auto"/>
            </w:tcBorders>
            <w:hideMark/>
          </w:tcPr>
          <w:p w:rsidR="00AA7891" w14:paraId="2D368CE6" w14:textId="77777777">
            <w:pPr>
              <w:rPr>
                <w:rFonts w:cs="Arial"/>
              </w:rPr>
            </w:pPr>
            <w:r>
              <w:rPr>
                <w:rFonts w:cs="Arial"/>
              </w:rPr>
              <w:t>40</w:t>
            </w:r>
          </w:p>
        </w:tc>
        <w:tc>
          <w:tcPr>
            <w:tcW w:w="900" w:type="dxa"/>
            <w:tcBorders>
              <w:top w:val="single" w:sz="4" w:space="0" w:color="auto"/>
              <w:left w:val="single" w:sz="4" w:space="0" w:color="auto"/>
              <w:bottom w:val="single" w:sz="4" w:space="0" w:color="auto"/>
              <w:right w:val="single" w:sz="4" w:space="0" w:color="auto"/>
            </w:tcBorders>
            <w:hideMark/>
          </w:tcPr>
          <w:p w:rsidR="00AA7891" w14:paraId="20C82AA0" w14:textId="77777777">
            <w:pPr>
              <w:rPr>
                <w:rFonts w:cs="Arial"/>
              </w:rPr>
            </w:pPr>
            <w:r>
              <w:rPr>
                <w:rFonts w:cs="Arial"/>
              </w:rPr>
              <w:t>960</w:t>
            </w:r>
          </w:p>
        </w:tc>
      </w:tr>
      <w:tr w14:paraId="73B8B1D0" w14:textId="77777777" w:rsidTr="00AA7891">
        <w:tblPrEx>
          <w:tblW w:w="9360" w:type="dxa"/>
          <w:jc w:val="center"/>
          <w:tblLayout w:type="fixed"/>
          <w:tblLook w:val="01E0"/>
        </w:tblPrEx>
        <w:trPr>
          <w:cantSplit/>
          <w:jc w:val="center"/>
        </w:trPr>
        <w:tc>
          <w:tcPr>
            <w:tcW w:w="2520" w:type="dxa"/>
            <w:tcBorders>
              <w:top w:val="single" w:sz="4" w:space="0" w:color="auto"/>
              <w:left w:val="single" w:sz="4" w:space="0" w:color="auto"/>
              <w:bottom w:val="single" w:sz="4" w:space="0" w:color="auto"/>
              <w:right w:val="single" w:sz="4" w:space="0" w:color="auto"/>
            </w:tcBorders>
            <w:hideMark/>
          </w:tcPr>
          <w:p w:rsidR="00AA7891" w14:paraId="4723EC84" w14:textId="0243EBAD">
            <w:pPr>
              <w:rPr>
                <w:rFonts w:cs="Arial"/>
              </w:rPr>
            </w:pPr>
            <w:r>
              <w:t>Submission of a written request to FDA to certify compliance with and terminate the order</w:t>
            </w:r>
            <w:r w:rsidR="00A905AE">
              <w:rPr>
                <w:rFonts w:cs="Arial"/>
              </w:rPr>
              <w:t>--810.17(a)</w:t>
            </w:r>
          </w:p>
        </w:tc>
        <w:tc>
          <w:tcPr>
            <w:tcW w:w="1620" w:type="dxa"/>
            <w:tcBorders>
              <w:top w:val="single" w:sz="4" w:space="0" w:color="auto"/>
              <w:left w:val="single" w:sz="4" w:space="0" w:color="auto"/>
              <w:bottom w:val="single" w:sz="4" w:space="0" w:color="auto"/>
              <w:right w:val="single" w:sz="4" w:space="0" w:color="auto"/>
            </w:tcBorders>
            <w:hideMark/>
          </w:tcPr>
          <w:p w:rsidR="00AA7891" w14:paraId="48356B81" w14:textId="77777777">
            <w:pPr>
              <w:rPr>
                <w:rFonts w:cs="Arial"/>
              </w:rPr>
            </w:pPr>
            <w:r>
              <w:rPr>
                <w:rFonts w:cs="Arial"/>
              </w:rPr>
              <w:t>2</w:t>
            </w:r>
          </w:p>
        </w:tc>
        <w:tc>
          <w:tcPr>
            <w:tcW w:w="1620" w:type="dxa"/>
            <w:tcBorders>
              <w:top w:val="single" w:sz="4" w:space="0" w:color="auto"/>
              <w:left w:val="single" w:sz="4" w:space="0" w:color="auto"/>
              <w:bottom w:val="single" w:sz="4" w:space="0" w:color="auto"/>
              <w:right w:val="single" w:sz="4" w:space="0" w:color="auto"/>
            </w:tcBorders>
            <w:hideMark/>
          </w:tcPr>
          <w:p w:rsidR="00AA7891" w14:paraId="446A0EC0" w14:textId="77777777">
            <w:pPr>
              <w:rPr>
                <w:rFonts w:cs="Arial"/>
              </w:rPr>
            </w:pPr>
            <w:r>
              <w:rPr>
                <w:rFonts w:cs="Arial"/>
              </w:rPr>
              <w:t>1</w:t>
            </w:r>
          </w:p>
        </w:tc>
        <w:tc>
          <w:tcPr>
            <w:tcW w:w="1440" w:type="dxa"/>
            <w:tcBorders>
              <w:top w:val="single" w:sz="4" w:space="0" w:color="auto"/>
              <w:left w:val="single" w:sz="4" w:space="0" w:color="auto"/>
              <w:bottom w:val="single" w:sz="4" w:space="0" w:color="auto"/>
              <w:right w:val="single" w:sz="4" w:space="0" w:color="auto"/>
            </w:tcBorders>
            <w:hideMark/>
          </w:tcPr>
          <w:p w:rsidR="00AA7891" w14:paraId="33C4C241" w14:textId="77777777">
            <w:pPr>
              <w:rPr>
                <w:rFonts w:cs="Arial"/>
              </w:rPr>
            </w:pPr>
            <w:r>
              <w:rPr>
                <w:rFonts w:cs="Arial"/>
              </w:rPr>
              <w:t>2</w:t>
            </w:r>
          </w:p>
        </w:tc>
        <w:tc>
          <w:tcPr>
            <w:tcW w:w="1260" w:type="dxa"/>
            <w:tcBorders>
              <w:top w:val="single" w:sz="4" w:space="0" w:color="auto"/>
              <w:left w:val="single" w:sz="4" w:space="0" w:color="auto"/>
              <w:bottom w:val="single" w:sz="4" w:space="0" w:color="auto"/>
              <w:right w:val="single" w:sz="4" w:space="0" w:color="auto"/>
            </w:tcBorders>
            <w:hideMark/>
          </w:tcPr>
          <w:p w:rsidR="00AA7891" w14:paraId="1E5CFDAC" w14:textId="77777777">
            <w:pPr>
              <w:rPr>
                <w:rFonts w:cs="Arial"/>
              </w:rPr>
            </w:pPr>
            <w:r>
              <w:rPr>
                <w:rFonts w:cs="Arial"/>
              </w:rPr>
              <w:t>8</w:t>
            </w:r>
          </w:p>
        </w:tc>
        <w:tc>
          <w:tcPr>
            <w:tcW w:w="900" w:type="dxa"/>
            <w:tcBorders>
              <w:top w:val="single" w:sz="4" w:space="0" w:color="auto"/>
              <w:left w:val="single" w:sz="4" w:space="0" w:color="auto"/>
              <w:bottom w:val="single" w:sz="4" w:space="0" w:color="auto"/>
              <w:right w:val="single" w:sz="4" w:space="0" w:color="auto"/>
            </w:tcBorders>
            <w:hideMark/>
          </w:tcPr>
          <w:p w:rsidR="00AA7891" w14:paraId="707C82F4" w14:textId="77777777">
            <w:pPr>
              <w:rPr>
                <w:rFonts w:cs="Arial"/>
              </w:rPr>
            </w:pPr>
            <w:r>
              <w:rPr>
                <w:rFonts w:cs="Arial"/>
              </w:rPr>
              <w:t>16</w:t>
            </w:r>
          </w:p>
        </w:tc>
      </w:tr>
      <w:tr w14:paraId="680297DB" w14:textId="77777777" w:rsidTr="00AA7891">
        <w:tblPrEx>
          <w:tblW w:w="9360" w:type="dxa"/>
          <w:jc w:val="center"/>
          <w:tblLayout w:type="fixed"/>
          <w:tblLook w:val="01E0"/>
        </w:tblPrEx>
        <w:trPr>
          <w:cantSplit/>
          <w:jc w:val="center"/>
        </w:trPr>
        <w:tc>
          <w:tcPr>
            <w:tcW w:w="8460" w:type="dxa"/>
            <w:gridSpan w:val="5"/>
            <w:tcBorders>
              <w:top w:val="single" w:sz="4" w:space="0" w:color="auto"/>
              <w:left w:val="single" w:sz="4" w:space="0" w:color="auto"/>
              <w:bottom w:val="single" w:sz="4" w:space="0" w:color="auto"/>
              <w:right w:val="single" w:sz="4" w:space="0" w:color="auto"/>
            </w:tcBorders>
            <w:hideMark/>
          </w:tcPr>
          <w:p w:rsidR="00AA7891" w14:paraId="0F8A7D6A" w14:textId="77777777">
            <w:pPr>
              <w:rPr>
                <w:rFonts w:cs="Arial"/>
              </w:rPr>
            </w:pPr>
            <w:r>
              <w:rPr>
                <w:rFonts w:cs="Arial"/>
              </w:rPr>
              <w:t>Total Hours</w:t>
            </w:r>
          </w:p>
        </w:tc>
        <w:tc>
          <w:tcPr>
            <w:tcW w:w="900" w:type="dxa"/>
            <w:tcBorders>
              <w:top w:val="single" w:sz="4" w:space="0" w:color="auto"/>
              <w:left w:val="single" w:sz="4" w:space="0" w:color="auto"/>
              <w:bottom w:val="single" w:sz="4" w:space="0" w:color="auto"/>
              <w:right w:val="single" w:sz="4" w:space="0" w:color="auto"/>
            </w:tcBorders>
            <w:hideMark/>
          </w:tcPr>
          <w:p w:rsidR="00AA7891" w14:paraId="4EFA00EE" w14:textId="77777777">
            <w:pPr>
              <w:rPr>
                <w:rFonts w:cs="Arial"/>
              </w:rPr>
            </w:pPr>
            <w:r>
              <w:rPr>
                <w:rFonts w:cs="Arial"/>
              </w:rPr>
              <w:t>1,040</w:t>
            </w:r>
          </w:p>
        </w:tc>
      </w:tr>
    </w:tbl>
    <w:p w:rsidR="00AA7891" w:rsidP="00AA7891" w14:paraId="46888DE4" w14:textId="77777777">
      <w:pPr>
        <w:pStyle w:val="HTMLPreformatted"/>
        <w:rPr>
          <w:rFonts w:ascii="Times New Roman" w:hAnsi="Times New Roman" w:cs="Times New Roman"/>
          <w:sz w:val="24"/>
          <w:szCs w:val="24"/>
        </w:rPr>
      </w:pPr>
    </w:p>
    <w:p w:rsidR="00AA7891" w:rsidRPr="00545D64" w:rsidP="00AA7891" w14:paraId="7FB83BCA" w14:textId="6F746379">
      <w:pPr>
        <w:keepNext/>
        <w:jc w:val="center"/>
        <w:rPr>
          <w:rFonts w:cs="Arial"/>
          <w:bCs/>
        </w:rPr>
      </w:pPr>
      <w:r>
        <w:rPr>
          <w:rFonts w:cs="Arial"/>
        </w:rPr>
        <w:t xml:space="preserve">  </w:t>
      </w:r>
      <w:r w:rsidRPr="00545D64">
        <w:rPr>
          <w:rFonts w:cs="Arial"/>
          <w:bCs/>
        </w:rPr>
        <w:t>T</w:t>
      </w:r>
      <w:r w:rsidR="00F429DF">
        <w:rPr>
          <w:rFonts w:cs="Arial"/>
          <w:bCs/>
        </w:rPr>
        <w:t>able</w:t>
      </w:r>
      <w:r w:rsidRPr="00545D64">
        <w:rPr>
          <w:rFonts w:cs="Arial"/>
          <w:bCs/>
        </w:rPr>
        <w:t xml:space="preserve"> 2</w:t>
      </w:r>
      <w:r w:rsidR="00F429DF">
        <w:rPr>
          <w:rFonts w:cs="Arial"/>
          <w:bCs/>
        </w:rPr>
        <w:t>.</w:t>
      </w:r>
      <w:r w:rsidRPr="00545D64">
        <w:rPr>
          <w:rFonts w:cs="Arial"/>
          <w:bCs/>
        </w:rPr>
        <w:t>—E</w:t>
      </w:r>
      <w:r w:rsidR="00F429DF">
        <w:rPr>
          <w:rFonts w:cs="Arial"/>
          <w:bCs/>
        </w:rPr>
        <w:t>stimated</w:t>
      </w:r>
      <w:r w:rsidRPr="00545D64">
        <w:rPr>
          <w:rFonts w:cs="Arial"/>
          <w:bCs/>
        </w:rPr>
        <w:t xml:space="preserve"> A</w:t>
      </w:r>
      <w:r w:rsidR="00F429DF">
        <w:rPr>
          <w:rFonts w:cs="Arial"/>
          <w:bCs/>
        </w:rPr>
        <w:t>nnual</w:t>
      </w:r>
      <w:r w:rsidRPr="00545D64">
        <w:rPr>
          <w:rFonts w:cs="Arial"/>
          <w:bCs/>
        </w:rPr>
        <w:t xml:space="preserve"> R</w:t>
      </w:r>
      <w:r w:rsidR="00F429DF">
        <w:rPr>
          <w:rFonts w:cs="Arial"/>
          <w:bCs/>
        </w:rPr>
        <w:t>e</w:t>
      </w:r>
      <w:r w:rsidR="00C67AD7">
        <w:rPr>
          <w:rFonts w:cs="Arial"/>
          <w:bCs/>
        </w:rPr>
        <w:t>cordkeeping</w:t>
      </w:r>
      <w:r w:rsidRPr="00545D64">
        <w:rPr>
          <w:rFonts w:cs="Arial"/>
          <w:bCs/>
        </w:rPr>
        <w:t xml:space="preserve"> B</w:t>
      </w:r>
      <w:r w:rsidR="00C67AD7">
        <w:rPr>
          <w:rFonts w:cs="Arial"/>
          <w:bCs/>
        </w:rPr>
        <w:t>urden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800"/>
        <w:gridCol w:w="1800"/>
        <w:gridCol w:w="1440"/>
        <w:gridCol w:w="1260"/>
        <w:gridCol w:w="900"/>
      </w:tblGrid>
      <w:tr w14:paraId="5B736143" w14:textId="77777777" w:rsidTr="004D6D4C">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2160" w:type="dxa"/>
            <w:tcBorders>
              <w:top w:val="single" w:sz="4" w:space="0" w:color="auto"/>
              <w:left w:val="single" w:sz="4" w:space="0" w:color="auto"/>
              <w:bottom w:val="single" w:sz="4" w:space="0" w:color="auto"/>
              <w:right w:val="single" w:sz="4" w:space="0" w:color="auto"/>
            </w:tcBorders>
            <w:hideMark/>
          </w:tcPr>
          <w:p w:rsidR="00AA7891" w14:paraId="59DABE06" w14:textId="77777777">
            <w:pPr>
              <w:keepNext/>
              <w:jc w:val="center"/>
              <w:rPr>
                <w:rFonts w:cs="Arial"/>
              </w:rPr>
            </w:pPr>
            <w:r>
              <w:rPr>
                <w:rFonts w:cs="Arial"/>
              </w:rPr>
              <w:t>Collection Activity--21 CFR Section</w:t>
            </w:r>
          </w:p>
        </w:tc>
        <w:tc>
          <w:tcPr>
            <w:tcW w:w="1800" w:type="dxa"/>
            <w:tcBorders>
              <w:top w:val="single" w:sz="4" w:space="0" w:color="auto"/>
              <w:left w:val="single" w:sz="4" w:space="0" w:color="auto"/>
              <w:bottom w:val="single" w:sz="4" w:space="0" w:color="auto"/>
              <w:right w:val="single" w:sz="4" w:space="0" w:color="auto"/>
            </w:tcBorders>
            <w:hideMark/>
          </w:tcPr>
          <w:p w:rsidR="00AA7891" w14:paraId="37B8DFF2" w14:textId="77777777">
            <w:pPr>
              <w:keepNext/>
              <w:jc w:val="center"/>
              <w:rPr>
                <w:rFonts w:cs="Arial"/>
              </w:rPr>
            </w:pPr>
            <w:r>
              <w:rPr>
                <w:rFonts w:cs="Arial"/>
              </w:rPr>
              <w:t>No. of Recordkeepers</w:t>
            </w:r>
          </w:p>
        </w:tc>
        <w:tc>
          <w:tcPr>
            <w:tcW w:w="1800" w:type="dxa"/>
            <w:tcBorders>
              <w:top w:val="single" w:sz="4" w:space="0" w:color="auto"/>
              <w:left w:val="single" w:sz="4" w:space="0" w:color="auto"/>
              <w:bottom w:val="single" w:sz="4" w:space="0" w:color="auto"/>
              <w:right w:val="single" w:sz="4" w:space="0" w:color="auto"/>
            </w:tcBorders>
            <w:hideMark/>
          </w:tcPr>
          <w:p w:rsidR="00AA7891" w14:paraId="4A7412BE" w14:textId="77777777">
            <w:pPr>
              <w:keepNext/>
              <w:jc w:val="center"/>
              <w:rPr>
                <w:rFonts w:cs="Arial"/>
              </w:rPr>
            </w:pPr>
            <w:r>
              <w:rPr>
                <w:rFonts w:cs="Arial"/>
              </w:rPr>
              <w:t>No. of Records per Recordkeeper</w:t>
            </w:r>
          </w:p>
        </w:tc>
        <w:tc>
          <w:tcPr>
            <w:tcW w:w="1440" w:type="dxa"/>
            <w:tcBorders>
              <w:top w:val="single" w:sz="4" w:space="0" w:color="auto"/>
              <w:left w:val="single" w:sz="4" w:space="0" w:color="auto"/>
              <w:bottom w:val="single" w:sz="4" w:space="0" w:color="auto"/>
              <w:right w:val="single" w:sz="4" w:space="0" w:color="auto"/>
            </w:tcBorders>
            <w:hideMark/>
          </w:tcPr>
          <w:p w:rsidR="00AA7891" w14:paraId="61FFD5F8" w14:textId="77777777">
            <w:pPr>
              <w:keepNext/>
              <w:jc w:val="center"/>
              <w:rPr>
                <w:rFonts w:cs="Arial"/>
              </w:rPr>
            </w:pPr>
            <w:r>
              <w:rPr>
                <w:rFonts w:cs="Arial"/>
              </w:rPr>
              <w:t>Total Annual Records</w:t>
            </w:r>
          </w:p>
        </w:tc>
        <w:tc>
          <w:tcPr>
            <w:tcW w:w="1260" w:type="dxa"/>
            <w:tcBorders>
              <w:top w:val="single" w:sz="4" w:space="0" w:color="auto"/>
              <w:left w:val="single" w:sz="4" w:space="0" w:color="auto"/>
              <w:bottom w:val="single" w:sz="4" w:space="0" w:color="auto"/>
              <w:right w:val="single" w:sz="4" w:space="0" w:color="auto"/>
            </w:tcBorders>
            <w:hideMark/>
          </w:tcPr>
          <w:p w:rsidR="00AA7891" w14:paraId="2EC067DB" w14:textId="77777777">
            <w:pPr>
              <w:keepNext/>
              <w:jc w:val="center"/>
              <w:rPr>
                <w:rFonts w:cs="Arial"/>
              </w:rPr>
            </w:pPr>
            <w:r>
              <w:rPr>
                <w:rFonts w:cs="Arial"/>
              </w:rPr>
              <w:t>Average Burden per Recordkeeping</w:t>
            </w:r>
          </w:p>
        </w:tc>
        <w:tc>
          <w:tcPr>
            <w:tcW w:w="900" w:type="dxa"/>
            <w:tcBorders>
              <w:top w:val="single" w:sz="4" w:space="0" w:color="auto"/>
              <w:left w:val="single" w:sz="4" w:space="0" w:color="auto"/>
              <w:bottom w:val="single" w:sz="4" w:space="0" w:color="auto"/>
              <w:right w:val="single" w:sz="4" w:space="0" w:color="auto"/>
            </w:tcBorders>
            <w:hideMark/>
          </w:tcPr>
          <w:p w:rsidR="00AA7891" w14:paraId="265D1174" w14:textId="77777777">
            <w:pPr>
              <w:keepNext/>
              <w:jc w:val="center"/>
              <w:rPr>
                <w:rFonts w:cs="Arial"/>
              </w:rPr>
            </w:pPr>
            <w:r>
              <w:rPr>
                <w:rFonts w:cs="Arial"/>
              </w:rPr>
              <w:t>Total Hours</w:t>
            </w:r>
          </w:p>
        </w:tc>
      </w:tr>
      <w:tr w14:paraId="02405AA8" w14:textId="77777777" w:rsidTr="004D6D4C">
        <w:tblPrEx>
          <w:tblW w:w="9360" w:type="dxa"/>
          <w:jc w:val="center"/>
          <w:tblLayout w:type="fixed"/>
          <w:tblLook w:val="01E0"/>
        </w:tblPrEx>
        <w:trPr>
          <w:cantSplit/>
          <w:jc w:val="center"/>
        </w:trPr>
        <w:tc>
          <w:tcPr>
            <w:tcW w:w="2160" w:type="dxa"/>
            <w:tcBorders>
              <w:top w:val="single" w:sz="4" w:space="0" w:color="auto"/>
              <w:left w:val="single" w:sz="4" w:space="0" w:color="auto"/>
              <w:bottom w:val="single" w:sz="4" w:space="0" w:color="auto"/>
              <w:right w:val="single" w:sz="4" w:space="0" w:color="auto"/>
            </w:tcBorders>
            <w:hideMark/>
          </w:tcPr>
          <w:p w:rsidR="00AA7891" w14:paraId="7467242C" w14:textId="02B50B51">
            <w:pPr>
              <w:keepNext/>
              <w:rPr>
                <w:rFonts w:cs="Arial"/>
              </w:rPr>
            </w:pPr>
            <w:r>
              <w:t>Documentation of communications to appropriate person(s)</w:t>
            </w:r>
            <w:r w:rsidR="00A905AE">
              <w:rPr>
                <w:rFonts w:cs="Arial"/>
              </w:rPr>
              <w:t>--810.15(b)</w:t>
            </w:r>
          </w:p>
        </w:tc>
        <w:tc>
          <w:tcPr>
            <w:tcW w:w="1800" w:type="dxa"/>
            <w:tcBorders>
              <w:top w:val="single" w:sz="4" w:space="0" w:color="auto"/>
              <w:left w:val="single" w:sz="4" w:space="0" w:color="auto"/>
              <w:bottom w:val="single" w:sz="4" w:space="0" w:color="auto"/>
              <w:right w:val="single" w:sz="4" w:space="0" w:color="auto"/>
            </w:tcBorders>
            <w:hideMark/>
          </w:tcPr>
          <w:p w:rsidR="00AA7891" w14:paraId="33E3AE36" w14:textId="77777777">
            <w:pPr>
              <w:keepNext/>
              <w:rPr>
                <w:rFonts w:cs="Arial"/>
              </w:rPr>
            </w:pPr>
            <w:r>
              <w:rPr>
                <w:rFonts w:cs="Arial"/>
              </w:rPr>
              <w:t>2</w:t>
            </w:r>
          </w:p>
        </w:tc>
        <w:tc>
          <w:tcPr>
            <w:tcW w:w="1800" w:type="dxa"/>
            <w:tcBorders>
              <w:top w:val="single" w:sz="4" w:space="0" w:color="auto"/>
              <w:left w:val="single" w:sz="4" w:space="0" w:color="auto"/>
              <w:bottom w:val="single" w:sz="4" w:space="0" w:color="auto"/>
              <w:right w:val="single" w:sz="4" w:space="0" w:color="auto"/>
            </w:tcBorders>
            <w:hideMark/>
          </w:tcPr>
          <w:p w:rsidR="00AA7891" w14:paraId="409F1BC5" w14:textId="77777777">
            <w:pPr>
              <w:keepNext/>
              <w:rPr>
                <w:rFonts w:cs="Arial"/>
              </w:rPr>
            </w:pPr>
            <w:r>
              <w:rPr>
                <w:rFonts w:cs="Arial"/>
              </w:rPr>
              <w:t>1</w:t>
            </w:r>
          </w:p>
        </w:tc>
        <w:tc>
          <w:tcPr>
            <w:tcW w:w="1440" w:type="dxa"/>
            <w:tcBorders>
              <w:top w:val="single" w:sz="4" w:space="0" w:color="auto"/>
              <w:left w:val="single" w:sz="4" w:space="0" w:color="auto"/>
              <w:bottom w:val="single" w:sz="4" w:space="0" w:color="auto"/>
              <w:right w:val="single" w:sz="4" w:space="0" w:color="auto"/>
            </w:tcBorders>
            <w:hideMark/>
          </w:tcPr>
          <w:p w:rsidR="00AA7891" w14:paraId="32F9195A" w14:textId="201EFFD1">
            <w:pPr>
              <w:keepNext/>
              <w:rPr>
                <w:rFonts w:cs="Arial"/>
              </w:rPr>
            </w:pPr>
            <w:r>
              <w:rPr>
                <w:rFonts w:cs="Arial"/>
              </w:rPr>
              <w:t>2</w:t>
            </w:r>
          </w:p>
        </w:tc>
        <w:tc>
          <w:tcPr>
            <w:tcW w:w="1260" w:type="dxa"/>
            <w:tcBorders>
              <w:top w:val="single" w:sz="4" w:space="0" w:color="auto"/>
              <w:left w:val="single" w:sz="4" w:space="0" w:color="auto"/>
              <w:bottom w:val="single" w:sz="4" w:space="0" w:color="auto"/>
              <w:right w:val="single" w:sz="4" w:space="0" w:color="auto"/>
            </w:tcBorders>
            <w:hideMark/>
          </w:tcPr>
          <w:p w:rsidR="00AA7891" w14:paraId="194E61CC" w14:textId="77777777">
            <w:pPr>
              <w:keepNext/>
              <w:rPr>
                <w:rFonts w:cs="Arial"/>
              </w:rPr>
            </w:pPr>
            <w:r>
              <w:rPr>
                <w:rFonts w:cs="Arial"/>
              </w:rPr>
              <w:t>8</w:t>
            </w:r>
          </w:p>
        </w:tc>
        <w:tc>
          <w:tcPr>
            <w:tcW w:w="900" w:type="dxa"/>
            <w:tcBorders>
              <w:top w:val="single" w:sz="4" w:space="0" w:color="auto"/>
              <w:left w:val="single" w:sz="4" w:space="0" w:color="auto"/>
              <w:bottom w:val="single" w:sz="4" w:space="0" w:color="auto"/>
              <w:right w:val="single" w:sz="4" w:space="0" w:color="auto"/>
            </w:tcBorders>
            <w:hideMark/>
          </w:tcPr>
          <w:p w:rsidR="00AA7891" w14:paraId="6F0A8940" w14:textId="33340647">
            <w:pPr>
              <w:keepNext/>
              <w:rPr>
                <w:rFonts w:cs="Arial"/>
              </w:rPr>
            </w:pPr>
            <w:r>
              <w:rPr>
                <w:rFonts w:cs="Arial"/>
              </w:rPr>
              <w:t>16</w:t>
            </w:r>
          </w:p>
        </w:tc>
      </w:tr>
    </w:tbl>
    <w:p w:rsidR="00AA7891" w:rsidP="00AA7891" w14:paraId="79E2A2FD" w14:textId="77777777">
      <w:pPr>
        <w:rPr>
          <w:rFonts w:cs="Arial"/>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1443"/>
        <w:gridCol w:w="1735"/>
        <w:gridCol w:w="1336"/>
        <w:gridCol w:w="1432"/>
        <w:gridCol w:w="896"/>
      </w:tblGrid>
      <w:tr w14:paraId="6C64A5F7" w14:textId="77777777" w:rsidTr="00AA7891">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9360" w:type="dxa"/>
            <w:gridSpan w:val="6"/>
            <w:tcBorders>
              <w:top w:val="nil"/>
              <w:left w:val="nil"/>
              <w:bottom w:val="single" w:sz="4" w:space="0" w:color="auto"/>
              <w:right w:val="nil"/>
            </w:tcBorders>
            <w:hideMark/>
          </w:tcPr>
          <w:p w:rsidR="00AA7891" w:rsidRPr="00F429DF" w:rsidP="004144CA" w14:paraId="0693BA74" w14:textId="3A78C2E8">
            <w:pPr>
              <w:keepNext/>
              <w:jc w:val="center"/>
              <w:rPr>
                <w:rFonts w:cs="Arial"/>
                <w:bCs/>
              </w:rPr>
            </w:pPr>
            <w:r w:rsidRPr="00F429DF">
              <w:rPr>
                <w:rFonts w:cs="Arial"/>
                <w:bCs/>
              </w:rPr>
              <w:t>T</w:t>
            </w:r>
            <w:r w:rsidR="00C67AD7">
              <w:rPr>
                <w:rFonts w:cs="Arial"/>
                <w:bCs/>
              </w:rPr>
              <w:t>able</w:t>
            </w:r>
            <w:r w:rsidRPr="00F429DF">
              <w:rPr>
                <w:rFonts w:cs="Arial"/>
                <w:bCs/>
              </w:rPr>
              <w:t xml:space="preserve"> 3</w:t>
            </w:r>
            <w:r w:rsidR="00C67AD7">
              <w:rPr>
                <w:rFonts w:cs="Arial"/>
                <w:bCs/>
              </w:rPr>
              <w:t>.</w:t>
            </w:r>
            <w:r w:rsidRPr="00F429DF">
              <w:rPr>
                <w:rFonts w:cs="Arial"/>
                <w:bCs/>
              </w:rPr>
              <w:t>—E</w:t>
            </w:r>
            <w:r w:rsidR="00C67AD7">
              <w:rPr>
                <w:rFonts w:cs="Arial"/>
                <w:bCs/>
              </w:rPr>
              <w:t>stimated</w:t>
            </w:r>
            <w:r w:rsidRPr="00F429DF">
              <w:rPr>
                <w:rFonts w:cs="Arial"/>
                <w:bCs/>
              </w:rPr>
              <w:t xml:space="preserve"> A</w:t>
            </w:r>
            <w:r w:rsidR="00C67AD7">
              <w:rPr>
                <w:rFonts w:cs="Arial"/>
                <w:bCs/>
              </w:rPr>
              <w:t>nnual</w:t>
            </w:r>
            <w:r w:rsidRPr="00F429DF">
              <w:rPr>
                <w:rFonts w:cs="Arial"/>
                <w:bCs/>
              </w:rPr>
              <w:t xml:space="preserve"> T</w:t>
            </w:r>
            <w:r w:rsidR="00C67AD7">
              <w:rPr>
                <w:rFonts w:cs="Arial"/>
                <w:bCs/>
              </w:rPr>
              <w:t>hird</w:t>
            </w:r>
            <w:r w:rsidRPr="00F429DF">
              <w:rPr>
                <w:rFonts w:cs="Arial"/>
                <w:bCs/>
              </w:rPr>
              <w:t>-P</w:t>
            </w:r>
            <w:r w:rsidR="00C67AD7">
              <w:rPr>
                <w:rFonts w:cs="Arial"/>
                <w:bCs/>
              </w:rPr>
              <w:t>arty</w:t>
            </w:r>
            <w:r w:rsidRPr="00F429DF">
              <w:rPr>
                <w:rFonts w:cs="Arial"/>
                <w:bCs/>
              </w:rPr>
              <w:t xml:space="preserve"> D</w:t>
            </w:r>
            <w:r w:rsidR="00C67AD7">
              <w:rPr>
                <w:rFonts w:cs="Arial"/>
                <w:bCs/>
              </w:rPr>
              <w:t>isclosure</w:t>
            </w:r>
            <w:r w:rsidRPr="00F429DF">
              <w:rPr>
                <w:rFonts w:cs="Arial"/>
                <w:bCs/>
              </w:rPr>
              <w:t xml:space="preserve"> B</w:t>
            </w:r>
            <w:r w:rsidR="00C67AD7">
              <w:rPr>
                <w:rFonts w:cs="Arial"/>
                <w:bCs/>
              </w:rPr>
              <w:t>urden</w:t>
            </w:r>
          </w:p>
        </w:tc>
      </w:tr>
      <w:tr w14:paraId="017FFAA2" w14:textId="77777777" w:rsidTr="004D6D4C">
        <w:tblPrEx>
          <w:tblW w:w="9360" w:type="dxa"/>
          <w:jc w:val="center"/>
          <w:tblLook w:val="01E0"/>
        </w:tblPrEx>
        <w:trPr>
          <w:cantSplit/>
          <w:jc w:val="center"/>
        </w:trPr>
        <w:tc>
          <w:tcPr>
            <w:tcW w:w="2520" w:type="dxa"/>
            <w:tcBorders>
              <w:top w:val="single" w:sz="4" w:space="0" w:color="auto"/>
              <w:left w:val="single" w:sz="4" w:space="0" w:color="auto"/>
              <w:bottom w:val="single" w:sz="4" w:space="0" w:color="auto"/>
              <w:right w:val="single" w:sz="4" w:space="0" w:color="auto"/>
            </w:tcBorders>
            <w:hideMark/>
          </w:tcPr>
          <w:p w:rsidR="00AA7891" w:rsidP="004144CA" w14:paraId="6C3FECEA" w14:textId="77777777">
            <w:pPr>
              <w:keepNext/>
              <w:jc w:val="center"/>
              <w:rPr>
                <w:rFonts w:cs="Arial"/>
              </w:rPr>
            </w:pPr>
            <w:r>
              <w:rPr>
                <w:rFonts w:cs="Arial"/>
              </w:rPr>
              <w:t>Collection Activity--21 CFR Section</w:t>
            </w:r>
          </w:p>
        </w:tc>
        <w:tc>
          <w:tcPr>
            <w:tcW w:w="1440" w:type="dxa"/>
            <w:tcBorders>
              <w:top w:val="single" w:sz="4" w:space="0" w:color="auto"/>
              <w:left w:val="single" w:sz="4" w:space="0" w:color="auto"/>
              <w:bottom w:val="single" w:sz="4" w:space="0" w:color="auto"/>
              <w:right w:val="single" w:sz="4" w:space="0" w:color="auto"/>
            </w:tcBorders>
            <w:hideMark/>
          </w:tcPr>
          <w:p w:rsidR="00AA7891" w:rsidP="004144CA" w14:paraId="6B70B455" w14:textId="77777777">
            <w:pPr>
              <w:keepNext/>
              <w:jc w:val="center"/>
              <w:rPr>
                <w:rFonts w:cs="Arial"/>
              </w:rPr>
            </w:pPr>
            <w:r>
              <w:rPr>
                <w:rFonts w:cs="Arial"/>
              </w:rPr>
              <w:t>No. of Respondents</w:t>
            </w:r>
          </w:p>
        </w:tc>
        <w:tc>
          <w:tcPr>
            <w:tcW w:w="1736" w:type="dxa"/>
            <w:tcBorders>
              <w:top w:val="single" w:sz="4" w:space="0" w:color="auto"/>
              <w:left w:val="single" w:sz="4" w:space="0" w:color="auto"/>
              <w:bottom w:val="single" w:sz="4" w:space="0" w:color="auto"/>
              <w:right w:val="single" w:sz="4" w:space="0" w:color="auto"/>
            </w:tcBorders>
            <w:hideMark/>
          </w:tcPr>
          <w:p w:rsidR="00AA7891" w:rsidP="004144CA" w14:paraId="5DC30D4C" w14:textId="77777777">
            <w:pPr>
              <w:keepNext/>
              <w:jc w:val="center"/>
              <w:rPr>
                <w:rFonts w:cs="Arial"/>
              </w:rPr>
            </w:pPr>
            <w:r>
              <w:rPr>
                <w:rFonts w:cs="Arial"/>
              </w:rPr>
              <w:t>No. of Disclosures per Respondent</w:t>
            </w:r>
          </w:p>
        </w:tc>
        <w:tc>
          <w:tcPr>
            <w:tcW w:w="1336" w:type="dxa"/>
            <w:tcBorders>
              <w:top w:val="single" w:sz="4" w:space="0" w:color="auto"/>
              <w:left w:val="single" w:sz="4" w:space="0" w:color="auto"/>
              <w:bottom w:val="single" w:sz="4" w:space="0" w:color="auto"/>
              <w:right w:val="single" w:sz="4" w:space="0" w:color="auto"/>
            </w:tcBorders>
            <w:hideMark/>
          </w:tcPr>
          <w:p w:rsidR="00AA7891" w:rsidP="004144CA" w14:paraId="1EE21685" w14:textId="77777777">
            <w:pPr>
              <w:keepNext/>
              <w:jc w:val="center"/>
              <w:rPr>
                <w:rFonts w:cs="Arial"/>
              </w:rPr>
            </w:pPr>
            <w:r>
              <w:rPr>
                <w:rFonts w:cs="Arial"/>
              </w:rPr>
              <w:t>Total Annual Disclosures</w:t>
            </w:r>
          </w:p>
        </w:tc>
        <w:tc>
          <w:tcPr>
            <w:tcW w:w="1432" w:type="dxa"/>
            <w:tcBorders>
              <w:top w:val="single" w:sz="4" w:space="0" w:color="auto"/>
              <w:left w:val="single" w:sz="4" w:space="0" w:color="auto"/>
              <w:bottom w:val="single" w:sz="4" w:space="0" w:color="auto"/>
              <w:right w:val="single" w:sz="4" w:space="0" w:color="auto"/>
            </w:tcBorders>
            <w:hideMark/>
          </w:tcPr>
          <w:p w:rsidR="00AA7891" w:rsidP="004144CA" w14:paraId="6286B419" w14:textId="77777777">
            <w:pPr>
              <w:keepNext/>
              <w:jc w:val="center"/>
              <w:rPr>
                <w:rFonts w:cs="Arial"/>
              </w:rPr>
            </w:pPr>
            <w:r>
              <w:rPr>
                <w:rFonts w:cs="Arial"/>
              </w:rPr>
              <w:t>Average Burden per Disclosure</w:t>
            </w:r>
          </w:p>
        </w:tc>
        <w:tc>
          <w:tcPr>
            <w:tcW w:w="896" w:type="dxa"/>
            <w:tcBorders>
              <w:top w:val="single" w:sz="4" w:space="0" w:color="auto"/>
              <w:left w:val="single" w:sz="4" w:space="0" w:color="auto"/>
              <w:bottom w:val="single" w:sz="4" w:space="0" w:color="auto"/>
              <w:right w:val="single" w:sz="4" w:space="0" w:color="auto"/>
            </w:tcBorders>
            <w:hideMark/>
          </w:tcPr>
          <w:p w:rsidR="00AA7891" w:rsidP="004144CA" w14:paraId="64B7FD5E" w14:textId="77777777">
            <w:pPr>
              <w:keepNext/>
              <w:jc w:val="center"/>
              <w:rPr>
                <w:rFonts w:cs="Arial"/>
              </w:rPr>
            </w:pPr>
            <w:r>
              <w:rPr>
                <w:rFonts w:cs="Arial"/>
              </w:rPr>
              <w:t>Total Hours</w:t>
            </w:r>
          </w:p>
        </w:tc>
      </w:tr>
      <w:tr w14:paraId="59AF45E7" w14:textId="77777777" w:rsidTr="004D6D4C">
        <w:tblPrEx>
          <w:tblW w:w="9360" w:type="dxa"/>
          <w:jc w:val="center"/>
          <w:tblLook w:val="01E0"/>
        </w:tblPrEx>
        <w:trPr>
          <w:cantSplit/>
          <w:jc w:val="center"/>
        </w:trPr>
        <w:tc>
          <w:tcPr>
            <w:tcW w:w="2520" w:type="dxa"/>
            <w:tcBorders>
              <w:top w:val="single" w:sz="4" w:space="0" w:color="auto"/>
              <w:left w:val="single" w:sz="4" w:space="0" w:color="auto"/>
              <w:bottom w:val="single" w:sz="4" w:space="0" w:color="auto"/>
              <w:right w:val="single" w:sz="4" w:space="0" w:color="auto"/>
            </w:tcBorders>
            <w:hideMark/>
          </w:tcPr>
          <w:p w:rsidR="00AA7891" w:rsidP="004144CA" w14:paraId="25BED984" w14:textId="33BC7B1B">
            <w:pPr>
              <w:keepNext/>
              <w:rPr>
                <w:rFonts w:cs="Arial"/>
              </w:rPr>
            </w:pPr>
            <w:r>
              <w:t>Communications to appropriate person(s) concerning a cease distribution and notification or mandatory recall order--</w:t>
            </w:r>
            <w:r w:rsidR="00A905AE">
              <w:rPr>
                <w:rFonts w:cs="Arial"/>
              </w:rPr>
              <w:t>810.15(a)-(c)</w:t>
            </w:r>
          </w:p>
        </w:tc>
        <w:tc>
          <w:tcPr>
            <w:tcW w:w="1440" w:type="dxa"/>
            <w:tcBorders>
              <w:top w:val="single" w:sz="4" w:space="0" w:color="auto"/>
              <w:left w:val="single" w:sz="4" w:space="0" w:color="auto"/>
              <w:bottom w:val="single" w:sz="4" w:space="0" w:color="auto"/>
              <w:right w:val="single" w:sz="4" w:space="0" w:color="auto"/>
            </w:tcBorders>
            <w:hideMark/>
          </w:tcPr>
          <w:p w:rsidR="00AA7891" w:rsidP="004144CA" w14:paraId="25AB6D6E" w14:textId="77777777">
            <w:pPr>
              <w:keepNext/>
              <w:jc w:val="right"/>
              <w:rPr>
                <w:rFonts w:cs="Arial"/>
              </w:rPr>
            </w:pPr>
            <w:r>
              <w:rPr>
                <w:rFonts w:cs="Arial"/>
              </w:rPr>
              <w:t>2</w:t>
            </w:r>
          </w:p>
        </w:tc>
        <w:tc>
          <w:tcPr>
            <w:tcW w:w="1736" w:type="dxa"/>
            <w:tcBorders>
              <w:top w:val="single" w:sz="4" w:space="0" w:color="auto"/>
              <w:left w:val="single" w:sz="4" w:space="0" w:color="auto"/>
              <w:bottom w:val="single" w:sz="4" w:space="0" w:color="auto"/>
              <w:right w:val="single" w:sz="4" w:space="0" w:color="auto"/>
            </w:tcBorders>
            <w:hideMark/>
          </w:tcPr>
          <w:p w:rsidR="00AA7891" w:rsidP="004144CA" w14:paraId="3C91D716" w14:textId="77777777">
            <w:pPr>
              <w:keepNext/>
              <w:jc w:val="right"/>
              <w:rPr>
                <w:rFonts w:cs="Arial"/>
              </w:rPr>
            </w:pPr>
            <w:r>
              <w:rPr>
                <w:rFonts w:cs="Arial"/>
              </w:rPr>
              <w:t>1</w:t>
            </w:r>
          </w:p>
        </w:tc>
        <w:tc>
          <w:tcPr>
            <w:tcW w:w="1336" w:type="dxa"/>
            <w:tcBorders>
              <w:top w:val="single" w:sz="4" w:space="0" w:color="auto"/>
              <w:left w:val="single" w:sz="4" w:space="0" w:color="auto"/>
              <w:bottom w:val="single" w:sz="4" w:space="0" w:color="auto"/>
              <w:right w:val="single" w:sz="4" w:space="0" w:color="auto"/>
            </w:tcBorders>
            <w:hideMark/>
          </w:tcPr>
          <w:p w:rsidR="00AA7891" w:rsidP="004144CA" w14:paraId="41F53914" w14:textId="77777777">
            <w:pPr>
              <w:keepNext/>
              <w:jc w:val="right"/>
              <w:rPr>
                <w:rFonts w:cs="Arial"/>
              </w:rPr>
            </w:pPr>
            <w:r>
              <w:rPr>
                <w:rFonts w:cs="Arial"/>
              </w:rPr>
              <w:t>2</w:t>
            </w:r>
          </w:p>
        </w:tc>
        <w:tc>
          <w:tcPr>
            <w:tcW w:w="1432" w:type="dxa"/>
            <w:tcBorders>
              <w:top w:val="single" w:sz="4" w:space="0" w:color="auto"/>
              <w:left w:val="single" w:sz="4" w:space="0" w:color="auto"/>
              <w:bottom w:val="single" w:sz="4" w:space="0" w:color="auto"/>
              <w:right w:val="single" w:sz="4" w:space="0" w:color="auto"/>
            </w:tcBorders>
            <w:hideMark/>
          </w:tcPr>
          <w:p w:rsidR="00AA7891" w:rsidP="004144CA" w14:paraId="779B7A65" w14:textId="77777777">
            <w:pPr>
              <w:keepNext/>
              <w:jc w:val="right"/>
              <w:rPr>
                <w:rFonts w:cs="Arial"/>
              </w:rPr>
            </w:pPr>
            <w:r>
              <w:rPr>
                <w:rFonts w:cs="Arial"/>
              </w:rPr>
              <w:t>12</w:t>
            </w:r>
          </w:p>
        </w:tc>
        <w:tc>
          <w:tcPr>
            <w:tcW w:w="896" w:type="dxa"/>
            <w:tcBorders>
              <w:top w:val="single" w:sz="4" w:space="0" w:color="auto"/>
              <w:left w:val="single" w:sz="4" w:space="0" w:color="auto"/>
              <w:bottom w:val="single" w:sz="4" w:space="0" w:color="auto"/>
              <w:right w:val="single" w:sz="4" w:space="0" w:color="auto"/>
            </w:tcBorders>
            <w:hideMark/>
          </w:tcPr>
          <w:p w:rsidR="00AA7891" w:rsidP="004144CA" w14:paraId="22B3757F" w14:textId="77777777">
            <w:pPr>
              <w:keepNext/>
              <w:jc w:val="right"/>
              <w:rPr>
                <w:rFonts w:cs="Arial"/>
              </w:rPr>
            </w:pPr>
            <w:r>
              <w:rPr>
                <w:rFonts w:cs="Arial"/>
              </w:rPr>
              <w:t>24</w:t>
            </w:r>
          </w:p>
        </w:tc>
      </w:tr>
      <w:tr w14:paraId="181C5BC1" w14:textId="77777777" w:rsidTr="004D6D4C">
        <w:tblPrEx>
          <w:tblW w:w="9360" w:type="dxa"/>
          <w:jc w:val="center"/>
          <w:tblLook w:val="01E0"/>
        </w:tblPrEx>
        <w:trPr>
          <w:cantSplit/>
          <w:jc w:val="center"/>
        </w:trPr>
        <w:tc>
          <w:tcPr>
            <w:tcW w:w="2520" w:type="dxa"/>
            <w:tcBorders>
              <w:top w:val="single" w:sz="4" w:space="0" w:color="auto"/>
              <w:left w:val="single" w:sz="4" w:space="0" w:color="auto"/>
              <w:bottom w:val="single" w:sz="4" w:space="0" w:color="auto"/>
              <w:right w:val="single" w:sz="4" w:space="0" w:color="auto"/>
            </w:tcBorders>
            <w:hideMark/>
          </w:tcPr>
          <w:p w:rsidR="00AA7891" w:rsidP="004144CA" w14:paraId="341994AC" w14:textId="7BF02309">
            <w:pPr>
              <w:keepNext/>
              <w:rPr>
                <w:rFonts w:cs="Arial"/>
              </w:rPr>
            </w:pPr>
            <w:r w:rsidRPr="00384291">
              <w:rPr>
                <w:rFonts w:cs="Arial"/>
              </w:rPr>
              <w:t>Follow up communications to appropriate person(s) who fail to respond to the initial communication</w:t>
            </w:r>
            <w:r>
              <w:rPr>
                <w:rFonts w:cs="Arial"/>
              </w:rPr>
              <w:t>--</w:t>
            </w:r>
            <w:r w:rsidR="00A905AE">
              <w:rPr>
                <w:rFonts w:cs="Arial"/>
              </w:rPr>
              <w:t>810.15(d)</w:t>
            </w:r>
          </w:p>
        </w:tc>
        <w:tc>
          <w:tcPr>
            <w:tcW w:w="1440" w:type="dxa"/>
            <w:tcBorders>
              <w:top w:val="single" w:sz="4" w:space="0" w:color="auto"/>
              <w:left w:val="single" w:sz="4" w:space="0" w:color="auto"/>
              <w:bottom w:val="single" w:sz="4" w:space="0" w:color="auto"/>
              <w:right w:val="single" w:sz="4" w:space="0" w:color="auto"/>
            </w:tcBorders>
            <w:hideMark/>
          </w:tcPr>
          <w:p w:rsidR="00AA7891" w:rsidP="004144CA" w14:paraId="54695796" w14:textId="77777777">
            <w:pPr>
              <w:keepNext/>
              <w:jc w:val="right"/>
              <w:rPr>
                <w:rFonts w:cs="Arial"/>
              </w:rPr>
            </w:pPr>
            <w:r>
              <w:rPr>
                <w:rFonts w:cs="Arial"/>
              </w:rPr>
              <w:t>2</w:t>
            </w:r>
          </w:p>
        </w:tc>
        <w:tc>
          <w:tcPr>
            <w:tcW w:w="1736" w:type="dxa"/>
            <w:tcBorders>
              <w:top w:val="single" w:sz="4" w:space="0" w:color="auto"/>
              <w:left w:val="single" w:sz="4" w:space="0" w:color="auto"/>
              <w:bottom w:val="single" w:sz="4" w:space="0" w:color="auto"/>
              <w:right w:val="single" w:sz="4" w:space="0" w:color="auto"/>
            </w:tcBorders>
            <w:hideMark/>
          </w:tcPr>
          <w:p w:rsidR="00AA7891" w:rsidP="004144CA" w14:paraId="6851EBCF" w14:textId="77777777">
            <w:pPr>
              <w:keepNext/>
              <w:jc w:val="right"/>
              <w:rPr>
                <w:rFonts w:cs="Arial"/>
              </w:rPr>
            </w:pPr>
            <w:r>
              <w:rPr>
                <w:rFonts w:cs="Arial"/>
              </w:rPr>
              <w:t>1</w:t>
            </w:r>
          </w:p>
        </w:tc>
        <w:tc>
          <w:tcPr>
            <w:tcW w:w="1336" w:type="dxa"/>
            <w:tcBorders>
              <w:top w:val="single" w:sz="4" w:space="0" w:color="auto"/>
              <w:left w:val="single" w:sz="4" w:space="0" w:color="auto"/>
              <w:bottom w:val="single" w:sz="4" w:space="0" w:color="auto"/>
              <w:right w:val="single" w:sz="4" w:space="0" w:color="auto"/>
            </w:tcBorders>
            <w:hideMark/>
          </w:tcPr>
          <w:p w:rsidR="00AA7891" w:rsidP="004144CA" w14:paraId="29D047A1" w14:textId="77777777">
            <w:pPr>
              <w:keepNext/>
              <w:jc w:val="right"/>
              <w:rPr>
                <w:rFonts w:cs="Arial"/>
              </w:rPr>
            </w:pPr>
            <w:r>
              <w:rPr>
                <w:rFonts w:cs="Arial"/>
              </w:rPr>
              <w:t>2</w:t>
            </w:r>
          </w:p>
        </w:tc>
        <w:tc>
          <w:tcPr>
            <w:tcW w:w="1432" w:type="dxa"/>
            <w:tcBorders>
              <w:top w:val="single" w:sz="4" w:space="0" w:color="auto"/>
              <w:left w:val="single" w:sz="4" w:space="0" w:color="auto"/>
              <w:bottom w:val="single" w:sz="4" w:space="0" w:color="auto"/>
              <w:right w:val="single" w:sz="4" w:space="0" w:color="auto"/>
            </w:tcBorders>
            <w:hideMark/>
          </w:tcPr>
          <w:p w:rsidR="00AA7891" w:rsidP="004144CA" w14:paraId="3658C6C0" w14:textId="77777777">
            <w:pPr>
              <w:keepNext/>
              <w:jc w:val="right"/>
              <w:rPr>
                <w:rFonts w:cs="Arial"/>
              </w:rPr>
            </w:pPr>
            <w:r>
              <w:rPr>
                <w:rFonts w:cs="Arial"/>
              </w:rPr>
              <w:t>4</w:t>
            </w:r>
          </w:p>
        </w:tc>
        <w:tc>
          <w:tcPr>
            <w:tcW w:w="896" w:type="dxa"/>
            <w:tcBorders>
              <w:top w:val="single" w:sz="4" w:space="0" w:color="auto"/>
              <w:left w:val="single" w:sz="4" w:space="0" w:color="auto"/>
              <w:bottom w:val="single" w:sz="4" w:space="0" w:color="auto"/>
              <w:right w:val="single" w:sz="4" w:space="0" w:color="auto"/>
            </w:tcBorders>
            <w:hideMark/>
          </w:tcPr>
          <w:p w:rsidR="00AA7891" w:rsidP="004144CA" w14:paraId="06CD96BC" w14:textId="77777777">
            <w:pPr>
              <w:keepNext/>
              <w:jc w:val="right"/>
              <w:rPr>
                <w:rFonts w:cs="Arial"/>
              </w:rPr>
            </w:pPr>
            <w:r>
              <w:rPr>
                <w:rFonts w:cs="Arial"/>
              </w:rPr>
              <w:t>8</w:t>
            </w:r>
          </w:p>
        </w:tc>
      </w:tr>
      <w:tr w14:paraId="438CBBB9" w14:textId="77777777" w:rsidTr="004D6D4C">
        <w:tblPrEx>
          <w:tblW w:w="9360" w:type="dxa"/>
          <w:jc w:val="center"/>
          <w:tblLook w:val="01E0"/>
        </w:tblPrEx>
        <w:trPr>
          <w:cantSplit/>
          <w:jc w:val="center"/>
        </w:trPr>
        <w:tc>
          <w:tcPr>
            <w:tcW w:w="2520" w:type="dxa"/>
            <w:tcBorders>
              <w:top w:val="single" w:sz="4" w:space="0" w:color="auto"/>
              <w:left w:val="single" w:sz="4" w:space="0" w:color="auto"/>
              <w:bottom w:val="single" w:sz="4" w:space="0" w:color="auto"/>
              <w:right w:val="single" w:sz="4" w:space="0" w:color="auto"/>
            </w:tcBorders>
            <w:hideMark/>
          </w:tcPr>
          <w:p w:rsidR="00AA7891" w:rsidP="004144CA" w14:paraId="12F8AA19" w14:textId="69A27BF3">
            <w:pPr>
              <w:keepNext/>
              <w:rPr>
                <w:rFonts w:cs="Arial"/>
              </w:rPr>
            </w:pPr>
            <w:r w:rsidRPr="00384291">
              <w:rPr>
                <w:rFonts w:cs="Arial"/>
              </w:rPr>
              <w:t>Notifications provided by recipients of communications to appropriate consignees</w:t>
            </w:r>
            <w:r>
              <w:rPr>
                <w:rFonts w:cs="Arial"/>
              </w:rPr>
              <w:t>--</w:t>
            </w:r>
            <w:r w:rsidR="00A905AE">
              <w:rPr>
                <w:rFonts w:cs="Arial"/>
              </w:rPr>
              <w:t>810.15(e)</w:t>
            </w:r>
          </w:p>
        </w:tc>
        <w:tc>
          <w:tcPr>
            <w:tcW w:w="1440" w:type="dxa"/>
            <w:tcBorders>
              <w:top w:val="single" w:sz="4" w:space="0" w:color="auto"/>
              <w:left w:val="single" w:sz="4" w:space="0" w:color="auto"/>
              <w:bottom w:val="single" w:sz="4" w:space="0" w:color="auto"/>
              <w:right w:val="single" w:sz="4" w:space="0" w:color="auto"/>
            </w:tcBorders>
            <w:hideMark/>
          </w:tcPr>
          <w:p w:rsidR="00AA7891" w:rsidP="004144CA" w14:paraId="68A23049" w14:textId="77777777">
            <w:pPr>
              <w:keepNext/>
              <w:jc w:val="right"/>
              <w:rPr>
                <w:rFonts w:cs="Arial"/>
              </w:rPr>
            </w:pPr>
            <w:r>
              <w:rPr>
                <w:rFonts w:cs="Arial"/>
              </w:rPr>
              <w:t>10</w:t>
            </w:r>
          </w:p>
        </w:tc>
        <w:tc>
          <w:tcPr>
            <w:tcW w:w="1736" w:type="dxa"/>
            <w:tcBorders>
              <w:top w:val="single" w:sz="4" w:space="0" w:color="auto"/>
              <w:left w:val="single" w:sz="4" w:space="0" w:color="auto"/>
              <w:bottom w:val="single" w:sz="4" w:space="0" w:color="auto"/>
              <w:right w:val="single" w:sz="4" w:space="0" w:color="auto"/>
            </w:tcBorders>
            <w:hideMark/>
          </w:tcPr>
          <w:p w:rsidR="00AA7891" w:rsidP="004144CA" w14:paraId="31234AFE" w14:textId="77777777">
            <w:pPr>
              <w:keepNext/>
              <w:jc w:val="right"/>
              <w:rPr>
                <w:rFonts w:cs="Arial"/>
              </w:rPr>
            </w:pPr>
            <w:r>
              <w:rPr>
                <w:rFonts w:cs="Arial"/>
              </w:rPr>
              <w:t>1</w:t>
            </w:r>
          </w:p>
        </w:tc>
        <w:tc>
          <w:tcPr>
            <w:tcW w:w="1336" w:type="dxa"/>
            <w:tcBorders>
              <w:top w:val="single" w:sz="4" w:space="0" w:color="auto"/>
              <w:left w:val="single" w:sz="4" w:space="0" w:color="auto"/>
              <w:bottom w:val="single" w:sz="4" w:space="0" w:color="auto"/>
              <w:right w:val="single" w:sz="4" w:space="0" w:color="auto"/>
            </w:tcBorders>
            <w:hideMark/>
          </w:tcPr>
          <w:p w:rsidR="00AA7891" w:rsidP="004144CA" w14:paraId="3200D062" w14:textId="77777777">
            <w:pPr>
              <w:keepNext/>
              <w:jc w:val="right"/>
              <w:rPr>
                <w:rFonts w:cs="Arial"/>
              </w:rPr>
            </w:pPr>
            <w:r>
              <w:rPr>
                <w:rFonts w:cs="Arial"/>
              </w:rPr>
              <w:t>10</w:t>
            </w:r>
          </w:p>
        </w:tc>
        <w:tc>
          <w:tcPr>
            <w:tcW w:w="1432" w:type="dxa"/>
            <w:tcBorders>
              <w:top w:val="single" w:sz="4" w:space="0" w:color="auto"/>
              <w:left w:val="single" w:sz="4" w:space="0" w:color="auto"/>
              <w:bottom w:val="single" w:sz="4" w:space="0" w:color="auto"/>
              <w:right w:val="single" w:sz="4" w:space="0" w:color="auto"/>
            </w:tcBorders>
            <w:hideMark/>
          </w:tcPr>
          <w:p w:rsidR="00AA7891" w:rsidP="004144CA" w14:paraId="64471ED5" w14:textId="77777777">
            <w:pPr>
              <w:keepNext/>
              <w:jc w:val="right"/>
              <w:rPr>
                <w:rFonts w:cs="Arial"/>
              </w:rPr>
            </w:pPr>
            <w:r>
              <w:rPr>
                <w:rFonts w:cs="Arial"/>
              </w:rPr>
              <w:t>1</w:t>
            </w:r>
          </w:p>
        </w:tc>
        <w:tc>
          <w:tcPr>
            <w:tcW w:w="896" w:type="dxa"/>
            <w:tcBorders>
              <w:top w:val="single" w:sz="4" w:space="0" w:color="auto"/>
              <w:left w:val="single" w:sz="4" w:space="0" w:color="auto"/>
              <w:bottom w:val="single" w:sz="4" w:space="0" w:color="auto"/>
              <w:right w:val="single" w:sz="4" w:space="0" w:color="auto"/>
            </w:tcBorders>
            <w:hideMark/>
          </w:tcPr>
          <w:p w:rsidR="00AA7891" w:rsidP="004144CA" w14:paraId="1776CC6A" w14:textId="77777777">
            <w:pPr>
              <w:keepNext/>
              <w:jc w:val="right"/>
              <w:rPr>
                <w:rFonts w:cs="Arial"/>
              </w:rPr>
            </w:pPr>
            <w:r>
              <w:rPr>
                <w:rFonts w:cs="Arial"/>
              </w:rPr>
              <w:t>10</w:t>
            </w:r>
          </w:p>
        </w:tc>
      </w:tr>
      <w:tr w14:paraId="426E4FE2" w14:textId="77777777" w:rsidTr="00AA7891">
        <w:tblPrEx>
          <w:tblW w:w="9360" w:type="dxa"/>
          <w:jc w:val="center"/>
          <w:tblLook w:val="01E0"/>
        </w:tblPrEx>
        <w:trPr>
          <w:cantSplit/>
          <w:jc w:val="center"/>
        </w:trPr>
        <w:tc>
          <w:tcPr>
            <w:tcW w:w="8464" w:type="dxa"/>
            <w:gridSpan w:val="5"/>
            <w:tcBorders>
              <w:top w:val="single" w:sz="4" w:space="0" w:color="auto"/>
              <w:left w:val="single" w:sz="4" w:space="0" w:color="auto"/>
              <w:bottom w:val="single" w:sz="4" w:space="0" w:color="auto"/>
              <w:right w:val="single" w:sz="4" w:space="0" w:color="auto"/>
            </w:tcBorders>
            <w:hideMark/>
          </w:tcPr>
          <w:p w:rsidR="00AA7891" w:rsidP="004144CA" w14:paraId="090A9169" w14:textId="77777777">
            <w:pPr>
              <w:keepNext/>
              <w:rPr>
                <w:rFonts w:cs="Arial"/>
              </w:rPr>
            </w:pPr>
            <w:r>
              <w:rPr>
                <w:rFonts w:cs="Arial"/>
              </w:rPr>
              <w:t>Total</w:t>
            </w:r>
          </w:p>
        </w:tc>
        <w:tc>
          <w:tcPr>
            <w:tcW w:w="896" w:type="dxa"/>
            <w:tcBorders>
              <w:top w:val="single" w:sz="4" w:space="0" w:color="auto"/>
              <w:left w:val="single" w:sz="4" w:space="0" w:color="auto"/>
              <w:bottom w:val="single" w:sz="4" w:space="0" w:color="auto"/>
              <w:right w:val="single" w:sz="4" w:space="0" w:color="auto"/>
            </w:tcBorders>
            <w:hideMark/>
          </w:tcPr>
          <w:p w:rsidR="00AA7891" w:rsidP="004144CA" w14:paraId="75791D84" w14:textId="77777777">
            <w:pPr>
              <w:keepNext/>
              <w:jc w:val="right"/>
              <w:rPr>
                <w:rFonts w:cs="Arial"/>
              </w:rPr>
            </w:pPr>
            <w:r>
              <w:rPr>
                <w:rFonts w:cs="Arial"/>
              </w:rPr>
              <w:t>42</w:t>
            </w:r>
          </w:p>
        </w:tc>
      </w:tr>
    </w:tbl>
    <w:p w:rsidR="00E0020E" w:rsidP="00AA7891" w14:paraId="16568933" w14:textId="197A1523">
      <w:r>
        <w:br/>
      </w:r>
      <w:r>
        <w:t xml:space="preserve">The total burden hours for this ICR </w:t>
      </w:r>
      <w:r>
        <w:t>is</w:t>
      </w:r>
      <w:r>
        <w:t xml:space="preserve"> 1,098 hours. </w:t>
      </w:r>
    </w:p>
    <w:p w:rsidR="00E0020E" w:rsidP="00AA7891" w14:paraId="4D81EA19" w14:textId="77777777"/>
    <w:p w:rsidR="00BF754D" w:rsidP="00AA7891" w14:paraId="603EC310" w14:textId="2BE00DE6">
      <w:r>
        <w:t xml:space="preserve">21 CFR 810.10(d) – Collections Specified in the Order - Reporting </w:t>
      </w:r>
    </w:p>
    <w:p w:rsidR="00F76226" w:rsidP="00AA7891" w14:paraId="79B8BB73" w14:textId="1EAFFB0C">
      <w:r>
        <w:t xml:space="preserve">FDA may require the person named in the cease distribution and notification order to submit certain information to the agency, e.g., distribution information, progress reports. </w:t>
      </w:r>
    </w:p>
    <w:p w:rsidR="00F76226" w:rsidP="00AA7891" w14:paraId="699121CB" w14:textId="77777777"/>
    <w:p w:rsidR="00BF754D" w:rsidP="00AA7891" w14:paraId="68945C90" w14:textId="77777777">
      <w:r>
        <w:t xml:space="preserve">21 CFR 810.11(a) – Request for Regulatory Hearing - Reporting </w:t>
      </w:r>
    </w:p>
    <w:p w:rsidR="00F76226" w:rsidP="00AA7891" w14:paraId="13821FF1" w14:textId="53EA8F9D">
      <w:r>
        <w:t xml:space="preserve">A request for regulatory hearing regarding the cease distribution and notification order must be submitted in writing to FDA. </w:t>
      </w:r>
    </w:p>
    <w:p w:rsidR="00F76226" w:rsidP="00AA7891" w14:paraId="41A8B681" w14:textId="77777777"/>
    <w:p w:rsidR="00BF754D" w:rsidP="00AA7891" w14:paraId="2EFDA689" w14:textId="77777777">
      <w:r>
        <w:t xml:space="preserve">21 CFR 810.12 (a) and (b) – Written Request for Review - Reporting </w:t>
      </w:r>
    </w:p>
    <w:p w:rsidR="00F76226" w:rsidP="00AA7891" w14:paraId="20AA1347" w14:textId="6682477E">
      <w:r>
        <w:t xml:space="preserve">In lieu of requesting a regulatory hearing under § 810.11, the person named in the cease distribution and notification order may submit a written request to FDA asking that the order be modified or vacated. A written request for review of a cease distribution and notification order shall identify each ground upon which the requestor relies in asking that the order be modified or vacated, address an appropriate cease distribution and notification strategy, and address whether the order should be amended to require a recall of the device that was the subject of the order and the actions required by such a recall order. </w:t>
      </w:r>
    </w:p>
    <w:p w:rsidR="00F76226" w:rsidP="00AA7891" w14:paraId="4E2B01CC" w14:textId="77777777"/>
    <w:p w:rsidR="001D0D25" w:rsidP="00AA7891" w14:paraId="0E67BB62" w14:textId="77777777">
      <w:r>
        <w:t xml:space="preserve">21 CFR 810.14 – Mandatory Recall Strategy - Reporting </w:t>
      </w:r>
    </w:p>
    <w:p w:rsidR="00FC56B0" w:rsidP="00AA7891" w14:paraId="6F34982C" w14:textId="7480DB3D">
      <w:r>
        <w:t xml:space="preserve">The person named in the cease distribution and notification order or a mandatory recall order must develop and submit a strategy to FDA for complying with the order that is appropriate for the individual circumstances. </w:t>
      </w:r>
    </w:p>
    <w:p w:rsidR="00FC56B0" w:rsidP="00AA7891" w14:paraId="61774A89" w14:textId="77777777"/>
    <w:p w:rsidR="00C061B8" w:rsidP="00AA7891" w14:paraId="2A3836F3" w14:textId="77777777">
      <w:r>
        <w:t xml:space="preserve">21 CFR 810.15 (a) – (c) – Notifications to Recipients - Third-Party Disclosure </w:t>
      </w:r>
    </w:p>
    <w:p w:rsidR="00B55528" w:rsidP="00AA7891" w14:paraId="3E9FDCC7" w14:textId="4B6985A0">
      <w:r>
        <w:t xml:space="preserve">The person named in a cease distribution and notification order or a mandatory recall order must promptly notify each health professional, user facility, consignee, or individual of the order. </w:t>
      </w:r>
    </w:p>
    <w:p w:rsidR="00B55528" w:rsidP="00AA7891" w14:paraId="228EB319" w14:textId="77777777"/>
    <w:p w:rsidR="00C061B8" w:rsidP="00AA7891" w14:paraId="5FD36228" w14:textId="77777777">
      <w:r>
        <w:t xml:space="preserve">21 CFR 810.15(b) – Documentation of Notifications to Recipients – Recordkeeping </w:t>
      </w:r>
    </w:p>
    <w:p w:rsidR="00B55528" w:rsidP="00AA7891" w14:paraId="6B30697F" w14:textId="0DD5D830">
      <w:r>
        <w:t xml:space="preserve">Telephone calls or other personal contacts may be made in addition to, but not as a substitute for, the verified written communication, and shall be documented in an appropriate manner. </w:t>
      </w:r>
    </w:p>
    <w:p w:rsidR="00B55528" w:rsidP="00AA7891" w14:paraId="730444E7" w14:textId="77777777"/>
    <w:p w:rsidR="00C061B8" w:rsidP="00FA5FCF" w14:paraId="0798D952" w14:textId="77777777">
      <w:pPr>
        <w:keepNext/>
      </w:pPr>
      <w:r>
        <w:t xml:space="preserve">21 CFR 810.15(d) – Notification to Recipients; Follow-up – Third-Party Disclosure </w:t>
      </w:r>
    </w:p>
    <w:p w:rsidR="002D78DC" w:rsidP="00AA7891" w14:paraId="3E54965A" w14:textId="288EC142">
      <w:r>
        <w:t xml:space="preserve">The person named in the cease distribution and notification order or mandatory recall order shall ensure that follow-up communications are sent to all who fail to respond to the initial communication. </w:t>
      </w:r>
    </w:p>
    <w:p w:rsidR="002D78DC" w:rsidP="00AA7891" w14:paraId="2B16EC80" w14:textId="77777777"/>
    <w:p w:rsidR="00B00B28" w:rsidP="00AA7891" w14:paraId="20FEC85E" w14:textId="77777777">
      <w:r>
        <w:t xml:space="preserve">21 CFR 810.15 (e) – Notification of Consignees by Recipients - Third-Party Disclosure </w:t>
      </w:r>
    </w:p>
    <w:p w:rsidR="002D78DC" w:rsidP="00AA7891" w14:paraId="0BAC74D8" w14:textId="292C3BCC">
      <w:r>
        <w:t xml:space="preserve">Health professionals, device user facilities, and consignees should immediately notify their consignees of the order. </w:t>
      </w:r>
    </w:p>
    <w:p w:rsidR="002D78DC" w:rsidP="00AA7891" w14:paraId="30DF9095" w14:textId="77777777"/>
    <w:p w:rsidR="00877743" w:rsidP="00AA7891" w14:paraId="2E8E2E95" w14:textId="77777777">
      <w:r>
        <w:t xml:space="preserve">21 CFR 810.16(a)-(b) – Periodic Status Reports - Reporting </w:t>
      </w:r>
    </w:p>
    <w:p w:rsidR="002D78DC" w:rsidP="00AA7891" w14:paraId="0A184072" w14:textId="5AE56CDD">
      <w:r>
        <w:t xml:space="preserve">The person named in a cease distribution and notification order or a mandatory recall order must submit periodic status reports to FDA to enable the agency to assess the person’s progress in complying with the order. The frequency of such reports and the agency official to whom such reports must be submitted will be specified in the order. </w:t>
      </w:r>
    </w:p>
    <w:p w:rsidR="002D78DC" w:rsidP="00AA7891" w14:paraId="74D8660D" w14:textId="77777777"/>
    <w:p w:rsidR="00877743" w:rsidP="00AA7891" w14:paraId="0A32D36B" w14:textId="77777777">
      <w:r>
        <w:t xml:space="preserve">21 CFR 810.17(a) – Termination Request - Reporting </w:t>
      </w:r>
    </w:p>
    <w:p w:rsidR="00AA7891" w:rsidP="00AA7891" w14:paraId="1CFB5F8E" w14:textId="15A8DCFF">
      <w:r>
        <w:t>The person named in a cease distribution and notification order or a mandatory recall order may request termination of the order by submitting a written request to FDA. The person submitting a request must certify that he or she has complied in full with all the requirements of the order and shall include a copy of the most current status report submitted to the agency.</w:t>
      </w:r>
    </w:p>
    <w:p w:rsidR="009964B7" w:rsidP="00AA7891" w14:paraId="4734A2E5" w14:textId="77777777"/>
    <w:p w:rsidR="00AA7891" w:rsidP="009F158F" w14:paraId="728D84E1" w14:textId="77777777">
      <w:pPr>
        <w:pStyle w:val="BodyText2"/>
      </w:pPr>
      <w:r>
        <w:t xml:space="preserve">12b. </w:t>
      </w:r>
      <w:r>
        <w:rPr>
          <w:u w:val="single"/>
        </w:rPr>
        <w:t>Annualized Cost Burden Estimate</w:t>
      </w:r>
    </w:p>
    <w:p w:rsidR="00AA7891" w:rsidP="00AA7891" w14:paraId="3A2F91B7" w14:textId="77777777">
      <w:pPr>
        <w:pStyle w:val="BodyText2"/>
        <w:ind w:left="720"/>
      </w:pPr>
    </w:p>
    <w:p w:rsidR="00A677DF" w:rsidP="00B05615" w14:paraId="2AFC12E1" w14:textId="77777777">
      <w:r>
        <w:t xml:space="preserve">The cost of a recall varies widely depending upon the number of products involved, the number of persons using the device, and the ease in finding these persons. Because we have not issued any mandatory recall orders in recent years, it is difficult to accurately estimate what the cost of a recall would be to associated industry. </w:t>
      </w:r>
    </w:p>
    <w:p w:rsidR="00A677DF" w:rsidP="00AA7891" w14:paraId="2BC7CE70" w14:textId="77777777">
      <w:pPr>
        <w:ind w:left="720"/>
      </w:pPr>
    </w:p>
    <w:p w:rsidR="00AA7891" w:rsidP="00B05615" w14:paraId="2703A23B" w14:textId="20EF9B32">
      <w:r>
        <w:t>The estimated annual cost for a company to pay an employee to respond to the information collection is based on the average hourly salary of the type of respondent multiplied by the total burden hours. We used the mean hourly wage rate for nurses (occupation code 29-1141, $</w:t>
      </w:r>
      <w:r w:rsidR="00AE0D18">
        <w:t>45.42</w:t>
      </w:r>
      <w:r>
        <w:t>) and for physicians (occupation code 29-1216, $</w:t>
      </w:r>
      <w:r w:rsidR="00B36D58">
        <w:t>118.01</w:t>
      </w:r>
      <w:r>
        <w:t xml:space="preserve">), based on the “May </w:t>
      </w:r>
      <w:r w:rsidR="00FA2782">
        <w:t>2023</w:t>
      </w:r>
      <w:r w:rsidR="00622B85">
        <w:t xml:space="preserve"> </w:t>
      </w:r>
      <w:r>
        <w:t xml:space="preserve">National Occupational Employment and Wage Estimates United States,” which is available at </w:t>
      </w:r>
      <w:hyperlink r:id="rId12" w:anchor="29-0000" w:history="1">
        <w:r w:rsidRPr="00F32E08" w:rsidR="00A677DF">
          <w:rPr>
            <w:rStyle w:val="Hyperlink"/>
          </w:rPr>
          <w:t>http://www.bls.gov/oes/current/oes_nat.htm#29-0000</w:t>
        </w:r>
      </w:hyperlink>
      <w:r>
        <w:t>.</w:t>
      </w:r>
      <w:r w:rsidR="00A677DF">
        <w:t xml:space="preserve"> </w:t>
      </w:r>
      <w:r>
        <w:t xml:space="preserve">We then doubled these hourly wages to </w:t>
      </w:r>
      <w:r>
        <w:t>account for benefits and overhead ($</w:t>
      </w:r>
      <w:r w:rsidR="001E1DB8">
        <w:t>90.84</w:t>
      </w:r>
      <w:r>
        <w:t xml:space="preserve"> and $</w:t>
      </w:r>
      <w:r w:rsidR="00DB685B">
        <w:t>236.02</w:t>
      </w:r>
      <w:r>
        <w:t>, respectively). Assuming the total burden hours are evenly distributed between nurses and physicians, we estimate that the average annualized burden cost for respondents to prepare and submit records and reports is approximately $</w:t>
      </w:r>
      <w:r w:rsidR="008D245F">
        <w:t>129,575</w:t>
      </w:r>
      <w:r>
        <w:t xml:space="preserve"> (rounded) for physicians and $</w:t>
      </w:r>
      <w:r w:rsidR="00FD0E67">
        <w:t>49,871</w:t>
      </w:r>
      <w:r>
        <w:t xml:space="preserve"> (rounded) for nurses; $</w:t>
      </w:r>
      <w:r w:rsidR="008D245F">
        <w:t>179,446</w:t>
      </w:r>
      <w:r>
        <w:t xml:space="preserve"> total. </w:t>
      </w:r>
    </w:p>
    <w:p w:rsidR="00AA7891" w:rsidP="00AA7891" w14:paraId="51738295" w14:textId="77777777">
      <w:pPr>
        <w:ind w:left="720"/>
      </w:pPr>
    </w:p>
    <w:p w:rsidR="00AA7891" w:rsidP="005F2D3A" w14:paraId="57655D1A" w14:textId="77777777">
      <w:pPr>
        <w:pStyle w:val="BodyText2"/>
        <w:keepNext/>
      </w:pPr>
      <w:r>
        <w:t xml:space="preserve">Estimates of annualized cost burden are provided in the chart below: </w:t>
      </w:r>
    </w:p>
    <w:p w:rsidR="00AA7891" w:rsidP="005F2D3A" w14:paraId="66B19984" w14:textId="77777777">
      <w:pPr>
        <w:pStyle w:val="BodyText2"/>
        <w:keepNext/>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394"/>
        <w:gridCol w:w="1926"/>
      </w:tblGrid>
      <w:tr w14:paraId="064AD912" w14:textId="77777777" w:rsidTr="00AA7891">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60" w:type="dxa"/>
            <w:tcBorders>
              <w:top w:val="single" w:sz="4" w:space="0" w:color="auto"/>
              <w:left w:val="single" w:sz="4" w:space="0" w:color="auto"/>
              <w:bottom w:val="single" w:sz="4" w:space="0" w:color="auto"/>
              <w:right w:val="single" w:sz="4" w:space="0" w:color="auto"/>
            </w:tcBorders>
            <w:hideMark/>
          </w:tcPr>
          <w:p w:rsidR="00AA7891" w:rsidP="005F2D3A" w14:paraId="465B4C72" w14:textId="77777777">
            <w:pPr>
              <w:keepNext/>
            </w:pPr>
            <w:r>
              <w:t>Type of Respondent</w:t>
            </w:r>
          </w:p>
        </w:tc>
        <w:tc>
          <w:tcPr>
            <w:tcW w:w="1800" w:type="dxa"/>
            <w:tcBorders>
              <w:top w:val="single" w:sz="4" w:space="0" w:color="auto"/>
              <w:left w:val="single" w:sz="4" w:space="0" w:color="auto"/>
              <w:bottom w:val="single" w:sz="4" w:space="0" w:color="auto"/>
              <w:right w:val="single" w:sz="4" w:space="0" w:color="auto"/>
            </w:tcBorders>
            <w:hideMark/>
          </w:tcPr>
          <w:p w:rsidR="00AA7891" w:rsidP="005F2D3A" w14:paraId="3790960B" w14:textId="77777777">
            <w:pPr>
              <w:keepNext/>
            </w:pPr>
            <w:r>
              <w:t>Total Burden Hours</w:t>
            </w:r>
          </w:p>
        </w:tc>
        <w:tc>
          <w:tcPr>
            <w:tcW w:w="2394" w:type="dxa"/>
            <w:tcBorders>
              <w:top w:val="single" w:sz="4" w:space="0" w:color="auto"/>
              <w:left w:val="single" w:sz="4" w:space="0" w:color="auto"/>
              <w:bottom w:val="single" w:sz="4" w:space="0" w:color="auto"/>
              <w:right w:val="single" w:sz="4" w:space="0" w:color="auto"/>
            </w:tcBorders>
            <w:hideMark/>
          </w:tcPr>
          <w:p w:rsidR="00AA7891" w:rsidP="005F2D3A" w14:paraId="40D8FBAA" w14:textId="77777777">
            <w:pPr>
              <w:keepNext/>
            </w:pPr>
            <w:r>
              <w:t>Hourly Wage Rate</w:t>
            </w:r>
          </w:p>
        </w:tc>
        <w:tc>
          <w:tcPr>
            <w:tcW w:w="1926" w:type="dxa"/>
            <w:tcBorders>
              <w:top w:val="single" w:sz="4" w:space="0" w:color="auto"/>
              <w:left w:val="single" w:sz="4" w:space="0" w:color="auto"/>
              <w:bottom w:val="single" w:sz="4" w:space="0" w:color="auto"/>
              <w:right w:val="single" w:sz="4" w:space="0" w:color="auto"/>
            </w:tcBorders>
            <w:hideMark/>
          </w:tcPr>
          <w:p w:rsidR="00AA7891" w:rsidP="005F2D3A" w14:paraId="5F3B702A" w14:textId="77777777">
            <w:pPr>
              <w:keepNext/>
            </w:pPr>
            <w:r>
              <w:t>Total Respondent Costs</w:t>
            </w:r>
          </w:p>
        </w:tc>
      </w:tr>
      <w:tr w14:paraId="54033F67" w14:textId="77777777" w:rsidTr="00AA7891">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hideMark/>
          </w:tcPr>
          <w:p w:rsidR="00AA7891" w:rsidP="005F2D3A" w14:paraId="00764AE7" w14:textId="77777777">
            <w:pPr>
              <w:keepNext/>
            </w:pPr>
            <w:r>
              <w:t>Physicians</w:t>
            </w:r>
          </w:p>
        </w:tc>
        <w:tc>
          <w:tcPr>
            <w:tcW w:w="1800" w:type="dxa"/>
            <w:tcBorders>
              <w:top w:val="single" w:sz="4" w:space="0" w:color="auto"/>
              <w:left w:val="single" w:sz="4" w:space="0" w:color="auto"/>
              <w:bottom w:val="single" w:sz="4" w:space="0" w:color="auto"/>
              <w:right w:val="single" w:sz="4" w:space="0" w:color="auto"/>
            </w:tcBorders>
            <w:hideMark/>
          </w:tcPr>
          <w:p w:rsidR="00AA7891" w:rsidP="005F2D3A" w14:paraId="55243EB5" w14:textId="232192B3">
            <w:pPr>
              <w:keepNext/>
            </w:pPr>
            <w:r>
              <w:t>54</w:t>
            </w:r>
            <w:r w:rsidR="00B4407B">
              <w:t>9</w:t>
            </w:r>
          </w:p>
        </w:tc>
        <w:tc>
          <w:tcPr>
            <w:tcW w:w="2394" w:type="dxa"/>
            <w:tcBorders>
              <w:top w:val="single" w:sz="4" w:space="0" w:color="auto"/>
              <w:left w:val="single" w:sz="4" w:space="0" w:color="auto"/>
              <w:bottom w:val="single" w:sz="4" w:space="0" w:color="auto"/>
              <w:right w:val="single" w:sz="4" w:space="0" w:color="auto"/>
            </w:tcBorders>
            <w:hideMark/>
          </w:tcPr>
          <w:p w:rsidR="00AA7891" w:rsidP="005F2D3A" w14:paraId="6A8687D5" w14:textId="5A05A615">
            <w:pPr>
              <w:keepNext/>
            </w:pPr>
            <w:r>
              <w:t>$</w:t>
            </w:r>
            <w:r w:rsidR="00805B88">
              <w:t>236.02</w:t>
            </w:r>
          </w:p>
        </w:tc>
        <w:tc>
          <w:tcPr>
            <w:tcW w:w="1926" w:type="dxa"/>
            <w:tcBorders>
              <w:top w:val="single" w:sz="4" w:space="0" w:color="auto"/>
              <w:left w:val="single" w:sz="4" w:space="0" w:color="auto"/>
              <w:bottom w:val="single" w:sz="4" w:space="0" w:color="auto"/>
              <w:right w:val="single" w:sz="4" w:space="0" w:color="auto"/>
            </w:tcBorders>
            <w:hideMark/>
          </w:tcPr>
          <w:p w:rsidR="00AA7891" w:rsidP="005F2D3A" w14:paraId="4615F921" w14:textId="25C1514B">
            <w:pPr>
              <w:keepNext/>
              <w:jc w:val="right"/>
            </w:pPr>
            <w:r>
              <w:t>$</w:t>
            </w:r>
            <w:r w:rsidR="00805B88">
              <w:t>129,575</w:t>
            </w:r>
          </w:p>
        </w:tc>
      </w:tr>
      <w:tr w14:paraId="0C7BB20D" w14:textId="77777777" w:rsidTr="00AA7891">
        <w:tblPrEx>
          <w:tblW w:w="0" w:type="auto"/>
          <w:tblInd w:w="828" w:type="dxa"/>
          <w:tblLook w:val="01E0"/>
        </w:tblPrEx>
        <w:tc>
          <w:tcPr>
            <w:tcW w:w="2160" w:type="dxa"/>
            <w:tcBorders>
              <w:top w:val="single" w:sz="4" w:space="0" w:color="auto"/>
              <w:left w:val="single" w:sz="4" w:space="0" w:color="auto"/>
              <w:bottom w:val="single" w:sz="4" w:space="0" w:color="auto"/>
              <w:right w:val="single" w:sz="4" w:space="0" w:color="auto"/>
            </w:tcBorders>
            <w:hideMark/>
          </w:tcPr>
          <w:p w:rsidR="00AA7891" w:rsidP="005F2D3A" w14:paraId="1BA43926" w14:textId="77777777">
            <w:pPr>
              <w:keepNext/>
            </w:pPr>
            <w:r>
              <w:t>Nurses</w:t>
            </w:r>
          </w:p>
        </w:tc>
        <w:tc>
          <w:tcPr>
            <w:tcW w:w="1800" w:type="dxa"/>
            <w:tcBorders>
              <w:top w:val="single" w:sz="4" w:space="0" w:color="auto"/>
              <w:left w:val="single" w:sz="4" w:space="0" w:color="auto"/>
              <w:bottom w:val="single" w:sz="4" w:space="0" w:color="auto"/>
              <w:right w:val="single" w:sz="4" w:space="0" w:color="auto"/>
            </w:tcBorders>
            <w:hideMark/>
          </w:tcPr>
          <w:p w:rsidR="00AA7891" w:rsidP="005F2D3A" w14:paraId="06311B69" w14:textId="04585FAD">
            <w:pPr>
              <w:keepNext/>
            </w:pPr>
            <w:r>
              <w:t>54</w:t>
            </w:r>
            <w:r w:rsidR="00B4407B">
              <w:t>9</w:t>
            </w:r>
          </w:p>
        </w:tc>
        <w:tc>
          <w:tcPr>
            <w:tcW w:w="2394" w:type="dxa"/>
            <w:tcBorders>
              <w:top w:val="single" w:sz="4" w:space="0" w:color="auto"/>
              <w:left w:val="single" w:sz="4" w:space="0" w:color="auto"/>
              <w:bottom w:val="single" w:sz="4" w:space="0" w:color="auto"/>
              <w:right w:val="single" w:sz="4" w:space="0" w:color="auto"/>
            </w:tcBorders>
            <w:hideMark/>
          </w:tcPr>
          <w:p w:rsidR="00AA7891" w:rsidP="005F2D3A" w14:paraId="24F52BE4" w14:textId="4D5B1084">
            <w:pPr>
              <w:keepNext/>
            </w:pPr>
            <w:r>
              <w:t>$</w:t>
            </w:r>
            <w:r w:rsidR="00FC75EB">
              <w:t>90.84</w:t>
            </w:r>
          </w:p>
        </w:tc>
        <w:tc>
          <w:tcPr>
            <w:tcW w:w="1926" w:type="dxa"/>
            <w:tcBorders>
              <w:top w:val="single" w:sz="4" w:space="0" w:color="auto"/>
              <w:left w:val="single" w:sz="4" w:space="0" w:color="auto"/>
              <w:bottom w:val="single" w:sz="4" w:space="0" w:color="auto"/>
              <w:right w:val="single" w:sz="4" w:space="0" w:color="auto"/>
            </w:tcBorders>
            <w:hideMark/>
          </w:tcPr>
          <w:p w:rsidR="00AA7891" w:rsidP="005F2D3A" w14:paraId="6CA18BC3" w14:textId="39957949">
            <w:pPr>
              <w:keepNext/>
              <w:jc w:val="right"/>
            </w:pPr>
            <w:r>
              <w:t>$</w:t>
            </w:r>
            <w:r w:rsidR="00FC75EB">
              <w:t>49,871</w:t>
            </w:r>
          </w:p>
        </w:tc>
      </w:tr>
      <w:tr w14:paraId="57DEC57C" w14:textId="77777777" w:rsidTr="00AA7891">
        <w:tblPrEx>
          <w:tblW w:w="0" w:type="auto"/>
          <w:tblInd w:w="828" w:type="dxa"/>
          <w:tblLook w:val="01E0"/>
        </w:tblPrEx>
        <w:tc>
          <w:tcPr>
            <w:tcW w:w="6354" w:type="dxa"/>
            <w:gridSpan w:val="3"/>
            <w:tcBorders>
              <w:top w:val="single" w:sz="4" w:space="0" w:color="auto"/>
              <w:left w:val="single" w:sz="4" w:space="0" w:color="auto"/>
              <w:bottom w:val="single" w:sz="4" w:space="0" w:color="auto"/>
              <w:right w:val="single" w:sz="4" w:space="0" w:color="auto"/>
            </w:tcBorders>
            <w:hideMark/>
          </w:tcPr>
          <w:p w:rsidR="00AA7891" w:rsidP="005F2D3A" w14:paraId="006A5A18" w14:textId="77777777">
            <w:pPr>
              <w:keepNext/>
            </w:pPr>
            <w:r>
              <w:t>Total</w:t>
            </w:r>
          </w:p>
        </w:tc>
        <w:tc>
          <w:tcPr>
            <w:tcW w:w="1926" w:type="dxa"/>
            <w:tcBorders>
              <w:top w:val="single" w:sz="4" w:space="0" w:color="auto"/>
              <w:left w:val="single" w:sz="4" w:space="0" w:color="auto"/>
              <w:bottom w:val="single" w:sz="4" w:space="0" w:color="auto"/>
              <w:right w:val="single" w:sz="4" w:space="0" w:color="auto"/>
            </w:tcBorders>
            <w:hideMark/>
          </w:tcPr>
          <w:p w:rsidR="00AA7891" w:rsidP="005F2D3A" w14:paraId="0B0EF522" w14:textId="365ABD7C">
            <w:pPr>
              <w:keepNext/>
              <w:jc w:val="right"/>
            </w:pPr>
            <w:r>
              <w:t>$</w:t>
            </w:r>
            <w:r w:rsidR="00546B40">
              <w:t>179,446</w:t>
            </w:r>
          </w:p>
        </w:tc>
      </w:tr>
    </w:tbl>
    <w:p w:rsidR="00AA7891" w:rsidP="00AA7891" w14:paraId="184B0ADE" w14:textId="77777777">
      <w:pPr>
        <w:pStyle w:val="BodyText2"/>
        <w:ind w:left="720"/>
      </w:pPr>
    </w:p>
    <w:p w:rsidR="00AA7891" w:rsidP="00AA7891" w14:paraId="11EC9628" w14:textId="77777777">
      <w:pPr>
        <w:numPr>
          <w:ilvl w:val="0"/>
          <w:numId w:val="1"/>
        </w:numPr>
        <w:spacing w:before="100" w:beforeAutospacing="1" w:after="100" w:afterAutospacing="1"/>
        <w:rPr>
          <w:u w:val="single"/>
        </w:rPr>
      </w:pPr>
      <w:r>
        <w:rPr>
          <w:u w:val="single"/>
        </w:rPr>
        <w:t>Estimates of Other Total Annual Costs to Respondents and/or Recordkeepers/Capital Costs</w:t>
      </w:r>
    </w:p>
    <w:p w:rsidR="00AA7891" w:rsidP="00995343" w14:paraId="3C493627" w14:textId="5B5B2590">
      <w:r>
        <w:t>There are no capital, start-up, operating or maintenance costs associated with this information collection.</w:t>
      </w:r>
    </w:p>
    <w:p w:rsidR="00AA7891" w:rsidP="00AA7891" w14:paraId="5FAF43CB" w14:textId="77777777">
      <w:pPr>
        <w:numPr>
          <w:ilvl w:val="0"/>
          <w:numId w:val="1"/>
        </w:numPr>
        <w:spacing w:before="100" w:beforeAutospacing="1" w:after="100" w:afterAutospacing="1"/>
        <w:rPr>
          <w:u w:val="single"/>
        </w:rPr>
      </w:pPr>
      <w:r>
        <w:rPr>
          <w:u w:val="single"/>
        </w:rPr>
        <w:t>Annualized Cost to the Federal Government</w:t>
      </w:r>
    </w:p>
    <w:p w:rsidR="00783FC6" w:rsidP="00995343" w14:paraId="2B68EDE0" w14:textId="6959D92B">
      <w:pPr>
        <w:spacing w:before="100" w:beforeAutospacing="1" w:after="100" w:afterAutospacing="1"/>
      </w:pPr>
      <w:r>
        <w:t>FDA anticipates the Federal government will use 1 full-time employee to implement the Medical Device Recall Authority regulation required by section 518(e) of the FD&amp;C Act. The total estimated annual cost to the government is $</w:t>
      </w:r>
      <w:r w:rsidR="00D82704">
        <w:t>365,789</w:t>
      </w:r>
      <w:r>
        <w:t>. This estimate is based on the 202</w:t>
      </w:r>
      <w:r w:rsidR="000B2163">
        <w:t>3</w:t>
      </w:r>
      <w:r>
        <w:t xml:space="preserve"> hourly wage rate for a GS-15 step 10 employee in the WASHINGTON-BALTIMORE-ARLINGTON, DC-MD-VA-WV-PA area ($</w:t>
      </w:r>
      <w:r w:rsidR="007D45A3">
        <w:t>87.93</w:t>
      </w:r>
      <w:r>
        <w:t>),* then doubled to include benefits and overhead ($</w:t>
      </w:r>
      <w:r w:rsidR="0021775C">
        <w:t>175.86</w:t>
      </w:r>
      <w:r>
        <w:t xml:space="preserve"> = $</w:t>
      </w:r>
      <w:r w:rsidR="0021775C">
        <w:t>87.93</w:t>
      </w:r>
      <w:r>
        <w:t xml:space="preserve"> x 2). We then multiplied this fully-loaded wage rate by 2,080 hours per year ($</w:t>
      </w:r>
      <w:r w:rsidR="00551D82">
        <w:t>3</w:t>
      </w:r>
      <w:r w:rsidR="00A755FE">
        <w:t>65,789</w:t>
      </w:r>
      <w:r>
        <w:t xml:space="preserve"> = $</w:t>
      </w:r>
      <w:r w:rsidR="00DD51C5">
        <w:t>175.86</w:t>
      </w:r>
      <w:r>
        <w:t xml:space="preserve"> x 2,080). </w:t>
      </w:r>
    </w:p>
    <w:p w:rsidR="00EA55F6" w:rsidP="00995343" w14:paraId="095D8893" w14:textId="0F103BF7">
      <w:pPr>
        <w:spacing w:before="100" w:beforeAutospacing="1" w:after="100" w:afterAutospacing="1"/>
        <w:rPr>
          <w:u w:val="single"/>
        </w:rPr>
      </w:pPr>
      <w:r>
        <w:t xml:space="preserve">* </w:t>
      </w:r>
      <w:hyperlink r:id="rId13" w:history="1">
        <w:r w:rsidRPr="005844E0" w:rsidR="00DB1573">
          <w:rPr>
            <w:rStyle w:val="Hyperlink"/>
          </w:rPr>
          <w:t>https://www.opm.gov/policy-data-oversight/pay-leave/salaries-wages/salary-tables/pdf/2023/DCB_h.pdf</w:t>
        </w:r>
      </w:hyperlink>
      <w:r w:rsidR="00DB1573">
        <w:t xml:space="preserve"> </w:t>
      </w:r>
    </w:p>
    <w:p w:rsidR="00AA7891" w:rsidP="00AA7891" w14:paraId="407C4D2F" w14:textId="03D47A1E">
      <w:pPr>
        <w:numPr>
          <w:ilvl w:val="0"/>
          <w:numId w:val="1"/>
        </w:numPr>
        <w:spacing w:before="100" w:beforeAutospacing="1" w:after="100" w:afterAutospacing="1"/>
        <w:rPr>
          <w:u w:val="single"/>
        </w:rPr>
      </w:pPr>
      <w:r>
        <w:rPr>
          <w:u w:val="single"/>
        </w:rPr>
        <w:t>Explanation for Program Changes or Adjustments</w:t>
      </w:r>
    </w:p>
    <w:p w:rsidR="00AA7891" w:rsidP="00995343" w14:paraId="7BA9E51A" w14:textId="7770516F">
      <w:pPr>
        <w:pStyle w:val="BodyTextIndent"/>
        <w:ind w:left="0"/>
      </w:pPr>
      <w:r w:rsidRPr="00C35502">
        <w:t>Based on a review of the information collection since our last request for OMB approval, we have made no adjustments to our burden estimate.</w:t>
      </w:r>
      <w:r w:rsidR="00384291">
        <w:t xml:space="preserve">  There is a small reduction in </w:t>
      </w:r>
      <w:r w:rsidR="00C53526">
        <w:t xml:space="preserve">recordkeeping </w:t>
      </w:r>
      <w:r w:rsidR="00384291">
        <w:t>responses to correct a data-entry error from the previous ROCIS entry.</w:t>
      </w:r>
    </w:p>
    <w:p w:rsidR="00AA7891" w:rsidP="00AA7891" w14:paraId="3FC71F44" w14:textId="77777777">
      <w:pPr>
        <w:numPr>
          <w:ilvl w:val="0"/>
          <w:numId w:val="1"/>
        </w:numPr>
        <w:spacing w:before="100" w:beforeAutospacing="1" w:after="100" w:afterAutospacing="1"/>
        <w:rPr>
          <w:u w:val="single"/>
        </w:rPr>
      </w:pPr>
      <w:r>
        <w:rPr>
          <w:u w:val="single"/>
        </w:rPr>
        <w:t>Plans for Tabulation and Publication and Project Time Schedule</w:t>
      </w:r>
    </w:p>
    <w:p w:rsidR="00AA7891" w:rsidP="00995343" w14:paraId="55074141" w14:textId="1BD73752">
      <w:pPr>
        <w:spacing w:before="100" w:beforeAutospacing="1" w:after="100" w:afterAutospacing="1"/>
        <w:rPr>
          <w:sz w:val="23"/>
          <w:szCs w:val="23"/>
        </w:rPr>
      </w:pPr>
      <w:r>
        <w:t>The information collection will not be published or tabulated.</w:t>
      </w:r>
    </w:p>
    <w:p w:rsidR="00AA7891" w:rsidRPr="00995343" w:rsidP="00995343" w14:paraId="125F3461" w14:textId="7CDA0FC9">
      <w:pPr>
        <w:pStyle w:val="ListParagraph"/>
        <w:numPr>
          <w:ilvl w:val="0"/>
          <w:numId w:val="1"/>
        </w:numPr>
        <w:spacing w:before="100" w:beforeAutospacing="1" w:after="100" w:afterAutospacing="1"/>
        <w:rPr>
          <w:u w:val="single"/>
        </w:rPr>
      </w:pPr>
      <w:r w:rsidRPr="00995343">
        <w:rPr>
          <w:u w:val="single"/>
        </w:rPr>
        <w:t>Reason(s) Display of OMB Expiration Date is Inappropriate</w:t>
      </w:r>
    </w:p>
    <w:p w:rsidR="00AA7891" w:rsidP="00995343" w14:paraId="696937F1" w14:textId="00FE11A5">
      <w:r>
        <w:t xml:space="preserve">FDA will display the OMB expiration date as required by 5 CFR 1320.5. </w:t>
      </w:r>
    </w:p>
    <w:p w:rsidR="00AA7891" w:rsidP="00995343" w14:paraId="0493F611" w14:textId="77777777">
      <w:pPr>
        <w:spacing w:before="100" w:beforeAutospacing="1" w:after="100" w:afterAutospacing="1"/>
        <w:rPr>
          <w:u w:val="single"/>
        </w:rPr>
      </w:pPr>
      <w:r>
        <w:t xml:space="preserve">18. </w:t>
      </w:r>
      <w:r>
        <w:rPr>
          <w:u w:val="single"/>
        </w:rPr>
        <w:t>Exceptions to Certification for Paperwork Reduction Act Submissions</w:t>
      </w:r>
    </w:p>
    <w:p w:rsidR="0007194D" w:rsidRPr="004B639D" w:rsidP="004B639D" w14:paraId="721B2D4E" w14:textId="4AE712C0">
      <w:pPr>
        <w:spacing w:before="100" w:beforeAutospacing="1" w:after="100" w:afterAutospacing="1"/>
        <w:rPr>
          <w:b/>
        </w:rPr>
      </w:pPr>
      <w:r>
        <w:t>There are no exceptions to the certification.</w:t>
      </w:r>
    </w:p>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7891734"/>
      <w:docPartObj>
        <w:docPartGallery w:val="Page Numbers (Bottom of Page)"/>
        <w:docPartUnique/>
      </w:docPartObj>
    </w:sdtPr>
    <w:sdtEndPr>
      <w:rPr>
        <w:noProof/>
      </w:rPr>
    </w:sdtEndPr>
    <w:sdtContent>
      <w:p w:rsidR="004B639D" w14:paraId="7D374472" w14:textId="1AF57A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B639D" w14:paraId="7D3907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57A0" w14:paraId="007A1C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9D09AB"/>
    <w:multiLevelType w:val="multilevel"/>
    <w:tmpl w:val="247863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2133669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FE"/>
    <w:rsid w:val="0002035B"/>
    <w:rsid w:val="00025CF1"/>
    <w:rsid w:val="00032F6F"/>
    <w:rsid w:val="00036AEE"/>
    <w:rsid w:val="000544F9"/>
    <w:rsid w:val="0006700B"/>
    <w:rsid w:val="0007194D"/>
    <w:rsid w:val="000820F9"/>
    <w:rsid w:val="000A30A4"/>
    <w:rsid w:val="000B1CB1"/>
    <w:rsid w:val="000B2163"/>
    <w:rsid w:val="000C79AF"/>
    <w:rsid w:val="000F4DC1"/>
    <w:rsid w:val="00102265"/>
    <w:rsid w:val="00104F14"/>
    <w:rsid w:val="00105A36"/>
    <w:rsid w:val="00107290"/>
    <w:rsid w:val="0011742E"/>
    <w:rsid w:val="0013667C"/>
    <w:rsid w:val="00151C93"/>
    <w:rsid w:val="001640B1"/>
    <w:rsid w:val="00174A3E"/>
    <w:rsid w:val="00181522"/>
    <w:rsid w:val="001B2703"/>
    <w:rsid w:val="001C634E"/>
    <w:rsid w:val="001D0D25"/>
    <w:rsid w:val="001E1DB8"/>
    <w:rsid w:val="001E70DC"/>
    <w:rsid w:val="00200127"/>
    <w:rsid w:val="0020080A"/>
    <w:rsid w:val="00207BF8"/>
    <w:rsid w:val="002106D9"/>
    <w:rsid w:val="00213505"/>
    <w:rsid w:val="0021775C"/>
    <w:rsid w:val="002311AE"/>
    <w:rsid w:val="00261F22"/>
    <w:rsid w:val="00283EA5"/>
    <w:rsid w:val="002844FA"/>
    <w:rsid w:val="002B05FE"/>
    <w:rsid w:val="002B3B78"/>
    <w:rsid w:val="002C3ED7"/>
    <w:rsid w:val="002C621F"/>
    <w:rsid w:val="002D7534"/>
    <w:rsid w:val="002D78DC"/>
    <w:rsid w:val="002E3C26"/>
    <w:rsid w:val="002F0F26"/>
    <w:rsid w:val="002F240F"/>
    <w:rsid w:val="00303126"/>
    <w:rsid w:val="003179D7"/>
    <w:rsid w:val="00332792"/>
    <w:rsid w:val="00350385"/>
    <w:rsid w:val="00350A91"/>
    <w:rsid w:val="003557A0"/>
    <w:rsid w:val="00372A6C"/>
    <w:rsid w:val="0038050C"/>
    <w:rsid w:val="00384291"/>
    <w:rsid w:val="00386C30"/>
    <w:rsid w:val="003B053E"/>
    <w:rsid w:val="003B21DC"/>
    <w:rsid w:val="003C3D92"/>
    <w:rsid w:val="003E055D"/>
    <w:rsid w:val="003E1E02"/>
    <w:rsid w:val="003F2F69"/>
    <w:rsid w:val="00407DE5"/>
    <w:rsid w:val="004144CA"/>
    <w:rsid w:val="004240BD"/>
    <w:rsid w:val="00436362"/>
    <w:rsid w:val="004851BC"/>
    <w:rsid w:val="004B5D2F"/>
    <w:rsid w:val="004B5F9A"/>
    <w:rsid w:val="004B6386"/>
    <w:rsid w:val="004B639D"/>
    <w:rsid w:val="004C0F8B"/>
    <w:rsid w:val="004C119B"/>
    <w:rsid w:val="004C40E4"/>
    <w:rsid w:val="004D6D4C"/>
    <w:rsid w:val="004F0538"/>
    <w:rsid w:val="0052304A"/>
    <w:rsid w:val="0052414B"/>
    <w:rsid w:val="00545392"/>
    <w:rsid w:val="00545D64"/>
    <w:rsid w:val="00546B40"/>
    <w:rsid w:val="00551D82"/>
    <w:rsid w:val="00553F44"/>
    <w:rsid w:val="005578F2"/>
    <w:rsid w:val="00563D00"/>
    <w:rsid w:val="00564A5E"/>
    <w:rsid w:val="00566FE7"/>
    <w:rsid w:val="005673CE"/>
    <w:rsid w:val="00583341"/>
    <w:rsid w:val="005844E0"/>
    <w:rsid w:val="00586A43"/>
    <w:rsid w:val="005C0E94"/>
    <w:rsid w:val="005E5522"/>
    <w:rsid w:val="005F2D3A"/>
    <w:rsid w:val="00600099"/>
    <w:rsid w:val="00612908"/>
    <w:rsid w:val="00622B85"/>
    <w:rsid w:val="00636A59"/>
    <w:rsid w:val="00644248"/>
    <w:rsid w:val="006938EB"/>
    <w:rsid w:val="006B0FB2"/>
    <w:rsid w:val="006B25EB"/>
    <w:rsid w:val="006C60A0"/>
    <w:rsid w:val="006D6655"/>
    <w:rsid w:val="006E1709"/>
    <w:rsid w:val="006F1411"/>
    <w:rsid w:val="00705137"/>
    <w:rsid w:val="007234EE"/>
    <w:rsid w:val="00730C7D"/>
    <w:rsid w:val="00731326"/>
    <w:rsid w:val="00733A73"/>
    <w:rsid w:val="0074753B"/>
    <w:rsid w:val="00752AC5"/>
    <w:rsid w:val="0077257B"/>
    <w:rsid w:val="00783FC6"/>
    <w:rsid w:val="007960AD"/>
    <w:rsid w:val="007A68D8"/>
    <w:rsid w:val="007B157C"/>
    <w:rsid w:val="007B42BF"/>
    <w:rsid w:val="007B48F8"/>
    <w:rsid w:val="007D45A3"/>
    <w:rsid w:val="007F6234"/>
    <w:rsid w:val="007F6911"/>
    <w:rsid w:val="00805B88"/>
    <w:rsid w:val="0081321D"/>
    <w:rsid w:val="00815204"/>
    <w:rsid w:val="00831FDE"/>
    <w:rsid w:val="0084486C"/>
    <w:rsid w:val="008503A0"/>
    <w:rsid w:val="00867CF7"/>
    <w:rsid w:val="008734EC"/>
    <w:rsid w:val="008760AD"/>
    <w:rsid w:val="00877743"/>
    <w:rsid w:val="00881FD8"/>
    <w:rsid w:val="008A4E3C"/>
    <w:rsid w:val="008B08C4"/>
    <w:rsid w:val="008D0025"/>
    <w:rsid w:val="008D245F"/>
    <w:rsid w:val="008D4100"/>
    <w:rsid w:val="008D57D3"/>
    <w:rsid w:val="00904A34"/>
    <w:rsid w:val="0090523E"/>
    <w:rsid w:val="009348C6"/>
    <w:rsid w:val="00967D0A"/>
    <w:rsid w:val="009838D7"/>
    <w:rsid w:val="00995343"/>
    <w:rsid w:val="009964B7"/>
    <w:rsid w:val="009968CE"/>
    <w:rsid w:val="009A2769"/>
    <w:rsid w:val="009B4374"/>
    <w:rsid w:val="009C221B"/>
    <w:rsid w:val="009C7D7C"/>
    <w:rsid w:val="009D10FE"/>
    <w:rsid w:val="009E0209"/>
    <w:rsid w:val="009F158F"/>
    <w:rsid w:val="009F1882"/>
    <w:rsid w:val="00A0172C"/>
    <w:rsid w:val="00A02827"/>
    <w:rsid w:val="00A04026"/>
    <w:rsid w:val="00A058B7"/>
    <w:rsid w:val="00A25123"/>
    <w:rsid w:val="00A35C08"/>
    <w:rsid w:val="00A46227"/>
    <w:rsid w:val="00A66870"/>
    <w:rsid w:val="00A677DF"/>
    <w:rsid w:val="00A755FE"/>
    <w:rsid w:val="00A905AE"/>
    <w:rsid w:val="00A9701C"/>
    <w:rsid w:val="00AA6251"/>
    <w:rsid w:val="00AA7891"/>
    <w:rsid w:val="00AE0D18"/>
    <w:rsid w:val="00AE1AA2"/>
    <w:rsid w:val="00B00B28"/>
    <w:rsid w:val="00B05615"/>
    <w:rsid w:val="00B16040"/>
    <w:rsid w:val="00B174B1"/>
    <w:rsid w:val="00B264D3"/>
    <w:rsid w:val="00B264E2"/>
    <w:rsid w:val="00B36D58"/>
    <w:rsid w:val="00B4407B"/>
    <w:rsid w:val="00B53516"/>
    <w:rsid w:val="00B55528"/>
    <w:rsid w:val="00B65A85"/>
    <w:rsid w:val="00B80BC1"/>
    <w:rsid w:val="00B80C3A"/>
    <w:rsid w:val="00B84713"/>
    <w:rsid w:val="00BB3E90"/>
    <w:rsid w:val="00BE5CE0"/>
    <w:rsid w:val="00BF317C"/>
    <w:rsid w:val="00BF4590"/>
    <w:rsid w:val="00BF63D0"/>
    <w:rsid w:val="00BF66C1"/>
    <w:rsid w:val="00BF754D"/>
    <w:rsid w:val="00C061B8"/>
    <w:rsid w:val="00C35502"/>
    <w:rsid w:val="00C50525"/>
    <w:rsid w:val="00C53526"/>
    <w:rsid w:val="00C645FA"/>
    <w:rsid w:val="00C67AD7"/>
    <w:rsid w:val="00C74C8F"/>
    <w:rsid w:val="00CB3606"/>
    <w:rsid w:val="00CC6D33"/>
    <w:rsid w:val="00CC7DB6"/>
    <w:rsid w:val="00CE0158"/>
    <w:rsid w:val="00D365D6"/>
    <w:rsid w:val="00D373DF"/>
    <w:rsid w:val="00D43786"/>
    <w:rsid w:val="00D60FC7"/>
    <w:rsid w:val="00D63E57"/>
    <w:rsid w:val="00D6697D"/>
    <w:rsid w:val="00D82704"/>
    <w:rsid w:val="00D86ECD"/>
    <w:rsid w:val="00D90504"/>
    <w:rsid w:val="00D90EB4"/>
    <w:rsid w:val="00D93179"/>
    <w:rsid w:val="00DA5261"/>
    <w:rsid w:val="00DB1573"/>
    <w:rsid w:val="00DB685B"/>
    <w:rsid w:val="00DC0343"/>
    <w:rsid w:val="00DC0BC0"/>
    <w:rsid w:val="00DD51C5"/>
    <w:rsid w:val="00DD602B"/>
    <w:rsid w:val="00DE1B8B"/>
    <w:rsid w:val="00DE2D2C"/>
    <w:rsid w:val="00DF496A"/>
    <w:rsid w:val="00DF621D"/>
    <w:rsid w:val="00E0020E"/>
    <w:rsid w:val="00E24FE1"/>
    <w:rsid w:val="00E4306E"/>
    <w:rsid w:val="00E437DD"/>
    <w:rsid w:val="00E45E39"/>
    <w:rsid w:val="00E60593"/>
    <w:rsid w:val="00E70090"/>
    <w:rsid w:val="00E83191"/>
    <w:rsid w:val="00EA2D37"/>
    <w:rsid w:val="00EA55F6"/>
    <w:rsid w:val="00EB2CC5"/>
    <w:rsid w:val="00EC70CA"/>
    <w:rsid w:val="00ED079C"/>
    <w:rsid w:val="00ED2486"/>
    <w:rsid w:val="00ED6C04"/>
    <w:rsid w:val="00ED6C05"/>
    <w:rsid w:val="00ED7E45"/>
    <w:rsid w:val="00EE1501"/>
    <w:rsid w:val="00EF54C5"/>
    <w:rsid w:val="00EF63B7"/>
    <w:rsid w:val="00F0068B"/>
    <w:rsid w:val="00F153AE"/>
    <w:rsid w:val="00F32E08"/>
    <w:rsid w:val="00F407A5"/>
    <w:rsid w:val="00F4216C"/>
    <w:rsid w:val="00F429DF"/>
    <w:rsid w:val="00F52539"/>
    <w:rsid w:val="00F550CC"/>
    <w:rsid w:val="00F617BE"/>
    <w:rsid w:val="00F62BF3"/>
    <w:rsid w:val="00F643ED"/>
    <w:rsid w:val="00F6663F"/>
    <w:rsid w:val="00F76226"/>
    <w:rsid w:val="00F92527"/>
    <w:rsid w:val="00F9719D"/>
    <w:rsid w:val="00FA0815"/>
    <w:rsid w:val="00FA2782"/>
    <w:rsid w:val="00FA4954"/>
    <w:rsid w:val="00FA5FCF"/>
    <w:rsid w:val="00FB364D"/>
    <w:rsid w:val="00FB6F5D"/>
    <w:rsid w:val="00FC56B0"/>
    <w:rsid w:val="00FC75EB"/>
    <w:rsid w:val="00FD0E67"/>
    <w:rsid w:val="00FD4889"/>
    <w:rsid w:val="00FD4B50"/>
    <w:rsid w:val="00FE2CEE"/>
    <w:rsid w:val="00FF03CE"/>
    <w:rsid w:val="00FF0418"/>
    <w:rsid w:val="00FF1313"/>
    <w:rsid w:val="00FF1D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587E6A"/>
  <w15:chartTrackingRefBased/>
  <w15:docId w15:val="{83811B7C-D81C-4E31-9C66-472CC769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8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A7891"/>
    <w:rPr>
      <w:color w:val="0000FF"/>
      <w:u w:val="single"/>
    </w:rPr>
  </w:style>
  <w:style w:type="paragraph" w:styleId="HTMLPreformatted">
    <w:name w:val="HTML Preformatted"/>
    <w:basedOn w:val="Normal"/>
    <w:link w:val="HTMLPreformattedChar"/>
    <w:semiHidden/>
    <w:unhideWhenUsed/>
    <w:rsid w:val="00AA7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A7891"/>
    <w:rPr>
      <w:rFonts w:ascii="Courier New" w:eastAsia="Times New Roman" w:hAnsi="Courier New" w:cs="Courier New"/>
      <w:sz w:val="20"/>
      <w:szCs w:val="20"/>
    </w:rPr>
  </w:style>
  <w:style w:type="paragraph" w:styleId="BodyTextIndent">
    <w:name w:val="Body Text Indent"/>
    <w:basedOn w:val="Normal"/>
    <w:link w:val="BodyTextIndentChar"/>
    <w:semiHidden/>
    <w:unhideWhenUsed/>
    <w:rsid w:val="00AA7891"/>
    <w:pPr>
      <w:spacing w:after="120"/>
      <w:ind w:left="360"/>
    </w:pPr>
  </w:style>
  <w:style w:type="character" w:customStyle="1" w:styleId="BodyTextIndentChar">
    <w:name w:val="Body Text Indent Char"/>
    <w:basedOn w:val="DefaultParagraphFont"/>
    <w:link w:val="BodyTextIndent"/>
    <w:semiHidden/>
    <w:rsid w:val="00AA7891"/>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AA7891"/>
    <w:rPr>
      <w:szCs w:val="20"/>
    </w:rPr>
  </w:style>
  <w:style w:type="character" w:customStyle="1" w:styleId="BodyText2Char">
    <w:name w:val="Body Text 2 Char"/>
    <w:basedOn w:val="DefaultParagraphFont"/>
    <w:link w:val="BodyText2"/>
    <w:semiHidden/>
    <w:rsid w:val="00AA7891"/>
    <w:rPr>
      <w:rFonts w:ascii="Times New Roman" w:eastAsia="Times New Roman" w:hAnsi="Times New Roman" w:cs="Times New Roman"/>
      <w:sz w:val="24"/>
      <w:szCs w:val="20"/>
    </w:rPr>
  </w:style>
  <w:style w:type="paragraph" w:styleId="Revision">
    <w:name w:val="Revision"/>
    <w:hidden/>
    <w:uiPriority w:val="99"/>
    <w:semiHidden/>
    <w:rsid w:val="00104F1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04F14"/>
    <w:rPr>
      <w:sz w:val="16"/>
      <w:szCs w:val="16"/>
    </w:rPr>
  </w:style>
  <w:style w:type="paragraph" w:styleId="CommentText">
    <w:name w:val="annotation text"/>
    <w:basedOn w:val="Normal"/>
    <w:link w:val="CommentTextChar"/>
    <w:uiPriority w:val="99"/>
    <w:unhideWhenUsed/>
    <w:rsid w:val="00104F14"/>
    <w:rPr>
      <w:sz w:val="20"/>
      <w:szCs w:val="20"/>
    </w:rPr>
  </w:style>
  <w:style w:type="character" w:customStyle="1" w:styleId="CommentTextChar">
    <w:name w:val="Comment Text Char"/>
    <w:basedOn w:val="DefaultParagraphFont"/>
    <w:link w:val="CommentText"/>
    <w:uiPriority w:val="99"/>
    <w:rsid w:val="00104F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4F14"/>
    <w:rPr>
      <w:b/>
      <w:bCs/>
    </w:rPr>
  </w:style>
  <w:style w:type="character" w:customStyle="1" w:styleId="CommentSubjectChar">
    <w:name w:val="Comment Subject Char"/>
    <w:basedOn w:val="CommentTextChar"/>
    <w:link w:val="CommentSubject"/>
    <w:uiPriority w:val="99"/>
    <w:semiHidden/>
    <w:rsid w:val="00104F1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4306E"/>
    <w:rPr>
      <w:color w:val="954F72" w:themeColor="followedHyperlink"/>
      <w:u w:val="single"/>
    </w:rPr>
  </w:style>
  <w:style w:type="character" w:styleId="UnresolvedMention">
    <w:name w:val="Unresolved Mention"/>
    <w:basedOn w:val="DefaultParagraphFont"/>
    <w:uiPriority w:val="99"/>
    <w:semiHidden/>
    <w:unhideWhenUsed/>
    <w:rsid w:val="00F617BE"/>
    <w:rPr>
      <w:color w:val="605E5C"/>
      <w:shd w:val="clear" w:color="auto" w:fill="E1DFDD"/>
    </w:rPr>
  </w:style>
  <w:style w:type="paragraph" w:styleId="ListParagraph">
    <w:name w:val="List Paragraph"/>
    <w:basedOn w:val="Normal"/>
    <w:uiPriority w:val="34"/>
    <w:qFormat/>
    <w:rsid w:val="00995343"/>
    <w:pPr>
      <w:ind w:left="720"/>
      <w:contextualSpacing/>
    </w:pPr>
  </w:style>
  <w:style w:type="paragraph" w:styleId="Header">
    <w:name w:val="header"/>
    <w:basedOn w:val="Normal"/>
    <w:link w:val="HeaderChar"/>
    <w:uiPriority w:val="99"/>
    <w:unhideWhenUsed/>
    <w:rsid w:val="004B639D"/>
    <w:pPr>
      <w:tabs>
        <w:tab w:val="center" w:pos="4680"/>
        <w:tab w:val="right" w:pos="9360"/>
      </w:tabs>
    </w:pPr>
  </w:style>
  <w:style w:type="character" w:customStyle="1" w:styleId="HeaderChar">
    <w:name w:val="Header Char"/>
    <w:basedOn w:val="DefaultParagraphFont"/>
    <w:link w:val="Header"/>
    <w:uiPriority w:val="99"/>
    <w:rsid w:val="004B63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639D"/>
    <w:pPr>
      <w:tabs>
        <w:tab w:val="center" w:pos="4680"/>
        <w:tab w:val="right" w:pos="9360"/>
      </w:tabs>
    </w:pPr>
  </w:style>
  <w:style w:type="character" w:customStyle="1" w:styleId="FooterChar">
    <w:name w:val="Footer Char"/>
    <w:basedOn w:val="DefaultParagraphFont"/>
    <w:link w:val="Footer"/>
    <w:uiPriority w:val="99"/>
    <w:rsid w:val="004B639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86C30"/>
    <w:pPr>
      <w:spacing w:after="120"/>
    </w:pPr>
  </w:style>
  <w:style w:type="character" w:customStyle="1" w:styleId="BodyTextChar">
    <w:name w:val="Body Text Char"/>
    <w:basedOn w:val="DefaultParagraphFont"/>
    <w:link w:val="BodyText"/>
    <w:uiPriority w:val="99"/>
    <w:semiHidden/>
    <w:rsid w:val="00386C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cessdata.fda.gov/scripts/cdrh/cfdocs/cfcfr/CFRSearch.cfm?CFRPart=11" TargetMode="External" /><Relationship Id="rId11" Type="http://schemas.openxmlformats.org/officeDocument/2006/relationships/hyperlink" Target="http://www.fda.gov/MedicalDevices/default.htm" TargetMode="External" /><Relationship Id="rId12" Type="http://schemas.openxmlformats.org/officeDocument/2006/relationships/hyperlink" Target="http://www.bls.gov/oes/current/oes_nat.htm" TargetMode="External" /><Relationship Id="rId13" Type="http://schemas.openxmlformats.org/officeDocument/2006/relationships/hyperlink" Target="https://www.opm.gov/policy-data-oversight/pay-leave/salaries-wages/salary-tables/pdf/2023/DCB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cessdata.fda.gov/scripts/cdrh/cfdocs/cfcfr/CFRSearch.cfm?CFRPart=810" TargetMode="External" /><Relationship Id="rId9" Type="http://schemas.openxmlformats.org/officeDocument/2006/relationships/hyperlink" Target="https://www.law.cornell.edu/uscode/text/21/360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9620-4FC9-46AF-B3C5-8A21DF310A1B}">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customXml/itemProps2.xml><?xml version="1.0" encoding="utf-8"?>
<ds:datastoreItem xmlns:ds="http://schemas.openxmlformats.org/officeDocument/2006/customXml" ds:itemID="{E42043B9-735E-4AF9-8D86-8802474C6CA1}">
  <ds:schemaRefs>
    <ds:schemaRef ds:uri="http://schemas.microsoft.com/sharepoint/v3/contenttype/forms"/>
  </ds:schemaRefs>
</ds:datastoreItem>
</file>

<file path=customXml/itemProps3.xml><?xml version="1.0" encoding="utf-8"?>
<ds:datastoreItem xmlns:ds="http://schemas.openxmlformats.org/officeDocument/2006/customXml" ds:itemID="{97961159-8B55-4684-A4A0-AAF916E12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D44AF-9C9A-4BF9-AE33-570AA9893960}">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Mayne, Daniel</dc:creator>
  <cp:lastModifiedBy>Showalter, Rachel</cp:lastModifiedBy>
  <cp:revision>3</cp:revision>
  <dcterms:created xsi:type="dcterms:W3CDTF">2024-09-25T20:18:00Z</dcterms:created>
  <dcterms:modified xsi:type="dcterms:W3CDTF">2024-09-25T20:18:00Z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y fmtid="{D5CDD505-2E9C-101B-9397-08002B2CF9AE}" pid="3" name="MediaServiceImageTags">
    <vt:lpwstr/>
  </property>
</Properties>
</file>