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01CEE87A">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522C41">
        <w:rPr>
          <w:rFonts w:ascii="Arial Black" w:hAnsi="Arial Black"/>
          <w:b/>
          <w:color w:val="2E74B5" w:themeColor="accent1" w:themeShade="BF"/>
          <w:sz w:val="36"/>
          <w:szCs w:val="36"/>
        </w:rPr>
        <w:t>11</w:t>
      </w:r>
      <w:r w:rsidRPr="009702A8">
        <w:rPr>
          <w:rFonts w:ascii="Arial Black" w:hAnsi="Arial Black"/>
          <w:b/>
          <w:color w:val="2E74B5" w:themeColor="accent1" w:themeShade="BF"/>
          <w:sz w:val="36"/>
          <w:szCs w:val="36"/>
        </w:rPr>
        <w:t>.</w:t>
      </w:r>
    </w:p>
    <w:p w:rsidR="00FC34E3" w:rsidP="00FC34E3" w14:paraId="073219EE" w14:textId="02CE44D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All Participant Types-</w:t>
      </w:r>
    </w:p>
    <w:p w:rsidR="00EB43FF" w:rsidP="00FC34E3" w14:paraId="684E688F" w14:textId="3FA38837">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One-page recruitment flyer</w:t>
      </w:r>
    </w:p>
    <w:p w:rsidR="003E47D4" w:rsidRPr="008A31F0" w:rsidP="003E47D4" w14:paraId="0161B82E" w14:textId="77777777">
      <w:pPr>
        <w:pStyle w:val="ExhibitTitle"/>
        <w:spacing w:before="0" w:after="0" w:line="240" w:lineRule="auto"/>
        <w:ind w:left="0" w:firstLine="0"/>
        <w:jc w:val="center"/>
        <w:rPr>
          <w:rFonts w:asciiTheme="minorHAnsi" w:hAnsiTheme="minorHAnsi" w:cstheme="minorHAnsi"/>
          <w:szCs w:val="22"/>
        </w:rPr>
      </w:pPr>
      <w:r>
        <w:rPr>
          <w:rFonts w:ascii="Arial Black" w:hAnsi="Arial Black"/>
          <w:color w:val="2E74B5" w:themeColor="accent1" w:themeShade="BF"/>
          <w:sz w:val="36"/>
          <w:szCs w:val="36"/>
        </w:rPr>
        <w:br w:type="page"/>
      </w:r>
      <w:r>
        <w:rPr>
          <w:rFonts w:asciiTheme="minorHAnsi" w:hAnsiTheme="minorHAnsi" w:cstheme="minorHAnsi"/>
          <w:szCs w:val="22"/>
        </w:rPr>
        <w:t>Social and Economic Barriers to Receiving Optimal Services Along the Cancer Continuum</w:t>
      </w:r>
    </w:p>
    <w:p w:rsidR="003E47D4" w:rsidRPr="008A31F0" w:rsidP="003E47D4" w14:paraId="1CE379DB" w14:textId="77777777">
      <w:pPr>
        <w:pStyle w:val="ExhibitTitle"/>
        <w:spacing w:before="0" w:after="0" w:line="240" w:lineRule="auto"/>
        <w:ind w:left="0" w:firstLine="0"/>
        <w:jc w:val="center"/>
        <w:rPr>
          <w:rFonts w:asciiTheme="minorHAnsi" w:hAnsiTheme="minorHAnsi" w:cstheme="minorBidi"/>
        </w:rPr>
      </w:pPr>
      <w:r w:rsidRPr="3BC4F2CC">
        <w:rPr>
          <w:rFonts w:asciiTheme="minorHAnsi" w:hAnsiTheme="minorHAnsi" w:cstheme="minorBidi"/>
          <w:u w:val="single"/>
        </w:rPr>
        <w:t xml:space="preserve">Research Study for Individuals who had Cancer or are Living with Cancer and their </w:t>
      </w:r>
      <w:r w:rsidRPr="3BC4F2CC">
        <w:rPr>
          <w:rFonts w:asciiTheme="minorHAnsi" w:hAnsiTheme="minorHAnsi" w:cstheme="minorBidi"/>
          <w:u w:val="single"/>
        </w:rPr>
        <w:t>Caregivers</w:t>
      </w:r>
    </w:p>
    <w:p w:rsidR="003E47D4" w:rsidP="003E47D4" w14:paraId="5DC6826D" w14:textId="77777777">
      <w:pPr>
        <w:rPr>
          <w:rFonts w:cstheme="minorHAnsi"/>
          <w:b/>
          <w:bCs/>
        </w:rPr>
      </w:pPr>
    </w:p>
    <w:p w:rsidR="003E47D4" w:rsidP="003E47D4" w14:paraId="238679F6" w14:textId="77777777">
      <w:r w:rsidRPr="3BC4F2CC">
        <w:rPr>
          <w:b/>
          <w:bCs/>
        </w:rPr>
        <w:t>Objective:</w:t>
      </w:r>
      <w:r>
        <w:t xml:space="preserve"> </w:t>
      </w:r>
      <w:bookmarkStart w:id="0" w:name="_Hlk93563573"/>
      <w:r>
        <w:t>This research study, funded by the CDC (The Centers for Disease Control and Prevention), will examine the social and economic barriers that individuals who are newly diagnosed with colorectal, breast, and cervical cancer face at each stage of the cancer care continuum, from screening through survivorship. We are also interested in learning about caregivers’ experiences including social and economic barriers they faced, as well as barriers they perceived their care recipients faced.</w:t>
      </w:r>
      <w:bookmarkEnd w:id="0"/>
    </w:p>
    <w:p w:rsidR="003E47D4" w:rsidRPr="00F54A24" w:rsidP="003E47D4" w14:paraId="790192CD" w14:textId="77777777">
      <w:r w:rsidRPr="21DBCA7A">
        <w:rPr>
          <w:b/>
          <w:bCs/>
        </w:rPr>
        <w:t>Public Health Impact</w:t>
      </w:r>
      <w:r w:rsidRPr="21DBCA7A">
        <w:t>:  T</w:t>
      </w:r>
      <w:r>
        <w:t xml:space="preserve">his project will improve our understanding of the cancer care experience, and how experiences may vary across the cancer care continuum and for different populations. The results will produce data-driven evidence that inform efforts aimed at increasing access to cancer care services, reducing the burden of cancers, and closing the disparities gap. </w:t>
      </w:r>
    </w:p>
    <w:p w:rsidR="003E47D4" w:rsidRPr="00F54A24" w:rsidP="003E47D4" w14:paraId="4C69CAC4" w14:textId="41190F86">
      <w:r w:rsidRPr="57645A25">
        <w:rPr>
          <w:b/>
          <w:bCs/>
        </w:rPr>
        <w:t>Methods</w:t>
      </w:r>
      <w:r w:rsidRPr="57645A25">
        <w:t xml:space="preserve">: </w:t>
      </w:r>
      <w:r w:rsidRPr="57645A25">
        <w:rPr>
          <w:color w:val="000000" w:themeColor="text1"/>
        </w:rPr>
        <w:t>We will use a mixed methods data collection approach. First, we will use cancer registry data to identify eligible participants who are recently diagnosed with cancer.</w:t>
      </w:r>
      <w:r w:rsidRPr="57645A25">
        <w:rPr>
          <w:rFonts w:ascii="Arial Nova" w:hAnsi="Arial Nova"/>
          <w:color w:val="000000" w:themeColor="text1"/>
        </w:rPr>
        <w:t xml:space="preserve"> </w:t>
      </w:r>
      <w:r w:rsidRPr="57645A25">
        <w:rPr>
          <w:color w:val="000000" w:themeColor="text1"/>
        </w:rPr>
        <w:t>We will survey individuals who had cancer or are living with cancer and then administer a follow-up survey to respondents. We will administer a survey to caregivers of individuals who went through cancer treatment. All survivors and caregivers will initially be invited to complete an online survey</w:t>
      </w:r>
      <w:r w:rsidR="00517F35">
        <w:rPr>
          <w:color w:val="000000" w:themeColor="text1"/>
        </w:rPr>
        <w:t xml:space="preserve"> in English or Spanish</w:t>
      </w:r>
      <w:r w:rsidRPr="57645A25">
        <w:rPr>
          <w:color w:val="000000" w:themeColor="text1"/>
        </w:rPr>
        <w:t>; the final reminder will be accompanied with a paper survey. We will conduct interviews with selected survivors and caregivers who completed a survey. Finally, we will conduct focus groups with representatives from various patient/survivor advocacy organizations to hear their perspectives on the barriers that individuals who had cancer or are living with cancer face.</w:t>
      </w:r>
    </w:p>
    <w:p w:rsidR="003E47D4" w:rsidP="003E47D4" w14:paraId="1194AAA1" w14:textId="77777777">
      <w:r w:rsidRPr="3BC4F2CC">
        <w:rPr>
          <w:u w:val="single"/>
        </w:rPr>
        <w:t>Inclusion criteria</w:t>
      </w:r>
      <w:r w:rsidRPr="3BC4F2CC">
        <w:t xml:space="preserve">:  </w:t>
      </w:r>
      <w:r w:rsidRPr="3BC4F2CC">
        <w:rPr>
          <w:color w:val="000000" w:themeColor="text1"/>
        </w:rPr>
        <w:t>Our research focuses on individuals who had or are living with breast, cervical, or colorectal cancer and their caregivers. We will also collect data from representatives of cancer patient/survivor advocacy organizations. We are conducting these surveys among individuals who had cancer or are living with cancer and caregivers in Greater California, North Carolina, and Texas.</w:t>
      </w:r>
    </w:p>
    <w:p w:rsidR="003E47D4" w:rsidRPr="00F54A24" w:rsidP="003E47D4" w14:paraId="0F62ABC5" w14:textId="77777777">
      <w:r w:rsidRPr="57645A25">
        <w:rPr>
          <w:u w:val="single"/>
        </w:rPr>
        <w:t>Number of anticipated participants</w:t>
      </w:r>
      <w:r w:rsidRPr="57645A25">
        <w:t>: 3,000 individuals diagnosed with cancer for the Wave 1 Survey, 1,200 individuals diagnosed with cancer for the Wave 2 Survey; 900 for the Caregiver Survey, 20 individuals diagnosed with cancer and 20 caregivers for interviews, and 16 advocacy group representatives for focus groups.</w:t>
      </w:r>
    </w:p>
    <w:p w:rsidR="003E47D4" w:rsidRPr="00F54A24" w:rsidP="003E47D4" w14:paraId="576470C4" w14:textId="77777777">
      <w:bookmarkStart w:id="1" w:name="_Hlk61335559"/>
      <w:r w:rsidRPr="57645A25">
        <w:rPr>
          <w:u w:val="single"/>
        </w:rPr>
        <w:t>Timeframe</w:t>
      </w:r>
      <w:r w:rsidRPr="57645A25">
        <w:t xml:space="preserve">:  February 2024 – June 2025 </w:t>
      </w:r>
    </w:p>
    <w:bookmarkEnd w:id="1"/>
    <w:p w:rsidR="003E47D4" w:rsidRPr="00F54A24" w:rsidP="003E47D4" w14:paraId="434704FE" w14:textId="77777777">
      <w:pPr>
        <w:spacing w:after="120" w:line="240" w:lineRule="auto"/>
        <w:rPr>
          <w:rFonts w:cstheme="minorHAnsi"/>
        </w:rPr>
      </w:pPr>
      <w:r w:rsidRPr="00F54A24">
        <w:rPr>
          <w:rFonts w:cstheme="minorHAnsi"/>
          <w:b/>
          <w:bCs/>
        </w:rPr>
        <w:t>Data Collection and Analysis</w:t>
      </w:r>
    </w:p>
    <w:tbl>
      <w:tblPr>
        <w:tblStyle w:val="TableGrid"/>
        <w:tblW w:w="10435" w:type="dxa"/>
        <w:tblLook w:val="04A0"/>
      </w:tblPr>
      <w:tblGrid>
        <w:gridCol w:w="7735"/>
        <w:gridCol w:w="2700"/>
      </w:tblGrid>
      <w:tr w14:paraId="72E23C72" w14:textId="77777777" w:rsidTr="0079251A">
        <w:tblPrEx>
          <w:tblW w:w="10435" w:type="dxa"/>
          <w:tblLook w:val="04A0"/>
        </w:tblPrEx>
        <w:trPr>
          <w:trHeight w:val="179"/>
        </w:trPr>
        <w:tc>
          <w:tcPr>
            <w:tcW w:w="7735" w:type="dxa"/>
          </w:tcPr>
          <w:p w:rsidR="003E47D4" w:rsidRPr="00ED78AC" w:rsidP="0079251A" w14:paraId="16974C6F" w14:textId="77777777">
            <w:pPr>
              <w:spacing w:before="80" w:after="80"/>
              <w:jc w:val="center"/>
              <w:rPr>
                <w:rFonts w:cstheme="minorHAnsi"/>
                <w:b/>
                <w:bCs/>
                <w:sz w:val="20"/>
                <w:szCs w:val="20"/>
              </w:rPr>
            </w:pPr>
            <w:r w:rsidRPr="00ED78AC">
              <w:rPr>
                <w:rFonts w:cstheme="minorHAnsi"/>
                <w:b/>
                <w:bCs/>
                <w:sz w:val="20"/>
                <w:szCs w:val="20"/>
              </w:rPr>
              <w:t>Type of data collection</w:t>
            </w:r>
          </w:p>
        </w:tc>
        <w:tc>
          <w:tcPr>
            <w:tcW w:w="2700" w:type="dxa"/>
          </w:tcPr>
          <w:p w:rsidR="003E47D4" w:rsidRPr="00ED78AC" w:rsidP="0079251A" w14:paraId="455BEEBA" w14:textId="77777777">
            <w:pPr>
              <w:spacing w:before="80" w:after="80"/>
              <w:jc w:val="center"/>
              <w:rPr>
                <w:rFonts w:cstheme="minorHAnsi"/>
                <w:b/>
                <w:bCs/>
                <w:sz w:val="20"/>
                <w:szCs w:val="20"/>
              </w:rPr>
            </w:pPr>
            <w:r w:rsidRPr="00ED78AC">
              <w:rPr>
                <w:rFonts w:cstheme="minorHAnsi"/>
                <w:b/>
                <w:bCs/>
                <w:sz w:val="20"/>
                <w:szCs w:val="20"/>
              </w:rPr>
              <w:t>Time commitment</w:t>
            </w:r>
          </w:p>
        </w:tc>
      </w:tr>
      <w:tr w14:paraId="070BB403" w14:textId="77777777" w:rsidTr="0079251A">
        <w:tblPrEx>
          <w:tblW w:w="10435" w:type="dxa"/>
          <w:tblLook w:val="04A0"/>
        </w:tblPrEx>
        <w:trPr>
          <w:trHeight w:val="478"/>
        </w:trPr>
        <w:tc>
          <w:tcPr>
            <w:tcW w:w="7735" w:type="dxa"/>
          </w:tcPr>
          <w:p w:rsidR="003E47D4" w:rsidRPr="00337B5A" w:rsidP="0079251A" w14:paraId="6C35CA50" w14:textId="77777777">
            <w:pPr>
              <w:spacing w:before="80" w:after="80"/>
              <w:rPr>
                <w:sz w:val="20"/>
                <w:szCs w:val="20"/>
              </w:rPr>
            </w:pPr>
            <w:r w:rsidRPr="3BC4F2CC">
              <w:rPr>
                <w:sz w:val="20"/>
                <w:szCs w:val="20"/>
              </w:rPr>
              <w:t>Wave 1 Survey on the social and economic barriers faced by cancer survivors during their screening, diagnosis, treatment, and follow-up experiences.</w:t>
            </w:r>
          </w:p>
        </w:tc>
        <w:tc>
          <w:tcPr>
            <w:tcW w:w="2700" w:type="dxa"/>
          </w:tcPr>
          <w:p w:rsidR="003E47D4" w:rsidRPr="00337B5A" w:rsidP="0079251A" w14:paraId="669F444A" w14:textId="77777777">
            <w:pPr>
              <w:spacing w:before="80" w:after="80"/>
              <w:rPr>
                <w:rFonts w:cstheme="minorHAnsi"/>
                <w:sz w:val="20"/>
                <w:szCs w:val="20"/>
              </w:rPr>
            </w:pPr>
            <w:r>
              <w:rPr>
                <w:rFonts w:cstheme="minorHAnsi"/>
                <w:sz w:val="20"/>
                <w:szCs w:val="20"/>
              </w:rPr>
              <w:t>20 minutes</w:t>
            </w:r>
          </w:p>
        </w:tc>
      </w:tr>
      <w:tr w14:paraId="2362E494" w14:textId="77777777" w:rsidTr="0079251A">
        <w:tblPrEx>
          <w:tblW w:w="10435" w:type="dxa"/>
          <w:tblLook w:val="04A0"/>
        </w:tblPrEx>
        <w:trPr>
          <w:trHeight w:val="557"/>
        </w:trPr>
        <w:tc>
          <w:tcPr>
            <w:tcW w:w="7735" w:type="dxa"/>
          </w:tcPr>
          <w:p w:rsidR="003E47D4" w:rsidRPr="00337B5A" w:rsidP="0079251A" w14:paraId="6705847F" w14:textId="77777777">
            <w:pPr>
              <w:spacing w:before="80" w:after="80"/>
              <w:rPr>
                <w:i/>
                <w:iCs/>
                <w:sz w:val="20"/>
                <w:szCs w:val="20"/>
              </w:rPr>
            </w:pPr>
            <w:r w:rsidRPr="3BC4F2CC">
              <w:rPr>
                <w:sz w:val="20"/>
                <w:szCs w:val="20"/>
              </w:rPr>
              <w:t>Wave 2 Survey on further social and economic barriers faced by cancer survivors during their screening, diagnosis, treatment, and follow-up experiences.</w:t>
            </w:r>
          </w:p>
        </w:tc>
        <w:tc>
          <w:tcPr>
            <w:tcW w:w="2700" w:type="dxa"/>
          </w:tcPr>
          <w:p w:rsidR="003E47D4" w:rsidRPr="00337B5A" w:rsidP="0079251A" w14:paraId="59B8D8D2" w14:textId="77777777">
            <w:pPr>
              <w:spacing w:before="80" w:after="80"/>
              <w:rPr>
                <w:rFonts w:cstheme="minorHAnsi"/>
                <w:sz w:val="20"/>
                <w:szCs w:val="20"/>
              </w:rPr>
            </w:pPr>
            <w:r>
              <w:rPr>
                <w:rFonts w:cstheme="minorHAnsi"/>
                <w:sz w:val="20"/>
                <w:szCs w:val="20"/>
              </w:rPr>
              <w:t>20 minutes</w:t>
            </w:r>
          </w:p>
        </w:tc>
      </w:tr>
      <w:tr w14:paraId="66728DD2" w14:textId="77777777" w:rsidTr="0079251A">
        <w:tblPrEx>
          <w:tblW w:w="10435" w:type="dxa"/>
          <w:tblLook w:val="04A0"/>
        </w:tblPrEx>
        <w:trPr>
          <w:trHeight w:val="656"/>
        </w:trPr>
        <w:tc>
          <w:tcPr>
            <w:tcW w:w="7735" w:type="dxa"/>
          </w:tcPr>
          <w:p w:rsidR="003E47D4" w:rsidRPr="00337B5A" w:rsidP="0079251A" w14:paraId="23E7D803" w14:textId="77777777">
            <w:pPr>
              <w:spacing w:before="80" w:after="80"/>
              <w:rPr>
                <w:sz w:val="20"/>
                <w:szCs w:val="20"/>
              </w:rPr>
            </w:pPr>
            <w:r w:rsidRPr="3BC4F2CC">
              <w:rPr>
                <w:sz w:val="20"/>
                <w:szCs w:val="20"/>
              </w:rPr>
              <w:t>Caregiver Survey on the social and economic barriers faced by caregivers of individuals who had cancer or are living with cancer during their screening, diagnosis, treatment, and follow-up experiences</w:t>
            </w:r>
            <w:r>
              <w:rPr>
                <w:sz w:val="20"/>
                <w:szCs w:val="20"/>
              </w:rPr>
              <w:t>, as well as barriers that caregivers perceived their care recipients faced</w:t>
            </w:r>
            <w:r w:rsidRPr="3BC4F2CC">
              <w:rPr>
                <w:sz w:val="20"/>
                <w:szCs w:val="20"/>
              </w:rPr>
              <w:t>.</w:t>
            </w:r>
            <w:r>
              <w:rPr>
                <w:sz w:val="20"/>
                <w:szCs w:val="20"/>
              </w:rPr>
              <w:t xml:space="preserve">  </w:t>
            </w:r>
          </w:p>
        </w:tc>
        <w:tc>
          <w:tcPr>
            <w:tcW w:w="2700" w:type="dxa"/>
          </w:tcPr>
          <w:p w:rsidR="003E47D4" w:rsidRPr="00337B5A" w:rsidP="0079251A" w14:paraId="1056A131" w14:textId="77777777">
            <w:pPr>
              <w:spacing w:before="80" w:after="80"/>
              <w:rPr>
                <w:rFonts w:cstheme="minorHAnsi"/>
                <w:sz w:val="20"/>
                <w:szCs w:val="20"/>
              </w:rPr>
            </w:pPr>
            <w:r>
              <w:rPr>
                <w:rFonts w:cstheme="minorHAnsi"/>
                <w:sz w:val="20"/>
                <w:szCs w:val="20"/>
              </w:rPr>
              <w:t>15 minutes</w:t>
            </w:r>
          </w:p>
        </w:tc>
      </w:tr>
      <w:tr w14:paraId="6B758BFD" w14:textId="77777777" w:rsidTr="0079251A">
        <w:tblPrEx>
          <w:tblW w:w="10435" w:type="dxa"/>
          <w:tblLook w:val="04A0"/>
        </w:tblPrEx>
        <w:trPr>
          <w:trHeight w:val="656"/>
        </w:trPr>
        <w:tc>
          <w:tcPr>
            <w:tcW w:w="7735" w:type="dxa"/>
          </w:tcPr>
          <w:p w:rsidR="003E47D4" w:rsidRPr="00337B5A" w:rsidP="0079251A" w14:paraId="53B793E5" w14:textId="77777777">
            <w:pPr>
              <w:spacing w:before="80" w:after="80"/>
              <w:rPr>
                <w:sz w:val="20"/>
                <w:szCs w:val="20"/>
              </w:rPr>
            </w:pPr>
            <w:r w:rsidRPr="3BC4F2CC">
              <w:rPr>
                <w:sz w:val="20"/>
                <w:szCs w:val="20"/>
              </w:rPr>
              <w:t>Qualitative Interview with individuals who had cancer or are living with cancer to understand key themes from the Wave 1 and Wave 2 Surveys.</w:t>
            </w:r>
          </w:p>
        </w:tc>
        <w:tc>
          <w:tcPr>
            <w:tcW w:w="2700" w:type="dxa"/>
          </w:tcPr>
          <w:p w:rsidR="003E47D4" w:rsidP="0079251A" w14:paraId="44B19387" w14:textId="77777777">
            <w:pPr>
              <w:spacing w:before="80" w:after="80"/>
              <w:rPr>
                <w:rFonts w:cstheme="minorHAnsi"/>
                <w:sz w:val="20"/>
                <w:szCs w:val="20"/>
              </w:rPr>
            </w:pPr>
            <w:r>
              <w:rPr>
                <w:rFonts w:cstheme="minorHAnsi"/>
                <w:sz w:val="20"/>
                <w:szCs w:val="20"/>
              </w:rPr>
              <w:t>1-hour virtual interview</w:t>
            </w:r>
          </w:p>
        </w:tc>
      </w:tr>
      <w:tr w14:paraId="30A1727B" w14:textId="77777777" w:rsidTr="0079251A">
        <w:tblPrEx>
          <w:tblW w:w="10435" w:type="dxa"/>
          <w:tblLook w:val="04A0"/>
        </w:tblPrEx>
        <w:trPr>
          <w:trHeight w:val="467"/>
        </w:trPr>
        <w:tc>
          <w:tcPr>
            <w:tcW w:w="7735" w:type="dxa"/>
          </w:tcPr>
          <w:p w:rsidR="003E47D4" w:rsidRPr="00337B5A" w:rsidP="0079251A" w14:paraId="178862F9" w14:textId="77777777">
            <w:pPr>
              <w:spacing w:before="80" w:after="80"/>
              <w:rPr>
                <w:rFonts w:cstheme="minorHAnsi"/>
                <w:sz w:val="20"/>
                <w:szCs w:val="20"/>
              </w:rPr>
            </w:pPr>
            <w:r>
              <w:rPr>
                <w:rFonts w:cstheme="minorHAnsi"/>
                <w:sz w:val="20"/>
                <w:szCs w:val="20"/>
              </w:rPr>
              <w:t>Qualitative Interview with caregivers to understand key themes from the Caregiver Survey.</w:t>
            </w:r>
          </w:p>
        </w:tc>
        <w:tc>
          <w:tcPr>
            <w:tcW w:w="2700" w:type="dxa"/>
          </w:tcPr>
          <w:p w:rsidR="003E47D4" w:rsidP="0079251A" w14:paraId="664999E2" w14:textId="77777777">
            <w:pPr>
              <w:spacing w:before="80" w:after="80"/>
              <w:rPr>
                <w:rFonts w:cstheme="minorHAnsi"/>
                <w:sz w:val="20"/>
                <w:szCs w:val="20"/>
              </w:rPr>
            </w:pPr>
            <w:r>
              <w:rPr>
                <w:rFonts w:cstheme="minorHAnsi"/>
                <w:sz w:val="20"/>
                <w:szCs w:val="20"/>
              </w:rPr>
              <w:t>1-hour virtual interview</w:t>
            </w:r>
          </w:p>
        </w:tc>
      </w:tr>
      <w:tr w14:paraId="786BF9E4" w14:textId="77777777" w:rsidTr="0079251A">
        <w:tblPrEx>
          <w:tblW w:w="10435" w:type="dxa"/>
          <w:tblLook w:val="04A0"/>
        </w:tblPrEx>
        <w:trPr>
          <w:trHeight w:val="548"/>
        </w:trPr>
        <w:tc>
          <w:tcPr>
            <w:tcW w:w="7735" w:type="dxa"/>
          </w:tcPr>
          <w:p w:rsidR="003E47D4" w:rsidRPr="00337B5A" w:rsidP="0079251A" w14:paraId="3CB1AA6E" w14:textId="77777777">
            <w:pPr>
              <w:spacing w:before="80" w:after="80"/>
              <w:rPr>
                <w:rFonts w:cstheme="minorHAnsi"/>
                <w:sz w:val="20"/>
                <w:szCs w:val="20"/>
              </w:rPr>
            </w:pPr>
            <w:r w:rsidRPr="00337B5A">
              <w:rPr>
                <w:rFonts w:cstheme="minorHAnsi"/>
                <w:sz w:val="20"/>
                <w:szCs w:val="20"/>
              </w:rPr>
              <w:t xml:space="preserve">Focus group discussion </w:t>
            </w:r>
            <w:r>
              <w:rPr>
                <w:rFonts w:cstheme="minorHAnsi"/>
                <w:sz w:val="20"/>
                <w:szCs w:val="20"/>
              </w:rPr>
              <w:t>with representatives from patient/survivor advocacy groups to understand how organizations identify and meet the needs of patients facing social and economic barriers.</w:t>
            </w:r>
          </w:p>
        </w:tc>
        <w:tc>
          <w:tcPr>
            <w:tcW w:w="2700" w:type="dxa"/>
          </w:tcPr>
          <w:p w:rsidR="003E47D4" w:rsidRPr="00337B5A" w:rsidP="0079251A" w14:paraId="06E41E53" w14:textId="77777777">
            <w:pPr>
              <w:spacing w:before="80" w:after="80"/>
              <w:rPr>
                <w:rFonts w:cstheme="minorHAnsi"/>
                <w:sz w:val="20"/>
                <w:szCs w:val="20"/>
              </w:rPr>
            </w:pPr>
            <w:r w:rsidRPr="00337B5A">
              <w:rPr>
                <w:rFonts w:cstheme="minorHAnsi"/>
                <w:sz w:val="20"/>
                <w:szCs w:val="20"/>
              </w:rPr>
              <w:t xml:space="preserve">60-minute virtual focus group with </w:t>
            </w:r>
            <w:r>
              <w:rPr>
                <w:rFonts w:cstheme="minorHAnsi"/>
                <w:sz w:val="20"/>
                <w:szCs w:val="20"/>
              </w:rPr>
              <w:t xml:space="preserve">advocacy organization </w:t>
            </w:r>
            <w:r w:rsidRPr="00337B5A">
              <w:rPr>
                <w:rFonts w:cstheme="minorHAnsi"/>
                <w:sz w:val="20"/>
                <w:szCs w:val="20"/>
              </w:rPr>
              <w:t>representative</w:t>
            </w:r>
            <w:r>
              <w:rPr>
                <w:rFonts w:cstheme="minorHAnsi"/>
                <w:sz w:val="20"/>
                <w:szCs w:val="20"/>
              </w:rPr>
              <w:t>s</w:t>
            </w:r>
          </w:p>
        </w:tc>
      </w:tr>
    </w:tbl>
    <w:p w:rsidR="003E47D4" w:rsidP="003E47D4" w14:paraId="615E9251" w14:textId="77777777">
      <w:pPr>
        <w:pStyle w:val="BodyTextaft-12"/>
        <w:spacing w:before="0" w:after="0"/>
        <w:rPr>
          <w:rFonts w:asciiTheme="minorHAnsi" w:hAnsiTheme="minorHAnsi" w:cstheme="minorHAnsi"/>
          <w:b/>
          <w:szCs w:val="22"/>
        </w:rPr>
      </w:pPr>
    </w:p>
    <w:p w:rsidR="003E47D4" w:rsidRPr="007C5703" w:rsidP="003E47D4" w14:paraId="04201C40" w14:textId="77777777">
      <w:pPr>
        <w:pStyle w:val="BodyTextaft-12"/>
        <w:spacing w:before="0" w:after="0"/>
        <w:rPr>
          <w:rFonts w:asciiTheme="minorHAnsi" w:hAnsiTheme="minorHAnsi" w:cstheme="minorBidi"/>
        </w:rPr>
      </w:pPr>
      <w:r w:rsidRPr="57645A25">
        <w:rPr>
          <w:rFonts w:asciiTheme="minorHAnsi" w:hAnsiTheme="minorHAnsi" w:cstheme="minorBidi"/>
          <w:b/>
          <w:bCs/>
        </w:rPr>
        <w:t>CDC Point of Contact</w:t>
      </w:r>
      <w:r w:rsidRPr="57645A25">
        <w:rPr>
          <w:rFonts w:asciiTheme="minorHAnsi" w:hAnsiTheme="minorHAnsi" w:cstheme="minorBidi"/>
        </w:rPr>
        <w:t xml:space="preserve">:  Florence Tangka </w:t>
      </w:r>
      <w:hyperlink r:id="rId7">
        <w:r w:rsidRPr="57645A25">
          <w:rPr>
            <w:rStyle w:val="Hyperlink"/>
            <w:rFonts w:asciiTheme="minorHAnsi" w:hAnsiTheme="minorHAnsi" w:cstheme="minorBidi"/>
          </w:rPr>
          <w:t>fbt9@cdc.gov</w:t>
        </w:r>
      </w:hyperlink>
      <w:r w:rsidRPr="57645A25">
        <w:rPr>
          <w:rFonts w:asciiTheme="minorHAnsi" w:hAnsiTheme="minorHAnsi" w:cstheme="minorBidi"/>
        </w:rPr>
        <w:t xml:space="preserve"> </w:t>
      </w:r>
    </w:p>
    <w:p w:rsidR="003E47D4" w:rsidRPr="007C5703" w:rsidP="003E47D4" w14:paraId="5EE8692A" w14:textId="77777777">
      <w:pPr>
        <w:pStyle w:val="BodyTextaft-12"/>
        <w:spacing w:before="0" w:after="0"/>
        <w:rPr>
          <w:rFonts w:asciiTheme="minorHAnsi" w:hAnsiTheme="minorHAnsi" w:cstheme="minorBidi"/>
        </w:rPr>
      </w:pPr>
      <w:r w:rsidRPr="57645A25">
        <w:rPr>
          <w:rFonts w:asciiTheme="minorHAnsi" w:hAnsiTheme="minorHAnsi" w:cstheme="minorBidi"/>
          <w:b/>
          <w:bCs/>
        </w:rPr>
        <w:t>Implenomics</w:t>
      </w:r>
      <w:r w:rsidRPr="57645A25">
        <w:rPr>
          <w:rFonts w:asciiTheme="minorHAnsi" w:hAnsiTheme="minorHAnsi" w:cstheme="minorBidi"/>
          <w:b/>
          <w:bCs/>
        </w:rPr>
        <w:t xml:space="preserve"> Point of Contact</w:t>
      </w:r>
      <w:r w:rsidRPr="57645A25">
        <w:rPr>
          <w:rFonts w:asciiTheme="minorHAnsi" w:hAnsiTheme="minorHAnsi" w:cstheme="minorBidi"/>
        </w:rPr>
        <w:t>: Sujha Subramanian (</w:t>
      </w:r>
      <w:hyperlink r:id="rId8">
        <w:r w:rsidRPr="57645A25">
          <w:rPr>
            <w:rStyle w:val="Hyperlink"/>
            <w:rFonts w:asciiTheme="minorHAnsi" w:hAnsiTheme="minorHAnsi" w:cstheme="minorBidi"/>
          </w:rPr>
          <w:t>sujha.subramanian@implenomics.com</w:t>
        </w:r>
      </w:hyperlink>
      <w:r w:rsidRPr="57645A25">
        <w:rPr>
          <w:rFonts w:asciiTheme="minorHAnsi" w:hAnsiTheme="minorHAnsi" w:cstheme="minorBidi"/>
        </w:rPr>
        <w:t>) or Nathan Heffernan (</w:t>
      </w:r>
      <w:hyperlink r:id="rId9">
        <w:r w:rsidRPr="57645A25">
          <w:rPr>
            <w:rStyle w:val="Hyperlink"/>
            <w:rFonts w:asciiTheme="minorHAnsi" w:hAnsiTheme="minorHAnsi" w:cstheme="minorBidi"/>
          </w:rPr>
          <w:t>nathan.heffernan@implenomics.com</w:t>
        </w:r>
      </w:hyperlink>
      <w:r w:rsidRPr="57645A25">
        <w:rPr>
          <w:rFonts w:asciiTheme="minorHAnsi" w:hAnsiTheme="minorHAnsi" w:cstheme="minorBidi"/>
        </w:rPr>
        <w:t>)</w:t>
      </w:r>
    </w:p>
    <w:p w:rsidR="00FC34E3" w:rsidRPr="009702A8" w:rsidP="00FC34E3" w14:paraId="2B904133" w14:textId="151746A7">
      <w:pPr>
        <w:rPr>
          <w:rFonts w:ascii="Arial Black" w:hAnsi="Arial Black"/>
          <w:b/>
          <w:color w:val="2E74B5" w:themeColor="accent1" w:themeShade="BF"/>
          <w:sz w:val="36"/>
          <w:szCs w:val="36"/>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6742A"/>
    <w:rsid w:val="000B0E94"/>
    <w:rsid w:val="001A398C"/>
    <w:rsid w:val="00337B5A"/>
    <w:rsid w:val="003E47D4"/>
    <w:rsid w:val="0044059F"/>
    <w:rsid w:val="0050076F"/>
    <w:rsid w:val="00513DCE"/>
    <w:rsid w:val="00517F35"/>
    <w:rsid w:val="00522C41"/>
    <w:rsid w:val="00613311"/>
    <w:rsid w:val="00622C09"/>
    <w:rsid w:val="006E5AE9"/>
    <w:rsid w:val="00784D95"/>
    <w:rsid w:val="0079251A"/>
    <w:rsid w:val="007C5703"/>
    <w:rsid w:val="00830ABA"/>
    <w:rsid w:val="008A31F0"/>
    <w:rsid w:val="008A5FA7"/>
    <w:rsid w:val="008B4540"/>
    <w:rsid w:val="00966353"/>
    <w:rsid w:val="009702A8"/>
    <w:rsid w:val="0098015E"/>
    <w:rsid w:val="009A1499"/>
    <w:rsid w:val="009F1887"/>
    <w:rsid w:val="00A779EF"/>
    <w:rsid w:val="00A80911"/>
    <w:rsid w:val="00B22D0C"/>
    <w:rsid w:val="00B4103C"/>
    <w:rsid w:val="00B95B79"/>
    <w:rsid w:val="00BB371D"/>
    <w:rsid w:val="00C11C6D"/>
    <w:rsid w:val="00C238E8"/>
    <w:rsid w:val="00C412EF"/>
    <w:rsid w:val="00D25B14"/>
    <w:rsid w:val="00E20AB4"/>
    <w:rsid w:val="00EA6811"/>
    <w:rsid w:val="00EB43FF"/>
    <w:rsid w:val="00ED78AC"/>
    <w:rsid w:val="00F54A24"/>
    <w:rsid w:val="00FC34E3"/>
    <w:rsid w:val="21DBCA7A"/>
    <w:rsid w:val="3BC4F2CC"/>
    <w:rsid w:val="57645A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table" w:styleId="TableGrid">
    <w:name w:val="Table Grid"/>
    <w:basedOn w:val="TableNormal"/>
    <w:uiPriority w:val="39"/>
    <w:rsid w:val="003E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link w:val="ExhibitTitleChar"/>
    <w:qFormat/>
    <w:rsid w:val="003E47D4"/>
    <w:pPr>
      <w:keepNext/>
      <w:keepLines/>
      <w:spacing w:before="240" w:after="120" w:line="260" w:lineRule="exact"/>
      <w:ind w:left="1260" w:hanging="1260"/>
    </w:pPr>
    <w:rPr>
      <w:rFonts w:ascii="Arial" w:eastAsia="Times New Roman" w:hAnsi="Arial" w:cs="Times New Roman"/>
      <w:b/>
      <w:snapToGrid w:val="0"/>
      <w:szCs w:val="20"/>
    </w:rPr>
  </w:style>
  <w:style w:type="character" w:customStyle="1" w:styleId="ExhibitTitleChar">
    <w:name w:val="Exhibit Title Char"/>
    <w:link w:val="ExhibitTitle"/>
    <w:rsid w:val="003E47D4"/>
    <w:rPr>
      <w:rFonts w:ascii="Arial" w:eastAsia="Times New Roman" w:hAnsi="Arial" w:cs="Times New Roman"/>
      <w:b/>
      <w:snapToGrid w:val="0"/>
      <w:szCs w:val="20"/>
    </w:rPr>
  </w:style>
  <w:style w:type="paragraph" w:customStyle="1" w:styleId="BodyTextaft-12">
    <w:name w:val="Body Text_aft-12"/>
    <w:basedOn w:val="Normal"/>
    <w:qFormat/>
    <w:rsid w:val="003E47D4"/>
    <w:pPr>
      <w:spacing w:before="120" w:after="120" w:line="240" w:lineRule="auto"/>
    </w:pPr>
    <w:rPr>
      <w:rFonts w:ascii="Times New Roman" w:eastAsia="Times New Roman" w:hAnsi="Times New Roman" w:cs="Times New Roman"/>
      <w:szCs w:val="20"/>
    </w:rPr>
  </w:style>
  <w:style w:type="paragraph" w:styleId="Revision">
    <w:name w:val="Revision"/>
    <w:hidden/>
    <w:uiPriority w:val="99"/>
    <w:semiHidden/>
    <w:rsid w:val="0044059F"/>
    <w:pPr>
      <w:spacing w:after="0" w:line="240" w:lineRule="auto"/>
    </w:pPr>
  </w:style>
  <w:style w:type="character" w:styleId="CommentReference">
    <w:name w:val="annotation reference"/>
    <w:basedOn w:val="DefaultParagraphFont"/>
    <w:uiPriority w:val="99"/>
    <w:semiHidden/>
    <w:unhideWhenUsed/>
    <w:rsid w:val="0044059F"/>
    <w:rPr>
      <w:sz w:val="16"/>
      <w:szCs w:val="16"/>
    </w:rPr>
  </w:style>
  <w:style w:type="paragraph" w:styleId="CommentText">
    <w:name w:val="annotation text"/>
    <w:basedOn w:val="Normal"/>
    <w:link w:val="CommentTextChar"/>
    <w:uiPriority w:val="99"/>
    <w:unhideWhenUsed/>
    <w:rsid w:val="0044059F"/>
    <w:pPr>
      <w:spacing w:line="240" w:lineRule="auto"/>
    </w:pPr>
    <w:rPr>
      <w:sz w:val="20"/>
      <w:szCs w:val="20"/>
    </w:rPr>
  </w:style>
  <w:style w:type="character" w:customStyle="1" w:styleId="CommentTextChar">
    <w:name w:val="Comment Text Char"/>
    <w:basedOn w:val="DefaultParagraphFont"/>
    <w:link w:val="CommentText"/>
    <w:uiPriority w:val="99"/>
    <w:rsid w:val="0044059F"/>
    <w:rPr>
      <w:sz w:val="20"/>
      <w:szCs w:val="20"/>
    </w:rPr>
  </w:style>
  <w:style w:type="paragraph" w:styleId="CommentSubject">
    <w:name w:val="annotation subject"/>
    <w:basedOn w:val="CommentText"/>
    <w:next w:val="CommentText"/>
    <w:link w:val="CommentSubjectChar"/>
    <w:uiPriority w:val="99"/>
    <w:semiHidden/>
    <w:unhideWhenUsed/>
    <w:rsid w:val="0044059F"/>
    <w:rPr>
      <w:b/>
      <w:bCs/>
    </w:rPr>
  </w:style>
  <w:style w:type="character" w:customStyle="1" w:styleId="CommentSubjectChar">
    <w:name w:val="Comment Subject Char"/>
    <w:basedOn w:val="CommentTextChar"/>
    <w:link w:val="CommentSubject"/>
    <w:uiPriority w:val="99"/>
    <w:semiHidden/>
    <w:rsid w:val="00440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bt9@cdc.gov" TargetMode="External" /><Relationship Id="rId8" Type="http://schemas.openxmlformats.org/officeDocument/2006/relationships/hyperlink" Target="mailto:sujha.subramanian@implenomics.com" TargetMode="External" /><Relationship Id="rId9" Type="http://schemas.openxmlformats.org/officeDocument/2006/relationships/hyperlink" Target="mailto:nathan.heffernan@implenom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438A8-2841-4AFD-B089-82229FCE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ED610-E028-46CC-B162-06426B7EA597}">
  <ds:schemaRefs>
    <ds:schemaRef ds:uri="http://schemas.microsoft.com/office/2006/metadata/properties"/>
    <ds:schemaRef ds:uri="http://schemas.microsoft.com/office/infopath/2007/PartnerControls"/>
    <ds:schemaRef ds:uri="5480bde2-5096-4d7d-9e35-aa33f13d69dc"/>
  </ds:schemaRefs>
</ds:datastoreItem>
</file>

<file path=customXml/itemProps3.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Patel, Nita (CDC/NCCDPHP/DCPC)</cp:lastModifiedBy>
  <cp:revision>4</cp:revision>
  <dcterms:created xsi:type="dcterms:W3CDTF">2024-05-16T22:19:00Z</dcterms:created>
  <dcterms:modified xsi:type="dcterms:W3CDTF">2024-06-11T19:28:00Z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