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2BEE522A" w14:textId="77777777">
      <w:bookmarkStart w:id="0" w:name="_Toc473880015"/>
    </w:p>
    <w:p w:rsidR="00304BBB" w:rsidP="009A79E1" w14:paraId="70D2D625" w14:textId="77777777"/>
    <w:bookmarkEnd w:id="0"/>
    <w:p w:rsidR="00217B90" w:rsidP="00217B90" w14:paraId="636E2ED1" w14:textId="77777777">
      <w:pPr>
        <w:spacing w:after="0" w:line="240" w:lineRule="auto"/>
        <w:jc w:val="center"/>
        <w:rPr>
          <w:b/>
          <w:szCs w:val="24"/>
        </w:rPr>
      </w:pPr>
      <w:r>
        <w:rPr>
          <w:b/>
          <w:szCs w:val="24"/>
        </w:rPr>
        <w:t xml:space="preserve">Supporting Statement A for Paperwork Reduction Act Generic Information Collection Submissions for </w:t>
      </w:r>
    </w:p>
    <w:p w:rsidR="00217B90" w:rsidP="00217B90" w14:paraId="1506FEFD" w14:textId="77777777">
      <w:pPr>
        <w:spacing w:after="0" w:line="240" w:lineRule="auto"/>
        <w:jc w:val="center"/>
        <w:rPr>
          <w:b/>
          <w:szCs w:val="24"/>
        </w:rPr>
      </w:pPr>
    </w:p>
    <w:p w:rsidR="00217B90" w:rsidP="00217B90" w14:paraId="4870FB70" w14:textId="77777777">
      <w:pPr>
        <w:spacing w:after="0" w:line="240" w:lineRule="auto"/>
        <w:jc w:val="center"/>
        <w:outlineLvl w:val="0"/>
        <w:rPr>
          <w:b/>
          <w:szCs w:val="24"/>
        </w:rPr>
      </w:pPr>
      <w:r>
        <w:rPr>
          <w:b/>
          <w:szCs w:val="24"/>
        </w:rPr>
        <w:t>“Generic Clearance for the Collection of Qualitative Feedback on Agency Service Delivery”</w:t>
      </w:r>
    </w:p>
    <w:p w:rsidR="004A13E8" w:rsidP="004A13E8" w14:paraId="316AD520" w14:textId="77777777">
      <w:pPr>
        <w:spacing w:after="0" w:line="240" w:lineRule="auto"/>
        <w:jc w:val="center"/>
        <w:rPr>
          <w:b/>
        </w:rPr>
      </w:pPr>
    </w:p>
    <w:p w:rsidR="004A13E8" w:rsidP="00217B90" w14:paraId="6A7EF381" w14:textId="77777777">
      <w:pPr>
        <w:pStyle w:val="Heading3"/>
        <w:rPr>
          <w:b/>
        </w:rPr>
      </w:pPr>
      <w:bookmarkStart w:id="1" w:name="_Toc473880016"/>
      <w:r w:rsidRPr="004A13E8">
        <w:t>Request for OMB approval of a</w:t>
      </w:r>
      <w:r w:rsidR="00DC74EE">
        <w:t xml:space="preserve"> Revision</w:t>
      </w:r>
      <w:r w:rsidR="00217B90">
        <w:t xml:space="preserve"> </w:t>
      </w:r>
      <w:r w:rsidR="00DC74EE">
        <w:t>Information Collection</w:t>
      </w:r>
      <w:bookmarkEnd w:id="1"/>
      <w:r w:rsidR="00DC74EE">
        <w:t xml:space="preserve"> </w:t>
      </w:r>
    </w:p>
    <w:p w:rsidR="004A13E8" w:rsidRPr="004A13E8" w:rsidP="004A13E8" w14:paraId="235095A0" w14:textId="77777777">
      <w:pPr>
        <w:pStyle w:val="Heading4"/>
      </w:pPr>
      <w:r>
        <w:t>4/18/24</w:t>
      </w:r>
    </w:p>
    <w:p w:rsidR="004A13E8" w:rsidP="004A13E8" w14:paraId="6588D4F8" w14:textId="77777777">
      <w:pPr>
        <w:spacing w:after="0" w:line="240" w:lineRule="auto"/>
        <w:jc w:val="center"/>
        <w:rPr>
          <w:b/>
        </w:rPr>
      </w:pPr>
    </w:p>
    <w:p w:rsidR="004A13E8" w:rsidP="009A79E1" w14:paraId="4D5F10A0" w14:textId="77777777"/>
    <w:p w:rsidR="00F8364A" w:rsidP="00F8364A" w14:paraId="530D9E7E" w14:textId="77777777">
      <w:pPr>
        <w:spacing w:after="0" w:line="240" w:lineRule="auto"/>
        <w:jc w:val="center"/>
        <w:outlineLvl w:val="0"/>
        <w:rPr>
          <w:b/>
          <w:szCs w:val="24"/>
        </w:rPr>
      </w:pPr>
    </w:p>
    <w:p w:rsidR="00F8364A" w:rsidP="00F8364A" w14:paraId="4C8635D8" w14:textId="77777777">
      <w:pPr>
        <w:spacing w:after="0" w:line="240" w:lineRule="auto"/>
        <w:jc w:val="center"/>
        <w:outlineLvl w:val="0"/>
        <w:rPr>
          <w:b/>
          <w:szCs w:val="24"/>
        </w:rPr>
      </w:pPr>
      <w:r>
        <w:rPr>
          <w:b/>
          <w:szCs w:val="24"/>
        </w:rPr>
        <w:t>OMB Control No. 0920-1071</w:t>
      </w:r>
    </w:p>
    <w:p w:rsidR="00F8364A" w:rsidP="00F8364A" w14:paraId="53CC72CA" w14:textId="77777777">
      <w:pPr>
        <w:spacing w:after="0" w:line="240" w:lineRule="auto"/>
        <w:jc w:val="center"/>
        <w:outlineLvl w:val="0"/>
        <w:rPr>
          <w:b/>
          <w:szCs w:val="24"/>
        </w:rPr>
      </w:pPr>
      <w:r>
        <w:rPr>
          <w:b/>
          <w:szCs w:val="24"/>
        </w:rPr>
        <w:t>Expiration Date: 05/31/2024</w:t>
      </w:r>
    </w:p>
    <w:p w:rsidR="004A13E8" w:rsidP="009A79E1" w14:paraId="655C889F" w14:textId="77777777"/>
    <w:p w:rsidR="004A13E8" w:rsidP="009A79E1" w14:paraId="29F2226A" w14:textId="77777777"/>
    <w:p w:rsidR="004A13E8" w:rsidP="004A13E8" w14:paraId="491F1081" w14:textId="77777777">
      <w:pPr>
        <w:spacing w:after="0" w:line="240" w:lineRule="auto"/>
        <w:jc w:val="center"/>
        <w:rPr>
          <w:b/>
        </w:rPr>
      </w:pPr>
    </w:p>
    <w:p w:rsidR="004A13E8" w:rsidP="004A13E8" w14:paraId="47C8F017" w14:textId="77777777">
      <w:pPr>
        <w:pStyle w:val="Heading4"/>
      </w:pPr>
      <w:r>
        <w:t>Supporting Statement A</w:t>
      </w:r>
    </w:p>
    <w:p w:rsidR="004A13E8" w:rsidP="004A13E8" w14:paraId="02AF8A49" w14:textId="77777777">
      <w:pPr>
        <w:spacing w:after="0" w:line="240" w:lineRule="auto"/>
        <w:rPr>
          <w:b/>
        </w:rPr>
      </w:pPr>
    </w:p>
    <w:p w:rsidR="004A13E8" w:rsidP="004A13E8" w14:paraId="2358C386" w14:textId="77777777">
      <w:pPr>
        <w:spacing w:after="0" w:line="240" w:lineRule="auto"/>
        <w:rPr>
          <w:b/>
        </w:rPr>
      </w:pPr>
    </w:p>
    <w:p w:rsidR="004A13E8" w:rsidP="004A13E8" w14:paraId="1F51BD95" w14:textId="77777777">
      <w:pPr>
        <w:spacing w:after="0" w:line="240" w:lineRule="auto"/>
        <w:rPr>
          <w:b/>
        </w:rPr>
      </w:pPr>
    </w:p>
    <w:p w:rsidR="004A13E8" w:rsidP="004A13E8" w14:paraId="1DE2B5B4" w14:textId="77777777">
      <w:pPr>
        <w:spacing w:after="0" w:line="240" w:lineRule="auto"/>
        <w:rPr>
          <w:b/>
        </w:rPr>
      </w:pPr>
    </w:p>
    <w:p w:rsidR="004A13E8" w:rsidP="004A13E8" w14:paraId="1D617330" w14:textId="77777777">
      <w:pPr>
        <w:spacing w:after="0" w:line="240" w:lineRule="auto"/>
        <w:rPr>
          <w:b/>
        </w:rPr>
      </w:pPr>
    </w:p>
    <w:p w:rsidR="004A13E8" w:rsidP="004A13E8" w14:paraId="3E8CC623" w14:textId="77777777">
      <w:pPr>
        <w:spacing w:after="0" w:line="240" w:lineRule="auto"/>
        <w:rPr>
          <w:b/>
        </w:rPr>
      </w:pPr>
    </w:p>
    <w:p w:rsidR="004A13E8" w:rsidP="004A13E8" w14:paraId="399A146B" w14:textId="77777777">
      <w:pPr>
        <w:spacing w:after="0" w:line="240" w:lineRule="auto"/>
        <w:rPr>
          <w:b/>
        </w:rPr>
      </w:pPr>
    </w:p>
    <w:p w:rsidR="004A13E8" w:rsidP="004A13E8" w14:paraId="670E0F55" w14:textId="77777777">
      <w:pPr>
        <w:spacing w:after="0" w:line="240" w:lineRule="auto"/>
        <w:rPr>
          <w:b/>
        </w:rPr>
      </w:pPr>
    </w:p>
    <w:p w:rsidR="004A13E8" w:rsidP="004A13E8" w14:paraId="216F0E24" w14:textId="77777777">
      <w:pPr>
        <w:spacing w:after="0" w:line="240" w:lineRule="auto"/>
        <w:rPr>
          <w:b/>
        </w:rPr>
      </w:pPr>
    </w:p>
    <w:p w:rsidR="004A13E8" w:rsidP="004A13E8" w14:paraId="3C7E41E3" w14:textId="77777777">
      <w:pPr>
        <w:spacing w:after="0" w:line="240" w:lineRule="auto"/>
        <w:rPr>
          <w:b/>
        </w:rPr>
      </w:pPr>
    </w:p>
    <w:p w:rsidR="00304BBB" w:rsidP="004A13E8" w14:paraId="52B26DE4" w14:textId="77777777">
      <w:pPr>
        <w:spacing w:after="0" w:line="240" w:lineRule="auto"/>
        <w:rPr>
          <w:b/>
        </w:rPr>
      </w:pPr>
    </w:p>
    <w:p w:rsidR="00446A7C" w:rsidP="004A13E8" w14:paraId="222EA829" w14:textId="77777777">
      <w:pPr>
        <w:spacing w:after="0" w:line="240" w:lineRule="auto"/>
        <w:rPr>
          <w:b/>
        </w:rPr>
      </w:pPr>
    </w:p>
    <w:p w:rsidR="004A13E8" w:rsidP="004A13E8" w14:paraId="72F5E8AF" w14:textId="77777777">
      <w:pPr>
        <w:spacing w:after="0" w:line="240" w:lineRule="auto"/>
        <w:rPr>
          <w:b/>
        </w:rPr>
      </w:pPr>
    </w:p>
    <w:p w:rsidR="004A13E8" w:rsidP="004A13E8" w14:paraId="5EEC7FD4" w14:textId="77777777">
      <w:pPr>
        <w:spacing w:after="0" w:line="240" w:lineRule="auto"/>
        <w:rPr>
          <w:b/>
        </w:rPr>
      </w:pPr>
    </w:p>
    <w:p w:rsidR="004A13E8" w:rsidP="004A13E8" w14:paraId="31F0C467" w14:textId="77777777">
      <w:pPr>
        <w:spacing w:after="0" w:line="240" w:lineRule="auto"/>
        <w:rPr>
          <w:b/>
        </w:rPr>
      </w:pPr>
    </w:p>
    <w:p w:rsidR="004A13E8" w:rsidP="004A13E8" w14:paraId="7CAB7BD4" w14:textId="77777777">
      <w:pPr>
        <w:spacing w:after="0" w:line="240" w:lineRule="auto"/>
        <w:rPr>
          <w:b/>
        </w:rPr>
      </w:pPr>
    </w:p>
    <w:p w:rsidR="004A13E8" w:rsidP="004A13E8" w14:paraId="59BA811B" w14:textId="77777777">
      <w:pPr>
        <w:spacing w:after="0" w:line="240" w:lineRule="auto"/>
        <w:rPr>
          <w:b/>
        </w:rPr>
      </w:pPr>
    </w:p>
    <w:p w:rsidR="004A13E8" w:rsidP="004A13E8" w14:paraId="62F7C3D8" w14:textId="77777777">
      <w:pPr>
        <w:spacing w:after="0" w:line="240" w:lineRule="auto"/>
        <w:rPr>
          <w:b/>
        </w:rPr>
      </w:pPr>
    </w:p>
    <w:p w:rsidR="004A13E8" w:rsidRPr="009A79E1" w:rsidP="009A79E1" w14:paraId="562129E8" w14:textId="77777777">
      <w:pPr>
        <w:pStyle w:val="NoSpacing"/>
        <w:rPr>
          <w:b/>
        </w:rPr>
      </w:pPr>
      <w:r w:rsidRPr="009A79E1">
        <w:rPr>
          <w:b/>
        </w:rPr>
        <w:t xml:space="preserve">Contact: </w:t>
      </w:r>
    </w:p>
    <w:p w:rsidR="004A13E8" w:rsidRPr="004A13E8" w:rsidP="009A79E1" w14:paraId="51518D76" w14:textId="77777777">
      <w:pPr>
        <w:pStyle w:val="NoSpacing"/>
      </w:pPr>
      <w:r>
        <w:t>Rudith Vice</w:t>
      </w:r>
    </w:p>
    <w:p w:rsidR="004A13E8" w:rsidRPr="004A13E8" w:rsidP="009A79E1" w14:paraId="40ACBC16" w14:textId="77777777">
      <w:pPr>
        <w:pStyle w:val="NoSpacing"/>
      </w:pPr>
      <w:r w:rsidRPr="004A13E8">
        <w:t xml:space="preserve">National Center for Emerging and Zoonotic Infectious Diseases </w:t>
      </w:r>
    </w:p>
    <w:p w:rsidR="004A13E8" w:rsidRPr="004A13E8" w:rsidP="009A79E1" w14:paraId="3DB87820" w14:textId="77777777">
      <w:pPr>
        <w:pStyle w:val="NoSpacing"/>
      </w:pPr>
      <w:r w:rsidRPr="004A13E8">
        <w:t xml:space="preserve">Centers for Disease Control and Prevention </w:t>
      </w:r>
    </w:p>
    <w:p w:rsidR="004A13E8" w:rsidRPr="004A13E8" w:rsidP="009A79E1" w14:paraId="68E53F2F" w14:textId="77777777">
      <w:pPr>
        <w:pStyle w:val="NoSpacing"/>
      </w:pPr>
      <w:r w:rsidRPr="004A13E8">
        <w:t xml:space="preserve">1600 Clifton Road, NE </w:t>
      </w:r>
    </w:p>
    <w:p w:rsidR="004A13E8" w:rsidRPr="004A13E8" w:rsidP="009A79E1" w14:paraId="3DB5ECEE" w14:textId="77777777">
      <w:pPr>
        <w:pStyle w:val="NoSpacing"/>
      </w:pPr>
      <w:r w:rsidRPr="004A13E8">
        <w:t xml:space="preserve">Atlanta, Georgia 30333 </w:t>
      </w:r>
    </w:p>
    <w:p w:rsidR="004A13E8" w:rsidRPr="004A13E8" w:rsidP="009A79E1" w14:paraId="074F2DCC" w14:textId="77777777">
      <w:pPr>
        <w:pStyle w:val="NoSpacing"/>
      </w:pPr>
      <w:r w:rsidRPr="004A13E8">
        <w:t>Phone: (</w:t>
      </w:r>
      <w:r w:rsidR="00CA3902">
        <w:t>404) 718-7292</w:t>
      </w:r>
      <w:r w:rsidRPr="004A13E8">
        <w:t xml:space="preserve"> </w:t>
      </w:r>
    </w:p>
    <w:p w:rsidR="004A13E8" w:rsidP="009A79E1" w14:paraId="039C9B98" w14:textId="77777777">
      <w:pPr>
        <w:pStyle w:val="NoSpacing"/>
      </w:pPr>
      <w:r w:rsidRPr="004A6DE8">
        <w:t xml:space="preserve">Email: </w:t>
      </w:r>
      <w:hyperlink r:id="rId10"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2A09B757" w14:textId="77777777">
          <w:pPr>
            <w:pStyle w:val="Heading4"/>
            <w:rPr>
              <w:sz w:val="28"/>
              <w:szCs w:val="28"/>
            </w:rPr>
          </w:pPr>
          <w:r w:rsidRPr="00D13EA1">
            <w:rPr>
              <w:sz w:val="28"/>
              <w:szCs w:val="28"/>
            </w:rPr>
            <w:t>Table of Contents</w:t>
          </w:r>
        </w:p>
        <w:p w:rsidR="00C90B13" w:rsidP="00C90B13" w14:paraId="51CB4305"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7DD6FC6A"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3B9E7A66"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49CA79B0"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77AB3E95"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7F8CDEAC"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A477920"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02FE9838"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7C225CC7"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4D4E4697"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4EF6E8D8"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714F8613"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12D77E6B"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7019778E"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1C0C74A1"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24E309A6"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34F5F1E2"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A4D3701"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F43FB47"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4E0BAB6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30BC9698" w14:textId="77777777">
          <w:r>
            <w:rPr>
              <w:b/>
              <w:bCs/>
              <w:noProof/>
            </w:rPr>
            <w:fldChar w:fldCharType="end"/>
          </w:r>
        </w:p>
      </w:sdtContent>
    </w:sdt>
    <w:p w:rsidR="004A13E8" w14:paraId="4DEA13D1" w14:textId="77777777">
      <w:r>
        <w:br w:type="page"/>
      </w:r>
    </w:p>
    <w:p w:rsidR="004A13E8" w:rsidP="004A13E8" w14:paraId="28072786" w14:textId="77777777">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1685925"/>
                <wp:effectExtent l="0" t="0" r="19050" b="28575"/>
                <wp:wrapTight wrapText="bothSides">
                  <wp:wrapPolygon>
                    <wp:start x="0" y="0"/>
                    <wp:lineTo x="0" y="21722"/>
                    <wp:lineTo x="21600" y="21722"/>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1685925"/>
                        </a:xfrm>
                        <a:prstGeom prst="rect">
                          <a:avLst/>
                        </a:prstGeom>
                        <a:solidFill>
                          <a:srgbClr val="FFFFFF"/>
                        </a:solidFill>
                        <a:ln w="9525">
                          <a:solidFill>
                            <a:srgbClr val="000000"/>
                          </a:solidFill>
                          <a:miter lim="800000"/>
                          <a:headEnd/>
                          <a:tailEnd/>
                        </a:ln>
                      </wps:spPr>
                      <wps:txbx>
                        <w:txbxContent>
                          <w:p w:rsidR="004A13E8" w:rsidRPr="00257E3C" w:rsidP="004A13E8" w14:textId="77777777">
                            <w:pPr>
                              <w:pStyle w:val="Bullets"/>
                              <w:rPr>
                                <w:rFonts w:cs="Times New Roman"/>
                                <w:b/>
                                <w:szCs w:val="24"/>
                              </w:rPr>
                            </w:pPr>
                            <w:r w:rsidRPr="00257E3C">
                              <w:rPr>
                                <w:rFonts w:cs="Times New Roman"/>
                                <w:b/>
                                <w:szCs w:val="24"/>
                              </w:rPr>
                              <w:t>Goal of the study:</w:t>
                            </w:r>
                            <w:r w:rsidRPr="00257E3C" w:rsidR="001A58BE">
                              <w:rPr>
                                <w:rFonts w:cs="Times New Roman"/>
                                <w:b/>
                                <w:szCs w:val="24"/>
                              </w:rPr>
                              <w:t xml:space="preserve"> </w:t>
                            </w:r>
                            <w:r w:rsidRPr="00257E3C" w:rsidR="00A72BA3">
                              <w:rPr>
                                <w:rFonts w:cs="Times New Roman"/>
                                <w:szCs w:val="24"/>
                              </w:rPr>
                              <w:t>To enable the CDC to garner customer and stakeholder feedback in an efficient, timely manner, in accordance with our commitment to improving service delivery</w:t>
                            </w:r>
                          </w:p>
                          <w:p w:rsidR="0066678D" w:rsidRPr="00257E3C" w:rsidP="00E5720E" w14:textId="77777777">
                            <w:pPr>
                              <w:pStyle w:val="Bullets"/>
                              <w:rPr>
                                <w:rFonts w:cs="Times New Roman"/>
                                <w:b/>
                                <w:szCs w:val="24"/>
                              </w:rPr>
                            </w:pPr>
                            <w:r w:rsidRPr="00257E3C">
                              <w:rPr>
                                <w:rFonts w:cs="Times New Roman"/>
                                <w:b/>
                                <w:szCs w:val="24"/>
                              </w:rPr>
                              <w:t>Intended use of the resulting data:</w:t>
                            </w:r>
                            <w:r w:rsidRPr="00257E3C" w:rsidR="001A58BE">
                              <w:rPr>
                                <w:rFonts w:cs="Times New Roman"/>
                                <w:b/>
                                <w:szCs w:val="24"/>
                              </w:rPr>
                              <w:t xml:space="preserve"> </w:t>
                            </w:r>
                            <w:r w:rsidRPr="00257E3C">
                              <w:rPr>
                                <w:rFonts w:cs="Times New Roman"/>
                                <w:szCs w:val="24"/>
                              </w:rPr>
                              <w:t>To improve agency programs.</w:t>
                            </w:r>
                            <w:r w:rsidRPr="00257E3C">
                              <w:rPr>
                                <w:rFonts w:cs="Times New Roman"/>
                                <w:b/>
                                <w:szCs w:val="24"/>
                              </w:rPr>
                              <w:t xml:space="preserve"> </w:t>
                            </w:r>
                          </w:p>
                          <w:p w:rsidR="005C0996" w:rsidRPr="00257E3C" w:rsidP="00B019E9" w14:textId="77777777">
                            <w:pPr>
                              <w:pStyle w:val="Bullets"/>
                              <w:rPr>
                                <w:rFonts w:cs="Times New Roman"/>
                                <w:b/>
                                <w:szCs w:val="24"/>
                              </w:rPr>
                            </w:pPr>
                            <w:r w:rsidRPr="00257E3C">
                              <w:rPr>
                                <w:rFonts w:cs="Times New Roman"/>
                                <w:b/>
                                <w:szCs w:val="24"/>
                              </w:rPr>
                              <w:t>Methods to be used to collect:</w:t>
                            </w:r>
                            <w:r w:rsidRPr="00257E3C" w:rsidR="001A58BE">
                              <w:rPr>
                                <w:rFonts w:cs="Times New Roman"/>
                                <w:b/>
                                <w:szCs w:val="24"/>
                              </w:rPr>
                              <w:t xml:space="preserve"> </w:t>
                            </w:r>
                            <w:r w:rsidRPr="00257E3C">
                              <w:rPr>
                                <w:rFonts w:cs="Times New Roman"/>
                                <w:szCs w:val="24"/>
                              </w:rPr>
                              <w:t xml:space="preserve">Routine customer feedback via online surveys, in-person surveys, focus groups, usability testing, and customer comment </w:t>
                            </w:r>
                            <w:r w:rsidRPr="00257E3C">
                              <w:rPr>
                                <w:rFonts w:cs="Times New Roman"/>
                                <w:szCs w:val="24"/>
                              </w:rPr>
                              <w:t>cards.</w:t>
                            </w:r>
                          </w:p>
                          <w:p w:rsidR="004A13E8" w:rsidRPr="00257E3C" w:rsidP="00B019E9" w14:textId="77777777">
                            <w:pPr>
                              <w:pStyle w:val="Bullets"/>
                              <w:rPr>
                                <w:rFonts w:cs="Times New Roman"/>
                                <w:b/>
                                <w:szCs w:val="24"/>
                              </w:rPr>
                            </w:pPr>
                            <w:r w:rsidRPr="00257E3C">
                              <w:rPr>
                                <w:rFonts w:cs="Times New Roman"/>
                                <w:b/>
                                <w:szCs w:val="24"/>
                              </w:rPr>
                              <w:t>The subpopulation to be studied:</w:t>
                            </w:r>
                            <w:r w:rsidRPr="00257E3C" w:rsidR="001A58BE">
                              <w:rPr>
                                <w:rFonts w:cs="Times New Roman"/>
                                <w:b/>
                                <w:szCs w:val="24"/>
                              </w:rPr>
                              <w:t xml:space="preserve"> </w:t>
                            </w:r>
                            <w:r w:rsidRPr="00257E3C" w:rsidR="00A20411">
                              <w:rPr>
                                <w:rFonts w:cs="Times New Roman"/>
                                <w:szCs w:val="24"/>
                              </w:rPr>
                              <w:t>Will vary for each gen-IC</w:t>
                            </w:r>
                          </w:p>
                          <w:p w:rsidR="004A13E8" w:rsidRPr="00257E3C" w:rsidP="004A13E8" w14:textId="77777777">
                            <w:pPr>
                              <w:pStyle w:val="Bullets"/>
                              <w:rPr>
                                <w:rFonts w:cs="Times New Roman"/>
                                <w:b/>
                                <w:szCs w:val="24"/>
                              </w:rPr>
                            </w:pPr>
                            <w:r w:rsidRPr="00257E3C">
                              <w:rPr>
                                <w:rFonts w:cs="Times New Roman"/>
                                <w:b/>
                                <w:szCs w:val="24"/>
                              </w:rPr>
                              <w:t>How data will be analyzed:</w:t>
                            </w:r>
                            <w:r w:rsidRPr="00257E3C" w:rsidR="001A58BE">
                              <w:rPr>
                                <w:rFonts w:cs="Times New Roman"/>
                                <w:b/>
                                <w:szCs w:val="24"/>
                              </w:rPr>
                              <w:t xml:space="preserve"> </w:t>
                            </w:r>
                            <w:r w:rsidRPr="00257E3C" w:rsidR="005803D2">
                              <w:rPr>
                                <w:rFonts w:cs="Times New Roman"/>
                                <w:szCs w:val="24"/>
                              </w:rPr>
                              <w:t>Will vary for each gen-IC</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132.7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257E3C" w:rsidP="004A13E8" w14:paraId="28B906B1" w14:textId="77777777">
                      <w:pPr>
                        <w:pStyle w:val="Bullets"/>
                        <w:rPr>
                          <w:rFonts w:cs="Times New Roman"/>
                          <w:b/>
                          <w:szCs w:val="24"/>
                        </w:rPr>
                      </w:pPr>
                      <w:r w:rsidRPr="00257E3C">
                        <w:rPr>
                          <w:rFonts w:cs="Times New Roman"/>
                          <w:b/>
                          <w:szCs w:val="24"/>
                        </w:rPr>
                        <w:t>Goal of the study:</w:t>
                      </w:r>
                      <w:r w:rsidRPr="00257E3C" w:rsidR="001A58BE">
                        <w:rPr>
                          <w:rFonts w:cs="Times New Roman"/>
                          <w:b/>
                          <w:szCs w:val="24"/>
                        </w:rPr>
                        <w:t xml:space="preserve"> </w:t>
                      </w:r>
                      <w:r w:rsidRPr="00257E3C" w:rsidR="00A72BA3">
                        <w:rPr>
                          <w:rFonts w:cs="Times New Roman"/>
                          <w:szCs w:val="24"/>
                        </w:rPr>
                        <w:t>To enable the CDC to garner customer and stakeholder feedback in an efficient, timely manner, in accordance with our commitment to improving service delivery</w:t>
                      </w:r>
                    </w:p>
                    <w:p w:rsidR="0066678D" w:rsidRPr="00257E3C" w:rsidP="00E5720E" w14:paraId="5D428346" w14:textId="77777777">
                      <w:pPr>
                        <w:pStyle w:val="Bullets"/>
                        <w:rPr>
                          <w:rFonts w:cs="Times New Roman"/>
                          <w:b/>
                          <w:szCs w:val="24"/>
                        </w:rPr>
                      </w:pPr>
                      <w:r w:rsidRPr="00257E3C">
                        <w:rPr>
                          <w:rFonts w:cs="Times New Roman"/>
                          <w:b/>
                          <w:szCs w:val="24"/>
                        </w:rPr>
                        <w:t>Intended use of the resulting data:</w:t>
                      </w:r>
                      <w:r w:rsidRPr="00257E3C" w:rsidR="001A58BE">
                        <w:rPr>
                          <w:rFonts w:cs="Times New Roman"/>
                          <w:b/>
                          <w:szCs w:val="24"/>
                        </w:rPr>
                        <w:t xml:space="preserve"> </w:t>
                      </w:r>
                      <w:r w:rsidRPr="00257E3C">
                        <w:rPr>
                          <w:rFonts w:cs="Times New Roman"/>
                          <w:szCs w:val="24"/>
                        </w:rPr>
                        <w:t>To improve agency programs.</w:t>
                      </w:r>
                      <w:r w:rsidRPr="00257E3C">
                        <w:rPr>
                          <w:rFonts w:cs="Times New Roman"/>
                          <w:b/>
                          <w:szCs w:val="24"/>
                        </w:rPr>
                        <w:t xml:space="preserve"> </w:t>
                      </w:r>
                    </w:p>
                    <w:p w:rsidR="005C0996" w:rsidRPr="00257E3C" w:rsidP="00B019E9" w14:paraId="5BB2FF80" w14:textId="77777777">
                      <w:pPr>
                        <w:pStyle w:val="Bullets"/>
                        <w:rPr>
                          <w:rFonts w:cs="Times New Roman"/>
                          <w:b/>
                          <w:szCs w:val="24"/>
                        </w:rPr>
                      </w:pPr>
                      <w:r w:rsidRPr="00257E3C">
                        <w:rPr>
                          <w:rFonts w:cs="Times New Roman"/>
                          <w:b/>
                          <w:szCs w:val="24"/>
                        </w:rPr>
                        <w:t>Methods to be used to collect:</w:t>
                      </w:r>
                      <w:r w:rsidRPr="00257E3C" w:rsidR="001A58BE">
                        <w:rPr>
                          <w:rFonts w:cs="Times New Roman"/>
                          <w:b/>
                          <w:szCs w:val="24"/>
                        </w:rPr>
                        <w:t xml:space="preserve"> </w:t>
                      </w:r>
                      <w:r w:rsidRPr="00257E3C">
                        <w:rPr>
                          <w:rFonts w:cs="Times New Roman"/>
                          <w:szCs w:val="24"/>
                        </w:rPr>
                        <w:t xml:space="preserve">Routine customer feedback via online surveys, in-person surveys, focus groups, usability testing, and customer comment </w:t>
                      </w:r>
                      <w:r w:rsidRPr="00257E3C">
                        <w:rPr>
                          <w:rFonts w:cs="Times New Roman"/>
                          <w:szCs w:val="24"/>
                        </w:rPr>
                        <w:t>cards.</w:t>
                      </w:r>
                    </w:p>
                    <w:p w:rsidR="004A13E8" w:rsidRPr="00257E3C" w:rsidP="00B019E9" w14:paraId="7D00C0FD" w14:textId="77777777">
                      <w:pPr>
                        <w:pStyle w:val="Bullets"/>
                        <w:rPr>
                          <w:rFonts w:cs="Times New Roman"/>
                          <w:b/>
                          <w:szCs w:val="24"/>
                        </w:rPr>
                      </w:pPr>
                      <w:r w:rsidRPr="00257E3C">
                        <w:rPr>
                          <w:rFonts w:cs="Times New Roman"/>
                          <w:b/>
                          <w:szCs w:val="24"/>
                        </w:rPr>
                        <w:t>The subpopulation to be studied:</w:t>
                      </w:r>
                      <w:r w:rsidRPr="00257E3C" w:rsidR="001A58BE">
                        <w:rPr>
                          <w:rFonts w:cs="Times New Roman"/>
                          <w:b/>
                          <w:szCs w:val="24"/>
                        </w:rPr>
                        <w:t xml:space="preserve"> </w:t>
                      </w:r>
                      <w:r w:rsidRPr="00257E3C" w:rsidR="00A20411">
                        <w:rPr>
                          <w:rFonts w:cs="Times New Roman"/>
                          <w:szCs w:val="24"/>
                        </w:rPr>
                        <w:t>Will vary for each gen-IC</w:t>
                      </w:r>
                    </w:p>
                    <w:p w:rsidR="004A13E8" w:rsidRPr="00257E3C" w:rsidP="004A13E8" w14:paraId="20F8B4E8" w14:textId="77777777">
                      <w:pPr>
                        <w:pStyle w:val="Bullets"/>
                        <w:rPr>
                          <w:rFonts w:cs="Times New Roman"/>
                          <w:b/>
                          <w:szCs w:val="24"/>
                        </w:rPr>
                      </w:pPr>
                      <w:r w:rsidRPr="00257E3C">
                        <w:rPr>
                          <w:rFonts w:cs="Times New Roman"/>
                          <w:b/>
                          <w:szCs w:val="24"/>
                        </w:rPr>
                        <w:t>How data will be analyzed:</w:t>
                      </w:r>
                      <w:r w:rsidRPr="00257E3C" w:rsidR="001A58BE">
                        <w:rPr>
                          <w:rFonts w:cs="Times New Roman"/>
                          <w:b/>
                          <w:szCs w:val="24"/>
                        </w:rPr>
                        <w:t xml:space="preserve"> </w:t>
                      </w:r>
                      <w:r w:rsidRPr="00257E3C" w:rsidR="005803D2">
                        <w:rPr>
                          <w:rFonts w:cs="Times New Roman"/>
                          <w:szCs w:val="24"/>
                        </w:rPr>
                        <w:t>Will vary for each gen-IC</w:t>
                      </w:r>
                    </w:p>
                  </w:txbxContent>
                </v:textbox>
                <w10:wrap type="tight"/>
              </v:shape>
            </w:pict>
          </mc:Fallback>
        </mc:AlternateContent>
      </w:r>
    </w:p>
    <w:p w:rsidR="004A13E8" w:rsidP="004A13E8" w14:paraId="3583F70D" w14:textId="77777777">
      <w:pPr>
        <w:pStyle w:val="Heading1"/>
      </w:pPr>
      <w:bookmarkStart w:id="2" w:name="_Toc473880017"/>
      <w:r w:rsidRPr="004A13E8">
        <w:t>Circumstances Making the Collection of Information Necessary</w:t>
      </w:r>
      <w:bookmarkEnd w:id="2"/>
    </w:p>
    <w:p w:rsidR="00E0516D" w:rsidP="00E0516D" w14:paraId="22A9907B" w14:textId="77777777">
      <w:pPr>
        <w:spacing w:after="0" w:line="240" w:lineRule="auto"/>
      </w:pPr>
      <w:r w:rsidRPr="00774F9F">
        <w:t xml:space="preserve">CDC/NCEZID is seeking a three-year </w:t>
      </w:r>
      <w:r>
        <w:t>revision</w:t>
      </w:r>
      <w:r w:rsidRPr="00774F9F">
        <w:t xml:space="preserve"> of </w:t>
      </w:r>
      <w:r>
        <w:t xml:space="preserve">GENERIC </w:t>
      </w:r>
      <w:r w:rsidRPr="00774F9F">
        <w:t>OMB control No. 0920-1071 to continue collecting routine customer feedback on agency service delivery.</w:t>
      </w:r>
    </w:p>
    <w:p w:rsidR="00E0516D" w:rsidP="00E0516D" w14:paraId="5E188198" w14:textId="77777777">
      <w:pPr>
        <w:spacing w:after="0" w:line="240" w:lineRule="auto"/>
      </w:pPr>
    </w:p>
    <w:p w:rsidR="00E0516D" w:rsidP="00E0516D" w14:paraId="6D3085EC" w14:textId="7777777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National Center for Emerging and Zoonotic Infectious Diseases, </w:t>
      </w:r>
      <w:r>
        <w:rPr>
          <w:rFonts w:asciiTheme="minorHAnsi" w:hAnsiTheme="minorHAnsi" w:cs="Courier New"/>
          <w:bCs/>
        </w:rPr>
        <w:t>Centers for Disease Control and Prevention (CDC)</w:t>
      </w:r>
      <w:r>
        <w:t xml:space="preserve"> (hereafter the “Agency”) seeks to obtain OMB approval of a generic clearance to collect qualitative feedback on our service delivery.  By qualitative feedback we mean information that provi</w:t>
      </w:r>
      <w:r>
        <w:t>des useful insights on perceptions and opinions, but are not statistical surveys that yield quantitative results that can be generalized to the population of study.</w:t>
      </w:r>
    </w:p>
    <w:p w:rsidR="00E0516D" w:rsidP="00E0516D" w14:paraId="798EA98A" w14:textId="77777777">
      <w:pPr>
        <w:spacing w:after="0" w:line="240" w:lineRule="auto"/>
        <w:rPr>
          <w:b/>
        </w:rPr>
      </w:pPr>
    </w:p>
    <w:p w:rsidR="00E0516D" w:rsidP="00E0516D" w14:paraId="710B083E" w14:textId="77777777">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w:t>
      </w:r>
      <w:r>
        <w:t xml:space="preserve">cations between the Agency and its customers and stakeholders.  It will also allow feedback to contribute directly to the improvement of program management. </w:t>
      </w:r>
    </w:p>
    <w:p w:rsidR="00E0516D" w:rsidP="00E0516D" w14:paraId="4F482F21" w14:textId="77777777">
      <w:pPr>
        <w:spacing w:after="0" w:line="240" w:lineRule="auto"/>
      </w:pPr>
    </w:p>
    <w:p w:rsidR="00E0516D" w:rsidP="00E0516D" w14:paraId="1F44E187" w14:textId="77777777">
      <w:pPr>
        <w:spacing w:after="0" w:line="240" w:lineRule="auto"/>
      </w:pPr>
      <w:r>
        <w:t xml:space="preserve">Since the previous renewal in 2021, NCEZID has utilized 0920-1071 </w:t>
      </w:r>
      <w:r w:rsidR="005B0081">
        <w:t xml:space="preserve">nineteen </w:t>
      </w:r>
      <w:r>
        <w:t>times.  The total number of responses was</w:t>
      </w:r>
      <w:r w:rsidR="005B0081">
        <w:t xml:space="preserve"> </w:t>
      </w:r>
      <w:r>
        <w:t xml:space="preserve">37,020.  The total number of burden hours was 3,902.  </w:t>
      </w:r>
    </w:p>
    <w:p w:rsidR="00E0516D" w:rsidP="00E0516D" w14:paraId="308CB808" w14:textId="77777777">
      <w:pPr>
        <w:spacing w:after="0" w:line="240" w:lineRule="auto"/>
      </w:pPr>
    </w:p>
    <w:tbl>
      <w:tblPr>
        <w:tblStyle w:val="TableGrid"/>
        <w:tblDescription w:val="table that charts list of ICs"/>
        <w:tblW w:w="0" w:type="auto"/>
        <w:tblLook w:val="04A0"/>
      </w:tblPr>
      <w:tblGrid>
        <w:gridCol w:w="7135"/>
        <w:gridCol w:w="1320"/>
        <w:gridCol w:w="990"/>
      </w:tblGrid>
      <w:tr w14:paraId="5A3B57E7" w14:textId="77777777" w:rsidTr="00DA65F8">
        <w:tblPrEx>
          <w:tblW w:w="0" w:type="auto"/>
          <w:tblLook w:val="04A0"/>
        </w:tblPrEx>
        <w:trPr>
          <w:trHeight w:val="290"/>
        </w:trPr>
        <w:tc>
          <w:tcPr>
            <w:tcW w:w="7135" w:type="dxa"/>
            <w:noWrap/>
            <w:hideMark/>
          </w:tcPr>
          <w:p w:rsidR="00E0516D" w:rsidRPr="00C55F1C" w:rsidP="00DA65F8" w14:paraId="217CE965" w14:textId="77777777">
            <w:pPr>
              <w:rPr>
                <w:b/>
                <w:bCs/>
              </w:rPr>
            </w:pPr>
            <w:r w:rsidRPr="00C55F1C">
              <w:rPr>
                <w:b/>
                <w:bCs/>
              </w:rPr>
              <w:t>Project</w:t>
            </w:r>
          </w:p>
        </w:tc>
        <w:tc>
          <w:tcPr>
            <w:tcW w:w="1320" w:type="dxa"/>
            <w:noWrap/>
            <w:hideMark/>
          </w:tcPr>
          <w:p w:rsidR="00E0516D" w:rsidRPr="00C55F1C" w:rsidP="00DA65F8" w14:paraId="50127D0A" w14:textId="77777777">
            <w:pPr>
              <w:rPr>
                <w:b/>
                <w:bCs/>
              </w:rPr>
            </w:pPr>
            <w:r w:rsidRPr="00C55F1C">
              <w:rPr>
                <w:b/>
                <w:bCs/>
              </w:rPr>
              <w:t>Responses</w:t>
            </w:r>
          </w:p>
        </w:tc>
        <w:tc>
          <w:tcPr>
            <w:tcW w:w="895" w:type="dxa"/>
            <w:noWrap/>
            <w:hideMark/>
          </w:tcPr>
          <w:p w:rsidR="00E0516D" w:rsidRPr="00C55F1C" w:rsidP="00DA65F8" w14:paraId="7053CF0F" w14:textId="77777777">
            <w:pPr>
              <w:rPr>
                <w:b/>
                <w:bCs/>
              </w:rPr>
            </w:pPr>
            <w:r w:rsidRPr="00C55F1C">
              <w:rPr>
                <w:b/>
                <w:bCs/>
              </w:rPr>
              <w:t>Burden Hours</w:t>
            </w:r>
          </w:p>
        </w:tc>
      </w:tr>
      <w:tr w14:paraId="4EAA63B6" w14:textId="77777777" w:rsidTr="00DA65F8">
        <w:tblPrEx>
          <w:tblW w:w="0" w:type="auto"/>
          <w:tblLook w:val="04A0"/>
        </w:tblPrEx>
        <w:trPr>
          <w:trHeight w:val="290"/>
        </w:trPr>
        <w:tc>
          <w:tcPr>
            <w:tcW w:w="7135" w:type="dxa"/>
            <w:noWrap/>
            <w:hideMark/>
          </w:tcPr>
          <w:p w:rsidR="00E0516D" w:rsidRPr="00C55F1C" w:rsidP="00DA65F8" w14:paraId="31A810A9" w14:textId="77777777">
            <w:r w:rsidRPr="00C55F1C">
              <w:t>Project Firstline Training Completion on CDCs TRAINTCEO Systems</w:t>
            </w:r>
          </w:p>
        </w:tc>
        <w:tc>
          <w:tcPr>
            <w:tcW w:w="1320" w:type="dxa"/>
            <w:noWrap/>
            <w:hideMark/>
          </w:tcPr>
          <w:p w:rsidR="00E0516D" w:rsidRPr="00C55F1C" w:rsidP="00DA65F8" w14:paraId="1793F1C6" w14:textId="77777777">
            <w:r w:rsidRPr="00C55F1C">
              <w:t>28300</w:t>
            </w:r>
          </w:p>
        </w:tc>
        <w:tc>
          <w:tcPr>
            <w:tcW w:w="895" w:type="dxa"/>
            <w:noWrap/>
            <w:hideMark/>
          </w:tcPr>
          <w:p w:rsidR="00E0516D" w:rsidRPr="00C55F1C" w:rsidP="00DA65F8" w14:paraId="21AEEC42" w14:textId="77777777">
            <w:r w:rsidRPr="00C55F1C">
              <w:t>1765</w:t>
            </w:r>
          </w:p>
        </w:tc>
      </w:tr>
      <w:tr w14:paraId="07D26B38" w14:textId="77777777" w:rsidTr="00DA65F8">
        <w:tblPrEx>
          <w:tblW w:w="0" w:type="auto"/>
          <w:tblLook w:val="04A0"/>
        </w:tblPrEx>
        <w:trPr>
          <w:trHeight w:val="290"/>
        </w:trPr>
        <w:tc>
          <w:tcPr>
            <w:tcW w:w="7135" w:type="dxa"/>
            <w:noWrap/>
            <w:hideMark/>
          </w:tcPr>
          <w:p w:rsidR="00E0516D" w:rsidRPr="00C55F1C" w:rsidP="00DA65F8" w14:paraId="79C01EBF" w14:textId="77777777">
            <w:r w:rsidRPr="00C55F1C">
              <w:t>DFWED Data System User Feedback Survey</w:t>
            </w:r>
          </w:p>
        </w:tc>
        <w:tc>
          <w:tcPr>
            <w:tcW w:w="1320" w:type="dxa"/>
            <w:noWrap/>
            <w:hideMark/>
          </w:tcPr>
          <w:p w:rsidR="00E0516D" w:rsidRPr="00C55F1C" w:rsidP="00DA65F8" w14:paraId="5A687939" w14:textId="77777777">
            <w:r w:rsidRPr="00C55F1C">
              <w:t>1100</w:t>
            </w:r>
          </w:p>
        </w:tc>
        <w:tc>
          <w:tcPr>
            <w:tcW w:w="895" w:type="dxa"/>
            <w:noWrap/>
            <w:hideMark/>
          </w:tcPr>
          <w:p w:rsidR="00E0516D" w:rsidRPr="00C55F1C" w:rsidP="00DA65F8" w14:paraId="74FF7903" w14:textId="77777777">
            <w:r w:rsidRPr="00C55F1C">
              <w:t>275</w:t>
            </w:r>
          </w:p>
        </w:tc>
      </w:tr>
      <w:tr w14:paraId="6B0B10B9" w14:textId="77777777" w:rsidTr="00DA65F8">
        <w:tblPrEx>
          <w:tblW w:w="0" w:type="auto"/>
          <w:tblLook w:val="04A0"/>
        </w:tblPrEx>
        <w:trPr>
          <w:trHeight w:val="290"/>
        </w:trPr>
        <w:tc>
          <w:tcPr>
            <w:tcW w:w="7135" w:type="dxa"/>
            <w:noWrap/>
            <w:hideMark/>
          </w:tcPr>
          <w:p w:rsidR="00E0516D" w:rsidRPr="00C55F1C" w:rsidP="00DA65F8" w14:paraId="2E67F207" w14:textId="77777777">
            <w:r w:rsidRPr="00C55F1C">
              <w:t>HAI/AR Program Multi-Drug Resistant Organism (MDRO) Prevention and Response Needs Assessment Survey</w:t>
            </w:r>
          </w:p>
        </w:tc>
        <w:tc>
          <w:tcPr>
            <w:tcW w:w="1320" w:type="dxa"/>
            <w:noWrap/>
            <w:hideMark/>
          </w:tcPr>
          <w:p w:rsidR="00E0516D" w:rsidRPr="00C55F1C" w:rsidP="00DA65F8" w14:paraId="64BCB03C" w14:textId="77777777">
            <w:r w:rsidRPr="00C55F1C">
              <w:t>64</w:t>
            </w:r>
          </w:p>
        </w:tc>
        <w:tc>
          <w:tcPr>
            <w:tcW w:w="895" w:type="dxa"/>
            <w:noWrap/>
            <w:hideMark/>
          </w:tcPr>
          <w:p w:rsidR="00E0516D" w:rsidRPr="00C55F1C" w:rsidP="00DA65F8" w14:paraId="35C1E8C1" w14:textId="77777777">
            <w:r w:rsidRPr="00C55F1C">
              <w:t>96</w:t>
            </w:r>
          </w:p>
        </w:tc>
      </w:tr>
      <w:tr w14:paraId="72FD6971" w14:textId="77777777" w:rsidTr="00DA65F8">
        <w:tblPrEx>
          <w:tblW w:w="0" w:type="auto"/>
          <w:tblLook w:val="04A0"/>
        </w:tblPrEx>
        <w:trPr>
          <w:trHeight w:val="290"/>
        </w:trPr>
        <w:tc>
          <w:tcPr>
            <w:tcW w:w="7135" w:type="dxa"/>
            <w:noWrap/>
            <w:hideMark/>
          </w:tcPr>
          <w:p w:rsidR="00E0516D" w:rsidRPr="00C55F1C" w:rsidP="00DA65F8" w14:paraId="228D7688" w14:textId="77777777">
            <w:r w:rsidRPr="00C55F1C">
              <w:t>Understanding Food Safety in Correctional Settings</w:t>
            </w:r>
          </w:p>
        </w:tc>
        <w:tc>
          <w:tcPr>
            <w:tcW w:w="1320" w:type="dxa"/>
            <w:noWrap/>
            <w:hideMark/>
          </w:tcPr>
          <w:p w:rsidR="00E0516D" w:rsidRPr="00C55F1C" w:rsidP="00DA65F8" w14:paraId="2808F37C" w14:textId="77777777">
            <w:r w:rsidRPr="00C55F1C">
              <w:t>240</w:t>
            </w:r>
          </w:p>
        </w:tc>
        <w:tc>
          <w:tcPr>
            <w:tcW w:w="895" w:type="dxa"/>
            <w:noWrap/>
            <w:hideMark/>
          </w:tcPr>
          <w:p w:rsidR="00E0516D" w:rsidRPr="00C55F1C" w:rsidP="00DA65F8" w14:paraId="7A7198BC" w14:textId="77777777">
            <w:r w:rsidRPr="00C55F1C">
              <w:t>220</w:t>
            </w:r>
          </w:p>
        </w:tc>
      </w:tr>
      <w:tr w14:paraId="6BAFFB83" w14:textId="77777777" w:rsidTr="00DA65F8">
        <w:tblPrEx>
          <w:tblW w:w="0" w:type="auto"/>
          <w:tblLook w:val="04A0"/>
        </w:tblPrEx>
        <w:trPr>
          <w:trHeight w:val="290"/>
        </w:trPr>
        <w:tc>
          <w:tcPr>
            <w:tcW w:w="7135" w:type="dxa"/>
            <w:noWrap/>
            <w:hideMark/>
          </w:tcPr>
          <w:p w:rsidR="00E0516D" w:rsidRPr="00C55F1C" w:rsidP="00DA65F8" w14:paraId="7EC30BB5" w14:textId="77777777">
            <w:r w:rsidRPr="00C55F1C">
              <w:t>Year 6 (2021) Customer Satisfaction Survey for the CDC Antibiotic Resistance (AR) Isolate Bank</w:t>
            </w:r>
          </w:p>
        </w:tc>
        <w:tc>
          <w:tcPr>
            <w:tcW w:w="1320" w:type="dxa"/>
            <w:noWrap/>
            <w:hideMark/>
          </w:tcPr>
          <w:p w:rsidR="00E0516D" w:rsidRPr="00C55F1C" w:rsidP="00DA65F8" w14:paraId="1BA5221B" w14:textId="77777777">
            <w:r w:rsidRPr="00C55F1C">
              <w:t>700</w:t>
            </w:r>
          </w:p>
        </w:tc>
        <w:tc>
          <w:tcPr>
            <w:tcW w:w="895" w:type="dxa"/>
            <w:noWrap/>
            <w:hideMark/>
          </w:tcPr>
          <w:p w:rsidR="00E0516D" w:rsidRPr="00C55F1C" w:rsidP="00DA65F8" w14:paraId="291A2952" w14:textId="77777777">
            <w:r w:rsidRPr="00C55F1C">
              <w:t>117</w:t>
            </w:r>
          </w:p>
        </w:tc>
      </w:tr>
      <w:tr w14:paraId="41775175" w14:textId="77777777" w:rsidTr="00DA65F8">
        <w:tblPrEx>
          <w:tblW w:w="0" w:type="auto"/>
          <w:tblLook w:val="04A0"/>
        </w:tblPrEx>
        <w:trPr>
          <w:trHeight w:val="290"/>
        </w:trPr>
        <w:tc>
          <w:tcPr>
            <w:tcW w:w="7135" w:type="dxa"/>
            <w:noWrap/>
            <w:hideMark/>
          </w:tcPr>
          <w:p w:rsidR="00E0516D" w:rsidRPr="00C55F1C" w:rsidP="00DA65F8" w14:paraId="5950D0CA" w14:textId="77777777">
            <w:r w:rsidRPr="00C55F1C">
              <w:t>Year 7 (2022) Customer Satisfaction Survey for the CDC Antibiotic Resistance (AR) Isolate Bank</w:t>
            </w:r>
          </w:p>
        </w:tc>
        <w:tc>
          <w:tcPr>
            <w:tcW w:w="1320" w:type="dxa"/>
            <w:noWrap/>
            <w:hideMark/>
          </w:tcPr>
          <w:p w:rsidR="00E0516D" w:rsidRPr="00C55F1C" w:rsidP="00DA65F8" w14:paraId="0C66CD7F" w14:textId="77777777">
            <w:r w:rsidRPr="00C55F1C">
              <w:t>700</w:t>
            </w:r>
          </w:p>
        </w:tc>
        <w:tc>
          <w:tcPr>
            <w:tcW w:w="895" w:type="dxa"/>
            <w:noWrap/>
            <w:hideMark/>
          </w:tcPr>
          <w:p w:rsidR="00E0516D" w:rsidRPr="00C55F1C" w:rsidP="00DA65F8" w14:paraId="5EE63B21" w14:textId="77777777">
            <w:r w:rsidRPr="00C55F1C">
              <w:t>117</w:t>
            </w:r>
          </w:p>
        </w:tc>
      </w:tr>
      <w:tr w14:paraId="0194B337" w14:textId="77777777" w:rsidTr="00DA65F8">
        <w:tblPrEx>
          <w:tblW w:w="0" w:type="auto"/>
          <w:tblLook w:val="04A0"/>
        </w:tblPrEx>
        <w:trPr>
          <w:trHeight w:val="290"/>
        </w:trPr>
        <w:tc>
          <w:tcPr>
            <w:tcW w:w="7135" w:type="dxa"/>
            <w:noWrap/>
            <w:hideMark/>
          </w:tcPr>
          <w:p w:rsidR="00E0516D" w:rsidRPr="00C55F1C" w:rsidP="00DA65F8" w14:paraId="197CC1A2" w14:textId="77777777">
            <w:r w:rsidRPr="00C55F1C">
              <w:t>[2022] The Science Ambassador Fellowship Summer Course Satisfaction Survey [CSELS]</w:t>
            </w:r>
          </w:p>
        </w:tc>
        <w:tc>
          <w:tcPr>
            <w:tcW w:w="1320" w:type="dxa"/>
            <w:noWrap/>
            <w:hideMark/>
          </w:tcPr>
          <w:p w:rsidR="00E0516D" w:rsidRPr="00C55F1C" w:rsidP="00DA65F8" w14:paraId="621D2C4E" w14:textId="77777777">
            <w:r w:rsidRPr="00C55F1C">
              <w:t>38</w:t>
            </w:r>
          </w:p>
        </w:tc>
        <w:tc>
          <w:tcPr>
            <w:tcW w:w="895" w:type="dxa"/>
            <w:noWrap/>
            <w:hideMark/>
          </w:tcPr>
          <w:p w:rsidR="00E0516D" w:rsidRPr="00C55F1C" w:rsidP="00DA65F8" w14:paraId="14399EFB" w14:textId="77777777">
            <w:r w:rsidRPr="00C55F1C">
              <w:t>6</w:t>
            </w:r>
          </w:p>
        </w:tc>
      </w:tr>
      <w:tr w14:paraId="12AC86EA" w14:textId="77777777" w:rsidTr="00DA65F8">
        <w:tblPrEx>
          <w:tblW w:w="0" w:type="auto"/>
          <w:tblLook w:val="04A0"/>
        </w:tblPrEx>
        <w:trPr>
          <w:trHeight w:val="290"/>
        </w:trPr>
        <w:tc>
          <w:tcPr>
            <w:tcW w:w="7135" w:type="dxa"/>
            <w:noWrap/>
            <w:hideMark/>
          </w:tcPr>
          <w:p w:rsidR="00E0516D" w:rsidRPr="00C55F1C" w:rsidP="00DA65F8" w14:paraId="40AC0904" w14:textId="77777777">
            <w:r w:rsidRPr="00C55F1C">
              <w:t>BEAM Dashboard User Feedback Survey</w:t>
            </w:r>
          </w:p>
        </w:tc>
        <w:tc>
          <w:tcPr>
            <w:tcW w:w="1320" w:type="dxa"/>
            <w:noWrap/>
            <w:hideMark/>
          </w:tcPr>
          <w:p w:rsidR="00E0516D" w:rsidRPr="00C55F1C" w:rsidP="00DA65F8" w14:paraId="22E2B599" w14:textId="77777777">
            <w:r w:rsidRPr="00C55F1C">
              <w:t>500</w:t>
            </w:r>
          </w:p>
        </w:tc>
        <w:tc>
          <w:tcPr>
            <w:tcW w:w="895" w:type="dxa"/>
            <w:noWrap/>
            <w:hideMark/>
          </w:tcPr>
          <w:p w:rsidR="00E0516D" w:rsidRPr="00C55F1C" w:rsidP="00DA65F8" w14:paraId="6E5D7709" w14:textId="77777777">
            <w:r w:rsidRPr="00C55F1C">
              <w:t>42</w:t>
            </w:r>
          </w:p>
        </w:tc>
      </w:tr>
      <w:tr w14:paraId="497C4ED7" w14:textId="77777777" w:rsidTr="00DA65F8">
        <w:tblPrEx>
          <w:tblW w:w="0" w:type="auto"/>
          <w:tblLook w:val="04A0"/>
        </w:tblPrEx>
        <w:trPr>
          <w:trHeight w:val="290"/>
        </w:trPr>
        <w:tc>
          <w:tcPr>
            <w:tcW w:w="7135" w:type="dxa"/>
            <w:noWrap/>
            <w:hideMark/>
          </w:tcPr>
          <w:p w:rsidR="00E0516D" w:rsidRPr="00C55F1C" w:rsidP="00DA65F8" w14:paraId="7FC06F2F" w14:textId="77777777">
            <w:r w:rsidRPr="00C55F1C">
              <w:t>DCIPHER External User Satisfaction Survey</w:t>
            </w:r>
          </w:p>
        </w:tc>
        <w:tc>
          <w:tcPr>
            <w:tcW w:w="1320" w:type="dxa"/>
            <w:noWrap/>
            <w:hideMark/>
          </w:tcPr>
          <w:p w:rsidR="00E0516D" w:rsidRPr="00C55F1C" w:rsidP="00DA65F8" w14:paraId="14765669" w14:textId="77777777">
            <w:r w:rsidRPr="00C55F1C">
              <w:t>400</w:t>
            </w:r>
          </w:p>
        </w:tc>
        <w:tc>
          <w:tcPr>
            <w:tcW w:w="895" w:type="dxa"/>
            <w:noWrap/>
            <w:hideMark/>
          </w:tcPr>
          <w:p w:rsidR="00E0516D" w:rsidRPr="00C55F1C" w:rsidP="00DA65F8" w14:paraId="1ADDC932" w14:textId="77777777">
            <w:r w:rsidRPr="00C55F1C">
              <w:t>67</w:t>
            </w:r>
          </w:p>
        </w:tc>
      </w:tr>
      <w:tr w14:paraId="7C28A2C5" w14:textId="77777777" w:rsidTr="00DA65F8">
        <w:tblPrEx>
          <w:tblW w:w="0" w:type="auto"/>
          <w:tblLook w:val="04A0"/>
        </w:tblPrEx>
        <w:trPr>
          <w:trHeight w:val="290"/>
        </w:trPr>
        <w:tc>
          <w:tcPr>
            <w:tcW w:w="7135" w:type="dxa"/>
            <w:noWrap/>
            <w:hideMark/>
          </w:tcPr>
          <w:p w:rsidR="00E0516D" w:rsidRPr="00C55F1C" w:rsidP="00DA65F8" w14:paraId="40E9797A" w14:textId="77777777">
            <w:r w:rsidRPr="00C55F1C">
              <w:t xml:space="preserve"> Evaluation of communication between CDC and Association of Refugee Health Coordinators (ARHC) partners during responses in 2021-2022</w:t>
            </w:r>
          </w:p>
        </w:tc>
        <w:tc>
          <w:tcPr>
            <w:tcW w:w="1320" w:type="dxa"/>
            <w:noWrap/>
            <w:hideMark/>
          </w:tcPr>
          <w:p w:rsidR="00E0516D" w:rsidRPr="00C55F1C" w:rsidP="00DA65F8" w14:paraId="57E62253" w14:textId="77777777">
            <w:r w:rsidRPr="00C55F1C">
              <w:t>40</w:t>
            </w:r>
          </w:p>
        </w:tc>
        <w:tc>
          <w:tcPr>
            <w:tcW w:w="895" w:type="dxa"/>
            <w:noWrap/>
            <w:hideMark/>
          </w:tcPr>
          <w:p w:rsidR="00E0516D" w:rsidRPr="00C55F1C" w:rsidP="00DA65F8" w14:paraId="32BF9E4C" w14:textId="77777777">
            <w:r w:rsidRPr="00C55F1C">
              <w:t>20</w:t>
            </w:r>
          </w:p>
        </w:tc>
      </w:tr>
      <w:tr w14:paraId="79C3DC27" w14:textId="77777777" w:rsidTr="00DA65F8">
        <w:tblPrEx>
          <w:tblW w:w="0" w:type="auto"/>
          <w:tblLook w:val="04A0"/>
        </w:tblPrEx>
        <w:trPr>
          <w:trHeight w:val="290"/>
        </w:trPr>
        <w:tc>
          <w:tcPr>
            <w:tcW w:w="7135" w:type="dxa"/>
            <w:noWrap/>
            <w:hideMark/>
          </w:tcPr>
          <w:p w:rsidR="00E0516D" w:rsidRPr="00C55F1C" w:rsidP="00DA65F8" w14:paraId="3DF9659D" w14:textId="77777777">
            <w:r w:rsidRPr="00C55F1C">
              <w:t>HHS Protect User Satisfaction Survey</w:t>
            </w:r>
          </w:p>
        </w:tc>
        <w:tc>
          <w:tcPr>
            <w:tcW w:w="1320" w:type="dxa"/>
            <w:noWrap/>
            <w:hideMark/>
          </w:tcPr>
          <w:p w:rsidR="00E0516D" w:rsidRPr="00C55F1C" w:rsidP="00DA65F8" w14:paraId="23BC103A" w14:textId="77777777">
            <w:r w:rsidRPr="00C55F1C">
              <w:t>500</w:t>
            </w:r>
          </w:p>
        </w:tc>
        <w:tc>
          <w:tcPr>
            <w:tcW w:w="895" w:type="dxa"/>
            <w:noWrap/>
            <w:hideMark/>
          </w:tcPr>
          <w:p w:rsidR="00E0516D" w:rsidRPr="00C55F1C" w:rsidP="00DA65F8" w14:paraId="00C752E5" w14:textId="77777777">
            <w:r w:rsidRPr="00C55F1C">
              <w:t>83</w:t>
            </w:r>
          </w:p>
        </w:tc>
      </w:tr>
      <w:tr w14:paraId="03A9F6E3" w14:textId="77777777" w:rsidTr="00DA65F8">
        <w:tblPrEx>
          <w:tblW w:w="0" w:type="auto"/>
          <w:tblLook w:val="04A0"/>
        </w:tblPrEx>
        <w:trPr>
          <w:trHeight w:val="290"/>
        </w:trPr>
        <w:tc>
          <w:tcPr>
            <w:tcW w:w="7135" w:type="dxa"/>
            <w:noWrap/>
            <w:hideMark/>
          </w:tcPr>
          <w:p w:rsidR="00E0516D" w:rsidRPr="00C55F1C" w:rsidP="00DA65F8" w14:paraId="69E1B083" w14:textId="77777777">
            <w:r w:rsidRPr="00C55F1C">
              <w:t xml:space="preserve"> Improving Traveler Data Exchange Between Health Departments and CDC Division of Global Migration and Quarantine</w:t>
            </w:r>
          </w:p>
        </w:tc>
        <w:tc>
          <w:tcPr>
            <w:tcW w:w="1320" w:type="dxa"/>
            <w:noWrap/>
            <w:hideMark/>
          </w:tcPr>
          <w:p w:rsidR="00E0516D" w:rsidRPr="00C55F1C" w:rsidP="00DA65F8" w14:paraId="123D8FFF" w14:textId="77777777">
            <w:r w:rsidRPr="00C55F1C">
              <w:t>40</w:t>
            </w:r>
          </w:p>
        </w:tc>
        <w:tc>
          <w:tcPr>
            <w:tcW w:w="895" w:type="dxa"/>
            <w:noWrap/>
            <w:hideMark/>
          </w:tcPr>
          <w:p w:rsidR="00E0516D" w:rsidRPr="00C55F1C" w:rsidP="00DA65F8" w14:paraId="5EC9ED85" w14:textId="77777777">
            <w:r w:rsidRPr="00C55F1C">
              <w:t>40</w:t>
            </w:r>
          </w:p>
        </w:tc>
      </w:tr>
      <w:tr w14:paraId="72D0315C" w14:textId="77777777" w:rsidTr="00DA65F8">
        <w:tblPrEx>
          <w:tblW w:w="0" w:type="auto"/>
          <w:tblLook w:val="04A0"/>
        </w:tblPrEx>
        <w:trPr>
          <w:trHeight w:val="290"/>
        </w:trPr>
        <w:tc>
          <w:tcPr>
            <w:tcW w:w="7135" w:type="dxa"/>
            <w:noWrap/>
            <w:hideMark/>
          </w:tcPr>
          <w:p w:rsidR="00E0516D" w:rsidRPr="00C55F1C" w:rsidP="00DA65F8" w14:paraId="2A7127B3" w14:textId="77777777">
            <w:r w:rsidRPr="00C55F1C">
              <w:t xml:space="preserve"> NHSN Facility End User Survey</w:t>
            </w:r>
          </w:p>
        </w:tc>
        <w:tc>
          <w:tcPr>
            <w:tcW w:w="1320" w:type="dxa"/>
            <w:noWrap/>
            <w:hideMark/>
          </w:tcPr>
          <w:p w:rsidR="00E0516D" w:rsidRPr="00C55F1C" w:rsidP="00DA65F8" w14:paraId="520CD192" w14:textId="77777777">
            <w:r w:rsidRPr="00C55F1C">
              <w:t>66</w:t>
            </w:r>
          </w:p>
        </w:tc>
        <w:tc>
          <w:tcPr>
            <w:tcW w:w="895" w:type="dxa"/>
            <w:noWrap/>
            <w:hideMark/>
          </w:tcPr>
          <w:p w:rsidR="00E0516D" w:rsidRPr="00C55F1C" w:rsidP="00DA65F8" w14:paraId="50D0BC2F" w14:textId="77777777">
            <w:r w:rsidRPr="00C55F1C">
              <w:t>7</w:t>
            </w:r>
          </w:p>
        </w:tc>
      </w:tr>
      <w:tr w14:paraId="49FF6FF3" w14:textId="77777777" w:rsidTr="00DA65F8">
        <w:tblPrEx>
          <w:tblW w:w="0" w:type="auto"/>
          <w:tblLook w:val="04A0"/>
        </w:tblPrEx>
        <w:trPr>
          <w:trHeight w:val="290"/>
        </w:trPr>
        <w:tc>
          <w:tcPr>
            <w:tcW w:w="7135" w:type="dxa"/>
            <w:noWrap/>
            <w:hideMark/>
          </w:tcPr>
          <w:p w:rsidR="00E0516D" w:rsidRPr="00C55F1C" w:rsidP="00DA65F8" w14:paraId="380291E8" w14:textId="77777777">
            <w:r w:rsidRPr="00C55F1C">
              <w:t xml:space="preserve"> Survey of Nursing Homes to Support a Pilot Test of a National Healthcare Safety Network (NHSN) Electronic Health Record (EHR) Implementation Guide (IG)</w:t>
            </w:r>
          </w:p>
        </w:tc>
        <w:tc>
          <w:tcPr>
            <w:tcW w:w="1320" w:type="dxa"/>
            <w:noWrap/>
            <w:hideMark/>
          </w:tcPr>
          <w:p w:rsidR="00E0516D" w:rsidRPr="00C55F1C" w:rsidP="00DA65F8" w14:paraId="55A431F2" w14:textId="77777777">
            <w:r w:rsidRPr="00C55F1C">
              <w:t>250</w:t>
            </w:r>
          </w:p>
        </w:tc>
        <w:tc>
          <w:tcPr>
            <w:tcW w:w="895" w:type="dxa"/>
            <w:noWrap/>
            <w:hideMark/>
          </w:tcPr>
          <w:p w:rsidR="00E0516D" w:rsidRPr="00C55F1C" w:rsidP="00DA65F8" w14:paraId="171CE164" w14:textId="77777777">
            <w:r w:rsidRPr="00C55F1C">
              <w:t>83</w:t>
            </w:r>
          </w:p>
        </w:tc>
      </w:tr>
      <w:tr w14:paraId="35C65A60" w14:textId="77777777" w:rsidTr="00DA65F8">
        <w:tblPrEx>
          <w:tblW w:w="0" w:type="auto"/>
          <w:tblLook w:val="04A0"/>
        </w:tblPrEx>
        <w:trPr>
          <w:trHeight w:val="290"/>
        </w:trPr>
        <w:tc>
          <w:tcPr>
            <w:tcW w:w="7135" w:type="dxa"/>
            <w:noWrap/>
            <w:hideMark/>
          </w:tcPr>
          <w:p w:rsidR="00E0516D" w:rsidRPr="00C55F1C" w:rsidP="00DA65F8" w14:paraId="6776A713" w14:textId="77777777">
            <w:r w:rsidRPr="00C55F1C">
              <w:t xml:space="preserve"> Year 8 (2023) Customer Satisfaction Survey for the CDC Antibiotic Resistance (AR) Isolate Bank</w:t>
            </w:r>
          </w:p>
        </w:tc>
        <w:tc>
          <w:tcPr>
            <w:tcW w:w="1320" w:type="dxa"/>
            <w:noWrap/>
            <w:hideMark/>
          </w:tcPr>
          <w:p w:rsidR="00E0516D" w:rsidRPr="00C55F1C" w:rsidP="00DA65F8" w14:paraId="4DF47006" w14:textId="77777777">
            <w:r w:rsidRPr="00C55F1C">
              <w:t>700</w:t>
            </w:r>
          </w:p>
        </w:tc>
        <w:tc>
          <w:tcPr>
            <w:tcW w:w="895" w:type="dxa"/>
            <w:noWrap/>
            <w:hideMark/>
          </w:tcPr>
          <w:p w:rsidR="00E0516D" w:rsidRPr="00C55F1C" w:rsidP="00DA65F8" w14:paraId="357A7424" w14:textId="77777777">
            <w:r w:rsidRPr="00C55F1C">
              <w:t>117</w:t>
            </w:r>
          </w:p>
        </w:tc>
      </w:tr>
      <w:tr w14:paraId="4057B57D" w14:textId="77777777" w:rsidTr="00DA65F8">
        <w:tblPrEx>
          <w:tblW w:w="0" w:type="auto"/>
          <w:tblLook w:val="04A0"/>
        </w:tblPrEx>
        <w:trPr>
          <w:trHeight w:val="290"/>
        </w:trPr>
        <w:tc>
          <w:tcPr>
            <w:tcW w:w="7135" w:type="dxa"/>
            <w:noWrap/>
            <w:hideMark/>
          </w:tcPr>
          <w:p w:rsidR="00E0516D" w:rsidRPr="00C55F1C" w:rsidP="00DA65F8" w14:paraId="1585F1CA" w14:textId="77777777">
            <w:r w:rsidRPr="00C55F1C">
              <w:t xml:space="preserve"> Year 9 (2024) Customer Satisfaction Survey for the CDC Antibiotic Resistance (AR) Isolate Bank</w:t>
            </w:r>
          </w:p>
        </w:tc>
        <w:tc>
          <w:tcPr>
            <w:tcW w:w="1320" w:type="dxa"/>
            <w:noWrap/>
            <w:hideMark/>
          </w:tcPr>
          <w:p w:rsidR="00E0516D" w:rsidRPr="00C55F1C" w:rsidP="00DA65F8" w14:paraId="4E998ED9" w14:textId="77777777">
            <w:r w:rsidRPr="00C55F1C">
              <w:t>700</w:t>
            </w:r>
          </w:p>
        </w:tc>
        <w:tc>
          <w:tcPr>
            <w:tcW w:w="895" w:type="dxa"/>
            <w:noWrap/>
            <w:hideMark/>
          </w:tcPr>
          <w:p w:rsidR="00E0516D" w:rsidRPr="00C55F1C" w:rsidP="00DA65F8" w14:paraId="740A0B12" w14:textId="77777777">
            <w:r w:rsidRPr="00C55F1C">
              <w:t>117</w:t>
            </w:r>
          </w:p>
        </w:tc>
      </w:tr>
      <w:tr w14:paraId="25E63D8B" w14:textId="77777777" w:rsidTr="00DA65F8">
        <w:tblPrEx>
          <w:tblW w:w="0" w:type="auto"/>
          <w:tblLook w:val="04A0"/>
        </w:tblPrEx>
        <w:trPr>
          <w:trHeight w:val="290"/>
        </w:trPr>
        <w:tc>
          <w:tcPr>
            <w:tcW w:w="7135" w:type="dxa"/>
            <w:noWrap/>
            <w:hideMark/>
          </w:tcPr>
          <w:p w:rsidR="00E0516D" w:rsidRPr="00C55F1C" w:rsidP="00DA65F8" w14:paraId="7FDA514D" w14:textId="77777777">
            <w:r w:rsidRPr="00C55F1C">
              <w:t>DCIPHER External User Satisfaction Survey</w:t>
            </w:r>
          </w:p>
        </w:tc>
        <w:tc>
          <w:tcPr>
            <w:tcW w:w="1320" w:type="dxa"/>
            <w:noWrap/>
            <w:hideMark/>
          </w:tcPr>
          <w:p w:rsidR="00E0516D" w:rsidRPr="00C55F1C" w:rsidP="00DA65F8" w14:paraId="756DEF74" w14:textId="77777777">
            <w:r w:rsidRPr="00C55F1C">
              <w:t>532</w:t>
            </w:r>
          </w:p>
        </w:tc>
        <w:tc>
          <w:tcPr>
            <w:tcW w:w="895" w:type="dxa"/>
            <w:noWrap/>
            <w:hideMark/>
          </w:tcPr>
          <w:p w:rsidR="00E0516D" w:rsidRPr="00C55F1C" w:rsidP="00DA65F8" w14:paraId="15883858" w14:textId="77777777">
            <w:r w:rsidRPr="00C55F1C">
              <w:t>80</w:t>
            </w:r>
          </w:p>
        </w:tc>
      </w:tr>
      <w:tr w14:paraId="440D431A" w14:textId="77777777" w:rsidTr="00DA65F8">
        <w:tblPrEx>
          <w:tblW w:w="0" w:type="auto"/>
          <w:tblLook w:val="04A0"/>
        </w:tblPrEx>
        <w:trPr>
          <w:trHeight w:val="290"/>
        </w:trPr>
        <w:tc>
          <w:tcPr>
            <w:tcW w:w="7135" w:type="dxa"/>
            <w:noWrap/>
            <w:hideMark/>
          </w:tcPr>
          <w:p w:rsidR="00E0516D" w:rsidRPr="00C55F1C" w:rsidP="00DA65F8" w14:paraId="0CD3D278" w14:textId="77777777">
            <w:r w:rsidRPr="00C55F1C">
              <w:t>SBS Excel Tool for Thematic Analysis Feedback Survey</w:t>
            </w:r>
          </w:p>
        </w:tc>
        <w:tc>
          <w:tcPr>
            <w:tcW w:w="1320" w:type="dxa"/>
            <w:noWrap/>
            <w:hideMark/>
          </w:tcPr>
          <w:p w:rsidR="00E0516D" w:rsidRPr="00C55F1C" w:rsidP="00DA65F8" w14:paraId="353DF852" w14:textId="77777777">
            <w:r w:rsidRPr="00C55F1C">
              <w:t>2000</w:t>
            </w:r>
          </w:p>
        </w:tc>
        <w:tc>
          <w:tcPr>
            <w:tcW w:w="895" w:type="dxa"/>
            <w:noWrap/>
            <w:hideMark/>
          </w:tcPr>
          <w:p w:rsidR="00E0516D" w:rsidRPr="00C55F1C" w:rsidP="00DA65F8" w14:paraId="256C3A82" w14:textId="77777777">
            <w:r w:rsidRPr="00C55F1C">
              <w:t>500</w:t>
            </w:r>
          </w:p>
        </w:tc>
      </w:tr>
      <w:tr w14:paraId="28C97976" w14:textId="77777777" w:rsidTr="00DA65F8">
        <w:tblPrEx>
          <w:tblW w:w="0" w:type="auto"/>
          <w:tblLook w:val="04A0"/>
        </w:tblPrEx>
        <w:trPr>
          <w:trHeight w:val="290"/>
        </w:trPr>
        <w:tc>
          <w:tcPr>
            <w:tcW w:w="7135" w:type="dxa"/>
            <w:noWrap/>
            <w:hideMark/>
          </w:tcPr>
          <w:p w:rsidR="00E0516D" w:rsidRPr="00C55F1C" w:rsidP="00DA65F8" w14:paraId="4BD406EC" w14:textId="77777777">
            <w:r w:rsidRPr="00C55F1C">
              <w:t>TB Care Finder</w:t>
            </w:r>
          </w:p>
        </w:tc>
        <w:tc>
          <w:tcPr>
            <w:tcW w:w="1320" w:type="dxa"/>
            <w:noWrap/>
            <w:hideMark/>
          </w:tcPr>
          <w:p w:rsidR="00E0516D" w:rsidRPr="00C55F1C" w:rsidP="00DA65F8" w14:paraId="201A7AB5" w14:textId="77777777">
            <w:r w:rsidRPr="00C55F1C">
              <w:t>150</w:t>
            </w:r>
          </w:p>
        </w:tc>
        <w:tc>
          <w:tcPr>
            <w:tcW w:w="895" w:type="dxa"/>
            <w:noWrap/>
            <w:hideMark/>
          </w:tcPr>
          <w:p w:rsidR="00E0516D" w:rsidRPr="00C55F1C" w:rsidP="00DA65F8" w14:paraId="32E2259B" w14:textId="77777777">
            <w:r w:rsidRPr="00C55F1C">
              <w:t>150</w:t>
            </w:r>
          </w:p>
        </w:tc>
      </w:tr>
      <w:tr w14:paraId="3F290F29" w14:textId="77777777" w:rsidTr="00DA65F8">
        <w:tblPrEx>
          <w:tblW w:w="0" w:type="auto"/>
          <w:tblLook w:val="04A0"/>
        </w:tblPrEx>
        <w:trPr>
          <w:trHeight w:val="290"/>
        </w:trPr>
        <w:tc>
          <w:tcPr>
            <w:tcW w:w="7135" w:type="dxa"/>
            <w:noWrap/>
            <w:hideMark/>
          </w:tcPr>
          <w:p w:rsidR="00E0516D" w:rsidRPr="00C55F1C" w:rsidP="00DA65F8" w14:paraId="544568A7" w14:textId="77777777"/>
        </w:tc>
        <w:tc>
          <w:tcPr>
            <w:tcW w:w="1320" w:type="dxa"/>
            <w:noWrap/>
            <w:hideMark/>
          </w:tcPr>
          <w:p w:rsidR="00E0516D" w:rsidRPr="00C55F1C" w:rsidP="00DA65F8" w14:paraId="05CC9EC5" w14:textId="77777777"/>
        </w:tc>
        <w:tc>
          <w:tcPr>
            <w:tcW w:w="895" w:type="dxa"/>
            <w:noWrap/>
            <w:hideMark/>
          </w:tcPr>
          <w:p w:rsidR="00E0516D" w:rsidRPr="00C55F1C" w:rsidP="00DA65F8" w14:paraId="15F3A5B7" w14:textId="77777777"/>
        </w:tc>
      </w:tr>
      <w:tr w14:paraId="28B988DD" w14:textId="77777777" w:rsidTr="00DA65F8">
        <w:tblPrEx>
          <w:tblW w:w="0" w:type="auto"/>
          <w:tblLook w:val="04A0"/>
        </w:tblPrEx>
        <w:trPr>
          <w:trHeight w:val="290"/>
        </w:trPr>
        <w:tc>
          <w:tcPr>
            <w:tcW w:w="7135" w:type="dxa"/>
            <w:noWrap/>
            <w:hideMark/>
          </w:tcPr>
          <w:p w:rsidR="00E0516D" w:rsidRPr="00126754" w:rsidP="00DA65F8" w14:paraId="25375BC8" w14:textId="77777777">
            <w:pPr>
              <w:rPr>
                <w:b/>
                <w:bCs/>
              </w:rPr>
            </w:pPr>
            <w:r>
              <w:rPr>
                <w:b/>
                <w:bCs/>
              </w:rPr>
              <w:t>TOTAL</w:t>
            </w:r>
          </w:p>
        </w:tc>
        <w:tc>
          <w:tcPr>
            <w:tcW w:w="1320" w:type="dxa"/>
            <w:noWrap/>
            <w:hideMark/>
          </w:tcPr>
          <w:p w:rsidR="00E0516D" w:rsidRPr="00C55F1C" w:rsidP="00DA65F8" w14:paraId="57C8D0DC" w14:textId="77777777">
            <w:r w:rsidRPr="00C55F1C">
              <w:t>37</w:t>
            </w:r>
            <w:r>
              <w:t>,</w:t>
            </w:r>
            <w:r w:rsidRPr="00C55F1C">
              <w:t>020</w:t>
            </w:r>
          </w:p>
        </w:tc>
        <w:tc>
          <w:tcPr>
            <w:tcW w:w="895" w:type="dxa"/>
            <w:noWrap/>
            <w:hideMark/>
          </w:tcPr>
          <w:p w:rsidR="00E0516D" w:rsidRPr="00C55F1C" w:rsidP="00DA65F8" w14:paraId="4E017385" w14:textId="77777777">
            <w:r w:rsidRPr="00C55F1C">
              <w:t>3</w:t>
            </w:r>
            <w:r>
              <w:t>,</w:t>
            </w:r>
            <w:r w:rsidRPr="00C55F1C">
              <w:t>902</w:t>
            </w:r>
          </w:p>
        </w:tc>
      </w:tr>
    </w:tbl>
    <w:p w:rsidR="00E0516D" w:rsidP="00E0516D" w14:paraId="70C44E10" w14:textId="77777777">
      <w:pPr>
        <w:spacing w:after="0" w:line="240" w:lineRule="auto"/>
      </w:pPr>
    </w:p>
    <w:p w:rsidR="00E0516D" w:rsidP="00E0516D" w14:paraId="35F3BC77" w14:textId="77777777">
      <w:pPr>
        <w:spacing w:after="0" w:line="240" w:lineRule="auto"/>
      </w:pPr>
      <w:r>
        <w:t xml:space="preserve">Authorizing legislation comes from Section 301 of the PHSA (42 USC 241) (Attachment A). </w:t>
      </w:r>
    </w:p>
    <w:p w:rsidR="001158E9" w:rsidRPr="001158E9" w:rsidP="001158E9" w14:paraId="6291F66C" w14:textId="77777777"/>
    <w:p w:rsidR="004A13E8" w:rsidP="004A13E8" w14:paraId="14A77B3B" w14:textId="77777777">
      <w:pPr>
        <w:pStyle w:val="Heading1"/>
      </w:pPr>
      <w:bookmarkStart w:id="3" w:name="_Toc473880018"/>
      <w:r>
        <w:t>Purpose and Use of Information Collection</w:t>
      </w:r>
      <w:bookmarkEnd w:id="3"/>
    </w:p>
    <w:p w:rsidR="003A31C5" w:rsidP="003A31C5" w14:paraId="782F52C8" w14:textId="77777777">
      <w:pPr>
        <w:spacing w:after="0" w:line="240" w:lineRule="auto"/>
      </w:pPr>
      <w:r>
        <w:t xml:space="preserve">Improving agency programs requires ongoing assessment of service delivery, by which we mean </w:t>
      </w:r>
      <w:r>
        <w:t>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t xml:space="preserve">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3A31C5" w:rsidP="003A31C5" w14:paraId="4A87C661" w14:textId="77777777">
      <w:pPr>
        <w:spacing w:after="0" w:line="240" w:lineRule="auto"/>
      </w:pPr>
    </w:p>
    <w:p w:rsidR="003A31C5" w:rsidP="003A31C5" w14:paraId="55D25DAA" w14:textId="77777777">
      <w:pPr>
        <w:spacing w:after="0" w:line="240" w:lineRule="auto"/>
      </w:pPr>
      <w:r>
        <w:t xml:space="preserve">The Agency will only submit a collection for approval under this generic clearance if it meets the following conditions: </w:t>
      </w:r>
    </w:p>
    <w:p w:rsidR="003A31C5" w:rsidP="003A31C5" w14:paraId="02602837" w14:textId="77777777">
      <w:pPr>
        <w:spacing w:after="0" w:line="240" w:lineRule="auto"/>
      </w:pPr>
    </w:p>
    <w:p w:rsidR="003A31C5" w:rsidP="003A31C5" w14:paraId="3DF37735" w14:textId="77777777">
      <w:pPr>
        <w:pStyle w:val="ListParagraph"/>
        <w:numPr>
          <w:ilvl w:val="0"/>
          <w:numId w:val="5"/>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3A31C5" w:rsidP="003A31C5" w14:paraId="4031130F" w14:textId="77777777">
      <w:pPr>
        <w:pStyle w:val="ListParagraph"/>
        <w:numPr>
          <w:ilvl w:val="0"/>
          <w:numId w:val="7"/>
        </w:numPr>
        <w:spacing w:after="0" w:line="240" w:lineRule="auto"/>
      </w:pPr>
      <w:r>
        <w:t>Information gathered will not be used for the purpose of substantially informing influential policy decisions</w:t>
      </w:r>
      <w:r>
        <w:rPr>
          <w:rStyle w:val="FootnoteReference"/>
        </w:rPr>
        <w:footnoteReference w:id="2"/>
      </w:r>
      <w:r>
        <w:t>;</w:t>
      </w:r>
    </w:p>
    <w:p w:rsidR="003A31C5" w:rsidP="003A31C5" w14:paraId="35B4F905" w14:textId="77777777">
      <w:pPr>
        <w:pStyle w:val="ListParagraph"/>
        <w:numPr>
          <w:ilvl w:val="0"/>
          <w:numId w:val="4"/>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w:t>
      </w:r>
    </w:p>
    <w:p w:rsidR="003A31C5" w:rsidP="003A31C5" w14:paraId="7AC21519" w14:textId="77777777">
      <w:pPr>
        <w:pStyle w:val="ListParagraph"/>
        <w:numPr>
          <w:ilvl w:val="0"/>
          <w:numId w:val="4"/>
        </w:numPr>
        <w:spacing w:after="0" w:line="240" w:lineRule="auto"/>
      </w:pPr>
      <w:r>
        <w:t>The collections are voluntary;</w:t>
      </w:r>
    </w:p>
    <w:p w:rsidR="003A31C5" w:rsidP="003A31C5" w14:paraId="02B04996" w14:textId="77777777">
      <w:pPr>
        <w:pStyle w:val="ListParagraph"/>
        <w:numPr>
          <w:ilvl w:val="0"/>
          <w:numId w:val="4"/>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3A31C5" w:rsidP="003A31C5" w14:paraId="4003A961" w14:textId="77777777">
      <w:pPr>
        <w:pStyle w:val="ListParagraph"/>
        <w:numPr>
          <w:ilvl w:val="0"/>
          <w:numId w:val="4"/>
        </w:numPr>
        <w:spacing w:after="0" w:line="240" w:lineRule="auto"/>
      </w:pPr>
      <w:r>
        <w:t xml:space="preserve">The collections are non-controversial and do not raise issues of concern to other Federal agencies; </w:t>
      </w:r>
    </w:p>
    <w:p w:rsidR="003A31C5" w:rsidP="003A31C5" w14:paraId="6785B652" w14:textId="77777777">
      <w:pPr>
        <w:pStyle w:val="ListParagraph"/>
        <w:numPr>
          <w:ilvl w:val="0"/>
          <w:numId w:val="4"/>
        </w:numPr>
        <w:spacing w:after="0" w:line="240" w:lineRule="auto"/>
      </w:pPr>
      <w:r>
        <w:t>Any collection is targeted to the solicitation of opinions from respondents who have experience with the program or may have experience with the program in the near future; and</w:t>
      </w:r>
    </w:p>
    <w:p w:rsidR="003A31C5" w:rsidP="003A31C5" w14:paraId="0FB04E98" w14:textId="77777777">
      <w:pPr>
        <w:pStyle w:val="ListParagraph"/>
        <w:numPr>
          <w:ilvl w:val="0"/>
          <w:numId w:val="4"/>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3A31C5" w:rsidP="003A31C5" w14:paraId="79C3D8C9" w14:textId="77777777">
      <w:pPr>
        <w:pStyle w:val="ListParagraph"/>
        <w:spacing w:after="0" w:line="240" w:lineRule="auto"/>
        <w:ind w:left="360"/>
      </w:pPr>
    </w:p>
    <w:p w:rsidR="003A31C5" w:rsidP="003A31C5" w14:paraId="6960805E" w14:textId="77777777">
      <w:pPr>
        <w:spacing w:after="0" w:line="240" w:lineRule="auto"/>
      </w:pPr>
      <w:r>
        <w:t xml:space="preserve">If these conditions are not met, the Agency will submit an information collection request to OMB for approval through the normal PRA process. </w:t>
      </w:r>
    </w:p>
    <w:p w:rsidR="003A31C5" w:rsidP="003A31C5" w14:paraId="36297EF9" w14:textId="77777777">
      <w:pPr>
        <w:spacing w:after="0" w:line="240" w:lineRule="auto"/>
      </w:pPr>
    </w:p>
    <w:p w:rsidR="003A31C5" w:rsidP="003A31C5" w14:paraId="70F8F4B7" w14:textId="77777777">
      <w:pPr>
        <w:spacing w:after="0" w:line="240" w:lineRule="auto"/>
      </w:pPr>
      <w:r>
        <w:t xml:space="preserve">To obtain approval for a collection that meets the conditions of this generic clearance, a standardized form (Attachment C) will be submitted to OMB along with supporting documentation (e.g., a copy of the comment card).  The submission will have automatic approval, unless OMB identifies issues within </w:t>
      </w:r>
      <w:r w:rsidRPr="003A7A16">
        <w:t>5 business days</w:t>
      </w:r>
      <w:r>
        <w:t>.</w:t>
      </w:r>
    </w:p>
    <w:p w:rsidR="003A31C5" w:rsidP="003A31C5" w14:paraId="19D0FDA7" w14:textId="77777777">
      <w:pPr>
        <w:spacing w:after="0" w:line="240" w:lineRule="auto"/>
      </w:pPr>
    </w:p>
    <w:p w:rsidR="003A31C5" w:rsidP="003A31C5" w14:paraId="019FBC2D" w14:textId="77777777">
      <w:r>
        <w:t>The types of collections that this generic clearance covers include, but are not limited to:</w:t>
      </w:r>
    </w:p>
    <w:p w:rsidR="003A31C5" w:rsidP="003A31C5" w14:paraId="6802A8EB" w14:textId="77777777">
      <w:pPr>
        <w:pStyle w:val="ListParagraph"/>
        <w:numPr>
          <w:ilvl w:val="0"/>
          <w:numId w:val="6"/>
        </w:numPr>
      </w:pPr>
      <w:r>
        <w:t>Customer comment cards/complaint forms</w:t>
      </w:r>
    </w:p>
    <w:p w:rsidR="003A31C5" w:rsidP="003A31C5" w14:paraId="49171D68" w14:textId="77777777">
      <w:pPr>
        <w:pStyle w:val="ListParagraph"/>
        <w:numPr>
          <w:ilvl w:val="0"/>
          <w:numId w:val="6"/>
        </w:numPr>
      </w:pPr>
      <w:r>
        <w:t>Small discussion groups</w:t>
      </w:r>
    </w:p>
    <w:p w:rsidR="003A31C5" w:rsidP="003A31C5" w14:paraId="16D00283" w14:textId="77777777">
      <w:pPr>
        <w:pStyle w:val="ListParagraph"/>
        <w:numPr>
          <w:ilvl w:val="0"/>
          <w:numId w:val="6"/>
        </w:numPr>
        <w:spacing w:after="0" w:line="240" w:lineRule="auto"/>
      </w:pPr>
      <w:r>
        <w:t>Focus Groups of customers, potential customers, delivery partners, or other stakeholders</w:t>
      </w:r>
    </w:p>
    <w:p w:rsidR="003A31C5" w:rsidP="003A31C5" w14:paraId="44FD2C5D" w14:textId="77777777">
      <w:pPr>
        <w:pStyle w:val="ListParagraph"/>
        <w:numPr>
          <w:ilvl w:val="0"/>
          <w:numId w:val="6"/>
        </w:numPr>
        <w:spacing w:after="0" w:line="240" w:lineRule="auto"/>
      </w:pPr>
      <w:r>
        <w:t>Cognitive laboratory studies, such as those used to refine questions or assess usability of a website;</w:t>
      </w:r>
    </w:p>
    <w:p w:rsidR="003A31C5" w:rsidP="003A31C5" w14:paraId="3F9BBE48" w14:textId="77777777">
      <w:pPr>
        <w:pStyle w:val="ListParagraph"/>
        <w:numPr>
          <w:ilvl w:val="0"/>
          <w:numId w:val="6"/>
        </w:numPr>
      </w:pPr>
      <w:r>
        <w:t>Qualitative customer satisfaction surveys (e.g., post-transaction surveys; opt-out web surveys)</w:t>
      </w:r>
    </w:p>
    <w:p w:rsidR="003A31C5" w:rsidP="003A31C5" w14:paraId="54DFA978" w14:textId="77777777">
      <w:pPr>
        <w:pStyle w:val="ListParagraph"/>
        <w:numPr>
          <w:ilvl w:val="0"/>
          <w:numId w:val="6"/>
        </w:numPr>
      </w:pPr>
      <w:r>
        <w:t>In-person observation testing (e.g., website or software usability tests)</w:t>
      </w:r>
    </w:p>
    <w:p w:rsidR="003A31C5" w:rsidP="003A31C5" w14:paraId="23754E37" w14:textId="77777777">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BC7BBC" w:rsidP="003419B3" w14:paraId="664663DA" w14:textId="77777777"/>
    <w:p w:rsidR="003419B3" w:rsidRPr="003419B3" w:rsidP="003419B3" w14:paraId="3571942A" w14:textId="77777777"/>
    <w:p w:rsidR="00742DDA" w:rsidRPr="00742DDA" w:rsidP="00742DDA" w14:paraId="614DCD4C" w14:textId="77777777">
      <w:pPr>
        <w:pStyle w:val="Heading1"/>
      </w:pPr>
      <w:bookmarkStart w:id="4" w:name="_Toc473880019"/>
      <w:r>
        <w:t>Use of Improved Information Technology and Burden Reduction</w:t>
      </w:r>
      <w:bookmarkEnd w:id="4"/>
    </w:p>
    <w:p w:rsidR="00375442" w:rsidP="00742DDA" w14:paraId="00C9C5BD" w14:textId="77777777">
      <w:pPr>
        <w:spacing w:after="0" w:line="240" w:lineRule="auto"/>
      </w:pPr>
      <w:r>
        <w:t>If appropriate, agencies will collect information electronically and/or use online collaboration tools to reduce burden.</w:t>
      </w:r>
    </w:p>
    <w:p w:rsidR="00742DDA" w:rsidP="00742DDA" w14:paraId="57B39111" w14:textId="77777777">
      <w:pPr>
        <w:spacing w:after="0" w:line="240" w:lineRule="auto"/>
      </w:pPr>
    </w:p>
    <w:p w:rsidR="004A13E8" w:rsidP="004A13E8" w14:paraId="1ED115DE" w14:textId="77777777">
      <w:pPr>
        <w:pStyle w:val="Heading1"/>
      </w:pPr>
      <w:bookmarkStart w:id="5" w:name="_Toc473880020"/>
      <w:r>
        <w:t>Efforts to Identify Duplication and Use of Similar Information</w:t>
      </w:r>
      <w:bookmarkEnd w:id="5"/>
    </w:p>
    <w:p w:rsidR="000E52AB" w:rsidP="000E52AB" w14:paraId="564098AC" w14:textId="77777777">
      <w:pPr>
        <w:spacing w:after="0" w:line="240" w:lineRule="auto"/>
      </w:pPr>
      <w:r>
        <w:t xml:space="preserve">No similar data are gathered or maintained by the Agency or are available from other sources known to </w:t>
      </w:r>
      <w:r w:rsidRPr="002A35E6">
        <w:t>the Agency.</w:t>
      </w:r>
    </w:p>
    <w:p w:rsidR="000E52AB" w:rsidP="000E52AB" w14:paraId="072DF314" w14:textId="77777777">
      <w:pPr>
        <w:spacing w:after="0" w:line="240" w:lineRule="auto"/>
      </w:pPr>
    </w:p>
    <w:p w:rsidR="00DC57CC" w:rsidP="004A13E8" w14:paraId="08D2EBA9" w14:textId="77777777">
      <w:pPr>
        <w:pStyle w:val="Heading1"/>
      </w:pPr>
      <w:bookmarkStart w:id="6" w:name="_Toc473880021"/>
      <w:r>
        <w:t>Impact on Small Businesses or Other Small Entities</w:t>
      </w:r>
      <w:bookmarkEnd w:id="6"/>
    </w:p>
    <w:p w:rsidR="00DB190A" w:rsidP="00DB190A" w14:paraId="1EA75803" w14:textId="77777777">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DB190A" w:rsidP="004A13E8" w14:paraId="14E8259D" w14:textId="77777777"/>
    <w:p w:rsidR="004A13E8" w:rsidP="004A13E8" w14:paraId="28F7A631" w14:textId="77777777">
      <w:pPr>
        <w:pStyle w:val="Heading1"/>
      </w:pPr>
      <w:bookmarkStart w:id="7" w:name="_Toc473880022"/>
      <w:r>
        <w:t>Consequences of Collecting the Information Less Frequently</w:t>
      </w:r>
      <w:bookmarkEnd w:id="7"/>
    </w:p>
    <w:p w:rsidR="00C51DAB" w:rsidP="00C51DAB" w14:paraId="3FAF7B72" w14:textId="77777777">
      <w:pPr>
        <w:spacing w:after="0" w:line="240" w:lineRule="auto"/>
      </w:pPr>
      <w:bookmarkStart w:id="8" w:name="_Toc473880023"/>
      <w:r>
        <w:t>Without these types of feedback, the Agency will not have timely information to adjust its services to meet customer needs.</w:t>
      </w:r>
    </w:p>
    <w:p w:rsidR="00C51DAB" w:rsidP="00C51DAB" w14:paraId="4A1F8F7E" w14:textId="77777777">
      <w:pPr>
        <w:spacing w:after="0" w:line="240" w:lineRule="auto"/>
      </w:pPr>
    </w:p>
    <w:p w:rsidR="004A13E8" w:rsidP="004A13E8" w14:paraId="37D0AEC3" w14:textId="77777777">
      <w:pPr>
        <w:pStyle w:val="Heading1"/>
      </w:pPr>
      <w:r>
        <w:t xml:space="preserve">Special Circumstances Relating to the </w:t>
      </w:r>
      <w:r>
        <w:t>Guidelines of 5 CFR 1320.5</w:t>
      </w:r>
      <w:bookmarkEnd w:id="8"/>
    </w:p>
    <w:p w:rsidR="00A122CD" w:rsidP="00A122CD" w14:paraId="5BCD4E72" w14:textId="77777777">
      <w:pPr>
        <w:spacing w:after="0" w:line="240" w:lineRule="auto"/>
      </w:pPr>
      <w:bookmarkStart w:id="9" w:name="_Toc473880024"/>
      <w:r>
        <w:t>There are no special circumstances. The information collected will be voluntary and will not be used for statistical purposes.</w:t>
      </w:r>
    </w:p>
    <w:p w:rsidR="00A122CD" w:rsidP="00A122CD" w14:paraId="6E4762EC" w14:textId="77777777">
      <w:pPr>
        <w:spacing w:after="0" w:line="240" w:lineRule="auto"/>
      </w:pPr>
    </w:p>
    <w:p w:rsidR="004A13E8" w:rsidRPr="001051A2" w:rsidP="004A13E8" w14:paraId="43AAED12" w14:textId="77777777">
      <w:pPr>
        <w:pStyle w:val="Heading1"/>
        <w:rPr>
          <w:rFonts w:cs="Times New Roman"/>
        </w:rPr>
      </w:pPr>
      <w:r>
        <w:t xml:space="preserve">Comments in Response to the Federal Register Notice and Efforts to Consult Outside the </w:t>
      </w:r>
      <w:r w:rsidRPr="001051A2">
        <w:rPr>
          <w:rFonts w:cs="Times New Roman"/>
        </w:rPr>
        <w:t>Agency</w:t>
      </w:r>
      <w:bookmarkEnd w:id="9"/>
    </w:p>
    <w:p w:rsidR="001051A2" w:rsidRPr="001051A2" w:rsidP="001051A2" w14:paraId="0F55B6C4" w14:textId="77777777">
      <w:pPr>
        <w:spacing w:after="0" w:line="240" w:lineRule="auto"/>
        <w:rPr>
          <w:rFonts w:cs="Times New Roman"/>
        </w:rPr>
      </w:pPr>
      <w:bookmarkStart w:id="10" w:name="_Toc473880025"/>
      <w:r w:rsidRPr="001051A2">
        <w:rPr>
          <w:rFonts w:cs="Times New Roman"/>
        </w:rPr>
        <w:t xml:space="preserve">In accordance with 5 CFR 1320.8(d), a 60-day notice for public comment was published in the </w:t>
      </w:r>
      <w:r w:rsidRPr="001051A2">
        <w:rPr>
          <w:rFonts w:cs="Times New Roman"/>
          <w:i/>
        </w:rPr>
        <w:t xml:space="preserve">Federal Register </w:t>
      </w:r>
      <w:r w:rsidRPr="001051A2">
        <w:rPr>
          <w:rFonts w:cs="Times New Roman"/>
        </w:rPr>
        <w:t>on 01/23/2024 (Volume 89, Number 15, Pages4</w:t>
      </w:r>
      <w:r w:rsidR="0066228A">
        <w:rPr>
          <w:rFonts w:cs="Times New Roman"/>
        </w:rPr>
        <w:t xml:space="preserve"> </w:t>
      </w:r>
      <w:r w:rsidRPr="001051A2">
        <w:rPr>
          <w:rFonts w:cs="Times New Roman"/>
        </w:rPr>
        <w:t>304-4306)</w:t>
      </w:r>
      <w:r w:rsidR="00C21584">
        <w:rPr>
          <w:rFonts w:cs="Times New Roman"/>
        </w:rPr>
        <w:t xml:space="preserve"> (Attachment </w:t>
      </w:r>
      <w:r w:rsidR="0066228A">
        <w:rPr>
          <w:rFonts w:cs="Times New Roman"/>
        </w:rPr>
        <w:t>B)</w:t>
      </w:r>
      <w:r w:rsidRPr="001051A2">
        <w:rPr>
          <w:rFonts w:cs="Times New Roman"/>
        </w:rPr>
        <w:t xml:space="preserve">.  CDC received two public comments in response to this notice (Attachments D1-D3). One of those comments was substantive, but no contact information was provided so CDC was not able to provide a response. This ICR package addresses the commenter’s concerns. </w:t>
      </w:r>
    </w:p>
    <w:p w:rsidR="001051A2" w:rsidP="001051A2" w14:paraId="66512DE8" w14:textId="77777777">
      <w:pPr>
        <w:spacing w:after="0" w:line="240" w:lineRule="auto"/>
      </w:pPr>
    </w:p>
    <w:p w:rsidR="004A13E8" w:rsidP="004A13E8" w14:paraId="535AF9AB" w14:textId="77777777">
      <w:pPr>
        <w:pStyle w:val="Heading1"/>
      </w:pPr>
      <w:r>
        <w:t>Explanation of Any Payment or Gift to Respondents</w:t>
      </w:r>
      <w:bookmarkEnd w:id="10"/>
    </w:p>
    <w:p w:rsidR="00635189" w:rsidP="00635189" w14:paraId="6428ED89" w14:textId="77777777">
      <w:pPr>
        <w:spacing w:after="0" w:line="240" w:lineRule="auto"/>
      </w:pPr>
      <w:bookmarkStart w:id="11" w:name="_Toc473880026"/>
      <w:r w:rsidRPr="00AC2497">
        <w:t xml:space="preserve">The Agency </w:t>
      </w:r>
      <w:r>
        <w:t>will not provide payment or other forms of remuneration to respondents of its various forms of collecting feedback.  Focus groups and cognitive laboratory studies are the exceptions.</w:t>
      </w:r>
    </w:p>
    <w:p w:rsidR="00635189" w:rsidP="00635189" w14:paraId="112D8780" w14:textId="77777777">
      <w:pPr>
        <w:spacing w:after="0" w:line="240" w:lineRule="auto"/>
      </w:pPr>
      <w:r>
        <w:t xml:space="preserve"> </w:t>
      </w:r>
    </w:p>
    <w:p w:rsidR="00635189" w:rsidP="00635189" w14:paraId="1AB3EE1A" w14:textId="77777777">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w:t>
      </w:r>
      <w:r>
        <w:t xml:space="preserve">on collections include hard-to-reach groups and the agency plans to offer non-standard stipends, the </w:t>
      </w:r>
      <w:r>
        <w:t>Agency will provide OMB with additional justifications in the request for clearance of these specific activities.</w:t>
      </w:r>
    </w:p>
    <w:p w:rsidR="00BD5ED0" w:rsidP="00635189" w14:paraId="03C2228E" w14:textId="77777777">
      <w:pPr>
        <w:spacing w:after="0" w:line="240" w:lineRule="auto"/>
      </w:pPr>
    </w:p>
    <w:p w:rsidR="004A13E8" w:rsidP="004A13E8" w14:paraId="49B46386" w14:textId="77777777">
      <w:pPr>
        <w:pStyle w:val="Heading1"/>
      </w:pPr>
      <w:r>
        <w:t>Protection of the Privacy and Confidentiality of Information Provided by Respondents</w:t>
      </w:r>
      <w:bookmarkEnd w:id="11"/>
    </w:p>
    <w:p w:rsidR="00A068E4" w:rsidP="00A068E4" w14:paraId="285ADF87" w14:textId="77777777">
      <w:pPr>
        <w:spacing w:after="0" w:line="240" w:lineRule="auto"/>
      </w:pPr>
      <w:bookmarkStart w:id="12" w:name="_Toc473880027"/>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A068E4" w:rsidP="00A068E4" w14:paraId="413DFB56" w14:textId="77777777">
      <w:pPr>
        <w:spacing w:after="0" w:line="240" w:lineRule="auto"/>
      </w:pPr>
    </w:p>
    <w:p w:rsidR="004A13E8" w:rsidP="004A13E8" w14:paraId="01DFDC0D" w14:textId="77777777">
      <w:pPr>
        <w:pStyle w:val="Heading1"/>
      </w:pPr>
      <w:r>
        <w:t>Institutional Review Board (IRB) and Justification for Sensitive Questions</w:t>
      </w:r>
      <w:bookmarkEnd w:id="12"/>
    </w:p>
    <w:p w:rsidR="004A13E8" w:rsidP="004A13E8" w14:paraId="04098EFB" w14:textId="77777777">
      <w:pPr>
        <w:rPr>
          <w:u w:val="single"/>
        </w:rPr>
      </w:pPr>
      <w:r>
        <w:rPr>
          <w:u w:val="single"/>
        </w:rPr>
        <w:t>Institutional Review Board (IRB)</w:t>
      </w:r>
    </w:p>
    <w:p w:rsidR="003A26EC" w:rsidRPr="00A43C7D" w:rsidP="003A26EC" w14:paraId="7DBEE5C2" w14:textId="77777777">
      <w:r>
        <w:t xml:space="preserve">NCEZID’s Human Subjects Advisor has determined that information collection is not research involving human subjects. IRB approval is not required (Attachment E). Each gen-IC submission will include a separate human subjects determination. </w:t>
      </w:r>
    </w:p>
    <w:p w:rsidR="003A26EC" w:rsidP="003A26EC" w14:paraId="1F814B9D" w14:textId="77777777">
      <w:pPr>
        <w:spacing w:after="0" w:line="240" w:lineRule="auto"/>
      </w:pPr>
    </w:p>
    <w:p w:rsidR="004A13E8" w:rsidRPr="0005699B" w:rsidP="004A13E8" w14:paraId="3E3E923D" w14:textId="77777777">
      <w:r>
        <w:rPr>
          <w:u w:val="single"/>
        </w:rPr>
        <w:t>Justification for Sensitive Questions</w:t>
      </w:r>
    </w:p>
    <w:p w:rsidR="00BD5ED0" w:rsidP="00BD5ED0" w14:paraId="017CFD97" w14:textId="77777777">
      <w:pPr>
        <w:spacing w:after="0" w:line="240" w:lineRule="auto"/>
      </w:pPr>
      <w:r>
        <w:t>No questions will be asked that are of a personal or sensitive nature.</w:t>
      </w:r>
    </w:p>
    <w:p w:rsidR="0005699B" w:rsidRPr="0005699B" w:rsidP="004A13E8" w14:paraId="33192BA6" w14:textId="77777777"/>
    <w:p w:rsidR="004A13E8" w:rsidP="004A13E8" w14:paraId="67AC5612" w14:textId="77777777">
      <w:pPr>
        <w:pStyle w:val="Heading1"/>
      </w:pPr>
      <w:bookmarkStart w:id="13" w:name="_Toc473880028"/>
      <w:r>
        <w:t>Estimates of Annualized Burden Hours and Costs</w:t>
      </w:r>
      <w:bookmarkEnd w:id="13"/>
    </w:p>
    <w:p w:rsidR="00375B7B" w:rsidRPr="00375B7B" w:rsidP="00375B7B" w14:paraId="596EE2EA" w14:textId="77777777">
      <w:r>
        <w:t xml:space="preserve">A. Estimated Annualized </w:t>
      </w:r>
      <w:r>
        <w:t>Burden Hours</w:t>
      </w:r>
    </w:p>
    <w:p w:rsidR="00F57855" w:rsidP="00F57855" w14:paraId="0E042299" w14:textId="5469FD96">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total</w:t>
      </w:r>
      <w:r>
        <w:t xml:space="preserve"> burden hours requested for the three years</w:t>
      </w:r>
      <w:r>
        <w:t xml:space="preserve"> (5,000) are based on the number of collections we expect to conduct over the requested period for this clearance.</w:t>
      </w:r>
    </w:p>
    <w:p w:rsidR="00F57855" w:rsidP="00F57855" w14:paraId="4FAFF729" w14:textId="77777777">
      <w:pPr>
        <w:spacing w:after="0" w:line="240" w:lineRule="auto"/>
      </w:pPr>
    </w:p>
    <w:tbl>
      <w:tblPr>
        <w:tblW w:w="9360" w:type="dxa"/>
        <w:tblLayout w:type="fixed"/>
        <w:tblCellMar>
          <w:left w:w="102" w:type="dxa"/>
          <w:right w:w="102" w:type="dxa"/>
        </w:tblCellMar>
        <w:tblLook w:val="0000"/>
      </w:tblPr>
      <w:tblGrid>
        <w:gridCol w:w="2880"/>
        <w:gridCol w:w="1710"/>
        <w:gridCol w:w="1710"/>
        <w:gridCol w:w="1800"/>
        <w:gridCol w:w="1260"/>
      </w:tblGrid>
      <w:tr w14:paraId="52144AD5" w14:textId="77777777" w:rsidTr="00DA65F8">
        <w:tblPrEx>
          <w:tblW w:w="9360" w:type="dxa"/>
          <w:tblLayout w:type="fixed"/>
          <w:tblCellMar>
            <w:left w:w="102" w:type="dxa"/>
            <w:right w:w="102" w:type="dxa"/>
          </w:tblCellMar>
          <w:tblLook w:val="0000"/>
        </w:tblPrEx>
        <w:trPr>
          <w:trHeight w:val="570"/>
        </w:trPr>
        <w:tc>
          <w:tcPr>
            <w:tcW w:w="2880" w:type="dxa"/>
            <w:tcBorders>
              <w:top w:val="single" w:sz="6" w:space="0" w:color="000000"/>
              <w:left w:val="single" w:sz="6" w:space="0" w:color="000000"/>
              <w:bottom w:val="single" w:sz="6" w:space="0" w:color="FFFFFF"/>
              <w:right w:val="single" w:sz="6" w:space="0" w:color="FFFFFF"/>
            </w:tcBorders>
          </w:tcPr>
          <w:p w:rsidR="00F57855" w:rsidRPr="00623954" w:rsidP="00DA65F8" w14:paraId="2CA9C6D9" w14:textId="77777777">
            <w:pPr>
              <w:spacing w:after="0" w:line="240" w:lineRule="auto"/>
              <w:rPr>
                <w:rFonts w:cs="Times New Roman"/>
                <w:szCs w:val="24"/>
              </w:rPr>
            </w:pPr>
          </w:p>
          <w:p w:rsidR="00F57855" w:rsidRPr="00623954" w:rsidP="00DA65F8" w14:paraId="083E3C57"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F57855" w:rsidRPr="00623954" w:rsidP="00DA65F8" w14:paraId="569D9059" w14:textId="77777777">
            <w:pPr>
              <w:spacing w:after="0" w:line="240" w:lineRule="auto"/>
              <w:rPr>
                <w:rFonts w:cs="Times New Roman"/>
                <w:szCs w:val="24"/>
              </w:rPr>
            </w:pPr>
          </w:p>
          <w:p w:rsidR="00F57855" w:rsidRPr="00623954" w:rsidP="00DA65F8" w14:paraId="75B78FC1"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F57855" w:rsidRPr="00623954" w:rsidP="00DA65F8" w14:paraId="1E12CEC2" w14:textId="77777777">
            <w:pPr>
              <w:spacing w:after="0" w:line="240" w:lineRule="auto"/>
              <w:rPr>
                <w:rFonts w:cs="Times New Roman"/>
                <w:szCs w:val="24"/>
              </w:rPr>
            </w:pPr>
          </w:p>
          <w:p w:rsidR="00F57855" w:rsidRPr="00623954" w:rsidP="00DA65F8" w14:paraId="5292B4D4"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F57855" w:rsidRPr="00623954" w:rsidP="00DA65F8" w14:paraId="61300660" w14:textId="77777777">
            <w:pPr>
              <w:spacing w:after="0" w:line="240" w:lineRule="auto"/>
              <w:rPr>
                <w:rFonts w:cs="Times New Roman"/>
                <w:szCs w:val="24"/>
              </w:rPr>
            </w:pPr>
          </w:p>
          <w:p w:rsidR="00F57855" w:rsidRPr="00623954" w:rsidP="00DA65F8" w14:paraId="0A717728"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F57855" w:rsidRPr="00623954" w:rsidP="00DA65F8" w14:paraId="3DF4EAAF" w14:textId="77777777">
            <w:pPr>
              <w:spacing w:after="0" w:line="240" w:lineRule="auto"/>
              <w:rPr>
                <w:rFonts w:cs="Times New Roman"/>
                <w:szCs w:val="24"/>
              </w:rPr>
            </w:pPr>
          </w:p>
          <w:p w:rsidR="00F57855" w:rsidRPr="00623954" w:rsidP="00DA65F8" w14:paraId="77DC1B68"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Total Hours</w:t>
            </w:r>
          </w:p>
        </w:tc>
      </w:tr>
      <w:tr w14:paraId="695285D9" w14:textId="77777777" w:rsidTr="00DA65F8">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6F87B680" w14:textId="77777777">
            <w:pPr>
              <w:spacing w:after="0" w:line="240" w:lineRule="auto"/>
              <w:rPr>
                <w:rFonts w:cs="Times New Roman"/>
                <w:szCs w:val="24"/>
              </w:rPr>
            </w:pPr>
          </w:p>
          <w:p w:rsidR="00F57855" w:rsidRPr="00623954" w:rsidP="00DA65F8" w14:paraId="447146A2" w14:textId="77777777">
            <w:pPr>
              <w:tabs>
                <w:tab w:val="left" w:pos="-1080"/>
                <w:tab w:val="left" w:pos="-720"/>
                <w:tab w:val="left" w:pos="0"/>
                <w:tab w:val="left" w:pos="450"/>
                <w:tab w:val="left" w:pos="720"/>
                <w:tab w:val="left" w:pos="2160"/>
              </w:tabs>
              <w:spacing w:after="0" w:line="240" w:lineRule="auto"/>
              <w:rPr>
                <w:rFonts w:cs="Times New Roman"/>
                <w:szCs w:val="24"/>
              </w:rPr>
            </w:pPr>
            <w:r w:rsidRPr="00623954">
              <w:rPr>
                <w:rFonts w:cs="Times New Roman"/>
                <w:szCs w:val="24"/>
              </w:rPr>
              <w:t>Online Surveys</w:t>
            </w:r>
          </w:p>
        </w:tc>
        <w:tc>
          <w:tcPr>
            <w:tcW w:w="1710" w:type="dxa"/>
            <w:tcBorders>
              <w:top w:val="single" w:sz="6" w:space="0" w:color="000000"/>
              <w:left w:val="single" w:sz="6" w:space="0" w:color="000000"/>
              <w:bottom w:val="single" w:sz="6" w:space="0" w:color="000000"/>
              <w:right w:val="single" w:sz="6" w:space="0" w:color="FFFFFF"/>
            </w:tcBorders>
          </w:tcPr>
          <w:p w:rsidR="00F57855" w:rsidRPr="00623954" w:rsidP="00DA65F8" w14:paraId="48AF91B0" w14:textId="77777777">
            <w:pPr>
              <w:tabs>
                <w:tab w:val="left" w:pos="-1080"/>
                <w:tab w:val="left" w:pos="-720"/>
                <w:tab w:val="left" w:pos="0"/>
                <w:tab w:val="left" w:pos="450"/>
                <w:tab w:val="left" w:pos="720"/>
                <w:tab w:val="left" w:pos="2160"/>
              </w:tabs>
              <w:spacing w:after="0" w:line="240" w:lineRule="auto"/>
              <w:rPr>
                <w:rFonts w:cs="Times New Roman"/>
                <w:szCs w:val="24"/>
              </w:rPr>
            </w:pPr>
          </w:p>
          <w:p w:rsidR="00F57855" w:rsidRPr="00623954" w:rsidP="00DA65F8" w14:paraId="1274E8CD" w14:textId="77777777">
            <w:pPr>
              <w:tabs>
                <w:tab w:val="left" w:pos="-1080"/>
                <w:tab w:val="left" w:pos="-720"/>
                <w:tab w:val="left" w:pos="0"/>
                <w:tab w:val="left" w:pos="450"/>
                <w:tab w:val="left" w:pos="720"/>
                <w:tab w:val="left" w:pos="2160"/>
              </w:tabs>
              <w:spacing w:after="0" w:line="240" w:lineRule="auto"/>
              <w:rPr>
                <w:rFonts w:cs="Times New Roman"/>
                <w:szCs w:val="24"/>
              </w:rPr>
            </w:pPr>
            <w:r w:rsidRPr="00623954">
              <w:rPr>
                <w:rFonts w:cs="Times New Roman"/>
                <w:szCs w:val="24"/>
              </w:rPr>
              <w:t>3800</w:t>
            </w:r>
          </w:p>
        </w:tc>
        <w:tc>
          <w:tcPr>
            <w:tcW w:w="1710" w:type="dxa"/>
            <w:tcBorders>
              <w:top w:val="single" w:sz="6" w:space="0" w:color="000000"/>
              <w:left w:val="single" w:sz="6" w:space="0" w:color="000000"/>
              <w:bottom w:val="single" w:sz="6" w:space="0" w:color="000000"/>
              <w:right w:val="single" w:sz="6" w:space="0" w:color="FFFFFF"/>
            </w:tcBorders>
          </w:tcPr>
          <w:p w:rsidR="00F57855" w:rsidRPr="00623954" w:rsidP="00DA65F8" w14:paraId="2A13CE7A" w14:textId="77777777">
            <w:pPr>
              <w:spacing w:after="0" w:line="240" w:lineRule="auto"/>
              <w:rPr>
                <w:rFonts w:cs="Times New Roman"/>
                <w:szCs w:val="24"/>
              </w:rPr>
            </w:pPr>
          </w:p>
          <w:p w:rsidR="00F57855" w:rsidRPr="00623954" w:rsidP="00DA65F8" w14:paraId="54E4D52B" w14:textId="77777777">
            <w:pPr>
              <w:tabs>
                <w:tab w:val="left" w:pos="-1080"/>
                <w:tab w:val="left" w:pos="-720"/>
                <w:tab w:val="left" w:pos="0"/>
                <w:tab w:val="left" w:pos="450"/>
                <w:tab w:val="left" w:pos="720"/>
                <w:tab w:val="left" w:pos="2160"/>
              </w:tabs>
              <w:spacing w:after="0" w:line="240" w:lineRule="auto"/>
              <w:rPr>
                <w:rFonts w:cs="Times New Roman"/>
                <w:szCs w:val="24"/>
              </w:rPr>
            </w:pPr>
            <w:r w:rsidRPr="00623954">
              <w:rPr>
                <w:rFonts w:cs="Times New Roman"/>
                <w:szCs w:val="24"/>
              </w:rPr>
              <w:t>1</w:t>
            </w:r>
          </w:p>
        </w:tc>
        <w:tc>
          <w:tcPr>
            <w:tcW w:w="1800" w:type="dxa"/>
            <w:tcBorders>
              <w:top w:val="single" w:sz="6" w:space="0" w:color="000000"/>
              <w:left w:val="single" w:sz="6" w:space="0" w:color="000000"/>
              <w:bottom w:val="single" w:sz="6" w:space="0" w:color="000000"/>
              <w:right w:val="single" w:sz="6" w:space="0" w:color="FFFFFF"/>
            </w:tcBorders>
          </w:tcPr>
          <w:p w:rsidR="00F57855" w:rsidRPr="00623954" w:rsidP="00DA65F8" w14:paraId="69D2AAF6" w14:textId="77777777">
            <w:pPr>
              <w:spacing w:after="0" w:line="240" w:lineRule="auto"/>
              <w:rPr>
                <w:rFonts w:cs="Times New Roman"/>
                <w:szCs w:val="24"/>
              </w:rPr>
            </w:pPr>
          </w:p>
          <w:p w:rsidR="00F57855" w:rsidRPr="00623954" w:rsidP="00DA65F8" w14:paraId="51F57F20" w14:textId="77777777">
            <w:pPr>
              <w:tabs>
                <w:tab w:val="left" w:pos="-1080"/>
                <w:tab w:val="left" w:pos="-720"/>
                <w:tab w:val="left" w:pos="0"/>
                <w:tab w:val="left" w:pos="450"/>
                <w:tab w:val="left" w:pos="720"/>
                <w:tab w:val="left" w:pos="2160"/>
              </w:tabs>
              <w:spacing w:after="0" w:line="240" w:lineRule="auto"/>
              <w:rPr>
                <w:rFonts w:cs="Times New Roman"/>
                <w:szCs w:val="24"/>
              </w:rPr>
            </w:pPr>
            <w:r w:rsidRPr="00623954">
              <w:rPr>
                <w:rFonts w:cs="Times New Roman"/>
                <w:szCs w:val="24"/>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F57855" w:rsidRPr="00623954" w:rsidP="00DA65F8" w14:paraId="521ACDB5"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1900</w:t>
            </w:r>
          </w:p>
        </w:tc>
      </w:tr>
      <w:tr w14:paraId="5F06EDD5" w14:textId="77777777" w:rsidTr="00DA65F8">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1DE5C1A8" w14:textId="77777777">
            <w:pPr>
              <w:spacing w:after="0" w:line="240" w:lineRule="auto"/>
              <w:rPr>
                <w:rFonts w:cs="Times New Roman"/>
                <w:szCs w:val="24"/>
                <w:highlight w:val="yellow"/>
              </w:rPr>
            </w:pPr>
          </w:p>
          <w:p w:rsidR="00F57855" w:rsidRPr="00623954" w:rsidP="00DA65F8" w14:paraId="12430C1F" w14:textId="77777777">
            <w:pPr>
              <w:spacing w:after="0" w:line="240" w:lineRule="auto"/>
              <w:rPr>
                <w:rFonts w:cs="Times New Roman"/>
                <w:szCs w:val="24"/>
                <w:highlight w:val="yellow"/>
              </w:rPr>
            </w:pPr>
            <w:r w:rsidRPr="00623954">
              <w:rPr>
                <w:rFonts w:cs="Times New Roman"/>
                <w:szCs w:val="24"/>
              </w:rPr>
              <w:t>Focus Groups</w:t>
            </w:r>
          </w:p>
        </w:tc>
        <w:tc>
          <w:tcPr>
            <w:tcW w:w="1710" w:type="dxa"/>
            <w:tcBorders>
              <w:top w:val="single" w:sz="6" w:space="0" w:color="000000"/>
              <w:left w:val="single" w:sz="6" w:space="0" w:color="000000"/>
              <w:bottom w:val="single" w:sz="6" w:space="0" w:color="000000"/>
              <w:right w:val="single" w:sz="6" w:space="0" w:color="FFFFFF"/>
            </w:tcBorders>
          </w:tcPr>
          <w:p w:rsidR="00F57855" w:rsidRPr="00623954" w:rsidP="00DA65F8" w14:paraId="3134BCAE" w14:textId="77777777">
            <w:pPr>
              <w:spacing w:after="0" w:line="240" w:lineRule="auto"/>
              <w:rPr>
                <w:rFonts w:cs="Times New Roman"/>
                <w:szCs w:val="24"/>
              </w:rPr>
            </w:pPr>
          </w:p>
          <w:p w:rsidR="00F57855" w:rsidRPr="00623954" w:rsidP="00DA65F8" w14:paraId="4F373A9F" w14:textId="77777777">
            <w:pPr>
              <w:spacing w:after="0" w:line="240" w:lineRule="auto"/>
              <w:rPr>
                <w:rFonts w:cs="Times New Roman"/>
                <w:szCs w:val="24"/>
              </w:rPr>
            </w:pPr>
            <w:r w:rsidRPr="00623954">
              <w:rPr>
                <w:rFonts w:cs="Times New Roman"/>
                <w:szCs w:val="24"/>
              </w:rPr>
              <w:t>800</w:t>
            </w:r>
          </w:p>
        </w:tc>
        <w:tc>
          <w:tcPr>
            <w:tcW w:w="1710" w:type="dxa"/>
            <w:tcBorders>
              <w:top w:val="single" w:sz="6" w:space="0" w:color="000000"/>
              <w:left w:val="single" w:sz="6" w:space="0" w:color="000000"/>
              <w:bottom w:val="single" w:sz="6" w:space="0" w:color="000000"/>
              <w:right w:val="single" w:sz="6" w:space="0" w:color="FFFFFF"/>
            </w:tcBorders>
          </w:tcPr>
          <w:p w:rsidR="00F57855" w:rsidRPr="00623954" w:rsidP="00DA65F8" w14:paraId="14D0D6AE" w14:textId="77777777">
            <w:pPr>
              <w:spacing w:after="0" w:line="240" w:lineRule="auto"/>
              <w:rPr>
                <w:rFonts w:cs="Times New Roman"/>
                <w:szCs w:val="24"/>
              </w:rPr>
            </w:pPr>
          </w:p>
          <w:p w:rsidR="00F57855" w:rsidRPr="00623954" w:rsidP="00DA65F8" w14:paraId="2AC8A0C9" w14:textId="77777777">
            <w:pPr>
              <w:spacing w:after="0" w:line="240" w:lineRule="auto"/>
              <w:rPr>
                <w:rFonts w:cs="Times New Roman"/>
                <w:szCs w:val="24"/>
              </w:rPr>
            </w:pPr>
            <w:r w:rsidRPr="00623954">
              <w:rPr>
                <w:rFonts w:cs="Times New Roman"/>
                <w:szCs w:val="24"/>
              </w:rPr>
              <w:t>1</w:t>
            </w:r>
          </w:p>
        </w:tc>
        <w:tc>
          <w:tcPr>
            <w:tcW w:w="1800" w:type="dxa"/>
            <w:tcBorders>
              <w:top w:val="single" w:sz="6" w:space="0" w:color="000000"/>
              <w:left w:val="single" w:sz="6" w:space="0" w:color="000000"/>
              <w:bottom w:val="single" w:sz="6" w:space="0" w:color="000000"/>
              <w:right w:val="single" w:sz="6" w:space="0" w:color="FFFFFF"/>
            </w:tcBorders>
          </w:tcPr>
          <w:p w:rsidR="00F57855" w:rsidRPr="00623954" w:rsidP="00DA65F8" w14:paraId="6DCD151C" w14:textId="77777777">
            <w:pPr>
              <w:spacing w:after="0" w:line="240" w:lineRule="auto"/>
              <w:rPr>
                <w:rFonts w:cs="Times New Roman"/>
                <w:szCs w:val="24"/>
              </w:rPr>
            </w:pPr>
          </w:p>
          <w:p w:rsidR="00F57855" w:rsidRPr="00623954" w:rsidP="00DA65F8" w14:paraId="6FAFC80F" w14:textId="77777777">
            <w:pPr>
              <w:spacing w:after="0" w:line="240" w:lineRule="auto"/>
              <w:rPr>
                <w:rFonts w:cs="Times New Roman"/>
                <w:szCs w:val="24"/>
              </w:rPr>
            </w:pPr>
            <w:r w:rsidRPr="00623954">
              <w:rPr>
                <w:rFonts w:cs="Times New Roman"/>
                <w:szCs w:val="24"/>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F57855" w:rsidRPr="00623954" w:rsidP="00DA65F8" w14:paraId="459ACF13"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1600</w:t>
            </w:r>
          </w:p>
        </w:tc>
      </w:tr>
      <w:tr w14:paraId="27046C6E" w14:textId="77777777" w:rsidTr="00DA65F8">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27DEEDBB" w14:textId="77777777">
            <w:pPr>
              <w:spacing w:after="0" w:line="240" w:lineRule="auto"/>
              <w:rPr>
                <w:rFonts w:cs="Times New Roman"/>
                <w:szCs w:val="24"/>
                <w:highlight w:val="yellow"/>
              </w:rPr>
            </w:pPr>
          </w:p>
          <w:p w:rsidR="00F57855" w:rsidRPr="00623954" w:rsidP="00DA65F8" w14:paraId="2E52E13F" w14:textId="77777777">
            <w:pPr>
              <w:spacing w:after="0" w:line="240" w:lineRule="auto"/>
              <w:rPr>
                <w:rFonts w:cs="Times New Roman"/>
                <w:szCs w:val="24"/>
                <w:highlight w:val="yellow"/>
              </w:rPr>
            </w:pPr>
            <w:r w:rsidRPr="00623954">
              <w:rPr>
                <w:rFonts w:cs="Times New Roman"/>
                <w:szCs w:val="24"/>
              </w:rPr>
              <w:t>In-person Surveys</w:t>
            </w:r>
          </w:p>
        </w:tc>
        <w:tc>
          <w:tcPr>
            <w:tcW w:w="1710" w:type="dxa"/>
            <w:tcBorders>
              <w:top w:val="single" w:sz="6" w:space="0" w:color="000000"/>
              <w:left w:val="single" w:sz="6" w:space="0" w:color="000000"/>
              <w:bottom w:val="single" w:sz="6" w:space="0" w:color="000000"/>
              <w:right w:val="single" w:sz="6" w:space="0" w:color="FFFFFF"/>
            </w:tcBorders>
          </w:tcPr>
          <w:p w:rsidR="00F57855" w:rsidRPr="00623954" w:rsidP="00DA65F8" w14:paraId="3C97FE36" w14:textId="77777777">
            <w:pPr>
              <w:spacing w:after="0" w:line="240" w:lineRule="auto"/>
              <w:rPr>
                <w:rFonts w:cs="Times New Roman"/>
                <w:szCs w:val="24"/>
                <w:highlight w:val="yellow"/>
              </w:rPr>
            </w:pPr>
          </w:p>
          <w:p w:rsidR="00F57855" w:rsidRPr="00623954" w:rsidP="00DA65F8" w14:paraId="2E002CAB" w14:textId="77777777">
            <w:pPr>
              <w:spacing w:after="0" w:line="240" w:lineRule="auto"/>
              <w:rPr>
                <w:rFonts w:cs="Times New Roman"/>
                <w:szCs w:val="24"/>
                <w:highlight w:val="yellow"/>
              </w:rPr>
            </w:pPr>
            <w:r w:rsidRPr="00623954">
              <w:rPr>
                <w:rFonts w:cs="Times New Roman"/>
                <w:szCs w:val="24"/>
              </w:rPr>
              <w:t>1000</w:t>
            </w:r>
          </w:p>
        </w:tc>
        <w:tc>
          <w:tcPr>
            <w:tcW w:w="1710" w:type="dxa"/>
            <w:tcBorders>
              <w:top w:val="single" w:sz="6" w:space="0" w:color="000000"/>
              <w:left w:val="single" w:sz="6" w:space="0" w:color="000000"/>
              <w:bottom w:val="single" w:sz="6" w:space="0" w:color="000000"/>
              <w:right w:val="single" w:sz="6" w:space="0" w:color="FFFFFF"/>
            </w:tcBorders>
          </w:tcPr>
          <w:p w:rsidR="00F57855" w:rsidRPr="00623954" w:rsidP="00DA65F8" w14:paraId="57BE67CC" w14:textId="77777777">
            <w:pPr>
              <w:spacing w:after="0" w:line="240" w:lineRule="auto"/>
              <w:rPr>
                <w:rFonts w:cs="Times New Roman"/>
                <w:szCs w:val="24"/>
              </w:rPr>
            </w:pPr>
          </w:p>
          <w:p w:rsidR="00F57855" w:rsidRPr="00623954" w:rsidP="00DA65F8" w14:paraId="3EA0E87B" w14:textId="77777777">
            <w:pPr>
              <w:spacing w:after="0" w:line="240" w:lineRule="auto"/>
              <w:rPr>
                <w:rFonts w:cs="Times New Roman"/>
                <w:szCs w:val="24"/>
              </w:rPr>
            </w:pPr>
            <w:r w:rsidRPr="00623954">
              <w:rPr>
                <w:rFonts w:cs="Times New Roman"/>
                <w:szCs w:val="24"/>
              </w:rPr>
              <w:t>1</w:t>
            </w:r>
          </w:p>
        </w:tc>
        <w:tc>
          <w:tcPr>
            <w:tcW w:w="1800" w:type="dxa"/>
            <w:tcBorders>
              <w:top w:val="single" w:sz="6" w:space="0" w:color="000000"/>
              <w:left w:val="single" w:sz="6" w:space="0" w:color="000000"/>
              <w:bottom w:val="single" w:sz="6" w:space="0" w:color="000000"/>
              <w:right w:val="single" w:sz="6" w:space="0" w:color="FFFFFF"/>
            </w:tcBorders>
          </w:tcPr>
          <w:p w:rsidR="00F57855" w:rsidRPr="00623954" w:rsidP="00DA65F8" w14:paraId="3E039BB0" w14:textId="77777777">
            <w:pPr>
              <w:spacing w:after="0" w:line="240" w:lineRule="auto"/>
              <w:rPr>
                <w:rFonts w:cs="Times New Roman"/>
                <w:szCs w:val="24"/>
                <w:highlight w:val="yellow"/>
              </w:rPr>
            </w:pPr>
          </w:p>
          <w:p w:rsidR="00F57855" w:rsidRPr="00623954" w:rsidP="00DA65F8" w14:paraId="2B788315" w14:textId="77777777">
            <w:pPr>
              <w:spacing w:after="0" w:line="240" w:lineRule="auto"/>
              <w:rPr>
                <w:rFonts w:cs="Times New Roman"/>
                <w:szCs w:val="24"/>
                <w:highlight w:val="yellow"/>
              </w:rPr>
            </w:pPr>
            <w:r w:rsidRPr="00623954">
              <w:rPr>
                <w:rFonts w:cs="Times New Roman"/>
                <w:szCs w:val="24"/>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F57855" w:rsidRPr="00623954" w:rsidP="00DA65F8" w14:paraId="494995CB"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500</w:t>
            </w:r>
          </w:p>
        </w:tc>
      </w:tr>
      <w:tr w14:paraId="71376321" w14:textId="77777777" w:rsidTr="00DA65F8">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6FC09013" w14:textId="77777777">
            <w:pPr>
              <w:spacing w:after="0" w:line="240" w:lineRule="auto"/>
              <w:rPr>
                <w:rFonts w:cs="Times New Roman"/>
                <w:szCs w:val="24"/>
              </w:rPr>
            </w:pPr>
          </w:p>
          <w:p w:rsidR="00F57855" w:rsidRPr="00623954" w:rsidP="00DA65F8" w14:paraId="49641A1E" w14:textId="77777777">
            <w:pPr>
              <w:spacing w:after="0" w:line="240" w:lineRule="auto"/>
              <w:rPr>
                <w:rFonts w:cs="Times New Roman"/>
                <w:szCs w:val="24"/>
              </w:rPr>
            </w:pPr>
            <w:r w:rsidRPr="00623954">
              <w:rPr>
                <w:rFonts w:cs="Times New Roman"/>
                <w:szCs w:val="24"/>
              </w:rPr>
              <w:t>Usability testing</w:t>
            </w:r>
          </w:p>
        </w:tc>
        <w:tc>
          <w:tcPr>
            <w:tcW w:w="1710" w:type="dxa"/>
            <w:tcBorders>
              <w:top w:val="single" w:sz="6" w:space="0" w:color="000000"/>
              <w:left w:val="single" w:sz="6" w:space="0" w:color="000000"/>
              <w:bottom w:val="single" w:sz="6" w:space="0" w:color="000000"/>
              <w:right w:val="single" w:sz="6" w:space="0" w:color="FFFFFF"/>
            </w:tcBorders>
          </w:tcPr>
          <w:p w:rsidR="00F57855" w:rsidRPr="00623954" w:rsidP="00DA65F8" w14:paraId="204ADC6C" w14:textId="77777777">
            <w:pPr>
              <w:spacing w:after="0" w:line="240" w:lineRule="auto"/>
              <w:rPr>
                <w:rFonts w:cs="Times New Roman"/>
                <w:szCs w:val="24"/>
              </w:rPr>
            </w:pPr>
          </w:p>
          <w:p w:rsidR="00F57855" w:rsidRPr="00623954" w:rsidP="00DA65F8" w14:paraId="72F6E7CF" w14:textId="77777777">
            <w:pPr>
              <w:spacing w:after="0" w:line="240" w:lineRule="auto"/>
              <w:rPr>
                <w:rFonts w:cs="Times New Roman"/>
                <w:szCs w:val="24"/>
              </w:rPr>
            </w:pPr>
            <w:r w:rsidRPr="00623954">
              <w:rPr>
                <w:rFonts w:cs="Times New Roman"/>
                <w:szCs w:val="24"/>
              </w:rPr>
              <w:t>1500</w:t>
            </w:r>
          </w:p>
        </w:tc>
        <w:tc>
          <w:tcPr>
            <w:tcW w:w="1710" w:type="dxa"/>
            <w:tcBorders>
              <w:top w:val="single" w:sz="6" w:space="0" w:color="000000"/>
              <w:left w:val="single" w:sz="6" w:space="0" w:color="000000"/>
              <w:bottom w:val="single" w:sz="6" w:space="0" w:color="000000"/>
              <w:right w:val="single" w:sz="6" w:space="0" w:color="FFFFFF"/>
            </w:tcBorders>
          </w:tcPr>
          <w:p w:rsidR="00F57855" w:rsidRPr="00623954" w:rsidP="00DA65F8" w14:paraId="0527E278" w14:textId="77777777">
            <w:pPr>
              <w:spacing w:after="0" w:line="240" w:lineRule="auto"/>
              <w:rPr>
                <w:rFonts w:cs="Times New Roman"/>
                <w:szCs w:val="24"/>
              </w:rPr>
            </w:pPr>
          </w:p>
          <w:p w:rsidR="00F57855" w:rsidRPr="00623954" w:rsidP="00DA65F8" w14:paraId="6627C938" w14:textId="77777777">
            <w:pPr>
              <w:spacing w:after="0" w:line="240" w:lineRule="auto"/>
              <w:rPr>
                <w:rFonts w:cs="Times New Roman"/>
                <w:szCs w:val="24"/>
              </w:rPr>
            </w:pPr>
            <w:r w:rsidRPr="00623954">
              <w:rPr>
                <w:rFonts w:cs="Times New Roman"/>
                <w:szCs w:val="24"/>
              </w:rPr>
              <w:t>1</w:t>
            </w:r>
          </w:p>
        </w:tc>
        <w:tc>
          <w:tcPr>
            <w:tcW w:w="1800" w:type="dxa"/>
            <w:tcBorders>
              <w:top w:val="single" w:sz="6" w:space="0" w:color="000000"/>
              <w:left w:val="single" w:sz="6" w:space="0" w:color="000000"/>
              <w:bottom w:val="single" w:sz="6" w:space="0" w:color="000000"/>
              <w:right w:val="single" w:sz="6" w:space="0" w:color="FFFFFF"/>
            </w:tcBorders>
          </w:tcPr>
          <w:p w:rsidR="00F57855" w:rsidRPr="00623954" w:rsidP="00DA65F8" w14:paraId="1F5F48F4" w14:textId="77777777">
            <w:pPr>
              <w:spacing w:after="0" w:line="240" w:lineRule="auto"/>
              <w:rPr>
                <w:rFonts w:cs="Times New Roman"/>
                <w:szCs w:val="24"/>
              </w:rPr>
            </w:pPr>
          </w:p>
          <w:p w:rsidR="00F57855" w:rsidRPr="00623954" w:rsidP="00DA65F8" w14:paraId="257E89CA" w14:textId="77777777">
            <w:pPr>
              <w:spacing w:after="0" w:line="240" w:lineRule="auto"/>
              <w:rPr>
                <w:rFonts w:cs="Times New Roman"/>
                <w:szCs w:val="24"/>
              </w:rPr>
            </w:pPr>
            <w:r w:rsidRPr="00623954">
              <w:rPr>
                <w:rFonts w:cs="Times New Roman"/>
                <w:szCs w:val="24"/>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F57855" w:rsidRPr="00623954" w:rsidP="00DA65F8" w14:paraId="0278D95C"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750</w:t>
            </w:r>
          </w:p>
        </w:tc>
      </w:tr>
      <w:tr w14:paraId="2C97523E" w14:textId="77777777" w:rsidTr="00DA65F8">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74E2D87B" w14:textId="77777777">
            <w:pPr>
              <w:spacing w:after="0" w:line="240" w:lineRule="auto"/>
              <w:rPr>
                <w:rFonts w:cs="Times New Roman"/>
                <w:szCs w:val="24"/>
              </w:rPr>
            </w:pPr>
          </w:p>
          <w:p w:rsidR="00F57855" w:rsidRPr="00623954" w:rsidP="00DA65F8" w14:paraId="3D97E264" w14:textId="77777777">
            <w:pPr>
              <w:spacing w:after="0" w:line="240" w:lineRule="auto"/>
              <w:rPr>
                <w:rFonts w:cs="Times New Roman"/>
                <w:szCs w:val="24"/>
              </w:rPr>
            </w:pPr>
            <w:r w:rsidRPr="00623954">
              <w:rPr>
                <w:rFonts w:cs="Times New Roman"/>
                <w:szCs w:val="24"/>
              </w:rPr>
              <w:t>Customer comment cards</w:t>
            </w:r>
          </w:p>
        </w:tc>
        <w:tc>
          <w:tcPr>
            <w:tcW w:w="1710" w:type="dxa"/>
            <w:tcBorders>
              <w:top w:val="single" w:sz="6" w:space="0" w:color="000000"/>
              <w:left w:val="single" w:sz="6" w:space="0" w:color="000000"/>
              <w:bottom w:val="single" w:sz="6" w:space="0" w:color="000000"/>
              <w:right w:val="single" w:sz="6" w:space="0" w:color="FFFFFF"/>
            </w:tcBorders>
          </w:tcPr>
          <w:p w:rsidR="00F57855" w:rsidRPr="00623954" w:rsidP="00DA65F8" w14:paraId="06D4EBFA" w14:textId="77777777">
            <w:pPr>
              <w:spacing w:after="0" w:line="240" w:lineRule="auto"/>
              <w:rPr>
                <w:rFonts w:cs="Times New Roman"/>
                <w:szCs w:val="24"/>
              </w:rPr>
            </w:pPr>
          </w:p>
          <w:p w:rsidR="00F57855" w:rsidRPr="00623954" w:rsidP="00DA65F8" w14:paraId="316D7A89" w14:textId="77777777">
            <w:pPr>
              <w:spacing w:after="0" w:line="240" w:lineRule="auto"/>
              <w:rPr>
                <w:rFonts w:cs="Times New Roman"/>
                <w:szCs w:val="24"/>
              </w:rPr>
            </w:pPr>
            <w:r w:rsidRPr="00623954">
              <w:rPr>
                <w:rFonts w:cs="Times New Roman"/>
                <w:szCs w:val="24"/>
              </w:rPr>
              <w:t>1000</w:t>
            </w:r>
          </w:p>
        </w:tc>
        <w:tc>
          <w:tcPr>
            <w:tcW w:w="1710" w:type="dxa"/>
            <w:tcBorders>
              <w:top w:val="single" w:sz="6" w:space="0" w:color="000000"/>
              <w:left w:val="single" w:sz="6" w:space="0" w:color="000000"/>
              <w:bottom w:val="single" w:sz="6" w:space="0" w:color="000000"/>
              <w:right w:val="single" w:sz="6" w:space="0" w:color="FFFFFF"/>
            </w:tcBorders>
          </w:tcPr>
          <w:p w:rsidR="00F57855" w:rsidRPr="00623954" w:rsidP="00DA65F8" w14:paraId="5002B3C2" w14:textId="77777777">
            <w:pPr>
              <w:spacing w:after="0" w:line="240" w:lineRule="auto"/>
              <w:rPr>
                <w:rFonts w:cs="Times New Roman"/>
                <w:szCs w:val="24"/>
              </w:rPr>
            </w:pPr>
          </w:p>
          <w:p w:rsidR="00F57855" w:rsidRPr="00623954" w:rsidP="00DA65F8" w14:paraId="12B6F917" w14:textId="77777777">
            <w:pPr>
              <w:spacing w:after="0" w:line="240" w:lineRule="auto"/>
              <w:rPr>
                <w:rFonts w:cs="Times New Roman"/>
                <w:szCs w:val="24"/>
              </w:rPr>
            </w:pPr>
            <w:r w:rsidRPr="00623954">
              <w:rPr>
                <w:rFonts w:cs="Times New Roman"/>
                <w:szCs w:val="24"/>
              </w:rPr>
              <w:t>1</w:t>
            </w:r>
          </w:p>
        </w:tc>
        <w:tc>
          <w:tcPr>
            <w:tcW w:w="1800" w:type="dxa"/>
            <w:tcBorders>
              <w:top w:val="single" w:sz="6" w:space="0" w:color="000000"/>
              <w:left w:val="single" w:sz="6" w:space="0" w:color="000000"/>
              <w:bottom w:val="single" w:sz="6" w:space="0" w:color="000000"/>
              <w:right w:val="single" w:sz="6" w:space="0" w:color="FFFFFF"/>
            </w:tcBorders>
          </w:tcPr>
          <w:p w:rsidR="00F57855" w:rsidRPr="00623954" w:rsidP="00DA65F8" w14:paraId="107E9225" w14:textId="77777777">
            <w:pPr>
              <w:spacing w:after="0" w:line="240" w:lineRule="auto"/>
              <w:rPr>
                <w:rFonts w:cs="Times New Roman"/>
                <w:szCs w:val="24"/>
              </w:rPr>
            </w:pPr>
          </w:p>
          <w:p w:rsidR="00F57855" w:rsidRPr="00623954" w:rsidP="00DA65F8" w14:paraId="62B93E0D" w14:textId="77777777">
            <w:pPr>
              <w:spacing w:after="0" w:line="240" w:lineRule="auto"/>
              <w:rPr>
                <w:rFonts w:cs="Times New Roman"/>
                <w:szCs w:val="24"/>
              </w:rPr>
            </w:pPr>
            <w:r w:rsidRPr="00623954">
              <w:rPr>
                <w:rFonts w:cs="Times New Roman"/>
                <w:szCs w:val="24"/>
              </w:rPr>
              <w:t>15/60</w:t>
            </w:r>
          </w:p>
        </w:tc>
        <w:tc>
          <w:tcPr>
            <w:tcW w:w="1260" w:type="dxa"/>
            <w:tcBorders>
              <w:top w:val="single" w:sz="6" w:space="0" w:color="000000"/>
              <w:left w:val="single" w:sz="6" w:space="0" w:color="000000"/>
              <w:bottom w:val="single" w:sz="6" w:space="0" w:color="000000"/>
              <w:right w:val="single" w:sz="6" w:space="0" w:color="000000"/>
            </w:tcBorders>
            <w:vAlign w:val="bottom"/>
          </w:tcPr>
          <w:p w:rsidR="00F57855" w:rsidRPr="00623954" w:rsidP="00DA65F8" w14:paraId="778E63CB"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250</w:t>
            </w:r>
          </w:p>
        </w:tc>
      </w:tr>
      <w:tr w14:paraId="4A8040CC" w14:textId="77777777" w:rsidTr="00DA65F8">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443AD2CA" w14:textId="77777777">
            <w:pPr>
              <w:spacing w:after="0" w:line="240" w:lineRule="auto"/>
              <w:rPr>
                <w:rFonts w:cs="Times New Roman"/>
                <w:b/>
                <w:bCs/>
                <w:szCs w:val="24"/>
              </w:rPr>
            </w:pPr>
            <w:r w:rsidRPr="00623954">
              <w:rPr>
                <w:rFonts w:cs="Times New Roman"/>
                <w:b/>
                <w:bCs/>
                <w:szCs w:val="24"/>
              </w:rPr>
              <w:t>TOTAL</w:t>
            </w:r>
          </w:p>
        </w:tc>
        <w:tc>
          <w:tcPr>
            <w:tcW w:w="5220" w:type="dxa"/>
            <w:gridSpan w:val="3"/>
            <w:tcBorders>
              <w:top w:val="single" w:sz="6" w:space="0" w:color="000000"/>
              <w:left w:val="single" w:sz="6" w:space="0" w:color="000000"/>
              <w:bottom w:val="single" w:sz="6" w:space="0" w:color="000000"/>
              <w:right w:val="single" w:sz="6" w:space="0" w:color="FFFFFF"/>
            </w:tcBorders>
          </w:tcPr>
          <w:p w:rsidR="00F57855" w:rsidRPr="00623954" w:rsidP="00DA65F8" w14:paraId="1FB5670D" w14:textId="77777777">
            <w:pPr>
              <w:spacing w:after="0" w:line="240" w:lineRule="auto"/>
              <w:rPr>
                <w:rFonts w:cs="Times New Roman"/>
                <w:szCs w:val="24"/>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F57855" w:rsidRPr="00623954" w:rsidP="00DA65F8" w14:paraId="0D3F2522" w14:textId="77777777">
            <w:pPr>
              <w:tabs>
                <w:tab w:val="left" w:pos="-1080"/>
                <w:tab w:val="left" w:pos="-720"/>
                <w:tab w:val="left" w:pos="0"/>
                <w:tab w:val="left" w:pos="450"/>
                <w:tab w:val="left" w:pos="720"/>
                <w:tab w:val="left" w:pos="2160"/>
              </w:tabs>
              <w:spacing w:after="0" w:line="240" w:lineRule="auto"/>
              <w:jc w:val="center"/>
              <w:rPr>
                <w:rFonts w:cs="Times New Roman"/>
                <w:szCs w:val="24"/>
              </w:rPr>
            </w:pPr>
            <w:r w:rsidRPr="00623954">
              <w:rPr>
                <w:rFonts w:cs="Times New Roman"/>
                <w:szCs w:val="24"/>
              </w:rPr>
              <w:t>5,000</w:t>
            </w:r>
          </w:p>
        </w:tc>
      </w:tr>
    </w:tbl>
    <w:p w:rsidR="00F57855" w:rsidRPr="004F6929" w:rsidP="00F57855" w14:paraId="3542BBD6" w14:textId="77777777">
      <w:pPr>
        <w:tabs>
          <w:tab w:val="left" w:pos="-1080"/>
          <w:tab w:val="left" w:pos="-720"/>
          <w:tab w:val="left" w:pos="0"/>
          <w:tab w:val="left" w:pos="450"/>
          <w:tab w:val="left" w:pos="720"/>
          <w:tab w:val="left" w:pos="2160"/>
        </w:tabs>
        <w:spacing w:after="0" w:line="240" w:lineRule="auto"/>
        <w:rPr>
          <w:rFonts w:asciiTheme="minorHAnsi" w:hAnsiTheme="minorHAnsi"/>
        </w:rPr>
      </w:pPr>
    </w:p>
    <w:p w:rsidR="00623954" w:rsidRPr="00623954" w:rsidP="00623954" w14:paraId="5C2CBF88" w14:textId="77777777">
      <w:pPr>
        <w:spacing w:before="240"/>
        <w:rPr>
          <w:rFonts w:cs="Times New Roman"/>
        </w:rPr>
      </w:pPr>
      <w:r w:rsidRPr="00623954">
        <w:rPr>
          <w:rFonts w:cs="Times New Roman"/>
        </w:rPr>
        <w:t xml:space="preserve">B. Estimated Annualized Burden Costs </w:t>
      </w:r>
    </w:p>
    <w:p w:rsidR="00623954" w:rsidRPr="00623954" w:rsidP="00F57855" w14:paraId="3BBCA67D" w14:textId="77777777">
      <w:pPr>
        <w:tabs>
          <w:tab w:val="left" w:pos="-1080"/>
          <w:tab w:val="left" w:pos="-720"/>
          <w:tab w:val="left" w:pos="0"/>
          <w:tab w:val="left" w:pos="450"/>
          <w:tab w:val="left" w:pos="720"/>
          <w:tab w:val="left" w:pos="2160"/>
        </w:tabs>
        <w:spacing w:after="0" w:line="240" w:lineRule="auto"/>
        <w:rPr>
          <w:rFonts w:cs="Times New Roman"/>
        </w:rPr>
      </w:pPr>
    </w:p>
    <w:p w:rsidR="00F57855" w:rsidRPr="00623954" w:rsidP="00F57855" w14:paraId="4F4BDA55" w14:textId="13C0C9C3">
      <w:pPr>
        <w:tabs>
          <w:tab w:val="left" w:pos="-1080"/>
          <w:tab w:val="left" w:pos="-720"/>
          <w:tab w:val="left" w:pos="0"/>
          <w:tab w:val="left" w:pos="450"/>
          <w:tab w:val="left" w:pos="720"/>
          <w:tab w:val="left" w:pos="2160"/>
        </w:tabs>
        <w:spacing w:after="0" w:line="240" w:lineRule="auto"/>
        <w:rPr>
          <w:rFonts w:cs="Times New Roman"/>
        </w:rPr>
      </w:pPr>
      <w:r w:rsidRPr="00623954">
        <w:rPr>
          <w:rFonts w:cs="Times New Roman"/>
        </w:rPr>
        <w:t xml:space="preserve">Estimated </w:t>
      </w:r>
      <w:r>
        <w:rPr>
          <w:rFonts w:cs="Times New Roman"/>
        </w:rPr>
        <w:t>total</w:t>
      </w:r>
      <w:r w:rsidRPr="00623954">
        <w:rPr>
          <w:rFonts w:cs="Times New Roman"/>
        </w:rPr>
        <w:t xml:space="preserve"> burden costs </w:t>
      </w:r>
      <w:r>
        <w:rPr>
          <w:rFonts w:cs="Times New Roman"/>
        </w:rPr>
        <w:t xml:space="preserve">for the three years </w:t>
      </w:r>
      <w:r w:rsidRPr="00623954">
        <w:rPr>
          <w:rFonts w:cs="Times New Roman"/>
        </w:rPr>
        <w:t>are described in the following table:</w:t>
      </w:r>
    </w:p>
    <w:p w:rsidR="00F57855" w:rsidP="00F57855" w14:paraId="2C03CF50" w14:textId="77777777">
      <w:pPr>
        <w:tabs>
          <w:tab w:val="left" w:pos="-1080"/>
          <w:tab w:val="left" w:pos="-720"/>
          <w:tab w:val="left" w:pos="0"/>
          <w:tab w:val="left" w:pos="450"/>
          <w:tab w:val="left" w:pos="720"/>
          <w:tab w:val="left" w:pos="2160"/>
        </w:tabs>
        <w:spacing w:after="0" w:line="240" w:lineRule="auto"/>
        <w:rPr>
          <w:rFonts w:asciiTheme="minorHAnsi" w:hAnsiTheme="minorHAnsi"/>
        </w:rPr>
      </w:pPr>
    </w:p>
    <w:tbl>
      <w:tblPr>
        <w:tblW w:w="9372" w:type="dxa"/>
        <w:tblLayout w:type="fixed"/>
        <w:tblCellMar>
          <w:left w:w="102" w:type="dxa"/>
          <w:right w:w="102" w:type="dxa"/>
        </w:tblCellMar>
        <w:tblLook w:val="0000"/>
      </w:tblPr>
      <w:tblGrid>
        <w:gridCol w:w="2880"/>
        <w:gridCol w:w="2164"/>
        <w:gridCol w:w="2164"/>
        <w:gridCol w:w="2164"/>
      </w:tblGrid>
      <w:tr w14:paraId="42012FCF" w14:textId="77777777" w:rsidTr="00DA65F8">
        <w:tblPrEx>
          <w:tblW w:w="9372" w:type="dxa"/>
          <w:tblLayout w:type="fixed"/>
          <w:tblCellMar>
            <w:left w:w="102" w:type="dxa"/>
            <w:right w:w="102" w:type="dxa"/>
          </w:tblCellMar>
          <w:tblLook w:val="0000"/>
        </w:tblPrEx>
        <w:trPr>
          <w:trHeight w:val="570"/>
        </w:trPr>
        <w:tc>
          <w:tcPr>
            <w:tcW w:w="2880" w:type="dxa"/>
            <w:tcBorders>
              <w:top w:val="single" w:sz="6" w:space="0" w:color="000000"/>
              <w:left w:val="single" w:sz="6" w:space="0" w:color="000000"/>
              <w:bottom w:val="single" w:sz="6" w:space="0" w:color="FFFFFF"/>
              <w:right w:val="single" w:sz="6" w:space="0" w:color="FFFFFF"/>
            </w:tcBorders>
          </w:tcPr>
          <w:p w:rsidR="00F57855" w:rsidRPr="00623954" w:rsidP="00DA65F8" w14:paraId="29350123" w14:textId="77777777">
            <w:pPr>
              <w:spacing w:after="0" w:line="240" w:lineRule="auto"/>
              <w:rPr>
                <w:rFonts w:cs="Times New Roman"/>
              </w:rPr>
            </w:pPr>
          </w:p>
          <w:p w:rsidR="00F57855" w:rsidRPr="00623954" w:rsidP="00DA65F8" w14:paraId="717963B8" w14:textId="77777777">
            <w:pPr>
              <w:tabs>
                <w:tab w:val="left" w:pos="-1080"/>
                <w:tab w:val="left" w:pos="-720"/>
                <w:tab w:val="left" w:pos="0"/>
                <w:tab w:val="left" w:pos="450"/>
                <w:tab w:val="left" w:pos="720"/>
                <w:tab w:val="left" w:pos="2160"/>
              </w:tabs>
              <w:spacing w:after="0" w:line="240" w:lineRule="auto"/>
              <w:jc w:val="center"/>
              <w:rPr>
                <w:rFonts w:cs="Times New Roman"/>
              </w:rPr>
            </w:pPr>
            <w:r w:rsidRPr="00623954">
              <w:rPr>
                <w:rFonts w:cs="Times New Roman"/>
              </w:rPr>
              <w:t>Type of Collection</w:t>
            </w:r>
          </w:p>
        </w:tc>
        <w:tc>
          <w:tcPr>
            <w:tcW w:w="2164" w:type="dxa"/>
            <w:tcBorders>
              <w:top w:val="single" w:sz="6" w:space="0" w:color="000000"/>
              <w:left w:val="single" w:sz="6" w:space="0" w:color="000000"/>
              <w:bottom w:val="single" w:sz="6" w:space="0" w:color="FFFFFF"/>
              <w:right w:val="single" w:sz="6" w:space="0" w:color="FFFFFF"/>
            </w:tcBorders>
            <w:vAlign w:val="center"/>
          </w:tcPr>
          <w:p w:rsidR="00F57855" w:rsidRPr="00623954" w:rsidP="00DA65F8" w14:paraId="58F37909" w14:textId="77777777">
            <w:pPr>
              <w:tabs>
                <w:tab w:val="left" w:pos="-1080"/>
                <w:tab w:val="left" w:pos="-720"/>
                <w:tab w:val="left" w:pos="0"/>
                <w:tab w:val="left" w:pos="450"/>
                <w:tab w:val="left" w:pos="720"/>
                <w:tab w:val="left" w:pos="2160"/>
              </w:tabs>
              <w:spacing w:after="0" w:line="240" w:lineRule="auto"/>
              <w:jc w:val="center"/>
              <w:rPr>
                <w:rFonts w:cs="Times New Roman"/>
              </w:rPr>
            </w:pPr>
            <w:r w:rsidRPr="00623954">
              <w:rPr>
                <w:rFonts w:cs="Times New Roman"/>
              </w:rPr>
              <w:t>Total Burden Hours</w:t>
            </w:r>
          </w:p>
        </w:tc>
        <w:tc>
          <w:tcPr>
            <w:tcW w:w="2164" w:type="dxa"/>
            <w:tcBorders>
              <w:top w:val="single" w:sz="6" w:space="0" w:color="000000"/>
              <w:left w:val="single" w:sz="6" w:space="0" w:color="000000"/>
              <w:bottom w:val="single" w:sz="6" w:space="0" w:color="FFFFFF"/>
              <w:right w:val="single" w:sz="4" w:space="0" w:color="auto"/>
            </w:tcBorders>
            <w:vAlign w:val="center"/>
          </w:tcPr>
          <w:p w:rsidR="00F57855" w:rsidRPr="00623954" w:rsidP="00DA65F8" w14:paraId="0F773D64" w14:textId="77777777">
            <w:pPr>
              <w:tabs>
                <w:tab w:val="left" w:pos="-1080"/>
                <w:tab w:val="left" w:pos="-720"/>
                <w:tab w:val="left" w:pos="0"/>
                <w:tab w:val="left" w:pos="450"/>
                <w:tab w:val="left" w:pos="720"/>
                <w:tab w:val="left" w:pos="2160"/>
              </w:tabs>
              <w:spacing w:after="0" w:line="240" w:lineRule="auto"/>
              <w:jc w:val="center"/>
              <w:rPr>
                <w:rFonts w:cs="Times New Roman"/>
              </w:rPr>
            </w:pPr>
            <w:r w:rsidRPr="00623954">
              <w:rPr>
                <w:rFonts w:cs="Times New Roman"/>
              </w:rPr>
              <w:t>Hourly Wage Rate</w:t>
            </w:r>
            <w:r>
              <w:rPr>
                <w:rStyle w:val="FootnoteReference"/>
              </w:rPr>
              <w:footnoteReference w:id="3"/>
            </w:r>
          </w:p>
        </w:tc>
        <w:tc>
          <w:tcPr>
            <w:tcW w:w="2164" w:type="dxa"/>
            <w:tcBorders>
              <w:top w:val="single" w:sz="4" w:space="0" w:color="auto"/>
              <w:left w:val="single" w:sz="4" w:space="0" w:color="auto"/>
              <w:bottom w:val="single" w:sz="4" w:space="0" w:color="auto"/>
              <w:right w:val="single" w:sz="4" w:space="0" w:color="auto"/>
            </w:tcBorders>
          </w:tcPr>
          <w:p w:rsidR="00F57855" w:rsidRPr="00623954" w:rsidP="00DA65F8" w14:paraId="6C7AE71D" w14:textId="77777777">
            <w:pPr>
              <w:tabs>
                <w:tab w:val="left" w:pos="-1080"/>
                <w:tab w:val="left" w:pos="-720"/>
                <w:tab w:val="left" w:pos="0"/>
                <w:tab w:val="left" w:pos="450"/>
                <w:tab w:val="left" w:pos="720"/>
                <w:tab w:val="left" w:pos="2160"/>
              </w:tabs>
              <w:spacing w:after="0" w:line="240" w:lineRule="auto"/>
              <w:jc w:val="center"/>
              <w:rPr>
                <w:rFonts w:cs="Times New Roman"/>
              </w:rPr>
            </w:pPr>
            <w:r w:rsidRPr="00623954">
              <w:rPr>
                <w:rFonts w:cs="Times New Roman"/>
              </w:rPr>
              <w:t>Total Respondent Costs</w:t>
            </w:r>
          </w:p>
        </w:tc>
      </w:tr>
      <w:tr w14:paraId="483D2185" w14:textId="77777777" w:rsidTr="00DA65F8">
        <w:tblPrEx>
          <w:tblW w:w="9372"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4293DDCF" w14:textId="77777777">
            <w:pPr>
              <w:spacing w:after="0" w:line="240" w:lineRule="auto"/>
              <w:rPr>
                <w:rFonts w:cs="Times New Roman"/>
              </w:rPr>
            </w:pPr>
          </w:p>
          <w:p w:rsidR="00F57855" w:rsidRPr="00623954" w:rsidP="00DA65F8" w14:paraId="3DB11E39" w14:textId="77777777">
            <w:pPr>
              <w:tabs>
                <w:tab w:val="left" w:pos="-1080"/>
                <w:tab w:val="left" w:pos="-720"/>
                <w:tab w:val="left" w:pos="0"/>
                <w:tab w:val="left" w:pos="450"/>
                <w:tab w:val="left" w:pos="720"/>
                <w:tab w:val="left" w:pos="2160"/>
              </w:tabs>
              <w:spacing w:after="0" w:line="240" w:lineRule="auto"/>
              <w:rPr>
                <w:rFonts w:cs="Times New Roman"/>
              </w:rPr>
            </w:pPr>
            <w:r w:rsidRPr="00623954">
              <w:rPr>
                <w:rFonts w:cs="Times New Roman"/>
              </w:rPr>
              <w:t>Online Surveys</w:t>
            </w:r>
          </w:p>
        </w:tc>
        <w:tc>
          <w:tcPr>
            <w:tcW w:w="2164" w:type="dxa"/>
            <w:tcBorders>
              <w:top w:val="single" w:sz="6" w:space="0" w:color="000000"/>
              <w:left w:val="single" w:sz="6" w:space="0" w:color="000000"/>
              <w:bottom w:val="single" w:sz="6" w:space="0" w:color="000000"/>
              <w:right w:val="single" w:sz="6" w:space="0" w:color="FFFFFF"/>
            </w:tcBorders>
            <w:vAlign w:val="bottom"/>
          </w:tcPr>
          <w:p w:rsidR="00F57855" w:rsidRPr="00623954" w:rsidP="00DA65F8" w14:paraId="4EE14A3F" w14:textId="77777777">
            <w:pPr>
              <w:tabs>
                <w:tab w:val="left" w:pos="-1080"/>
                <w:tab w:val="left" w:pos="-720"/>
                <w:tab w:val="left" w:pos="0"/>
                <w:tab w:val="left" w:pos="450"/>
                <w:tab w:val="left" w:pos="720"/>
                <w:tab w:val="left" w:pos="2160"/>
              </w:tabs>
              <w:spacing w:after="0" w:line="240" w:lineRule="auto"/>
              <w:rPr>
                <w:rFonts w:cs="Times New Roman"/>
              </w:rPr>
            </w:pPr>
            <w:r w:rsidRPr="00623954">
              <w:rPr>
                <w:rFonts w:cs="Times New Roman"/>
              </w:rPr>
              <w:t>1900</w:t>
            </w:r>
          </w:p>
        </w:tc>
        <w:tc>
          <w:tcPr>
            <w:tcW w:w="2164" w:type="dxa"/>
            <w:tcBorders>
              <w:top w:val="single" w:sz="6" w:space="0" w:color="000000"/>
              <w:left w:val="single" w:sz="6" w:space="0" w:color="000000"/>
              <w:bottom w:val="single" w:sz="6" w:space="0" w:color="000000"/>
              <w:right w:val="single" w:sz="4" w:space="0" w:color="auto"/>
            </w:tcBorders>
            <w:vAlign w:val="bottom"/>
          </w:tcPr>
          <w:p w:rsidR="00F57855" w:rsidRPr="00623954" w:rsidP="00DA65F8" w14:paraId="33EA2F0D" w14:textId="77777777">
            <w:pPr>
              <w:spacing w:after="0" w:line="240" w:lineRule="auto"/>
              <w:rPr>
                <w:rFonts w:cs="Times New Roman"/>
              </w:rPr>
            </w:pPr>
          </w:p>
          <w:p w:rsidR="00F57855" w:rsidRPr="00623954" w:rsidP="00DA65F8" w14:paraId="3A1BC93C" w14:textId="77777777">
            <w:pPr>
              <w:tabs>
                <w:tab w:val="left" w:pos="-1080"/>
                <w:tab w:val="left" w:pos="-720"/>
                <w:tab w:val="left" w:pos="0"/>
                <w:tab w:val="left" w:pos="450"/>
                <w:tab w:val="left" w:pos="720"/>
                <w:tab w:val="left" w:pos="2160"/>
              </w:tabs>
              <w:spacing w:after="0" w:line="240" w:lineRule="auto"/>
              <w:rPr>
                <w:rFonts w:cs="Times New Roman"/>
              </w:rPr>
            </w:pPr>
            <w:r w:rsidRPr="00623954">
              <w:rPr>
                <w:rFonts w:cs="Times New Roman"/>
              </w:rPr>
              <w:t>$31.48</w:t>
            </w:r>
          </w:p>
        </w:tc>
        <w:tc>
          <w:tcPr>
            <w:tcW w:w="2164" w:type="dxa"/>
            <w:tcBorders>
              <w:top w:val="single" w:sz="4" w:space="0" w:color="auto"/>
              <w:left w:val="single" w:sz="4" w:space="0" w:color="auto"/>
              <w:bottom w:val="single" w:sz="4" w:space="0" w:color="auto"/>
              <w:right w:val="single" w:sz="4" w:space="0" w:color="auto"/>
            </w:tcBorders>
            <w:vAlign w:val="bottom"/>
          </w:tcPr>
          <w:p w:rsidR="00F57855" w:rsidRPr="00623954" w:rsidP="00DA65F8" w14:paraId="5703CF86" w14:textId="77777777">
            <w:pPr>
              <w:tabs>
                <w:tab w:val="left" w:pos="-1080"/>
                <w:tab w:val="left" w:pos="-720"/>
                <w:tab w:val="left" w:pos="0"/>
                <w:tab w:val="left" w:pos="450"/>
                <w:tab w:val="left" w:pos="720"/>
                <w:tab w:val="left" w:pos="2160"/>
              </w:tabs>
              <w:spacing w:after="0" w:line="240" w:lineRule="auto"/>
              <w:rPr>
                <w:rFonts w:cs="Times New Roman"/>
              </w:rPr>
            </w:pPr>
            <w:r w:rsidRPr="00623954">
              <w:rPr>
                <w:rFonts w:cs="Times New Roman"/>
              </w:rPr>
              <w:t>$59,812</w:t>
            </w:r>
          </w:p>
        </w:tc>
      </w:tr>
      <w:tr w14:paraId="3A6CCFB0" w14:textId="77777777" w:rsidTr="00DA65F8">
        <w:tblPrEx>
          <w:tblW w:w="9372"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6C3BBCFC" w14:textId="77777777">
            <w:pPr>
              <w:spacing w:after="0" w:line="240" w:lineRule="auto"/>
              <w:rPr>
                <w:rFonts w:cs="Times New Roman"/>
                <w:highlight w:val="yellow"/>
              </w:rPr>
            </w:pPr>
          </w:p>
          <w:p w:rsidR="00F57855" w:rsidRPr="00623954" w:rsidP="00DA65F8" w14:paraId="4ACE0F4D" w14:textId="77777777">
            <w:pPr>
              <w:spacing w:after="0" w:line="240" w:lineRule="auto"/>
              <w:rPr>
                <w:rFonts w:cs="Times New Roman"/>
                <w:highlight w:val="yellow"/>
              </w:rPr>
            </w:pPr>
            <w:r w:rsidRPr="00623954">
              <w:rPr>
                <w:rFonts w:cs="Times New Roman"/>
              </w:rPr>
              <w:t>Focus Groups</w:t>
            </w:r>
          </w:p>
        </w:tc>
        <w:tc>
          <w:tcPr>
            <w:tcW w:w="2164" w:type="dxa"/>
            <w:tcBorders>
              <w:top w:val="single" w:sz="6" w:space="0" w:color="000000"/>
              <w:left w:val="single" w:sz="6" w:space="0" w:color="000000"/>
              <w:bottom w:val="single" w:sz="6" w:space="0" w:color="000000"/>
              <w:right w:val="single" w:sz="6" w:space="0" w:color="FFFFFF"/>
            </w:tcBorders>
            <w:vAlign w:val="bottom"/>
          </w:tcPr>
          <w:p w:rsidR="00F57855" w:rsidRPr="00623954" w:rsidP="00DA65F8" w14:paraId="5E2DCB45" w14:textId="77777777">
            <w:pPr>
              <w:spacing w:after="0" w:line="240" w:lineRule="auto"/>
              <w:rPr>
                <w:rFonts w:cs="Times New Roman"/>
              </w:rPr>
            </w:pPr>
            <w:r w:rsidRPr="00623954">
              <w:rPr>
                <w:rFonts w:cs="Times New Roman"/>
              </w:rPr>
              <w:t>1600</w:t>
            </w:r>
          </w:p>
        </w:tc>
        <w:tc>
          <w:tcPr>
            <w:tcW w:w="2164" w:type="dxa"/>
            <w:tcBorders>
              <w:top w:val="single" w:sz="6" w:space="0" w:color="000000"/>
              <w:left w:val="single" w:sz="6" w:space="0" w:color="000000"/>
              <w:bottom w:val="single" w:sz="6" w:space="0" w:color="000000"/>
              <w:right w:val="single" w:sz="4" w:space="0" w:color="auto"/>
            </w:tcBorders>
            <w:vAlign w:val="bottom"/>
          </w:tcPr>
          <w:p w:rsidR="00F57855" w:rsidRPr="00623954" w:rsidP="00DA65F8" w14:paraId="1DDC0F27" w14:textId="77777777">
            <w:pPr>
              <w:spacing w:after="0" w:line="240" w:lineRule="auto"/>
              <w:rPr>
                <w:rFonts w:cs="Times New Roman"/>
              </w:rPr>
            </w:pPr>
          </w:p>
          <w:p w:rsidR="00F57855" w:rsidRPr="00623954" w:rsidP="00DA65F8" w14:paraId="1E3E1307" w14:textId="77777777">
            <w:pPr>
              <w:spacing w:after="0" w:line="240" w:lineRule="auto"/>
              <w:rPr>
                <w:rFonts w:cs="Times New Roman"/>
              </w:rPr>
            </w:pPr>
            <w:r w:rsidRPr="00623954">
              <w:rPr>
                <w:rFonts w:cs="Times New Roman"/>
              </w:rPr>
              <w:t>$31.48</w:t>
            </w:r>
          </w:p>
        </w:tc>
        <w:tc>
          <w:tcPr>
            <w:tcW w:w="2164" w:type="dxa"/>
            <w:tcBorders>
              <w:top w:val="single" w:sz="4" w:space="0" w:color="auto"/>
              <w:left w:val="single" w:sz="4" w:space="0" w:color="auto"/>
              <w:bottom w:val="single" w:sz="4" w:space="0" w:color="auto"/>
              <w:right w:val="single" w:sz="4" w:space="0" w:color="auto"/>
            </w:tcBorders>
            <w:vAlign w:val="bottom"/>
          </w:tcPr>
          <w:p w:rsidR="00F57855" w:rsidRPr="00623954" w:rsidP="00DA65F8" w14:paraId="4E6CAE70" w14:textId="77777777">
            <w:pPr>
              <w:spacing w:after="0" w:line="240" w:lineRule="auto"/>
              <w:rPr>
                <w:rFonts w:cs="Times New Roman"/>
              </w:rPr>
            </w:pPr>
            <w:r w:rsidRPr="00623954">
              <w:rPr>
                <w:rFonts w:cs="Times New Roman"/>
              </w:rPr>
              <w:t>$50,368</w:t>
            </w:r>
          </w:p>
        </w:tc>
      </w:tr>
      <w:tr w14:paraId="0EE30C21" w14:textId="77777777" w:rsidTr="00DA65F8">
        <w:tblPrEx>
          <w:tblW w:w="9372"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7B6853F9" w14:textId="77777777">
            <w:pPr>
              <w:spacing w:after="0" w:line="240" w:lineRule="auto"/>
              <w:rPr>
                <w:rFonts w:cs="Times New Roman"/>
                <w:highlight w:val="yellow"/>
              </w:rPr>
            </w:pPr>
          </w:p>
          <w:p w:rsidR="00F57855" w:rsidRPr="00623954" w:rsidP="00DA65F8" w14:paraId="6C6A6AC5" w14:textId="77777777">
            <w:pPr>
              <w:spacing w:after="0" w:line="240" w:lineRule="auto"/>
              <w:rPr>
                <w:rFonts w:cs="Times New Roman"/>
                <w:highlight w:val="yellow"/>
              </w:rPr>
            </w:pPr>
            <w:r w:rsidRPr="00623954">
              <w:rPr>
                <w:rFonts w:cs="Times New Roman"/>
              </w:rPr>
              <w:t>In-person Surveys</w:t>
            </w:r>
          </w:p>
        </w:tc>
        <w:tc>
          <w:tcPr>
            <w:tcW w:w="2164" w:type="dxa"/>
            <w:tcBorders>
              <w:top w:val="single" w:sz="6" w:space="0" w:color="000000"/>
              <w:left w:val="single" w:sz="6" w:space="0" w:color="000000"/>
              <w:bottom w:val="single" w:sz="6" w:space="0" w:color="000000"/>
              <w:right w:val="single" w:sz="6" w:space="0" w:color="FFFFFF"/>
            </w:tcBorders>
            <w:vAlign w:val="bottom"/>
          </w:tcPr>
          <w:p w:rsidR="00F57855" w:rsidRPr="00623954" w:rsidP="00DA65F8" w14:paraId="498EF663" w14:textId="77777777">
            <w:pPr>
              <w:spacing w:after="0" w:line="240" w:lineRule="auto"/>
              <w:rPr>
                <w:rFonts w:cs="Times New Roman"/>
                <w:highlight w:val="yellow"/>
              </w:rPr>
            </w:pPr>
            <w:r w:rsidRPr="00623954">
              <w:rPr>
                <w:rFonts w:cs="Times New Roman"/>
              </w:rPr>
              <w:t>500</w:t>
            </w:r>
          </w:p>
        </w:tc>
        <w:tc>
          <w:tcPr>
            <w:tcW w:w="2164" w:type="dxa"/>
            <w:tcBorders>
              <w:top w:val="single" w:sz="6" w:space="0" w:color="000000"/>
              <w:left w:val="single" w:sz="6" w:space="0" w:color="000000"/>
              <w:bottom w:val="single" w:sz="6" w:space="0" w:color="000000"/>
              <w:right w:val="single" w:sz="4" w:space="0" w:color="auto"/>
            </w:tcBorders>
            <w:vAlign w:val="bottom"/>
          </w:tcPr>
          <w:p w:rsidR="00F57855" w:rsidRPr="00623954" w:rsidP="00DA65F8" w14:paraId="0C8F0052" w14:textId="77777777">
            <w:pPr>
              <w:spacing w:after="0" w:line="240" w:lineRule="auto"/>
              <w:rPr>
                <w:rFonts w:cs="Times New Roman"/>
              </w:rPr>
            </w:pPr>
          </w:p>
          <w:p w:rsidR="00F57855" w:rsidRPr="00623954" w:rsidP="00DA65F8" w14:paraId="650C00C9" w14:textId="77777777">
            <w:pPr>
              <w:spacing w:after="0" w:line="240" w:lineRule="auto"/>
              <w:rPr>
                <w:rFonts w:cs="Times New Roman"/>
              </w:rPr>
            </w:pPr>
            <w:r w:rsidRPr="00623954">
              <w:rPr>
                <w:rFonts w:cs="Times New Roman"/>
              </w:rPr>
              <w:t>$31.48</w:t>
            </w:r>
          </w:p>
        </w:tc>
        <w:tc>
          <w:tcPr>
            <w:tcW w:w="2164" w:type="dxa"/>
            <w:tcBorders>
              <w:top w:val="single" w:sz="4" w:space="0" w:color="auto"/>
              <w:left w:val="single" w:sz="4" w:space="0" w:color="auto"/>
              <w:bottom w:val="single" w:sz="4" w:space="0" w:color="auto"/>
              <w:right w:val="single" w:sz="4" w:space="0" w:color="auto"/>
            </w:tcBorders>
            <w:vAlign w:val="bottom"/>
          </w:tcPr>
          <w:p w:rsidR="00F57855" w:rsidRPr="00623954" w:rsidP="00DA65F8" w14:paraId="1887054D" w14:textId="77777777">
            <w:pPr>
              <w:spacing w:after="0" w:line="240" w:lineRule="auto"/>
              <w:rPr>
                <w:rFonts w:cs="Times New Roman"/>
              </w:rPr>
            </w:pPr>
            <w:r w:rsidRPr="00623954">
              <w:rPr>
                <w:rFonts w:cs="Times New Roman"/>
              </w:rPr>
              <w:t>$15,740</w:t>
            </w:r>
          </w:p>
        </w:tc>
      </w:tr>
      <w:tr w14:paraId="319FE939" w14:textId="77777777" w:rsidTr="00DA65F8">
        <w:tblPrEx>
          <w:tblW w:w="9372"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37550776" w14:textId="77777777">
            <w:pPr>
              <w:spacing w:after="0" w:line="240" w:lineRule="auto"/>
              <w:rPr>
                <w:rFonts w:cs="Times New Roman"/>
              </w:rPr>
            </w:pPr>
          </w:p>
          <w:p w:rsidR="00F57855" w:rsidRPr="00623954" w:rsidP="00DA65F8" w14:paraId="540BF98E" w14:textId="77777777">
            <w:pPr>
              <w:spacing w:after="0" w:line="240" w:lineRule="auto"/>
              <w:rPr>
                <w:rFonts w:cs="Times New Roman"/>
              </w:rPr>
            </w:pPr>
            <w:r w:rsidRPr="00623954">
              <w:rPr>
                <w:rFonts w:cs="Times New Roman"/>
              </w:rPr>
              <w:t>Usability testing</w:t>
            </w:r>
          </w:p>
        </w:tc>
        <w:tc>
          <w:tcPr>
            <w:tcW w:w="2164" w:type="dxa"/>
            <w:tcBorders>
              <w:top w:val="single" w:sz="6" w:space="0" w:color="000000"/>
              <w:left w:val="single" w:sz="6" w:space="0" w:color="000000"/>
              <w:bottom w:val="single" w:sz="6" w:space="0" w:color="000000"/>
              <w:right w:val="single" w:sz="6" w:space="0" w:color="FFFFFF"/>
            </w:tcBorders>
            <w:vAlign w:val="bottom"/>
          </w:tcPr>
          <w:p w:rsidR="00F57855" w:rsidRPr="00623954" w:rsidP="00DA65F8" w14:paraId="6A71A58F" w14:textId="77777777">
            <w:pPr>
              <w:spacing w:after="0" w:line="240" w:lineRule="auto"/>
              <w:rPr>
                <w:rFonts w:cs="Times New Roman"/>
              </w:rPr>
            </w:pPr>
            <w:r w:rsidRPr="00623954">
              <w:rPr>
                <w:rFonts w:cs="Times New Roman"/>
              </w:rPr>
              <w:t>750</w:t>
            </w:r>
          </w:p>
        </w:tc>
        <w:tc>
          <w:tcPr>
            <w:tcW w:w="2164" w:type="dxa"/>
            <w:tcBorders>
              <w:top w:val="single" w:sz="6" w:space="0" w:color="000000"/>
              <w:left w:val="single" w:sz="6" w:space="0" w:color="000000"/>
              <w:bottom w:val="single" w:sz="6" w:space="0" w:color="000000"/>
              <w:right w:val="single" w:sz="4" w:space="0" w:color="auto"/>
            </w:tcBorders>
            <w:vAlign w:val="bottom"/>
          </w:tcPr>
          <w:p w:rsidR="00F57855" w:rsidRPr="00623954" w:rsidP="00DA65F8" w14:paraId="24E94B26" w14:textId="77777777">
            <w:pPr>
              <w:spacing w:after="0" w:line="240" w:lineRule="auto"/>
              <w:rPr>
                <w:rFonts w:cs="Times New Roman"/>
              </w:rPr>
            </w:pPr>
          </w:p>
          <w:p w:rsidR="00F57855" w:rsidRPr="00623954" w:rsidP="00DA65F8" w14:paraId="24F4AF5F" w14:textId="77777777">
            <w:pPr>
              <w:spacing w:after="0" w:line="240" w:lineRule="auto"/>
              <w:rPr>
                <w:rFonts w:cs="Times New Roman"/>
              </w:rPr>
            </w:pPr>
            <w:r w:rsidRPr="00623954">
              <w:rPr>
                <w:rFonts w:cs="Times New Roman"/>
              </w:rPr>
              <w:t>$31.48</w:t>
            </w:r>
          </w:p>
        </w:tc>
        <w:tc>
          <w:tcPr>
            <w:tcW w:w="2164" w:type="dxa"/>
            <w:tcBorders>
              <w:top w:val="single" w:sz="4" w:space="0" w:color="auto"/>
              <w:left w:val="single" w:sz="4" w:space="0" w:color="auto"/>
              <w:bottom w:val="single" w:sz="4" w:space="0" w:color="auto"/>
              <w:right w:val="single" w:sz="4" w:space="0" w:color="auto"/>
            </w:tcBorders>
            <w:vAlign w:val="bottom"/>
          </w:tcPr>
          <w:p w:rsidR="00F57855" w:rsidRPr="00623954" w:rsidP="00DA65F8" w14:paraId="59F89CB0" w14:textId="77777777">
            <w:pPr>
              <w:spacing w:after="0" w:line="240" w:lineRule="auto"/>
              <w:rPr>
                <w:rFonts w:cs="Times New Roman"/>
              </w:rPr>
            </w:pPr>
            <w:r w:rsidRPr="00623954">
              <w:rPr>
                <w:rFonts w:cs="Times New Roman"/>
              </w:rPr>
              <w:t>$23,610</w:t>
            </w:r>
          </w:p>
        </w:tc>
      </w:tr>
      <w:tr w14:paraId="09E5E26B" w14:textId="77777777" w:rsidTr="00DA65F8">
        <w:tblPrEx>
          <w:tblW w:w="9372"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5EC30F04" w14:textId="77777777">
            <w:pPr>
              <w:spacing w:after="0" w:line="240" w:lineRule="auto"/>
              <w:rPr>
                <w:rFonts w:cs="Times New Roman"/>
              </w:rPr>
            </w:pPr>
          </w:p>
          <w:p w:rsidR="00F57855" w:rsidRPr="00623954" w:rsidP="00DA65F8" w14:paraId="7C23E816" w14:textId="77777777">
            <w:pPr>
              <w:spacing w:after="0" w:line="240" w:lineRule="auto"/>
              <w:rPr>
                <w:rFonts w:cs="Times New Roman"/>
              </w:rPr>
            </w:pPr>
            <w:r w:rsidRPr="00623954">
              <w:rPr>
                <w:rFonts w:cs="Times New Roman"/>
              </w:rPr>
              <w:t>Customer comment cards</w:t>
            </w:r>
          </w:p>
        </w:tc>
        <w:tc>
          <w:tcPr>
            <w:tcW w:w="2164" w:type="dxa"/>
            <w:tcBorders>
              <w:top w:val="single" w:sz="6" w:space="0" w:color="000000"/>
              <w:left w:val="single" w:sz="6" w:space="0" w:color="000000"/>
              <w:bottom w:val="single" w:sz="6" w:space="0" w:color="000000"/>
              <w:right w:val="single" w:sz="6" w:space="0" w:color="FFFFFF"/>
            </w:tcBorders>
            <w:vAlign w:val="bottom"/>
          </w:tcPr>
          <w:p w:rsidR="00F57855" w:rsidRPr="00623954" w:rsidP="00DA65F8" w14:paraId="088B99D1" w14:textId="77777777">
            <w:pPr>
              <w:spacing w:after="0" w:line="240" w:lineRule="auto"/>
              <w:rPr>
                <w:rFonts w:cs="Times New Roman"/>
              </w:rPr>
            </w:pPr>
            <w:r w:rsidRPr="00623954">
              <w:rPr>
                <w:rFonts w:cs="Times New Roman"/>
              </w:rPr>
              <w:t>250</w:t>
            </w:r>
          </w:p>
        </w:tc>
        <w:tc>
          <w:tcPr>
            <w:tcW w:w="2164" w:type="dxa"/>
            <w:tcBorders>
              <w:top w:val="single" w:sz="6" w:space="0" w:color="000000"/>
              <w:left w:val="single" w:sz="6" w:space="0" w:color="000000"/>
              <w:bottom w:val="single" w:sz="6" w:space="0" w:color="000000"/>
              <w:right w:val="single" w:sz="4" w:space="0" w:color="auto"/>
            </w:tcBorders>
            <w:vAlign w:val="bottom"/>
          </w:tcPr>
          <w:p w:rsidR="00F57855" w:rsidRPr="00623954" w:rsidP="00DA65F8" w14:paraId="6E98AA49" w14:textId="77777777">
            <w:pPr>
              <w:spacing w:after="0" w:line="240" w:lineRule="auto"/>
              <w:rPr>
                <w:rFonts w:cs="Times New Roman"/>
              </w:rPr>
            </w:pPr>
          </w:p>
          <w:p w:rsidR="00F57855" w:rsidRPr="00623954" w:rsidP="00DA65F8" w14:paraId="71C997AC" w14:textId="77777777">
            <w:pPr>
              <w:spacing w:after="0" w:line="240" w:lineRule="auto"/>
              <w:rPr>
                <w:rFonts w:cs="Times New Roman"/>
              </w:rPr>
            </w:pPr>
            <w:r w:rsidRPr="00623954">
              <w:rPr>
                <w:rFonts w:cs="Times New Roman"/>
              </w:rPr>
              <w:t>$31.48</w:t>
            </w:r>
          </w:p>
        </w:tc>
        <w:tc>
          <w:tcPr>
            <w:tcW w:w="2164" w:type="dxa"/>
            <w:tcBorders>
              <w:top w:val="single" w:sz="4" w:space="0" w:color="auto"/>
              <w:left w:val="single" w:sz="4" w:space="0" w:color="auto"/>
              <w:bottom w:val="single" w:sz="4" w:space="0" w:color="auto"/>
              <w:right w:val="single" w:sz="4" w:space="0" w:color="auto"/>
            </w:tcBorders>
            <w:vAlign w:val="bottom"/>
          </w:tcPr>
          <w:p w:rsidR="00F57855" w:rsidRPr="00623954" w:rsidP="00DA65F8" w14:paraId="5DCC83B7" w14:textId="77777777">
            <w:pPr>
              <w:spacing w:after="0" w:line="240" w:lineRule="auto"/>
              <w:rPr>
                <w:rFonts w:cs="Times New Roman"/>
              </w:rPr>
            </w:pPr>
            <w:r w:rsidRPr="00623954">
              <w:rPr>
                <w:rFonts w:cs="Times New Roman"/>
              </w:rPr>
              <w:t>$7,870</w:t>
            </w:r>
          </w:p>
        </w:tc>
      </w:tr>
      <w:tr w14:paraId="770331BB" w14:textId="77777777" w:rsidTr="00DA65F8">
        <w:tblPrEx>
          <w:tblW w:w="9372"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F57855" w:rsidRPr="00623954" w:rsidP="00DA65F8" w14:paraId="532BDBAA" w14:textId="77777777">
            <w:pPr>
              <w:spacing w:after="0" w:line="240" w:lineRule="auto"/>
              <w:rPr>
                <w:rFonts w:cs="Times New Roman"/>
              </w:rPr>
            </w:pPr>
            <w:r w:rsidRPr="00623954">
              <w:rPr>
                <w:rFonts w:cs="Times New Roman"/>
              </w:rPr>
              <w:t>TOTAL</w:t>
            </w:r>
          </w:p>
        </w:tc>
        <w:tc>
          <w:tcPr>
            <w:tcW w:w="4328" w:type="dxa"/>
            <w:gridSpan w:val="2"/>
            <w:tcBorders>
              <w:top w:val="single" w:sz="6" w:space="0" w:color="000000"/>
              <w:left w:val="single" w:sz="6" w:space="0" w:color="000000"/>
              <w:bottom w:val="single" w:sz="6" w:space="0" w:color="000000"/>
              <w:right w:val="single" w:sz="4" w:space="0" w:color="auto"/>
            </w:tcBorders>
            <w:vAlign w:val="bottom"/>
          </w:tcPr>
          <w:p w:rsidR="00F57855" w:rsidRPr="00623954" w:rsidP="00DA65F8" w14:paraId="5496FCD2" w14:textId="77777777">
            <w:pPr>
              <w:spacing w:after="0" w:line="240" w:lineRule="auto"/>
              <w:rPr>
                <w:rFonts w:cs="Times New Roman"/>
              </w:rPr>
            </w:pPr>
          </w:p>
        </w:tc>
        <w:tc>
          <w:tcPr>
            <w:tcW w:w="2164" w:type="dxa"/>
            <w:tcBorders>
              <w:top w:val="single" w:sz="4" w:space="0" w:color="auto"/>
              <w:left w:val="single" w:sz="4" w:space="0" w:color="auto"/>
              <w:bottom w:val="single" w:sz="4" w:space="0" w:color="auto"/>
              <w:right w:val="single" w:sz="4" w:space="0" w:color="auto"/>
            </w:tcBorders>
            <w:vAlign w:val="bottom"/>
          </w:tcPr>
          <w:p w:rsidR="00F57855" w:rsidRPr="00623954" w:rsidP="00DA65F8" w14:paraId="3F6DEBFD" w14:textId="77777777">
            <w:pPr>
              <w:spacing w:after="0" w:line="240" w:lineRule="auto"/>
              <w:rPr>
                <w:rFonts w:cs="Times New Roman"/>
              </w:rPr>
            </w:pPr>
            <w:r w:rsidRPr="00623954">
              <w:rPr>
                <w:rFonts w:cs="Times New Roman"/>
              </w:rPr>
              <w:t>$157,400</w:t>
            </w:r>
          </w:p>
        </w:tc>
      </w:tr>
    </w:tbl>
    <w:p w:rsidR="00F428C1" w:rsidRPr="00F428C1" w:rsidP="00F428C1" w14:paraId="5097D78E" w14:textId="77777777">
      <w:pPr>
        <w:pStyle w:val="Heading1"/>
        <w:spacing w:before="240"/>
      </w:pPr>
      <w:bookmarkStart w:id="14" w:name="_Toc473880029"/>
      <w:r>
        <w:t xml:space="preserve">Estimates of Other Total Annual Cost </w:t>
      </w:r>
      <w:r>
        <w:t>Burden to Respondents or Record Keepers</w:t>
      </w:r>
      <w:bookmarkEnd w:id="14"/>
    </w:p>
    <w:p w:rsidR="00CD43C2" w:rsidP="00F428C1" w14:paraId="6C354FE7" w14:textId="77777777">
      <w:pPr>
        <w:spacing w:after="0" w:line="240" w:lineRule="auto"/>
      </w:pPr>
      <w:r>
        <w:t>No other costs are anticipated.</w:t>
      </w:r>
    </w:p>
    <w:p w:rsidR="00F428C1" w:rsidP="00F428C1" w14:paraId="544751A5" w14:textId="77777777">
      <w:pPr>
        <w:spacing w:after="0" w:line="240" w:lineRule="auto"/>
      </w:pPr>
    </w:p>
    <w:p w:rsidR="004A13E8" w:rsidP="004A13E8" w14:paraId="4F14032D" w14:textId="77777777">
      <w:pPr>
        <w:pStyle w:val="Heading1"/>
      </w:pPr>
      <w:bookmarkStart w:id="15" w:name="_Toc473880030"/>
      <w:r>
        <w:t>Annualized Cost to the Government</w:t>
      </w:r>
      <w:bookmarkEnd w:id="15"/>
    </w:p>
    <w:p w:rsidR="001B538A" w:rsidP="001B538A" w14:paraId="4DCAC630" w14:textId="77777777">
      <w:pPr>
        <w:pStyle w:val="ListParagraph"/>
        <w:spacing w:after="0" w:line="240" w:lineRule="auto"/>
        <w:ind w:left="0"/>
      </w:pPr>
      <w:r>
        <w:t>The anticipated cost to the Federal Government is approximately $50,000.00 annually.  These costs are comprised of</w:t>
      </w:r>
      <w:r w:rsidRPr="00F129AD">
        <w:t xml:space="preserve"> </w:t>
      </w:r>
      <w:r w:rsidRPr="00F377D2">
        <w:t xml:space="preserve">an estimate of </w:t>
      </w:r>
      <w:r w:rsidRPr="00F377D2">
        <w:t>applicable costs, such as operational expenses (e.g., equipment, overhead, printing, postage</w:t>
      </w:r>
      <w:r>
        <w:t>,</w:t>
      </w:r>
      <w:r w:rsidRPr="00F377D2">
        <w:t xml:space="preserve"> and support staff), contractor payments and any other expense that is necessary to collect the information approved under this generic clearance.</w:t>
      </w:r>
    </w:p>
    <w:p w:rsidR="00D74092" w:rsidRPr="00D74092" w:rsidP="001B538A" w14:paraId="77220E67" w14:textId="77777777">
      <w:pPr>
        <w:pStyle w:val="ListParagraph"/>
        <w:spacing w:after="0" w:line="240" w:lineRule="auto"/>
        <w:ind w:left="0"/>
      </w:pPr>
      <w:r>
        <w:t xml:space="preserve">   </w:t>
      </w:r>
    </w:p>
    <w:p w:rsidR="004A13E8" w:rsidP="0025156B" w14:paraId="708F85FE" w14:textId="77777777">
      <w:pPr>
        <w:pStyle w:val="Heading1"/>
        <w:spacing w:before="240"/>
      </w:pPr>
      <w:bookmarkStart w:id="16" w:name="_Toc473880031"/>
      <w:r>
        <w:t>Explanation for Program Changes or Adjustments</w:t>
      </w:r>
      <w:bookmarkEnd w:id="16"/>
    </w:p>
    <w:p w:rsidR="00BE7622" w:rsidP="00BE7622" w14:paraId="4D1455C9" w14:textId="77777777">
      <w:pPr>
        <w:spacing w:after="0" w:line="240" w:lineRule="auto"/>
      </w:pPr>
      <w:bookmarkStart w:id="17" w:name="_Toc473880032"/>
      <w:r>
        <w:t>This Revision includes a request to increase the burden allotment from the previously approved 3,850 hours to 5,000 hours. CDC’s use of this generic has continued to increase since 2015. Increasing the burden would help the Agency continue to garner customer and stakeholder feedback to improve service delivery.</w:t>
      </w:r>
    </w:p>
    <w:p w:rsidR="00BE7622" w:rsidP="00BE7622" w14:paraId="202BEB3F" w14:textId="77777777">
      <w:pPr>
        <w:spacing w:after="0" w:line="240" w:lineRule="auto"/>
      </w:pPr>
    </w:p>
    <w:p w:rsidR="004A13E8" w:rsidP="004A13E8" w14:paraId="4FEC8097" w14:textId="77777777">
      <w:pPr>
        <w:pStyle w:val="Heading1"/>
      </w:pPr>
      <w:r>
        <w:t>Plans for Tabulation and Publication and Project Time Schedule</w:t>
      </w:r>
      <w:bookmarkEnd w:id="17"/>
    </w:p>
    <w:p w:rsidR="007D0F97" w:rsidP="007D0F97" w14:paraId="3F0DFD3E" w14:textId="77777777">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D0F97" w:rsidP="007D0F97" w14:paraId="16B90BF1" w14:textId="77777777">
      <w:pPr>
        <w:spacing w:after="0" w:line="240" w:lineRule="auto"/>
      </w:pPr>
    </w:p>
    <w:p w:rsidR="007D0F97" w:rsidP="007D0F97" w14:paraId="540BDCEA" w14:textId="7777777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w:t>
      </w:r>
      <w:r w:rsidRPr="00BA1806">
        <w:t xml:space="preserve">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4A13E8" w:rsidP="0025156B" w14:paraId="6626D7F8" w14:textId="77777777">
      <w:pPr>
        <w:pStyle w:val="Heading1"/>
        <w:spacing w:before="240"/>
      </w:pPr>
      <w:bookmarkStart w:id="18" w:name="_Toc473880033"/>
      <w:r>
        <w:t>Reason(s) Display of OMB Expiration Date is Inappropriate</w:t>
      </w:r>
      <w:bookmarkEnd w:id="18"/>
    </w:p>
    <w:p w:rsidR="004A13E8" w:rsidRPr="004A13E8" w:rsidP="004A13E8" w14:paraId="7B383290" w14:textId="77777777">
      <w:r>
        <w:t>The display of the OMB Expiration date is not inappropriate.</w:t>
      </w:r>
    </w:p>
    <w:p w:rsidR="004A13E8" w:rsidP="004A13E8" w14:paraId="35F8A69D" w14:textId="77777777">
      <w:pPr>
        <w:pStyle w:val="Heading1"/>
      </w:pPr>
      <w:bookmarkStart w:id="19" w:name="_Toc473880034"/>
      <w:r>
        <w:t>Exceptions to Certification for Paperwork Reduction Act Submissions</w:t>
      </w:r>
      <w:bookmarkEnd w:id="19"/>
    </w:p>
    <w:p w:rsidR="004A13E8" w:rsidRPr="004A13E8" w:rsidP="004A13E8" w14:paraId="1F1CA8E2" w14:textId="77777777">
      <w:r>
        <w:t>There are no exceptions to the certification.</w:t>
      </w:r>
    </w:p>
    <w:p w:rsidR="004A13E8" w:rsidRPr="004A13E8" w:rsidP="004A13E8" w14:paraId="2987A365" w14:textId="77777777">
      <w:pPr>
        <w:pStyle w:val="Heading1"/>
        <w:numPr>
          <w:ilvl w:val="0"/>
          <w:numId w:val="0"/>
        </w:numPr>
      </w:pPr>
      <w:bookmarkStart w:id="20" w:name="_Toc473880035"/>
      <w:r>
        <w:t>Attachments</w:t>
      </w:r>
      <w:bookmarkEnd w:id="20"/>
    </w:p>
    <w:p w:rsidR="006B304A" w:rsidRPr="00CE0C88" w:rsidP="006B304A" w14:paraId="5394237F" w14:textId="77777777">
      <w:pPr>
        <w:pStyle w:val="ListParagraph"/>
        <w:numPr>
          <w:ilvl w:val="0"/>
          <w:numId w:val="8"/>
        </w:numPr>
        <w:spacing w:after="0" w:line="240" w:lineRule="auto"/>
      </w:pPr>
      <w:r w:rsidRPr="00CE0C88">
        <w:t>Authorizing legislation</w:t>
      </w:r>
    </w:p>
    <w:p w:rsidR="006B304A" w:rsidP="006B304A" w14:paraId="752295C0" w14:textId="77777777">
      <w:pPr>
        <w:pStyle w:val="ListParagraph"/>
        <w:numPr>
          <w:ilvl w:val="0"/>
          <w:numId w:val="8"/>
        </w:numPr>
        <w:spacing w:after="0" w:line="240" w:lineRule="auto"/>
      </w:pPr>
      <w:r w:rsidRPr="00CE0C88">
        <w:t>60-day notice</w:t>
      </w:r>
    </w:p>
    <w:p w:rsidR="006B304A" w:rsidP="006B304A" w14:paraId="4AD7E60E" w14:textId="77777777">
      <w:pPr>
        <w:pStyle w:val="ListParagraph"/>
        <w:numPr>
          <w:ilvl w:val="0"/>
          <w:numId w:val="8"/>
        </w:numPr>
        <w:spacing w:after="0" w:line="240" w:lineRule="auto"/>
      </w:pPr>
      <w:r>
        <w:t>Gen-IC request form</w:t>
      </w:r>
    </w:p>
    <w:p w:rsidR="006B304A" w:rsidP="006B304A" w14:paraId="57A171F0" w14:textId="77777777">
      <w:pPr>
        <w:pStyle w:val="ListParagraph"/>
        <w:numPr>
          <w:ilvl w:val="0"/>
          <w:numId w:val="8"/>
        </w:numPr>
        <w:spacing w:after="0" w:line="240" w:lineRule="auto"/>
      </w:pPr>
      <w:r>
        <w:t>Public Comments and Response</w:t>
      </w:r>
    </w:p>
    <w:p w:rsidR="006B304A" w:rsidRPr="00CE0C88" w:rsidP="006B304A" w14:paraId="679CEFA2" w14:textId="77777777">
      <w:pPr>
        <w:pStyle w:val="ListParagraph"/>
        <w:numPr>
          <w:ilvl w:val="0"/>
          <w:numId w:val="8"/>
        </w:numPr>
        <w:spacing w:after="0" w:line="240" w:lineRule="auto"/>
      </w:pPr>
      <w:r>
        <w:t xml:space="preserve">Human Subjects Determination </w:t>
      </w:r>
    </w:p>
    <w:p w:rsidR="00AD2F36" w:rsidRPr="004A13E8" w:rsidP="006B304A" w14:paraId="0AA205D4" w14:textId="77777777">
      <w:pPr>
        <w:pStyle w:val="ListParagraph"/>
        <w:ind w:left="360"/>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2F437DB7"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4B3A9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799" w:rsidP="008B5D54" w14:paraId="56C01720" w14:textId="77777777">
      <w:pPr>
        <w:spacing w:after="0" w:line="240" w:lineRule="auto"/>
      </w:pPr>
      <w:r>
        <w:separator/>
      </w:r>
    </w:p>
  </w:footnote>
  <w:footnote w:type="continuationSeparator" w:id="1">
    <w:p w:rsidR="00B75799" w:rsidP="008B5D54" w14:paraId="2839CB3A" w14:textId="77777777">
      <w:pPr>
        <w:spacing w:after="0" w:line="240" w:lineRule="auto"/>
      </w:pPr>
      <w:r>
        <w:continuationSeparator/>
      </w:r>
    </w:p>
  </w:footnote>
  <w:footnote w:id="2">
    <w:p w:rsidR="003A31C5" w:rsidRPr="00BD5ED0" w:rsidP="003A31C5" w14:paraId="1D45C373" w14:textId="77777777">
      <w:pPr>
        <w:pStyle w:val="FootnoteText"/>
        <w:rPr>
          <w:rFonts w:ascii="Times New Roman" w:hAnsi="Times New Roman"/>
        </w:rPr>
      </w:pPr>
      <w:r w:rsidRPr="00BD5ED0">
        <w:rPr>
          <w:rStyle w:val="FootnoteReference"/>
          <w:rFonts w:ascii="Times New Roman" w:hAnsi="Times New Roman"/>
        </w:rPr>
        <w:footnoteRef/>
      </w:r>
      <w:r w:rsidRPr="00BD5ED0">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F57855" w:rsidP="00F57855" w14:paraId="1867C668" w14:textId="77777777">
      <w:pPr>
        <w:pStyle w:val="FootnoteText"/>
      </w:pPr>
      <w:r>
        <w:rPr>
          <w:rStyle w:val="FootnoteReference"/>
        </w:rPr>
        <w:footnoteRef/>
      </w:r>
      <w:r>
        <w:t xml:space="preserve"> Hourly wage rates were based on the BLS May, 2023 wage estimates for all occupations available here: </w:t>
      </w:r>
      <w:hyperlink r:id="rId1" w:history="1">
        <w:r w:rsidRPr="00D7593C">
          <w:rPr>
            <w:rStyle w:val="Hyperlink"/>
          </w:rPr>
          <w:t>https://www.bls.gov/oes/current/oes_nat.htm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5F20CC"/>
    <w:multiLevelType w:val="hybridMultilevel"/>
    <w:tmpl w:val="50986C8C"/>
    <w:lvl w:ilvl="0">
      <w:start w:val="1"/>
      <w:numFmt w:val="upperLetter"/>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7"/>
  </w:num>
  <w:num w:numId="2" w16cid:durableId="1268074816">
    <w:abstractNumId w:val="4"/>
  </w:num>
  <w:num w:numId="3" w16cid:durableId="433329173">
    <w:abstractNumId w:val="6"/>
  </w:num>
  <w:num w:numId="4" w16cid:durableId="922375725">
    <w:abstractNumId w:val="5"/>
  </w:num>
  <w:num w:numId="5" w16cid:durableId="1284264692">
    <w:abstractNumId w:val="0"/>
  </w:num>
  <w:num w:numId="6" w16cid:durableId="862403910">
    <w:abstractNumId w:val="1"/>
  </w:num>
  <w:num w:numId="7" w16cid:durableId="1415853632">
    <w:abstractNumId w:val="3"/>
  </w:num>
  <w:num w:numId="8" w16cid:durableId="438991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5699B"/>
    <w:rsid w:val="00077A77"/>
    <w:rsid w:val="000C1760"/>
    <w:rsid w:val="000E52AB"/>
    <w:rsid w:val="001051A2"/>
    <w:rsid w:val="001158E9"/>
    <w:rsid w:val="00124128"/>
    <w:rsid w:val="00126754"/>
    <w:rsid w:val="001523DF"/>
    <w:rsid w:val="00181DB5"/>
    <w:rsid w:val="001A58BE"/>
    <w:rsid w:val="001B538A"/>
    <w:rsid w:val="001E08A8"/>
    <w:rsid w:val="00217B90"/>
    <w:rsid w:val="00237BB7"/>
    <w:rsid w:val="002441B9"/>
    <w:rsid w:val="0025156B"/>
    <w:rsid w:val="00252E6F"/>
    <w:rsid w:val="00257E3C"/>
    <w:rsid w:val="002A15BE"/>
    <w:rsid w:val="002A35E6"/>
    <w:rsid w:val="002A7CC4"/>
    <w:rsid w:val="002F1B39"/>
    <w:rsid w:val="00304BBB"/>
    <w:rsid w:val="003419B3"/>
    <w:rsid w:val="00375442"/>
    <w:rsid w:val="00375B7B"/>
    <w:rsid w:val="00377B51"/>
    <w:rsid w:val="003A26EC"/>
    <w:rsid w:val="003A31C5"/>
    <w:rsid w:val="003A7A16"/>
    <w:rsid w:val="003B2FB4"/>
    <w:rsid w:val="003F60CF"/>
    <w:rsid w:val="0043440D"/>
    <w:rsid w:val="00446A7C"/>
    <w:rsid w:val="00457614"/>
    <w:rsid w:val="004841D1"/>
    <w:rsid w:val="00490660"/>
    <w:rsid w:val="004A0034"/>
    <w:rsid w:val="004A13E8"/>
    <w:rsid w:val="004A6DE8"/>
    <w:rsid w:val="004C24FD"/>
    <w:rsid w:val="004D0CD2"/>
    <w:rsid w:val="004F6929"/>
    <w:rsid w:val="00512E75"/>
    <w:rsid w:val="005803D2"/>
    <w:rsid w:val="005B0081"/>
    <w:rsid w:val="005C0996"/>
    <w:rsid w:val="00623954"/>
    <w:rsid w:val="00635189"/>
    <w:rsid w:val="00653FB3"/>
    <w:rsid w:val="0066228A"/>
    <w:rsid w:val="0066678D"/>
    <w:rsid w:val="00674026"/>
    <w:rsid w:val="006B304A"/>
    <w:rsid w:val="006C6578"/>
    <w:rsid w:val="00713C81"/>
    <w:rsid w:val="007335B2"/>
    <w:rsid w:val="00742DDA"/>
    <w:rsid w:val="00766B83"/>
    <w:rsid w:val="00774F9F"/>
    <w:rsid w:val="00780DC1"/>
    <w:rsid w:val="007D0F97"/>
    <w:rsid w:val="007F46E9"/>
    <w:rsid w:val="00804687"/>
    <w:rsid w:val="00827F0C"/>
    <w:rsid w:val="008B5D54"/>
    <w:rsid w:val="008B7831"/>
    <w:rsid w:val="008C2A1E"/>
    <w:rsid w:val="008D5AEA"/>
    <w:rsid w:val="008F1415"/>
    <w:rsid w:val="00926CAA"/>
    <w:rsid w:val="00937D6B"/>
    <w:rsid w:val="00963E7C"/>
    <w:rsid w:val="00984FE5"/>
    <w:rsid w:val="00997D0E"/>
    <w:rsid w:val="009A79E1"/>
    <w:rsid w:val="009B0947"/>
    <w:rsid w:val="00A068E4"/>
    <w:rsid w:val="00A122CD"/>
    <w:rsid w:val="00A20411"/>
    <w:rsid w:val="00A34011"/>
    <w:rsid w:val="00A43C7D"/>
    <w:rsid w:val="00A67086"/>
    <w:rsid w:val="00A72BA3"/>
    <w:rsid w:val="00AC2497"/>
    <w:rsid w:val="00AD2F36"/>
    <w:rsid w:val="00AE15A5"/>
    <w:rsid w:val="00B019E9"/>
    <w:rsid w:val="00B55735"/>
    <w:rsid w:val="00B608AC"/>
    <w:rsid w:val="00B64B9E"/>
    <w:rsid w:val="00B75799"/>
    <w:rsid w:val="00B91400"/>
    <w:rsid w:val="00BA1806"/>
    <w:rsid w:val="00BA6B1A"/>
    <w:rsid w:val="00BC7BBC"/>
    <w:rsid w:val="00BD5ED0"/>
    <w:rsid w:val="00BE7622"/>
    <w:rsid w:val="00C21584"/>
    <w:rsid w:val="00C32380"/>
    <w:rsid w:val="00C447B6"/>
    <w:rsid w:val="00C51DAB"/>
    <w:rsid w:val="00C553B7"/>
    <w:rsid w:val="00C55F1C"/>
    <w:rsid w:val="00C62FA2"/>
    <w:rsid w:val="00C90B13"/>
    <w:rsid w:val="00CA3902"/>
    <w:rsid w:val="00CD2AA4"/>
    <w:rsid w:val="00CD43C2"/>
    <w:rsid w:val="00CE0C88"/>
    <w:rsid w:val="00D13EA1"/>
    <w:rsid w:val="00D42969"/>
    <w:rsid w:val="00D74092"/>
    <w:rsid w:val="00D7593C"/>
    <w:rsid w:val="00D952DF"/>
    <w:rsid w:val="00DA65F8"/>
    <w:rsid w:val="00DB190A"/>
    <w:rsid w:val="00DC57CC"/>
    <w:rsid w:val="00DC74EE"/>
    <w:rsid w:val="00DE07E7"/>
    <w:rsid w:val="00E0516D"/>
    <w:rsid w:val="00E5720E"/>
    <w:rsid w:val="00E80D2C"/>
    <w:rsid w:val="00EC309D"/>
    <w:rsid w:val="00F00226"/>
    <w:rsid w:val="00F129AD"/>
    <w:rsid w:val="00F377D2"/>
    <w:rsid w:val="00F428C1"/>
    <w:rsid w:val="00F548DB"/>
    <w:rsid w:val="00F56C86"/>
    <w:rsid w:val="00F57855"/>
    <w:rsid w:val="00F64282"/>
    <w:rsid w:val="00F8364A"/>
    <w:rsid w:val="00FE0398"/>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AE5F19"/>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99"/>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styleId="FootnoteText">
    <w:name w:val="footnote text"/>
    <w:basedOn w:val="Normal"/>
    <w:link w:val="FootnoteTextChar"/>
    <w:uiPriority w:val="99"/>
    <w:semiHidden/>
    <w:rsid w:val="003A31C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3A31C5"/>
    <w:rPr>
      <w:rFonts w:ascii="Calibri" w:eastAsia="Times New Roman" w:hAnsi="Calibri" w:cs="Times New Roman"/>
      <w:sz w:val="20"/>
      <w:szCs w:val="20"/>
    </w:rPr>
  </w:style>
  <w:style w:type="character" w:styleId="FootnoteReference">
    <w:name w:val="footnote reference"/>
    <w:basedOn w:val="DefaultParagraphFont"/>
    <w:uiPriority w:val="99"/>
    <w:semiHidden/>
    <w:rsid w:val="003A31C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nhr9@cdc.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4.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2</cp:revision>
  <dcterms:created xsi:type="dcterms:W3CDTF">2024-09-17T14:17:00Z</dcterms:created>
  <dcterms:modified xsi:type="dcterms:W3CDTF">2024-09-17T14:17:00Z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d8f0e01a-2d97-4b9d-817b-c3443a1d06e1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2020-12-01T19:50:49Z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