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E24" w:rsidP="005E7E24" w14:paraId="481B346C" w14:textId="211F3425">
      <w:pPr>
        <w:jc w:val="center"/>
      </w:pPr>
      <w:r>
        <w:t xml:space="preserve">Annual Evaluation and Performance Measurement Report </w:t>
      </w:r>
      <w:r w:rsidR="002465A1">
        <w:t>(</w:t>
      </w:r>
      <w:r w:rsidRPr="002465A1" w:rsidR="002465A1">
        <w:t>I.18- HEALTHCARE WASTEWATER-BASED SURVEILLANCE</w:t>
      </w:r>
      <w:r>
        <w:t>)</w:t>
      </w:r>
    </w:p>
    <w:p w:rsidR="005E7E24" w:rsidP="005E7E24" w14:paraId="56B6DFF6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6C4CF89B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7C5DBD" w:rsidP="0B7EE247" w14:paraId="2BF4E048" w14:textId="2A6311D0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B7EE247">
              <w:rPr>
                <w:rFonts w:eastAsiaTheme="minorEastAsia"/>
                <w:b/>
                <w:bCs/>
                <w:sz w:val="16"/>
                <w:szCs w:val="16"/>
              </w:rPr>
              <w:t xml:space="preserve">1. </w:t>
            </w:r>
            <w:r w:rsidRPr="0B7EE247" w:rsidR="7C581A1F">
              <w:rPr>
                <w:rFonts w:eastAsiaTheme="minorEastAsia"/>
                <w:b/>
                <w:bCs/>
                <w:sz w:val="16"/>
                <w:szCs w:val="16"/>
              </w:rPr>
              <w:t>Describe how potential collaborations with LTACH and SNF facilities were sought and feedback from facilities about the feasibility of participating.</w:t>
            </w:r>
          </w:p>
        </w:tc>
      </w:tr>
      <w:tr w14:paraId="36B213DC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7C5DBD" w:rsidP="0B7EE247" w14:paraId="46D259E9" w14:textId="6B5858A9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B7EE247">
              <w:rPr>
                <w:rFonts w:eastAsiaTheme="minorEastAsia"/>
                <w:b/>
                <w:bCs/>
                <w:sz w:val="16"/>
                <w:szCs w:val="16"/>
              </w:rPr>
              <w:t xml:space="preserve">2. 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Proportion of point prevalence screening (PPS)/colonization screening swabs tested for (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) Candida auris and (ii) 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carbapenemase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 genes (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blaKPC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blaNDM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blaVIM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>blaIMP</w:t>
            </w:r>
            <w:r w:rsidRPr="0B7EE247" w:rsidR="17920BEF">
              <w:rPr>
                <w:rFonts w:eastAsiaTheme="minorEastAsia"/>
                <w:b/>
                <w:bCs/>
                <w:sz w:val="16"/>
                <w:szCs w:val="16"/>
              </w:rPr>
              <w:t xml:space="preserve">, blaOXA-48) </w:t>
            </w:r>
          </w:p>
          <w:p w:rsidR="007C5DBD" w:rsidP="0B7EE247" w14:paraId="2708DE88" w14:textId="7C3D45D5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 xml:space="preserve">a. Numerator: Number of PPS/colonization screening swabs tested for Candida auris and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</w:t>
            </w:r>
          </w:p>
          <w:p w:rsidR="007C5DBD" w:rsidP="0B7EE247" w14:paraId="24C22AD8" w14:textId="4C1F495C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>b. Denominator: Total number of PPS/colonization screening swabs collected.</w:t>
            </w:r>
          </w:p>
          <w:p w:rsidR="007C5DBD" w:rsidP="0B7EE247" w14:paraId="5FEA32F7" w14:textId="024EBFF3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 xml:space="preserve">c. Calculated: Percent of swabs tested for Candida auris and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blaOXA-48).</w:t>
            </w:r>
          </w:p>
        </w:tc>
      </w:tr>
      <w:tr w14:paraId="5C3D1E93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7C5DBD" w:rsidP="0B7EE247" w14:paraId="61E6BBAA" w14:textId="08025241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B7EE247">
              <w:rPr>
                <w:rFonts w:eastAsiaTheme="minorEastAsia"/>
                <w:b/>
                <w:bCs/>
                <w:sz w:val="16"/>
                <w:szCs w:val="16"/>
              </w:rPr>
              <w:t xml:space="preserve">3. 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Proportion of wastewater samples tested for (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 xml:space="preserve">) Candida auris and (ii) 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carbapenemase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 xml:space="preserve"> genes (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blaKPC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blaNDM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blaVIM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blaIMP</w:t>
            </w:r>
            <w:r w:rsidRPr="0B7EE247" w:rsidR="59A80A72">
              <w:rPr>
                <w:rFonts w:eastAsiaTheme="minorEastAsia"/>
                <w:b/>
                <w:bCs/>
                <w:sz w:val="16"/>
                <w:szCs w:val="16"/>
              </w:rPr>
              <w:t>, blaOXA-48):</w:t>
            </w:r>
          </w:p>
          <w:p w:rsidR="007C5DBD" w:rsidP="0B7EE247" w14:paraId="0131EACF" w14:textId="25B92A40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 xml:space="preserve">a. Numerator: Number of wastewater samples tested for Candida auris and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blaOXA-48).</w:t>
            </w:r>
          </w:p>
          <w:p w:rsidR="007C5DBD" w:rsidP="0B7EE247" w14:paraId="4D020190" w14:textId="2F75EEF3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>b. Denominator: Total number of wastewater samples collected.</w:t>
            </w:r>
          </w:p>
          <w:p w:rsidR="007C5DBD" w:rsidP="0B7EE247" w14:paraId="6DA1C2AB" w14:textId="4F9599DB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 xml:space="preserve">c. Calculated: Percent of wastewater samples tested for Candida auris and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</w:t>
            </w:r>
          </w:p>
          <w:p w:rsidR="007C5DBD" w:rsidP="0B7EE247" w14:paraId="68B0A880" w14:textId="1A7B6E4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14:paraId="13023369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B63363" w:rsidP="0B7EE247" w14:paraId="7EFB4781" w14:textId="025491EF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B7EE247">
              <w:rPr>
                <w:rFonts w:eastAsiaTheme="minorEastAsia"/>
                <w:b/>
                <w:bCs/>
                <w:sz w:val="16"/>
                <w:szCs w:val="16"/>
              </w:rPr>
              <w:t xml:space="preserve">4. 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Proportion of wastewater samples aligned with PPS/colonization screening swabs for (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 xml:space="preserve">) C. auris and/or (ii) 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carbapenemase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 xml:space="preserve"> genes (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blaKPC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blaNDM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blaVIM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 xml:space="preserve">, 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blaIMP</w:t>
            </w:r>
            <w:r w:rsidRPr="0B7EE247" w:rsidR="36C14932">
              <w:rPr>
                <w:rFonts w:eastAsiaTheme="minorEastAsia"/>
                <w:b/>
                <w:bCs/>
                <w:sz w:val="16"/>
                <w:szCs w:val="16"/>
              </w:rPr>
              <w:t>, blaOXA-48):</w:t>
            </w:r>
          </w:p>
          <w:p w:rsidR="36C14932" w:rsidP="0B7EE247" w14:paraId="3BDA0080" w14:textId="7EFCFB84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>a. Numerator: Number of wastewater samples collected on the same day as PPS swabs.</w:t>
            </w:r>
          </w:p>
          <w:p w:rsidR="36C14932" w:rsidP="0B7EE247" w14:paraId="4E887861" w14:textId="699A741E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>b. Denominator: Total number of PPS/colonization screening swabs collected for (</w:t>
            </w:r>
            <w:r w:rsidRPr="0B7EE247">
              <w:rPr>
                <w:rFonts w:eastAsiaTheme="minorEastAsia"/>
                <w:sz w:val="16"/>
                <w:szCs w:val="16"/>
              </w:rPr>
              <w:t>i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) C. auris and/or (ii)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</w:t>
            </w:r>
          </w:p>
          <w:p w:rsidR="36C14932" w:rsidP="0B7EE247" w14:paraId="64C9C2AA" w14:textId="53C3EE43">
            <w:pPr>
              <w:rPr>
                <w:rFonts w:eastAsiaTheme="minorEastAsia"/>
                <w:sz w:val="16"/>
                <w:szCs w:val="16"/>
              </w:rPr>
            </w:pPr>
            <w:r w:rsidRPr="0B7EE247">
              <w:rPr>
                <w:rFonts w:eastAsiaTheme="minorEastAsia"/>
                <w:sz w:val="16"/>
                <w:szCs w:val="16"/>
              </w:rPr>
              <w:t>c. Calculated: Percentage of wastewater samples collected on the same day (matched samples) as PPS/colonization screening swabs collected for (</w:t>
            </w:r>
            <w:r w:rsidRPr="0B7EE247">
              <w:rPr>
                <w:rFonts w:eastAsiaTheme="minorEastAsia"/>
                <w:sz w:val="16"/>
                <w:szCs w:val="16"/>
              </w:rPr>
              <w:t>i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) C. auris and/or (ii) </w:t>
            </w:r>
            <w:r w:rsidRPr="0B7EE247">
              <w:rPr>
                <w:rFonts w:eastAsiaTheme="minorEastAsia"/>
                <w:sz w:val="16"/>
                <w:szCs w:val="16"/>
              </w:rPr>
              <w:t>carbapenemase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 genes (</w:t>
            </w:r>
            <w:r w:rsidRPr="0B7EE247">
              <w:rPr>
                <w:rFonts w:eastAsiaTheme="minorEastAsia"/>
                <w:sz w:val="16"/>
                <w:szCs w:val="16"/>
              </w:rPr>
              <w:t>blaKPC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blaNDM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blaVIM</w:t>
            </w:r>
            <w:r w:rsidRPr="0B7EE247">
              <w:rPr>
                <w:rFonts w:eastAsiaTheme="minorEastAsia"/>
                <w:sz w:val="16"/>
                <w:szCs w:val="16"/>
              </w:rPr>
              <w:t xml:space="preserve">, </w:t>
            </w:r>
            <w:r w:rsidRPr="0B7EE247">
              <w:rPr>
                <w:rFonts w:eastAsiaTheme="minorEastAsia"/>
                <w:sz w:val="16"/>
                <w:szCs w:val="16"/>
              </w:rPr>
              <w:t>blaIMP</w:t>
            </w:r>
            <w:r w:rsidRPr="0B7EE247">
              <w:rPr>
                <w:rFonts w:eastAsiaTheme="minorEastAsia"/>
                <w:sz w:val="16"/>
                <w:szCs w:val="16"/>
              </w:rPr>
              <w:t>, blaOXA-48)</w:t>
            </w:r>
          </w:p>
          <w:p w:rsidR="007C5DBD" w14:paraId="2FCAD2B5" w14:textId="77777777"/>
        </w:tc>
      </w:tr>
      <w:tr w14:paraId="49817ED6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D77D19" w:rsidRPr="00A85CDC" w:rsidP="00D77D19" w14:paraId="51090D58" w14:textId="3A358A4E">
            <w:pPr>
              <w:pStyle w:val="ListParagraph"/>
              <w:ind w:left="0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</w:rPr>
              <w:t xml:space="preserve">5. </w:t>
            </w:r>
            <w:r w:rsidRPr="4F5A9AD4">
              <w:rPr>
                <w:rFonts w:eastAsiaTheme="minorEastAsia"/>
                <w:b/>
                <w:bCs/>
                <w:sz w:val="16"/>
                <w:szCs w:val="16"/>
              </w:rPr>
              <w:t xml:space="preserve"> Describe challenges to collect and analyze wastewater and swabs </w:t>
            </w:r>
          </w:p>
          <w:p w:rsidR="007C5DBD" w:rsidP="00D77D19" w14:paraId="567B0BD3" w14:textId="6351DB9B">
            <w:pPr>
              <w:tabs>
                <w:tab w:val="left" w:pos="5396"/>
              </w:tabs>
            </w:pPr>
          </w:p>
        </w:tc>
      </w:tr>
      <w:tr w14:paraId="75A9EE16" w14:textId="77777777" w:rsidTr="0B7EE247">
        <w:tblPrEx>
          <w:tblW w:w="0" w:type="auto"/>
          <w:tblLook w:val="04A0"/>
        </w:tblPrEx>
        <w:tc>
          <w:tcPr>
            <w:tcW w:w="9350" w:type="dxa"/>
          </w:tcPr>
          <w:p w:rsidR="00061A76" w:rsidRPr="00A85CDC" w:rsidP="0B7EE247" w14:paraId="56879EEF" w14:textId="6C4484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B7EE247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6. </w:t>
            </w:r>
            <w:r w:rsidRPr="0B7EE247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Considering coordination and information sharing among PHL and </w:t>
            </w:r>
            <w:r w:rsidRPr="0B7EE247" w:rsidR="3C26ABB0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>wastewater (</w:t>
            </w:r>
            <w:r w:rsidRPr="0B7EE247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>WW</w:t>
            </w:r>
            <w:r w:rsidRPr="0B7EE247" w:rsidR="16E0142B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>)</w:t>
            </w:r>
            <w:r w:rsidRPr="0B7EE247">
              <w:rPr>
                <w:rStyle w:val="normaltextrun"/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stakeholders:</w:t>
            </w:r>
            <w:r w:rsidRPr="0B7EE247">
              <w:rPr>
                <w:rStyle w:val="eop"/>
                <w:rFonts w:asciiTheme="minorHAnsi" w:hAnsiTheme="minorHAnsi" w:cstheme="minorBidi"/>
                <w:b/>
                <w:bCs/>
                <w:sz w:val="16"/>
                <w:szCs w:val="16"/>
              </w:rPr>
              <w:t> </w:t>
            </w:r>
          </w:p>
          <w:p w:rsidR="00B63363" w:rsidRPr="00A85CDC" w:rsidP="00B63363" w14:paraId="3BB8A2B4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How often do you meet with relevant wastewater stakeholders?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3546B326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Daily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745397E3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Weekly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45F6CC8F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Bi-Weekly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281275C6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Monthly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673CEF04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Quarterly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27AA4E3D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Annually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4B882F36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Describe the information shared between partners.</w:t>
            </w:r>
          </w:p>
          <w:p w:rsidR="00B63363" w:rsidRPr="00A85CDC" w:rsidP="00B63363" w14:paraId="4287F52C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What strategies work well to maintain coordination and sharing? 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B63363" w:rsidRPr="00A85CDC" w:rsidP="00B63363" w14:paraId="74D5688E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85CDC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What challenges do you encounter with advancing coordination and collaboration?</w:t>
            </w:r>
            <w:r w:rsidRPr="00A85CDC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7C5DBD" w14:paraId="07EBA1C6" w14:textId="77777777"/>
        </w:tc>
      </w:tr>
    </w:tbl>
    <w:p w:rsidR="003C6000" w14:paraId="31EB9016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7F0F" w:rsidRPr="00192588" w:rsidP="002A7F0F" w14:paraId="3A172F10" w14:textId="1D50E9E8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113839">
      <w:t>20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A96CED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2A7F0F" w14:paraId="2E542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02" w:rsidP="00041702" w14:paraId="7BF34643" w14:textId="77777777">
    <w:pPr>
      <w:spacing w:line="240" w:lineRule="auto"/>
      <w:ind w:left="720"/>
      <w:contextualSpacing/>
      <w:jc w:val="right"/>
    </w:pPr>
    <w:r>
      <w:t>Form Approved</w:t>
    </w:r>
  </w:p>
  <w:p w:rsidR="00041702" w:rsidP="00041702" w14:paraId="3EDB619D" w14:textId="20EABBE3">
    <w:pPr>
      <w:spacing w:line="240" w:lineRule="auto"/>
      <w:ind w:left="720"/>
      <w:contextualSpacing/>
      <w:jc w:val="right"/>
    </w:pPr>
    <w:r>
      <w:t>OMB Control No.: 0920-</w:t>
    </w:r>
    <w:r w:rsidR="00A96CED">
      <w:t>1310</w:t>
    </w:r>
  </w:p>
  <w:p w:rsidR="00041702" w:rsidP="00041702" w14:paraId="013CA5D2" w14:textId="77777777">
    <w:pPr>
      <w:spacing w:line="240" w:lineRule="auto"/>
      <w:ind w:left="720"/>
      <w:contextualSpacing/>
      <w:jc w:val="right"/>
    </w:pPr>
    <w:r>
      <w:t>Expiration date: XX/XX/XXXX</w:t>
    </w:r>
  </w:p>
  <w:p w:rsidR="002A7F0F" w14:paraId="18960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1432B1"/>
    <w:multiLevelType w:val="hybridMultilevel"/>
    <w:tmpl w:val="D812A4F8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A1887"/>
    <w:multiLevelType w:val="hybridMultilevel"/>
    <w:tmpl w:val="5BBC9D3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679534">
    <w:abstractNumId w:val="1"/>
  </w:num>
  <w:num w:numId="2" w16cid:durableId="60616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24"/>
    <w:rsid w:val="00041702"/>
    <w:rsid w:val="00061A76"/>
    <w:rsid w:val="00113839"/>
    <w:rsid w:val="001906B0"/>
    <w:rsid w:val="00192588"/>
    <w:rsid w:val="002465A1"/>
    <w:rsid w:val="002A7F0F"/>
    <w:rsid w:val="002B6525"/>
    <w:rsid w:val="00310AFC"/>
    <w:rsid w:val="003C6000"/>
    <w:rsid w:val="005E7E24"/>
    <w:rsid w:val="007C5DBD"/>
    <w:rsid w:val="00841696"/>
    <w:rsid w:val="008F3339"/>
    <w:rsid w:val="0093122F"/>
    <w:rsid w:val="00A85CDC"/>
    <w:rsid w:val="00A96CED"/>
    <w:rsid w:val="00B63363"/>
    <w:rsid w:val="00C518CD"/>
    <w:rsid w:val="00CD7A2E"/>
    <w:rsid w:val="00D77D19"/>
    <w:rsid w:val="0B7EE247"/>
    <w:rsid w:val="16E0142B"/>
    <w:rsid w:val="17920BEF"/>
    <w:rsid w:val="36C14932"/>
    <w:rsid w:val="38A311AE"/>
    <w:rsid w:val="3C26ABB0"/>
    <w:rsid w:val="3E267DC5"/>
    <w:rsid w:val="415E1E87"/>
    <w:rsid w:val="44334042"/>
    <w:rsid w:val="4F5A9AD4"/>
    <w:rsid w:val="54E036A3"/>
    <w:rsid w:val="59A80A72"/>
    <w:rsid w:val="7C581A1F"/>
    <w:rsid w:val="7EE5ED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172632"/>
  <w15:chartTrackingRefBased/>
  <w15:docId w15:val="{50A7AFFC-38DF-4450-804F-2359D54D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19"/>
    <w:pPr>
      <w:ind w:left="720"/>
      <w:contextualSpacing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061A76"/>
  </w:style>
  <w:style w:type="paragraph" w:customStyle="1" w:styleId="paragraph">
    <w:name w:val="paragraph"/>
    <w:basedOn w:val="Normal"/>
    <w:rsid w:val="000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061A76"/>
  </w:style>
  <w:style w:type="paragraph" w:styleId="Header">
    <w:name w:val="header"/>
    <w:basedOn w:val="Normal"/>
    <w:link w:val="HeaderChar"/>
    <w:uiPriority w:val="99"/>
    <w:unhideWhenUsed/>
    <w:rsid w:val="002A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0F"/>
  </w:style>
  <w:style w:type="paragraph" w:styleId="Footer">
    <w:name w:val="footer"/>
    <w:basedOn w:val="Normal"/>
    <w:link w:val="FooterChar"/>
    <w:uiPriority w:val="99"/>
    <w:unhideWhenUsed/>
    <w:rsid w:val="002A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8D4CF-BC22-4151-8011-A32CD8F3707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5afd6ed-dffc-47fb-9498-53333e2fa0bd"/>
    <ds:schemaRef ds:uri="http://purl.org/dc/terms/"/>
    <ds:schemaRef ds:uri="http://www.w3.org/XML/1998/namespace"/>
    <ds:schemaRef ds:uri="010c16f9-7756-49b4-a9d4-d26aa40a7ef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AEB210-2856-4232-9574-040561B25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3435-BEE0-4544-9A23-A91C54CAE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>Centers for Disease Control and Prevention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15</cp:revision>
  <dcterms:created xsi:type="dcterms:W3CDTF">2024-02-05T23:05:00Z</dcterms:created>
  <dcterms:modified xsi:type="dcterms:W3CDTF">2024-10-02T16:52:00Z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0bbb812b-05d6-4ea0-982c-5b4c231f69ae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2024-02-06T02:46:11Z</vt:lpwstr>
  </property>
  <property fmtid="{D5CDD505-2E9C-101B-9397-08002B2CF9AE}" pid="9" name="MSIP_Label_8af03ff0-41c5-4c41-b55e-fabb8fae94be_SiteId">
    <vt:lpwstr>9ce70869-60db-44fd-abe8-d2767077fc8f</vt:lpwstr>
  </property>
</Properties>
</file>