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3C89" w14:paraId="3E007649" w14:textId="77777777">
      <w:pPr>
        <w:tabs>
          <w:tab w:val="left" w:pos="1179"/>
        </w:tabs>
        <w:spacing w:before="68"/>
        <w:ind w:left="100"/>
        <w:rPr>
          <w:sz w:val="24"/>
        </w:rPr>
      </w:pP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Jamie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Wilson</w:t>
      </w:r>
    </w:p>
    <w:p w:rsidR="00953C89" w14:paraId="32C694E1" w14:textId="77777777">
      <w:pPr>
        <w:pStyle w:val="BodyText"/>
        <w:ind w:left="1180" w:right="2688"/>
      </w:pP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(OIRA) Office of Management and Budget (OMB)</w:t>
      </w:r>
    </w:p>
    <w:p w:rsidR="00953C89" w14:paraId="074A44B9" w14:textId="77777777">
      <w:pPr>
        <w:pStyle w:val="BodyText"/>
      </w:pPr>
    </w:p>
    <w:p w:rsidR="00953C89" w14:paraId="473B1D89" w14:textId="1A090010">
      <w:pPr>
        <w:pStyle w:val="Heading1"/>
      </w:pPr>
      <w:r>
        <w:rPr>
          <w:spacing w:val="-2"/>
        </w:rPr>
        <w:t>From:</w:t>
      </w:r>
      <w:r w:rsidR="00C379A7">
        <w:rPr>
          <w:spacing w:val="-2"/>
        </w:rPr>
        <w:t xml:space="preserve">       </w:t>
      </w:r>
      <w:r w:rsidRPr="00C379A7" w:rsidR="00C379A7">
        <w:rPr>
          <w:b w:val="0"/>
          <w:bCs w:val="0"/>
          <w:spacing w:val="-2"/>
        </w:rPr>
        <w:t>Annie Clear</w:t>
      </w:r>
      <w:r w:rsidR="00C379A7">
        <w:rPr>
          <w:b w:val="0"/>
          <w:bCs w:val="0"/>
          <w:spacing w:val="-2"/>
        </w:rPr>
        <w:t>y</w:t>
      </w:r>
    </w:p>
    <w:p w:rsidR="00953C89" w14:paraId="41E8F0AE" w14:textId="77777777">
      <w:pPr>
        <w:pStyle w:val="BodyText"/>
        <w:rPr>
          <w:b/>
        </w:rPr>
      </w:pPr>
    </w:p>
    <w:p w:rsidR="00953C89" w14:paraId="206609DF" w14:textId="77777777">
      <w:pPr>
        <w:pStyle w:val="BodyText"/>
        <w:rPr>
          <w:b/>
        </w:rPr>
      </w:pPr>
    </w:p>
    <w:p w:rsidR="00953C89" w14:paraId="05956E81" w14:textId="77777777">
      <w:pPr>
        <w:tabs>
          <w:tab w:val="left" w:pos="1179"/>
        </w:tabs>
        <w:ind w:left="100"/>
        <w:rPr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:rsidR="00953C89" w14:paraId="50BD1112" w14:textId="77777777">
      <w:pPr>
        <w:pStyle w:val="BodyText"/>
      </w:pPr>
    </w:p>
    <w:p w:rsidR="00953C89" w14:paraId="0044C0F3" w14:textId="77777777">
      <w:pPr>
        <w:pStyle w:val="BodyText"/>
        <w:ind w:left="1179" w:right="671" w:hanging="1080"/>
        <w:jc w:val="both"/>
      </w:pPr>
      <w:r>
        <w:rPr>
          <w:b/>
        </w:rPr>
        <w:t>Subject:</w:t>
      </w:r>
      <w:r>
        <w:rPr>
          <w:b/>
          <w:spacing w:val="80"/>
        </w:rPr>
        <w:t xml:space="preserve"> </w:t>
      </w:r>
      <w:r>
        <w:t>Non-Substantive Change Request – Medicare</w:t>
      </w:r>
      <w:r>
        <w:rPr>
          <w:spacing w:val="-15"/>
        </w:rPr>
        <w:t xml:space="preserve"> </w:t>
      </w:r>
      <w:r>
        <w:t>Advantage and Prescription Drug Programs: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Documents (OMB# 0938-1475)</w:t>
      </w:r>
    </w:p>
    <w:p w:rsidR="00953C89" w14:paraId="68AAE2D9" w14:textId="77777777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188138</wp:posOffset>
                </wp:positionV>
                <wp:extent cx="5943600" cy="1841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43600" stroke="1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43600" y="1828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68pt;height:1.45pt;margin-top:14.8pt;margin-left:1in;mso-position-horizontal-relative:page;mso-wrap-distance-bottom:0;mso-wrap-distance-left:0;mso-wrap-distance-right:0;mso-wrap-distance-top:0;mso-wrap-style:square;position:absolute;visibility:visible;v-text-anchor:top;z-index:-251657216" coordsize="5943600,18415" path="m5943600,l,,,18288l5943600,18288l5943600,xe" fillcolor="black" stroked="f">
                <v:path arrowok="t"/>
                <w10:wrap type="topAndBottom"/>
              </v:shape>
            </w:pict>
          </mc:Fallback>
        </mc:AlternateContent>
      </w:r>
    </w:p>
    <w:p w:rsidR="00953C89" w14:paraId="7ECD7DFD" w14:textId="77777777">
      <w:pPr>
        <w:pStyle w:val="BodyText"/>
        <w:spacing w:before="1"/>
      </w:pPr>
    </w:p>
    <w:p w:rsidR="00953C89" w14:paraId="2C67555D" w14:textId="77777777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non-substantive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collection, Medicare</w:t>
      </w:r>
      <w:r>
        <w:rPr>
          <w:spacing w:val="-7"/>
        </w:rPr>
        <w:t xml:space="preserve"> </w:t>
      </w:r>
      <w:r>
        <w:t>Advantage and Prescription Drug Programs: Part C and D Medicare Prescription Payment Plan Model Documents (OMB# 0938-1475).</w:t>
      </w:r>
    </w:p>
    <w:p w:rsidR="00953C89" w14:paraId="13428D68" w14:textId="77777777">
      <w:pPr>
        <w:pStyle w:val="BodyText"/>
      </w:pPr>
    </w:p>
    <w:p w:rsidR="00953C89" w14:paraId="7B37803B" w14:textId="77777777">
      <w:pPr>
        <w:pStyle w:val="Heading1"/>
      </w:pPr>
      <w:r>
        <w:rPr>
          <w:spacing w:val="-2"/>
        </w:rPr>
        <w:t>BACKGROUND</w:t>
      </w:r>
    </w:p>
    <w:p w:rsidR="00953C89" w14:paraId="1B3F5325" w14:textId="77777777">
      <w:pPr>
        <w:pStyle w:val="BodyText"/>
        <w:spacing w:before="120"/>
        <w:ind w:left="100" w:right="164"/>
      </w:pPr>
      <w:r>
        <w:t>The Inflation Reduction</w:t>
      </w:r>
      <w:r>
        <w:rPr>
          <w:spacing w:val="-2"/>
        </w:rPr>
        <w:t xml:space="preserve"> </w:t>
      </w:r>
      <w:r>
        <w:t>Act (IRA) established the Medicare Prescription Payment Plan, which requires Part D sponsors to offer enrollees the option to pay their Part D cost sharing in monthly amounts</w:t>
      </w:r>
      <w:r>
        <w:rPr>
          <w:spacing w:val="-5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year.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1860D–2(b)(2)(E)(v)(IV)(aa)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Social Security Act (the Act), a Part D sponsor must terminate an individual’s Medicare Prescription Payment Plan participation if that individual fails to pay their monthly billed amount. As outlined in Section 80.2 of the “Medicare Prescription Payment P</w:t>
      </w:r>
      <w:r>
        <w:t>lan: Final Part One Guidance on Select Topics, Implementation of Section 1860D-2 of the Social Security</w:t>
      </w:r>
      <w:r>
        <w:rPr>
          <w:spacing w:val="-9"/>
        </w:rPr>
        <w:t xml:space="preserve"> </w:t>
      </w:r>
      <w:r>
        <w:t>Act for 2025, and Response to Relevant Comments,” if a Part D sponsor determines that a Medicare Prescription Payment Plan participant has failed to pay a monthly billed amount, the Part D sponsor must send the individual an initial notice explaining that the individual has failed to pay the billed amount within fifteen calendar days of the payment due date.</w:t>
      </w:r>
    </w:p>
    <w:p w:rsidR="00953C89" w14:paraId="676561B8" w14:textId="77777777">
      <w:pPr>
        <w:pStyle w:val="BodyText"/>
      </w:pPr>
    </w:p>
    <w:p w:rsidR="00953C89" w14:paraId="3762C149" w14:textId="77777777">
      <w:pPr>
        <w:pStyle w:val="BodyText"/>
        <w:spacing w:before="1"/>
        <w:ind w:left="100" w:right="155"/>
      </w:pPr>
      <w:r>
        <w:t>To support Part D sponsors in meeting this requirement and the communication requirements stated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30.3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“Medicare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Plan: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 Select Topics, Implementation of Section 1860D-2 of the Social Security Act for 2025, and 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Comments,”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participants that failed to pay a monthly billed amount (Exhibit 4: “Part D Sponsor Notice for Failure to Make Payments Under the Medicare Prescription Payment Plan”).</w:t>
      </w:r>
    </w:p>
    <w:p w:rsidR="00953C89" w14:paraId="629DE782" w14:textId="77777777">
      <w:pPr>
        <w:pStyle w:val="BodyText"/>
      </w:pPr>
    </w:p>
    <w:p w:rsidR="00953C89" w14:paraId="5EC745D5" w14:textId="77777777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expires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953C89" w14:paraId="1DCEF3E4" w14:textId="77777777">
      <w:pPr>
        <w:pStyle w:val="BodyText"/>
      </w:pPr>
    </w:p>
    <w:p w:rsidR="00953C89" w14:paraId="276F40CE" w14:textId="77777777">
      <w:pPr>
        <w:ind w:left="100"/>
        <w:rPr>
          <w:b/>
          <w:i/>
          <w:sz w:val="24"/>
        </w:rPr>
      </w:pPr>
      <w:r>
        <w:rPr>
          <w:b/>
          <w:i/>
          <w:sz w:val="24"/>
        </w:rPr>
        <w:t>OVERVIEW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CHANGES</w:t>
      </w:r>
    </w:p>
    <w:p w:rsidR="00953C89" w14:paraId="7215E38B" w14:textId="77777777">
      <w:pPr>
        <w:pStyle w:val="BodyText"/>
        <w:spacing w:before="120"/>
        <w:ind w:left="100" w:right="155"/>
      </w:pPr>
      <w:r>
        <w:t>Since OMB’s approval of this information collection package on July 11, 2024, it has come to CMS’s attention that the following language in Exhibit 4 (“Notice of Failure to Make Payments”) may be mistakenly interpreted by stakeholders as prohibiting existing payment arrangements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organizations,</w:t>
      </w:r>
      <w:r>
        <w:rPr>
          <w:spacing w:val="-5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beneficiaries,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 sponsors:</w:t>
      </w:r>
      <w:r>
        <w:rPr>
          <w:spacing w:val="-2"/>
        </w:rPr>
        <w:t xml:space="preserve"> </w:t>
      </w:r>
      <w:r>
        <w:t>“Note: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your costs,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5"/>
        </w:rPr>
        <w:t>you</w:t>
      </w:r>
    </w:p>
    <w:p w:rsidR="00953C89" w14:paraId="4CC73AFD" w14:textId="77777777">
      <w:pPr>
        <w:sectPr>
          <w:type w:val="continuous"/>
          <w:pgSz w:w="12240" w:h="15840"/>
          <w:pgMar w:top="1100" w:right="1340" w:bottom="280" w:left="1340" w:header="720" w:footer="720" w:gutter="0"/>
          <w:cols w:space="720"/>
        </w:sectPr>
      </w:pPr>
    </w:p>
    <w:p w:rsidR="00953C89" w14:paraId="122EE08B" w14:textId="77777777">
      <w:pPr>
        <w:pStyle w:val="BodyText"/>
        <w:spacing w:before="68"/>
        <w:ind w:left="100" w:right="192"/>
      </w:pPr>
      <w:r>
        <w:t>pay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balance.”</w:t>
      </w:r>
      <w:r>
        <w:rPr>
          <w:spacing w:val="-7"/>
        </w:rPr>
        <w:t xml:space="preserve"> </w:t>
      </w:r>
      <w:r>
        <w:t>Consequently,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to remove this sentence from Exhibit 4 to avoid potential confusion for</w:t>
      </w:r>
      <w:r>
        <w:rPr>
          <w:spacing w:val="-8"/>
        </w:rPr>
        <w:t xml:space="preserve"> </w:t>
      </w:r>
      <w:r>
        <w:t>AIDS Drug</w:t>
      </w:r>
      <w:r>
        <w:rPr>
          <w:spacing w:val="-7"/>
        </w:rPr>
        <w:t xml:space="preserve"> </w:t>
      </w:r>
      <w:r>
        <w:t>Assistance Programs (ADAPs), State Pharmaceutical</w:t>
      </w:r>
      <w:r>
        <w:rPr>
          <w:spacing w:val="-1"/>
        </w:rPr>
        <w:t xml:space="preserve"> </w:t>
      </w:r>
      <w:r>
        <w:t>Assistance Programs (SPAPs), charitable support foundations, and similar programs.</w:t>
      </w:r>
      <w:r>
        <w:rPr>
          <w:spacing w:val="-2"/>
        </w:rPr>
        <w:t xml:space="preserve"> </w:t>
      </w:r>
      <w:r>
        <w:t>This is not a change in policy; it only aligns the language in the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provided by</w:t>
      </w:r>
      <w:r>
        <w:rPr>
          <w:spacing w:val="-1"/>
        </w:rPr>
        <w:t xml:space="preserve"> </w:t>
      </w:r>
      <w:r>
        <w:t>CMS.</w:t>
      </w:r>
      <w:r>
        <w:rPr>
          <w:spacing w:val="-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as a result of</w:t>
      </w:r>
      <w:r>
        <w:t xml:space="preserve"> this change.</w:t>
      </w:r>
    </w:p>
    <w:sectPr>
      <w:pgSz w:w="12240" w:h="15840"/>
      <w:pgMar w:top="11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9"/>
    <w:rsid w:val="00181AC3"/>
    <w:rsid w:val="00695363"/>
    <w:rsid w:val="00953C89"/>
    <w:rsid w:val="00C379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B67A48"/>
  <w15:docId w15:val="{99548CFD-88A5-4183-98A8-A1DBC0FD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2672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Substantive Change Request Memo - Notice for Failure to Make Payments</vt:lpstr>
    </vt:vector>
  </TitlesOfParts>
  <Company>HHS/ITIO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Substantive Change Request Memo - Notice for Failure to Make Payments</dc:title>
  <dc:creator>Jones, Molly (ACF)</dc:creator>
  <cp:lastModifiedBy>Stephan</cp:lastModifiedBy>
  <cp:revision>2</cp:revision>
  <dcterms:created xsi:type="dcterms:W3CDTF">2024-09-05T16:56:00Z</dcterms:created>
  <dcterms:modified xsi:type="dcterms:W3CDTF">2024-09-05T17:24:00Z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0x010100CE30CB9DD98BA14A8033C33A69120888</vt:lpwstr>
  </property>
  <property fmtid="{D5CDD505-2E9C-101B-9397-08002B2CF9AE}" pid="3" name="Created">
    <vt:filetime>2024-09-04T00:00:00Z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2024-09-05T00:00:00Z</vt:filetime>
  </property>
  <property fmtid="{D5CDD505-2E9C-101B-9397-08002B2CF9AE}" pid="6" name="Producer">
    <vt:lpwstr>Adobe PDF Library 24.2.13</vt:lpwstr>
  </property>
  <property fmtid="{D5CDD505-2E9C-101B-9397-08002B2CF9AE}" pid="7" name="SourceModified">
    <vt:lpwstr>D:20240903210400</vt:lpwstr>
  </property>
</Properties>
</file>