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>
      <w:pPr>
        <w:pStyle w:val="Heading1"/>
        <w:spacing w:before="94" w:line="283" w:lineRule="auto"/>
        <w:ind w:left="2576" w:right="1875" w:hanging="540"/>
      </w:pPr>
      <w:r>
        <w:rPr>
          <w:spacing w:val="-2"/>
          <w:u w:val="thick"/>
        </w:rPr>
        <w:t>自籌資金的非聯邦政府團體健康計劃參與者的示範通知</w:t>
      </w:r>
      <w:r>
        <w:rPr>
          <w:spacing w:val="80"/>
          <w:w w:val="150"/>
          <w:u w:val="thick"/>
        </w:rPr>
        <w:t xml:space="preserve">              </w:t>
      </w:r>
      <w:r>
        <w:rPr>
          <w:spacing w:val="-2"/>
          <w:u w:val="thick"/>
        </w:rPr>
        <w:t>對於計劃从2010年9月23日或之後開始的年度</w:t>
      </w:r>
    </w:p>
    <w:p>
      <w:pPr>
        <w:spacing w:before="245"/>
        <w:ind w:left="200" w:right="0" w:firstLine="0"/>
        <w:jc w:val="left"/>
        <w:rPr>
          <w:b/>
          <w:sz w:val="24"/>
        </w:rPr>
      </w:pPr>
      <w:r>
        <w:rPr>
          <w:b/>
          <w:sz w:val="24"/>
        </w:rPr>
        <w:t>[本通知適用於2010年3月23</w:t>
      </w:r>
      <w:r>
        <w:rPr>
          <w:b/>
          <w:spacing w:val="-1"/>
          <w:sz w:val="24"/>
        </w:rPr>
        <w:t>日或之後批准的集體談判計劃。]</w:t>
      </w:r>
    </w:p>
    <w:p>
      <w:pPr>
        <w:spacing w:before="306"/>
        <w:ind w:left="200" w:right="262" w:firstLine="0"/>
        <w:jc w:val="left"/>
        <w:rPr>
          <w:sz w:val="24"/>
        </w:rPr>
      </w:pPr>
      <w:r>
        <w:rPr>
          <w:sz w:val="24"/>
        </w:rPr>
        <w:t>由州和地方政府雇主贊助的團體健康計劃通常必須 遵守《公共衛生服務法》第 XXVII</w:t>
      </w:r>
      <w:r>
        <w:rPr>
          <w:sz w:val="24"/>
        </w:rPr>
        <w:t xml:space="preserve"> </w:t>
      </w:r>
      <w:r>
        <w:rPr>
          <w:spacing w:val="-2"/>
          <w:sz w:val="24"/>
        </w:rPr>
        <w:t>章中的聯邦法律要求。然而， 對於由雇主「自籌資金」而不是透過健康保險保單提供的計劃的任何部分，這些雇主可以選擇免除以下列出的要求。（計劃發起人名稱）已選擇免除（計劃名稱）以下（全部）（或指定哪些）要求：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val="left" w:pos="500"/>
        </w:tabs>
        <w:spacing w:before="0" w:after="0" w:line="240" w:lineRule="auto"/>
        <w:ind w:left="500" w:right="0" w:hanging="300"/>
        <w:jc w:val="left"/>
        <w:rPr>
          <w:sz w:val="24"/>
        </w:rPr>
      </w:pPr>
      <w:r>
        <w:rPr>
          <w:sz w:val="24"/>
        </w:rPr>
        <w:t>防止因分娩而導致的住院時間限制為陰道分娩的住院時間少於 48</w:t>
      </w:r>
      <w:r>
        <w:rPr>
          <w:spacing w:val="-2"/>
          <w:sz w:val="24"/>
        </w:rPr>
        <w:t xml:space="preserve"> 小時，剖腹產分娩</w:t>
      </w:r>
    </w:p>
    <w:p>
      <w:pPr>
        <w:spacing w:before="2"/>
        <w:ind w:left="200" w:right="0" w:firstLine="0"/>
        <w:jc w:val="left"/>
        <w:rPr>
          <w:sz w:val="24"/>
        </w:rPr>
      </w:pPr>
      <w:r>
        <w:rPr>
          <w:sz w:val="24"/>
        </w:rPr>
        <w:t>的住院時間少於 96</w:t>
      </w:r>
      <w:r>
        <w:rPr>
          <w:spacing w:val="-3"/>
          <w:sz w:val="24"/>
        </w:rPr>
        <w:t xml:space="preserve"> 小時。</w:t>
      </w:r>
    </w:p>
    <w:p>
      <w:pPr>
        <w:pStyle w:val="ListParagraph"/>
        <w:numPr>
          <w:ilvl w:val="0"/>
          <w:numId w:val="1"/>
        </w:numPr>
        <w:tabs>
          <w:tab w:val="left" w:pos="440"/>
        </w:tabs>
        <w:spacing w:before="312" w:after="0" w:line="240" w:lineRule="auto"/>
        <w:ind w:left="440" w:right="0" w:hanging="240"/>
        <w:jc w:val="left"/>
        <w:rPr>
          <w:sz w:val="24"/>
        </w:rPr>
      </w:pPr>
      <w:r>
        <w:rPr>
          <w:spacing w:val="-1"/>
          <w:sz w:val="24"/>
        </w:rPr>
        <w:t>為乳房切除術後乳房重建提供福利的某些要求。</w:t>
      </w:r>
    </w:p>
    <w:p>
      <w:pPr>
        <w:pStyle w:val="ListParagraph"/>
        <w:numPr>
          <w:ilvl w:val="0"/>
          <w:numId w:val="1"/>
        </w:numPr>
        <w:tabs>
          <w:tab w:val="left" w:pos="440"/>
        </w:tabs>
        <w:spacing w:before="312" w:after="0" w:line="240" w:lineRule="auto"/>
        <w:ind w:left="200" w:right="359" w:firstLine="0"/>
        <w:jc w:val="left"/>
        <w:rPr>
          <w:sz w:val="24"/>
        </w:rPr>
      </w:pPr>
      <w:r>
        <w:rPr>
          <w:spacing w:val="-2"/>
          <w:sz w:val="24"/>
        </w:rPr>
        <w:t>對於僅根據學生身分作為計畫承保的受扶養子女，如果因醫療原因需要從高等教育機構休學，則可繼續承保長達一年。</w:t>
      </w:r>
    </w:p>
    <w:p>
      <w:pPr>
        <w:pStyle w:val="BodyText"/>
        <w:spacing w:before="1"/>
        <w:rPr>
          <w:sz w:val="24"/>
        </w:rPr>
      </w:pPr>
    </w:p>
    <w:p>
      <w:pPr>
        <w:spacing w:before="0"/>
        <w:ind w:left="200" w:right="359" w:firstLine="0"/>
        <w:jc w:val="left"/>
        <w:rPr>
          <w:sz w:val="24"/>
        </w:rPr>
      </w:pPr>
      <w:r>
        <w:rPr>
          <w:spacing w:val="-2"/>
          <w:sz w:val="24"/>
        </w:rPr>
        <w:t>這些聯邦要求的豁免將在（計劃年）（計劃承保期間）開始（指定日期）和結束（指定日期）期間生效。選舉可能會在隨後的計劃年度中延續。</w:t>
      </w:r>
    </w:p>
    <w:p>
      <w:pPr>
        <w:pStyle w:val="BodyText"/>
        <w:spacing w:before="5"/>
        <w:rPr>
          <w:sz w:val="24"/>
        </w:rPr>
      </w:pPr>
    </w:p>
    <w:p>
      <w:pPr>
        <w:pStyle w:val="Heading1"/>
        <w:ind w:right="711"/>
      </w:pPr>
      <w:r>
        <w:rPr>
          <w:spacing w:val="-2"/>
        </w:rPr>
        <w:t>[如果該計劃自願或根據州法律提供類似於任何豁免要求的保護，則可以確定這些保</w:t>
      </w:r>
      <w:r>
        <w:rPr>
          <w:spacing w:val="-4"/>
        </w:rPr>
        <w:t>護。]</w:t>
      </w:r>
    </w:p>
    <w:p>
      <w:pPr>
        <w:spacing w:after="0"/>
        <w:sectPr>
          <w:headerReference w:type="default" r:id="rId4"/>
          <w:type w:val="continuous"/>
          <w:pgSz w:w="12240" w:h="15840"/>
          <w:pgMar w:top="1740" w:right="1320" w:bottom="280" w:left="1240" w:header="749" w:footer="0"/>
          <w:pgNumType w:start="1"/>
          <w:cols w:space="720"/>
        </w:sectPr>
      </w:pPr>
    </w:p>
    <w:p>
      <w:pPr>
        <w:spacing w:before="37"/>
        <w:ind w:left="100" w:right="0" w:firstLine="0"/>
        <w:jc w:val="left"/>
        <w:rPr>
          <w:b/>
          <w:sz w:val="22"/>
        </w:rPr>
      </w:pPr>
      <w:r>
        <w:rPr>
          <w:b/>
          <w:sz w:val="24"/>
          <w:u w:val="single"/>
        </w:rPr>
        <w:t>PRA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pacing w:val="-3"/>
          <w:sz w:val="22"/>
          <w:u w:val="single"/>
        </w:rPr>
        <w:t>公告聲明</w:t>
      </w:r>
    </w:p>
    <w:p>
      <w:pPr>
        <w:pStyle w:val="BodyText"/>
        <w:spacing w:before="28"/>
        <w:rPr>
          <w:b/>
        </w:rPr>
      </w:pPr>
    </w:p>
    <w:p>
      <w:pPr>
        <w:pStyle w:val="BodyText"/>
        <w:ind w:left="100" w:right="113"/>
      </w:pPr>
      <w:r>
        <w:rPr>
          <w:spacing w:val="-5"/>
        </w:rPr>
        <w:t xml:space="preserve">根據 </w:t>
      </w:r>
      <w:r>
        <w:t>1995</w:t>
      </w:r>
      <w:r>
        <w:rPr>
          <w:spacing w:val="-5"/>
        </w:rPr>
        <w:t xml:space="preserve"> 年《減少文書工作法案》，任何人都無需對資訊收集作出回應，除非資訊顯示有效的 </w:t>
      </w:r>
      <w:r>
        <w:t>O MB</w:t>
      </w:r>
      <w:r>
        <w:rPr>
          <w:spacing w:val="-4"/>
        </w:rPr>
        <w:t xml:space="preserve"> 控制編號。此資訊收集的有效 </w:t>
      </w:r>
      <w:r>
        <w:t>OMB</w:t>
      </w:r>
      <w:r>
        <w:rPr>
          <w:spacing w:val="-5"/>
        </w:rPr>
        <w:t xml:space="preserve"> 控制號碼是 </w:t>
      </w:r>
      <w:r>
        <w:rPr>
          <w:b/>
        </w:rPr>
        <w:t>0938-0702</w:t>
      </w:r>
      <w:r>
        <w:t>。此資訊收集與自籌資金的非聯邦政府雇主的要求相關，這些雇主的自籌資金健康計劃免除了《公共衛生服務(PHS)</w:t>
      </w:r>
      <w:r>
        <w:rPr>
          <w:spacing w:val="-6"/>
        </w:rPr>
        <w:t xml:space="preserve"> 法》第</w:t>
      </w:r>
      <w:r>
        <w:t>XXVII</w:t>
      </w:r>
      <w:r>
        <w:rPr>
          <w:spacing w:val="-6"/>
        </w:rPr>
        <w:t xml:space="preserve"> 章中</w:t>
      </w:r>
      <w:r>
        <w:rPr>
          <w:spacing w:val="-2"/>
        </w:rPr>
        <w:t xml:space="preserve">通知計劃參與者的要求（每年和在註冊時）有關此類豁免的事實和後果。完成此資訊收集所需的時間估計為每次回應平均 </w:t>
      </w:r>
      <w:r>
        <w:rPr>
          <w:b/>
        </w:rPr>
        <w:t>15</w:t>
      </w:r>
      <w:r>
        <w:rPr>
          <w:b/>
          <w:spacing w:val="-7"/>
        </w:rPr>
        <w:t xml:space="preserve"> 分鐘</w:t>
      </w:r>
      <w:r>
        <w:t>，包括審查說明、搜尋現有資料資源、收集所需資料以及完成和審查資訊收集的時間。需要收集此資訊才能獲得或保留福利 (45 CFR 146.180)。這是第三方通知，</w:t>
      </w:r>
      <w:r>
        <w:rPr>
          <w:spacing w:val="-2"/>
        </w:rPr>
        <w:t>第三方之間的保密問題不屬於收集範圍。如果您對時間估計的準確性有任何意見或對改進此模型通</w:t>
      </w:r>
      <w:r>
        <w:t>知有任何意見，請寫信至：CMS,</w:t>
      </w:r>
      <w:r>
        <w:rPr>
          <w:spacing w:val="-5"/>
        </w:rPr>
        <w:t xml:space="preserve"> </w:t>
      </w:r>
      <w:r>
        <w:t>7500</w:t>
      </w:r>
      <w:r>
        <w:rPr>
          <w:spacing w:val="-5"/>
        </w:rPr>
        <w:t xml:space="preserve"> </w:t>
      </w:r>
      <w:r>
        <w:t>Security</w:t>
      </w:r>
      <w:r>
        <w:rPr>
          <w:spacing w:val="-6"/>
        </w:rPr>
        <w:t xml:space="preserve"> </w:t>
      </w:r>
      <w:r>
        <w:t>Boulevard,</w:t>
      </w:r>
      <w:r>
        <w:rPr>
          <w:spacing w:val="-6"/>
        </w:rPr>
        <w:t xml:space="preserve"> </w:t>
      </w:r>
      <w:r>
        <w:t>Attn: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Collections</w:t>
      </w:r>
      <w:r>
        <w:rPr>
          <w:spacing w:val="-5"/>
        </w:rPr>
        <w:t xml:space="preserve"> </w:t>
      </w:r>
      <w:r>
        <w:t xml:space="preserve">Cl earance Officer, Mail Stop C4-26-05, Baltimore, Maryland 21244-1850 或 </w:t>
      </w:r>
      <w:hyperlink r:id="rId5">
        <w:r>
          <w:rPr>
            <w:spacing w:val="-2"/>
          </w:rPr>
          <w:t>jose.gomez1@cms.hhs.gov</w:t>
        </w:r>
      </w:hyperlink>
    </w:p>
    <w:sectPr>
      <w:pgSz w:w="12240" w:h="15840"/>
      <w:pgMar w:top="1740" w:right="1320" w:bottom="280" w:left="1240" w:header="749" w:foo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charset w:val="00"/>
    <w:family w:val="roman"/>
    <w:pitch w:val="variable"/>
  </w:font>
  <w:font w:name="Arial">
    <w:altName w:val="Arial"/>
    <w:charset w:val="00"/>
    <w:family w:val="swiss"/>
    <w:pitch w:val="variable"/>
  </w:font>
  <w:font w:name="SimSun">
    <w:altName w:val="SimSun"/>
    <w:charset w:val="00"/>
    <w:family w:val="auto"/>
    <w:pitch w:val="variable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5513070</wp:posOffset>
              </wp:positionH>
              <wp:positionV relativeFrom="page">
                <wp:posOffset>463157</wp:posOffset>
              </wp:positionV>
              <wp:extent cx="1423035" cy="31750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23035" cy="317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0" w:line="248" w:lineRule="exact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OMB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控制編號 </w:t>
                          </w:r>
                          <w:r>
                            <w:rPr>
                              <w:sz w:val="20"/>
                            </w:rPr>
                            <w:t>0938-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0702</w:t>
                          </w:r>
                        </w:p>
                        <w:p>
                          <w:pPr>
                            <w:spacing w:before="0" w:line="252" w:lineRule="exact"/>
                            <w:ind w:left="119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"/>
                              <w:sz w:val="20"/>
                            </w:rPr>
                            <w:t xml:space="preserve">有效期限： 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  <w:highlight w:val="cyan"/>
                            </w:rPr>
                            <w:t>XX/XX/XXXX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width:112.05pt;height:25pt;margin-top:36.47pt;margin-left:434.1pt;mso-position-horizontal-relative:page;mso-position-vertical-relative:page;position:absolute;z-index:-251657216" filled="f" stroked="f">
              <v:textbox inset="0,0,0,0">
                <w:txbxContent>
                  <w:p>
                    <w:pPr>
                      <w:spacing w:before="0" w:line="248" w:lineRule="exact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OMB</w:t>
                    </w:r>
                    <w:r>
                      <w:rPr>
                        <w:spacing w:val="-3"/>
                        <w:sz w:val="20"/>
                      </w:rPr>
                      <w:t xml:space="preserve"> 控制編號 </w:t>
                    </w:r>
                    <w:r>
                      <w:rPr>
                        <w:sz w:val="20"/>
                      </w:rPr>
                      <w:t>0938-</w:t>
                    </w:r>
                    <w:r>
                      <w:rPr>
                        <w:spacing w:val="-4"/>
                        <w:sz w:val="20"/>
                      </w:rPr>
                      <w:t>0702</w:t>
                    </w:r>
                  </w:p>
                  <w:p>
                    <w:pPr>
                      <w:spacing w:before="0" w:line="252" w:lineRule="exact"/>
                      <w:ind w:left="119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 xml:space="preserve">有效期限： </w:t>
                    </w:r>
                    <w:r>
                      <w:rPr>
                        <w:color w:val="000000"/>
                        <w:spacing w:val="-2"/>
                        <w:sz w:val="20"/>
                        <w:highlight w:val="cyan"/>
                      </w:rPr>
                      <w:t>XX/XX/XXXX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C6051E9"/>
    <w:multiLevelType w:val="hybridMultilevel"/>
    <w:tmpl w:val="00000000"/>
    <w:lvl w:ilvl="0">
      <w:start w:val="1"/>
      <w:numFmt w:val="decimal"/>
      <w:lvlText w:val="%1."/>
      <w:lvlJc w:val="left"/>
      <w:pPr>
        <w:ind w:left="500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418" w:hanging="30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2336" w:hanging="30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3254" w:hanging="30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4172" w:hanging="30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5090" w:hanging="30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6008" w:hanging="30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6926" w:hanging="30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7844" w:hanging="300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SimSun" w:eastAsia="SimSun" w:hAnsi="SimSun" w:cs="SimSun"/>
      <w:lang w:val="en-US" w:eastAsia="zh-TW" w:bidi="ar-SA"/>
    </w:rPr>
  </w:style>
  <w:style w:type="character" w:default="1" w:styleId="DefaultParagraphFont">
    <w:name w:val="Default Paragraph Font"/>
    <w:uiPriority w:val="1"/>
    <w:semiHidden/>
    <w:unhideWhenUsed/>
  </w:style>
  <w:style w:type="numbering" w:default="1" w:styleId="NoLi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SimSun" w:eastAsia="SimSun" w:hAnsi="SimSun" w:cs="SimSun"/>
      <w:sz w:val="22"/>
      <w:szCs w:val="22"/>
      <w:lang w:val="en-US" w:eastAsia="zh-TW" w:bidi="ar-SA"/>
    </w:rPr>
  </w:style>
  <w:style w:type="paragraph" w:customStyle="1" w:styleId="Heading1">
    <w:name w:val="Heading 1"/>
    <w:basedOn w:val="Normal"/>
    <w:uiPriority w:val="1"/>
    <w:qFormat/>
    <w:pPr>
      <w:ind w:left="200"/>
      <w:outlineLvl w:val="1"/>
    </w:pPr>
    <w:rPr>
      <w:rFonts w:ascii="SimSun" w:eastAsia="SimSun" w:hAnsi="SimSun" w:cs="SimSun"/>
      <w:b/>
      <w:bCs/>
      <w:sz w:val="24"/>
      <w:szCs w:val="24"/>
      <w:lang w:val="en-US" w:eastAsia="zh-TW" w:bidi="ar-SA"/>
    </w:rPr>
  </w:style>
  <w:style w:type="paragraph" w:styleId="ListParagraph">
    <w:name w:val="List Paragraph"/>
    <w:basedOn w:val="Normal"/>
    <w:uiPriority w:val="1"/>
    <w:qFormat/>
    <w:pPr>
      <w:spacing w:before="312"/>
      <w:ind w:left="200" w:hanging="300"/>
    </w:pPr>
    <w:rPr>
      <w:rFonts w:ascii="SimSun" w:eastAsia="SimSun" w:hAnsi="SimSun" w:cs="SimSun"/>
      <w:lang w:val="en-US" w:eastAsia="zh-TW" w:bidi="ar-SA"/>
    </w:rPr>
  </w:style>
  <w:style w:type="paragraph" w:customStyle="1" w:styleId="TableParagraph">
    <w:name w:val="Table Paragraph"/>
    <w:basedOn w:val="Normal"/>
    <w:uiPriority w:val="1"/>
    <w:qFormat/>
    <w:rPr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yperlink" Target="mailto:jose.gomez1@cms.hhs.gov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自籌資金的非聯邦政府團體健康計劃參與者的示範通知對於計劃</dc:title>
  <cp:revision>0</cp:revision>
  <dcterms:created xsi:type="dcterms:W3CDTF">2024-10-31T21:16:15Z</dcterms:created>
  <dcterms:modified xsi:type="dcterms:W3CDTF">2024-10-31T21:16:15Z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2024-10-31T00:00:00Z</vt:filetime>
  </property>
  <property fmtid="{D5CDD505-2E9C-101B-9397-08002B2CF9AE}" pid="5" name="Producer">
    <vt:lpwstr>Microsoft® Word LTSC</vt:lpwstr>
  </property>
</Properties>
</file>