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1A3F" w:rsidRPr="006D6112" w:rsidP="00EF0B9F" w14:paraId="4A74A880" w14:textId="77777777">
      <w:pPr>
        <w:tabs>
          <w:tab w:val="center" w:pos="4680"/>
        </w:tabs>
        <w:jc w:val="center"/>
        <w:rPr>
          <w:bCs/>
          <w:sz w:val="24"/>
        </w:rPr>
      </w:pPr>
      <w:r w:rsidRPr="006D6112">
        <w:rPr>
          <w:bCs/>
          <w:sz w:val="24"/>
        </w:rPr>
        <w:t>Supporting Statement</w:t>
      </w:r>
      <w:r w:rsidRPr="006D6112" w:rsidR="00DB4682">
        <w:rPr>
          <w:bCs/>
          <w:sz w:val="24"/>
        </w:rPr>
        <w:t xml:space="preserve"> A</w:t>
      </w:r>
    </w:p>
    <w:p w:rsidR="00671A3F" w:rsidRPr="006D6112" w:rsidP="00EF0B9F" w14:paraId="78710A31" w14:textId="77777777">
      <w:pPr>
        <w:tabs>
          <w:tab w:val="center" w:pos="4680"/>
        </w:tabs>
        <w:jc w:val="center"/>
        <w:rPr>
          <w:bCs/>
          <w:sz w:val="24"/>
        </w:rPr>
      </w:pPr>
      <w:r w:rsidRPr="006D6112">
        <w:rPr>
          <w:bCs/>
          <w:sz w:val="24"/>
        </w:rPr>
        <w:t>Medicaid State Plan Base Plan Pages</w:t>
      </w:r>
    </w:p>
    <w:p w:rsidR="008A02EC" w:rsidRPr="006D6112" w:rsidP="00EF0B9F" w14:paraId="23A0F5E2" w14:textId="77777777">
      <w:pPr>
        <w:tabs>
          <w:tab w:val="center" w:pos="4680"/>
        </w:tabs>
        <w:jc w:val="center"/>
        <w:rPr>
          <w:bCs/>
          <w:sz w:val="24"/>
        </w:rPr>
      </w:pPr>
      <w:r w:rsidRPr="006D6112">
        <w:rPr>
          <w:bCs/>
          <w:sz w:val="24"/>
        </w:rPr>
        <w:t xml:space="preserve">CMS-179, OMB </w:t>
      </w:r>
      <w:r w:rsidRPr="006D6112" w:rsidR="002C5FA5">
        <w:rPr>
          <w:bCs/>
          <w:sz w:val="24"/>
        </w:rPr>
        <w:t>0938-0193</w:t>
      </w:r>
    </w:p>
    <w:p w:rsidR="001C628C" w:rsidRPr="006D6112" w14:paraId="7105B125" w14:textId="77777777">
      <w:pPr>
        <w:tabs>
          <w:tab w:val="center" w:pos="4680"/>
        </w:tabs>
        <w:rPr>
          <w:bCs/>
          <w:sz w:val="24"/>
        </w:rPr>
      </w:pPr>
    </w:p>
    <w:p w:rsidR="00671A3F" w:rsidRPr="001C7D11" w14:paraId="0269D4AD" w14:textId="77777777">
      <w:pPr>
        <w:rPr>
          <w:sz w:val="24"/>
        </w:rPr>
      </w:pPr>
      <w:r w:rsidRPr="001C7D11">
        <w:rPr>
          <w:b/>
          <w:bCs/>
          <w:sz w:val="24"/>
        </w:rPr>
        <w:t>BACKGROUND</w:t>
      </w:r>
    </w:p>
    <w:p w:rsidR="00671A3F" w:rsidRPr="001C7D11" w14:paraId="3110AA9E" w14:textId="77777777">
      <w:pPr>
        <w:rPr>
          <w:sz w:val="24"/>
        </w:rPr>
      </w:pPr>
    </w:p>
    <w:p w:rsidR="00EF0BFA" w:rsidRPr="001C7D11" w:rsidP="00A26926" w14:paraId="676E4AF6" w14:textId="77777777">
      <w:pPr>
        <w:rPr>
          <w:sz w:val="24"/>
        </w:rPr>
      </w:pPr>
      <w:r w:rsidRPr="001C7D11">
        <w:rPr>
          <w:sz w:val="24"/>
        </w:rPr>
        <w:t xml:space="preserve">The Centers for Medicare &amp; Medicaid </w:t>
      </w:r>
      <w:r w:rsidRPr="001C7D11" w:rsidR="00B7055C">
        <w:rPr>
          <w:sz w:val="24"/>
        </w:rPr>
        <w:t xml:space="preserve">Services (CMS) </w:t>
      </w:r>
      <w:r w:rsidRPr="001C7D11">
        <w:rPr>
          <w:sz w:val="24"/>
        </w:rPr>
        <w:t>work</w:t>
      </w:r>
      <w:r w:rsidRPr="001C7D11" w:rsidR="00B7055C">
        <w:rPr>
          <w:sz w:val="24"/>
        </w:rPr>
        <w:t>s</w:t>
      </w:r>
      <w:r w:rsidRPr="001C7D11">
        <w:rPr>
          <w:sz w:val="24"/>
        </w:rPr>
        <w:t xml:space="preserve"> in partnership with States to implement Medicaid, which provides health coverage to millions of Americans. Medicaid is </w:t>
      </w:r>
      <w:r w:rsidRPr="001C7D11" w:rsidR="00C7560D">
        <w:rPr>
          <w:sz w:val="24"/>
        </w:rPr>
        <w:t>rooted</w:t>
      </w:r>
      <w:r w:rsidRPr="001C7D11">
        <w:rPr>
          <w:sz w:val="24"/>
        </w:rPr>
        <w:t xml:space="preserve"> in Federal statute (Title XIX of the Social Security Act), associated regulations and policy guidance, and the approved State plan documents that serve as a contract between CMS and States about how Medicaid will be operated in that State</w:t>
      </w:r>
      <w:r w:rsidRPr="001C7D11" w:rsidR="00520D47">
        <w:rPr>
          <w:sz w:val="24"/>
        </w:rPr>
        <w:t xml:space="preserve"> (or Territory)</w:t>
      </w:r>
      <w:r w:rsidRPr="001C7D11" w:rsidR="00C65510">
        <w:rPr>
          <w:sz w:val="24"/>
        </w:rPr>
        <w:t>.</w:t>
      </w:r>
      <w:r w:rsidRPr="001C7D11">
        <w:rPr>
          <w:sz w:val="24"/>
        </w:rPr>
        <w:t xml:space="preserve"> CMS works collaboratively with States </w:t>
      </w:r>
      <w:r w:rsidRPr="001C7D11" w:rsidR="00520D47">
        <w:rPr>
          <w:sz w:val="24"/>
        </w:rPr>
        <w:t xml:space="preserve">(including States and Territories) </w:t>
      </w:r>
      <w:r w:rsidRPr="001C7D11">
        <w:rPr>
          <w:sz w:val="24"/>
        </w:rPr>
        <w:t>in the ongoing management of programs and policies.</w:t>
      </w:r>
    </w:p>
    <w:p w:rsidR="00326D7B" w:rsidRPr="001C7D11" w:rsidP="00326D7B" w14:paraId="0D3EAEDD" w14:textId="77777777">
      <w:pPr>
        <w:rPr>
          <w:sz w:val="24"/>
        </w:rPr>
      </w:pPr>
    </w:p>
    <w:p w:rsidR="00326D7B" w:rsidRPr="001C7D11" w:rsidP="00541B84" w14:paraId="7BED2C3B" w14:textId="2613C88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80400">
        <w:rPr>
          <w:sz w:val="24"/>
        </w:rPr>
        <w:t>This 20</w:t>
      </w:r>
      <w:r w:rsidRPr="00480400" w:rsidR="007B2E09">
        <w:rPr>
          <w:sz w:val="24"/>
        </w:rPr>
        <w:t>24</w:t>
      </w:r>
      <w:r w:rsidRPr="00480400">
        <w:rPr>
          <w:sz w:val="24"/>
        </w:rPr>
        <w:t xml:space="preserve"> iteration</w:t>
      </w:r>
      <w:r w:rsidRPr="00480400" w:rsidR="00FA28C2">
        <w:rPr>
          <w:sz w:val="24"/>
        </w:rPr>
        <w:t xml:space="preserve"> </w:t>
      </w:r>
      <w:r w:rsidRPr="00480400" w:rsidR="00081F15">
        <w:rPr>
          <w:sz w:val="24"/>
        </w:rPr>
        <w:t xml:space="preserve">does not </w:t>
      </w:r>
      <w:r w:rsidRPr="00480400" w:rsidR="00FA28C2">
        <w:rPr>
          <w:sz w:val="24"/>
        </w:rPr>
        <w:t>propose</w:t>
      </w:r>
      <w:r w:rsidRPr="00480400" w:rsidR="00081F15">
        <w:rPr>
          <w:sz w:val="24"/>
        </w:rPr>
        <w:t xml:space="preserve"> to revise </w:t>
      </w:r>
      <w:r w:rsidRPr="00480400" w:rsidR="00480400">
        <w:rPr>
          <w:sz w:val="24"/>
        </w:rPr>
        <w:t xml:space="preserve">any of </w:t>
      </w:r>
      <w:r w:rsidRPr="00480400" w:rsidR="00081F15">
        <w:rPr>
          <w:sz w:val="24"/>
        </w:rPr>
        <w:t xml:space="preserve">our active collection of information requirements and collection instruments. We have, however, adjusted our cost estimate by using current wage data. Overall, this iteration increases our cost estimate by </w:t>
      </w:r>
      <w:r w:rsidRPr="00480400" w:rsidR="00F23804">
        <w:rPr>
          <w:sz w:val="24"/>
        </w:rPr>
        <w:t>$209,216</w:t>
      </w:r>
      <w:r w:rsidRPr="00480400" w:rsidR="00081F15">
        <w:rPr>
          <w:sz w:val="24"/>
        </w:rPr>
        <w:t xml:space="preserve"> (</w:t>
      </w:r>
      <w:r w:rsidRPr="00480400" w:rsidR="00480400">
        <w:rPr>
          <w:sz w:val="24"/>
        </w:rPr>
        <w:t>see Section 15 for details)</w:t>
      </w:r>
      <w:r w:rsidRPr="00480400" w:rsidR="00FA28C2">
        <w:rPr>
          <w:sz w:val="24"/>
        </w:rPr>
        <w:t>.</w:t>
      </w:r>
    </w:p>
    <w:p w:rsidR="00326D7B" w:rsidRPr="001C7D11" w:rsidP="00326D7B" w14:paraId="54C6D79B" w14:textId="77777777">
      <w:pPr>
        <w:rPr>
          <w:sz w:val="24"/>
        </w:rPr>
      </w:pPr>
    </w:p>
    <w:p w:rsidR="00671A3F" w:rsidRPr="001C7D11" w14:paraId="6B4A3F08" w14:textId="77777777">
      <w:pPr>
        <w:pStyle w:val="Heading1"/>
        <w:rPr>
          <w:u w:val="none"/>
        </w:rPr>
      </w:pPr>
      <w:r w:rsidRPr="001C7D11">
        <w:rPr>
          <w:u w:val="none"/>
        </w:rPr>
        <w:t>A</w:t>
      </w:r>
      <w:r w:rsidRPr="001C7D11">
        <w:rPr>
          <w:u w:val="none"/>
        </w:rPr>
        <w:t>.</w:t>
      </w:r>
      <w:r w:rsidRPr="001C7D11">
        <w:rPr>
          <w:u w:val="none"/>
        </w:rPr>
        <w:tab/>
        <w:t>JUSTIFICATION</w:t>
      </w:r>
    </w:p>
    <w:p w:rsidR="00671A3F" w:rsidRPr="001C7D11" w14:paraId="1A60FB10" w14:textId="77777777">
      <w:pPr>
        <w:rPr>
          <w:b/>
          <w:bCs/>
          <w:sz w:val="24"/>
          <w:u w:val="single"/>
        </w:rPr>
      </w:pPr>
    </w:p>
    <w:p w:rsidR="00671A3F" w:rsidRPr="001C7D11" w:rsidP="004E3D04" w14:paraId="158C50AF" w14:textId="77777777">
      <w:pPr>
        <w:tabs>
          <w:tab w:val="left" w:pos="-1440"/>
        </w:tabs>
        <w:ind w:left="720" w:hanging="720"/>
        <w:rPr>
          <w:sz w:val="24"/>
          <w:u w:val="single"/>
        </w:rPr>
      </w:pPr>
      <w:r w:rsidRPr="001C7D11">
        <w:rPr>
          <w:sz w:val="24"/>
          <w:u w:val="single"/>
        </w:rPr>
        <w:t>1.</w:t>
      </w:r>
      <w:r w:rsidRPr="001C7D11">
        <w:rPr>
          <w:sz w:val="24"/>
          <w:u w:val="single"/>
        </w:rPr>
        <w:tab/>
        <w:t>Need and Legal Basis</w:t>
      </w:r>
    </w:p>
    <w:p w:rsidR="008A02EC" w:rsidRPr="001C7D11" w:rsidP="004E3D04" w14:paraId="43000212" w14:textId="77777777">
      <w:pPr>
        <w:tabs>
          <w:tab w:val="left" w:pos="-1440"/>
        </w:tabs>
        <w:ind w:left="720" w:hanging="720"/>
        <w:rPr>
          <w:b/>
          <w:bCs/>
          <w:sz w:val="24"/>
          <w:u w:val="single"/>
        </w:rPr>
      </w:pPr>
    </w:p>
    <w:p w:rsidR="00486C2E" w:rsidRPr="001C7D11" w:rsidP="00A26926" w14:paraId="725C44BA" w14:textId="77777777">
      <w:pPr>
        <w:rPr>
          <w:sz w:val="24"/>
        </w:rPr>
      </w:pPr>
      <w:r w:rsidRPr="00B7253B">
        <w:rPr>
          <w:sz w:val="24"/>
        </w:rPr>
        <w:t>Section 1901 of the Social Security Act (42 U.S.C. 1936) requires States to</w:t>
      </w:r>
      <w:r w:rsidRPr="001C7D11">
        <w:rPr>
          <w:sz w:val="24"/>
        </w:rPr>
        <w:t xml:space="preserve"> establish a State plan for medical assistance that is approved by the Secretary to carry out the purpose of Title XIX. The State plan is a comprehensive document (approximately 700 pages) comprised of semi-structured templates developed by CMS and completed by State Medicaid agencies. The State plan functions as a contract between the State and Federal government, describing how the State will implement its program in accordance with Federal laws and regulations in order to secure Federal funding.</w:t>
      </w:r>
    </w:p>
    <w:p w:rsidR="00486C2E" w:rsidRPr="001C7D11" w:rsidP="00A26926" w14:paraId="58C58BC1" w14:textId="77777777">
      <w:pPr>
        <w:rPr>
          <w:sz w:val="24"/>
        </w:rPr>
      </w:pPr>
    </w:p>
    <w:p w:rsidR="00486C2E" w:rsidRPr="001C7D11" w:rsidP="00A26926" w14:paraId="2D8F5271" w14:textId="77777777">
      <w:pPr>
        <w:rPr>
          <w:sz w:val="24"/>
        </w:rPr>
      </w:pPr>
      <w:r w:rsidRPr="001C7D11">
        <w:rPr>
          <w:sz w:val="24"/>
        </w:rPr>
        <w:t>When a State wants to change its Medicaid program, the State Medicaid agency is responsible for developing an amendment submission for CMS approval, also called a State plan amendment or SPA. The State completes the templates relevant to the program change it seeks and submits the SPA to CMS for approval. The SPA submission includes a CMS-179 transmittal form and the relevant SPA templates the State wishes to update or revise. A State may amend one or more of the plan pages at a time. The templates are semi-structured forms that correspond to the statutory and regulatory Medicaid requirements. The data structure CMS provides in the forms allows States to develop SPAs more efficiently by including only relevant information. The plan pages are organized by subject matters which include Medicaid eligibility, services, payment for services, and general and personnel administration.</w:t>
      </w:r>
    </w:p>
    <w:p w:rsidR="00486C2E" w:rsidRPr="001C7D11" w:rsidP="00A26926" w14:paraId="6E5A7F08" w14:textId="77777777">
      <w:pPr>
        <w:rPr>
          <w:sz w:val="24"/>
        </w:rPr>
      </w:pPr>
    </w:p>
    <w:p w:rsidR="003549AF" w:rsidRPr="001C7D11" w:rsidP="00A26926" w14:paraId="20C848C6" w14:textId="77777777">
      <w:pPr>
        <w:rPr>
          <w:sz w:val="24"/>
        </w:rPr>
      </w:pPr>
      <w:r w:rsidRPr="001C7D11">
        <w:rPr>
          <w:sz w:val="24"/>
        </w:rPr>
        <w:t xml:space="preserve">When CMS receives the SPA, it has 90 calendar days to </w:t>
      </w:r>
      <w:r w:rsidRPr="001C7D11">
        <w:rPr>
          <w:sz w:val="24"/>
        </w:rPr>
        <w:t xml:space="preserve">approve or disapprove the SPA, or formally request additional information. If CMS does not act within 90 calendar days, the SPA is deemed approved. If CMS formally requests additional information, the review clock stops until the State submits a formal response. When the State formally responds, a second 90-day review </w:t>
      </w:r>
      <w:r w:rsidRPr="001C7D11">
        <w:rPr>
          <w:sz w:val="24"/>
        </w:rPr>
        <w:t>clock begins, and CMS must either approve or disapprove the SPA within 90 calendar days. For a State to receive Medicaid Title XIX funding, there must be an approved Title XIX State plan.</w:t>
      </w:r>
    </w:p>
    <w:p w:rsidR="00EF0BFA" w:rsidRPr="001C7D11" w:rsidP="00A47CB9" w14:paraId="3E9C98F0" w14:textId="77777777">
      <w:pPr>
        <w:ind w:left="720"/>
        <w:rPr>
          <w:sz w:val="24"/>
        </w:rPr>
      </w:pPr>
    </w:p>
    <w:p w:rsidR="00671A3F" w:rsidRPr="001C7D11" w:rsidP="00A47CB9" w14:paraId="18A41432" w14:textId="77777777">
      <w:pPr>
        <w:tabs>
          <w:tab w:val="left" w:pos="-1440"/>
        </w:tabs>
        <w:ind w:left="720" w:hanging="720"/>
        <w:rPr>
          <w:sz w:val="24"/>
          <w:u w:val="single"/>
        </w:rPr>
      </w:pPr>
      <w:r w:rsidRPr="001C7D11">
        <w:rPr>
          <w:sz w:val="24"/>
          <w:u w:val="single"/>
        </w:rPr>
        <w:t>2.</w:t>
      </w:r>
      <w:r w:rsidRPr="001C7D11">
        <w:rPr>
          <w:sz w:val="24"/>
          <w:u w:val="single"/>
        </w:rPr>
        <w:tab/>
        <w:t>Information Users</w:t>
      </w:r>
    </w:p>
    <w:p w:rsidR="00671A3F" w:rsidRPr="001C7D11" w14:paraId="69A76FF1" w14:textId="77777777">
      <w:pPr>
        <w:rPr>
          <w:sz w:val="24"/>
        </w:rPr>
      </w:pPr>
    </w:p>
    <w:p w:rsidR="00572DE9" w:rsidRPr="001C7D11" w:rsidP="00A26926" w14:paraId="577E7014" w14:textId="4DC1F865">
      <w:pPr>
        <w:rPr>
          <w:sz w:val="24"/>
        </w:rPr>
      </w:pPr>
      <w:r w:rsidRPr="001C7D11">
        <w:rPr>
          <w:sz w:val="24"/>
        </w:rPr>
        <w:t xml:space="preserve">State Medicaid agencies complete the plan pages and submit them to CMS. CMS reviews the information to determine if the State has met all of the requirements of </w:t>
      </w:r>
      <w:r w:rsidR="004E0D1A">
        <w:rPr>
          <w:sz w:val="24"/>
        </w:rPr>
        <w:t xml:space="preserve">Title XIX of the Social Security Act </w:t>
      </w:r>
      <w:r w:rsidRPr="001C7D11">
        <w:rPr>
          <w:sz w:val="24"/>
        </w:rPr>
        <w:t>provisions the States choose to implement. If the requirements are met, CMS will approve the amendments to the State’s Medicaid plan giving the State the authority to implement the flexibilities. If the requirements are not met, CMS will work with the state to modify the submission so that it can move to approval. For a State to receive Medicaid Title XIX funding, there must be an approved Title XIX State plan.</w:t>
      </w:r>
    </w:p>
    <w:p w:rsidR="00671A3F" w:rsidRPr="001C7D11" w14:paraId="289E8EF3" w14:textId="77777777">
      <w:pPr>
        <w:rPr>
          <w:sz w:val="24"/>
        </w:rPr>
      </w:pPr>
    </w:p>
    <w:p w:rsidR="00671A3F" w:rsidRPr="001C7D11" w:rsidP="00A47CB9" w14:paraId="65DED864" w14:textId="77777777">
      <w:pPr>
        <w:tabs>
          <w:tab w:val="left" w:pos="-1440"/>
        </w:tabs>
        <w:ind w:left="720" w:hanging="720"/>
        <w:rPr>
          <w:sz w:val="24"/>
          <w:u w:val="single"/>
        </w:rPr>
      </w:pPr>
      <w:r w:rsidRPr="001C7D11">
        <w:rPr>
          <w:sz w:val="24"/>
          <w:u w:val="single"/>
        </w:rPr>
        <w:t>3.</w:t>
      </w:r>
      <w:r w:rsidRPr="001C7D11">
        <w:rPr>
          <w:sz w:val="24"/>
          <w:u w:val="single"/>
        </w:rPr>
        <w:tab/>
        <w:t>Improved Information Technology</w:t>
      </w:r>
    </w:p>
    <w:p w:rsidR="00A26926" w:rsidRPr="001C7D11" w:rsidP="00A47CB9" w14:paraId="3120658C" w14:textId="77777777">
      <w:pPr>
        <w:tabs>
          <w:tab w:val="left" w:pos="-1440"/>
        </w:tabs>
        <w:ind w:left="720" w:hanging="720"/>
        <w:rPr>
          <w:sz w:val="24"/>
        </w:rPr>
      </w:pPr>
    </w:p>
    <w:p w:rsidR="001E79E7" w:rsidRPr="001C7D11" w:rsidP="0037087F" w14:paraId="42E470F2" w14:textId="455B540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C7D11">
        <w:rPr>
          <w:sz w:val="24"/>
        </w:rPr>
        <w:t xml:space="preserve">The current collection is electronic in the sense that SPAs are normally submitted to CMS via e-mail, generally including either Microsoft Word templates or a scanned version of the paper amendment. CMS is currently developing a structured data system called </w:t>
      </w:r>
      <w:r w:rsidRPr="001C7D11" w:rsidR="00965178">
        <w:rPr>
          <w:sz w:val="24"/>
        </w:rPr>
        <w:t>Medicaid and Chip Program (</w:t>
      </w:r>
      <w:r w:rsidRPr="001C7D11">
        <w:rPr>
          <w:sz w:val="24"/>
        </w:rPr>
        <w:t>MACPro</w:t>
      </w:r>
      <w:r w:rsidRPr="001C7D11" w:rsidR="00965178">
        <w:rPr>
          <w:sz w:val="24"/>
        </w:rPr>
        <w:t>)</w:t>
      </w:r>
      <w:r w:rsidRPr="001C7D11">
        <w:rPr>
          <w:sz w:val="24"/>
        </w:rPr>
        <w:t xml:space="preserve"> that will become the electronic </w:t>
      </w:r>
      <w:r w:rsidRPr="001C7D11" w:rsidR="00030F06">
        <w:rPr>
          <w:sz w:val="24"/>
        </w:rPr>
        <w:t xml:space="preserve">submission and </w:t>
      </w:r>
      <w:r w:rsidRPr="001C7D11">
        <w:rPr>
          <w:sz w:val="24"/>
        </w:rPr>
        <w:t xml:space="preserve">processing system for this collection and related information. </w:t>
      </w:r>
      <w:r w:rsidRPr="001C7D11" w:rsidR="00965178">
        <w:rPr>
          <w:sz w:val="24"/>
        </w:rPr>
        <w:t xml:space="preserve"> </w:t>
      </w:r>
      <w:r w:rsidRPr="001C7D11" w:rsidR="00E12E7B">
        <w:rPr>
          <w:sz w:val="24"/>
        </w:rPr>
        <w:t xml:space="preserve">As the new MACPro templates are completed, portions of this collection will be transferred </w:t>
      </w:r>
      <w:r w:rsidRPr="001C7D11" w:rsidR="00965178">
        <w:rPr>
          <w:sz w:val="24"/>
        </w:rPr>
        <w:t xml:space="preserve">from this collection </w:t>
      </w:r>
      <w:r w:rsidRPr="001C7D11" w:rsidR="00E12E7B">
        <w:rPr>
          <w:sz w:val="24"/>
        </w:rPr>
        <w:t xml:space="preserve">to </w:t>
      </w:r>
      <w:r w:rsidRPr="001C7D11" w:rsidR="00965178">
        <w:rPr>
          <w:sz w:val="24"/>
        </w:rPr>
        <w:t xml:space="preserve">the MACPro </w:t>
      </w:r>
      <w:r w:rsidRPr="001C7D11" w:rsidR="007855B4">
        <w:rPr>
          <w:sz w:val="24"/>
        </w:rPr>
        <w:t>collection of information</w:t>
      </w:r>
      <w:r w:rsidRPr="001C7D11" w:rsidR="00C06650">
        <w:rPr>
          <w:sz w:val="24"/>
        </w:rPr>
        <w:t xml:space="preserve"> (OneMAC)</w:t>
      </w:r>
      <w:r w:rsidRPr="001C7D11" w:rsidR="00965178">
        <w:rPr>
          <w:sz w:val="24"/>
        </w:rPr>
        <w:t xml:space="preserve"> </w:t>
      </w:r>
      <w:r w:rsidRPr="001C7D11" w:rsidR="007855B4">
        <w:rPr>
          <w:sz w:val="24"/>
        </w:rPr>
        <w:t>(</w:t>
      </w:r>
      <w:r w:rsidRPr="001C7D11" w:rsidR="00E12E7B">
        <w:rPr>
          <w:sz w:val="24"/>
        </w:rPr>
        <w:t>CMS-</w:t>
      </w:r>
      <w:r w:rsidRPr="001C7D11" w:rsidR="00965178">
        <w:rPr>
          <w:sz w:val="24"/>
        </w:rPr>
        <w:t>10434, OMB 0938-1188</w:t>
      </w:r>
      <w:r w:rsidRPr="001C7D11" w:rsidR="007855B4">
        <w:rPr>
          <w:sz w:val="24"/>
        </w:rPr>
        <w:t>)</w:t>
      </w:r>
      <w:r w:rsidRPr="001C7D11" w:rsidR="00E12E7B">
        <w:rPr>
          <w:sz w:val="24"/>
        </w:rPr>
        <w:t>.</w:t>
      </w:r>
      <w:r w:rsidR="009212E4">
        <w:rPr>
          <w:sz w:val="24"/>
        </w:rPr>
        <w:t xml:space="preserve"> OneMAC is a system that, once completed, will house all of the State Plan pages.</w:t>
      </w:r>
    </w:p>
    <w:p w:rsidR="00671A3F" w:rsidRPr="001C7D11" w14:paraId="50CDB986" w14:textId="77777777">
      <w:pPr>
        <w:rPr>
          <w:sz w:val="24"/>
        </w:rPr>
      </w:pPr>
    </w:p>
    <w:p w:rsidR="00671A3F" w:rsidRPr="001C7D11" w:rsidP="00A47CB9" w14:paraId="7F5319B3" w14:textId="77777777">
      <w:pPr>
        <w:tabs>
          <w:tab w:val="left" w:pos="-1440"/>
        </w:tabs>
        <w:ind w:left="720" w:hanging="720"/>
        <w:rPr>
          <w:sz w:val="24"/>
          <w:u w:val="single"/>
        </w:rPr>
      </w:pPr>
      <w:r w:rsidRPr="001C7D11">
        <w:rPr>
          <w:sz w:val="24"/>
          <w:u w:val="single"/>
        </w:rPr>
        <w:t>4.</w:t>
      </w:r>
      <w:r w:rsidRPr="001C7D11">
        <w:rPr>
          <w:sz w:val="24"/>
          <w:u w:val="single"/>
        </w:rPr>
        <w:tab/>
        <w:t>Duplication</w:t>
      </w:r>
    </w:p>
    <w:p w:rsidR="00671A3F" w:rsidRPr="001C7D11" w14:paraId="320DE7EE" w14:textId="77777777">
      <w:pPr>
        <w:rPr>
          <w:sz w:val="24"/>
        </w:rPr>
      </w:pPr>
    </w:p>
    <w:p w:rsidR="00030F06" w:rsidRPr="001C7D11" w:rsidP="00A26926" w14:paraId="5A8771B2" w14:textId="77777777">
      <w:pPr>
        <w:rPr>
          <w:sz w:val="24"/>
        </w:rPr>
      </w:pPr>
      <w:r w:rsidRPr="001C7D11">
        <w:rPr>
          <w:sz w:val="24"/>
        </w:rPr>
        <w:t>There is no duplication of similar information.</w:t>
      </w:r>
    </w:p>
    <w:p w:rsidR="00671A3F" w:rsidRPr="001C7D11" w:rsidP="00A47CB9" w14:paraId="1921AA82" w14:textId="77777777">
      <w:pPr>
        <w:tabs>
          <w:tab w:val="left" w:pos="-1440"/>
        </w:tabs>
        <w:ind w:left="720" w:hanging="720"/>
        <w:rPr>
          <w:sz w:val="24"/>
        </w:rPr>
      </w:pPr>
    </w:p>
    <w:p w:rsidR="00671A3F" w:rsidRPr="001C7D11" w:rsidP="00A47CB9" w14:paraId="3B9705D5" w14:textId="77777777">
      <w:pPr>
        <w:tabs>
          <w:tab w:val="left" w:pos="-1440"/>
        </w:tabs>
        <w:ind w:left="720" w:hanging="720"/>
        <w:rPr>
          <w:sz w:val="24"/>
          <w:u w:val="single"/>
        </w:rPr>
      </w:pPr>
      <w:r w:rsidRPr="001C7D11">
        <w:rPr>
          <w:sz w:val="24"/>
          <w:u w:val="single"/>
        </w:rPr>
        <w:t>5.</w:t>
      </w:r>
      <w:r w:rsidRPr="001C7D11">
        <w:rPr>
          <w:sz w:val="24"/>
          <w:u w:val="single"/>
        </w:rPr>
        <w:tab/>
        <w:t>Small Business</w:t>
      </w:r>
    </w:p>
    <w:p w:rsidR="00572DE9" w:rsidRPr="001C7D11" w:rsidP="003A4421" w14:paraId="2BC79698" w14:textId="77777777">
      <w:pPr>
        <w:rPr>
          <w:sz w:val="24"/>
        </w:rPr>
      </w:pPr>
    </w:p>
    <w:p w:rsidR="00572DE9" w:rsidRPr="001C7D11" w:rsidP="00A26926" w14:paraId="22E9135F" w14:textId="77777777">
      <w:pPr>
        <w:rPr>
          <w:sz w:val="24"/>
        </w:rPr>
      </w:pPr>
      <w:r w:rsidRPr="001C7D11">
        <w:rPr>
          <w:sz w:val="24"/>
        </w:rPr>
        <w:t>State plan amendments are prepared and submitted by states. Consequently, there is no burden on small businesses.</w:t>
      </w:r>
    </w:p>
    <w:p w:rsidR="00671A3F" w:rsidRPr="001C7D11" w14:paraId="6298E84B" w14:textId="77777777">
      <w:pPr>
        <w:rPr>
          <w:sz w:val="24"/>
        </w:rPr>
      </w:pPr>
    </w:p>
    <w:p w:rsidR="00671A3F" w:rsidRPr="001C7D11" w:rsidP="00A47CB9" w14:paraId="1F147BB6" w14:textId="77777777">
      <w:pPr>
        <w:tabs>
          <w:tab w:val="left" w:pos="-1440"/>
        </w:tabs>
        <w:ind w:left="720" w:hanging="720"/>
        <w:rPr>
          <w:sz w:val="24"/>
          <w:u w:val="single"/>
        </w:rPr>
      </w:pPr>
      <w:r w:rsidRPr="001C7D11">
        <w:rPr>
          <w:sz w:val="24"/>
          <w:u w:val="single"/>
        </w:rPr>
        <w:t>6.</w:t>
      </w:r>
      <w:r w:rsidRPr="001C7D11">
        <w:rPr>
          <w:sz w:val="24"/>
          <w:u w:val="single"/>
        </w:rPr>
        <w:tab/>
        <w:t>Less Frequent Collection</w:t>
      </w:r>
    </w:p>
    <w:p w:rsidR="00671A3F" w:rsidRPr="001C7D11" w14:paraId="6FDAAF42" w14:textId="77777777">
      <w:pPr>
        <w:rPr>
          <w:sz w:val="24"/>
        </w:rPr>
      </w:pPr>
    </w:p>
    <w:p w:rsidR="0069371D" w:rsidRPr="001C7D11" w:rsidP="00A26926" w14:paraId="33827562" w14:textId="77777777">
      <w:pPr>
        <w:rPr>
          <w:sz w:val="24"/>
        </w:rPr>
      </w:pPr>
      <w:r w:rsidRPr="001C7D11">
        <w:rPr>
          <w:sz w:val="24"/>
        </w:rPr>
        <w:t xml:space="preserve">Once any amendment </w:t>
      </w:r>
      <w:r w:rsidRPr="001C7D11" w:rsidR="0073393F">
        <w:rPr>
          <w:sz w:val="24"/>
        </w:rPr>
        <w:t>is</w:t>
      </w:r>
      <w:r w:rsidRPr="001C7D11">
        <w:rPr>
          <w:sz w:val="24"/>
        </w:rPr>
        <w:t xml:space="preserve"> approved, there is no need to submit additional amendments unless the </w:t>
      </w:r>
      <w:r w:rsidRPr="001C7D11" w:rsidR="0005522B">
        <w:rPr>
          <w:sz w:val="24"/>
        </w:rPr>
        <w:t>State</w:t>
      </w:r>
      <w:r w:rsidRPr="001C7D11" w:rsidR="007C64B1">
        <w:rPr>
          <w:sz w:val="24"/>
        </w:rPr>
        <w:t xml:space="preserve"> </w:t>
      </w:r>
      <w:r w:rsidRPr="001C7D11">
        <w:rPr>
          <w:sz w:val="24"/>
        </w:rPr>
        <w:t xml:space="preserve">initiates a change. This </w:t>
      </w:r>
      <w:r w:rsidRPr="001C7D11" w:rsidR="0005522B">
        <w:rPr>
          <w:sz w:val="24"/>
        </w:rPr>
        <w:t>State</w:t>
      </w:r>
      <w:r w:rsidRPr="001C7D11" w:rsidR="007C64B1">
        <w:rPr>
          <w:sz w:val="24"/>
        </w:rPr>
        <w:t xml:space="preserve"> p</w:t>
      </w:r>
      <w:r w:rsidRPr="001C7D11">
        <w:rPr>
          <w:sz w:val="24"/>
        </w:rPr>
        <w:t xml:space="preserve">lan </w:t>
      </w:r>
      <w:r w:rsidRPr="001C7D11" w:rsidR="00184A68">
        <w:rPr>
          <w:sz w:val="24"/>
        </w:rPr>
        <w:t xml:space="preserve">amendment </w:t>
      </w:r>
      <w:r w:rsidRPr="001C7D11">
        <w:rPr>
          <w:sz w:val="24"/>
        </w:rPr>
        <w:t xml:space="preserve">process is </w:t>
      </w:r>
      <w:r w:rsidRPr="001C7D11" w:rsidR="00030F06">
        <w:rPr>
          <w:sz w:val="24"/>
        </w:rPr>
        <w:t xml:space="preserve">rooted in the statutory language found in Title XIX and </w:t>
      </w:r>
      <w:r w:rsidRPr="001C7D11">
        <w:rPr>
          <w:sz w:val="24"/>
        </w:rPr>
        <w:t xml:space="preserve">has been used </w:t>
      </w:r>
      <w:r w:rsidRPr="001C7D11" w:rsidR="00611C13">
        <w:rPr>
          <w:sz w:val="24"/>
        </w:rPr>
        <w:t>since the inception of Medicaid in 1965</w:t>
      </w:r>
      <w:r w:rsidRPr="001C7D11">
        <w:rPr>
          <w:sz w:val="24"/>
        </w:rPr>
        <w:t xml:space="preserve">.  </w:t>
      </w:r>
    </w:p>
    <w:p w:rsidR="0069371D" w:rsidRPr="001C7D11" w:rsidP="00A47CB9" w14:paraId="2EDDF490" w14:textId="77777777">
      <w:pPr>
        <w:ind w:left="1080"/>
        <w:rPr>
          <w:sz w:val="24"/>
        </w:rPr>
      </w:pPr>
    </w:p>
    <w:p w:rsidR="00671A3F" w:rsidRPr="001C7D11" w:rsidP="00A47CB9" w14:paraId="13FC087D" w14:textId="77777777">
      <w:pPr>
        <w:tabs>
          <w:tab w:val="left" w:pos="-1440"/>
        </w:tabs>
        <w:ind w:left="720" w:hanging="720"/>
        <w:rPr>
          <w:sz w:val="24"/>
          <w:u w:val="single"/>
        </w:rPr>
      </w:pPr>
      <w:r w:rsidRPr="001C7D11">
        <w:rPr>
          <w:sz w:val="24"/>
          <w:u w:val="single"/>
        </w:rPr>
        <w:t>7.</w:t>
      </w:r>
      <w:r w:rsidRPr="001C7D11">
        <w:rPr>
          <w:sz w:val="24"/>
          <w:u w:val="single"/>
        </w:rPr>
        <w:tab/>
        <w:t>Special Circumstances</w:t>
      </w:r>
    </w:p>
    <w:p w:rsidR="00671A3F" w:rsidRPr="001C7D11" w14:paraId="46DE6486" w14:textId="77777777">
      <w:pPr>
        <w:rPr>
          <w:sz w:val="24"/>
        </w:rPr>
      </w:pPr>
    </w:p>
    <w:p w:rsidR="00673D2E" w:rsidRPr="001C7D11" w:rsidP="00A47CB9" w14:paraId="5CC33C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C7D11">
        <w:rPr>
          <w:sz w:val="24"/>
        </w:rPr>
        <w:t>There are no special circumstances that would require an information collection to be conducted in a manner that requires respondents to:</w:t>
      </w:r>
    </w:p>
    <w:p w:rsidR="00673D2E" w:rsidRPr="001C7D11" w:rsidP="00A26926" w14:paraId="48F8A4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14B8B" w:rsidRPr="001C7D11" w:rsidP="00232D6B" w14:paraId="05C04AF1" w14:textId="77777777">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C7D11">
        <w:rPr>
          <w:sz w:val="24"/>
        </w:rPr>
        <w:t>Report information to the agency more often than quarterly;</w:t>
      </w:r>
    </w:p>
    <w:p w:rsidR="00673D2E" w:rsidRPr="001C7D11" w:rsidP="00232D6B" w14:paraId="3D07B02E" w14:textId="77777777">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C7D11">
        <w:rPr>
          <w:sz w:val="24"/>
        </w:rPr>
        <w:t xml:space="preserve">Prepare a written response to a collection of information in fewer than 30 days after receipt </w:t>
      </w:r>
      <w:r w:rsidRPr="001C7D11">
        <w:rPr>
          <w:sz w:val="24"/>
        </w:rPr>
        <w:t xml:space="preserve">of it; </w:t>
      </w:r>
    </w:p>
    <w:p w:rsidR="00673D2E" w:rsidRPr="001C7D11" w:rsidP="00232D6B" w14:paraId="6AFEAA20" w14:textId="77777777">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C7D11">
        <w:rPr>
          <w:sz w:val="24"/>
        </w:rPr>
        <w:t>Submit more than an original and two copies of any document;</w:t>
      </w:r>
    </w:p>
    <w:p w:rsidR="00673D2E" w:rsidRPr="001C7D11" w:rsidP="00232D6B" w14:paraId="46D19086" w14:textId="77777777">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C7D11">
        <w:rPr>
          <w:sz w:val="24"/>
        </w:rPr>
        <w:t>Retain records, other than health, medical, government contract, grant-in-aid, or tax records for more than three years;</w:t>
      </w:r>
    </w:p>
    <w:p w:rsidR="00673D2E" w:rsidRPr="001C7D11" w:rsidP="00232D6B" w14:paraId="70A24B1B" w14:textId="77777777">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C7D11">
        <w:rPr>
          <w:sz w:val="24"/>
        </w:rPr>
        <w:t>Collect data in connection with a statistical survey that is not designed to produce valid and reliable results that can be generalized to the universe of study,</w:t>
      </w:r>
    </w:p>
    <w:p w:rsidR="00673D2E" w:rsidRPr="001C7D11" w:rsidP="00232D6B" w14:paraId="1D283044" w14:textId="77777777">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C7D11">
        <w:rPr>
          <w:sz w:val="24"/>
        </w:rPr>
        <w:t>Use a statistical data classification that has not been reviewed and approved by OMB;</w:t>
      </w:r>
    </w:p>
    <w:p w:rsidR="00673D2E" w:rsidRPr="001C7D11" w:rsidP="00232D6B" w14:paraId="29D05215" w14:textId="77777777">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C7D11">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73D2E" w:rsidRPr="001C7D11" w:rsidP="00232D6B" w14:paraId="37E9BE01" w14:textId="77777777">
      <w:pPr>
        <w:numPr>
          <w:ilvl w:val="0"/>
          <w:numId w:val="6"/>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1C7D11">
        <w:rPr>
          <w:sz w:val="24"/>
        </w:rPr>
        <w:t>Submit proprietary trade secret, or other confidential information unless the agency can demonstrate that it has instituted procedures to protect the information's confidentiality to the extent permitted by law.</w:t>
      </w:r>
    </w:p>
    <w:p w:rsidR="00671A3F" w:rsidRPr="001C7D11" w:rsidP="00BE0BBB" w14:paraId="1D2B060E" w14:textId="77777777">
      <w:pPr>
        <w:ind w:left="432"/>
        <w:rPr>
          <w:sz w:val="24"/>
        </w:rPr>
      </w:pPr>
    </w:p>
    <w:p w:rsidR="00671A3F" w:rsidRPr="001C7D11" w:rsidP="00BE0BBB" w14:paraId="16940AD3" w14:textId="77777777">
      <w:pPr>
        <w:tabs>
          <w:tab w:val="left" w:pos="-1440"/>
        </w:tabs>
        <w:ind w:left="720" w:hanging="720"/>
        <w:rPr>
          <w:sz w:val="24"/>
          <w:u w:val="single"/>
        </w:rPr>
      </w:pPr>
      <w:r w:rsidRPr="001C7D11">
        <w:rPr>
          <w:sz w:val="24"/>
          <w:u w:val="single"/>
        </w:rPr>
        <w:t>8.</w:t>
      </w:r>
      <w:r w:rsidRPr="001C7D11">
        <w:rPr>
          <w:sz w:val="24"/>
          <w:u w:val="single"/>
        </w:rPr>
        <w:tab/>
        <w:t>Federal Register Notice/Prior Consultation</w:t>
      </w:r>
    </w:p>
    <w:p w:rsidR="00B355DC" w:rsidRPr="001C7D11" w:rsidP="00BE0BBB" w14:paraId="486FFB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734BA0" w:rsidP="00B43707" w14:paraId="7C6EF3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C7D11">
        <w:rPr>
          <w:sz w:val="24"/>
        </w:rPr>
        <w:t>T</w:t>
      </w:r>
      <w:r w:rsidRPr="001C7D11" w:rsidR="00EB1822">
        <w:rPr>
          <w:sz w:val="24"/>
        </w:rPr>
        <w:t>he 60-day notice</w:t>
      </w:r>
      <w:r w:rsidRPr="001C7D11">
        <w:rPr>
          <w:sz w:val="24"/>
        </w:rPr>
        <w:t xml:space="preserve"> published in the Federal Register on </w:t>
      </w:r>
      <w:r w:rsidRPr="001C7D11" w:rsidR="00B43707">
        <w:rPr>
          <w:sz w:val="24"/>
        </w:rPr>
        <w:t xml:space="preserve">June </w:t>
      </w:r>
      <w:r w:rsidR="00F55826">
        <w:rPr>
          <w:sz w:val="24"/>
        </w:rPr>
        <w:t>28</w:t>
      </w:r>
      <w:r w:rsidRPr="001C7D11" w:rsidR="00B43707">
        <w:rPr>
          <w:sz w:val="24"/>
        </w:rPr>
        <w:t>, 202</w:t>
      </w:r>
      <w:r w:rsidR="00F55826">
        <w:rPr>
          <w:sz w:val="24"/>
        </w:rPr>
        <w:t>4</w:t>
      </w:r>
      <w:r w:rsidRPr="001C7D11" w:rsidR="00B43707">
        <w:rPr>
          <w:sz w:val="24"/>
        </w:rPr>
        <w:t xml:space="preserve"> (8</w:t>
      </w:r>
      <w:r w:rsidR="00F55826">
        <w:rPr>
          <w:sz w:val="24"/>
        </w:rPr>
        <w:t>9</w:t>
      </w:r>
      <w:r w:rsidRPr="001C7D11" w:rsidR="00B43707">
        <w:rPr>
          <w:sz w:val="24"/>
        </w:rPr>
        <w:t xml:space="preserve"> FR </w:t>
      </w:r>
      <w:r w:rsidRPr="00F55826" w:rsidR="00F55826">
        <w:rPr>
          <w:sz w:val="24"/>
        </w:rPr>
        <w:t>54002</w:t>
      </w:r>
      <w:r w:rsidRPr="001C7D11" w:rsidR="00B43707">
        <w:rPr>
          <w:sz w:val="24"/>
        </w:rPr>
        <w:t>)</w:t>
      </w:r>
      <w:r w:rsidRPr="001C7D11">
        <w:rPr>
          <w:sz w:val="24"/>
        </w:rPr>
        <w:t>.</w:t>
      </w:r>
      <w:r w:rsidRPr="001C7D11" w:rsidR="00B43707">
        <w:rPr>
          <w:sz w:val="24"/>
        </w:rPr>
        <w:t xml:space="preserve"> </w:t>
      </w:r>
      <w:r>
        <w:rPr>
          <w:sz w:val="24"/>
        </w:rPr>
        <w:t>While c</w:t>
      </w:r>
      <w:r w:rsidRPr="00F55826" w:rsidR="00F55826">
        <w:rPr>
          <w:sz w:val="24"/>
        </w:rPr>
        <w:t xml:space="preserve">omments </w:t>
      </w:r>
      <w:r>
        <w:rPr>
          <w:sz w:val="24"/>
        </w:rPr>
        <w:t xml:space="preserve">were due </w:t>
      </w:r>
      <w:r w:rsidRPr="00F55826" w:rsidR="00F55826">
        <w:rPr>
          <w:sz w:val="24"/>
        </w:rPr>
        <w:t xml:space="preserve">August 27, </w:t>
      </w:r>
      <w:r>
        <w:rPr>
          <w:sz w:val="24"/>
        </w:rPr>
        <w:t>none were received.</w:t>
      </w:r>
    </w:p>
    <w:p w:rsidR="00734BA0" w:rsidP="00B43707" w14:paraId="3994F1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71A3F" w14:paraId="73319C69" w14:textId="5BA4FBCF">
      <w:pPr>
        <w:rPr>
          <w:sz w:val="24"/>
        </w:rPr>
      </w:pPr>
      <w:r w:rsidRPr="002568CE">
        <w:rPr>
          <w:sz w:val="24"/>
        </w:rPr>
        <w:t>The 30-day notice published on September 3, 2024 (89 FR 71283). Comments must be received by October 3, 2024.</w:t>
      </w:r>
    </w:p>
    <w:p w:rsidR="00734BA0" w:rsidRPr="001C7D11" w14:paraId="532AC1E1" w14:textId="77777777">
      <w:pPr>
        <w:rPr>
          <w:sz w:val="24"/>
        </w:rPr>
      </w:pPr>
    </w:p>
    <w:p w:rsidR="00671A3F" w:rsidRPr="001C7D11" w:rsidP="00BE0BBB" w14:paraId="5D4261D3" w14:textId="77777777">
      <w:pPr>
        <w:tabs>
          <w:tab w:val="left" w:pos="-1440"/>
        </w:tabs>
        <w:ind w:left="720" w:hanging="720"/>
        <w:rPr>
          <w:sz w:val="24"/>
          <w:u w:val="single"/>
        </w:rPr>
      </w:pPr>
      <w:r w:rsidRPr="001C7D11">
        <w:rPr>
          <w:sz w:val="24"/>
          <w:u w:val="single"/>
        </w:rPr>
        <w:t>9.</w:t>
      </w:r>
      <w:r w:rsidRPr="001C7D11">
        <w:rPr>
          <w:sz w:val="24"/>
          <w:u w:val="single"/>
        </w:rPr>
        <w:tab/>
        <w:t>Payment/Gift to Respondents</w:t>
      </w:r>
    </w:p>
    <w:p w:rsidR="00D92C55" w:rsidRPr="001C7D11" w:rsidP="00BE0BBB" w14:paraId="56AFBF88" w14:textId="77777777">
      <w:pPr>
        <w:ind w:left="720"/>
        <w:rPr>
          <w:sz w:val="24"/>
        </w:rPr>
      </w:pPr>
    </w:p>
    <w:p w:rsidR="00D92C55" w:rsidRPr="001C7D11" w:rsidP="00A26926" w14:paraId="2F53A31E" w14:textId="77777777">
      <w:pPr>
        <w:rPr>
          <w:sz w:val="24"/>
        </w:rPr>
      </w:pPr>
      <w:r w:rsidRPr="001C7D11">
        <w:rPr>
          <w:sz w:val="24"/>
        </w:rPr>
        <w:t>There is no payment or gift to respondents. However, for a State to receive Medicaid Title XIX funding, there must be an approved Title XIX State plan.</w:t>
      </w:r>
    </w:p>
    <w:p w:rsidR="00671A3F" w:rsidRPr="001C7D11" w14:paraId="36A58027" w14:textId="77777777">
      <w:pPr>
        <w:rPr>
          <w:sz w:val="24"/>
        </w:rPr>
      </w:pPr>
    </w:p>
    <w:p w:rsidR="00671A3F" w:rsidRPr="001C7D11" w:rsidP="00BE0BBB" w14:paraId="0632323C" w14:textId="77777777">
      <w:pPr>
        <w:tabs>
          <w:tab w:val="left" w:pos="-1440"/>
        </w:tabs>
        <w:ind w:left="720" w:hanging="720"/>
        <w:rPr>
          <w:sz w:val="24"/>
          <w:u w:val="single"/>
        </w:rPr>
      </w:pPr>
      <w:r w:rsidRPr="001C7D11">
        <w:rPr>
          <w:sz w:val="24"/>
          <w:u w:val="single"/>
        </w:rPr>
        <w:t>10.</w:t>
      </w:r>
      <w:r w:rsidRPr="001C7D11">
        <w:rPr>
          <w:sz w:val="24"/>
          <w:u w:val="single"/>
        </w:rPr>
        <w:tab/>
        <w:t>Confidentiality</w:t>
      </w:r>
    </w:p>
    <w:p w:rsidR="00671A3F" w:rsidRPr="001C7D11" w14:paraId="4EBDE803" w14:textId="77777777">
      <w:pPr>
        <w:rPr>
          <w:b/>
          <w:bCs/>
          <w:sz w:val="24"/>
          <w:u w:val="single"/>
        </w:rPr>
      </w:pPr>
    </w:p>
    <w:p w:rsidR="00DE6096" w:rsidRPr="001C7D11" w:rsidP="00A26926" w14:paraId="667A88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C7D11">
        <w:rPr>
          <w:sz w:val="24"/>
        </w:rPr>
        <w:t xml:space="preserve">The Medicaid State plan </w:t>
      </w:r>
      <w:r w:rsidRPr="001C7D11" w:rsidR="00435FAD">
        <w:rPr>
          <w:sz w:val="24"/>
        </w:rPr>
        <w:t>is</w:t>
      </w:r>
      <w:r w:rsidRPr="001C7D11">
        <w:rPr>
          <w:sz w:val="24"/>
        </w:rPr>
        <w:t xml:space="preserve"> public information.  No assurance of confidentiality has been provided to respondents.</w:t>
      </w:r>
    </w:p>
    <w:p w:rsidR="00671A3F" w:rsidRPr="001C7D11" w14:paraId="05C4B640" w14:textId="77777777">
      <w:pPr>
        <w:rPr>
          <w:sz w:val="24"/>
        </w:rPr>
      </w:pPr>
    </w:p>
    <w:p w:rsidR="00671A3F" w:rsidRPr="001C7D11" w:rsidP="00BE0BBB" w14:paraId="66907670" w14:textId="77777777">
      <w:pPr>
        <w:tabs>
          <w:tab w:val="left" w:pos="-1440"/>
        </w:tabs>
        <w:ind w:left="720" w:hanging="720"/>
        <w:rPr>
          <w:sz w:val="24"/>
          <w:u w:val="single"/>
        </w:rPr>
      </w:pPr>
      <w:r w:rsidRPr="001C7D11">
        <w:rPr>
          <w:sz w:val="24"/>
          <w:u w:val="single"/>
        </w:rPr>
        <w:t>11.</w:t>
      </w:r>
      <w:r w:rsidRPr="001C7D11">
        <w:rPr>
          <w:sz w:val="24"/>
          <w:u w:val="single"/>
        </w:rPr>
        <w:tab/>
        <w:t>Sensitive Questions</w:t>
      </w:r>
    </w:p>
    <w:p w:rsidR="00671A3F" w:rsidRPr="001C7D11" w:rsidP="00B355DC" w14:paraId="4F1C8193" w14:textId="77777777">
      <w:pPr>
        <w:rPr>
          <w:sz w:val="24"/>
        </w:rPr>
      </w:pPr>
    </w:p>
    <w:p w:rsidR="00C3526A" w:rsidRPr="001C7D11" w:rsidP="00A26926" w14:paraId="13A3CAE8" w14:textId="77777777">
      <w:pPr>
        <w:rPr>
          <w:sz w:val="24"/>
        </w:rPr>
      </w:pPr>
      <w:r w:rsidRPr="001C7D11">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671A3F" w:rsidRPr="001C7D11" w14:paraId="0DABEC58" w14:textId="77777777">
      <w:pPr>
        <w:rPr>
          <w:sz w:val="24"/>
        </w:rPr>
      </w:pPr>
    </w:p>
    <w:p w:rsidR="00671A3F" w:rsidRPr="001C7D11" w:rsidP="00BE0BBB" w14:paraId="17969914" w14:textId="77777777">
      <w:pPr>
        <w:tabs>
          <w:tab w:val="left" w:pos="-1440"/>
        </w:tabs>
        <w:ind w:left="720" w:hanging="720"/>
        <w:rPr>
          <w:sz w:val="24"/>
          <w:u w:val="single"/>
        </w:rPr>
      </w:pPr>
      <w:r w:rsidRPr="001C7D11">
        <w:rPr>
          <w:sz w:val="24"/>
          <w:u w:val="single"/>
        </w:rPr>
        <w:t>12.</w:t>
      </w:r>
      <w:r w:rsidRPr="001C7D11">
        <w:rPr>
          <w:sz w:val="24"/>
          <w:u w:val="single"/>
        </w:rPr>
        <w:tab/>
        <w:t>Burden Estimate</w:t>
      </w:r>
    </w:p>
    <w:p w:rsidR="0069371D" w:rsidRPr="001C7D11" w:rsidP="00BE0BBB" w14:paraId="077B5515" w14:textId="77777777">
      <w:pPr>
        <w:tabs>
          <w:tab w:val="left" w:pos="-1440"/>
        </w:tabs>
        <w:ind w:left="720"/>
        <w:rPr>
          <w:sz w:val="24"/>
        </w:rPr>
      </w:pPr>
    </w:p>
    <w:p w:rsidR="00341A46" w:rsidRPr="001C7D11" w:rsidP="00A26926" w14:paraId="217BBEAD" w14:textId="77777777">
      <w:pPr>
        <w:tabs>
          <w:tab w:val="left" w:pos="-1440"/>
        </w:tabs>
        <w:rPr>
          <w:i/>
          <w:sz w:val="24"/>
        </w:rPr>
      </w:pPr>
      <w:r w:rsidRPr="001C7D11">
        <w:rPr>
          <w:i/>
          <w:sz w:val="24"/>
        </w:rPr>
        <w:t>Wage</w:t>
      </w:r>
      <w:r w:rsidRPr="001C7D11" w:rsidR="007834DA">
        <w:rPr>
          <w:i/>
          <w:sz w:val="24"/>
        </w:rPr>
        <w:t xml:space="preserve"> Estimates</w:t>
      </w:r>
    </w:p>
    <w:p w:rsidR="00315072" w:rsidRPr="001C7D11" w:rsidP="00A26926" w14:paraId="234EC798" w14:textId="77777777">
      <w:pPr>
        <w:pStyle w:val="PlainText"/>
        <w:rPr>
          <w:rFonts w:ascii="Times New Roman" w:hAnsi="Times New Roman" w:cs="Times New Roman"/>
          <w:sz w:val="24"/>
          <w:szCs w:val="24"/>
        </w:rPr>
      </w:pPr>
    </w:p>
    <w:p w:rsidR="00A35D63" w:rsidRPr="001C7D11" w:rsidP="00A26926" w14:paraId="4F66F835" w14:textId="23A0E081">
      <w:pPr>
        <w:rPr>
          <w:sz w:val="24"/>
        </w:rPr>
      </w:pPr>
      <w:r w:rsidRPr="001C7D11">
        <w:rPr>
          <w:sz w:val="24"/>
        </w:rPr>
        <w:t>To derive average costs, we used data from the U.S. Bureau of Labor Statistics’</w:t>
      </w:r>
      <w:r w:rsidRPr="001C7D11">
        <w:rPr>
          <w:sz w:val="24"/>
        </w:rPr>
        <w:t xml:space="preserve"> (BLS’)</w:t>
      </w:r>
      <w:r w:rsidRPr="001C7D11">
        <w:rPr>
          <w:sz w:val="24"/>
        </w:rPr>
        <w:t xml:space="preserve"> May </w:t>
      </w:r>
      <w:r w:rsidRPr="001C7D11">
        <w:rPr>
          <w:sz w:val="24"/>
        </w:rPr>
        <w:t>202</w:t>
      </w:r>
      <w:r w:rsidR="00FA28C2">
        <w:rPr>
          <w:sz w:val="24"/>
        </w:rPr>
        <w:t>3</w:t>
      </w:r>
      <w:r w:rsidRPr="001C7D11">
        <w:rPr>
          <w:sz w:val="24"/>
        </w:rPr>
        <w:t xml:space="preserve"> National </w:t>
      </w:r>
      <w:r w:rsidRPr="001C7D11" w:rsidR="00CA7E5E">
        <w:rPr>
          <w:sz w:val="24"/>
        </w:rPr>
        <w:t>Occupational Employment and Wage</w:t>
      </w:r>
      <w:r w:rsidRPr="001C7D11">
        <w:rPr>
          <w:sz w:val="24"/>
        </w:rPr>
        <w:t xml:space="preserve"> Estimates for </w:t>
      </w:r>
      <w:r w:rsidRPr="001C7D11" w:rsidR="00CA7E5E">
        <w:rPr>
          <w:sz w:val="24"/>
        </w:rPr>
        <w:t>all salary estimates</w:t>
      </w:r>
      <w:r w:rsidRPr="001C7D11" w:rsidR="001E765D">
        <w:rPr>
          <w:sz w:val="24"/>
        </w:rPr>
        <w:t xml:space="preserve"> (</w:t>
      </w:r>
      <w:hyperlink r:id="rId5" w:history="1">
        <w:r w:rsidRPr="00FA28C2" w:rsidR="00FA28C2">
          <w:rPr>
            <w:rStyle w:val="Hyperlink"/>
            <w:sz w:val="24"/>
          </w:rPr>
          <w:t>http://www.bls.gov/oes/2023/may/oes_nat.htm</w:t>
        </w:r>
      </w:hyperlink>
      <w:r w:rsidRPr="001C7D11" w:rsidR="001E765D">
        <w:rPr>
          <w:sz w:val="24"/>
        </w:rPr>
        <w:t>)</w:t>
      </w:r>
      <w:r w:rsidRPr="001C7D11">
        <w:rPr>
          <w:sz w:val="24"/>
        </w:rPr>
        <w:t xml:space="preserve">. In this regard, the following table presents </w:t>
      </w:r>
      <w:r w:rsidRPr="001C7D11">
        <w:rPr>
          <w:sz w:val="24"/>
        </w:rPr>
        <w:t>BLS’</w:t>
      </w:r>
      <w:r w:rsidRPr="001C7D11">
        <w:rPr>
          <w:sz w:val="24"/>
        </w:rPr>
        <w:t xml:space="preserve"> mean hourly wage, </w:t>
      </w:r>
      <w:r w:rsidRPr="001C7D11">
        <w:rPr>
          <w:sz w:val="24"/>
        </w:rPr>
        <w:t>our estimated</w:t>
      </w:r>
      <w:r w:rsidRPr="001C7D11">
        <w:rPr>
          <w:sz w:val="24"/>
        </w:rPr>
        <w:t xml:space="preserve"> cost of fringe benefits </w:t>
      </w:r>
      <w:r w:rsidRPr="001C7D11" w:rsidR="00A26926">
        <w:rPr>
          <w:sz w:val="24"/>
        </w:rPr>
        <w:t>and o</w:t>
      </w:r>
      <w:r w:rsidRPr="001C7D11">
        <w:rPr>
          <w:sz w:val="24"/>
        </w:rPr>
        <w:t xml:space="preserve">ther indirect costs </w:t>
      </w:r>
      <w:r w:rsidRPr="001C7D11">
        <w:rPr>
          <w:sz w:val="24"/>
        </w:rPr>
        <w:t xml:space="preserve">(calculated at 100 percent of salary), and </w:t>
      </w:r>
      <w:r w:rsidRPr="001C7D11">
        <w:rPr>
          <w:sz w:val="24"/>
        </w:rPr>
        <w:t xml:space="preserve">our </w:t>
      </w:r>
      <w:r w:rsidRPr="001C7D11">
        <w:rPr>
          <w:sz w:val="24"/>
        </w:rPr>
        <w:t>adjusted hourly wage</w:t>
      </w:r>
      <w:r w:rsidRPr="001C7D11">
        <w:rPr>
          <w:sz w:val="24"/>
        </w:rPr>
        <w:t>.</w:t>
      </w:r>
    </w:p>
    <w:p w:rsidR="00A35D63" w:rsidRPr="001C7D11" w:rsidP="00A26926" w14:paraId="29F9C5FB" w14:textId="77777777">
      <w:pPr>
        <w:rPr>
          <w:sz w:val="24"/>
        </w:rPr>
      </w:pPr>
    </w:p>
    <w:p w:rsidR="00315072" w:rsidRPr="001C7D11" w:rsidP="00A26926" w14:paraId="204BD668" w14:textId="5E9AFE1E">
      <w:pPr>
        <w:rPr>
          <w:sz w:val="24"/>
        </w:rPr>
      </w:pPr>
      <w:r w:rsidRPr="001C7D11">
        <w:rPr>
          <w:sz w:val="24"/>
        </w:rPr>
        <w:t>The wage is a comparable position to State employees likely responsible for completing and returning the templates.</w:t>
      </w:r>
    </w:p>
    <w:p w:rsidR="00315072" w:rsidRPr="001C7D11" w:rsidP="00315072" w14:paraId="186D1280" w14:textId="77777777">
      <w:pPr>
        <w:pStyle w:val="PlainText"/>
        <w:tabs>
          <w:tab w:val="left" w:pos="2430"/>
        </w:tabs>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77"/>
        <w:gridCol w:w="1878"/>
        <w:gridCol w:w="1861"/>
        <w:gridCol w:w="1865"/>
        <w:gridCol w:w="1869"/>
      </w:tblGrid>
      <w:tr w14:paraId="1FD10284" w14:textId="77777777" w:rsidTr="002B7EC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blHeader/>
        </w:trPr>
        <w:tc>
          <w:tcPr>
            <w:tcW w:w="1915" w:type="dxa"/>
            <w:tcMar>
              <w:top w:w="0" w:type="dxa"/>
              <w:left w:w="108" w:type="dxa"/>
              <w:bottom w:w="0" w:type="dxa"/>
              <w:right w:w="108" w:type="dxa"/>
            </w:tcMar>
            <w:hideMark/>
          </w:tcPr>
          <w:p w:rsidR="00341A46" w:rsidRPr="00541B84" w:rsidP="00341A46" w14:paraId="2B6B6D40" w14:textId="77777777">
            <w:pPr>
              <w:rPr>
                <w:rFonts w:eastAsia="Calibri"/>
                <w:szCs w:val="20"/>
              </w:rPr>
            </w:pPr>
            <w:r w:rsidRPr="00541B84">
              <w:rPr>
                <w:szCs w:val="20"/>
              </w:rPr>
              <w:t>Occupation Title</w:t>
            </w:r>
          </w:p>
        </w:tc>
        <w:tc>
          <w:tcPr>
            <w:tcW w:w="1915" w:type="dxa"/>
            <w:tcMar>
              <w:top w:w="0" w:type="dxa"/>
              <w:left w:w="108" w:type="dxa"/>
              <w:bottom w:w="0" w:type="dxa"/>
              <w:right w:w="108" w:type="dxa"/>
            </w:tcMar>
            <w:hideMark/>
          </w:tcPr>
          <w:p w:rsidR="00341A46" w:rsidRPr="00541B84" w:rsidP="00341A46" w14:paraId="534B054B" w14:textId="77777777">
            <w:pPr>
              <w:rPr>
                <w:rFonts w:eastAsia="Calibri"/>
                <w:szCs w:val="20"/>
              </w:rPr>
            </w:pPr>
            <w:r w:rsidRPr="00541B84">
              <w:rPr>
                <w:szCs w:val="20"/>
              </w:rPr>
              <w:t>Occupation Code</w:t>
            </w:r>
          </w:p>
        </w:tc>
        <w:tc>
          <w:tcPr>
            <w:tcW w:w="1915" w:type="dxa"/>
            <w:tcMar>
              <w:top w:w="0" w:type="dxa"/>
              <w:left w:w="108" w:type="dxa"/>
              <w:bottom w:w="0" w:type="dxa"/>
              <w:right w:w="108" w:type="dxa"/>
            </w:tcMar>
            <w:hideMark/>
          </w:tcPr>
          <w:p w:rsidR="00341A46" w:rsidRPr="00541B84" w:rsidP="00341A46" w14:paraId="0016EE4F" w14:textId="77777777">
            <w:pPr>
              <w:rPr>
                <w:rFonts w:eastAsia="Calibri"/>
                <w:szCs w:val="20"/>
              </w:rPr>
            </w:pPr>
            <w:r w:rsidRPr="00541B84">
              <w:rPr>
                <w:szCs w:val="20"/>
              </w:rPr>
              <w:t>Mean Hourly Wage</w:t>
            </w:r>
            <w:r w:rsidRPr="00541B84" w:rsidR="00C3526A">
              <w:rPr>
                <w:szCs w:val="20"/>
              </w:rPr>
              <w:t xml:space="preserve"> ($/hr)</w:t>
            </w:r>
          </w:p>
        </w:tc>
        <w:tc>
          <w:tcPr>
            <w:tcW w:w="1915" w:type="dxa"/>
            <w:tcMar>
              <w:top w:w="0" w:type="dxa"/>
              <w:left w:w="108" w:type="dxa"/>
              <w:bottom w:w="0" w:type="dxa"/>
              <w:right w:w="108" w:type="dxa"/>
            </w:tcMar>
            <w:hideMark/>
          </w:tcPr>
          <w:p w:rsidR="00341A46" w:rsidRPr="00541B84" w:rsidP="00341A46" w14:paraId="0AC0FAEF" w14:textId="092D10FD">
            <w:pPr>
              <w:rPr>
                <w:rFonts w:eastAsia="Calibri"/>
                <w:szCs w:val="20"/>
              </w:rPr>
            </w:pPr>
            <w:r w:rsidRPr="00541B84">
              <w:rPr>
                <w:szCs w:val="20"/>
              </w:rPr>
              <w:t>Fringe Benefit</w:t>
            </w:r>
            <w:r w:rsidRPr="00541B84" w:rsidR="00A26926">
              <w:rPr>
                <w:szCs w:val="20"/>
              </w:rPr>
              <w:t>s and O</w:t>
            </w:r>
            <w:r w:rsidRPr="00541B84" w:rsidR="00A35D63">
              <w:rPr>
                <w:szCs w:val="20"/>
              </w:rPr>
              <w:t>ther Indirect Costs</w:t>
            </w:r>
            <w:r w:rsidRPr="00541B84">
              <w:rPr>
                <w:szCs w:val="20"/>
              </w:rPr>
              <w:t xml:space="preserve"> </w:t>
            </w:r>
            <w:r w:rsidRPr="00541B84" w:rsidR="00C3526A">
              <w:rPr>
                <w:szCs w:val="20"/>
              </w:rPr>
              <w:t xml:space="preserve"> ($/hr)</w:t>
            </w:r>
          </w:p>
        </w:tc>
        <w:tc>
          <w:tcPr>
            <w:tcW w:w="1916" w:type="dxa"/>
            <w:tcMar>
              <w:top w:w="0" w:type="dxa"/>
              <w:left w:w="108" w:type="dxa"/>
              <w:bottom w:w="0" w:type="dxa"/>
              <w:right w:w="108" w:type="dxa"/>
            </w:tcMar>
            <w:hideMark/>
          </w:tcPr>
          <w:p w:rsidR="00341A46" w:rsidRPr="00541B84" w:rsidP="00341A46" w14:paraId="28675913" w14:textId="77777777">
            <w:pPr>
              <w:rPr>
                <w:rFonts w:eastAsia="Calibri"/>
                <w:szCs w:val="20"/>
              </w:rPr>
            </w:pPr>
            <w:r w:rsidRPr="00541B84">
              <w:rPr>
                <w:szCs w:val="20"/>
              </w:rPr>
              <w:t>Adjusted Hourly Wage</w:t>
            </w:r>
            <w:r w:rsidRPr="00541B84" w:rsidR="00C3526A">
              <w:rPr>
                <w:szCs w:val="20"/>
              </w:rPr>
              <w:t xml:space="preserve"> ($/hr)</w:t>
            </w:r>
          </w:p>
        </w:tc>
      </w:tr>
      <w:tr w14:paraId="303C3E4D" w14:textId="77777777" w:rsidTr="002B7EC9">
        <w:tblPrEx>
          <w:tblW w:w="0" w:type="auto"/>
          <w:tblCellMar>
            <w:left w:w="0" w:type="dxa"/>
            <w:right w:w="0" w:type="dxa"/>
          </w:tblCellMar>
          <w:tblLook w:val="04A0"/>
        </w:tblPrEx>
        <w:tc>
          <w:tcPr>
            <w:tcW w:w="1915" w:type="dxa"/>
            <w:tcMar>
              <w:top w:w="0" w:type="dxa"/>
              <w:left w:w="108" w:type="dxa"/>
              <w:bottom w:w="0" w:type="dxa"/>
              <w:right w:w="108" w:type="dxa"/>
            </w:tcMar>
            <w:hideMark/>
          </w:tcPr>
          <w:p w:rsidR="00341A46" w:rsidRPr="00541B84" w:rsidP="00341A46" w14:paraId="305A56B3" w14:textId="77777777">
            <w:pPr>
              <w:rPr>
                <w:rFonts w:eastAsia="Calibri"/>
                <w:szCs w:val="20"/>
              </w:rPr>
            </w:pPr>
            <w:r w:rsidRPr="00541B84">
              <w:rPr>
                <w:szCs w:val="20"/>
              </w:rPr>
              <w:t>Business Operations Specialist</w:t>
            </w:r>
          </w:p>
        </w:tc>
        <w:tc>
          <w:tcPr>
            <w:tcW w:w="1915" w:type="dxa"/>
            <w:tcMar>
              <w:top w:w="0" w:type="dxa"/>
              <w:left w:w="108" w:type="dxa"/>
              <w:bottom w:w="0" w:type="dxa"/>
              <w:right w:w="108" w:type="dxa"/>
            </w:tcMar>
            <w:hideMark/>
          </w:tcPr>
          <w:p w:rsidR="00341A46" w:rsidRPr="00541B84" w:rsidP="00341A46" w14:paraId="14BCD537" w14:textId="77777777">
            <w:pPr>
              <w:rPr>
                <w:rFonts w:eastAsia="Calibri"/>
                <w:szCs w:val="20"/>
              </w:rPr>
            </w:pPr>
            <w:r w:rsidRPr="00541B84">
              <w:rPr>
                <w:szCs w:val="20"/>
              </w:rPr>
              <w:t>13-1000</w:t>
            </w:r>
          </w:p>
        </w:tc>
        <w:tc>
          <w:tcPr>
            <w:tcW w:w="1915" w:type="dxa"/>
            <w:tcMar>
              <w:top w:w="0" w:type="dxa"/>
              <w:left w:w="108" w:type="dxa"/>
              <w:bottom w:w="0" w:type="dxa"/>
              <w:right w:w="108" w:type="dxa"/>
            </w:tcMar>
            <w:hideMark/>
          </w:tcPr>
          <w:p w:rsidR="00341A46" w:rsidRPr="00541B84" w:rsidP="00E17728" w14:paraId="2B4C5DB2" w14:textId="6BD2A00B">
            <w:pPr>
              <w:rPr>
                <w:rFonts w:eastAsia="Calibri"/>
                <w:szCs w:val="20"/>
              </w:rPr>
            </w:pPr>
            <w:r>
              <w:rPr>
                <w:szCs w:val="20"/>
              </w:rPr>
              <w:t>42.33</w:t>
            </w:r>
          </w:p>
        </w:tc>
        <w:tc>
          <w:tcPr>
            <w:tcW w:w="1915" w:type="dxa"/>
            <w:tcMar>
              <w:top w:w="0" w:type="dxa"/>
              <w:left w:w="108" w:type="dxa"/>
              <w:bottom w:w="0" w:type="dxa"/>
              <w:right w:w="108" w:type="dxa"/>
            </w:tcMar>
            <w:hideMark/>
          </w:tcPr>
          <w:p w:rsidR="00341A46" w:rsidRPr="00541B84" w:rsidP="00E17728" w14:paraId="2BB350C7" w14:textId="2411A9B5">
            <w:pPr>
              <w:rPr>
                <w:rFonts w:eastAsia="Calibri"/>
                <w:szCs w:val="20"/>
              </w:rPr>
            </w:pPr>
            <w:r>
              <w:rPr>
                <w:szCs w:val="20"/>
              </w:rPr>
              <w:t>42.33</w:t>
            </w:r>
          </w:p>
        </w:tc>
        <w:tc>
          <w:tcPr>
            <w:tcW w:w="1916" w:type="dxa"/>
            <w:tcMar>
              <w:top w:w="0" w:type="dxa"/>
              <w:left w:w="108" w:type="dxa"/>
              <w:bottom w:w="0" w:type="dxa"/>
              <w:right w:w="108" w:type="dxa"/>
            </w:tcMar>
            <w:hideMark/>
          </w:tcPr>
          <w:p w:rsidR="00341A46" w:rsidRPr="00541B84" w:rsidP="00E17728" w14:paraId="192EB757" w14:textId="7CECEAF9">
            <w:pPr>
              <w:rPr>
                <w:rFonts w:eastAsia="Calibri"/>
                <w:szCs w:val="20"/>
              </w:rPr>
            </w:pPr>
            <w:r>
              <w:rPr>
                <w:szCs w:val="20"/>
              </w:rPr>
              <w:t>84.66</w:t>
            </w:r>
          </w:p>
        </w:tc>
      </w:tr>
    </w:tbl>
    <w:p w:rsidR="00341A46" w:rsidRPr="001C7D11" w:rsidP="00BE0BBB" w14:paraId="122EE49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p>
    <w:p w:rsidR="00DB59F2" w:rsidRPr="001C7D11" w:rsidP="00A26926" w14:paraId="2C036B4A" w14:textId="27FF5CC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C7D11">
        <w:rPr>
          <w:sz w:val="24"/>
        </w:rPr>
        <w:t>As indicated, we are adjusting our employee hourly wage estimates by a factor of 100 percent. This is necessarily a rough adjustment, both because fringe benefits and o</w:t>
      </w:r>
      <w:r w:rsidRPr="001C7D11" w:rsidR="001F5DD8">
        <w:rPr>
          <w:sz w:val="24"/>
        </w:rPr>
        <w:t>ther indirect</w:t>
      </w:r>
      <w:r w:rsidRPr="001C7D11">
        <w:rPr>
          <w:sz w:val="24"/>
        </w:rPr>
        <w:t xml:space="preserve"> costs vary significantly from employer to employer, and because methods of estimating these costs vary widely from study to study. Nonetheless, we believe that doubling the hourly wage to estimate total cost is a reasonably accurate estimation method.</w:t>
      </w:r>
    </w:p>
    <w:p w:rsidR="000F4E00" w:rsidRPr="001C7D11" w:rsidP="00A26926" w14:paraId="1A37BC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rsidR="00341A46" w:rsidRPr="001C7D11" w:rsidP="00A26926" w14:paraId="67545E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1C7D11">
        <w:rPr>
          <w:i/>
          <w:sz w:val="24"/>
        </w:rPr>
        <w:t>Burden</w:t>
      </w:r>
      <w:r w:rsidRPr="001C7D11" w:rsidR="007834DA">
        <w:rPr>
          <w:i/>
          <w:sz w:val="24"/>
        </w:rPr>
        <w:t xml:space="preserve"> Estimates</w:t>
      </w:r>
    </w:p>
    <w:p w:rsidR="00341A46" w:rsidRPr="001C7D11" w:rsidP="00A26926" w14:paraId="2AB8FDA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8136D" w:rsidRPr="001C7D11" w:rsidP="0008136D" w14:paraId="15E8DF1F" w14:textId="5C518F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C7D11">
        <w:rPr>
          <w:sz w:val="24"/>
        </w:rPr>
        <w:t>There will be a total of 56 States and territories as possible respondents for this request, all of whom made the required entry when the election of Medicaid in its State was made. There is no particular methodology or reason why any particular number of States and territories would choose to amend the</w:t>
      </w:r>
      <w:r w:rsidR="008921A1">
        <w:rPr>
          <w:sz w:val="24"/>
        </w:rPr>
        <w:t xml:space="preserve"> </w:t>
      </w:r>
      <w:r w:rsidR="004E0D1A">
        <w:rPr>
          <w:sz w:val="24"/>
        </w:rPr>
        <w:t xml:space="preserve">Title </w:t>
      </w:r>
      <w:r w:rsidR="008921A1">
        <w:rPr>
          <w:sz w:val="24"/>
        </w:rPr>
        <w:t xml:space="preserve">XIX </w:t>
      </w:r>
      <w:r w:rsidR="004E0D1A">
        <w:rPr>
          <w:sz w:val="24"/>
        </w:rPr>
        <w:t xml:space="preserve">of the Social Security Act </w:t>
      </w:r>
      <w:r w:rsidR="008921A1">
        <w:rPr>
          <w:sz w:val="24"/>
        </w:rPr>
        <w:t>funding requirements</w:t>
      </w:r>
      <w:r w:rsidRPr="001C7D11">
        <w:rPr>
          <w:sz w:val="24"/>
        </w:rPr>
        <w:t xml:space="preserve"> aforementioned provisions of its Medicaid State plan.  The collection is required only if a State determines that a change to its Medicaid program warrants a change in the original response. </w:t>
      </w:r>
    </w:p>
    <w:p w:rsidR="001C2C0F" w:rsidRPr="001C7D11" w:rsidP="001C2C0F" w14:paraId="21C452C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2C0F" w:rsidRPr="001C7D11" w:rsidP="00BE0BBB" w14:paraId="03A742DB" w14:textId="1FBDF28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C7D11">
        <w:rPr>
          <w:sz w:val="24"/>
        </w:rPr>
        <w:t>If each of the 56 respondents submi</w:t>
      </w:r>
      <w:r w:rsidR="00013C82">
        <w:rPr>
          <w:sz w:val="24"/>
        </w:rPr>
        <w:t>t</w:t>
      </w:r>
      <w:r w:rsidRPr="001C7D11">
        <w:rPr>
          <w:sz w:val="24"/>
        </w:rPr>
        <w:t>t</w:t>
      </w:r>
      <w:r w:rsidR="00013C82">
        <w:rPr>
          <w:sz w:val="24"/>
        </w:rPr>
        <w:t>ed</w:t>
      </w:r>
      <w:r w:rsidRPr="001C7D11">
        <w:rPr>
          <w:sz w:val="24"/>
        </w:rPr>
        <w:t xml:space="preserve"> an average of 20 responses per year, this would result in 1,120 responses per year (56 States and territories x 20 responses/yr). </w:t>
      </w:r>
    </w:p>
    <w:p w:rsidR="001C2C0F" w:rsidRPr="001C7D11" w:rsidP="00BE0BBB" w14:paraId="42BC7A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C2C0F" w:rsidRPr="001C7D11" w:rsidP="001C2C0F" w14:paraId="53B015F5" w14:textId="51EAA7B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C7D11">
        <w:rPr>
          <w:sz w:val="24"/>
        </w:rPr>
        <w:t>We estimate it would take 20 hours at $</w:t>
      </w:r>
      <w:r w:rsidR="00FA28C2">
        <w:rPr>
          <w:sz w:val="24"/>
        </w:rPr>
        <w:t>84.66</w:t>
      </w:r>
      <w:r w:rsidRPr="001C7D11">
        <w:rPr>
          <w:sz w:val="24"/>
        </w:rPr>
        <w:t>/hr for a business operations specialist to complete and return the templates. In aggregate we estimate an annual burden of 22,400 hours (1,120 responses x 20 hr/response) at a cost of $</w:t>
      </w:r>
      <w:r w:rsidR="00FA28C2">
        <w:rPr>
          <w:sz w:val="24"/>
        </w:rPr>
        <w:t>1,896,384</w:t>
      </w:r>
      <w:r w:rsidRPr="001C7D11">
        <w:rPr>
          <w:sz w:val="24"/>
        </w:rPr>
        <w:t xml:space="preserve"> (22,400 hr x $</w:t>
      </w:r>
      <w:r w:rsidR="00FA28C2">
        <w:rPr>
          <w:sz w:val="24"/>
        </w:rPr>
        <w:t>84.66</w:t>
      </w:r>
      <w:r w:rsidRPr="001C7D11">
        <w:rPr>
          <w:sz w:val="24"/>
        </w:rPr>
        <w:t>/hr).</w:t>
      </w:r>
    </w:p>
    <w:p w:rsidR="001C2C0F" w:rsidP="00BE0BBB" w14:paraId="25474A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85E26" w:rsidRPr="00A83605" w:rsidP="00C85E26" w14:paraId="1A84B089" w14:textId="77777777">
      <w:pPr>
        <w:pStyle w:val="ListParagraph"/>
        <w:tabs>
          <w:tab w:val="left" w:pos="566"/>
        </w:tabs>
        <w:ind w:left="0"/>
        <w:rPr>
          <w:i/>
          <w:sz w:val="24"/>
        </w:rPr>
      </w:pPr>
      <w:r w:rsidRPr="00A83605">
        <w:rPr>
          <w:i/>
          <w:sz w:val="24"/>
        </w:rPr>
        <w:t>Burden</w:t>
      </w:r>
      <w:r w:rsidRPr="00A83605">
        <w:rPr>
          <w:i/>
          <w:spacing w:val="-3"/>
          <w:sz w:val="24"/>
        </w:rPr>
        <w:t xml:space="preserve"> </w:t>
      </w:r>
      <w:r w:rsidRPr="00A83605">
        <w:rPr>
          <w:i/>
          <w:sz w:val="24"/>
        </w:rPr>
        <w:t>Summary</w:t>
      </w:r>
    </w:p>
    <w:p w:rsidR="00C85E26" w:rsidRPr="00A83605" w:rsidP="00C85E26" w14:paraId="6F753F06" w14:textId="77777777">
      <w:pPr>
        <w:pStyle w:val="BodyText"/>
        <w:rPr>
          <w:i/>
        </w:rPr>
      </w:pPr>
    </w:p>
    <w:p w:rsidR="00C85E26" w:rsidRPr="00A83605" w:rsidP="00C85E26" w14:paraId="7FFFBF6A" w14:textId="77777777">
      <w:pPr>
        <w:jc w:val="center"/>
        <w:rPr>
          <w:sz w:val="24"/>
        </w:rPr>
      </w:pPr>
      <w:r w:rsidRPr="00A83605">
        <w:rPr>
          <w:sz w:val="24"/>
        </w:rPr>
        <w:t>Annual Recordkeeping and Reporting Requirements</w:t>
      </w:r>
    </w:p>
    <w:tbl>
      <w:tblPr>
        <w:tblW w:w="9643"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14"/>
        <w:gridCol w:w="1260"/>
        <w:gridCol w:w="1258"/>
        <w:gridCol w:w="1152"/>
        <w:gridCol w:w="1426"/>
        <w:gridCol w:w="710"/>
        <w:gridCol w:w="1104"/>
        <w:gridCol w:w="1519"/>
      </w:tblGrid>
      <w:tr w14:paraId="4E9E3AE8" w14:textId="77777777" w:rsidTr="007D731F">
        <w:tblPrEx>
          <w:tblW w:w="9643" w:type="dxa"/>
          <w:tblInd w:w="1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hRule="exact" w:val="224"/>
        </w:trPr>
        <w:tc>
          <w:tcPr>
            <w:tcW w:w="1214" w:type="dxa"/>
            <w:tcBorders>
              <w:bottom w:val="nil"/>
            </w:tcBorders>
          </w:tcPr>
          <w:p w:rsidR="007D731F" w:rsidRPr="00A83605" w:rsidP="00A07EAA" w14:paraId="0CE5C12E" w14:textId="77777777">
            <w:pPr>
              <w:jc w:val="center"/>
              <w:rPr>
                <w:szCs w:val="20"/>
              </w:rPr>
            </w:pPr>
          </w:p>
        </w:tc>
        <w:tc>
          <w:tcPr>
            <w:tcW w:w="1260" w:type="dxa"/>
            <w:tcBorders>
              <w:bottom w:val="nil"/>
            </w:tcBorders>
          </w:tcPr>
          <w:p w:rsidR="007D731F" w:rsidRPr="00A83605" w:rsidP="00A07EAA" w14:paraId="6530C332" w14:textId="77777777">
            <w:pPr>
              <w:pStyle w:val="TableParagraph"/>
              <w:spacing w:line="207" w:lineRule="exact"/>
              <w:ind w:left="0"/>
              <w:jc w:val="center"/>
              <w:rPr>
                <w:sz w:val="20"/>
                <w:szCs w:val="20"/>
              </w:rPr>
            </w:pPr>
            <w:r w:rsidRPr="00A83605">
              <w:rPr>
                <w:sz w:val="20"/>
                <w:szCs w:val="20"/>
              </w:rPr>
              <w:t>Responses</w:t>
            </w:r>
          </w:p>
        </w:tc>
        <w:tc>
          <w:tcPr>
            <w:tcW w:w="1258" w:type="dxa"/>
            <w:tcBorders>
              <w:bottom w:val="nil"/>
            </w:tcBorders>
          </w:tcPr>
          <w:p w:rsidR="007D731F" w:rsidRPr="00A83605" w:rsidP="00A07EAA" w14:paraId="1ABD4BEE" w14:textId="77777777">
            <w:pPr>
              <w:jc w:val="center"/>
              <w:rPr>
                <w:szCs w:val="20"/>
              </w:rPr>
            </w:pPr>
          </w:p>
        </w:tc>
        <w:tc>
          <w:tcPr>
            <w:tcW w:w="1152" w:type="dxa"/>
            <w:tcBorders>
              <w:bottom w:val="nil"/>
            </w:tcBorders>
          </w:tcPr>
          <w:p w:rsidR="007D731F" w:rsidRPr="00A83605" w:rsidP="00A07EAA" w14:paraId="6B16991D" w14:textId="77777777">
            <w:pPr>
              <w:jc w:val="center"/>
              <w:rPr>
                <w:szCs w:val="20"/>
              </w:rPr>
            </w:pPr>
          </w:p>
        </w:tc>
        <w:tc>
          <w:tcPr>
            <w:tcW w:w="1426" w:type="dxa"/>
            <w:tcBorders>
              <w:bottom w:val="nil"/>
            </w:tcBorders>
          </w:tcPr>
          <w:p w:rsidR="007D731F" w:rsidRPr="00A83605" w:rsidP="00A07EAA" w14:paraId="5CFCDB74" w14:textId="77777777">
            <w:pPr>
              <w:jc w:val="center"/>
              <w:rPr>
                <w:szCs w:val="20"/>
              </w:rPr>
            </w:pPr>
          </w:p>
        </w:tc>
        <w:tc>
          <w:tcPr>
            <w:tcW w:w="710" w:type="dxa"/>
            <w:tcBorders>
              <w:bottom w:val="nil"/>
            </w:tcBorders>
          </w:tcPr>
          <w:p w:rsidR="007D731F" w:rsidRPr="00A83605" w:rsidP="00A07EAA" w14:paraId="6B7BDCF6" w14:textId="77777777">
            <w:pPr>
              <w:pStyle w:val="TableParagraph"/>
              <w:spacing w:line="240" w:lineRule="auto"/>
              <w:ind w:left="0"/>
              <w:jc w:val="center"/>
              <w:rPr>
                <w:sz w:val="20"/>
                <w:szCs w:val="20"/>
              </w:rPr>
            </w:pPr>
            <w:r w:rsidRPr="00A83605">
              <w:rPr>
                <w:sz w:val="20"/>
                <w:szCs w:val="20"/>
              </w:rPr>
              <w:t>Labor</w:t>
            </w:r>
          </w:p>
        </w:tc>
        <w:tc>
          <w:tcPr>
            <w:tcW w:w="1104" w:type="dxa"/>
            <w:tcBorders>
              <w:bottom w:val="nil"/>
            </w:tcBorders>
          </w:tcPr>
          <w:p w:rsidR="007D731F" w:rsidRPr="00A83605" w:rsidP="00A07EAA" w14:paraId="09D8B1D2" w14:textId="77777777">
            <w:pPr>
              <w:pStyle w:val="TableParagraph"/>
              <w:spacing w:line="240" w:lineRule="auto"/>
              <w:ind w:left="0"/>
              <w:jc w:val="center"/>
              <w:rPr>
                <w:sz w:val="20"/>
                <w:szCs w:val="20"/>
              </w:rPr>
            </w:pPr>
            <w:r w:rsidRPr="00A83605">
              <w:rPr>
                <w:sz w:val="20"/>
                <w:szCs w:val="20"/>
              </w:rPr>
              <w:t>Total</w:t>
            </w:r>
          </w:p>
        </w:tc>
        <w:tc>
          <w:tcPr>
            <w:tcW w:w="1519" w:type="dxa"/>
            <w:tcBorders>
              <w:bottom w:val="nil"/>
            </w:tcBorders>
          </w:tcPr>
          <w:p w:rsidR="007D731F" w:rsidRPr="00A83605" w:rsidP="00A07EAA" w14:paraId="592A80DB" w14:textId="77777777">
            <w:pPr>
              <w:jc w:val="center"/>
              <w:rPr>
                <w:szCs w:val="20"/>
              </w:rPr>
            </w:pPr>
          </w:p>
        </w:tc>
      </w:tr>
      <w:tr w14:paraId="266AB951" w14:textId="77777777" w:rsidTr="007D731F">
        <w:tblPrEx>
          <w:tblW w:w="9643" w:type="dxa"/>
          <w:tblInd w:w="131" w:type="dxa"/>
          <w:tblLayout w:type="fixed"/>
          <w:tblCellMar>
            <w:left w:w="0" w:type="dxa"/>
            <w:right w:w="0" w:type="dxa"/>
          </w:tblCellMar>
          <w:tblLook w:val="01E0"/>
        </w:tblPrEx>
        <w:trPr>
          <w:trHeight w:hRule="exact" w:val="449"/>
        </w:trPr>
        <w:tc>
          <w:tcPr>
            <w:tcW w:w="1214" w:type="dxa"/>
            <w:tcBorders>
              <w:top w:val="nil"/>
              <w:bottom w:val="nil"/>
            </w:tcBorders>
          </w:tcPr>
          <w:p w:rsidR="007D731F" w:rsidRPr="00A83605" w:rsidP="00A07EAA" w14:paraId="60188D53" w14:textId="77777777">
            <w:pPr>
              <w:pStyle w:val="TableParagraph"/>
              <w:spacing w:line="240" w:lineRule="auto"/>
              <w:ind w:left="0"/>
              <w:jc w:val="center"/>
              <w:rPr>
                <w:sz w:val="20"/>
                <w:szCs w:val="20"/>
              </w:rPr>
            </w:pPr>
            <w:r w:rsidRPr="00A83605">
              <w:rPr>
                <w:sz w:val="20"/>
                <w:szCs w:val="20"/>
              </w:rPr>
              <w:t>Respondents</w:t>
            </w:r>
          </w:p>
        </w:tc>
        <w:tc>
          <w:tcPr>
            <w:tcW w:w="1260" w:type="dxa"/>
            <w:tcBorders>
              <w:top w:val="nil"/>
              <w:bottom w:val="nil"/>
            </w:tcBorders>
          </w:tcPr>
          <w:p w:rsidR="007D731F" w:rsidRPr="00A83605" w:rsidP="00A07EAA" w14:paraId="28F29E91" w14:textId="77777777">
            <w:pPr>
              <w:pStyle w:val="TableParagraph"/>
              <w:spacing w:line="261" w:lineRule="auto"/>
              <w:ind w:left="0"/>
              <w:jc w:val="center"/>
              <w:rPr>
                <w:sz w:val="20"/>
                <w:szCs w:val="20"/>
              </w:rPr>
            </w:pPr>
            <w:r w:rsidRPr="00A83605">
              <w:rPr>
                <w:sz w:val="20"/>
                <w:szCs w:val="20"/>
              </w:rPr>
              <w:t>(per respondent)</w:t>
            </w:r>
          </w:p>
        </w:tc>
        <w:tc>
          <w:tcPr>
            <w:tcW w:w="1258" w:type="dxa"/>
            <w:tcBorders>
              <w:top w:val="nil"/>
              <w:bottom w:val="nil"/>
            </w:tcBorders>
          </w:tcPr>
          <w:p w:rsidR="007D731F" w:rsidRPr="00A83605" w:rsidP="00A07EAA" w14:paraId="7EB9EC5A" w14:textId="77777777">
            <w:pPr>
              <w:pStyle w:val="TableParagraph"/>
              <w:spacing w:line="261" w:lineRule="auto"/>
              <w:ind w:left="0"/>
              <w:jc w:val="center"/>
              <w:rPr>
                <w:sz w:val="20"/>
                <w:szCs w:val="20"/>
              </w:rPr>
            </w:pPr>
            <w:r w:rsidRPr="00A83605">
              <w:rPr>
                <w:sz w:val="20"/>
                <w:szCs w:val="20"/>
              </w:rPr>
              <w:t>Total Responses</w:t>
            </w:r>
          </w:p>
        </w:tc>
        <w:tc>
          <w:tcPr>
            <w:tcW w:w="1152" w:type="dxa"/>
            <w:tcBorders>
              <w:top w:val="nil"/>
              <w:bottom w:val="nil"/>
            </w:tcBorders>
          </w:tcPr>
          <w:p w:rsidR="007D731F" w:rsidRPr="00A83605" w:rsidP="00A07EAA" w14:paraId="3DAD2411" w14:textId="77777777">
            <w:pPr>
              <w:pStyle w:val="TableParagraph"/>
              <w:spacing w:line="261" w:lineRule="auto"/>
              <w:ind w:left="0"/>
              <w:jc w:val="center"/>
              <w:rPr>
                <w:sz w:val="20"/>
                <w:szCs w:val="20"/>
              </w:rPr>
            </w:pPr>
            <w:r w:rsidRPr="00A83605">
              <w:rPr>
                <w:sz w:val="20"/>
                <w:szCs w:val="20"/>
              </w:rPr>
              <w:t>Time per Response</w:t>
            </w:r>
          </w:p>
        </w:tc>
        <w:tc>
          <w:tcPr>
            <w:tcW w:w="1426" w:type="dxa"/>
            <w:tcBorders>
              <w:top w:val="nil"/>
              <w:bottom w:val="nil"/>
            </w:tcBorders>
          </w:tcPr>
          <w:p w:rsidR="007D731F" w:rsidRPr="00A83605" w:rsidP="00A07EAA" w14:paraId="364D8541" w14:textId="77777777">
            <w:pPr>
              <w:pStyle w:val="TableParagraph"/>
              <w:tabs>
                <w:tab w:val="left" w:pos="842"/>
              </w:tabs>
              <w:spacing w:line="261" w:lineRule="auto"/>
              <w:ind w:left="0"/>
              <w:jc w:val="center"/>
              <w:rPr>
                <w:sz w:val="20"/>
                <w:szCs w:val="20"/>
              </w:rPr>
            </w:pPr>
            <w:r w:rsidRPr="00A83605">
              <w:rPr>
                <w:sz w:val="20"/>
                <w:szCs w:val="20"/>
              </w:rPr>
              <w:t xml:space="preserve">Total </w:t>
            </w:r>
            <w:r w:rsidRPr="00A83605">
              <w:rPr>
                <w:spacing w:val="-1"/>
                <w:sz w:val="20"/>
                <w:szCs w:val="20"/>
              </w:rPr>
              <w:t xml:space="preserve">Annual Time </w:t>
            </w:r>
            <w:r w:rsidRPr="00A83605">
              <w:rPr>
                <w:sz w:val="20"/>
                <w:szCs w:val="20"/>
              </w:rPr>
              <w:t>(hr)</w:t>
            </w:r>
          </w:p>
        </w:tc>
        <w:tc>
          <w:tcPr>
            <w:tcW w:w="710" w:type="dxa"/>
            <w:tcBorders>
              <w:top w:val="nil"/>
              <w:bottom w:val="nil"/>
            </w:tcBorders>
          </w:tcPr>
          <w:p w:rsidR="007D731F" w:rsidRPr="00A83605" w:rsidP="00A07EAA" w14:paraId="56FDE9BA" w14:textId="77777777">
            <w:pPr>
              <w:pStyle w:val="TableParagraph"/>
              <w:spacing w:line="261" w:lineRule="auto"/>
              <w:ind w:left="0"/>
              <w:jc w:val="center"/>
              <w:rPr>
                <w:sz w:val="20"/>
                <w:szCs w:val="20"/>
              </w:rPr>
            </w:pPr>
            <w:r w:rsidRPr="00A83605">
              <w:rPr>
                <w:sz w:val="20"/>
                <w:szCs w:val="20"/>
              </w:rPr>
              <w:t>Rate ($/hr)</w:t>
            </w:r>
          </w:p>
        </w:tc>
        <w:tc>
          <w:tcPr>
            <w:tcW w:w="1104" w:type="dxa"/>
            <w:tcBorders>
              <w:top w:val="nil"/>
              <w:bottom w:val="nil"/>
            </w:tcBorders>
          </w:tcPr>
          <w:p w:rsidR="007D731F" w:rsidRPr="00A83605" w:rsidP="00A07EAA" w14:paraId="65FC599D" w14:textId="77777777">
            <w:pPr>
              <w:pStyle w:val="TableParagraph"/>
              <w:spacing w:line="261" w:lineRule="auto"/>
              <w:ind w:left="0"/>
              <w:jc w:val="center"/>
              <w:rPr>
                <w:sz w:val="20"/>
                <w:szCs w:val="20"/>
              </w:rPr>
            </w:pPr>
            <w:r w:rsidRPr="00A83605">
              <w:rPr>
                <w:sz w:val="20"/>
                <w:szCs w:val="20"/>
              </w:rPr>
              <w:t xml:space="preserve">Capital/ </w:t>
            </w:r>
            <w:r w:rsidRPr="00A83605">
              <w:rPr>
                <w:w w:val="95"/>
                <w:sz w:val="20"/>
                <w:szCs w:val="20"/>
              </w:rPr>
              <w:t>Maintenance</w:t>
            </w:r>
          </w:p>
        </w:tc>
        <w:tc>
          <w:tcPr>
            <w:tcW w:w="1519" w:type="dxa"/>
            <w:tcBorders>
              <w:top w:val="nil"/>
              <w:bottom w:val="nil"/>
            </w:tcBorders>
          </w:tcPr>
          <w:p w:rsidR="007D731F" w:rsidRPr="00A83605" w:rsidP="00A07EAA" w14:paraId="1D06BC18" w14:textId="77777777">
            <w:pPr>
              <w:pStyle w:val="TableParagraph"/>
              <w:spacing w:line="261" w:lineRule="auto"/>
              <w:ind w:left="0"/>
              <w:jc w:val="center"/>
              <w:rPr>
                <w:sz w:val="20"/>
                <w:szCs w:val="20"/>
              </w:rPr>
            </w:pPr>
            <w:r w:rsidRPr="00A83605">
              <w:rPr>
                <w:sz w:val="20"/>
                <w:szCs w:val="20"/>
              </w:rPr>
              <w:t>Total Annual Cost ($)</w:t>
            </w:r>
          </w:p>
        </w:tc>
      </w:tr>
      <w:tr w14:paraId="73B7ADD6" w14:textId="77777777" w:rsidTr="007D731F">
        <w:tblPrEx>
          <w:tblW w:w="9643" w:type="dxa"/>
          <w:tblInd w:w="131" w:type="dxa"/>
          <w:tblLayout w:type="fixed"/>
          <w:tblCellMar>
            <w:left w:w="0" w:type="dxa"/>
            <w:right w:w="0" w:type="dxa"/>
          </w:tblCellMar>
          <w:tblLook w:val="01E0"/>
        </w:tblPrEx>
        <w:trPr>
          <w:trHeight w:hRule="exact" w:val="232"/>
        </w:trPr>
        <w:tc>
          <w:tcPr>
            <w:tcW w:w="1214" w:type="dxa"/>
            <w:tcBorders>
              <w:top w:val="nil"/>
            </w:tcBorders>
          </w:tcPr>
          <w:p w:rsidR="007D731F" w:rsidRPr="00A83605" w:rsidP="00A07EAA" w14:paraId="1EC3C9CF" w14:textId="77777777">
            <w:pPr>
              <w:jc w:val="center"/>
              <w:rPr>
                <w:szCs w:val="20"/>
              </w:rPr>
            </w:pPr>
          </w:p>
        </w:tc>
        <w:tc>
          <w:tcPr>
            <w:tcW w:w="1260" w:type="dxa"/>
            <w:tcBorders>
              <w:top w:val="nil"/>
            </w:tcBorders>
          </w:tcPr>
          <w:p w:rsidR="007D731F" w:rsidRPr="00A83605" w:rsidP="00A07EAA" w14:paraId="5821BE33" w14:textId="77777777">
            <w:pPr>
              <w:jc w:val="center"/>
              <w:rPr>
                <w:szCs w:val="20"/>
              </w:rPr>
            </w:pPr>
          </w:p>
        </w:tc>
        <w:tc>
          <w:tcPr>
            <w:tcW w:w="1258" w:type="dxa"/>
            <w:tcBorders>
              <w:top w:val="nil"/>
            </w:tcBorders>
          </w:tcPr>
          <w:p w:rsidR="007D731F" w:rsidRPr="00A83605" w:rsidP="00A07EAA" w14:paraId="218A869E" w14:textId="77777777">
            <w:pPr>
              <w:jc w:val="center"/>
              <w:rPr>
                <w:szCs w:val="20"/>
              </w:rPr>
            </w:pPr>
          </w:p>
        </w:tc>
        <w:tc>
          <w:tcPr>
            <w:tcW w:w="1152" w:type="dxa"/>
            <w:tcBorders>
              <w:top w:val="nil"/>
            </w:tcBorders>
          </w:tcPr>
          <w:p w:rsidR="007D731F" w:rsidRPr="00A83605" w:rsidP="00A07EAA" w14:paraId="5A5B17F0" w14:textId="77777777">
            <w:pPr>
              <w:jc w:val="center"/>
              <w:rPr>
                <w:szCs w:val="20"/>
              </w:rPr>
            </w:pPr>
          </w:p>
        </w:tc>
        <w:tc>
          <w:tcPr>
            <w:tcW w:w="1426" w:type="dxa"/>
            <w:tcBorders>
              <w:top w:val="nil"/>
            </w:tcBorders>
          </w:tcPr>
          <w:p w:rsidR="007D731F" w:rsidRPr="00A83605" w:rsidP="00A07EAA" w14:paraId="73B24965" w14:textId="77777777">
            <w:pPr>
              <w:jc w:val="center"/>
              <w:rPr>
                <w:szCs w:val="20"/>
              </w:rPr>
            </w:pPr>
          </w:p>
        </w:tc>
        <w:tc>
          <w:tcPr>
            <w:tcW w:w="710" w:type="dxa"/>
            <w:tcBorders>
              <w:top w:val="nil"/>
            </w:tcBorders>
          </w:tcPr>
          <w:p w:rsidR="007D731F" w:rsidRPr="00A83605" w:rsidP="00A07EAA" w14:paraId="19B6A786" w14:textId="77777777">
            <w:pPr>
              <w:jc w:val="center"/>
              <w:rPr>
                <w:szCs w:val="20"/>
              </w:rPr>
            </w:pPr>
          </w:p>
        </w:tc>
        <w:tc>
          <w:tcPr>
            <w:tcW w:w="1104" w:type="dxa"/>
            <w:tcBorders>
              <w:top w:val="nil"/>
            </w:tcBorders>
          </w:tcPr>
          <w:p w:rsidR="007D731F" w:rsidRPr="00A83605" w:rsidP="00A07EAA" w14:paraId="0F456EAA" w14:textId="77777777">
            <w:pPr>
              <w:pStyle w:val="TableParagraph"/>
              <w:spacing w:line="240" w:lineRule="auto"/>
              <w:ind w:left="0"/>
              <w:jc w:val="center"/>
              <w:rPr>
                <w:sz w:val="20"/>
                <w:szCs w:val="20"/>
              </w:rPr>
            </w:pPr>
            <w:r w:rsidRPr="00A83605">
              <w:rPr>
                <w:sz w:val="20"/>
                <w:szCs w:val="20"/>
              </w:rPr>
              <w:t>Costs ($)</w:t>
            </w:r>
          </w:p>
        </w:tc>
        <w:tc>
          <w:tcPr>
            <w:tcW w:w="1519" w:type="dxa"/>
            <w:tcBorders>
              <w:top w:val="nil"/>
            </w:tcBorders>
          </w:tcPr>
          <w:p w:rsidR="007D731F" w:rsidRPr="00A83605" w:rsidP="00A07EAA" w14:paraId="75B31EF6" w14:textId="77777777">
            <w:pPr>
              <w:jc w:val="center"/>
              <w:rPr>
                <w:szCs w:val="20"/>
              </w:rPr>
            </w:pPr>
          </w:p>
        </w:tc>
      </w:tr>
      <w:tr w14:paraId="15B0466B" w14:textId="77777777" w:rsidTr="007D731F">
        <w:tblPrEx>
          <w:tblW w:w="9643" w:type="dxa"/>
          <w:tblInd w:w="131" w:type="dxa"/>
          <w:tblLayout w:type="fixed"/>
          <w:tblCellMar>
            <w:left w:w="0" w:type="dxa"/>
            <w:right w:w="0" w:type="dxa"/>
          </w:tblCellMar>
          <w:tblLook w:val="01E0"/>
        </w:tblPrEx>
        <w:trPr>
          <w:trHeight w:hRule="exact" w:val="478"/>
        </w:trPr>
        <w:tc>
          <w:tcPr>
            <w:tcW w:w="1214" w:type="dxa"/>
          </w:tcPr>
          <w:p w:rsidR="007D731F" w:rsidRPr="00A83605" w:rsidP="00A07EAA" w14:paraId="34ACD029" w14:textId="5D4AC0CC">
            <w:pPr>
              <w:pStyle w:val="TableParagraph"/>
              <w:ind w:left="0"/>
              <w:jc w:val="center"/>
              <w:rPr>
                <w:sz w:val="20"/>
                <w:szCs w:val="20"/>
              </w:rPr>
            </w:pPr>
            <w:r w:rsidRPr="00A83605">
              <w:rPr>
                <w:sz w:val="20"/>
                <w:szCs w:val="20"/>
              </w:rPr>
              <w:t>5</w:t>
            </w:r>
            <w:r>
              <w:rPr>
                <w:sz w:val="20"/>
                <w:szCs w:val="20"/>
              </w:rPr>
              <w:t>6</w:t>
            </w:r>
          </w:p>
        </w:tc>
        <w:tc>
          <w:tcPr>
            <w:tcW w:w="1260" w:type="dxa"/>
          </w:tcPr>
          <w:p w:rsidR="007D731F" w:rsidRPr="00A83605" w:rsidP="00A07EAA" w14:paraId="64BA8C69" w14:textId="7D1B76BF">
            <w:pPr>
              <w:pStyle w:val="TableParagraph"/>
              <w:ind w:left="0"/>
              <w:jc w:val="center"/>
              <w:rPr>
                <w:sz w:val="20"/>
                <w:szCs w:val="20"/>
              </w:rPr>
            </w:pPr>
            <w:r>
              <w:rPr>
                <w:sz w:val="20"/>
                <w:szCs w:val="20"/>
              </w:rPr>
              <w:t>20</w:t>
            </w:r>
          </w:p>
        </w:tc>
        <w:tc>
          <w:tcPr>
            <w:tcW w:w="1258" w:type="dxa"/>
          </w:tcPr>
          <w:p w:rsidR="007D731F" w:rsidRPr="00A83605" w:rsidP="00A07EAA" w14:paraId="63A977FA" w14:textId="1EEA3C1C">
            <w:pPr>
              <w:pStyle w:val="TableParagraph"/>
              <w:ind w:left="0"/>
              <w:jc w:val="center"/>
              <w:rPr>
                <w:sz w:val="20"/>
                <w:szCs w:val="20"/>
              </w:rPr>
            </w:pPr>
            <w:r>
              <w:rPr>
                <w:sz w:val="20"/>
                <w:szCs w:val="20"/>
              </w:rPr>
              <w:t>1,120</w:t>
            </w:r>
          </w:p>
        </w:tc>
        <w:tc>
          <w:tcPr>
            <w:tcW w:w="1152" w:type="dxa"/>
          </w:tcPr>
          <w:p w:rsidR="007D731F" w:rsidRPr="00A83605" w:rsidP="00A07EAA" w14:paraId="776C97DF" w14:textId="4AE96541">
            <w:pPr>
              <w:pStyle w:val="TableParagraph"/>
              <w:ind w:left="0"/>
              <w:jc w:val="center"/>
              <w:rPr>
                <w:sz w:val="20"/>
                <w:szCs w:val="20"/>
              </w:rPr>
            </w:pPr>
            <w:r>
              <w:rPr>
                <w:sz w:val="20"/>
                <w:szCs w:val="20"/>
              </w:rPr>
              <w:t>20</w:t>
            </w:r>
            <w:r w:rsidRPr="00A83605">
              <w:rPr>
                <w:sz w:val="20"/>
                <w:szCs w:val="20"/>
              </w:rPr>
              <w:t xml:space="preserve"> hr</w:t>
            </w:r>
          </w:p>
        </w:tc>
        <w:tc>
          <w:tcPr>
            <w:tcW w:w="1426" w:type="dxa"/>
          </w:tcPr>
          <w:p w:rsidR="007D731F" w:rsidRPr="00A83605" w:rsidP="00A07EAA" w14:paraId="1C0B2EFD" w14:textId="2000F52F">
            <w:pPr>
              <w:pStyle w:val="TableParagraph"/>
              <w:ind w:left="0"/>
              <w:jc w:val="center"/>
              <w:rPr>
                <w:sz w:val="20"/>
                <w:szCs w:val="20"/>
              </w:rPr>
            </w:pPr>
            <w:r>
              <w:rPr>
                <w:sz w:val="20"/>
                <w:szCs w:val="20"/>
              </w:rPr>
              <w:t>22</w:t>
            </w:r>
            <w:r w:rsidRPr="00A83605">
              <w:rPr>
                <w:sz w:val="20"/>
                <w:szCs w:val="20"/>
              </w:rPr>
              <w:t>,4</w:t>
            </w:r>
            <w:r>
              <w:rPr>
                <w:sz w:val="20"/>
                <w:szCs w:val="20"/>
              </w:rPr>
              <w:t>0</w:t>
            </w:r>
            <w:r w:rsidRPr="00A83605">
              <w:rPr>
                <w:sz w:val="20"/>
                <w:szCs w:val="20"/>
              </w:rPr>
              <w:t>0</w:t>
            </w:r>
          </w:p>
        </w:tc>
        <w:tc>
          <w:tcPr>
            <w:tcW w:w="710" w:type="dxa"/>
          </w:tcPr>
          <w:p w:rsidR="007D731F" w:rsidRPr="00A83605" w:rsidP="00A07EAA" w14:paraId="741665D1" w14:textId="236B361C">
            <w:pPr>
              <w:pStyle w:val="TableParagraph"/>
              <w:ind w:left="0"/>
              <w:jc w:val="center"/>
              <w:rPr>
                <w:sz w:val="20"/>
                <w:szCs w:val="20"/>
              </w:rPr>
            </w:pPr>
            <w:r>
              <w:rPr>
                <w:sz w:val="20"/>
                <w:szCs w:val="20"/>
              </w:rPr>
              <w:t>84.66</w:t>
            </w:r>
          </w:p>
        </w:tc>
        <w:tc>
          <w:tcPr>
            <w:tcW w:w="1104" w:type="dxa"/>
          </w:tcPr>
          <w:p w:rsidR="007D731F" w:rsidRPr="00A83605" w:rsidP="00A07EAA" w14:paraId="1A4CEED3" w14:textId="77777777">
            <w:pPr>
              <w:pStyle w:val="TableParagraph"/>
              <w:ind w:left="0"/>
              <w:jc w:val="center"/>
              <w:rPr>
                <w:sz w:val="20"/>
                <w:szCs w:val="20"/>
              </w:rPr>
            </w:pPr>
            <w:r w:rsidRPr="00A83605">
              <w:rPr>
                <w:sz w:val="20"/>
                <w:szCs w:val="20"/>
              </w:rPr>
              <w:t>0</w:t>
            </w:r>
          </w:p>
        </w:tc>
        <w:tc>
          <w:tcPr>
            <w:tcW w:w="1519" w:type="dxa"/>
          </w:tcPr>
          <w:p w:rsidR="007D731F" w:rsidRPr="00A83605" w:rsidP="00A07EAA" w14:paraId="1472DDB6" w14:textId="13A12271">
            <w:pPr>
              <w:pStyle w:val="TableParagraph"/>
              <w:ind w:left="0"/>
              <w:jc w:val="center"/>
              <w:rPr>
                <w:sz w:val="20"/>
                <w:szCs w:val="20"/>
              </w:rPr>
            </w:pPr>
            <w:r w:rsidRPr="00C85E26">
              <w:rPr>
                <w:sz w:val="20"/>
                <w:szCs w:val="20"/>
              </w:rPr>
              <w:t>1,896,384</w:t>
            </w:r>
          </w:p>
        </w:tc>
      </w:tr>
    </w:tbl>
    <w:p w:rsidR="00C85E26" w:rsidRPr="001C7D11" w:rsidP="00BE0BBB" w14:paraId="7C606EB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D70F3" w:rsidRPr="007D731F" w:rsidP="00BE0BBB" w14:paraId="3B0A52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7D731F">
        <w:rPr>
          <w:i/>
          <w:sz w:val="24"/>
        </w:rPr>
        <w:t xml:space="preserve">Collection of Information Instruments and </w:t>
      </w:r>
      <w:r w:rsidRPr="007D731F" w:rsidR="00035ED7">
        <w:rPr>
          <w:i/>
          <w:sz w:val="24"/>
        </w:rPr>
        <w:t>Instruction/</w:t>
      </w:r>
      <w:r w:rsidRPr="007D731F">
        <w:rPr>
          <w:i/>
          <w:sz w:val="24"/>
        </w:rPr>
        <w:t>Guidance Documents</w:t>
      </w:r>
    </w:p>
    <w:p w:rsidR="008921A1" w:rsidRPr="007D731F" w:rsidP="00BE0BBB" w14:paraId="4A17690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p>
    <w:p w:rsidR="008921A1" w:rsidRPr="007D731F" w:rsidP="00BE0BBB" w14:paraId="7727A3C9" w14:textId="4D56862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sidRPr="007D731F">
        <w:rPr>
          <w:i/>
          <w:sz w:val="24"/>
        </w:rPr>
        <w:t xml:space="preserve">The following </w:t>
      </w:r>
      <w:r w:rsidRPr="007D731F">
        <w:rPr>
          <w:i/>
          <w:sz w:val="24"/>
        </w:rPr>
        <w:t xml:space="preserve">table </w:t>
      </w:r>
      <w:r w:rsidRPr="007D731F">
        <w:rPr>
          <w:i/>
          <w:sz w:val="24"/>
        </w:rPr>
        <w:t>lists all c</w:t>
      </w:r>
      <w:r w:rsidRPr="007D731F">
        <w:rPr>
          <w:i/>
          <w:sz w:val="24"/>
        </w:rPr>
        <w:t xml:space="preserve">ollection of </w:t>
      </w:r>
      <w:r w:rsidRPr="007D731F">
        <w:rPr>
          <w:i/>
          <w:sz w:val="24"/>
        </w:rPr>
        <w:t>i</w:t>
      </w:r>
      <w:r w:rsidRPr="007D731F">
        <w:rPr>
          <w:i/>
          <w:sz w:val="24"/>
        </w:rPr>
        <w:t xml:space="preserve">nformation </w:t>
      </w:r>
      <w:r w:rsidRPr="007D731F">
        <w:rPr>
          <w:i/>
          <w:sz w:val="24"/>
        </w:rPr>
        <w:t>i</w:t>
      </w:r>
      <w:r w:rsidRPr="007D731F">
        <w:rPr>
          <w:i/>
          <w:sz w:val="24"/>
        </w:rPr>
        <w:t>nstruments</w:t>
      </w:r>
      <w:r w:rsidRPr="007D731F">
        <w:rPr>
          <w:i/>
          <w:sz w:val="24"/>
        </w:rPr>
        <w:t xml:space="preserve"> and </w:t>
      </w:r>
      <w:r w:rsidRPr="007D731F">
        <w:rPr>
          <w:i/>
          <w:sz w:val="24"/>
        </w:rPr>
        <w:t>identif</w:t>
      </w:r>
      <w:r w:rsidRPr="007D731F">
        <w:rPr>
          <w:i/>
          <w:sz w:val="24"/>
        </w:rPr>
        <w:t>ies whether are making any revisions in this 2024 iteration.</w:t>
      </w:r>
    </w:p>
    <w:p w:rsidR="005D70F3" w:rsidRPr="007D731F" w:rsidP="00A26926" w14:paraId="16007B2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921A1" w:rsidRPr="001C7D11" w:rsidP="00A46D4E" w14:paraId="0CC5E1E6" w14:textId="4C090B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7D731F">
        <w:rPr>
          <w:sz w:val="24"/>
        </w:rPr>
        <w:t xml:space="preserve">Attachments: Inclusive of Plan </w:t>
      </w:r>
      <w:r w:rsidRPr="007D731F" w:rsidR="00C85E26">
        <w:rPr>
          <w:sz w:val="24"/>
        </w:rPr>
        <w:t>P</w:t>
      </w:r>
      <w:r w:rsidRPr="007D731F">
        <w:rPr>
          <w:sz w:val="24"/>
        </w:rPr>
        <w:t xml:space="preserve">age </w:t>
      </w:r>
      <w:r w:rsidRPr="007D731F" w:rsidR="00C85E26">
        <w:rPr>
          <w:sz w:val="24"/>
        </w:rPr>
        <w:t>S</w:t>
      </w:r>
      <w:r w:rsidRPr="007D731F">
        <w:rPr>
          <w:sz w:val="24"/>
        </w:rPr>
        <w:t>ections and Status</w:t>
      </w:r>
    </w:p>
    <w:tbl>
      <w:tblPr>
        <w:tblStyle w:val="TableGrid"/>
        <w:tblW w:w="0" w:type="auto"/>
        <w:tblLook w:val="04A0"/>
      </w:tblPr>
      <w:tblGrid>
        <w:gridCol w:w="1988"/>
        <w:gridCol w:w="2088"/>
        <w:gridCol w:w="1918"/>
        <w:gridCol w:w="1817"/>
        <w:gridCol w:w="1539"/>
      </w:tblGrid>
      <w:tr w14:paraId="5BDD110A" w14:textId="77777777" w:rsidTr="00BB1581">
        <w:tblPrEx>
          <w:tblW w:w="0" w:type="auto"/>
          <w:tblLook w:val="04A0"/>
        </w:tblPrEx>
        <w:trPr>
          <w:tblHeader/>
        </w:trPr>
        <w:tc>
          <w:tcPr>
            <w:tcW w:w="2056" w:type="dxa"/>
          </w:tcPr>
          <w:p w:rsidR="00F23960" w:rsidRPr="00AE369E" w:rsidP="00915321" w14:paraId="7574D3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AE369E">
              <w:rPr>
                <w:szCs w:val="20"/>
              </w:rPr>
              <w:t>Exhibit</w:t>
            </w:r>
          </w:p>
        </w:tc>
        <w:tc>
          <w:tcPr>
            <w:tcW w:w="1889" w:type="dxa"/>
          </w:tcPr>
          <w:p w:rsidR="00F23960" w:rsidRPr="00AE369E" w:rsidP="00915321" w14:paraId="1DDA68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AE369E">
              <w:rPr>
                <w:szCs w:val="20"/>
              </w:rPr>
              <w:t>Section(s)</w:t>
            </w:r>
          </w:p>
        </w:tc>
        <w:tc>
          <w:tcPr>
            <w:tcW w:w="1975" w:type="dxa"/>
          </w:tcPr>
          <w:p w:rsidR="00F23960" w:rsidRPr="00AE369E" w:rsidP="00915321" w14:paraId="5EEB5760" w14:textId="3BBC1DF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AE369E">
              <w:rPr>
                <w:szCs w:val="20"/>
              </w:rPr>
              <w:t>Attachment</w:t>
            </w:r>
            <w:r w:rsidRPr="00AE369E" w:rsidR="00D644AD">
              <w:rPr>
                <w:szCs w:val="20"/>
              </w:rPr>
              <w:t xml:space="preserve"> and Supplements</w:t>
            </w:r>
          </w:p>
        </w:tc>
        <w:tc>
          <w:tcPr>
            <w:tcW w:w="1848" w:type="dxa"/>
          </w:tcPr>
          <w:p w:rsidR="00F23960" w:rsidRPr="00AE369E" w:rsidP="00915321" w14:paraId="0583D4A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AE369E">
              <w:rPr>
                <w:szCs w:val="20"/>
              </w:rPr>
              <w:t>Title/Subject</w:t>
            </w:r>
          </w:p>
        </w:tc>
        <w:tc>
          <w:tcPr>
            <w:tcW w:w="1582" w:type="dxa"/>
          </w:tcPr>
          <w:p w:rsidR="00F23960" w:rsidRPr="00AE369E" w:rsidP="00915321" w14:paraId="2D817E7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0"/>
              </w:rPr>
            </w:pPr>
            <w:r w:rsidRPr="00AE369E">
              <w:rPr>
                <w:szCs w:val="20"/>
              </w:rPr>
              <w:t>2024 Status (New, Revised, Removed, No Changes)</w:t>
            </w:r>
          </w:p>
        </w:tc>
      </w:tr>
      <w:tr w14:paraId="64B608CD" w14:textId="77777777" w:rsidTr="00915321">
        <w:tblPrEx>
          <w:tblW w:w="0" w:type="auto"/>
          <w:tblLook w:val="04A0"/>
        </w:tblPrEx>
        <w:tc>
          <w:tcPr>
            <w:tcW w:w="2056" w:type="dxa"/>
          </w:tcPr>
          <w:p w:rsidR="00F23960" w:rsidRPr="007D731F" w:rsidP="00915321" w14:paraId="4AE391DC" w14:textId="1B6B35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7D731F">
              <w:rPr>
                <w:szCs w:val="20"/>
              </w:rPr>
              <w:t>n/a</w:t>
            </w:r>
          </w:p>
        </w:tc>
        <w:tc>
          <w:tcPr>
            <w:tcW w:w="1889" w:type="dxa"/>
          </w:tcPr>
          <w:p w:rsidR="00F23960" w:rsidRPr="007D731F" w:rsidP="00915321" w14:paraId="175F8DF9" w14:textId="5BA1785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7D731F">
              <w:rPr>
                <w:szCs w:val="20"/>
              </w:rPr>
              <w:t>n/a</w:t>
            </w:r>
          </w:p>
        </w:tc>
        <w:tc>
          <w:tcPr>
            <w:tcW w:w="1975" w:type="dxa"/>
          </w:tcPr>
          <w:p w:rsidR="00F23960" w:rsidRPr="007D731F" w:rsidP="00915321" w14:paraId="47D65642" w14:textId="698E5D7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7D731F">
              <w:rPr>
                <w:szCs w:val="20"/>
              </w:rPr>
              <w:t>n/a</w:t>
            </w:r>
          </w:p>
        </w:tc>
        <w:tc>
          <w:tcPr>
            <w:tcW w:w="1848" w:type="dxa"/>
          </w:tcPr>
          <w:p w:rsidR="00F23960" w:rsidRPr="007D731F" w:rsidP="00915321" w14:paraId="04B802C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7D731F">
              <w:rPr>
                <w:szCs w:val="20"/>
              </w:rPr>
              <w:t>Transmittal and Notice of Approval of State Plan Material</w:t>
            </w:r>
          </w:p>
        </w:tc>
        <w:tc>
          <w:tcPr>
            <w:tcW w:w="1582" w:type="dxa"/>
          </w:tcPr>
          <w:p w:rsidR="00F23960" w:rsidRPr="00321084" w:rsidP="00915321" w14:paraId="224FA69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7D731F">
              <w:rPr>
                <w:szCs w:val="20"/>
              </w:rPr>
              <w:t>No Changes</w:t>
            </w:r>
          </w:p>
        </w:tc>
      </w:tr>
      <w:tr w14:paraId="56A0F610" w14:textId="77777777" w:rsidTr="00915321">
        <w:tblPrEx>
          <w:tblW w:w="0" w:type="auto"/>
          <w:tblLook w:val="04A0"/>
        </w:tblPrEx>
        <w:tc>
          <w:tcPr>
            <w:tcW w:w="2056" w:type="dxa"/>
          </w:tcPr>
          <w:p w:rsidR="00F23960" w:rsidRPr="00321084" w:rsidP="00915321" w14:paraId="367C918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A</w:t>
            </w:r>
          </w:p>
        </w:tc>
        <w:tc>
          <w:tcPr>
            <w:tcW w:w="1889" w:type="dxa"/>
          </w:tcPr>
          <w:p w:rsidR="00F23960" w:rsidRPr="00321084" w:rsidP="00915321" w14:paraId="63E838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2.1 through 2.7 (States)</w:t>
            </w:r>
          </w:p>
        </w:tc>
        <w:tc>
          <w:tcPr>
            <w:tcW w:w="1975" w:type="dxa"/>
          </w:tcPr>
          <w:p w:rsidR="00F23960" w:rsidRPr="00321084" w:rsidP="00915321" w14:paraId="5ED1DFCA" w14:textId="2A69BA5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None</w:t>
            </w:r>
          </w:p>
        </w:tc>
        <w:tc>
          <w:tcPr>
            <w:tcW w:w="1848" w:type="dxa"/>
          </w:tcPr>
          <w:p w:rsidR="00F23960" w:rsidRPr="00321084" w:rsidP="00915321" w14:paraId="34833E05" w14:textId="4ED3845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State Plan,</w:t>
            </w:r>
            <w:r w:rsidR="00BB1581">
              <w:rPr>
                <w:szCs w:val="20"/>
              </w:rPr>
              <w:t xml:space="preserve"> Section 2,</w:t>
            </w:r>
            <w:r>
              <w:rPr>
                <w:szCs w:val="20"/>
              </w:rPr>
              <w:t xml:space="preserve"> Coverage and Eligibility</w:t>
            </w:r>
          </w:p>
        </w:tc>
        <w:tc>
          <w:tcPr>
            <w:tcW w:w="1582" w:type="dxa"/>
          </w:tcPr>
          <w:p w:rsidR="00F23960" w:rsidRPr="00321084" w:rsidP="00915321" w14:paraId="29EF26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No Changes</w:t>
            </w:r>
          </w:p>
        </w:tc>
      </w:tr>
      <w:tr w14:paraId="3B73C97D" w14:textId="77777777" w:rsidTr="00915321">
        <w:tblPrEx>
          <w:tblW w:w="0" w:type="auto"/>
          <w:tblLook w:val="04A0"/>
        </w:tblPrEx>
        <w:tc>
          <w:tcPr>
            <w:tcW w:w="2056" w:type="dxa"/>
          </w:tcPr>
          <w:p w:rsidR="00F23960" w:rsidRPr="00321084" w:rsidP="00915321" w14:paraId="780CA9F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A1</w:t>
            </w:r>
          </w:p>
        </w:tc>
        <w:tc>
          <w:tcPr>
            <w:tcW w:w="1889" w:type="dxa"/>
          </w:tcPr>
          <w:p w:rsidR="00F23960" w:rsidRPr="00321084" w:rsidP="00915321" w14:paraId="18E04C2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2.1 through 2.7 (Territories)</w:t>
            </w:r>
          </w:p>
        </w:tc>
        <w:tc>
          <w:tcPr>
            <w:tcW w:w="1975" w:type="dxa"/>
          </w:tcPr>
          <w:p w:rsidR="00F23960" w:rsidRPr="00321084" w:rsidP="00915321" w14:paraId="6FD57636" w14:textId="1ABB719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None</w:t>
            </w:r>
          </w:p>
        </w:tc>
        <w:tc>
          <w:tcPr>
            <w:tcW w:w="1848" w:type="dxa"/>
          </w:tcPr>
          <w:p w:rsidR="00F23960" w:rsidRPr="00321084" w:rsidP="00915321" w14:paraId="6B24E8DB" w14:textId="072E760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State Plan, Section 2, Coverage and Eligibility</w:t>
            </w:r>
          </w:p>
        </w:tc>
        <w:tc>
          <w:tcPr>
            <w:tcW w:w="1582" w:type="dxa"/>
          </w:tcPr>
          <w:p w:rsidR="00F23960" w:rsidRPr="00321084" w:rsidP="00915321" w14:paraId="020601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No Changes</w:t>
            </w:r>
          </w:p>
        </w:tc>
      </w:tr>
      <w:tr w14:paraId="7103A2C0" w14:textId="77777777" w:rsidTr="00915321">
        <w:tblPrEx>
          <w:tblW w:w="0" w:type="auto"/>
          <w:tblLook w:val="04A0"/>
        </w:tblPrEx>
        <w:tc>
          <w:tcPr>
            <w:tcW w:w="2056" w:type="dxa"/>
          </w:tcPr>
          <w:p w:rsidR="00F23960" w:rsidRPr="00321084" w:rsidP="00915321" w14:paraId="6405994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AA</w:t>
            </w:r>
          </w:p>
        </w:tc>
        <w:tc>
          <w:tcPr>
            <w:tcW w:w="1889" w:type="dxa"/>
          </w:tcPr>
          <w:p w:rsidR="00F23960" w:rsidRPr="00321084" w:rsidP="00915321" w14:paraId="45D6139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4.19</w:t>
            </w:r>
          </w:p>
        </w:tc>
        <w:tc>
          <w:tcPr>
            <w:tcW w:w="1975" w:type="dxa"/>
          </w:tcPr>
          <w:p w:rsidR="00F23960" w:rsidRPr="00321084" w:rsidP="00915321" w14:paraId="40BB00D8" w14:textId="18FA211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None</w:t>
            </w:r>
          </w:p>
        </w:tc>
        <w:tc>
          <w:tcPr>
            <w:tcW w:w="1848" w:type="dxa"/>
          </w:tcPr>
          <w:p w:rsidR="00F23960" w:rsidRPr="00321084" w:rsidP="00915321" w14:paraId="611C28A5" w14:textId="05E2BE7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State Plan, Payment for Services</w:t>
            </w:r>
          </w:p>
        </w:tc>
        <w:tc>
          <w:tcPr>
            <w:tcW w:w="1582" w:type="dxa"/>
          </w:tcPr>
          <w:p w:rsidR="00F23960" w:rsidRPr="00321084" w:rsidP="00915321" w14:paraId="10503B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No Changes</w:t>
            </w:r>
          </w:p>
        </w:tc>
      </w:tr>
      <w:tr w14:paraId="7419E582" w14:textId="77777777" w:rsidTr="00915321">
        <w:tblPrEx>
          <w:tblW w:w="0" w:type="auto"/>
          <w:tblLook w:val="04A0"/>
        </w:tblPrEx>
        <w:tc>
          <w:tcPr>
            <w:tcW w:w="2056" w:type="dxa"/>
          </w:tcPr>
          <w:p w:rsidR="00F23960" w:rsidRPr="00321084" w:rsidP="00915321" w14:paraId="338792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AB</w:t>
            </w:r>
          </w:p>
        </w:tc>
        <w:tc>
          <w:tcPr>
            <w:tcW w:w="1889" w:type="dxa"/>
          </w:tcPr>
          <w:p w:rsidR="00F23960" w:rsidRPr="00321084" w:rsidP="00915321" w14:paraId="73163C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4.19(e)</w:t>
            </w:r>
          </w:p>
        </w:tc>
        <w:tc>
          <w:tcPr>
            <w:tcW w:w="1975" w:type="dxa"/>
          </w:tcPr>
          <w:p w:rsidR="00F23960" w:rsidRPr="00321084" w:rsidP="00915321" w14:paraId="370E5A91" w14:textId="2F7B265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None</w:t>
            </w:r>
          </w:p>
        </w:tc>
        <w:tc>
          <w:tcPr>
            <w:tcW w:w="1848" w:type="dxa"/>
          </w:tcPr>
          <w:p w:rsidR="00F23960" w:rsidRPr="00321084" w:rsidP="00915321" w14:paraId="3CB541B8" w14:textId="227B53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State Plan, Timely Claims Payment</w:t>
            </w:r>
          </w:p>
        </w:tc>
        <w:tc>
          <w:tcPr>
            <w:tcW w:w="1582" w:type="dxa"/>
          </w:tcPr>
          <w:p w:rsidR="00F23960" w:rsidRPr="00321084" w:rsidP="00915321" w14:paraId="10A70FE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No Changes</w:t>
            </w:r>
          </w:p>
        </w:tc>
      </w:tr>
      <w:tr w14:paraId="78360A60" w14:textId="77777777" w:rsidTr="00915321">
        <w:tblPrEx>
          <w:tblW w:w="0" w:type="auto"/>
          <w:tblLook w:val="04A0"/>
        </w:tblPrEx>
        <w:tc>
          <w:tcPr>
            <w:tcW w:w="2056" w:type="dxa"/>
          </w:tcPr>
          <w:p w:rsidR="00F23960" w:rsidRPr="00321084" w:rsidP="00915321" w14:paraId="2086AF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AC</w:t>
            </w:r>
          </w:p>
        </w:tc>
        <w:tc>
          <w:tcPr>
            <w:tcW w:w="1889" w:type="dxa"/>
          </w:tcPr>
          <w:p w:rsidR="00F23960" w:rsidRPr="00321084" w:rsidP="00915321" w14:paraId="69FC24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4.19(f)</w:t>
            </w:r>
          </w:p>
        </w:tc>
        <w:tc>
          <w:tcPr>
            <w:tcW w:w="1975" w:type="dxa"/>
          </w:tcPr>
          <w:p w:rsidR="00F23960" w:rsidRPr="00321084" w:rsidP="00915321" w14:paraId="091E7333" w14:textId="5E96030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None</w:t>
            </w:r>
          </w:p>
        </w:tc>
        <w:tc>
          <w:tcPr>
            <w:tcW w:w="1848" w:type="dxa"/>
          </w:tcPr>
          <w:p w:rsidR="00F23960" w:rsidRPr="00321084" w:rsidP="00915321" w14:paraId="70362140" w14:textId="2457E4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State Plan, Provider Participation limitations</w:t>
            </w:r>
          </w:p>
        </w:tc>
        <w:tc>
          <w:tcPr>
            <w:tcW w:w="1582" w:type="dxa"/>
          </w:tcPr>
          <w:p w:rsidR="00F23960" w:rsidRPr="00321084" w:rsidP="00915321" w14:paraId="67A6772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No Changes</w:t>
            </w:r>
          </w:p>
        </w:tc>
      </w:tr>
      <w:tr w14:paraId="78BAB8B9" w14:textId="77777777" w:rsidTr="00915321">
        <w:tblPrEx>
          <w:tblW w:w="0" w:type="auto"/>
          <w:tblLook w:val="04A0"/>
        </w:tblPrEx>
        <w:tc>
          <w:tcPr>
            <w:tcW w:w="2056" w:type="dxa"/>
          </w:tcPr>
          <w:p w:rsidR="00F23960" w:rsidRPr="00321084" w:rsidP="00915321" w14:paraId="4C3904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AD</w:t>
            </w:r>
          </w:p>
        </w:tc>
        <w:tc>
          <w:tcPr>
            <w:tcW w:w="1889" w:type="dxa"/>
          </w:tcPr>
          <w:p w:rsidR="00F23960" w:rsidRPr="00321084" w:rsidP="00915321" w14:paraId="427642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4.19(g)</w:t>
            </w:r>
          </w:p>
        </w:tc>
        <w:tc>
          <w:tcPr>
            <w:tcW w:w="1975" w:type="dxa"/>
          </w:tcPr>
          <w:p w:rsidR="00F23960" w:rsidRPr="00321084" w:rsidP="00915321" w14:paraId="4DEAFBDD" w14:textId="2165C72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None</w:t>
            </w:r>
          </w:p>
        </w:tc>
        <w:tc>
          <w:tcPr>
            <w:tcW w:w="1848" w:type="dxa"/>
          </w:tcPr>
          <w:p w:rsidR="00F23960" w:rsidRPr="00321084" w:rsidP="00915321" w14:paraId="4ACD37C2" w14:textId="67D8C76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State Plan, Cost Audits</w:t>
            </w:r>
          </w:p>
        </w:tc>
        <w:tc>
          <w:tcPr>
            <w:tcW w:w="1582" w:type="dxa"/>
          </w:tcPr>
          <w:p w:rsidR="00F23960" w:rsidRPr="00321084" w:rsidP="00915321" w14:paraId="3DE0EB9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No Changes</w:t>
            </w:r>
          </w:p>
        </w:tc>
      </w:tr>
      <w:tr w14:paraId="16912930" w14:textId="77777777" w:rsidTr="00915321">
        <w:tblPrEx>
          <w:tblW w:w="0" w:type="auto"/>
          <w:tblLook w:val="04A0"/>
        </w:tblPrEx>
        <w:tc>
          <w:tcPr>
            <w:tcW w:w="2056" w:type="dxa"/>
          </w:tcPr>
          <w:p w:rsidR="00F23960" w:rsidRPr="00321084" w:rsidP="00915321" w14:paraId="2E4D8C3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AE</w:t>
            </w:r>
          </w:p>
        </w:tc>
        <w:tc>
          <w:tcPr>
            <w:tcW w:w="1889" w:type="dxa"/>
          </w:tcPr>
          <w:p w:rsidR="00F23960" w:rsidRPr="00321084" w:rsidP="00915321" w14:paraId="7009E3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4.19(h)</w:t>
            </w:r>
          </w:p>
        </w:tc>
        <w:tc>
          <w:tcPr>
            <w:tcW w:w="1975" w:type="dxa"/>
          </w:tcPr>
          <w:p w:rsidR="00F23960" w:rsidRPr="00321084" w:rsidP="00915321" w14:paraId="4678729A" w14:textId="0E0D43F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None</w:t>
            </w:r>
          </w:p>
        </w:tc>
        <w:tc>
          <w:tcPr>
            <w:tcW w:w="1848" w:type="dxa"/>
          </w:tcPr>
          <w:p w:rsidR="00F23960" w:rsidRPr="00321084" w:rsidP="00915321" w14:paraId="15D15098" w14:textId="4E56FA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State Plan, Documentation of Payment Rates</w:t>
            </w:r>
          </w:p>
        </w:tc>
        <w:tc>
          <w:tcPr>
            <w:tcW w:w="1582" w:type="dxa"/>
          </w:tcPr>
          <w:p w:rsidR="00F23960" w:rsidRPr="00321084" w:rsidP="00915321" w14:paraId="1A0D98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No Changes</w:t>
            </w:r>
          </w:p>
        </w:tc>
      </w:tr>
      <w:tr w14:paraId="01CF653F" w14:textId="77777777" w:rsidTr="00915321">
        <w:tblPrEx>
          <w:tblW w:w="0" w:type="auto"/>
          <w:tblLook w:val="04A0"/>
        </w:tblPrEx>
        <w:tc>
          <w:tcPr>
            <w:tcW w:w="2056" w:type="dxa"/>
          </w:tcPr>
          <w:p w:rsidR="00F23960" w:rsidRPr="00321084" w:rsidP="00915321" w14:paraId="59E5E7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AF</w:t>
            </w:r>
          </w:p>
        </w:tc>
        <w:tc>
          <w:tcPr>
            <w:tcW w:w="1889" w:type="dxa"/>
          </w:tcPr>
          <w:p w:rsidR="00F23960" w:rsidRPr="00321084" w:rsidP="00915321" w14:paraId="63DE155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4.19(i)</w:t>
            </w:r>
          </w:p>
        </w:tc>
        <w:tc>
          <w:tcPr>
            <w:tcW w:w="1975" w:type="dxa"/>
          </w:tcPr>
          <w:p w:rsidR="00F23960" w:rsidRPr="00321084" w:rsidP="00915321" w14:paraId="59E6BF11" w14:textId="2965C5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None</w:t>
            </w:r>
          </w:p>
        </w:tc>
        <w:tc>
          <w:tcPr>
            <w:tcW w:w="1848" w:type="dxa"/>
          </w:tcPr>
          <w:p w:rsidR="00F23960" w:rsidRPr="00321084" w:rsidP="00915321" w14:paraId="043CDC0D" w14:textId="1D24F0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State Plan, Sufficient Medicaid payment to enlist Providers</w:t>
            </w:r>
          </w:p>
        </w:tc>
        <w:tc>
          <w:tcPr>
            <w:tcW w:w="1582" w:type="dxa"/>
          </w:tcPr>
          <w:p w:rsidR="00F23960" w:rsidRPr="00321084" w:rsidP="00915321" w14:paraId="2DD28F4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No Changes</w:t>
            </w:r>
          </w:p>
        </w:tc>
      </w:tr>
      <w:tr w14:paraId="1E5571FD" w14:textId="77777777" w:rsidTr="00915321">
        <w:tblPrEx>
          <w:tblW w:w="0" w:type="auto"/>
          <w:tblLook w:val="04A0"/>
        </w:tblPrEx>
        <w:tc>
          <w:tcPr>
            <w:tcW w:w="2056" w:type="dxa"/>
          </w:tcPr>
          <w:p w:rsidR="00F23960" w:rsidRPr="00321084" w:rsidP="00915321" w14:paraId="0C6BDC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AG</w:t>
            </w:r>
          </w:p>
        </w:tc>
        <w:tc>
          <w:tcPr>
            <w:tcW w:w="1889" w:type="dxa"/>
          </w:tcPr>
          <w:p w:rsidR="00F23960" w:rsidRPr="00321084" w:rsidP="00915321" w14:paraId="20EAB6B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4.19(k)(1)</w:t>
            </w:r>
          </w:p>
        </w:tc>
        <w:tc>
          <w:tcPr>
            <w:tcW w:w="1975" w:type="dxa"/>
          </w:tcPr>
          <w:p w:rsidR="00F23960" w:rsidRPr="00321084" w:rsidP="00915321" w14:paraId="676F76EF" w14:textId="710C6A4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None</w:t>
            </w:r>
          </w:p>
        </w:tc>
        <w:tc>
          <w:tcPr>
            <w:tcW w:w="1848" w:type="dxa"/>
          </w:tcPr>
          <w:p w:rsidR="00F23960" w:rsidRPr="00321084" w:rsidP="00915321" w14:paraId="3A32AD31" w14:textId="7AFA627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State Plan, Payment to Physicians for Clinical Lab Services</w:t>
            </w:r>
          </w:p>
        </w:tc>
        <w:tc>
          <w:tcPr>
            <w:tcW w:w="1582" w:type="dxa"/>
          </w:tcPr>
          <w:p w:rsidR="00F23960" w:rsidRPr="00321084" w:rsidP="00915321" w14:paraId="452B046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No Changes</w:t>
            </w:r>
          </w:p>
        </w:tc>
      </w:tr>
      <w:tr w14:paraId="0EAB983F" w14:textId="77777777" w:rsidTr="00915321">
        <w:tblPrEx>
          <w:tblW w:w="0" w:type="auto"/>
          <w:tblLook w:val="04A0"/>
        </w:tblPrEx>
        <w:tc>
          <w:tcPr>
            <w:tcW w:w="2056" w:type="dxa"/>
          </w:tcPr>
          <w:p w:rsidR="00F23960" w:rsidRPr="00321084" w:rsidP="00915321" w14:paraId="4F02A6B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D and E</w:t>
            </w:r>
          </w:p>
        </w:tc>
        <w:tc>
          <w:tcPr>
            <w:tcW w:w="1889" w:type="dxa"/>
          </w:tcPr>
          <w:p w:rsidR="00F23960" w:rsidRPr="00321084" w:rsidP="00915321" w14:paraId="33C28FFA" w14:textId="1A44234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436.110</w:t>
            </w:r>
            <w:r w:rsidR="00C5653B">
              <w:rPr>
                <w:szCs w:val="20"/>
              </w:rPr>
              <w:t>(a)(10)(A)(i)(I) and 1931</w:t>
            </w:r>
          </w:p>
        </w:tc>
        <w:tc>
          <w:tcPr>
            <w:tcW w:w="1975" w:type="dxa"/>
          </w:tcPr>
          <w:p w:rsidR="00F23960" w:rsidRPr="00321084" w:rsidP="00915321" w14:paraId="4A1A26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Attachment 2.2-A and Supplements 1 – 3</w:t>
            </w:r>
          </w:p>
        </w:tc>
        <w:tc>
          <w:tcPr>
            <w:tcW w:w="1848" w:type="dxa"/>
          </w:tcPr>
          <w:p w:rsidR="00F23960" w:rsidRPr="00321084" w:rsidP="00915321" w14:paraId="68558D99" w14:textId="73B0DD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State Plan, Mandatory Coverage</w:t>
            </w:r>
          </w:p>
        </w:tc>
        <w:tc>
          <w:tcPr>
            <w:tcW w:w="1582" w:type="dxa"/>
          </w:tcPr>
          <w:p w:rsidR="00F23960" w:rsidRPr="00321084" w:rsidP="00915321" w14:paraId="352605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No Changes</w:t>
            </w:r>
          </w:p>
        </w:tc>
      </w:tr>
      <w:tr w14:paraId="174CABFD" w14:textId="77777777" w:rsidTr="00915321">
        <w:tblPrEx>
          <w:tblW w:w="0" w:type="auto"/>
          <w:tblLook w:val="04A0"/>
        </w:tblPrEx>
        <w:tc>
          <w:tcPr>
            <w:tcW w:w="2056" w:type="dxa"/>
          </w:tcPr>
          <w:p w:rsidR="00F23960" w:rsidRPr="00321084" w:rsidP="00915321" w14:paraId="67FC54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DP</w:t>
            </w:r>
          </w:p>
        </w:tc>
        <w:tc>
          <w:tcPr>
            <w:tcW w:w="1889" w:type="dxa"/>
          </w:tcPr>
          <w:p w:rsidR="00F23960" w:rsidRPr="00321084" w:rsidP="00915321" w14:paraId="563C9B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4.19(b)</w:t>
            </w:r>
          </w:p>
        </w:tc>
        <w:tc>
          <w:tcPr>
            <w:tcW w:w="1975" w:type="dxa"/>
          </w:tcPr>
          <w:p w:rsidR="00F23960" w:rsidRPr="00321084" w:rsidP="00915321" w14:paraId="6E1E7897" w14:textId="02BAA6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 xml:space="preserve">Supplement 1 to </w:t>
            </w:r>
            <w:r w:rsidRPr="00321084">
              <w:rPr>
                <w:szCs w:val="20"/>
              </w:rPr>
              <w:t>Attachment 4.19 B</w:t>
            </w:r>
          </w:p>
        </w:tc>
        <w:tc>
          <w:tcPr>
            <w:tcW w:w="1848" w:type="dxa"/>
          </w:tcPr>
          <w:p w:rsidR="00F23960" w:rsidRPr="00321084" w:rsidP="00915321" w14:paraId="22052BB9" w14:textId="4C6618B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State Plan, Payment for FQHCS</w:t>
            </w:r>
          </w:p>
        </w:tc>
        <w:tc>
          <w:tcPr>
            <w:tcW w:w="1582" w:type="dxa"/>
          </w:tcPr>
          <w:p w:rsidR="00F23960" w:rsidRPr="00321084" w:rsidP="00915321" w14:paraId="3B6B1D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No Changes</w:t>
            </w:r>
          </w:p>
        </w:tc>
      </w:tr>
      <w:tr w14:paraId="32091DEF" w14:textId="77777777" w:rsidTr="00915321">
        <w:tblPrEx>
          <w:tblW w:w="0" w:type="auto"/>
          <w:tblLook w:val="04A0"/>
        </w:tblPrEx>
        <w:tc>
          <w:tcPr>
            <w:tcW w:w="2056" w:type="dxa"/>
          </w:tcPr>
          <w:p w:rsidR="00F23960" w:rsidRPr="00321084" w:rsidP="00915321" w14:paraId="736EB6B0" w14:textId="562828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F and Ga, 6, 7, 8, 8a, 8b, 8c, 9b, 10, 11, 12, 13, 14, and 15 (States)</w:t>
            </w:r>
          </w:p>
        </w:tc>
        <w:tc>
          <w:tcPr>
            <w:tcW w:w="1889" w:type="dxa"/>
          </w:tcPr>
          <w:p w:rsidR="00F23960" w:rsidRPr="00321084" w:rsidP="00915321" w14:paraId="79637D76" w14:textId="563768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435 Subpart G and F</w:t>
            </w:r>
          </w:p>
        </w:tc>
        <w:tc>
          <w:tcPr>
            <w:tcW w:w="1975" w:type="dxa"/>
          </w:tcPr>
          <w:p w:rsidR="00F23960" w:rsidRPr="00321084" w:rsidP="00915321" w14:paraId="78D11E1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Attachment 2.6-A and Supplements 1, 2, 3, 4, 5, 5</w:t>
            </w:r>
          </w:p>
        </w:tc>
        <w:tc>
          <w:tcPr>
            <w:tcW w:w="1848" w:type="dxa"/>
          </w:tcPr>
          <w:p w:rsidR="00F23960" w:rsidRPr="00321084" w:rsidP="00915321" w14:paraId="097B31F2" w14:textId="5CF0AE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State Plan, Groups covered and Agency responsible for determination</w:t>
            </w:r>
          </w:p>
        </w:tc>
        <w:tc>
          <w:tcPr>
            <w:tcW w:w="1582" w:type="dxa"/>
          </w:tcPr>
          <w:p w:rsidR="00F23960" w:rsidRPr="00321084" w:rsidP="00915321" w14:paraId="5637B43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No Changes</w:t>
            </w:r>
          </w:p>
        </w:tc>
      </w:tr>
      <w:tr w14:paraId="02E9FE0A" w14:textId="77777777" w:rsidTr="00915321">
        <w:tblPrEx>
          <w:tblW w:w="0" w:type="auto"/>
          <w:tblLook w:val="04A0"/>
        </w:tblPrEx>
        <w:tc>
          <w:tcPr>
            <w:tcW w:w="2056" w:type="dxa"/>
          </w:tcPr>
          <w:p w:rsidR="00F23960" w:rsidRPr="00321084" w:rsidP="00915321" w14:paraId="22CE3B02" w14:textId="20437B0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H and J, 11, 12, 14, and 15 (Territories)</w:t>
            </w:r>
          </w:p>
        </w:tc>
        <w:tc>
          <w:tcPr>
            <w:tcW w:w="1889" w:type="dxa"/>
          </w:tcPr>
          <w:p w:rsidR="00F23960" w:rsidRPr="00321084" w:rsidP="00915321" w14:paraId="5CBA85C1" w14:textId="4CE4307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436 Subpart G and F</w:t>
            </w:r>
          </w:p>
        </w:tc>
        <w:tc>
          <w:tcPr>
            <w:tcW w:w="1975" w:type="dxa"/>
          </w:tcPr>
          <w:p w:rsidR="00F23960" w:rsidRPr="00321084" w:rsidP="00915321" w14:paraId="7AAA28A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Attachment 2.6-A and Supplements 1, 2, 3, 4, 7, 8a, 8b, 8c, 9b</w:t>
            </w:r>
          </w:p>
        </w:tc>
        <w:tc>
          <w:tcPr>
            <w:tcW w:w="1848" w:type="dxa"/>
          </w:tcPr>
          <w:p w:rsidR="00F23960" w:rsidRPr="00321084" w:rsidP="00915321" w14:paraId="6CE5C1CA" w14:textId="233CCA4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State Plan, Eligibility Conditions and Requirements</w:t>
            </w:r>
          </w:p>
        </w:tc>
        <w:tc>
          <w:tcPr>
            <w:tcW w:w="1582" w:type="dxa"/>
          </w:tcPr>
          <w:p w:rsidR="00F23960" w:rsidRPr="00321084" w:rsidP="00915321" w14:paraId="454854C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No Changes</w:t>
            </w:r>
          </w:p>
        </w:tc>
      </w:tr>
      <w:tr w14:paraId="2CA13244" w14:textId="77777777" w:rsidTr="00915321">
        <w:tblPrEx>
          <w:tblW w:w="0" w:type="auto"/>
          <w:tblLook w:val="04A0"/>
        </w:tblPrEx>
        <w:tc>
          <w:tcPr>
            <w:tcW w:w="2056" w:type="dxa"/>
          </w:tcPr>
          <w:p w:rsidR="00F23960" w:rsidRPr="00321084" w:rsidP="00915321" w14:paraId="65C376A2" w14:textId="2C7B723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N</w:t>
            </w:r>
          </w:p>
        </w:tc>
        <w:tc>
          <w:tcPr>
            <w:tcW w:w="1889" w:type="dxa"/>
          </w:tcPr>
          <w:p w:rsidR="00F23960" w:rsidRPr="00321084" w:rsidP="00915321" w14:paraId="16AB1D1E" w14:textId="2BA71AB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Title XVIII</w:t>
            </w:r>
          </w:p>
        </w:tc>
        <w:tc>
          <w:tcPr>
            <w:tcW w:w="1975" w:type="dxa"/>
          </w:tcPr>
          <w:p w:rsidR="00F23960" w:rsidRPr="00321084" w:rsidP="00915321" w14:paraId="3D88C0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Attachment 4.19-B Section 24</w:t>
            </w:r>
          </w:p>
        </w:tc>
        <w:tc>
          <w:tcPr>
            <w:tcW w:w="1848" w:type="dxa"/>
          </w:tcPr>
          <w:p w:rsidR="00F23960" w:rsidRPr="00321084" w:rsidP="00915321" w14:paraId="424C9AC1" w14:textId="71A0349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 xml:space="preserve">State Plan, Methods and Standards for Other </w:t>
            </w:r>
            <w:r>
              <w:rPr>
                <w:szCs w:val="20"/>
              </w:rPr>
              <w:t>Types of Care</w:t>
            </w:r>
          </w:p>
        </w:tc>
        <w:tc>
          <w:tcPr>
            <w:tcW w:w="1582" w:type="dxa"/>
          </w:tcPr>
          <w:p w:rsidR="00F23960" w:rsidRPr="00321084" w:rsidP="00915321" w14:paraId="0FD9AB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No Changes</w:t>
            </w:r>
          </w:p>
        </w:tc>
      </w:tr>
      <w:tr w14:paraId="64A522E0" w14:textId="77777777" w:rsidTr="00915321">
        <w:tblPrEx>
          <w:tblW w:w="0" w:type="auto"/>
          <w:tblLook w:val="04A0"/>
        </w:tblPrEx>
        <w:tc>
          <w:tcPr>
            <w:tcW w:w="2056" w:type="dxa"/>
          </w:tcPr>
          <w:p w:rsidR="00F23960" w:rsidRPr="00321084" w:rsidP="00915321" w14:paraId="3F121D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O</w:t>
            </w:r>
          </w:p>
        </w:tc>
        <w:tc>
          <w:tcPr>
            <w:tcW w:w="1889" w:type="dxa"/>
          </w:tcPr>
          <w:p w:rsidR="00F23960" w:rsidRPr="00321084" w:rsidP="00915321" w14:paraId="34F5B285" w14:textId="334F6B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Title XVIII</w:t>
            </w:r>
          </w:p>
        </w:tc>
        <w:tc>
          <w:tcPr>
            <w:tcW w:w="1975" w:type="dxa"/>
          </w:tcPr>
          <w:p w:rsidR="00F23960" w:rsidRPr="00321084" w:rsidP="00915321" w14:paraId="50CE5F1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Attachment 4.19-B Supplement 1</w:t>
            </w:r>
          </w:p>
        </w:tc>
        <w:tc>
          <w:tcPr>
            <w:tcW w:w="1848" w:type="dxa"/>
          </w:tcPr>
          <w:p w:rsidR="00F23960" w:rsidRPr="00321084" w:rsidP="00915321" w14:paraId="18241B0E" w14:textId="1FFD324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State Plan, Payment of Medicare Part A and B Deductible and Coinsurance</w:t>
            </w:r>
          </w:p>
        </w:tc>
        <w:tc>
          <w:tcPr>
            <w:tcW w:w="1582" w:type="dxa"/>
          </w:tcPr>
          <w:p w:rsidR="00F23960" w:rsidRPr="00321084" w:rsidP="00915321" w14:paraId="3C2EA6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No Changes</w:t>
            </w:r>
          </w:p>
        </w:tc>
      </w:tr>
      <w:tr w14:paraId="1056F175" w14:textId="77777777" w:rsidTr="00915321">
        <w:tblPrEx>
          <w:tblW w:w="0" w:type="auto"/>
          <w:tblLook w:val="04A0"/>
        </w:tblPrEx>
        <w:tc>
          <w:tcPr>
            <w:tcW w:w="2056" w:type="dxa"/>
          </w:tcPr>
          <w:p w:rsidR="00F23960" w:rsidRPr="00321084" w:rsidP="00915321" w14:paraId="2E37E9A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P</w:t>
            </w:r>
          </w:p>
        </w:tc>
        <w:tc>
          <w:tcPr>
            <w:tcW w:w="1889" w:type="dxa"/>
          </w:tcPr>
          <w:p w:rsidR="00F23960" w:rsidRPr="00321084" w:rsidP="00915321" w14:paraId="320AA1C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Section 4.19(c)</w:t>
            </w:r>
          </w:p>
        </w:tc>
        <w:tc>
          <w:tcPr>
            <w:tcW w:w="1975" w:type="dxa"/>
          </w:tcPr>
          <w:p w:rsidR="00F23960" w:rsidRPr="00321084" w:rsidP="00915321" w14:paraId="5CEE06EB" w14:textId="4EE283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4.19(c)</w:t>
            </w:r>
          </w:p>
        </w:tc>
        <w:tc>
          <w:tcPr>
            <w:tcW w:w="1848" w:type="dxa"/>
          </w:tcPr>
          <w:p w:rsidR="00F23960" w:rsidRPr="00321084" w:rsidP="00915321" w14:paraId="328C5038" w14:textId="2A620BD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State Plan, Payment to reserve a bed</w:t>
            </w:r>
          </w:p>
        </w:tc>
        <w:tc>
          <w:tcPr>
            <w:tcW w:w="1582" w:type="dxa"/>
          </w:tcPr>
          <w:p w:rsidR="00F23960" w:rsidRPr="00321084" w:rsidP="00915321" w14:paraId="4BEE4E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No Changes</w:t>
            </w:r>
          </w:p>
        </w:tc>
      </w:tr>
      <w:tr w14:paraId="325279E6" w14:textId="77777777" w:rsidTr="00915321">
        <w:tblPrEx>
          <w:tblW w:w="0" w:type="auto"/>
          <w:tblLook w:val="04A0"/>
        </w:tblPrEx>
        <w:tc>
          <w:tcPr>
            <w:tcW w:w="2056" w:type="dxa"/>
          </w:tcPr>
          <w:p w:rsidR="00F23960" w:rsidRPr="00321084" w:rsidP="00915321" w14:paraId="7279C5A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R S T U</w:t>
            </w:r>
          </w:p>
        </w:tc>
        <w:tc>
          <w:tcPr>
            <w:tcW w:w="1889" w:type="dxa"/>
          </w:tcPr>
          <w:p w:rsidR="00F23960" w:rsidRPr="00321084" w:rsidP="00915321" w14:paraId="44A19C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Sections 4.31 through 4.34</w:t>
            </w:r>
          </w:p>
        </w:tc>
        <w:tc>
          <w:tcPr>
            <w:tcW w:w="1975" w:type="dxa"/>
          </w:tcPr>
          <w:p w:rsidR="00F23960" w:rsidRPr="00321084" w:rsidP="00915321" w14:paraId="06FF75EA" w14:textId="526D4F5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None</w:t>
            </w:r>
          </w:p>
        </w:tc>
        <w:tc>
          <w:tcPr>
            <w:tcW w:w="1848" w:type="dxa"/>
          </w:tcPr>
          <w:p w:rsidR="00F23960" w:rsidRPr="00321084" w:rsidP="00915321" w14:paraId="115B3753" w14:textId="2435A44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State Plan, Disclosure by Providers and Agents</w:t>
            </w:r>
          </w:p>
        </w:tc>
        <w:tc>
          <w:tcPr>
            <w:tcW w:w="1582" w:type="dxa"/>
          </w:tcPr>
          <w:p w:rsidR="00F23960" w:rsidRPr="00321084" w:rsidP="00915321" w14:paraId="736630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No Changes</w:t>
            </w:r>
          </w:p>
        </w:tc>
      </w:tr>
      <w:tr w14:paraId="0A986F9F" w14:textId="77777777" w:rsidTr="00915321">
        <w:tblPrEx>
          <w:tblW w:w="0" w:type="auto"/>
          <w:tblLook w:val="04A0"/>
        </w:tblPrEx>
        <w:tc>
          <w:tcPr>
            <w:tcW w:w="2056" w:type="dxa"/>
          </w:tcPr>
          <w:p w:rsidR="00F23960" w:rsidRPr="00321084" w:rsidP="00915321" w14:paraId="211B40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Y</w:t>
            </w:r>
          </w:p>
        </w:tc>
        <w:tc>
          <w:tcPr>
            <w:tcW w:w="1889" w:type="dxa"/>
          </w:tcPr>
          <w:p w:rsidR="00F23960" w:rsidRPr="00321084" w:rsidP="00915321" w14:paraId="2D8DEC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Section 4.19(d)</w:t>
            </w:r>
          </w:p>
        </w:tc>
        <w:tc>
          <w:tcPr>
            <w:tcW w:w="1975" w:type="dxa"/>
          </w:tcPr>
          <w:p w:rsidR="00F23960" w:rsidRPr="00321084" w:rsidP="00915321" w14:paraId="38AAF37C" w14:textId="734EDAB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None</w:t>
            </w:r>
          </w:p>
        </w:tc>
        <w:tc>
          <w:tcPr>
            <w:tcW w:w="1848" w:type="dxa"/>
          </w:tcPr>
          <w:p w:rsidR="00F23960" w:rsidRPr="00321084" w:rsidP="00915321" w14:paraId="114BB42A" w14:textId="101C43F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Pr>
                <w:szCs w:val="20"/>
              </w:rPr>
              <w:t>State Plan, Payment for Long Term Care Facilities</w:t>
            </w:r>
          </w:p>
        </w:tc>
        <w:tc>
          <w:tcPr>
            <w:tcW w:w="1582" w:type="dxa"/>
          </w:tcPr>
          <w:p w:rsidR="00F23960" w:rsidRPr="00321084" w:rsidP="00915321" w14:paraId="204B7A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0"/>
              </w:rPr>
            </w:pPr>
            <w:r w:rsidRPr="00321084">
              <w:rPr>
                <w:szCs w:val="20"/>
              </w:rPr>
              <w:t>No Changes</w:t>
            </w:r>
          </w:p>
        </w:tc>
      </w:tr>
    </w:tbl>
    <w:p w:rsidR="00E32672" w:rsidRPr="001C7D11" w:rsidP="00A26926" w14:paraId="32FF6F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71A3F" w:rsidRPr="001C7D11" w:rsidP="00E351CD" w14:paraId="0C561B47" w14:textId="77777777">
      <w:pPr>
        <w:tabs>
          <w:tab w:val="left" w:pos="-1440"/>
        </w:tabs>
        <w:ind w:left="720" w:hanging="720"/>
        <w:rPr>
          <w:sz w:val="24"/>
          <w:u w:val="single"/>
        </w:rPr>
      </w:pPr>
      <w:r w:rsidRPr="001C7D11">
        <w:rPr>
          <w:sz w:val="24"/>
          <w:u w:val="single"/>
        </w:rPr>
        <w:t>13.</w:t>
      </w:r>
      <w:r w:rsidRPr="001C7D11">
        <w:rPr>
          <w:sz w:val="24"/>
          <w:u w:val="single"/>
        </w:rPr>
        <w:tab/>
        <w:t>Capital Costs</w:t>
      </w:r>
    </w:p>
    <w:p w:rsidR="00671A3F" w:rsidRPr="001C7D11" w14:paraId="5E613CAC" w14:textId="77777777">
      <w:pPr>
        <w:rPr>
          <w:sz w:val="24"/>
        </w:rPr>
      </w:pPr>
    </w:p>
    <w:p w:rsidR="00671A3F" w:rsidRPr="001C7D11" w:rsidP="00E351CD" w14:paraId="53617012" w14:textId="77777777">
      <w:pPr>
        <w:rPr>
          <w:sz w:val="24"/>
        </w:rPr>
      </w:pPr>
      <w:r w:rsidRPr="001C7D11">
        <w:rPr>
          <w:sz w:val="24"/>
        </w:rPr>
        <w:t>There are no capital costs associated with this information collection.</w:t>
      </w:r>
    </w:p>
    <w:p w:rsidR="0094585F" w:rsidRPr="001C7D11" w:rsidP="00E351CD" w14:paraId="5C15375B" w14:textId="77777777">
      <w:pPr>
        <w:tabs>
          <w:tab w:val="left" w:pos="-1440"/>
        </w:tabs>
        <w:ind w:left="720" w:hanging="720"/>
        <w:rPr>
          <w:sz w:val="24"/>
        </w:rPr>
      </w:pPr>
    </w:p>
    <w:p w:rsidR="00671A3F" w:rsidRPr="001C7D11" w:rsidP="00E351CD" w14:paraId="34F98F93" w14:textId="77777777">
      <w:pPr>
        <w:tabs>
          <w:tab w:val="left" w:pos="-1440"/>
        </w:tabs>
        <w:ind w:left="720" w:hanging="720"/>
        <w:rPr>
          <w:sz w:val="24"/>
          <w:u w:val="single"/>
        </w:rPr>
      </w:pPr>
      <w:r w:rsidRPr="001C7D11">
        <w:rPr>
          <w:sz w:val="24"/>
          <w:u w:val="single"/>
        </w:rPr>
        <w:t>14.</w:t>
      </w:r>
      <w:r w:rsidRPr="001C7D11">
        <w:rPr>
          <w:sz w:val="24"/>
          <w:u w:val="single"/>
        </w:rPr>
        <w:tab/>
        <w:t>Costs to Federal Government</w:t>
      </w:r>
    </w:p>
    <w:p w:rsidR="00671A3F" w:rsidRPr="001C7D11" w:rsidP="0069371D" w14:paraId="6505DB5C" w14:textId="77777777">
      <w:pPr>
        <w:rPr>
          <w:sz w:val="24"/>
        </w:rPr>
      </w:pPr>
    </w:p>
    <w:p w:rsidR="00B064A9" w:rsidRPr="00FA0E2F" w:rsidP="00A26926" w14:paraId="2CBD33E9" w14:textId="5ED47AB7">
      <w:pPr>
        <w:rPr>
          <w:sz w:val="24"/>
        </w:rPr>
      </w:pPr>
      <w:r w:rsidRPr="001C7D11">
        <w:rPr>
          <w:sz w:val="24"/>
        </w:rPr>
        <w:t xml:space="preserve">To derive average costs, we used data from OPM’s </w:t>
      </w:r>
      <w:r w:rsidRPr="001C7D11" w:rsidR="009B5D68">
        <w:rPr>
          <w:sz w:val="24"/>
        </w:rPr>
        <w:t>202</w:t>
      </w:r>
      <w:r w:rsidR="004E0D1A">
        <w:rPr>
          <w:sz w:val="24"/>
        </w:rPr>
        <w:t>4</w:t>
      </w:r>
      <w:r w:rsidRPr="001C7D11">
        <w:rPr>
          <w:sz w:val="24"/>
        </w:rPr>
        <w:t xml:space="preserve"> Salary Table for the locality pay area of Washington-Baltimore-Northern Virginia (</w:t>
      </w:r>
      <w:r w:rsidRPr="001C7D11" w:rsidR="00FB69E2">
        <w:rPr>
          <w:sz w:val="24"/>
        </w:rPr>
        <w:t>https://www.opm.gov/policy-data-oversight/pay-leave/salaries-wages/salary-tables/pdf/202</w:t>
      </w:r>
      <w:r w:rsidR="004E0D1A">
        <w:rPr>
          <w:sz w:val="24"/>
        </w:rPr>
        <w:t>4</w:t>
      </w:r>
      <w:r w:rsidRPr="001C7D11" w:rsidR="00FB69E2">
        <w:rPr>
          <w:sz w:val="24"/>
        </w:rPr>
        <w:t>/DCB_h.pdf</w:t>
      </w:r>
      <w:r w:rsidRPr="001C7D11">
        <w:rPr>
          <w:sz w:val="24"/>
        </w:rPr>
        <w:t>). Our estimate assumes a base hourly wage of $</w:t>
      </w:r>
      <w:r w:rsidR="008921A1">
        <w:rPr>
          <w:sz w:val="24"/>
        </w:rPr>
        <w:t>60.29</w:t>
      </w:r>
      <w:r w:rsidRPr="001C7D11" w:rsidR="00013143">
        <w:rPr>
          <w:sz w:val="24"/>
        </w:rPr>
        <w:t>/hr</w:t>
      </w:r>
      <w:r w:rsidRPr="001C7D11">
        <w:rPr>
          <w:sz w:val="24"/>
        </w:rPr>
        <w:t xml:space="preserve"> for a GS-13 step 3. To include the cost of fringe benefits </w:t>
      </w:r>
      <w:r w:rsidR="007C4620">
        <w:rPr>
          <w:sz w:val="24"/>
        </w:rPr>
        <w:t xml:space="preserve">and other </w:t>
      </w:r>
      <w:r w:rsidRPr="00FA0E2F" w:rsidR="007C4620">
        <w:rPr>
          <w:sz w:val="24"/>
        </w:rPr>
        <w:t xml:space="preserve">indirect costs </w:t>
      </w:r>
      <w:r w:rsidRPr="00FA0E2F">
        <w:rPr>
          <w:sz w:val="24"/>
        </w:rPr>
        <w:t>(calculated at 100 percent of salary), our adjusted hourly wage estimate is $</w:t>
      </w:r>
      <w:r w:rsidRPr="00FA0E2F" w:rsidR="004E0D1A">
        <w:rPr>
          <w:sz w:val="24"/>
        </w:rPr>
        <w:t>120.58</w:t>
      </w:r>
      <w:r w:rsidRPr="00FA0E2F">
        <w:rPr>
          <w:sz w:val="24"/>
        </w:rPr>
        <w:t>/hr</w:t>
      </w:r>
      <w:r w:rsidRPr="00FA0E2F" w:rsidR="00FB69E2">
        <w:rPr>
          <w:sz w:val="24"/>
        </w:rPr>
        <w:t xml:space="preserve"> ($</w:t>
      </w:r>
      <w:r w:rsidRPr="00FA0E2F" w:rsidR="004E0D1A">
        <w:rPr>
          <w:sz w:val="24"/>
        </w:rPr>
        <w:t>60.29</w:t>
      </w:r>
      <w:r w:rsidRPr="00FA0E2F" w:rsidR="00FB69E2">
        <w:rPr>
          <w:sz w:val="24"/>
        </w:rPr>
        <w:t xml:space="preserve">/hr x </w:t>
      </w:r>
      <w:r w:rsidRPr="00FA0E2F" w:rsidR="00E63A86">
        <w:rPr>
          <w:sz w:val="24"/>
        </w:rPr>
        <w:t>2</w:t>
      </w:r>
      <w:r w:rsidRPr="00FA0E2F" w:rsidR="00FB69E2">
        <w:rPr>
          <w:sz w:val="24"/>
        </w:rPr>
        <w:t>)</w:t>
      </w:r>
      <w:r w:rsidRPr="00FA0E2F">
        <w:rPr>
          <w:sz w:val="24"/>
        </w:rPr>
        <w:t>.</w:t>
      </w:r>
    </w:p>
    <w:p w:rsidR="00B064A9" w:rsidRPr="00FA0E2F" w:rsidP="0069371D" w14:paraId="717D432A" w14:textId="77777777">
      <w:pPr>
        <w:rPr>
          <w:sz w:val="24"/>
        </w:rPr>
      </w:pPr>
    </w:p>
    <w:p w:rsidR="00804CCF" w:rsidRPr="001C7D11" w:rsidP="00A26926" w14:paraId="6D869412" w14:textId="2FB25CC5">
      <w:pPr>
        <w:rPr>
          <w:sz w:val="24"/>
        </w:rPr>
      </w:pPr>
      <w:r w:rsidRPr="00FA0E2F">
        <w:rPr>
          <w:sz w:val="24"/>
        </w:rPr>
        <w:t>The cost is estimated to be $</w:t>
      </w:r>
      <w:r w:rsidRPr="00FA0E2F" w:rsidR="004E0D1A">
        <w:rPr>
          <w:sz w:val="24"/>
        </w:rPr>
        <w:t>405,14</w:t>
      </w:r>
      <w:r w:rsidRPr="00FA0E2F" w:rsidR="00FA0E2F">
        <w:rPr>
          <w:sz w:val="24"/>
        </w:rPr>
        <w:t>9</w:t>
      </w:r>
      <w:r w:rsidRPr="00FA0E2F" w:rsidR="004E0D1A">
        <w:rPr>
          <w:sz w:val="24"/>
        </w:rPr>
        <w:t xml:space="preserve"> </w:t>
      </w:r>
      <w:r w:rsidRPr="00FA0E2F" w:rsidR="006137D3">
        <w:rPr>
          <w:sz w:val="24"/>
        </w:rPr>
        <w:t>($</w:t>
      </w:r>
      <w:r w:rsidRPr="00FA0E2F" w:rsidR="00EF11D1">
        <w:rPr>
          <w:sz w:val="24"/>
        </w:rPr>
        <w:t>1</w:t>
      </w:r>
      <w:r w:rsidRPr="00FA0E2F" w:rsidR="00702419">
        <w:rPr>
          <w:sz w:val="24"/>
        </w:rPr>
        <w:t>20</w:t>
      </w:r>
      <w:r w:rsidRPr="00FA0E2F" w:rsidR="00EF11D1">
        <w:rPr>
          <w:sz w:val="24"/>
        </w:rPr>
        <w:t>.</w:t>
      </w:r>
      <w:r w:rsidRPr="00FA0E2F" w:rsidR="00702419">
        <w:rPr>
          <w:sz w:val="24"/>
        </w:rPr>
        <w:t>58</w:t>
      </w:r>
      <w:r w:rsidRPr="00FA0E2F" w:rsidR="006137D3">
        <w:rPr>
          <w:sz w:val="24"/>
        </w:rPr>
        <w:t xml:space="preserve">/hr x </w:t>
      </w:r>
      <w:r w:rsidRPr="00FA0E2F" w:rsidR="00474681">
        <w:rPr>
          <w:sz w:val="24"/>
        </w:rPr>
        <w:t>1,120</w:t>
      </w:r>
      <w:r w:rsidRPr="00FA0E2F">
        <w:rPr>
          <w:sz w:val="24"/>
        </w:rPr>
        <w:t xml:space="preserve"> possible yearly amendments </w:t>
      </w:r>
      <w:r w:rsidRPr="00FA0E2F" w:rsidR="006137D3">
        <w:rPr>
          <w:sz w:val="24"/>
        </w:rPr>
        <w:t xml:space="preserve">x </w:t>
      </w:r>
      <w:r w:rsidRPr="00FA0E2F">
        <w:rPr>
          <w:sz w:val="24"/>
        </w:rPr>
        <w:t>3 h</w:t>
      </w:r>
      <w:r w:rsidRPr="00FA0E2F" w:rsidR="00974A8D">
        <w:rPr>
          <w:sz w:val="24"/>
        </w:rPr>
        <w:t>r</w:t>
      </w:r>
      <w:r w:rsidRPr="00FA0E2F" w:rsidR="006137D3">
        <w:rPr>
          <w:sz w:val="24"/>
        </w:rPr>
        <w:t xml:space="preserve"> per amendment on average)</w:t>
      </w:r>
      <w:r w:rsidRPr="00FA0E2F">
        <w:rPr>
          <w:sz w:val="24"/>
        </w:rPr>
        <w:t>.</w:t>
      </w:r>
    </w:p>
    <w:p w:rsidR="00611C13" w:rsidRPr="001C7D11" w:rsidP="0069371D" w14:paraId="5EEB7371" w14:textId="77777777">
      <w:pPr>
        <w:rPr>
          <w:sz w:val="24"/>
        </w:rPr>
      </w:pPr>
    </w:p>
    <w:p w:rsidR="00671A3F" w:rsidRPr="00525096" w:rsidP="00E351CD" w14:paraId="09B8AE77" w14:textId="77777777">
      <w:pPr>
        <w:tabs>
          <w:tab w:val="left" w:pos="-1440"/>
        </w:tabs>
        <w:ind w:left="720" w:hanging="720"/>
        <w:rPr>
          <w:sz w:val="24"/>
          <w:u w:val="single"/>
        </w:rPr>
      </w:pPr>
      <w:r w:rsidRPr="00525096">
        <w:rPr>
          <w:sz w:val="24"/>
          <w:u w:val="single"/>
        </w:rPr>
        <w:t>15.</w:t>
      </w:r>
      <w:r w:rsidRPr="00525096">
        <w:rPr>
          <w:sz w:val="24"/>
          <w:u w:val="single"/>
        </w:rPr>
        <w:tab/>
        <w:t>Program/Burden Changes</w:t>
      </w:r>
    </w:p>
    <w:p w:rsidR="00671A3F" w:rsidRPr="00525096" w:rsidP="000500F3" w14:paraId="0D09BABD" w14:textId="77777777">
      <w:pPr>
        <w:rPr>
          <w:sz w:val="24"/>
        </w:rPr>
      </w:pPr>
    </w:p>
    <w:p w:rsidR="008D04E0" w:rsidRPr="00525096" w:rsidP="008D04E0" w14:paraId="5F5B6E84" w14:textId="76A92B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25096">
        <w:rPr>
          <w:sz w:val="24"/>
        </w:rPr>
        <w:t>This 2024 iteration does not propose to revise our active collection of information requirements and collection instruments. We have, however, adjusted our cost estimate by using current wage data</w:t>
      </w:r>
      <w:r w:rsidRPr="00525096" w:rsidR="009A1065">
        <w:rPr>
          <w:sz w:val="24"/>
        </w:rPr>
        <w:t xml:space="preserve"> (from $</w:t>
      </w:r>
      <w:r w:rsidRPr="00525096" w:rsidR="009A1065">
        <w:rPr>
          <w:sz w:val="24"/>
        </w:rPr>
        <w:t>75.32</w:t>
      </w:r>
      <w:r w:rsidRPr="00525096" w:rsidR="009A1065">
        <w:rPr>
          <w:sz w:val="24"/>
        </w:rPr>
        <w:t xml:space="preserve">/hr </w:t>
      </w:r>
      <w:r w:rsidR="00CF0CBF">
        <w:rPr>
          <w:sz w:val="24"/>
        </w:rPr>
        <w:t xml:space="preserve">using BLS’ </w:t>
      </w:r>
      <w:r w:rsidRPr="00525096" w:rsidR="009A1065">
        <w:rPr>
          <w:sz w:val="24"/>
        </w:rPr>
        <w:t xml:space="preserve">2020 </w:t>
      </w:r>
      <w:r w:rsidR="00CF0CBF">
        <w:rPr>
          <w:sz w:val="24"/>
        </w:rPr>
        <w:t xml:space="preserve">wage data </w:t>
      </w:r>
      <w:r w:rsidRPr="00525096" w:rsidR="009A1065">
        <w:rPr>
          <w:sz w:val="24"/>
        </w:rPr>
        <w:t>to $</w:t>
      </w:r>
      <w:r w:rsidRPr="00525096" w:rsidR="009A1065">
        <w:rPr>
          <w:sz w:val="24"/>
        </w:rPr>
        <w:t>84.66</w:t>
      </w:r>
      <w:r w:rsidRPr="00525096" w:rsidR="009A1065">
        <w:rPr>
          <w:sz w:val="24"/>
        </w:rPr>
        <w:t xml:space="preserve">/hr </w:t>
      </w:r>
      <w:r w:rsidR="00CF0CBF">
        <w:rPr>
          <w:sz w:val="24"/>
        </w:rPr>
        <w:t xml:space="preserve">using BLS’ </w:t>
      </w:r>
      <w:r w:rsidRPr="00525096" w:rsidR="009A1065">
        <w:rPr>
          <w:sz w:val="24"/>
        </w:rPr>
        <w:t>2023</w:t>
      </w:r>
      <w:r w:rsidR="00CF0CBF">
        <w:rPr>
          <w:sz w:val="24"/>
        </w:rPr>
        <w:t xml:space="preserve"> wage data</w:t>
      </w:r>
      <w:r w:rsidRPr="00525096" w:rsidR="009A1065">
        <w:rPr>
          <w:sz w:val="24"/>
        </w:rPr>
        <w:t>)</w:t>
      </w:r>
      <w:r w:rsidRPr="00525096">
        <w:rPr>
          <w:sz w:val="24"/>
        </w:rPr>
        <w:t>. Overall, this iteration increases our cost estimate by $209,216 (from $1,687,168 to $1,896,384</w:t>
      </w:r>
      <w:r w:rsidRPr="00525096" w:rsidR="002357C6">
        <w:rPr>
          <w:sz w:val="24"/>
        </w:rPr>
        <w:t>)</w:t>
      </w:r>
      <w:r w:rsidRPr="00525096">
        <w:rPr>
          <w:sz w:val="24"/>
        </w:rPr>
        <w:t>.</w:t>
      </w:r>
    </w:p>
    <w:p w:rsidR="008D04E0" w:rsidP="00CD5D60" w14:paraId="49F53768" w14:textId="77777777">
      <w:pPr>
        <w:rPr>
          <w:sz w:val="24"/>
        </w:rPr>
      </w:pPr>
    </w:p>
    <w:p w:rsidR="001E049E" w:rsidP="00CD5D60" w14:paraId="11E53604" w14:textId="3F7DCC80">
      <w:pPr>
        <w:rPr>
          <w:sz w:val="24"/>
        </w:rPr>
      </w:pPr>
      <w:r>
        <w:rPr>
          <w:sz w:val="24"/>
        </w:rPr>
        <w:t>With the exception of</w:t>
      </w:r>
      <w:r>
        <w:rPr>
          <w:sz w:val="24"/>
        </w:rPr>
        <w:t xml:space="preserve"> the Transmittal form, w</w:t>
      </w:r>
      <w:r>
        <w:rPr>
          <w:sz w:val="24"/>
        </w:rPr>
        <w:t xml:space="preserve">e have changed the electronic file name of each </w:t>
      </w:r>
      <w:r>
        <w:rPr>
          <w:sz w:val="24"/>
        </w:rPr>
        <w:t xml:space="preserve">of the remaining </w:t>
      </w:r>
      <w:r>
        <w:rPr>
          <w:sz w:val="24"/>
        </w:rPr>
        <w:t>exhibit</w:t>
      </w:r>
      <w:r>
        <w:rPr>
          <w:sz w:val="24"/>
        </w:rPr>
        <w:t>s</w:t>
      </w:r>
      <w:r>
        <w:rPr>
          <w:sz w:val="24"/>
        </w:rPr>
        <w:t xml:space="preserve"> for better tracking. We are not proposing any changes to the content of any of our active exhibits.</w:t>
      </w:r>
    </w:p>
    <w:p w:rsidR="001E049E" w:rsidRPr="00525096" w:rsidP="00CD5D60" w14:paraId="778FE4BA" w14:textId="77777777">
      <w:pPr>
        <w:rPr>
          <w:sz w:val="24"/>
        </w:rPr>
      </w:pPr>
    </w:p>
    <w:p w:rsidR="00671A3F" w:rsidRPr="001C7D11" w:rsidP="00E351CD" w14:paraId="726DE60F" w14:textId="77777777">
      <w:pPr>
        <w:tabs>
          <w:tab w:val="left" w:pos="-1440"/>
        </w:tabs>
        <w:ind w:left="720" w:hanging="720"/>
        <w:rPr>
          <w:sz w:val="24"/>
          <w:u w:val="single"/>
        </w:rPr>
      </w:pPr>
      <w:r w:rsidRPr="00525096">
        <w:rPr>
          <w:sz w:val="24"/>
          <w:u w:val="single"/>
        </w:rPr>
        <w:t>16.</w:t>
      </w:r>
      <w:r w:rsidRPr="00525096">
        <w:rPr>
          <w:sz w:val="24"/>
          <w:u w:val="single"/>
        </w:rPr>
        <w:tab/>
        <w:t>Publication and Tabulation Dates</w:t>
      </w:r>
    </w:p>
    <w:p w:rsidR="00671A3F" w:rsidRPr="001C7D11" w14:paraId="7D1FBC44" w14:textId="77777777">
      <w:pPr>
        <w:rPr>
          <w:sz w:val="24"/>
        </w:rPr>
      </w:pPr>
    </w:p>
    <w:p w:rsidR="0030141F" w:rsidRPr="001C7D11" w:rsidP="00A26926" w14:paraId="45866F6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C7D11">
        <w:rPr>
          <w:sz w:val="24"/>
        </w:rPr>
        <w:t>Medicaid State plans are public documents generally available on the Internet. However, there are no plans to publish the information specifically for statistical use.</w:t>
      </w:r>
    </w:p>
    <w:p w:rsidR="00671A3F" w:rsidRPr="001C7D11" w14:paraId="516D394E" w14:textId="77777777">
      <w:pPr>
        <w:rPr>
          <w:sz w:val="24"/>
        </w:rPr>
      </w:pPr>
    </w:p>
    <w:p w:rsidR="00671A3F" w:rsidRPr="001C7D11" w:rsidP="00E351CD" w14:paraId="663C5294" w14:textId="77777777">
      <w:pPr>
        <w:tabs>
          <w:tab w:val="left" w:pos="-1440"/>
        </w:tabs>
        <w:ind w:left="720" w:hanging="720"/>
        <w:rPr>
          <w:sz w:val="24"/>
          <w:u w:val="single"/>
        </w:rPr>
      </w:pPr>
      <w:r w:rsidRPr="001C7D11">
        <w:rPr>
          <w:sz w:val="24"/>
          <w:u w:val="single"/>
        </w:rPr>
        <w:t>17.</w:t>
      </w:r>
      <w:r w:rsidRPr="001C7D11">
        <w:rPr>
          <w:sz w:val="24"/>
          <w:u w:val="single"/>
        </w:rPr>
        <w:tab/>
        <w:t>Expiration Date</w:t>
      </w:r>
    </w:p>
    <w:p w:rsidR="00671A3F" w:rsidRPr="001C7D11" w14:paraId="3338F186" w14:textId="77777777">
      <w:pPr>
        <w:rPr>
          <w:sz w:val="24"/>
        </w:rPr>
      </w:pPr>
    </w:p>
    <w:p w:rsidR="00C849F6" w:rsidRPr="001C7D11" w:rsidP="00A26926" w14:paraId="2A9681E4" w14:textId="77777777">
      <w:pPr>
        <w:rPr>
          <w:sz w:val="24"/>
        </w:rPr>
      </w:pPr>
      <w:r w:rsidRPr="001C7D11">
        <w:rPr>
          <w:sz w:val="24"/>
        </w:rPr>
        <w:t>The expiration date is displayed on the SPA templates along with our PRA Disclosure Statement.</w:t>
      </w:r>
      <w:r w:rsidRPr="001C7D11" w:rsidR="0054335F">
        <w:rPr>
          <w:sz w:val="24"/>
        </w:rPr>
        <w:t xml:space="preserve"> </w:t>
      </w:r>
    </w:p>
    <w:p w:rsidR="00A26926" w:rsidRPr="001C7D11" w:rsidP="00E351CD" w14:paraId="6B01C3FE" w14:textId="77777777">
      <w:pPr>
        <w:ind w:left="720"/>
        <w:rPr>
          <w:sz w:val="24"/>
        </w:rPr>
      </w:pPr>
    </w:p>
    <w:p w:rsidR="00671A3F" w:rsidRPr="001C7D11" w:rsidP="00E351CD" w14:paraId="3DC8E202" w14:textId="77777777">
      <w:pPr>
        <w:tabs>
          <w:tab w:val="left" w:pos="-1440"/>
        </w:tabs>
        <w:ind w:left="720" w:hanging="720"/>
        <w:rPr>
          <w:sz w:val="24"/>
          <w:u w:val="single"/>
        </w:rPr>
      </w:pPr>
      <w:r w:rsidRPr="001C7D11">
        <w:rPr>
          <w:sz w:val="24"/>
          <w:u w:val="single"/>
        </w:rPr>
        <w:t>18.</w:t>
      </w:r>
      <w:r w:rsidRPr="001C7D11">
        <w:rPr>
          <w:sz w:val="24"/>
          <w:u w:val="single"/>
        </w:rPr>
        <w:tab/>
        <w:t xml:space="preserve">Certification </w:t>
      </w:r>
      <w:r w:rsidRPr="001C7D11" w:rsidR="0005522B">
        <w:rPr>
          <w:sz w:val="24"/>
          <w:u w:val="single"/>
        </w:rPr>
        <w:t>State</w:t>
      </w:r>
      <w:r w:rsidRPr="001C7D11">
        <w:rPr>
          <w:sz w:val="24"/>
          <w:u w:val="single"/>
        </w:rPr>
        <w:t>ment</w:t>
      </w:r>
    </w:p>
    <w:p w:rsidR="00671A3F" w:rsidRPr="001C7D11" w14:paraId="5E932E95" w14:textId="77777777">
      <w:pPr>
        <w:rPr>
          <w:sz w:val="24"/>
        </w:rPr>
      </w:pPr>
    </w:p>
    <w:p w:rsidR="00671A3F" w:rsidRPr="001C7D11" w:rsidP="00A26926" w14:paraId="4F6EEB63" w14:textId="77777777">
      <w:pPr>
        <w:rPr>
          <w:sz w:val="24"/>
        </w:rPr>
      </w:pPr>
      <w:r w:rsidRPr="001C7D11">
        <w:rPr>
          <w:sz w:val="24"/>
        </w:rPr>
        <w:t>There are no exceptions.</w:t>
      </w:r>
    </w:p>
    <w:p w:rsidR="00671A3F" w:rsidRPr="001C7D11" w14:paraId="6D4905F6" w14:textId="77777777">
      <w:pPr>
        <w:rPr>
          <w:sz w:val="24"/>
        </w:rPr>
      </w:pPr>
    </w:p>
    <w:p w:rsidR="00671A3F" w:rsidRPr="001C7D11" w:rsidP="00E351CD" w14:paraId="257695C5" w14:textId="77777777">
      <w:pPr>
        <w:pStyle w:val="Heading2"/>
      </w:pPr>
      <w:r w:rsidRPr="001C7D11">
        <w:t>B</w:t>
      </w:r>
      <w:r w:rsidRPr="001C7D11">
        <w:t>.</w:t>
      </w:r>
      <w:r w:rsidRPr="001C7D11">
        <w:tab/>
        <w:t>COLLECTION OF INFORMATION EMPLOYING STATISTICAL METHODS</w:t>
      </w:r>
    </w:p>
    <w:p w:rsidR="00671A3F" w:rsidRPr="001C7D11" w14:paraId="515C7384" w14:textId="77777777">
      <w:pPr>
        <w:rPr>
          <w:b/>
          <w:bCs/>
          <w:sz w:val="24"/>
        </w:rPr>
      </w:pPr>
    </w:p>
    <w:p w:rsidR="00C34BC4" w:rsidP="004D56A6" w14:paraId="62C87DB2" w14:textId="5CA3F3D8">
      <w:pPr>
        <w:rPr>
          <w:sz w:val="24"/>
        </w:rPr>
      </w:pPr>
      <w:r w:rsidRPr="00530C80">
        <w:rPr>
          <w:sz w:val="24"/>
        </w:rPr>
        <w:t>The use of statistical methods does not apply to this collection of information</w:t>
      </w:r>
      <w:r>
        <w:rPr>
          <w:sz w:val="24"/>
        </w:rPr>
        <w:t xml:space="preserve"> request</w:t>
      </w:r>
      <w:r w:rsidRPr="00530C80">
        <w:rPr>
          <w:sz w:val="24"/>
        </w:rPr>
        <w:t>.</w:t>
      </w:r>
    </w:p>
    <w:p w:rsidR="00260FC7" w:rsidRPr="00342082" w:rsidP="004D56A6" w14:paraId="408B0156" w14:textId="77777777">
      <w:pPr>
        <w:rPr>
          <w:sz w:val="24"/>
        </w:rPr>
      </w:pPr>
    </w:p>
    <w:sectPr w:rsidSect="003B408A">
      <w:footerReference w:type="default" r:id="rId6"/>
      <w:endnotePr>
        <w:numFmt w:val="decimal"/>
      </w:endnotePr>
      <w:type w:val="continuous"/>
      <w:pgSz w:w="12240" w:h="15840"/>
      <w:pgMar w:top="1440" w:right="1440" w:bottom="1440" w:left="144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7E6D" w:rsidP="003B7E6D" w14:paraId="3659D970"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C1403"/>
    <w:multiLevelType w:val="hybridMultilevel"/>
    <w:tmpl w:val="B04832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2AA75C2"/>
    <w:multiLevelType w:val="hybridMultilevel"/>
    <w:tmpl w:val="268898A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B2E1B5B"/>
    <w:multiLevelType w:val="hybridMultilevel"/>
    <w:tmpl w:val="7E3C60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09B1947"/>
    <w:multiLevelType w:val="hybridMultilevel"/>
    <w:tmpl w:val="3AC4C978"/>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307522AD"/>
    <w:multiLevelType w:val="hybridMultilevel"/>
    <w:tmpl w:val="55C4CE1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31252050"/>
    <w:multiLevelType w:val="hybridMultilevel"/>
    <w:tmpl w:val="C96849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7D35758"/>
    <w:multiLevelType w:val="hybridMultilevel"/>
    <w:tmpl w:val="0CF0CBBC"/>
    <w:lvl w:ilvl="0">
      <w:start w:val="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4F64789F"/>
    <w:multiLevelType w:val="hybridMultilevel"/>
    <w:tmpl w:val="37B80E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6071E1A"/>
    <w:multiLevelType w:val="hybridMultilevel"/>
    <w:tmpl w:val="BECE7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B604D0B"/>
    <w:multiLevelType w:val="hybridMultilevel"/>
    <w:tmpl w:val="CEA4199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617D52D1"/>
    <w:multiLevelType w:val="hybridMultilevel"/>
    <w:tmpl w:val="9D4867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49B3DAD"/>
    <w:multiLevelType w:val="hybridMultilevel"/>
    <w:tmpl w:val="2AC634A4"/>
    <w:lvl w:ilvl="0">
      <w:start w:val="1"/>
      <w:numFmt w:val="decimal"/>
      <w:lvlText w:val="%1."/>
      <w:lvlJc w:val="left"/>
      <w:pPr>
        <w:tabs>
          <w:tab w:val="num" w:pos="1080"/>
        </w:tabs>
        <w:ind w:left="1080" w:hanging="720"/>
      </w:pPr>
      <w:rPr>
        <w:rFonts w:hint="default"/>
      </w:rPr>
    </w:lvl>
    <w:lvl w:ilvl="1">
      <w:start w:val="3"/>
      <w:numFmt w:val="lowerLetter"/>
      <w:lvlText w:val="%2&gt;"/>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8CD2C1A"/>
    <w:multiLevelType w:val="hybridMultilevel"/>
    <w:tmpl w:val="57AE2D7C"/>
    <w:lvl w:ilvl="0">
      <w:start w:val="1"/>
      <w:numFmt w:val="bullet"/>
      <w:lvlText w:val=""/>
      <w:lvlJc w:val="left"/>
      <w:pPr>
        <w:ind w:left="-1368" w:hanging="360"/>
      </w:pPr>
      <w:rPr>
        <w:rFonts w:ascii="Symbol" w:hAnsi="Symbol" w:hint="default"/>
      </w:rPr>
    </w:lvl>
    <w:lvl w:ilvl="1" w:tentative="1">
      <w:start w:val="1"/>
      <w:numFmt w:val="bullet"/>
      <w:lvlText w:val="o"/>
      <w:lvlJc w:val="left"/>
      <w:pPr>
        <w:ind w:left="-216" w:hanging="360"/>
      </w:pPr>
      <w:rPr>
        <w:rFonts w:ascii="Courier New" w:hAnsi="Courier New" w:hint="default"/>
      </w:rPr>
    </w:lvl>
    <w:lvl w:ilvl="2" w:tentative="1">
      <w:start w:val="1"/>
      <w:numFmt w:val="bullet"/>
      <w:lvlText w:val=""/>
      <w:lvlJc w:val="left"/>
      <w:pPr>
        <w:ind w:left="504" w:hanging="360"/>
      </w:pPr>
      <w:rPr>
        <w:rFonts w:ascii="Wingdings" w:hAnsi="Wingdings" w:hint="default"/>
      </w:rPr>
    </w:lvl>
    <w:lvl w:ilvl="3" w:tentative="1">
      <w:start w:val="1"/>
      <w:numFmt w:val="bullet"/>
      <w:lvlText w:val=""/>
      <w:lvlJc w:val="left"/>
      <w:pPr>
        <w:ind w:left="1224" w:hanging="360"/>
      </w:pPr>
      <w:rPr>
        <w:rFonts w:ascii="Symbol" w:hAnsi="Symbol" w:hint="default"/>
      </w:rPr>
    </w:lvl>
    <w:lvl w:ilvl="4" w:tentative="1">
      <w:start w:val="1"/>
      <w:numFmt w:val="bullet"/>
      <w:lvlText w:val="o"/>
      <w:lvlJc w:val="left"/>
      <w:pPr>
        <w:ind w:left="1944" w:hanging="360"/>
      </w:pPr>
      <w:rPr>
        <w:rFonts w:ascii="Courier New" w:hAnsi="Courier New" w:hint="default"/>
      </w:rPr>
    </w:lvl>
    <w:lvl w:ilvl="5" w:tentative="1">
      <w:start w:val="1"/>
      <w:numFmt w:val="bullet"/>
      <w:lvlText w:val=""/>
      <w:lvlJc w:val="left"/>
      <w:pPr>
        <w:ind w:left="2664" w:hanging="360"/>
      </w:pPr>
      <w:rPr>
        <w:rFonts w:ascii="Wingdings" w:hAnsi="Wingdings" w:hint="default"/>
      </w:rPr>
    </w:lvl>
    <w:lvl w:ilvl="6" w:tentative="1">
      <w:start w:val="1"/>
      <w:numFmt w:val="bullet"/>
      <w:lvlText w:val=""/>
      <w:lvlJc w:val="left"/>
      <w:pPr>
        <w:ind w:left="3384" w:hanging="360"/>
      </w:pPr>
      <w:rPr>
        <w:rFonts w:ascii="Symbol" w:hAnsi="Symbol" w:hint="default"/>
      </w:rPr>
    </w:lvl>
    <w:lvl w:ilvl="7" w:tentative="1">
      <w:start w:val="1"/>
      <w:numFmt w:val="bullet"/>
      <w:lvlText w:val="o"/>
      <w:lvlJc w:val="left"/>
      <w:pPr>
        <w:ind w:left="4104" w:hanging="360"/>
      </w:pPr>
      <w:rPr>
        <w:rFonts w:ascii="Courier New" w:hAnsi="Courier New" w:hint="default"/>
      </w:rPr>
    </w:lvl>
    <w:lvl w:ilvl="8" w:tentative="1">
      <w:start w:val="1"/>
      <w:numFmt w:val="bullet"/>
      <w:lvlText w:val=""/>
      <w:lvlJc w:val="left"/>
      <w:pPr>
        <w:ind w:left="4824" w:hanging="360"/>
      </w:pPr>
      <w:rPr>
        <w:rFonts w:ascii="Wingdings" w:hAnsi="Wingdings" w:hint="default"/>
      </w:rPr>
    </w:lvl>
  </w:abstractNum>
  <w:num w:numId="1" w16cid:durableId="218175869">
    <w:abstractNumId w:val="3"/>
  </w:num>
  <w:num w:numId="2" w16cid:durableId="139854682">
    <w:abstractNumId w:val="1"/>
  </w:num>
  <w:num w:numId="3" w16cid:durableId="1762489894">
    <w:abstractNumId w:val="11"/>
  </w:num>
  <w:num w:numId="4" w16cid:durableId="1100686562">
    <w:abstractNumId w:val="0"/>
  </w:num>
  <w:num w:numId="5" w16cid:durableId="992097658">
    <w:abstractNumId w:val="9"/>
  </w:num>
  <w:num w:numId="6" w16cid:durableId="460926891">
    <w:abstractNumId w:val="12"/>
  </w:num>
  <w:num w:numId="7" w16cid:durableId="881015092">
    <w:abstractNumId w:val="7"/>
  </w:num>
  <w:num w:numId="8" w16cid:durableId="1149324481">
    <w:abstractNumId w:val="4"/>
  </w:num>
  <w:num w:numId="9" w16cid:durableId="408887369">
    <w:abstractNumId w:val="8"/>
  </w:num>
  <w:num w:numId="10" w16cid:durableId="460464261">
    <w:abstractNumId w:val="2"/>
  </w:num>
  <w:num w:numId="11" w16cid:durableId="1088890456">
    <w:abstractNumId w:val="6"/>
  </w:num>
  <w:num w:numId="12" w16cid:durableId="1616987990">
    <w:abstractNumId w:val="5"/>
  </w:num>
  <w:num w:numId="13" w16cid:durableId="7785264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9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A3F"/>
    <w:rsid w:val="0000224A"/>
    <w:rsid w:val="00005B43"/>
    <w:rsid w:val="000064AA"/>
    <w:rsid w:val="00013143"/>
    <w:rsid w:val="00013C82"/>
    <w:rsid w:val="00014B8B"/>
    <w:rsid w:val="00015CEB"/>
    <w:rsid w:val="00020B18"/>
    <w:rsid w:val="00025013"/>
    <w:rsid w:val="00030A5E"/>
    <w:rsid w:val="00030F06"/>
    <w:rsid w:val="0003118E"/>
    <w:rsid w:val="00031E97"/>
    <w:rsid w:val="00034CF5"/>
    <w:rsid w:val="00034EC3"/>
    <w:rsid w:val="00035ED7"/>
    <w:rsid w:val="00037F7D"/>
    <w:rsid w:val="00041FB1"/>
    <w:rsid w:val="00042655"/>
    <w:rsid w:val="00043832"/>
    <w:rsid w:val="00044050"/>
    <w:rsid w:val="00045B5C"/>
    <w:rsid w:val="00046E46"/>
    <w:rsid w:val="000500F3"/>
    <w:rsid w:val="000551D5"/>
    <w:rsid w:val="0005522B"/>
    <w:rsid w:val="000574B7"/>
    <w:rsid w:val="00062950"/>
    <w:rsid w:val="00064107"/>
    <w:rsid w:val="00064DEC"/>
    <w:rsid w:val="00074FE3"/>
    <w:rsid w:val="0008136D"/>
    <w:rsid w:val="00081F15"/>
    <w:rsid w:val="00082253"/>
    <w:rsid w:val="00083CD8"/>
    <w:rsid w:val="0008541D"/>
    <w:rsid w:val="000910E8"/>
    <w:rsid w:val="00094882"/>
    <w:rsid w:val="00096C1E"/>
    <w:rsid w:val="000A0297"/>
    <w:rsid w:val="000A1FD7"/>
    <w:rsid w:val="000A5BA3"/>
    <w:rsid w:val="000A78DB"/>
    <w:rsid w:val="000A7D08"/>
    <w:rsid w:val="000B2841"/>
    <w:rsid w:val="000C2D2D"/>
    <w:rsid w:val="000C4444"/>
    <w:rsid w:val="000C4A1A"/>
    <w:rsid w:val="000C7A2E"/>
    <w:rsid w:val="000D1449"/>
    <w:rsid w:val="000E09C4"/>
    <w:rsid w:val="000E34EC"/>
    <w:rsid w:val="000E3D81"/>
    <w:rsid w:val="000E69B8"/>
    <w:rsid w:val="000F2457"/>
    <w:rsid w:val="000F4E00"/>
    <w:rsid w:val="00101B82"/>
    <w:rsid w:val="0010402F"/>
    <w:rsid w:val="00106B88"/>
    <w:rsid w:val="00110015"/>
    <w:rsid w:val="00111951"/>
    <w:rsid w:val="00115DC2"/>
    <w:rsid w:val="0012088C"/>
    <w:rsid w:val="00120CFC"/>
    <w:rsid w:val="00120EFA"/>
    <w:rsid w:val="00124357"/>
    <w:rsid w:val="00127DBD"/>
    <w:rsid w:val="0013032D"/>
    <w:rsid w:val="001457A5"/>
    <w:rsid w:val="00151FC6"/>
    <w:rsid w:val="001543EA"/>
    <w:rsid w:val="00155F27"/>
    <w:rsid w:val="00157683"/>
    <w:rsid w:val="00164BAE"/>
    <w:rsid w:val="00170795"/>
    <w:rsid w:val="00173BAF"/>
    <w:rsid w:val="00175C35"/>
    <w:rsid w:val="0018385B"/>
    <w:rsid w:val="00184A68"/>
    <w:rsid w:val="00184C8D"/>
    <w:rsid w:val="00185AFE"/>
    <w:rsid w:val="00191797"/>
    <w:rsid w:val="00197B22"/>
    <w:rsid w:val="001A0D0F"/>
    <w:rsid w:val="001A510C"/>
    <w:rsid w:val="001A64E9"/>
    <w:rsid w:val="001C0E93"/>
    <w:rsid w:val="001C2C0F"/>
    <w:rsid w:val="001C5A25"/>
    <w:rsid w:val="001C609A"/>
    <w:rsid w:val="001C628C"/>
    <w:rsid w:val="001C739D"/>
    <w:rsid w:val="001C76FE"/>
    <w:rsid w:val="001C7D11"/>
    <w:rsid w:val="001D3154"/>
    <w:rsid w:val="001D63DE"/>
    <w:rsid w:val="001E049E"/>
    <w:rsid w:val="001E2825"/>
    <w:rsid w:val="001E3E25"/>
    <w:rsid w:val="001E765D"/>
    <w:rsid w:val="001E79E7"/>
    <w:rsid w:val="001F33D3"/>
    <w:rsid w:val="001F4488"/>
    <w:rsid w:val="001F5DD7"/>
    <w:rsid w:val="001F5DD8"/>
    <w:rsid w:val="001F75A5"/>
    <w:rsid w:val="001F7CB2"/>
    <w:rsid w:val="00204636"/>
    <w:rsid w:val="00205D5B"/>
    <w:rsid w:val="00207CEB"/>
    <w:rsid w:val="00213686"/>
    <w:rsid w:val="0021509F"/>
    <w:rsid w:val="00220579"/>
    <w:rsid w:val="00220798"/>
    <w:rsid w:val="00220D34"/>
    <w:rsid w:val="00221EF6"/>
    <w:rsid w:val="00232D6B"/>
    <w:rsid w:val="002330A7"/>
    <w:rsid w:val="002357C6"/>
    <w:rsid w:val="002376A3"/>
    <w:rsid w:val="00242A3C"/>
    <w:rsid w:val="00243082"/>
    <w:rsid w:val="00244871"/>
    <w:rsid w:val="00244E24"/>
    <w:rsid w:val="0025002B"/>
    <w:rsid w:val="002568CE"/>
    <w:rsid w:val="002606D9"/>
    <w:rsid w:val="00260FC7"/>
    <w:rsid w:val="00261497"/>
    <w:rsid w:val="002779EF"/>
    <w:rsid w:val="00277CE0"/>
    <w:rsid w:val="002816B3"/>
    <w:rsid w:val="00282453"/>
    <w:rsid w:val="00284C9D"/>
    <w:rsid w:val="002937E8"/>
    <w:rsid w:val="0029731F"/>
    <w:rsid w:val="002A5FDA"/>
    <w:rsid w:val="002A75A8"/>
    <w:rsid w:val="002B25B6"/>
    <w:rsid w:val="002B372F"/>
    <w:rsid w:val="002B65CB"/>
    <w:rsid w:val="002B69E7"/>
    <w:rsid w:val="002B7EC9"/>
    <w:rsid w:val="002C0780"/>
    <w:rsid w:val="002C5FA5"/>
    <w:rsid w:val="002D0DC7"/>
    <w:rsid w:val="002D1C24"/>
    <w:rsid w:val="002D34DE"/>
    <w:rsid w:val="002E1958"/>
    <w:rsid w:val="002F4C9A"/>
    <w:rsid w:val="002F63E2"/>
    <w:rsid w:val="002F7C54"/>
    <w:rsid w:val="0030141F"/>
    <w:rsid w:val="00301BB0"/>
    <w:rsid w:val="00306665"/>
    <w:rsid w:val="00306C66"/>
    <w:rsid w:val="00312FA2"/>
    <w:rsid w:val="003149C3"/>
    <w:rsid w:val="00315072"/>
    <w:rsid w:val="00321084"/>
    <w:rsid w:val="00325C1A"/>
    <w:rsid w:val="00325F3B"/>
    <w:rsid w:val="00326D7B"/>
    <w:rsid w:val="00332C3D"/>
    <w:rsid w:val="003344F2"/>
    <w:rsid w:val="00334F7C"/>
    <w:rsid w:val="003361E4"/>
    <w:rsid w:val="003369AD"/>
    <w:rsid w:val="00340B7F"/>
    <w:rsid w:val="00341A46"/>
    <w:rsid w:val="00342082"/>
    <w:rsid w:val="00343AF8"/>
    <w:rsid w:val="003519FC"/>
    <w:rsid w:val="003549AF"/>
    <w:rsid w:val="00357899"/>
    <w:rsid w:val="00357F26"/>
    <w:rsid w:val="003606BB"/>
    <w:rsid w:val="00361C9B"/>
    <w:rsid w:val="0037087F"/>
    <w:rsid w:val="00371C1A"/>
    <w:rsid w:val="00372D17"/>
    <w:rsid w:val="003749B5"/>
    <w:rsid w:val="003755FF"/>
    <w:rsid w:val="00375F5F"/>
    <w:rsid w:val="00376BC6"/>
    <w:rsid w:val="003862AF"/>
    <w:rsid w:val="00386978"/>
    <w:rsid w:val="0039128F"/>
    <w:rsid w:val="00396D17"/>
    <w:rsid w:val="003972E9"/>
    <w:rsid w:val="003A10CC"/>
    <w:rsid w:val="003A3735"/>
    <w:rsid w:val="003A422C"/>
    <w:rsid w:val="003A4421"/>
    <w:rsid w:val="003A460B"/>
    <w:rsid w:val="003A4F8C"/>
    <w:rsid w:val="003B03F1"/>
    <w:rsid w:val="003B06F8"/>
    <w:rsid w:val="003B322E"/>
    <w:rsid w:val="003B408A"/>
    <w:rsid w:val="003B7E6D"/>
    <w:rsid w:val="003C61EC"/>
    <w:rsid w:val="003D0518"/>
    <w:rsid w:val="003E2E0F"/>
    <w:rsid w:val="003E327F"/>
    <w:rsid w:val="003E3D83"/>
    <w:rsid w:val="003F1A55"/>
    <w:rsid w:val="003F205B"/>
    <w:rsid w:val="00402F20"/>
    <w:rsid w:val="004076D4"/>
    <w:rsid w:val="004076E2"/>
    <w:rsid w:val="0042110E"/>
    <w:rsid w:val="004251D4"/>
    <w:rsid w:val="00435FAD"/>
    <w:rsid w:val="0044762B"/>
    <w:rsid w:val="00447845"/>
    <w:rsid w:val="00452870"/>
    <w:rsid w:val="00454E8E"/>
    <w:rsid w:val="00460259"/>
    <w:rsid w:val="0046059E"/>
    <w:rsid w:val="004677BD"/>
    <w:rsid w:val="00474681"/>
    <w:rsid w:val="0047790E"/>
    <w:rsid w:val="00480400"/>
    <w:rsid w:val="004816C5"/>
    <w:rsid w:val="00481D58"/>
    <w:rsid w:val="004839DA"/>
    <w:rsid w:val="00486C2E"/>
    <w:rsid w:val="00493994"/>
    <w:rsid w:val="00495500"/>
    <w:rsid w:val="00496EAD"/>
    <w:rsid w:val="004A04C2"/>
    <w:rsid w:val="004A30F1"/>
    <w:rsid w:val="004A4F15"/>
    <w:rsid w:val="004A5D70"/>
    <w:rsid w:val="004B1A05"/>
    <w:rsid w:val="004B1E8B"/>
    <w:rsid w:val="004B6AD4"/>
    <w:rsid w:val="004C0B3C"/>
    <w:rsid w:val="004D56A6"/>
    <w:rsid w:val="004E048F"/>
    <w:rsid w:val="004E0D1A"/>
    <w:rsid w:val="004E3D04"/>
    <w:rsid w:val="004E4A99"/>
    <w:rsid w:val="004E6351"/>
    <w:rsid w:val="004F44D6"/>
    <w:rsid w:val="00503CC8"/>
    <w:rsid w:val="005046CF"/>
    <w:rsid w:val="00512813"/>
    <w:rsid w:val="00515D4C"/>
    <w:rsid w:val="00520D47"/>
    <w:rsid w:val="00522C7C"/>
    <w:rsid w:val="0052300E"/>
    <w:rsid w:val="00525096"/>
    <w:rsid w:val="005251B9"/>
    <w:rsid w:val="00530C80"/>
    <w:rsid w:val="00533D0D"/>
    <w:rsid w:val="005360E1"/>
    <w:rsid w:val="00536565"/>
    <w:rsid w:val="00536B9A"/>
    <w:rsid w:val="00540173"/>
    <w:rsid w:val="00540264"/>
    <w:rsid w:val="00541B84"/>
    <w:rsid w:val="00541DB8"/>
    <w:rsid w:val="00541F73"/>
    <w:rsid w:val="005431B6"/>
    <w:rsid w:val="0054335F"/>
    <w:rsid w:val="00545241"/>
    <w:rsid w:val="00550A76"/>
    <w:rsid w:val="00551F48"/>
    <w:rsid w:val="00560528"/>
    <w:rsid w:val="005623E9"/>
    <w:rsid w:val="00567F24"/>
    <w:rsid w:val="0057093F"/>
    <w:rsid w:val="0057173D"/>
    <w:rsid w:val="00572DE9"/>
    <w:rsid w:val="005736AE"/>
    <w:rsid w:val="00573C49"/>
    <w:rsid w:val="00581007"/>
    <w:rsid w:val="0059475F"/>
    <w:rsid w:val="005949C2"/>
    <w:rsid w:val="00594EC8"/>
    <w:rsid w:val="005A1024"/>
    <w:rsid w:val="005A1A72"/>
    <w:rsid w:val="005A45EE"/>
    <w:rsid w:val="005B0869"/>
    <w:rsid w:val="005B0EFF"/>
    <w:rsid w:val="005B2EB0"/>
    <w:rsid w:val="005C0370"/>
    <w:rsid w:val="005C5F30"/>
    <w:rsid w:val="005C6C90"/>
    <w:rsid w:val="005C7BDC"/>
    <w:rsid w:val="005D4382"/>
    <w:rsid w:val="005D70F3"/>
    <w:rsid w:val="005D7395"/>
    <w:rsid w:val="005D782C"/>
    <w:rsid w:val="005E1B57"/>
    <w:rsid w:val="005E5794"/>
    <w:rsid w:val="005E5CB5"/>
    <w:rsid w:val="005E7A16"/>
    <w:rsid w:val="005F0D0D"/>
    <w:rsid w:val="005F20B6"/>
    <w:rsid w:val="005F2496"/>
    <w:rsid w:val="005F2789"/>
    <w:rsid w:val="005F65EC"/>
    <w:rsid w:val="00610B14"/>
    <w:rsid w:val="00611C13"/>
    <w:rsid w:val="006137D3"/>
    <w:rsid w:val="00614CB4"/>
    <w:rsid w:val="00630067"/>
    <w:rsid w:val="00631B75"/>
    <w:rsid w:val="00640A71"/>
    <w:rsid w:val="00641F59"/>
    <w:rsid w:val="0065026F"/>
    <w:rsid w:val="00651A35"/>
    <w:rsid w:val="006575CB"/>
    <w:rsid w:val="006579A0"/>
    <w:rsid w:val="00660695"/>
    <w:rsid w:val="006643DC"/>
    <w:rsid w:val="00671A3F"/>
    <w:rsid w:val="00673D2E"/>
    <w:rsid w:val="006751E0"/>
    <w:rsid w:val="0067590F"/>
    <w:rsid w:val="00681872"/>
    <w:rsid w:val="0068525B"/>
    <w:rsid w:val="00686DF2"/>
    <w:rsid w:val="00687DBC"/>
    <w:rsid w:val="0069371D"/>
    <w:rsid w:val="00697F90"/>
    <w:rsid w:val="006A324A"/>
    <w:rsid w:val="006B1FB1"/>
    <w:rsid w:val="006B24AA"/>
    <w:rsid w:val="006B4160"/>
    <w:rsid w:val="006B6B26"/>
    <w:rsid w:val="006C099A"/>
    <w:rsid w:val="006C4817"/>
    <w:rsid w:val="006C7F12"/>
    <w:rsid w:val="006D0DE8"/>
    <w:rsid w:val="006D18F7"/>
    <w:rsid w:val="006D6112"/>
    <w:rsid w:val="006E3201"/>
    <w:rsid w:val="006E6A86"/>
    <w:rsid w:val="006F0ADF"/>
    <w:rsid w:val="006F3D57"/>
    <w:rsid w:val="006F49CE"/>
    <w:rsid w:val="006F4C60"/>
    <w:rsid w:val="00702419"/>
    <w:rsid w:val="00702B73"/>
    <w:rsid w:val="00703347"/>
    <w:rsid w:val="0070389A"/>
    <w:rsid w:val="00705F72"/>
    <w:rsid w:val="007076FC"/>
    <w:rsid w:val="00710565"/>
    <w:rsid w:val="00713979"/>
    <w:rsid w:val="007140E4"/>
    <w:rsid w:val="00722C00"/>
    <w:rsid w:val="0073393F"/>
    <w:rsid w:val="00734B98"/>
    <w:rsid w:val="00734BA0"/>
    <w:rsid w:val="00734E91"/>
    <w:rsid w:val="00735472"/>
    <w:rsid w:val="00742170"/>
    <w:rsid w:val="00747A94"/>
    <w:rsid w:val="00750F66"/>
    <w:rsid w:val="0075581D"/>
    <w:rsid w:val="00755B75"/>
    <w:rsid w:val="00766152"/>
    <w:rsid w:val="00766ED9"/>
    <w:rsid w:val="007777F3"/>
    <w:rsid w:val="007834DA"/>
    <w:rsid w:val="00783C86"/>
    <w:rsid w:val="00784197"/>
    <w:rsid w:val="007855B4"/>
    <w:rsid w:val="00786220"/>
    <w:rsid w:val="00792196"/>
    <w:rsid w:val="007B101B"/>
    <w:rsid w:val="007B2E09"/>
    <w:rsid w:val="007B6B5B"/>
    <w:rsid w:val="007B7A6E"/>
    <w:rsid w:val="007C348B"/>
    <w:rsid w:val="007C4620"/>
    <w:rsid w:val="007C5E58"/>
    <w:rsid w:val="007C64B1"/>
    <w:rsid w:val="007D261A"/>
    <w:rsid w:val="007D4E67"/>
    <w:rsid w:val="007D731F"/>
    <w:rsid w:val="007E079D"/>
    <w:rsid w:val="007E30F2"/>
    <w:rsid w:val="00801339"/>
    <w:rsid w:val="00804CCF"/>
    <w:rsid w:val="00805E66"/>
    <w:rsid w:val="0081205E"/>
    <w:rsid w:val="0082058A"/>
    <w:rsid w:val="00833A40"/>
    <w:rsid w:val="00833D39"/>
    <w:rsid w:val="00834E8C"/>
    <w:rsid w:val="00835828"/>
    <w:rsid w:val="00837C58"/>
    <w:rsid w:val="00840D3D"/>
    <w:rsid w:val="0084500F"/>
    <w:rsid w:val="0085153A"/>
    <w:rsid w:val="0085416F"/>
    <w:rsid w:val="00855033"/>
    <w:rsid w:val="008554A8"/>
    <w:rsid w:val="0085644C"/>
    <w:rsid w:val="0085695A"/>
    <w:rsid w:val="008630CB"/>
    <w:rsid w:val="008631EE"/>
    <w:rsid w:val="00883953"/>
    <w:rsid w:val="008841AB"/>
    <w:rsid w:val="008869F3"/>
    <w:rsid w:val="008909AC"/>
    <w:rsid w:val="00890EBB"/>
    <w:rsid w:val="00892182"/>
    <w:rsid w:val="008921A1"/>
    <w:rsid w:val="0089296E"/>
    <w:rsid w:val="00895F9E"/>
    <w:rsid w:val="008972B6"/>
    <w:rsid w:val="008972C5"/>
    <w:rsid w:val="008A02EC"/>
    <w:rsid w:val="008A176E"/>
    <w:rsid w:val="008B36F9"/>
    <w:rsid w:val="008B6480"/>
    <w:rsid w:val="008C78FA"/>
    <w:rsid w:val="008D04E0"/>
    <w:rsid w:val="008D15B7"/>
    <w:rsid w:val="008D3D27"/>
    <w:rsid w:val="008D46CF"/>
    <w:rsid w:val="008D5314"/>
    <w:rsid w:val="008E2735"/>
    <w:rsid w:val="008E5A3D"/>
    <w:rsid w:val="008E6FD2"/>
    <w:rsid w:val="008E739E"/>
    <w:rsid w:val="008F2394"/>
    <w:rsid w:val="008F5236"/>
    <w:rsid w:val="00901A67"/>
    <w:rsid w:val="00905BD0"/>
    <w:rsid w:val="0090636A"/>
    <w:rsid w:val="00910DAF"/>
    <w:rsid w:val="0091382C"/>
    <w:rsid w:val="00913C47"/>
    <w:rsid w:val="00915321"/>
    <w:rsid w:val="00915E2B"/>
    <w:rsid w:val="0091797D"/>
    <w:rsid w:val="009212E4"/>
    <w:rsid w:val="0093244E"/>
    <w:rsid w:val="009339C5"/>
    <w:rsid w:val="0094585F"/>
    <w:rsid w:val="0094731B"/>
    <w:rsid w:val="00953598"/>
    <w:rsid w:val="00954500"/>
    <w:rsid w:val="00961287"/>
    <w:rsid w:val="009646AE"/>
    <w:rsid w:val="00965178"/>
    <w:rsid w:val="00966C44"/>
    <w:rsid w:val="00966DF9"/>
    <w:rsid w:val="0097051E"/>
    <w:rsid w:val="009717E9"/>
    <w:rsid w:val="00974A8D"/>
    <w:rsid w:val="00977857"/>
    <w:rsid w:val="009800BE"/>
    <w:rsid w:val="009873C9"/>
    <w:rsid w:val="009878CC"/>
    <w:rsid w:val="009957E3"/>
    <w:rsid w:val="00996ADE"/>
    <w:rsid w:val="009A1065"/>
    <w:rsid w:val="009B267C"/>
    <w:rsid w:val="009B5D68"/>
    <w:rsid w:val="009C1813"/>
    <w:rsid w:val="009D05A3"/>
    <w:rsid w:val="009E2A2A"/>
    <w:rsid w:val="009F2574"/>
    <w:rsid w:val="009F37CC"/>
    <w:rsid w:val="009F5BC4"/>
    <w:rsid w:val="009F7D64"/>
    <w:rsid w:val="00A00C3D"/>
    <w:rsid w:val="00A03928"/>
    <w:rsid w:val="00A07EAA"/>
    <w:rsid w:val="00A15F18"/>
    <w:rsid w:val="00A20CBC"/>
    <w:rsid w:val="00A20D0E"/>
    <w:rsid w:val="00A22489"/>
    <w:rsid w:val="00A26926"/>
    <w:rsid w:val="00A27281"/>
    <w:rsid w:val="00A35D63"/>
    <w:rsid w:val="00A36992"/>
    <w:rsid w:val="00A43CF0"/>
    <w:rsid w:val="00A46D4E"/>
    <w:rsid w:val="00A47CB9"/>
    <w:rsid w:val="00A50E8F"/>
    <w:rsid w:val="00A55DA5"/>
    <w:rsid w:val="00A56070"/>
    <w:rsid w:val="00A620C4"/>
    <w:rsid w:val="00A63D21"/>
    <w:rsid w:val="00A71BB2"/>
    <w:rsid w:val="00A74FC2"/>
    <w:rsid w:val="00A8284A"/>
    <w:rsid w:val="00A83605"/>
    <w:rsid w:val="00A86336"/>
    <w:rsid w:val="00A94212"/>
    <w:rsid w:val="00A945A9"/>
    <w:rsid w:val="00A9710D"/>
    <w:rsid w:val="00AA068C"/>
    <w:rsid w:val="00AB1113"/>
    <w:rsid w:val="00AC0665"/>
    <w:rsid w:val="00AD2D81"/>
    <w:rsid w:val="00AD3C42"/>
    <w:rsid w:val="00AD5AAC"/>
    <w:rsid w:val="00AE369E"/>
    <w:rsid w:val="00AF1DE5"/>
    <w:rsid w:val="00AF7A0A"/>
    <w:rsid w:val="00B00481"/>
    <w:rsid w:val="00B064A9"/>
    <w:rsid w:val="00B10A86"/>
    <w:rsid w:val="00B17E70"/>
    <w:rsid w:val="00B21DF8"/>
    <w:rsid w:val="00B22189"/>
    <w:rsid w:val="00B30DF9"/>
    <w:rsid w:val="00B34288"/>
    <w:rsid w:val="00B34C88"/>
    <w:rsid w:val="00B355DC"/>
    <w:rsid w:val="00B4029E"/>
    <w:rsid w:val="00B409BD"/>
    <w:rsid w:val="00B41BD1"/>
    <w:rsid w:val="00B429A9"/>
    <w:rsid w:val="00B43707"/>
    <w:rsid w:val="00B47BDA"/>
    <w:rsid w:val="00B521D6"/>
    <w:rsid w:val="00B537C7"/>
    <w:rsid w:val="00B549C8"/>
    <w:rsid w:val="00B55E17"/>
    <w:rsid w:val="00B55FC0"/>
    <w:rsid w:val="00B566FC"/>
    <w:rsid w:val="00B65A16"/>
    <w:rsid w:val="00B7055C"/>
    <w:rsid w:val="00B7253B"/>
    <w:rsid w:val="00B754CD"/>
    <w:rsid w:val="00B75754"/>
    <w:rsid w:val="00B82400"/>
    <w:rsid w:val="00B868D1"/>
    <w:rsid w:val="00B94E50"/>
    <w:rsid w:val="00B96C4B"/>
    <w:rsid w:val="00B97AC1"/>
    <w:rsid w:val="00BA06D2"/>
    <w:rsid w:val="00BA0C4C"/>
    <w:rsid w:val="00BA1CA8"/>
    <w:rsid w:val="00BA503A"/>
    <w:rsid w:val="00BA7E2B"/>
    <w:rsid w:val="00BB1581"/>
    <w:rsid w:val="00BB1ECC"/>
    <w:rsid w:val="00BB274E"/>
    <w:rsid w:val="00BB7272"/>
    <w:rsid w:val="00BC22F7"/>
    <w:rsid w:val="00BC23D5"/>
    <w:rsid w:val="00BC3D6D"/>
    <w:rsid w:val="00BC3FFE"/>
    <w:rsid w:val="00BC6E03"/>
    <w:rsid w:val="00BC730E"/>
    <w:rsid w:val="00BD32A5"/>
    <w:rsid w:val="00BE0BBB"/>
    <w:rsid w:val="00BE53DF"/>
    <w:rsid w:val="00BF4DCB"/>
    <w:rsid w:val="00BF5FB6"/>
    <w:rsid w:val="00C0427C"/>
    <w:rsid w:val="00C05512"/>
    <w:rsid w:val="00C05FE8"/>
    <w:rsid w:val="00C06650"/>
    <w:rsid w:val="00C07AF7"/>
    <w:rsid w:val="00C10833"/>
    <w:rsid w:val="00C12C9F"/>
    <w:rsid w:val="00C1483E"/>
    <w:rsid w:val="00C15132"/>
    <w:rsid w:val="00C16FEE"/>
    <w:rsid w:val="00C24692"/>
    <w:rsid w:val="00C26D89"/>
    <w:rsid w:val="00C33949"/>
    <w:rsid w:val="00C34BC4"/>
    <w:rsid w:val="00C3526A"/>
    <w:rsid w:val="00C364D4"/>
    <w:rsid w:val="00C43362"/>
    <w:rsid w:val="00C44F8D"/>
    <w:rsid w:val="00C468C6"/>
    <w:rsid w:val="00C53064"/>
    <w:rsid w:val="00C548CC"/>
    <w:rsid w:val="00C5653B"/>
    <w:rsid w:val="00C619BE"/>
    <w:rsid w:val="00C65510"/>
    <w:rsid w:val="00C6558D"/>
    <w:rsid w:val="00C71C70"/>
    <w:rsid w:val="00C7560D"/>
    <w:rsid w:val="00C75679"/>
    <w:rsid w:val="00C756F5"/>
    <w:rsid w:val="00C75E5F"/>
    <w:rsid w:val="00C77DB8"/>
    <w:rsid w:val="00C82C60"/>
    <w:rsid w:val="00C84676"/>
    <w:rsid w:val="00C849F6"/>
    <w:rsid w:val="00C85E26"/>
    <w:rsid w:val="00C90934"/>
    <w:rsid w:val="00C91363"/>
    <w:rsid w:val="00C9216A"/>
    <w:rsid w:val="00C9353B"/>
    <w:rsid w:val="00CA1B46"/>
    <w:rsid w:val="00CA626F"/>
    <w:rsid w:val="00CA7E5E"/>
    <w:rsid w:val="00CB2155"/>
    <w:rsid w:val="00CB3DF9"/>
    <w:rsid w:val="00CB444E"/>
    <w:rsid w:val="00CB5F69"/>
    <w:rsid w:val="00CC0286"/>
    <w:rsid w:val="00CC07BE"/>
    <w:rsid w:val="00CC0A67"/>
    <w:rsid w:val="00CC0E45"/>
    <w:rsid w:val="00CC36CB"/>
    <w:rsid w:val="00CC6C3E"/>
    <w:rsid w:val="00CD1C4D"/>
    <w:rsid w:val="00CD390E"/>
    <w:rsid w:val="00CD463A"/>
    <w:rsid w:val="00CD5D60"/>
    <w:rsid w:val="00CD60EF"/>
    <w:rsid w:val="00CD6134"/>
    <w:rsid w:val="00CD7B07"/>
    <w:rsid w:val="00CE071B"/>
    <w:rsid w:val="00CE2DCE"/>
    <w:rsid w:val="00CE515C"/>
    <w:rsid w:val="00CF0CBF"/>
    <w:rsid w:val="00CF676E"/>
    <w:rsid w:val="00CF6E76"/>
    <w:rsid w:val="00D03143"/>
    <w:rsid w:val="00D048C7"/>
    <w:rsid w:val="00D06AB4"/>
    <w:rsid w:val="00D07C41"/>
    <w:rsid w:val="00D10A24"/>
    <w:rsid w:val="00D132FB"/>
    <w:rsid w:val="00D15CCE"/>
    <w:rsid w:val="00D164D3"/>
    <w:rsid w:val="00D168B0"/>
    <w:rsid w:val="00D23F62"/>
    <w:rsid w:val="00D26297"/>
    <w:rsid w:val="00D32997"/>
    <w:rsid w:val="00D371B1"/>
    <w:rsid w:val="00D37322"/>
    <w:rsid w:val="00D40A95"/>
    <w:rsid w:val="00D41DED"/>
    <w:rsid w:val="00D42B0D"/>
    <w:rsid w:val="00D43384"/>
    <w:rsid w:val="00D545DD"/>
    <w:rsid w:val="00D600D8"/>
    <w:rsid w:val="00D616CC"/>
    <w:rsid w:val="00D644AD"/>
    <w:rsid w:val="00D65799"/>
    <w:rsid w:val="00D71373"/>
    <w:rsid w:val="00D7281F"/>
    <w:rsid w:val="00D72A82"/>
    <w:rsid w:val="00D8192F"/>
    <w:rsid w:val="00D87739"/>
    <w:rsid w:val="00D90B16"/>
    <w:rsid w:val="00D92C55"/>
    <w:rsid w:val="00D93469"/>
    <w:rsid w:val="00D941B2"/>
    <w:rsid w:val="00DA1BAC"/>
    <w:rsid w:val="00DA4347"/>
    <w:rsid w:val="00DB12D2"/>
    <w:rsid w:val="00DB2EAA"/>
    <w:rsid w:val="00DB437C"/>
    <w:rsid w:val="00DB4682"/>
    <w:rsid w:val="00DB59F2"/>
    <w:rsid w:val="00DB6E83"/>
    <w:rsid w:val="00DB71DF"/>
    <w:rsid w:val="00DC2AAD"/>
    <w:rsid w:val="00DD0562"/>
    <w:rsid w:val="00DD482C"/>
    <w:rsid w:val="00DD6330"/>
    <w:rsid w:val="00DD75C6"/>
    <w:rsid w:val="00DE019A"/>
    <w:rsid w:val="00DE6096"/>
    <w:rsid w:val="00DF104A"/>
    <w:rsid w:val="00DF419F"/>
    <w:rsid w:val="00DF7B6D"/>
    <w:rsid w:val="00E00654"/>
    <w:rsid w:val="00E04C3D"/>
    <w:rsid w:val="00E06396"/>
    <w:rsid w:val="00E12E7B"/>
    <w:rsid w:val="00E14AEA"/>
    <w:rsid w:val="00E17728"/>
    <w:rsid w:val="00E32672"/>
    <w:rsid w:val="00E33249"/>
    <w:rsid w:val="00E33C42"/>
    <w:rsid w:val="00E351CD"/>
    <w:rsid w:val="00E41126"/>
    <w:rsid w:val="00E4234F"/>
    <w:rsid w:val="00E43830"/>
    <w:rsid w:val="00E4582F"/>
    <w:rsid w:val="00E47036"/>
    <w:rsid w:val="00E51D96"/>
    <w:rsid w:val="00E63A86"/>
    <w:rsid w:val="00E63D3C"/>
    <w:rsid w:val="00E63DA0"/>
    <w:rsid w:val="00E66E30"/>
    <w:rsid w:val="00E67AEA"/>
    <w:rsid w:val="00E70EB8"/>
    <w:rsid w:val="00E83FA8"/>
    <w:rsid w:val="00E85677"/>
    <w:rsid w:val="00E9574B"/>
    <w:rsid w:val="00E961DE"/>
    <w:rsid w:val="00EA7A59"/>
    <w:rsid w:val="00EB100F"/>
    <w:rsid w:val="00EB1822"/>
    <w:rsid w:val="00EB358D"/>
    <w:rsid w:val="00EB5CCD"/>
    <w:rsid w:val="00EB76FA"/>
    <w:rsid w:val="00EC09C8"/>
    <w:rsid w:val="00EC2DBC"/>
    <w:rsid w:val="00ED0B13"/>
    <w:rsid w:val="00ED46CA"/>
    <w:rsid w:val="00ED7BF3"/>
    <w:rsid w:val="00EE0B54"/>
    <w:rsid w:val="00EE0CF0"/>
    <w:rsid w:val="00EE3FA0"/>
    <w:rsid w:val="00EE79B1"/>
    <w:rsid w:val="00EF0B9F"/>
    <w:rsid w:val="00EF0BFA"/>
    <w:rsid w:val="00EF11D1"/>
    <w:rsid w:val="00EF42EE"/>
    <w:rsid w:val="00EF4E6C"/>
    <w:rsid w:val="00EF54EE"/>
    <w:rsid w:val="00EF5727"/>
    <w:rsid w:val="00EF607F"/>
    <w:rsid w:val="00F0001E"/>
    <w:rsid w:val="00F020A8"/>
    <w:rsid w:val="00F02980"/>
    <w:rsid w:val="00F02A2D"/>
    <w:rsid w:val="00F03DD8"/>
    <w:rsid w:val="00F06BF1"/>
    <w:rsid w:val="00F06CC0"/>
    <w:rsid w:val="00F06FC2"/>
    <w:rsid w:val="00F078D7"/>
    <w:rsid w:val="00F11C90"/>
    <w:rsid w:val="00F1265B"/>
    <w:rsid w:val="00F1388D"/>
    <w:rsid w:val="00F14DCE"/>
    <w:rsid w:val="00F15AEC"/>
    <w:rsid w:val="00F17928"/>
    <w:rsid w:val="00F20830"/>
    <w:rsid w:val="00F22859"/>
    <w:rsid w:val="00F23804"/>
    <w:rsid w:val="00F23960"/>
    <w:rsid w:val="00F279C2"/>
    <w:rsid w:val="00F3577D"/>
    <w:rsid w:val="00F364A2"/>
    <w:rsid w:val="00F402A3"/>
    <w:rsid w:val="00F42BD0"/>
    <w:rsid w:val="00F4580C"/>
    <w:rsid w:val="00F50FC7"/>
    <w:rsid w:val="00F524DB"/>
    <w:rsid w:val="00F53D9A"/>
    <w:rsid w:val="00F5435F"/>
    <w:rsid w:val="00F5525F"/>
    <w:rsid w:val="00F55826"/>
    <w:rsid w:val="00F573E6"/>
    <w:rsid w:val="00F62FD9"/>
    <w:rsid w:val="00F714C0"/>
    <w:rsid w:val="00F74581"/>
    <w:rsid w:val="00F805B7"/>
    <w:rsid w:val="00F83031"/>
    <w:rsid w:val="00F83F4B"/>
    <w:rsid w:val="00F85A50"/>
    <w:rsid w:val="00F86006"/>
    <w:rsid w:val="00F86766"/>
    <w:rsid w:val="00F9002A"/>
    <w:rsid w:val="00F92D60"/>
    <w:rsid w:val="00F94A6A"/>
    <w:rsid w:val="00FA0E2F"/>
    <w:rsid w:val="00FA156D"/>
    <w:rsid w:val="00FA28C2"/>
    <w:rsid w:val="00FA3874"/>
    <w:rsid w:val="00FA590C"/>
    <w:rsid w:val="00FB6661"/>
    <w:rsid w:val="00FB69E2"/>
    <w:rsid w:val="00FC0618"/>
    <w:rsid w:val="00FC67F1"/>
    <w:rsid w:val="00FC708E"/>
    <w:rsid w:val="00FD4635"/>
    <w:rsid w:val="00FD71D7"/>
    <w:rsid w:val="00FE25EE"/>
    <w:rsid w:val="00FF56B4"/>
    <w:rsid w:val="00FF5CBB"/>
    <w:rsid w:val="00FF6F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BD88AC8"/>
  <w15:chartTrackingRefBased/>
  <w15:docId w15:val="{0A1687F2-68A1-4ECB-9BEA-A1ECF43A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90F"/>
    <w:pPr>
      <w:widowControl w:val="0"/>
      <w:autoSpaceDE w:val="0"/>
      <w:autoSpaceDN w:val="0"/>
      <w:adjustRightInd w:val="0"/>
    </w:pPr>
    <w:rPr>
      <w:szCs w:val="24"/>
    </w:rPr>
  </w:style>
  <w:style w:type="paragraph" w:styleId="Heading1">
    <w:name w:val="heading 1"/>
    <w:basedOn w:val="Normal"/>
    <w:next w:val="Normal"/>
    <w:qFormat/>
    <w:rsid w:val="00D168B0"/>
    <w:pPr>
      <w:keepNext/>
      <w:outlineLvl w:val="0"/>
    </w:pPr>
    <w:rPr>
      <w:b/>
      <w:bCs/>
      <w:sz w:val="24"/>
      <w:u w:val="single"/>
    </w:rPr>
  </w:style>
  <w:style w:type="paragraph" w:styleId="Heading2">
    <w:name w:val="heading 2"/>
    <w:basedOn w:val="Normal"/>
    <w:next w:val="Normal"/>
    <w:qFormat/>
    <w:rsid w:val="00D168B0"/>
    <w:pPr>
      <w:keepNext/>
      <w:tabs>
        <w:tab w:val="left" w:pos="-1440"/>
      </w:tabs>
      <w:ind w:left="720" w:hanging="720"/>
      <w:outlineLvl w:val="1"/>
    </w:pPr>
    <w:rPr>
      <w:b/>
      <w:bCs/>
      <w:sz w:val="24"/>
    </w:rPr>
  </w:style>
  <w:style w:type="paragraph" w:styleId="Heading3">
    <w:name w:val="heading 3"/>
    <w:basedOn w:val="Normal"/>
    <w:next w:val="Normal"/>
    <w:qFormat/>
    <w:rsid w:val="00D168B0"/>
    <w:pPr>
      <w:keepNext/>
      <w:tabs>
        <w:tab w:val="center" w:pos="4680"/>
      </w:tabs>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168B0"/>
  </w:style>
  <w:style w:type="paragraph" w:styleId="BodyTextIndent2">
    <w:name w:val="Body Text Indent 2"/>
    <w:basedOn w:val="Normal"/>
    <w:rsid w:val="001E79E7"/>
    <w:pPr>
      <w:ind w:left="720"/>
    </w:pPr>
    <w:rPr>
      <w:sz w:val="24"/>
    </w:rPr>
  </w:style>
  <w:style w:type="paragraph" w:styleId="BodyTextIndent3">
    <w:name w:val="Body Text Indent 3"/>
    <w:basedOn w:val="Normal"/>
    <w:rsid w:val="00495500"/>
    <w:pPr>
      <w:spacing w:after="120"/>
      <w:ind w:left="360"/>
    </w:pPr>
    <w:rPr>
      <w:sz w:val="16"/>
      <w:szCs w:val="16"/>
    </w:rPr>
  </w:style>
  <w:style w:type="paragraph" w:styleId="Header">
    <w:name w:val="header"/>
    <w:basedOn w:val="Normal"/>
    <w:link w:val="HeaderChar"/>
    <w:rsid w:val="00EF5727"/>
    <w:pPr>
      <w:tabs>
        <w:tab w:val="center" w:pos="4320"/>
        <w:tab w:val="right" w:pos="8640"/>
      </w:tabs>
    </w:pPr>
  </w:style>
  <w:style w:type="paragraph" w:styleId="Footer">
    <w:name w:val="footer"/>
    <w:basedOn w:val="Normal"/>
    <w:link w:val="FooterChar"/>
    <w:uiPriority w:val="99"/>
    <w:rsid w:val="00EF5727"/>
    <w:pPr>
      <w:tabs>
        <w:tab w:val="center" w:pos="4320"/>
        <w:tab w:val="right" w:pos="8640"/>
      </w:tabs>
    </w:pPr>
  </w:style>
  <w:style w:type="paragraph" w:styleId="ListParagraph">
    <w:name w:val="List Paragraph"/>
    <w:basedOn w:val="Normal"/>
    <w:uiPriority w:val="1"/>
    <w:qFormat/>
    <w:rsid w:val="003549AF"/>
    <w:pPr>
      <w:ind w:left="720"/>
      <w:contextualSpacing/>
    </w:pPr>
  </w:style>
  <w:style w:type="character" w:styleId="Hyperlink">
    <w:name w:val="Hyperlink"/>
    <w:uiPriority w:val="99"/>
    <w:unhideWhenUsed/>
    <w:rsid w:val="00341A46"/>
    <w:rPr>
      <w:color w:val="0000FF"/>
      <w:u w:val="single"/>
    </w:rPr>
  </w:style>
  <w:style w:type="paragraph" w:styleId="PlainText">
    <w:name w:val="Plain Text"/>
    <w:basedOn w:val="Normal"/>
    <w:link w:val="PlainTextChar"/>
    <w:uiPriority w:val="99"/>
    <w:unhideWhenUsed/>
    <w:rsid w:val="00341A46"/>
    <w:pPr>
      <w:widowControl/>
      <w:autoSpaceDE/>
      <w:autoSpaceDN/>
      <w:adjustRightInd/>
    </w:pPr>
    <w:rPr>
      <w:rFonts w:ascii="Calibri" w:eastAsia="Calibri" w:hAnsi="Calibri" w:cs="Calibri"/>
      <w:sz w:val="22"/>
      <w:szCs w:val="22"/>
    </w:rPr>
  </w:style>
  <w:style w:type="character" w:customStyle="1" w:styleId="PlainTextChar">
    <w:name w:val="Plain Text Char"/>
    <w:link w:val="PlainText"/>
    <w:uiPriority w:val="99"/>
    <w:rsid w:val="00341A46"/>
    <w:rPr>
      <w:rFonts w:ascii="Calibri" w:eastAsia="Calibri" w:hAnsi="Calibri" w:cs="Calibri"/>
      <w:sz w:val="22"/>
      <w:szCs w:val="22"/>
    </w:rPr>
  </w:style>
  <w:style w:type="character" w:styleId="CommentReference">
    <w:name w:val="annotation reference"/>
    <w:uiPriority w:val="99"/>
    <w:rsid w:val="00315072"/>
    <w:rPr>
      <w:sz w:val="16"/>
    </w:rPr>
  </w:style>
  <w:style w:type="paragraph" w:styleId="CommentText">
    <w:name w:val="annotation text"/>
    <w:basedOn w:val="Normal"/>
    <w:link w:val="CommentTextChar"/>
    <w:rsid w:val="00315072"/>
    <w:pPr>
      <w:autoSpaceDE/>
      <w:autoSpaceDN/>
      <w:adjustRightInd/>
    </w:pPr>
    <w:rPr>
      <w:rFonts w:ascii="Courier" w:hAnsi="Courier"/>
      <w:snapToGrid w:val="0"/>
    </w:rPr>
  </w:style>
  <w:style w:type="character" w:customStyle="1" w:styleId="CommentTextChar">
    <w:name w:val="Comment Text Char"/>
    <w:link w:val="CommentText"/>
    <w:rsid w:val="00315072"/>
    <w:rPr>
      <w:rFonts w:ascii="Courier" w:hAnsi="Courier"/>
      <w:snapToGrid w:val="0"/>
      <w:szCs w:val="24"/>
    </w:rPr>
  </w:style>
  <w:style w:type="paragraph" w:styleId="BalloonText">
    <w:name w:val="Balloon Text"/>
    <w:basedOn w:val="Normal"/>
    <w:link w:val="BalloonTextChar"/>
    <w:rsid w:val="00315072"/>
    <w:rPr>
      <w:rFonts w:ascii="Tahoma" w:hAnsi="Tahoma" w:cs="Tahoma"/>
      <w:sz w:val="16"/>
      <w:szCs w:val="16"/>
    </w:rPr>
  </w:style>
  <w:style w:type="character" w:customStyle="1" w:styleId="BalloonTextChar">
    <w:name w:val="Balloon Text Char"/>
    <w:link w:val="BalloonText"/>
    <w:rsid w:val="00315072"/>
    <w:rPr>
      <w:rFonts w:ascii="Tahoma" w:hAnsi="Tahoma" w:cs="Tahoma"/>
      <w:sz w:val="16"/>
      <w:szCs w:val="16"/>
    </w:rPr>
  </w:style>
  <w:style w:type="paragraph" w:styleId="CommentSubject">
    <w:name w:val="annotation subject"/>
    <w:basedOn w:val="CommentText"/>
    <w:next w:val="CommentText"/>
    <w:link w:val="CommentSubjectChar"/>
    <w:rsid w:val="001C628C"/>
    <w:pPr>
      <w:autoSpaceDE w:val="0"/>
      <w:autoSpaceDN w:val="0"/>
      <w:adjustRightInd w:val="0"/>
    </w:pPr>
    <w:rPr>
      <w:rFonts w:ascii="Times New Roman" w:hAnsi="Times New Roman"/>
      <w:b/>
      <w:bCs/>
      <w:snapToGrid/>
      <w:szCs w:val="20"/>
    </w:rPr>
  </w:style>
  <w:style w:type="character" w:customStyle="1" w:styleId="CommentSubjectChar">
    <w:name w:val="Comment Subject Char"/>
    <w:link w:val="CommentSubject"/>
    <w:rsid w:val="001C628C"/>
    <w:rPr>
      <w:rFonts w:ascii="Courier" w:hAnsi="Courier"/>
      <w:b/>
      <w:bCs/>
      <w:snapToGrid/>
      <w:szCs w:val="24"/>
    </w:rPr>
  </w:style>
  <w:style w:type="paragraph" w:styleId="Revision">
    <w:name w:val="Revision"/>
    <w:hidden/>
    <w:uiPriority w:val="99"/>
    <w:semiHidden/>
    <w:rsid w:val="001C628C"/>
    <w:rPr>
      <w:szCs w:val="24"/>
    </w:rPr>
  </w:style>
  <w:style w:type="character" w:styleId="FollowedHyperlink">
    <w:name w:val="FollowedHyperlink"/>
    <w:rsid w:val="001E765D"/>
    <w:rPr>
      <w:color w:val="954F72"/>
      <w:u w:val="single"/>
    </w:rPr>
  </w:style>
  <w:style w:type="paragraph" w:customStyle="1" w:styleId="Default">
    <w:name w:val="Default"/>
    <w:rsid w:val="00786220"/>
    <w:pPr>
      <w:autoSpaceDE w:val="0"/>
      <w:autoSpaceDN w:val="0"/>
      <w:adjustRightInd w:val="0"/>
    </w:pPr>
    <w:rPr>
      <w:rFonts w:eastAsia="Calibri"/>
      <w:color w:val="000000"/>
      <w:sz w:val="24"/>
      <w:szCs w:val="24"/>
    </w:rPr>
  </w:style>
  <w:style w:type="character" w:customStyle="1" w:styleId="HeaderChar">
    <w:name w:val="Header Char"/>
    <w:link w:val="Header"/>
    <w:uiPriority w:val="99"/>
    <w:rsid w:val="00014B8B"/>
    <w:rPr>
      <w:szCs w:val="24"/>
    </w:rPr>
  </w:style>
  <w:style w:type="character" w:customStyle="1" w:styleId="FooterChar">
    <w:name w:val="Footer Char"/>
    <w:link w:val="Footer"/>
    <w:uiPriority w:val="99"/>
    <w:rsid w:val="00D71373"/>
    <w:rPr>
      <w:szCs w:val="24"/>
    </w:rPr>
  </w:style>
  <w:style w:type="character" w:styleId="UnresolvedMention">
    <w:name w:val="Unresolved Mention"/>
    <w:basedOn w:val="DefaultParagraphFont"/>
    <w:uiPriority w:val="99"/>
    <w:semiHidden/>
    <w:unhideWhenUsed/>
    <w:rsid w:val="00A35D63"/>
    <w:rPr>
      <w:color w:val="605E5C"/>
      <w:shd w:val="clear" w:color="auto" w:fill="E1DFDD"/>
    </w:rPr>
  </w:style>
  <w:style w:type="table" w:styleId="TableGrid">
    <w:name w:val="Table Grid"/>
    <w:basedOn w:val="TableNormal"/>
    <w:rsid w:val="00B402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85E26"/>
    <w:pPr>
      <w:spacing w:after="120"/>
    </w:pPr>
  </w:style>
  <w:style w:type="character" w:customStyle="1" w:styleId="BodyTextChar">
    <w:name w:val="Body Text Char"/>
    <w:basedOn w:val="DefaultParagraphFont"/>
    <w:link w:val="BodyText"/>
    <w:rsid w:val="00C85E26"/>
    <w:rPr>
      <w:szCs w:val="24"/>
    </w:rPr>
  </w:style>
  <w:style w:type="paragraph" w:customStyle="1" w:styleId="TableParagraph">
    <w:name w:val="Table Paragraph"/>
    <w:basedOn w:val="Normal"/>
    <w:uiPriority w:val="1"/>
    <w:qFormat/>
    <w:rsid w:val="00C85E26"/>
    <w:pPr>
      <w:adjustRightInd/>
      <w:spacing w:line="202" w:lineRule="exact"/>
      <w:ind w:left="103"/>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bls.gov/oes/2023/may/oes_nat.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BA37E-EC7D-4DE7-99B7-B3A20322E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307</TotalTime>
  <Pages>7</Pages>
  <Words>2121</Words>
  <Characters>11669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Bryman, Mitch (CMS/OSORA)</cp:lastModifiedBy>
  <cp:revision>47</cp:revision>
  <cp:lastPrinted>2012-03-29T20:03:00Z</cp:lastPrinted>
  <dcterms:created xsi:type="dcterms:W3CDTF">2024-06-11T14:54:00Z</dcterms:created>
  <dcterms:modified xsi:type="dcterms:W3CDTF">2024-09-16T16:45:00Z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