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69C8" w:rsidP="00BC1976" w14:paraId="481B9749" w14:textId="77777777">
      <w:pPr>
        <w:pStyle w:val="BodyText"/>
        <w:spacing w:before="0"/>
        <w:ind w:left="328" w:right="384"/>
        <w:jc w:val="center"/>
      </w:pPr>
      <w:r>
        <w:t xml:space="preserve">Supporting Statement for Paperwork Reduction Act Submissions </w:t>
      </w:r>
    </w:p>
    <w:p w:rsidR="002869C8" w:rsidP="00BC1976" w14:paraId="1ED44F20" w14:textId="77777777">
      <w:pPr>
        <w:pStyle w:val="BodyText"/>
        <w:spacing w:before="0"/>
        <w:ind w:left="328" w:right="384"/>
        <w:jc w:val="center"/>
      </w:pPr>
      <w:r>
        <w:t xml:space="preserve">Annual Report on </w:t>
      </w:r>
      <w:r w:rsidR="00B8034D">
        <w:t xml:space="preserve">§1915(c) </w:t>
      </w:r>
      <w:r>
        <w:t>Home and Community</w:t>
      </w:r>
      <w:r w:rsidR="008D0CF8">
        <w:t>-</w:t>
      </w:r>
      <w:r>
        <w:t>Based</w:t>
      </w:r>
      <w:r w:rsidR="003634B0">
        <w:t xml:space="preserve"> Services</w:t>
      </w:r>
      <w:r>
        <w:t xml:space="preserve"> Waivers and Supporting Regulations in 42 CFR 440.180 and 441.300-310</w:t>
      </w:r>
      <w:r w:rsidR="00BC1976">
        <w:t xml:space="preserve">, </w:t>
      </w:r>
    </w:p>
    <w:p w:rsidR="00F16FBD" w:rsidP="00BC1976" w14:paraId="55CB9B11" w14:textId="378F296A">
      <w:pPr>
        <w:pStyle w:val="BodyText"/>
        <w:spacing w:before="0"/>
        <w:ind w:left="328" w:right="384"/>
        <w:jc w:val="center"/>
      </w:pPr>
      <w:r>
        <w:t>(</w:t>
      </w:r>
      <w:r w:rsidR="00E91CA6">
        <w:t>CMS-372(S)</w:t>
      </w:r>
      <w:r w:rsidR="002236A8">
        <w:t>,</w:t>
      </w:r>
      <w:r w:rsidR="00BC1976">
        <w:t xml:space="preserve"> </w:t>
      </w:r>
      <w:r w:rsidR="00E91CA6">
        <w:t>OMB 0938-0272</w:t>
      </w:r>
      <w:r>
        <w:t>)</w:t>
      </w:r>
    </w:p>
    <w:p w:rsidR="00F16FBD" w:rsidP="000E1504" w14:paraId="7F08B65C" w14:textId="77777777">
      <w:pPr>
        <w:pStyle w:val="BodyText"/>
        <w:spacing w:before="0"/>
        <w:ind w:left="0"/>
      </w:pPr>
    </w:p>
    <w:p w:rsidR="00F16FBD" w:rsidP="000E1504" w14:paraId="0C48E9CD" w14:textId="77777777">
      <w:pPr>
        <w:pStyle w:val="Heading1"/>
        <w:spacing w:before="0"/>
        <w:ind w:left="119"/>
      </w:pPr>
      <w:r>
        <w:t>Background</w:t>
      </w:r>
    </w:p>
    <w:p w:rsidR="00F6413C" w:rsidRPr="00EE5880" w14:paraId="15743F74" w14:textId="78CCB505">
      <w:pPr>
        <w:pStyle w:val="BodyText"/>
        <w:spacing w:before="118"/>
        <w:ind w:left="119" w:right="370"/>
      </w:pPr>
      <w:r w:rsidRPr="00B8034D">
        <w:rPr>
          <w:color w:val="000000"/>
        </w:rPr>
        <w:t xml:space="preserve">Operating a program of services under the authority of </w:t>
      </w:r>
      <w:r w:rsidR="008D0CF8">
        <w:t>§</w:t>
      </w:r>
      <w:r w:rsidRPr="00B8034D">
        <w:rPr>
          <w:color w:val="000000"/>
        </w:rPr>
        <w:t xml:space="preserve">1915(c) of the Social Security Act permits a state to waive certain Medicaid requirements in order to furnish an array of home and community-based services that promote community living for Medicaid beneficiaries and, thereby, avoid institutionalization. Waiver services complement and/or supplement the services that are available through the Medicaid State plan and other federal, state and local public programs as well as the supports that families and communities provide to individuals. </w:t>
      </w:r>
      <w:r w:rsidRPr="00A968F1">
        <w:t xml:space="preserve">The annual waiver information is needed so CMS may verify that state assurances regarding waiver cost-neutrality are met; to determine the impact of the waivers on the type, amount, and cost of services provided under the State plan, and on the recipients' health and welfare in addition to other required quality assurances; and to assess </w:t>
      </w:r>
      <w:r w:rsidRPr="00EE5880">
        <w:t xml:space="preserve">the waiver programs </w:t>
      </w:r>
      <w:r w:rsidRPr="00EE5880" w:rsidR="00945624">
        <w:t>specifically</w:t>
      </w:r>
      <w:r w:rsidRPr="00EE5880">
        <w:t xml:space="preserve"> and </w:t>
      </w:r>
      <w:r w:rsidRPr="00EE5880" w:rsidR="008D0CF8">
        <w:t xml:space="preserve">on </w:t>
      </w:r>
      <w:r w:rsidRPr="00EE5880">
        <w:t>an overall basis.</w:t>
      </w:r>
    </w:p>
    <w:p w:rsidR="001B3472" w:rsidP="00EE5880" w14:paraId="629D6B59" w14:textId="52F066A6">
      <w:pPr>
        <w:pStyle w:val="BodyText"/>
        <w:spacing w:before="118"/>
        <w:ind w:left="119" w:right="370"/>
      </w:pPr>
      <w:r w:rsidRPr="00EE5880">
        <w:t>This 2024 iteration revises</w:t>
      </w:r>
      <w:r w:rsidRPr="00EE5880" w:rsidR="00D35282">
        <w:t xml:space="preserve"> </w:t>
      </w:r>
      <w:r w:rsidRPr="00EE5880" w:rsidR="00C0447F">
        <w:t xml:space="preserve">the </w:t>
      </w:r>
      <w:r w:rsidRPr="00EE5880" w:rsidR="009F1C81">
        <w:t xml:space="preserve">quality section of the </w:t>
      </w:r>
      <w:r w:rsidRPr="00EE5880" w:rsidR="00D35282">
        <w:t>online</w:t>
      </w:r>
      <w:r w:rsidRPr="00EE5880">
        <w:t xml:space="preserve"> </w:t>
      </w:r>
      <w:r w:rsidRPr="00EE5880" w:rsidR="00E91CA6">
        <w:t xml:space="preserve">Form CMS-372(S) </w:t>
      </w:r>
      <w:r w:rsidRPr="00EE5880" w:rsidR="00F71648">
        <w:t>(</w:t>
      </w:r>
      <w:r w:rsidRPr="00EE5880" w:rsidR="00E91CA6">
        <w:t>Annual Report on Home and Community-Based Services (HCBS) waivers</w:t>
      </w:r>
      <w:r w:rsidRPr="00EE5880" w:rsidR="00F71648">
        <w:t>)</w:t>
      </w:r>
      <w:r w:rsidRPr="00EE5880">
        <w:t xml:space="preserve"> </w:t>
      </w:r>
      <w:r w:rsidRPr="00EE5880" w:rsidR="00C0447F">
        <w:t>in the Waiver Management System (WMS)</w:t>
      </w:r>
      <w:r w:rsidRPr="00EE5880" w:rsidR="0045256F">
        <w:t xml:space="preserve">. </w:t>
      </w:r>
      <w:r w:rsidRPr="00EE5880" w:rsidR="00EE5880">
        <w:t>Additionally, t</w:t>
      </w:r>
      <w:r w:rsidRPr="00EE5880" w:rsidR="009751B5">
        <w:t>here are 6 new §1915(c) waivers as compared to the 2021 approved collection of information request.  Therefore</w:t>
      </w:r>
      <w:r w:rsidRPr="00EE5880">
        <w:t xml:space="preserve">, we project </w:t>
      </w:r>
      <w:r w:rsidRPr="00EE5880" w:rsidR="009751B5">
        <w:t xml:space="preserve">an increase of </w:t>
      </w:r>
      <w:r w:rsidRPr="00EE5880" w:rsidR="004B6FE0">
        <w:t>2</w:t>
      </w:r>
      <w:r w:rsidRPr="00EE5880" w:rsidR="008B3637">
        <w:t>64</w:t>
      </w:r>
      <w:r w:rsidRPr="00EE5880" w:rsidR="00E11831">
        <w:t xml:space="preserve"> </w:t>
      </w:r>
      <w:r w:rsidRPr="00EE5880">
        <w:t>hours</w:t>
      </w:r>
      <w:r w:rsidRPr="00EE5880" w:rsidR="009751B5">
        <w:t xml:space="preserve"> </w:t>
      </w:r>
      <w:r w:rsidRPr="00EE5880" w:rsidR="00EE5880">
        <w:t>and</w:t>
      </w:r>
      <w:r w:rsidRPr="00EE5880">
        <w:t xml:space="preserve"> $</w:t>
      </w:r>
      <w:r w:rsidRPr="00EE5880" w:rsidR="00873A7E">
        <w:t>126,323</w:t>
      </w:r>
      <w:r w:rsidRPr="00EE5880">
        <w:t>.</w:t>
      </w:r>
      <w:r w:rsidRPr="00EE5880" w:rsidR="00EE5880">
        <w:t xml:space="preserve"> See section 15 of this Supporting Statement for details.</w:t>
      </w:r>
    </w:p>
    <w:p w:rsidR="00F16FBD" w14:paraId="4C2C2FCD" w14:textId="77777777">
      <w:pPr>
        <w:pStyle w:val="Heading1"/>
        <w:numPr>
          <w:ilvl w:val="0"/>
          <w:numId w:val="3"/>
        </w:numPr>
        <w:tabs>
          <w:tab w:val="left" w:pos="553"/>
        </w:tabs>
        <w:ind w:hanging="432"/>
      </w:pPr>
      <w:r>
        <w:t>Justification</w:t>
      </w:r>
    </w:p>
    <w:p w:rsidR="00F16FBD" w14:paraId="5632B45F" w14:textId="77777777">
      <w:pPr>
        <w:pStyle w:val="ListParagraph"/>
        <w:numPr>
          <w:ilvl w:val="1"/>
          <w:numId w:val="3"/>
        </w:numPr>
        <w:tabs>
          <w:tab w:val="left" w:pos="551"/>
          <w:tab w:val="left" w:pos="552"/>
        </w:tabs>
        <w:spacing w:before="118"/>
        <w:rPr>
          <w:sz w:val="24"/>
        </w:rPr>
      </w:pPr>
      <w:r>
        <w:rPr>
          <w:sz w:val="24"/>
          <w:u w:val="single"/>
        </w:rPr>
        <w:t>Need and Legal Basis</w:t>
      </w:r>
    </w:p>
    <w:p w:rsidR="00F16FBD" w:rsidP="00B8034D" w14:paraId="2E2BEEEC" w14:textId="5D268D65">
      <w:pPr>
        <w:pStyle w:val="BodyText"/>
        <w:spacing w:before="219"/>
        <w:ind w:left="119" w:right="157"/>
      </w:pPr>
      <w:bookmarkStart w:id="0" w:name="_Hlk167958507"/>
      <w:r>
        <w:t>As provided in 42 CFR 441.303, “The agency [state] must furnish CMS with sufficient information to support the assurances required by</w:t>
      </w:r>
      <w:r w:rsidR="00945624">
        <w:t xml:space="preserve"> </w:t>
      </w:r>
      <w:r>
        <w:t xml:space="preserve">§441.302.” It also provides instructions on how to determine the HCBS waiver’s cost neutrality. Whereas §441.302(h) (which implements </w:t>
      </w:r>
      <w:r w:rsidR="00CE5210">
        <w:t xml:space="preserve">section </w:t>
      </w:r>
      <w:r>
        <w:t>1915(c)(2)(E) of the Social Security Act) states: “annually, [the state] will provide CMS with information on the waiver’s impact. The information must be consistent with a data collection plan designed by CMS and must address the waiver’s impact on:</w:t>
      </w:r>
      <w:r w:rsidR="000D129F">
        <w:t xml:space="preserve"> </w:t>
      </w:r>
      <w:r>
        <w:t>(1) The type, amount, and cost of services provided under the state plan; and (2) The health and welfare of recipients.”</w:t>
      </w:r>
    </w:p>
    <w:p w:rsidR="00F16FBD" w:rsidP="000D129F" w14:paraId="60504843" w14:textId="4358032A">
      <w:pPr>
        <w:pStyle w:val="BodyText"/>
        <w:spacing w:before="200"/>
        <w:ind w:left="119" w:right="142"/>
      </w:pPr>
      <w:r>
        <w:t>Additional federal guidance for 1915(c) waiver quality assurances is described in the following resources: Instructions, Technical Guide and Review Criteria for a 1915(c) Home and Community- Based Waiver, version 3.6, January 2019 (Technical Guide v3.6); and the CMS memo on Modifications to Quality Measures and Reporting in 1915(c) Home and Community Based Waivers issued March 12, 2014 (Quality Memo). Per the Technical Guide, the state must assure it will prepare and submit the annual waiver report as a condition of the approval of the waiver.</w:t>
      </w:r>
      <w:r w:rsidR="000D129F">
        <w:t xml:space="preserve">  </w:t>
      </w:r>
      <w:r>
        <w:t xml:space="preserve">Furthermore, it instructs the state to provide evidence from its own oversight activities related to the quality assurances. All evidence obtained by CMS throughout the waiver period is used to make a determination about the state’s performance and is communicated through a draft report. States are provided the opportunity to respond to the draft report and </w:t>
      </w:r>
      <w:r w:rsidR="00663A61">
        <w:t>the response is considered and incorporated into the final report that is</w:t>
      </w:r>
      <w:r>
        <w:t xml:space="preserve"> </w:t>
      </w:r>
      <w:r>
        <w:t xml:space="preserve">issued by CMS to the state at least twelve </w:t>
      </w:r>
      <w:r w:rsidR="000A24BA">
        <w:t>months</w:t>
      </w:r>
      <w:r>
        <w:t xml:space="preserve"> prior to the waiver’s expiration. The final report and Form CMS-372(S) Reports are considered for renewal of the waiver.</w:t>
      </w:r>
    </w:p>
    <w:bookmarkEnd w:id="0"/>
    <w:p w:rsidR="00F16FBD" w14:paraId="02F10C1C" w14:textId="77777777">
      <w:pPr>
        <w:pStyle w:val="ListParagraph"/>
        <w:numPr>
          <w:ilvl w:val="1"/>
          <w:numId w:val="3"/>
        </w:numPr>
        <w:tabs>
          <w:tab w:val="left" w:pos="551"/>
          <w:tab w:val="left" w:pos="552"/>
        </w:tabs>
        <w:spacing w:before="101"/>
        <w:rPr>
          <w:sz w:val="24"/>
        </w:rPr>
      </w:pPr>
      <w:r>
        <w:rPr>
          <w:sz w:val="24"/>
          <w:u w:val="single"/>
        </w:rPr>
        <w:t>Information Users</w:t>
      </w:r>
    </w:p>
    <w:p w:rsidR="00F16FBD" w:rsidP="00AB5E91" w14:paraId="2920A91B" w14:textId="5907A6BE">
      <w:pPr>
        <w:pStyle w:val="BodyText"/>
        <w:spacing w:before="219"/>
        <w:ind w:left="119" w:right="114"/>
      </w:pPr>
      <w:r>
        <w:t>All State Medicaid agencies administering or supervising the administration of HCBS waivers are required to submit an annual Form CMS-372(S) Report in WMS via the 372 reporting tool for each approved waiver. Data must be furnished on a date of service basis. The first report for each waiver must have data from the new or renewed waiver effective date (and, for subsequent reports in the waiver cycle, the anniversary of that date) to the end of one full year thereafter. A separate Form CMS-372(S) Report is required for extension periods granted by CMS while a waiver's renewal is pending if the extension period is not subsumed into the renewal period. A Form CMS-372(S) Report must be submitted for each extension year, plus a separate report for each additional portion of a year during which the waiver operated on a temporary extension that is not subsumed into the renewal. Similarly, if a waiver only operated for part of a year, a Form CMS-372(S) Report for that portion of the year in which the waiver was in effect must be submitted.</w:t>
      </w:r>
    </w:p>
    <w:p w:rsidR="00AB5E91" w:rsidP="00AB5E91" w14:paraId="613276BF" w14:textId="77777777">
      <w:pPr>
        <w:pStyle w:val="BodyText"/>
        <w:spacing w:before="219"/>
        <w:ind w:left="119" w:right="114"/>
        <w:rPr>
          <w:sz w:val="26"/>
        </w:rPr>
      </w:pPr>
    </w:p>
    <w:p w:rsidR="00F16FBD" w14:paraId="65042F39" w14:textId="22E123F6">
      <w:pPr>
        <w:pStyle w:val="Heading1"/>
        <w:spacing w:before="61"/>
      </w:pPr>
      <w:r>
        <w:t>Online 372 Reporting Tool</w:t>
      </w:r>
    </w:p>
    <w:p w:rsidR="00F16FBD" w14:paraId="6C94834F" w14:textId="03A2B7F3">
      <w:pPr>
        <w:pStyle w:val="BodyText"/>
        <w:spacing w:before="196"/>
        <w:ind w:left="119" w:right="183"/>
      </w:pPr>
      <w:r>
        <w:t xml:space="preserve">States have six months after the end of each waiver year to report on quality assurance requirements and an additional 12 months for financial reporting. As a result, the online 372 reporting tool includes quality assurance information for the most recent waiver year and financial information for the prior waiver year. The tool currently only allows selection of one time period for the data and quality sections resulting in waiver year begin and end dates aligning with the financial data section or 18 months after the end of the waiver year. Upon </w:t>
      </w:r>
      <w:r w:rsidR="005F554B">
        <w:t>OMB’s approval</w:t>
      </w:r>
      <w:r>
        <w:t xml:space="preserve"> of this </w:t>
      </w:r>
      <w:r w:rsidR="005F554B">
        <w:t>2024 collection of information request</w:t>
      </w:r>
      <w:r>
        <w:t>, the WMS online 372 reporting tool will be programmed to allow separate time periods to be entered for the data and quality sections.</w:t>
      </w:r>
    </w:p>
    <w:p w:rsidR="00F16FBD" w14:paraId="187E533B" w14:textId="000884D4">
      <w:pPr>
        <w:pStyle w:val="BodyText"/>
        <w:spacing w:before="101"/>
        <w:ind w:right="336"/>
      </w:pPr>
      <w:r>
        <w:t xml:space="preserve">A review of the </w:t>
      </w:r>
      <w:r w:rsidR="00AB5E91">
        <w:t xml:space="preserve">report </w:t>
      </w:r>
      <w:r>
        <w:t>information is completed by CMS. Follow-up with the state is conducted when there are significant variances from the estimates approved in the waiver to the actual amounts in the report. CMS ensures the waiver continues to meet the cost neutrality requirement</w:t>
      </w:r>
      <w:r w:rsidR="004F6E01">
        <w:t xml:space="preserve"> in §441.301</w:t>
      </w:r>
      <w:r>
        <w:t xml:space="preserve"> by comparing actual HCBS waiver and state plan expenditures to the estimated sum of institutional cost</w:t>
      </w:r>
      <w:r w:rsidR="000D129F">
        <w:t>,</w:t>
      </w:r>
      <w:r>
        <w:t xml:space="preserve"> plus associated state plan expenditures for the waiver population served. CMS also reviews the quality information and follow</w:t>
      </w:r>
      <w:r w:rsidR="00AB5E91">
        <w:t xml:space="preserve">s </w:t>
      </w:r>
      <w:r>
        <w:t>up with the state when there is missing or incomplete information. A final determination of accepting or not accepting the report is issued to the state.</w:t>
      </w:r>
    </w:p>
    <w:p w:rsidR="00F16FBD" w14:paraId="414BB6B4" w14:textId="42690107">
      <w:pPr>
        <w:pStyle w:val="Heading1"/>
        <w:spacing w:before="223"/>
      </w:pPr>
      <w:r>
        <w:t>Form CMS-372(S) Report Utilization</w:t>
      </w:r>
    </w:p>
    <w:p w:rsidR="00F16FBD" w14:paraId="10AD010B" w14:textId="3BBEA564">
      <w:pPr>
        <w:pStyle w:val="BodyText"/>
        <w:spacing w:before="96"/>
        <w:ind w:right="183"/>
      </w:pPr>
      <w:r>
        <w:t xml:space="preserve">The state must have </w:t>
      </w:r>
      <w:r w:rsidR="00945624">
        <w:t>submitted,</w:t>
      </w:r>
      <w:r>
        <w:t xml:space="preserve"> and CMS accepted the required CMS-372(S) </w:t>
      </w:r>
      <w:r w:rsidR="00AB5E91">
        <w:t>r</w:t>
      </w:r>
      <w:r>
        <w:t>eports. The annual waiver report(s) must demonstrate that the waiver has been cost-neutral and must also provide information on the quality of services. Cost neutrality and assuring health and welfare are fundamental statutory and regulatory requirements. Failure to prepare and submit acceptable and timely annual waiver reports can jeopardize continuation of the waiver and/or delay renewal of the waiver.</w:t>
      </w:r>
    </w:p>
    <w:p w:rsidR="00F16FBD" w14:paraId="580DBAD1" w14:textId="4F575CBC">
      <w:pPr>
        <w:pStyle w:val="BodyText"/>
        <w:ind w:left="119" w:right="225"/>
      </w:pPr>
      <w:r>
        <w:t xml:space="preserve">The report will be used by CMS to compare actual data to the approved waiver estimates and, </w:t>
      </w:r>
      <w:r>
        <w:t xml:space="preserve">in conjunction with the waiver compliance review reports, the information provided will be compared to that in the Transformed Medicaid Statistical Information System (T-MSIS CMS-R-284, OMB number 0938-0345) report and Federal Financial Participation (FFP) claimed on a state’s Quarterly Expenditure Report (Form CMS-64, OMB number 0938-1265), to determine whether to continue the state’s HCBS waiver. States’ estimates of cost and utilization for renewal purposes are based upon the data compiled in the 372 </w:t>
      </w:r>
      <w:r w:rsidR="006515BC">
        <w:t>r</w:t>
      </w:r>
      <w:r>
        <w:t>eports.</w:t>
      </w:r>
    </w:p>
    <w:p w:rsidR="00F16FBD" w14:paraId="21C4CA21" w14:textId="09C819D6">
      <w:pPr>
        <w:pStyle w:val="BodyText"/>
        <w:spacing w:before="121"/>
        <w:ind w:left="119" w:right="225"/>
      </w:pPr>
      <w:r>
        <w:t>Additionally,</w:t>
      </w:r>
      <w:r w:rsidR="00E91CA6">
        <w:t xml:space="preserve"> once per </w:t>
      </w:r>
      <w:r w:rsidR="006515BC">
        <w:t xml:space="preserve">3 or 5-year </w:t>
      </w:r>
      <w:r w:rsidR="00E91CA6">
        <w:t xml:space="preserve">waiver cycle, CMS drafts a quality review report utilizing the 372 </w:t>
      </w:r>
      <w:r w:rsidR="006515BC">
        <w:t>r</w:t>
      </w:r>
      <w:r w:rsidR="00E91CA6">
        <w:t xml:space="preserve">eport quality information and other data/evidence gathered and requested during the waiver cycle to determine if the state meets the quality assurances for the waiver. The draft report is provided to the state for review with an opportunity to respond before it is finalized by CMS. A final report is issued to the state at least 12 </w:t>
      </w:r>
      <w:r>
        <w:t>months</w:t>
      </w:r>
      <w:r w:rsidR="00E91CA6">
        <w:t xml:space="preserve"> prior to the waiver’s expiration.</w:t>
      </w:r>
    </w:p>
    <w:p w:rsidR="00F16FBD" w14:paraId="158B248A" w14:textId="77777777">
      <w:pPr>
        <w:pStyle w:val="ListParagraph"/>
        <w:numPr>
          <w:ilvl w:val="1"/>
          <w:numId w:val="3"/>
        </w:numPr>
        <w:tabs>
          <w:tab w:val="left" w:pos="551"/>
          <w:tab w:val="left" w:pos="552"/>
        </w:tabs>
        <w:rPr>
          <w:sz w:val="24"/>
        </w:rPr>
      </w:pPr>
      <w:r>
        <w:rPr>
          <w:sz w:val="24"/>
          <w:u w:val="single"/>
        </w:rPr>
        <w:t>Use of Information</w:t>
      </w:r>
      <w:r>
        <w:rPr>
          <w:spacing w:val="-2"/>
          <w:sz w:val="24"/>
          <w:u w:val="single"/>
        </w:rPr>
        <w:t xml:space="preserve"> </w:t>
      </w:r>
      <w:r>
        <w:rPr>
          <w:sz w:val="24"/>
          <w:u w:val="single"/>
        </w:rPr>
        <w:t>Technology</w:t>
      </w:r>
    </w:p>
    <w:p w:rsidR="00F16FBD" w:rsidP="00E6118D" w14:paraId="16057FBA" w14:textId="6C682837">
      <w:pPr>
        <w:pStyle w:val="BodyText"/>
      </w:pPr>
      <w:r>
        <w:t>States report information concerning the numbers of Medicaid beneficiaries receiving waiver services, the type of services provided and the costs of those services. The information is usually taken from State Medicaid agency data processing systems. This data is summarized and submitted to CMS through the online 372 reporting tool. Data for the quality performance</w:t>
      </w:r>
      <w:r w:rsidR="00E6118D">
        <w:t xml:space="preserve"> </w:t>
      </w:r>
      <w:r>
        <w:t>measures are gathered by the state from its own information technology mechanisms.</w:t>
      </w:r>
    </w:p>
    <w:p w:rsidR="00F16FBD" w14:paraId="6C01C1E2" w14:textId="77777777">
      <w:pPr>
        <w:pStyle w:val="ListParagraph"/>
        <w:numPr>
          <w:ilvl w:val="1"/>
          <w:numId w:val="3"/>
        </w:numPr>
        <w:tabs>
          <w:tab w:val="left" w:pos="551"/>
          <w:tab w:val="left" w:pos="552"/>
        </w:tabs>
        <w:rPr>
          <w:sz w:val="24"/>
        </w:rPr>
      </w:pPr>
      <w:r>
        <w:rPr>
          <w:sz w:val="24"/>
          <w:u w:val="single"/>
        </w:rPr>
        <w:t>Duplication of</w:t>
      </w:r>
      <w:r>
        <w:rPr>
          <w:spacing w:val="-4"/>
          <w:sz w:val="24"/>
          <w:u w:val="single"/>
        </w:rPr>
        <w:t xml:space="preserve"> </w:t>
      </w:r>
      <w:r>
        <w:rPr>
          <w:sz w:val="24"/>
          <w:u w:val="single"/>
        </w:rPr>
        <w:t>Efforts</w:t>
      </w:r>
    </w:p>
    <w:p w:rsidR="00F16FBD" w14:paraId="1A77E79A" w14:textId="6B7472FF">
      <w:pPr>
        <w:pStyle w:val="BodyText"/>
        <w:ind w:right="301"/>
      </w:pPr>
      <w:r>
        <w:t>The data captured on the Form CMS 372(S) Reports are not duplicated through any other public information collection. The form CMS-64 (OMB control number 0938-1265) cannot be used in lieu of the Form CMS-372(S) Report. The CMS-64 is the financial report which the states submit quarterly to request claims for FFP.</w:t>
      </w:r>
      <w:r w:rsidR="004F6E01">
        <w:t xml:space="preserve">  Additionally, T-MSIS </w:t>
      </w:r>
      <w:r w:rsidR="003212AB">
        <w:t xml:space="preserve">(CMS-R-284, OMN 0938-0345) </w:t>
      </w:r>
      <w:r w:rsidR="003A673A">
        <w:t>cannot be used because unduplicated section 1915(c) waiver participants</w:t>
      </w:r>
      <w:r w:rsidR="006515BC">
        <w:t xml:space="preserve"> per service cannot be identified</w:t>
      </w:r>
      <w:r w:rsidR="003A673A">
        <w:t>.</w:t>
      </w:r>
    </w:p>
    <w:p w:rsidR="00F16FBD" w14:paraId="04FCB306" w14:textId="77777777">
      <w:pPr>
        <w:pStyle w:val="ListParagraph"/>
        <w:numPr>
          <w:ilvl w:val="1"/>
          <w:numId w:val="3"/>
        </w:numPr>
        <w:tabs>
          <w:tab w:val="left" w:pos="551"/>
          <w:tab w:val="left" w:pos="552"/>
        </w:tabs>
        <w:rPr>
          <w:sz w:val="24"/>
        </w:rPr>
      </w:pPr>
      <w:r>
        <w:rPr>
          <w:sz w:val="24"/>
          <w:u w:val="single"/>
        </w:rPr>
        <w:t>Small</w:t>
      </w:r>
      <w:r>
        <w:rPr>
          <w:spacing w:val="-1"/>
          <w:sz w:val="24"/>
          <w:u w:val="single"/>
        </w:rPr>
        <w:t xml:space="preserve"> </w:t>
      </w:r>
      <w:r>
        <w:rPr>
          <w:sz w:val="24"/>
          <w:u w:val="single"/>
        </w:rPr>
        <w:t>Businesses</w:t>
      </w:r>
    </w:p>
    <w:p w:rsidR="00F16FBD" w14:paraId="6D6CA9DF" w14:textId="77777777">
      <w:pPr>
        <w:pStyle w:val="BodyText"/>
      </w:pPr>
      <w:r>
        <w:t>This collection of information does not involve small businesses or other small entities. Rather, information is collected from Medicaid State agencies.</w:t>
      </w:r>
    </w:p>
    <w:p w:rsidR="00F16FBD" w14:paraId="7CBDAECB" w14:textId="77777777">
      <w:pPr>
        <w:pStyle w:val="ListParagraph"/>
        <w:numPr>
          <w:ilvl w:val="1"/>
          <w:numId w:val="3"/>
        </w:numPr>
        <w:tabs>
          <w:tab w:val="left" w:pos="551"/>
          <w:tab w:val="left" w:pos="552"/>
        </w:tabs>
        <w:rPr>
          <w:sz w:val="24"/>
        </w:rPr>
      </w:pPr>
      <w:r>
        <w:rPr>
          <w:sz w:val="24"/>
          <w:u w:val="single"/>
        </w:rPr>
        <w:t>Less Frequent</w:t>
      </w:r>
      <w:r>
        <w:rPr>
          <w:spacing w:val="-1"/>
          <w:sz w:val="24"/>
          <w:u w:val="single"/>
        </w:rPr>
        <w:t xml:space="preserve"> </w:t>
      </w:r>
      <w:r>
        <w:rPr>
          <w:sz w:val="24"/>
          <w:u w:val="single"/>
        </w:rPr>
        <w:t>Collection</w:t>
      </w:r>
    </w:p>
    <w:p w:rsidR="00F16FBD" w14:paraId="13E79969" w14:textId="246AE48A">
      <w:pPr>
        <w:pStyle w:val="BodyText"/>
        <w:ind w:left="119" w:right="575"/>
      </w:pPr>
      <w:r>
        <w:t>Currently, 4</w:t>
      </w:r>
      <w:r w:rsidR="007B5597">
        <w:t>6</w:t>
      </w:r>
      <w:r>
        <w:t xml:space="preserve"> states and the District of Columbia are required to submit the Form CMS-372(S) Report on an annual basis</w:t>
      </w:r>
      <w:r w:rsidR="006515BC">
        <w:t xml:space="preserve"> for their active §1915(c) waivers</w:t>
      </w:r>
      <w:r>
        <w:t>. A separate form is required for each of the 25</w:t>
      </w:r>
      <w:r w:rsidR="007B5597">
        <w:t>9</w:t>
      </w:r>
      <w:r w:rsidR="006515BC">
        <w:t xml:space="preserve"> approved</w:t>
      </w:r>
      <w:r>
        <w:t xml:space="preserve"> </w:t>
      </w:r>
      <w:r w:rsidR="006515BC">
        <w:t>waivers</w:t>
      </w:r>
      <w:r>
        <w:t xml:space="preserve"> currently in operation</w:t>
      </w:r>
      <w:r w:rsidR="006515BC">
        <w:t xml:space="preserve"> nationwide</w:t>
      </w:r>
      <w:r>
        <w:t>.</w:t>
      </w:r>
    </w:p>
    <w:p w:rsidR="00F16FBD" w14:paraId="36F507C5" w14:textId="77777777">
      <w:pPr>
        <w:pStyle w:val="ListParagraph"/>
        <w:numPr>
          <w:ilvl w:val="1"/>
          <w:numId w:val="3"/>
        </w:numPr>
        <w:tabs>
          <w:tab w:val="left" w:pos="551"/>
          <w:tab w:val="left" w:pos="552"/>
        </w:tabs>
        <w:rPr>
          <w:sz w:val="24"/>
        </w:rPr>
      </w:pPr>
      <w:r>
        <w:rPr>
          <w:sz w:val="24"/>
          <w:u w:val="single"/>
        </w:rPr>
        <w:t>Special</w:t>
      </w:r>
      <w:r>
        <w:rPr>
          <w:spacing w:val="-1"/>
          <w:sz w:val="24"/>
          <w:u w:val="single"/>
        </w:rPr>
        <w:t xml:space="preserve"> </w:t>
      </w:r>
      <w:r>
        <w:rPr>
          <w:sz w:val="24"/>
          <w:u w:val="single"/>
        </w:rPr>
        <w:t>Circumstances</w:t>
      </w:r>
    </w:p>
    <w:p w:rsidR="00F16FBD" w14:paraId="7137D400" w14:textId="77777777">
      <w:pPr>
        <w:pStyle w:val="BodyText"/>
        <w:ind w:right="170"/>
      </w:pPr>
      <w:r>
        <w:t>There are no special circumstances that would require an information collection to be conducted in a manner that requires respondents to:</w:t>
      </w:r>
    </w:p>
    <w:p w:rsidR="00F16FBD" w14:paraId="05CCF020" w14:textId="77777777">
      <w:pPr>
        <w:pStyle w:val="ListParagraph"/>
        <w:numPr>
          <w:ilvl w:val="2"/>
          <w:numId w:val="3"/>
        </w:numPr>
        <w:tabs>
          <w:tab w:val="left" w:pos="839"/>
          <w:tab w:val="left" w:pos="840"/>
        </w:tabs>
        <w:spacing w:line="293" w:lineRule="exact"/>
        <w:rPr>
          <w:sz w:val="24"/>
        </w:rPr>
      </w:pPr>
      <w:r>
        <w:rPr>
          <w:sz w:val="24"/>
        </w:rPr>
        <w:t>Report information to the agency more often than</w:t>
      </w:r>
      <w:r>
        <w:rPr>
          <w:spacing w:val="-4"/>
          <w:sz w:val="24"/>
        </w:rPr>
        <w:t xml:space="preserve"> </w:t>
      </w:r>
      <w:r>
        <w:rPr>
          <w:sz w:val="24"/>
        </w:rPr>
        <w:t>quarterly;</w:t>
      </w:r>
    </w:p>
    <w:p w:rsidR="00F16FBD" w14:paraId="2224B34D" w14:textId="77777777">
      <w:pPr>
        <w:pStyle w:val="ListParagraph"/>
        <w:numPr>
          <w:ilvl w:val="2"/>
          <w:numId w:val="3"/>
        </w:numPr>
        <w:tabs>
          <w:tab w:val="left" w:pos="839"/>
          <w:tab w:val="left" w:pos="840"/>
        </w:tabs>
        <w:spacing w:before="0"/>
        <w:ind w:right="208"/>
        <w:rPr>
          <w:sz w:val="24"/>
        </w:rPr>
      </w:pPr>
      <w:r>
        <w:rPr>
          <w:sz w:val="24"/>
        </w:rPr>
        <w:t>Prepare a written response to a collection of information in fewer than 30 days after receipt of</w:t>
      </w:r>
      <w:r>
        <w:rPr>
          <w:spacing w:val="-1"/>
          <w:sz w:val="24"/>
        </w:rPr>
        <w:t xml:space="preserve"> </w:t>
      </w:r>
      <w:r>
        <w:rPr>
          <w:sz w:val="24"/>
        </w:rPr>
        <w:t>it;</w:t>
      </w:r>
    </w:p>
    <w:p w:rsidR="00F16FBD" w14:paraId="74FF42DF" w14:textId="77777777">
      <w:pPr>
        <w:pStyle w:val="ListParagraph"/>
        <w:numPr>
          <w:ilvl w:val="2"/>
          <w:numId w:val="3"/>
        </w:numPr>
        <w:tabs>
          <w:tab w:val="left" w:pos="839"/>
          <w:tab w:val="left" w:pos="840"/>
        </w:tabs>
        <w:spacing w:before="0" w:line="293" w:lineRule="exact"/>
        <w:rPr>
          <w:sz w:val="24"/>
        </w:rPr>
      </w:pPr>
      <w:r>
        <w:rPr>
          <w:sz w:val="24"/>
        </w:rPr>
        <w:t>Submit more than an original and two copies of any</w:t>
      </w:r>
      <w:r>
        <w:rPr>
          <w:spacing w:val="-5"/>
          <w:sz w:val="24"/>
        </w:rPr>
        <w:t xml:space="preserve"> </w:t>
      </w:r>
      <w:r>
        <w:rPr>
          <w:sz w:val="24"/>
        </w:rPr>
        <w:t>document;</w:t>
      </w:r>
    </w:p>
    <w:p w:rsidR="00F16FBD" w14:paraId="7FB56429" w14:textId="77777777">
      <w:pPr>
        <w:pStyle w:val="ListParagraph"/>
        <w:numPr>
          <w:ilvl w:val="2"/>
          <w:numId w:val="3"/>
        </w:numPr>
        <w:tabs>
          <w:tab w:val="left" w:pos="839"/>
          <w:tab w:val="left" w:pos="840"/>
        </w:tabs>
        <w:spacing w:before="0"/>
        <w:ind w:right="926"/>
        <w:rPr>
          <w:sz w:val="24"/>
        </w:rPr>
      </w:pPr>
      <w:r>
        <w:rPr>
          <w:sz w:val="24"/>
        </w:rPr>
        <w:t>Retain records, other than health, medical, government contract, grant-in-aid, or tax records for more than three</w:t>
      </w:r>
      <w:r>
        <w:rPr>
          <w:spacing w:val="-2"/>
          <w:sz w:val="24"/>
        </w:rPr>
        <w:t xml:space="preserve"> </w:t>
      </w:r>
      <w:r>
        <w:rPr>
          <w:sz w:val="24"/>
        </w:rPr>
        <w:t>years;</w:t>
      </w:r>
    </w:p>
    <w:p w:rsidR="00F16FBD" w14:paraId="6CD08289" w14:textId="77777777">
      <w:pPr>
        <w:pStyle w:val="ListParagraph"/>
        <w:numPr>
          <w:ilvl w:val="2"/>
          <w:numId w:val="3"/>
        </w:numPr>
        <w:tabs>
          <w:tab w:val="left" w:pos="839"/>
          <w:tab w:val="left" w:pos="840"/>
        </w:tabs>
        <w:spacing w:before="0"/>
        <w:ind w:right="180"/>
        <w:rPr>
          <w:sz w:val="24"/>
        </w:rPr>
      </w:pPr>
      <w:r>
        <w:rPr>
          <w:sz w:val="24"/>
        </w:rPr>
        <w:t>Collect data in connection with a statistical survey that is not designed to produce valid and reliable results that can be generalized to the universe of</w:t>
      </w:r>
      <w:r>
        <w:rPr>
          <w:spacing w:val="-6"/>
          <w:sz w:val="24"/>
        </w:rPr>
        <w:t xml:space="preserve"> </w:t>
      </w:r>
      <w:r>
        <w:rPr>
          <w:sz w:val="24"/>
        </w:rPr>
        <w:t>study;</w:t>
      </w:r>
    </w:p>
    <w:p w:rsidR="00F16FBD" w:rsidP="00B8034D" w14:paraId="162CB589" w14:textId="77777777">
      <w:pPr>
        <w:pStyle w:val="ListParagraph"/>
        <w:numPr>
          <w:ilvl w:val="2"/>
          <w:numId w:val="3"/>
        </w:numPr>
        <w:tabs>
          <w:tab w:val="left" w:pos="839"/>
          <w:tab w:val="left" w:pos="840"/>
        </w:tabs>
        <w:spacing w:before="0"/>
        <w:ind w:left="835"/>
        <w:rPr>
          <w:sz w:val="24"/>
        </w:rPr>
      </w:pPr>
      <w:r>
        <w:rPr>
          <w:sz w:val="24"/>
        </w:rPr>
        <w:t>Use a statistical data classification that has not been reviewed and approved by</w:t>
      </w:r>
      <w:r>
        <w:rPr>
          <w:spacing w:val="-10"/>
          <w:sz w:val="24"/>
        </w:rPr>
        <w:t xml:space="preserve"> </w:t>
      </w:r>
      <w:r>
        <w:rPr>
          <w:sz w:val="24"/>
        </w:rPr>
        <w:t>OMB;</w:t>
      </w:r>
    </w:p>
    <w:p w:rsidR="00F16FBD" w14:paraId="4C3D14AC" w14:textId="77777777">
      <w:pPr>
        <w:pStyle w:val="ListParagraph"/>
        <w:numPr>
          <w:ilvl w:val="2"/>
          <w:numId w:val="3"/>
        </w:numPr>
        <w:tabs>
          <w:tab w:val="left" w:pos="839"/>
          <w:tab w:val="left" w:pos="840"/>
        </w:tabs>
        <w:spacing w:before="0"/>
        <w:ind w:right="355"/>
        <w:rPr>
          <w:sz w:val="24"/>
        </w:rPr>
      </w:pPr>
      <w:r>
        <w:rPr>
          <w:sz w:val="24"/>
        </w:rPr>
        <w:t>Include a pledge of confidentiality that is not supported by authority established in</w:t>
      </w:r>
      <w:r>
        <w:rPr>
          <w:spacing w:val="-24"/>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 use;</w:t>
      </w:r>
      <w:r>
        <w:rPr>
          <w:spacing w:val="-2"/>
          <w:sz w:val="24"/>
        </w:rPr>
        <w:t xml:space="preserve"> </w:t>
      </w:r>
      <w:r>
        <w:rPr>
          <w:sz w:val="24"/>
        </w:rPr>
        <w:t>or</w:t>
      </w:r>
    </w:p>
    <w:p w:rsidR="00F16FBD" w14:paraId="5E4EE466" w14:textId="77777777">
      <w:pPr>
        <w:pStyle w:val="ListParagraph"/>
        <w:numPr>
          <w:ilvl w:val="2"/>
          <w:numId w:val="3"/>
        </w:numPr>
        <w:tabs>
          <w:tab w:val="left" w:pos="839"/>
          <w:tab w:val="left" w:pos="840"/>
        </w:tabs>
        <w:spacing w:before="0"/>
        <w:ind w:right="363"/>
        <w:rPr>
          <w:sz w:val="24"/>
        </w:rPr>
      </w:pPr>
      <w:r>
        <w:rPr>
          <w:sz w:val="24"/>
        </w:rPr>
        <w:t>Submit proprietary trade secret, or other confidential information unless the agency can demonstrate that it has instituted procedures to protect the information's confidentiality to the extent permitted by</w:t>
      </w:r>
      <w:r>
        <w:rPr>
          <w:spacing w:val="-1"/>
          <w:sz w:val="24"/>
        </w:rPr>
        <w:t xml:space="preserve"> </w:t>
      </w:r>
      <w:r>
        <w:rPr>
          <w:sz w:val="24"/>
        </w:rPr>
        <w:t>law.</w:t>
      </w:r>
    </w:p>
    <w:p w:rsidR="00A51D2A" w:rsidRPr="00274968" w:rsidP="00853DE7" w14:paraId="3CE35B4D" w14:textId="77777777">
      <w:pPr>
        <w:pStyle w:val="ListParagraph"/>
        <w:numPr>
          <w:ilvl w:val="1"/>
          <w:numId w:val="3"/>
        </w:numPr>
        <w:tabs>
          <w:tab w:val="left" w:pos="551"/>
          <w:tab w:val="left" w:pos="552"/>
        </w:tabs>
        <w:spacing w:before="116"/>
        <w:rPr>
          <w:sz w:val="24"/>
        </w:rPr>
      </w:pPr>
      <w:r w:rsidRPr="00274968">
        <w:rPr>
          <w:sz w:val="24"/>
          <w:u w:val="single"/>
        </w:rPr>
        <w:t>Federal Register/Outside</w:t>
      </w:r>
      <w:r w:rsidRPr="00274968">
        <w:rPr>
          <w:spacing w:val="-1"/>
          <w:sz w:val="24"/>
          <w:u w:val="single"/>
        </w:rPr>
        <w:t xml:space="preserve"> </w:t>
      </w:r>
      <w:r w:rsidRPr="00274968">
        <w:rPr>
          <w:sz w:val="24"/>
          <w:u w:val="single"/>
        </w:rPr>
        <w:t>Consultation</w:t>
      </w:r>
    </w:p>
    <w:p w:rsidR="00A51D2A" w:rsidP="00A51D2A" w14:paraId="39889F46" w14:textId="4E361BE9">
      <w:pPr>
        <w:tabs>
          <w:tab w:val="left" w:pos="551"/>
          <w:tab w:val="left" w:pos="552"/>
        </w:tabs>
        <w:spacing w:before="116"/>
        <w:ind w:left="120"/>
        <w:rPr>
          <w:sz w:val="24"/>
          <w:szCs w:val="24"/>
        </w:rPr>
      </w:pPr>
      <w:r w:rsidRPr="00A51D2A">
        <w:rPr>
          <w:sz w:val="24"/>
          <w:szCs w:val="24"/>
        </w:rPr>
        <w:t xml:space="preserve">The 60-day notice published in the Federal Register on </w:t>
      </w:r>
      <w:r w:rsidR="004E34AD">
        <w:rPr>
          <w:sz w:val="24"/>
          <w:szCs w:val="24"/>
        </w:rPr>
        <w:t xml:space="preserve">June 10, 2024 (89 FR </w:t>
      </w:r>
      <w:r w:rsidRPr="004E34AD" w:rsidR="004E34AD">
        <w:rPr>
          <w:sz w:val="24"/>
          <w:szCs w:val="24"/>
        </w:rPr>
        <w:t>48899</w:t>
      </w:r>
      <w:r w:rsidR="004E34AD">
        <w:rPr>
          <w:sz w:val="24"/>
          <w:szCs w:val="24"/>
        </w:rPr>
        <w:t>)</w:t>
      </w:r>
      <w:r w:rsidRPr="00A51D2A">
        <w:rPr>
          <w:sz w:val="24"/>
          <w:szCs w:val="24"/>
        </w:rPr>
        <w:t>.</w:t>
      </w:r>
      <w:r w:rsidR="004E34AD">
        <w:rPr>
          <w:sz w:val="24"/>
          <w:szCs w:val="24"/>
        </w:rPr>
        <w:t xml:space="preserve"> Comments were received. A summary of the comments and our response are attached to this collection of information request.</w:t>
      </w:r>
    </w:p>
    <w:p w:rsidR="004E34AD" w:rsidP="00547770" w14:paraId="1329A024" w14:textId="34FAE949">
      <w:pPr>
        <w:tabs>
          <w:tab w:val="left" w:pos="551"/>
          <w:tab w:val="left" w:pos="552"/>
        </w:tabs>
        <w:spacing w:before="116"/>
        <w:ind w:left="120"/>
        <w:rPr>
          <w:sz w:val="24"/>
          <w:szCs w:val="24"/>
        </w:rPr>
      </w:pPr>
      <w:r>
        <w:rPr>
          <w:sz w:val="24"/>
          <w:szCs w:val="24"/>
        </w:rPr>
        <w:t>Our 3</w:t>
      </w:r>
      <w:r w:rsidRPr="00A51D2A">
        <w:rPr>
          <w:sz w:val="24"/>
          <w:szCs w:val="24"/>
        </w:rPr>
        <w:t xml:space="preserve">0-day notice published </w:t>
      </w:r>
      <w:r>
        <w:rPr>
          <w:sz w:val="24"/>
          <w:szCs w:val="24"/>
        </w:rPr>
        <w:t xml:space="preserve">on September 19, 2024 (89 FR </w:t>
      </w:r>
      <w:r w:rsidRPr="00B95F8C">
        <w:rPr>
          <w:sz w:val="24"/>
          <w:szCs w:val="24"/>
        </w:rPr>
        <w:t>76843</w:t>
      </w:r>
      <w:r>
        <w:rPr>
          <w:sz w:val="24"/>
          <w:szCs w:val="24"/>
        </w:rPr>
        <w:t xml:space="preserve">). </w:t>
      </w:r>
      <w:r w:rsidRPr="00547770" w:rsidR="00547770">
        <w:rPr>
          <w:sz w:val="24"/>
          <w:szCs w:val="24"/>
        </w:rPr>
        <w:t>Comments must be received by October 21.</w:t>
      </w:r>
    </w:p>
    <w:p w:rsidR="00F16FBD" w14:paraId="5F1AF2D4" w14:textId="0B14D6FF">
      <w:pPr>
        <w:pStyle w:val="ListParagraph"/>
        <w:numPr>
          <w:ilvl w:val="1"/>
          <w:numId w:val="3"/>
        </w:numPr>
        <w:tabs>
          <w:tab w:val="left" w:pos="551"/>
          <w:tab w:val="left" w:pos="552"/>
        </w:tabs>
        <w:rPr>
          <w:sz w:val="24"/>
        </w:rPr>
      </w:pPr>
      <w:r>
        <w:rPr>
          <w:sz w:val="24"/>
          <w:u w:val="single"/>
        </w:rPr>
        <w:t>Payments/Gifts to Respondents</w:t>
      </w:r>
    </w:p>
    <w:p w:rsidR="00F16FBD" w14:paraId="27E28CC1" w14:textId="77777777">
      <w:pPr>
        <w:pStyle w:val="BodyText"/>
      </w:pPr>
      <w:r>
        <w:t>No payments or gifts will be given to respondents.</w:t>
      </w:r>
    </w:p>
    <w:p w:rsidR="00F16FBD" w14:paraId="393E8482" w14:textId="77777777">
      <w:pPr>
        <w:pStyle w:val="ListParagraph"/>
        <w:numPr>
          <w:ilvl w:val="1"/>
          <w:numId w:val="3"/>
        </w:numPr>
        <w:tabs>
          <w:tab w:val="left" w:pos="552"/>
        </w:tabs>
        <w:rPr>
          <w:sz w:val="24"/>
        </w:rPr>
      </w:pPr>
      <w:r>
        <w:rPr>
          <w:sz w:val="24"/>
          <w:u w:val="single"/>
        </w:rPr>
        <w:t>Confidentiality</w:t>
      </w:r>
    </w:p>
    <w:p w:rsidR="00F16FBD" w14:paraId="2E6E3224" w14:textId="4A7FDB40">
      <w:pPr>
        <w:pStyle w:val="BodyText"/>
        <w:spacing w:before="78"/>
      </w:pPr>
      <w:r>
        <w:t xml:space="preserve">No personal identifiable information is </w:t>
      </w:r>
      <w:r w:rsidR="00945624">
        <w:t>collected,</w:t>
      </w:r>
      <w:r w:rsidR="00646921">
        <w:t xml:space="preserve"> and no assurances of confidentiality have been provided</w:t>
      </w:r>
      <w:r w:rsidR="00E91CA6">
        <w:t>.</w:t>
      </w:r>
    </w:p>
    <w:p w:rsidR="00F16FBD" w14:paraId="54864A6C" w14:textId="77777777">
      <w:pPr>
        <w:pStyle w:val="ListParagraph"/>
        <w:numPr>
          <w:ilvl w:val="1"/>
          <w:numId w:val="3"/>
        </w:numPr>
        <w:tabs>
          <w:tab w:val="left" w:pos="552"/>
        </w:tabs>
        <w:rPr>
          <w:sz w:val="24"/>
        </w:rPr>
      </w:pPr>
      <w:r>
        <w:rPr>
          <w:sz w:val="24"/>
          <w:u w:val="single"/>
        </w:rPr>
        <w:t>Sensitive</w:t>
      </w:r>
      <w:r>
        <w:rPr>
          <w:spacing w:val="-1"/>
          <w:sz w:val="24"/>
          <w:u w:val="single"/>
        </w:rPr>
        <w:t xml:space="preserve"> </w:t>
      </w:r>
      <w:r>
        <w:rPr>
          <w:sz w:val="24"/>
          <w:u w:val="single"/>
        </w:rPr>
        <w:t>Questions</w:t>
      </w:r>
    </w:p>
    <w:p w:rsidR="00F16FBD" w14:paraId="3EE1E5AE" w14:textId="19DFCBF3">
      <w:pPr>
        <w:pStyle w:val="BodyText"/>
        <w:ind w:right="362"/>
      </w:pPr>
      <w:r>
        <w:t>There are no sensitive questions associated with this collection. Specifically, the collection does not solicit questions of a sensitive nature, such as sexual behavior and attitudes, religious beliefs, and other matters that are commonly considered private.</w:t>
      </w:r>
      <w:r w:rsidR="003A673A">
        <w:t xml:space="preserve">  </w:t>
      </w:r>
    </w:p>
    <w:p w:rsidR="00F16FBD" w14:paraId="7B3512E2" w14:textId="77777777">
      <w:pPr>
        <w:pStyle w:val="ListParagraph"/>
        <w:numPr>
          <w:ilvl w:val="1"/>
          <w:numId w:val="3"/>
        </w:numPr>
        <w:tabs>
          <w:tab w:val="left" w:pos="552"/>
        </w:tabs>
        <w:rPr>
          <w:sz w:val="24"/>
        </w:rPr>
      </w:pPr>
      <w:r>
        <w:rPr>
          <w:sz w:val="24"/>
          <w:u w:val="single"/>
        </w:rPr>
        <w:t>Burden Estimates</w:t>
      </w:r>
    </w:p>
    <w:p w:rsidR="00F16FBD" w14:paraId="3E225DAA" w14:textId="77777777">
      <w:pPr>
        <w:spacing w:before="121"/>
        <w:ind w:left="120"/>
        <w:rPr>
          <w:i/>
          <w:sz w:val="24"/>
        </w:rPr>
      </w:pPr>
      <w:r>
        <w:rPr>
          <w:i/>
          <w:sz w:val="24"/>
        </w:rPr>
        <w:t>Wage Estimates</w:t>
      </w:r>
    </w:p>
    <w:p w:rsidR="00F16FBD" w14:paraId="47701C72" w14:textId="57C984EC">
      <w:pPr>
        <w:pStyle w:val="BodyText"/>
        <w:spacing w:before="119"/>
        <w:ind w:right="168"/>
      </w:pPr>
      <w:r w:rsidRPr="00900C30">
        <w:t xml:space="preserve">To derive average costs, we used data from the U.S. Bureau of Labor Statistics’ May </w:t>
      </w:r>
      <w:r w:rsidR="009046FC">
        <w:t>2023</w:t>
      </w:r>
      <w:r w:rsidRPr="00900C30">
        <w:t xml:space="preserve"> National Occupational Employment and Wage Estimates for all salary estimates </w:t>
      </w:r>
      <w:r w:rsidRPr="00941769">
        <w:t>(</w:t>
      </w:r>
      <w:hyperlink r:id="rId4" w:history="1">
        <w:r w:rsidRPr="00941769" w:rsidR="00F51272">
          <w:rPr>
            <w:rStyle w:val="Hyperlink"/>
          </w:rPr>
          <w:t>http://www.bls.gov/oes/2023/may/oes_nat.htm</w:t>
        </w:r>
      </w:hyperlink>
      <w:r w:rsidRPr="00941769">
        <w:t>). In this regard, the following table presents</w:t>
      </w:r>
      <w:r>
        <w:t xml:space="preserve"> </w:t>
      </w:r>
      <w:r w:rsidR="009046FC">
        <w:t>BLS’</w:t>
      </w:r>
      <w:r>
        <w:t xml:space="preserve"> mean hourly wage, </w:t>
      </w:r>
      <w:r w:rsidR="009046FC">
        <w:t xml:space="preserve">our estimated </w:t>
      </w:r>
      <w:r>
        <w:t>cost of fringe benefits and o</w:t>
      </w:r>
      <w:r w:rsidR="009046FC">
        <w:t>ther indirect costs</w:t>
      </w:r>
      <w:r>
        <w:t xml:space="preserve"> (calculated at 100 percent of salary), and </w:t>
      </w:r>
      <w:r w:rsidR="009046FC">
        <w:t xml:space="preserve">our </w:t>
      </w:r>
      <w:r>
        <w:t>adjusted hourly wage.</w:t>
      </w:r>
    </w:p>
    <w:p w:rsidR="00F16FBD" w:rsidRPr="009E09B7" w:rsidP="009E09B7" w14:paraId="33002B83" w14:textId="2DF5D125">
      <w:pPr>
        <w:pStyle w:val="Heading1"/>
        <w:jc w:val="center"/>
        <w:rPr>
          <w:b w:val="0"/>
          <w:bCs w:val="0"/>
        </w:rPr>
      </w:pPr>
      <w:r w:rsidRPr="009E09B7">
        <w:rPr>
          <w:b w:val="0"/>
          <w:bCs w:val="0"/>
        </w:rPr>
        <w:t>Wage Estimates</w:t>
      </w:r>
    </w:p>
    <w:p w:rsidR="00F16FBD" w14:paraId="28922239" w14:textId="77777777">
      <w:pPr>
        <w:pStyle w:val="BodyText"/>
        <w:spacing w:before="5"/>
        <w:ind w:left="0"/>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1"/>
        <w:gridCol w:w="1350"/>
        <w:gridCol w:w="1720"/>
        <w:gridCol w:w="2208"/>
        <w:gridCol w:w="1966"/>
      </w:tblGrid>
      <w:tr w14:paraId="3B250D0D"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1"/>
        </w:trPr>
        <w:tc>
          <w:tcPr>
            <w:tcW w:w="2251" w:type="dxa"/>
          </w:tcPr>
          <w:p w:rsidR="00F16FBD" w:rsidRPr="008F65B7" w14:paraId="0937B230" w14:textId="77777777">
            <w:pPr>
              <w:pStyle w:val="TableParagraph"/>
              <w:rPr>
                <w:sz w:val="20"/>
                <w:szCs w:val="20"/>
              </w:rPr>
            </w:pPr>
            <w:r w:rsidRPr="008F65B7">
              <w:rPr>
                <w:sz w:val="20"/>
                <w:szCs w:val="20"/>
              </w:rPr>
              <w:t>Occupation Title</w:t>
            </w:r>
          </w:p>
        </w:tc>
        <w:tc>
          <w:tcPr>
            <w:tcW w:w="1350" w:type="dxa"/>
          </w:tcPr>
          <w:p w:rsidR="00F16FBD" w:rsidRPr="008F65B7" w14:paraId="38BB87DF" w14:textId="77777777">
            <w:pPr>
              <w:pStyle w:val="TableParagraph"/>
              <w:spacing w:line="240" w:lineRule="auto"/>
              <w:ind w:right="106"/>
              <w:rPr>
                <w:sz w:val="20"/>
                <w:szCs w:val="20"/>
              </w:rPr>
            </w:pPr>
            <w:r w:rsidRPr="008F65B7">
              <w:rPr>
                <w:sz w:val="20"/>
                <w:szCs w:val="20"/>
              </w:rPr>
              <w:t>Occupation Code</w:t>
            </w:r>
          </w:p>
        </w:tc>
        <w:tc>
          <w:tcPr>
            <w:tcW w:w="1720" w:type="dxa"/>
          </w:tcPr>
          <w:p w:rsidR="00F16FBD" w:rsidRPr="008F65B7" w14:paraId="0D5844D7" w14:textId="77777777">
            <w:pPr>
              <w:pStyle w:val="TableParagraph"/>
              <w:spacing w:line="240" w:lineRule="auto"/>
              <w:ind w:right="296"/>
              <w:rPr>
                <w:sz w:val="20"/>
                <w:szCs w:val="20"/>
              </w:rPr>
            </w:pPr>
            <w:r w:rsidRPr="008F65B7">
              <w:rPr>
                <w:sz w:val="20"/>
                <w:szCs w:val="20"/>
              </w:rPr>
              <w:t>Mean Hourly Wage ($/hr)</w:t>
            </w:r>
          </w:p>
        </w:tc>
        <w:tc>
          <w:tcPr>
            <w:tcW w:w="2208" w:type="dxa"/>
          </w:tcPr>
          <w:p w:rsidR="00F16FBD" w:rsidRPr="008F65B7" w14:paraId="0E55A2E2" w14:textId="709EE757">
            <w:pPr>
              <w:pStyle w:val="TableParagraph"/>
              <w:spacing w:line="240" w:lineRule="auto"/>
              <w:ind w:left="106" w:right="179"/>
              <w:rPr>
                <w:sz w:val="20"/>
                <w:szCs w:val="20"/>
              </w:rPr>
            </w:pPr>
            <w:r w:rsidRPr="008F65B7">
              <w:rPr>
                <w:sz w:val="20"/>
                <w:szCs w:val="20"/>
              </w:rPr>
              <w:t xml:space="preserve">Fringe Benefits and </w:t>
            </w:r>
            <w:r w:rsidRPr="008F65B7" w:rsidR="009046FC">
              <w:rPr>
                <w:sz w:val="20"/>
                <w:szCs w:val="20"/>
              </w:rPr>
              <w:t>Other Indirect Costs</w:t>
            </w:r>
            <w:r w:rsidRPr="008F65B7" w:rsidR="009046FC">
              <w:rPr>
                <w:sz w:val="20"/>
                <w:szCs w:val="20"/>
              </w:rPr>
              <w:t xml:space="preserve"> </w:t>
            </w:r>
            <w:r w:rsidRPr="008F65B7">
              <w:rPr>
                <w:sz w:val="20"/>
                <w:szCs w:val="20"/>
              </w:rPr>
              <w:t>($/hr)</w:t>
            </w:r>
          </w:p>
        </w:tc>
        <w:tc>
          <w:tcPr>
            <w:tcW w:w="1966" w:type="dxa"/>
          </w:tcPr>
          <w:p w:rsidR="00F16FBD" w:rsidRPr="008F65B7" w14:paraId="0656631D" w14:textId="77777777">
            <w:pPr>
              <w:pStyle w:val="TableParagraph"/>
              <w:spacing w:line="240" w:lineRule="auto"/>
              <w:ind w:right="222"/>
              <w:rPr>
                <w:sz w:val="20"/>
                <w:szCs w:val="20"/>
              </w:rPr>
            </w:pPr>
            <w:r w:rsidRPr="008F65B7">
              <w:rPr>
                <w:sz w:val="20"/>
                <w:szCs w:val="20"/>
              </w:rPr>
              <w:t>Adjusted Hourly Wage ($/hr)</w:t>
            </w:r>
          </w:p>
        </w:tc>
      </w:tr>
      <w:tr w14:paraId="664E583C" w14:textId="77777777">
        <w:tblPrEx>
          <w:tblW w:w="0" w:type="auto"/>
          <w:tblInd w:w="130" w:type="dxa"/>
          <w:tblLayout w:type="fixed"/>
          <w:tblCellMar>
            <w:left w:w="0" w:type="dxa"/>
            <w:right w:w="0" w:type="dxa"/>
          </w:tblCellMar>
          <w:tblLook w:val="01E0"/>
        </w:tblPrEx>
        <w:trPr>
          <w:trHeight w:val="672"/>
        </w:trPr>
        <w:tc>
          <w:tcPr>
            <w:tcW w:w="2251" w:type="dxa"/>
          </w:tcPr>
          <w:p w:rsidR="00F16FBD" w:rsidRPr="008F65B7" w14:paraId="17728A6F" w14:textId="77777777">
            <w:pPr>
              <w:pStyle w:val="TableParagraph"/>
              <w:spacing w:line="240" w:lineRule="auto"/>
              <w:ind w:right="147"/>
              <w:rPr>
                <w:sz w:val="20"/>
                <w:szCs w:val="20"/>
              </w:rPr>
            </w:pPr>
            <w:r w:rsidRPr="008F65B7">
              <w:rPr>
                <w:sz w:val="20"/>
                <w:szCs w:val="20"/>
              </w:rPr>
              <w:t>Business Operations Specialist</w:t>
            </w:r>
          </w:p>
        </w:tc>
        <w:tc>
          <w:tcPr>
            <w:tcW w:w="1350" w:type="dxa"/>
          </w:tcPr>
          <w:p w:rsidR="00F16FBD" w:rsidRPr="008F65B7" w14:paraId="20358E95" w14:textId="77777777">
            <w:pPr>
              <w:pStyle w:val="TableParagraph"/>
              <w:rPr>
                <w:sz w:val="20"/>
                <w:szCs w:val="20"/>
              </w:rPr>
            </w:pPr>
            <w:r w:rsidRPr="008F65B7">
              <w:rPr>
                <w:sz w:val="20"/>
                <w:szCs w:val="20"/>
              </w:rPr>
              <w:t>13-1000</w:t>
            </w:r>
          </w:p>
        </w:tc>
        <w:tc>
          <w:tcPr>
            <w:tcW w:w="1720" w:type="dxa"/>
          </w:tcPr>
          <w:p w:rsidR="00F16FBD" w:rsidRPr="008F65B7" w14:paraId="41AB9DD4" w14:textId="1B1DF1D0">
            <w:pPr>
              <w:pStyle w:val="TableParagraph"/>
              <w:rPr>
                <w:sz w:val="20"/>
                <w:szCs w:val="20"/>
              </w:rPr>
            </w:pPr>
            <w:r w:rsidRPr="008F65B7">
              <w:rPr>
                <w:sz w:val="20"/>
                <w:szCs w:val="20"/>
              </w:rPr>
              <w:t>42.33</w:t>
            </w:r>
          </w:p>
        </w:tc>
        <w:tc>
          <w:tcPr>
            <w:tcW w:w="2208" w:type="dxa"/>
          </w:tcPr>
          <w:p w:rsidR="00F16FBD" w:rsidRPr="008F65B7" w14:paraId="6FD2B497" w14:textId="66D2801E">
            <w:pPr>
              <w:pStyle w:val="TableParagraph"/>
              <w:ind w:left="106"/>
              <w:rPr>
                <w:sz w:val="20"/>
                <w:szCs w:val="20"/>
              </w:rPr>
            </w:pPr>
            <w:r w:rsidRPr="008F65B7">
              <w:rPr>
                <w:sz w:val="20"/>
                <w:szCs w:val="20"/>
              </w:rPr>
              <w:t>42.33</w:t>
            </w:r>
          </w:p>
        </w:tc>
        <w:tc>
          <w:tcPr>
            <w:tcW w:w="1966" w:type="dxa"/>
          </w:tcPr>
          <w:p w:rsidR="00F16FBD" w:rsidRPr="008F65B7" w:rsidP="00900C30" w14:paraId="0166F840" w14:textId="3489EAA5">
            <w:pPr>
              <w:pStyle w:val="TableParagraph"/>
              <w:rPr>
                <w:sz w:val="20"/>
                <w:szCs w:val="20"/>
              </w:rPr>
            </w:pPr>
            <w:r w:rsidRPr="008F65B7">
              <w:rPr>
                <w:sz w:val="20"/>
                <w:szCs w:val="20"/>
              </w:rPr>
              <w:t>84.66</w:t>
            </w:r>
          </w:p>
        </w:tc>
      </w:tr>
    </w:tbl>
    <w:p w:rsidR="00F16FBD" w:rsidP="00646921" w14:paraId="048785B0" w14:textId="34D31E23">
      <w:pPr>
        <w:pStyle w:val="BodyText"/>
        <w:ind w:right="589"/>
      </w:pPr>
      <w:r>
        <w:t xml:space="preserve">As indicated, we are adjusting our employee hourly wage estimates by a factor of 100 percent. This is necessarily a rough adjustment, both because fringe benefits and </w:t>
      </w:r>
      <w:r w:rsidRPr="009046FC" w:rsidR="009046FC">
        <w:t xml:space="preserve">other </w:t>
      </w:r>
      <w:r w:rsidRPr="009046FC" w:rsidR="009046FC">
        <w:t>indirect</w:t>
      </w:r>
      <w:r>
        <w:t xml:space="preserve"> costs vary significantly from employer to employer, and because methods of estimating these costs vary widely from study to study. Nonetheless, we believe that doubling the hourly wage to estimate total cost is a reasonably accurate estimation method.</w:t>
      </w:r>
    </w:p>
    <w:p w:rsidR="00F16FBD" w14:paraId="5E20690F" w14:textId="77777777">
      <w:pPr>
        <w:spacing w:before="121"/>
        <w:ind w:left="120"/>
        <w:rPr>
          <w:i/>
          <w:sz w:val="24"/>
        </w:rPr>
      </w:pPr>
      <w:r w:rsidRPr="008818DB">
        <w:rPr>
          <w:i/>
          <w:sz w:val="24"/>
        </w:rPr>
        <w:t>Burden Estimates</w:t>
      </w:r>
    </w:p>
    <w:p w:rsidR="00F16FBD" w14:paraId="1C6B402A" w14:textId="71869FBC">
      <w:pPr>
        <w:pStyle w:val="BodyText"/>
        <w:spacing w:before="119"/>
        <w:ind w:left="119" w:right="370"/>
      </w:pPr>
      <w:r>
        <w:t xml:space="preserve">Currently, </w:t>
      </w:r>
      <w:r w:rsidR="00D50F3A">
        <w:t>there are 259 active §1915(c)</w:t>
      </w:r>
      <w:r w:rsidR="00646921">
        <w:t xml:space="preserve"> </w:t>
      </w:r>
      <w:r w:rsidR="00D50F3A">
        <w:t>waiver</w:t>
      </w:r>
      <w:r w:rsidR="00945624">
        <w:t>s</w:t>
      </w:r>
      <w:r w:rsidR="00D50F3A">
        <w:t xml:space="preserve"> in </w:t>
      </w:r>
      <w:r>
        <w:t>4</w:t>
      </w:r>
      <w:r w:rsidR="007B5597">
        <w:t>6</w:t>
      </w:r>
      <w:r>
        <w:t xml:space="preserve"> states and the District of Columbia</w:t>
      </w:r>
      <w:r w:rsidR="00D50F3A">
        <w:t xml:space="preserve">. </w:t>
      </w:r>
      <w:r>
        <w:t xml:space="preserve"> </w:t>
      </w:r>
      <w:r w:rsidR="00D50F3A">
        <w:t>T</w:t>
      </w:r>
      <w:r>
        <w:t xml:space="preserve">he Form CMS-372(S) Report </w:t>
      </w:r>
      <w:r w:rsidR="00D50F3A">
        <w:t xml:space="preserve">is due for each waiver </w:t>
      </w:r>
      <w:r>
        <w:t>on an annual basis. CMS estimates a burden of 44 hours at $</w:t>
      </w:r>
      <w:r w:rsidR="00D50F3A">
        <w:t>84.66</w:t>
      </w:r>
      <w:r>
        <w:t>/hr for a Business Operations Specialist to complete each Form CMS-372(S) Report submission. The total 44 hour burden is comprised of 25 hours of recordkeeping, collection and maintenance of data, and 19 hours of record assembly, programming, and completing the Form CMS-372(S) Report in the required format.</w:t>
      </w:r>
    </w:p>
    <w:p w:rsidR="00F16FBD" w14:paraId="59894B52" w14:textId="14C31A52">
      <w:pPr>
        <w:pStyle w:val="BodyText"/>
        <w:spacing w:before="119"/>
        <w:ind w:left="119" w:right="296"/>
      </w:pPr>
      <w:r>
        <w:t>In aggregate, CMS estimates an annual burden of 11,</w:t>
      </w:r>
      <w:r w:rsidR="000D0E4F">
        <w:t>3</w:t>
      </w:r>
      <w:r w:rsidR="007B5597">
        <w:t>96</w:t>
      </w:r>
      <w:r>
        <w:t xml:space="preserve"> hours (25</w:t>
      </w:r>
      <w:r w:rsidR="007B5597">
        <w:t>9</w:t>
      </w:r>
      <w:r>
        <w:t xml:space="preserve"> waivers x 44 hours) at a cost of $</w:t>
      </w:r>
      <w:r w:rsidR="00D50F3A">
        <w:t>964,785</w:t>
      </w:r>
      <w:r>
        <w:t xml:space="preserve"> (11,</w:t>
      </w:r>
      <w:r w:rsidR="000D0E4F">
        <w:t>3</w:t>
      </w:r>
      <w:r w:rsidR="007B5597">
        <w:t>96</w:t>
      </w:r>
      <w:r w:rsidR="00E935EA">
        <w:t xml:space="preserve"> </w:t>
      </w:r>
      <w:r>
        <w:t>h</w:t>
      </w:r>
      <w:r w:rsidR="000546B2">
        <w:t>r</w:t>
      </w:r>
      <w:r>
        <w:t xml:space="preserve"> x $</w:t>
      </w:r>
      <w:r w:rsidR="00D50F3A">
        <w:t>84.66</w:t>
      </w:r>
      <w:r>
        <w:t>/hr).</w:t>
      </w:r>
    </w:p>
    <w:p w:rsidR="005E7499" w:rsidP="005E7499" w14:paraId="7193B4F9" w14:textId="408F1A6F">
      <w:pPr>
        <w:spacing w:before="121"/>
        <w:ind w:left="120"/>
        <w:rPr>
          <w:i/>
          <w:sz w:val="24"/>
        </w:rPr>
      </w:pPr>
      <w:r w:rsidRPr="009F7655">
        <w:rPr>
          <w:i/>
          <w:sz w:val="24"/>
        </w:rPr>
        <w:t>Burden Summary</w:t>
      </w:r>
    </w:p>
    <w:p w:rsidR="009F7655" w14:paraId="37BEF3EB" w14:textId="77777777">
      <w:pPr>
        <w:spacing w:before="121"/>
        <w:ind w:left="119"/>
        <w:rPr>
          <w:i/>
          <w:sz w:val="24"/>
          <w:highlight w:val="yellow"/>
        </w:rPr>
      </w:pPr>
    </w:p>
    <w:tbl>
      <w:tblPr>
        <w:tblpPr w:leftFromText="187" w:rightFromText="187" w:vertAnchor="page" w:horzAnchor="margin" w:tblpY="6149"/>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350"/>
        <w:gridCol w:w="1170"/>
        <w:gridCol w:w="1080"/>
        <w:gridCol w:w="1170"/>
        <w:gridCol w:w="1027"/>
        <w:gridCol w:w="1223"/>
      </w:tblGrid>
      <w:tr w14:paraId="5C11D9D7" w14:textId="77777777" w:rsidTr="004C0BE5">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9"/>
          <w:tblHeader/>
        </w:trPr>
        <w:tc>
          <w:tcPr>
            <w:tcW w:w="3060" w:type="dxa"/>
            <w:shd w:val="clear" w:color="auto" w:fill="auto"/>
            <w:vAlign w:val="center"/>
            <w:hideMark/>
          </w:tcPr>
          <w:bookmarkStart w:id="1" w:name="_Hlk121210906"/>
          <w:p w:rsidR="004C0BE5" w:rsidRPr="000546B2" w:rsidP="004C0BE5" w14:paraId="1C302C3D" w14:textId="77777777">
            <w:pPr>
              <w:rPr>
                <w:color w:val="000000"/>
                <w:sz w:val="20"/>
                <w:szCs w:val="20"/>
              </w:rPr>
            </w:pPr>
            <w:sdt>
              <w:sdtPr>
                <w:rPr>
                  <w:color w:val="000000"/>
                  <w:sz w:val="20"/>
                  <w:szCs w:val="20"/>
                </w:rPr>
                <w:alias w:val=" "/>
                <w:tag w:val="NAV_SWIFT_67a7479b-5934-41d4-8335-e659bfdcf0d4"/>
                <w:id w:val="-1252431336"/>
                <w:placeholder>
                  <w:docPart w:val="FB607ED52CE045F48E4685335FA6DC74"/>
                </w:placeholder>
                <w:showingPlcHdr/>
                <w:richText/>
                <w15:appearance w15:val="hidden"/>
              </w:sdtPr>
              <w:sdtContent/>
            </w:sdt>
            <w:r>
              <w:rPr>
                <w:color w:val="000000"/>
                <w:sz w:val="20"/>
                <w:szCs w:val="20"/>
              </w:rPr>
              <w:t>Requirement</w:t>
            </w:r>
          </w:p>
        </w:tc>
        <w:tc>
          <w:tcPr>
            <w:tcW w:w="1350" w:type="dxa"/>
            <w:shd w:val="clear" w:color="auto" w:fill="auto"/>
            <w:vAlign w:val="center"/>
            <w:hideMark/>
          </w:tcPr>
          <w:p w:rsidR="004C0BE5" w:rsidRPr="000546B2" w:rsidP="004C0BE5" w14:paraId="7F1DEE28" w14:textId="77777777">
            <w:pPr>
              <w:jc w:val="center"/>
              <w:rPr>
                <w:color w:val="000000"/>
                <w:sz w:val="20"/>
                <w:szCs w:val="20"/>
              </w:rPr>
            </w:pPr>
            <w:r w:rsidRPr="000546B2">
              <w:rPr>
                <w:color w:val="000000"/>
                <w:sz w:val="20"/>
                <w:szCs w:val="20"/>
              </w:rPr>
              <w:t># of Respondents</w:t>
            </w:r>
          </w:p>
        </w:tc>
        <w:tc>
          <w:tcPr>
            <w:tcW w:w="1170" w:type="dxa"/>
            <w:shd w:val="clear" w:color="auto" w:fill="auto"/>
            <w:vAlign w:val="center"/>
            <w:hideMark/>
          </w:tcPr>
          <w:p w:rsidR="004C0BE5" w:rsidRPr="000546B2" w:rsidP="004C0BE5" w14:paraId="3A46781B" w14:textId="77777777">
            <w:pPr>
              <w:jc w:val="center"/>
              <w:rPr>
                <w:color w:val="000000"/>
                <w:sz w:val="20"/>
                <w:szCs w:val="20"/>
              </w:rPr>
            </w:pPr>
            <w:r w:rsidRPr="000546B2">
              <w:rPr>
                <w:color w:val="000000"/>
                <w:sz w:val="20"/>
                <w:szCs w:val="20"/>
              </w:rPr>
              <w:t>Total # of Responses</w:t>
            </w:r>
          </w:p>
        </w:tc>
        <w:tc>
          <w:tcPr>
            <w:tcW w:w="1080" w:type="dxa"/>
            <w:shd w:val="clear" w:color="auto" w:fill="auto"/>
            <w:vAlign w:val="center"/>
            <w:hideMark/>
          </w:tcPr>
          <w:p w:rsidR="004C0BE5" w:rsidRPr="000546B2" w:rsidP="004C0BE5" w14:paraId="3C7A7C26" w14:textId="77777777">
            <w:pPr>
              <w:jc w:val="center"/>
              <w:rPr>
                <w:color w:val="000000"/>
                <w:sz w:val="20"/>
                <w:szCs w:val="20"/>
              </w:rPr>
            </w:pPr>
            <w:r w:rsidRPr="000546B2">
              <w:rPr>
                <w:color w:val="000000"/>
                <w:sz w:val="20"/>
                <w:szCs w:val="20"/>
              </w:rPr>
              <w:t>Time per Response (hours)</w:t>
            </w:r>
          </w:p>
        </w:tc>
        <w:tc>
          <w:tcPr>
            <w:tcW w:w="1170" w:type="dxa"/>
            <w:shd w:val="clear" w:color="auto" w:fill="auto"/>
            <w:vAlign w:val="center"/>
            <w:hideMark/>
          </w:tcPr>
          <w:p w:rsidR="004C0BE5" w:rsidRPr="000546B2" w:rsidP="004C0BE5" w14:paraId="41F99D90" w14:textId="77777777">
            <w:pPr>
              <w:jc w:val="center"/>
              <w:rPr>
                <w:color w:val="000000"/>
                <w:sz w:val="20"/>
                <w:szCs w:val="20"/>
              </w:rPr>
            </w:pPr>
            <w:r w:rsidRPr="000546B2">
              <w:rPr>
                <w:color w:val="000000"/>
                <w:sz w:val="20"/>
                <w:szCs w:val="20"/>
              </w:rPr>
              <w:t>Total Time (hours)</w:t>
            </w:r>
          </w:p>
        </w:tc>
        <w:tc>
          <w:tcPr>
            <w:tcW w:w="1027" w:type="dxa"/>
            <w:shd w:val="clear" w:color="auto" w:fill="auto"/>
            <w:vAlign w:val="center"/>
            <w:hideMark/>
          </w:tcPr>
          <w:p w:rsidR="004C0BE5" w:rsidRPr="000546B2" w:rsidP="004C0BE5" w14:paraId="201E7C66" w14:textId="77777777">
            <w:pPr>
              <w:jc w:val="center"/>
              <w:rPr>
                <w:color w:val="000000"/>
                <w:sz w:val="20"/>
                <w:szCs w:val="20"/>
              </w:rPr>
            </w:pPr>
            <w:r w:rsidRPr="000546B2">
              <w:rPr>
                <w:color w:val="000000"/>
                <w:sz w:val="20"/>
                <w:szCs w:val="20"/>
              </w:rPr>
              <w:t>Labor Rate ($/hr)</w:t>
            </w:r>
          </w:p>
        </w:tc>
        <w:tc>
          <w:tcPr>
            <w:tcW w:w="1223" w:type="dxa"/>
            <w:shd w:val="clear" w:color="auto" w:fill="auto"/>
            <w:vAlign w:val="center"/>
            <w:hideMark/>
          </w:tcPr>
          <w:p w:rsidR="004C0BE5" w:rsidRPr="000546B2" w:rsidP="004C0BE5" w14:paraId="4C971BC9" w14:textId="77777777">
            <w:pPr>
              <w:jc w:val="center"/>
              <w:rPr>
                <w:color w:val="000000"/>
                <w:sz w:val="20"/>
                <w:szCs w:val="20"/>
              </w:rPr>
            </w:pPr>
            <w:r w:rsidRPr="000546B2">
              <w:rPr>
                <w:color w:val="000000"/>
                <w:sz w:val="20"/>
                <w:szCs w:val="20"/>
              </w:rPr>
              <w:t>Total Annual Cost ($)</w:t>
            </w:r>
          </w:p>
        </w:tc>
      </w:tr>
      <w:tr w14:paraId="4C6E8543" w14:textId="77777777" w:rsidTr="004C0BE5">
        <w:tblPrEx>
          <w:tblW w:w="10080" w:type="dxa"/>
          <w:tblLayout w:type="fixed"/>
          <w:tblLook w:val="04A0"/>
        </w:tblPrEx>
        <w:trPr>
          <w:trHeight w:val="223"/>
        </w:trPr>
        <w:tc>
          <w:tcPr>
            <w:tcW w:w="3060" w:type="dxa"/>
            <w:shd w:val="clear" w:color="auto" w:fill="auto"/>
            <w:vAlign w:val="center"/>
            <w:hideMark/>
          </w:tcPr>
          <w:p w:rsidR="004C0BE5" w:rsidRPr="000546B2" w:rsidP="004C0BE5" w14:paraId="33DEF58E" w14:textId="77777777">
            <w:pPr>
              <w:rPr>
                <w:color w:val="000000"/>
                <w:sz w:val="20"/>
                <w:szCs w:val="20"/>
              </w:rPr>
            </w:pPr>
            <w:r w:rsidRPr="000546B2">
              <w:rPr>
                <w:color w:val="000000"/>
                <w:sz w:val="20"/>
                <w:szCs w:val="20"/>
              </w:rPr>
              <w:t xml:space="preserve">CMS-372(S) </w:t>
            </w:r>
            <w:r>
              <w:rPr>
                <w:color w:val="000000"/>
                <w:sz w:val="20"/>
                <w:szCs w:val="20"/>
              </w:rPr>
              <w:t xml:space="preserve">Annual </w:t>
            </w:r>
            <w:r w:rsidRPr="000546B2">
              <w:rPr>
                <w:color w:val="000000"/>
                <w:sz w:val="20"/>
                <w:szCs w:val="20"/>
              </w:rPr>
              <w:t>Report</w:t>
            </w:r>
          </w:p>
        </w:tc>
        <w:tc>
          <w:tcPr>
            <w:tcW w:w="1350" w:type="dxa"/>
            <w:shd w:val="clear" w:color="auto" w:fill="auto"/>
            <w:vAlign w:val="center"/>
            <w:hideMark/>
          </w:tcPr>
          <w:p w:rsidR="004C0BE5" w:rsidRPr="000546B2" w:rsidP="004C0BE5" w14:paraId="0B7F2A5F" w14:textId="77777777">
            <w:pPr>
              <w:jc w:val="center"/>
              <w:rPr>
                <w:color w:val="000000"/>
                <w:sz w:val="20"/>
                <w:szCs w:val="20"/>
              </w:rPr>
            </w:pPr>
            <w:r w:rsidRPr="000546B2">
              <w:rPr>
                <w:color w:val="000000"/>
                <w:sz w:val="20"/>
                <w:szCs w:val="20"/>
              </w:rPr>
              <w:t>47</w:t>
            </w:r>
          </w:p>
        </w:tc>
        <w:tc>
          <w:tcPr>
            <w:tcW w:w="1170" w:type="dxa"/>
            <w:shd w:val="clear" w:color="auto" w:fill="auto"/>
            <w:vAlign w:val="center"/>
            <w:hideMark/>
          </w:tcPr>
          <w:p w:rsidR="004C0BE5" w:rsidRPr="000546B2" w:rsidP="004C0BE5" w14:paraId="28893390" w14:textId="77777777">
            <w:pPr>
              <w:jc w:val="center"/>
              <w:rPr>
                <w:color w:val="000000"/>
                <w:sz w:val="20"/>
                <w:szCs w:val="20"/>
              </w:rPr>
            </w:pPr>
            <w:r w:rsidRPr="000546B2">
              <w:rPr>
                <w:color w:val="000000"/>
                <w:sz w:val="20"/>
                <w:szCs w:val="20"/>
              </w:rPr>
              <w:t>259</w:t>
            </w:r>
          </w:p>
        </w:tc>
        <w:tc>
          <w:tcPr>
            <w:tcW w:w="1080" w:type="dxa"/>
            <w:shd w:val="clear" w:color="auto" w:fill="auto"/>
            <w:vAlign w:val="center"/>
            <w:hideMark/>
          </w:tcPr>
          <w:p w:rsidR="004C0BE5" w:rsidRPr="000546B2" w:rsidP="004C0BE5" w14:paraId="328BE5DE" w14:textId="77777777">
            <w:pPr>
              <w:jc w:val="center"/>
              <w:rPr>
                <w:color w:val="000000"/>
                <w:sz w:val="20"/>
                <w:szCs w:val="20"/>
              </w:rPr>
            </w:pPr>
            <w:r w:rsidRPr="000546B2">
              <w:rPr>
                <w:color w:val="000000"/>
                <w:sz w:val="20"/>
                <w:szCs w:val="20"/>
              </w:rPr>
              <w:t>44</w:t>
            </w:r>
          </w:p>
        </w:tc>
        <w:tc>
          <w:tcPr>
            <w:tcW w:w="1170" w:type="dxa"/>
            <w:shd w:val="clear" w:color="auto" w:fill="auto"/>
            <w:vAlign w:val="center"/>
            <w:hideMark/>
          </w:tcPr>
          <w:p w:rsidR="004C0BE5" w:rsidRPr="000546B2" w:rsidP="004C0BE5" w14:paraId="3BFE4539" w14:textId="77777777">
            <w:pPr>
              <w:jc w:val="center"/>
              <w:rPr>
                <w:color w:val="000000"/>
                <w:sz w:val="20"/>
                <w:szCs w:val="20"/>
              </w:rPr>
            </w:pPr>
            <w:r w:rsidRPr="000546B2">
              <w:rPr>
                <w:color w:val="000000"/>
                <w:sz w:val="20"/>
                <w:szCs w:val="20"/>
              </w:rPr>
              <w:t>11,396</w:t>
            </w:r>
          </w:p>
        </w:tc>
        <w:tc>
          <w:tcPr>
            <w:tcW w:w="1027" w:type="dxa"/>
            <w:shd w:val="clear" w:color="auto" w:fill="auto"/>
            <w:vAlign w:val="center"/>
            <w:hideMark/>
          </w:tcPr>
          <w:p w:rsidR="004C0BE5" w:rsidRPr="000546B2" w:rsidP="004C0BE5" w14:paraId="24B271CD" w14:textId="77777777">
            <w:pPr>
              <w:jc w:val="center"/>
              <w:rPr>
                <w:color w:val="000000"/>
                <w:sz w:val="20"/>
                <w:szCs w:val="20"/>
              </w:rPr>
            </w:pPr>
            <w:r w:rsidRPr="000546B2">
              <w:rPr>
                <w:color w:val="000000"/>
                <w:sz w:val="20"/>
                <w:szCs w:val="20"/>
              </w:rPr>
              <w:t>84.66</w:t>
            </w:r>
          </w:p>
        </w:tc>
        <w:tc>
          <w:tcPr>
            <w:tcW w:w="1223" w:type="dxa"/>
            <w:shd w:val="clear" w:color="auto" w:fill="auto"/>
            <w:vAlign w:val="center"/>
            <w:hideMark/>
          </w:tcPr>
          <w:p w:rsidR="004C0BE5" w:rsidRPr="000546B2" w:rsidP="004C0BE5" w14:paraId="6CC493FF" w14:textId="77777777">
            <w:pPr>
              <w:jc w:val="center"/>
              <w:rPr>
                <w:color w:val="000000"/>
                <w:sz w:val="20"/>
                <w:szCs w:val="20"/>
              </w:rPr>
            </w:pPr>
            <w:r w:rsidRPr="000546B2">
              <w:rPr>
                <w:color w:val="000000"/>
                <w:sz w:val="20"/>
                <w:szCs w:val="20"/>
              </w:rPr>
              <w:t>964,785</w:t>
            </w:r>
          </w:p>
        </w:tc>
      </w:tr>
    </w:tbl>
    <w:bookmarkEnd w:id="1"/>
    <w:p w:rsidR="00F16FBD" w:rsidRPr="00CA39C6" w14:paraId="031B6E3F" w14:textId="2013EEDA">
      <w:pPr>
        <w:spacing w:before="121"/>
        <w:ind w:left="119"/>
        <w:rPr>
          <w:i/>
          <w:sz w:val="24"/>
        </w:rPr>
      </w:pPr>
      <w:r w:rsidRPr="00CA39C6">
        <w:rPr>
          <w:i/>
          <w:sz w:val="24"/>
        </w:rPr>
        <w:t>Information Collection Instruments and Instruction/Guidance Documents</w:t>
      </w:r>
    </w:p>
    <w:p w:rsidR="00646921" w14:paraId="7CEDC062" w14:textId="621B46DB">
      <w:pPr>
        <w:pStyle w:val="BodyText"/>
        <w:spacing w:before="119"/>
        <w:ind w:left="119" w:right="555"/>
      </w:pPr>
      <w:r w:rsidRPr="00CA39C6">
        <w:t xml:space="preserve">Form CMS-372(S) Annual Report on Home and Community-Based Services (HCBS) Waivers </w:t>
      </w:r>
      <w:r w:rsidRPr="00CA39C6" w:rsidR="007B10E8">
        <w:t>(</w:t>
      </w:r>
      <w:r w:rsidRPr="00CA39C6">
        <w:t>Revised</w:t>
      </w:r>
      <w:r w:rsidRPr="00CA39C6" w:rsidR="007B10E8">
        <w:t>)</w:t>
      </w:r>
    </w:p>
    <w:p w:rsidR="00F16FBD" w14:paraId="7DE6F756" w14:textId="6E275028">
      <w:pPr>
        <w:pStyle w:val="BodyText"/>
        <w:spacing w:before="78"/>
        <w:ind w:right="741"/>
      </w:pPr>
      <w:bookmarkStart w:id="2" w:name="Sections_of_the_Form_CMS-372(S)_Report_w"/>
      <w:bookmarkEnd w:id="2"/>
      <w:r>
        <w:t>Sections of the Form CMS-372(S) Report within WMS and how they relate to the regulatory requirements described in  §</w:t>
      </w:r>
      <w:r w:rsidR="00C23D71">
        <w:t>§</w:t>
      </w:r>
      <w:r>
        <w:t xml:space="preserve">441.302 and </w:t>
      </w:r>
      <w:r w:rsidR="00C23D71">
        <w:t>441.</w:t>
      </w:r>
      <w:r>
        <w:t>303</w:t>
      </w:r>
      <w:r w:rsidR="00BA22A3">
        <w:t xml:space="preserve">, in addition to the Technical Guide v3.6 and Quality Memo </w:t>
      </w:r>
      <w:r>
        <w:t>are as follows:</w:t>
      </w:r>
    </w:p>
    <w:p w:rsidR="00F16FBD" w:rsidRPr="00CA39C6" w:rsidP="00DB03C7" w14:paraId="20AB972E" w14:textId="77777777">
      <w:pPr>
        <w:pStyle w:val="ListParagraph"/>
        <w:numPr>
          <w:ilvl w:val="0"/>
          <w:numId w:val="2"/>
        </w:numPr>
        <w:tabs>
          <w:tab w:val="left" w:pos="420"/>
        </w:tabs>
        <w:spacing w:before="180"/>
        <w:ind w:left="720"/>
        <w:rPr>
          <w:sz w:val="24"/>
        </w:rPr>
      </w:pPr>
      <w:r w:rsidRPr="00CA39C6">
        <w:rPr>
          <w:sz w:val="24"/>
        </w:rPr>
        <w:t>Online 372 Reporting Tool Summary</w:t>
      </w:r>
      <w:r w:rsidRPr="00CA39C6">
        <w:rPr>
          <w:spacing w:val="-1"/>
          <w:sz w:val="24"/>
        </w:rPr>
        <w:t xml:space="preserve"> </w:t>
      </w:r>
      <w:r w:rsidRPr="00CA39C6">
        <w:rPr>
          <w:sz w:val="24"/>
        </w:rPr>
        <w:t>Section</w:t>
      </w:r>
    </w:p>
    <w:p w:rsidR="00F16FBD" w:rsidP="00DB03C7" w14:paraId="71D379A1" w14:textId="77777777">
      <w:pPr>
        <w:pStyle w:val="BodyText"/>
        <w:ind w:left="420" w:right="509"/>
      </w:pPr>
      <w:r>
        <w:t xml:space="preserve">The online 372 reporting tool Summary Section specifies the waiver year for which the state is submitting cost neutrality data. The report type and state’s contact information </w:t>
      </w:r>
      <w:r w:rsidR="00D05EA8">
        <w:t>are</w:t>
      </w:r>
      <w:r>
        <w:t xml:space="preserve"> also included.</w:t>
      </w:r>
    </w:p>
    <w:p w:rsidR="00F16FBD" w:rsidRPr="00CA39C6" w:rsidP="00DB03C7" w14:paraId="58EDFEFC" w14:textId="77777777">
      <w:pPr>
        <w:pStyle w:val="ListParagraph"/>
        <w:numPr>
          <w:ilvl w:val="0"/>
          <w:numId w:val="2"/>
        </w:numPr>
        <w:tabs>
          <w:tab w:val="left" w:pos="420"/>
        </w:tabs>
        <w:ind w:left="720"/>
        <w:rPr>
          <w:sz w:val="24"/>
        </w:rPr>
      </w:pPr>
      <w:r w:rsidRPr="00CA39C6">
        <w:rPr>
          <w:sz w:val="24"/>
        </w:rPr>
        <w:t>Online 372 Reporting Tool Data</w:t>
      </w:r>
      <w:r w:rsidRPr="00CA39C6">
        <w:rPr>
          <w:spacing w:val="-2"/>
          <w:sz w:val="24"/>
        </w:rPr>
        <w:t xml:space="preserve"> </w:t>
      </w:r>
      <w:r w:rsidRPr="00CA39C6">
        <w:rPr>
          <w:sz w:val="24"/>
        </w:rPr>
        <w:t>Section</w:t>
      </w:r>
    </w:p>
    <w:p w:rsidR="00F16FBD" w:rsidP="00DB03C7" w14:paraId="3D5C0029" w14:textId="0E18F79D">
      <w:pPr>
        <w:pStyle w:val="BodyText"/>
        <w:ind w:left="419" w:right="188"/>
      </w:pPr>
      <w:r>
        <w:t>Information in this section of the online 372 reporting tool is due 18 months following the end of the waiver year. The timeframe allows states to process Medicaid billing and determine the actual costs for waiver services rendered. Data on participants is reported based on annual unduplicated individuals. Each service is specified as it is listed in Appendix J of the approved waiver, and the number of unduplicated waiver participants who received each waiver service is listed. Total waiver expenditures for each service must be reported in whole dollars and must be the total computable expenditures. The 1915(c) waiver cost-neutrality formula is used to compute the average per capita expenditures with and without the waiver using factors D and D’ from the Form CMS-372(S) Report and compares to factors G and G’ from the approved waiver estimates.</w:t>
      </w:r>
    </w:p>
    <w:p w:rsidR="00F16FBD" w:rsidRPr="00CA39C6" w:rsidP="00DB03C7" w14:paraId="0D7EECFB" w14:textId="77777777">
      <w:pPr>
        <w:pStyle w:val="ListParagraph"/>
        <w:numPr>
          <w:ilvl w:val="0"/>
          <w:numId w:val="2"/>
        </w:numPr>
        <w:tabs>
          <w:tab w:val="left" w:pos="420"/>
        </w:tabs>
        <w:ind w:left="720"/>
        <w:rPr>
          <w:sz w:val="24"/>
        </w:rPr>
      </w:pPr>
      <w:r w:rsidRPr="00CA39C6">
        <w:rPr>
          <w:sz w:val="24"/>
        </w:rPr>
        <w:t>Online 372 Reporting Tool Quality</w:t>
      </w:r>
      <w:r w:rsidRPr="00CA39C6">
        <w:rPr>
          <w:spacing w:val="-1"/>
          <w:sz w:val="24"/>
        </w:rPr>
        <w:t xml:space="preserve"> </w:t>
      </w:r>
      <w:r w:rsidRPr="00CA39C6">
        <w:rPr>
          <w:sz w:val="24"/>
        </w:rPr>
        <w:t>Section</w:t>
      </w:r>
    </w:p>
    <w:p w:rsidR="00F16FBD" w:rsidP="00DB03C7" w14:paraId="5956029E" w14:textId="2877BE03">
      <w:pPr>
        <w:pStyle w:val="BodyText"/>
        <w:ind w:left="419" w:right="276"/>
      </w:pPr>
      <w:r>
        <w:t>Information in this section of the online 372 reporting tool pertains to the most recent waiver year and is due six months following the end of that year. The state provides assurances that all provider standards and health and welfare safeguards have been met and corrective actions have been taken where appropriate. Data is also provided by the state identifying deficiencies detected for any of the waiver’s approved performance measures. A deficiency is a performance level of less than 86%</w:t>
      </w:r>
      <w:r w:rsidR="00EB3687">
        <w:t xml:space="preserve"> or another amount approved in the section 1915(c) waiver</w:t>
      </w:r>
      <w:r>
        <w:t xml:space="preserve">. An aggregated number of substantiated instances of abuse, neglect, exploitation and/or death must also be included. The state provides an explanation of how these deficiencies have </w:t>
      </w:r>
      <w:r w:rsidR="00945624">
        <w:t>been or</w:t>
      </w:r>
      <w:r>
        <w:t xml:space="preserve"> are being corrected as well as the steps taken to ensure they do not reoccur.</w:t>
      </w:r>
      <w:r w:rsidR="00006C3F">
        <w:t xml:space="preserve">  The </w:t>
      </w:r>
      <w:r w:rsidR="001042A4">
        <w:t>Waiver Management System 372(S) Report Screenshots</w:t>
      </w:r>
      <w:r w:rsidR="00006C3F">
        <w:t xml:space="preserve"> </w:t>
      </w:r>
      <w:r w:rsidR="00442E59">
        <w:t xml:space="preserve">reporting instrument </w:t>
      </w:r>
      <w:r w:rsidR="00006C3F">
        <w:t xml:space="preserve">captures </w:t>
      </w:r>
      <w:r w:rsidR="00442E59">
        <w:t xml:space="preserve">a shot of the existing </w:t>
      </w:r>
      <w:r w:rsidR="001042A4">
        <w:t xml:space="preserve">online 372 report’s summary, data and </w:t>
      </w:r>
      <w:r w:rsidR="00442E59">
        <w:t>quality section</w:t>
      </w:r>
      <w:r w:rsidR="001042A4">
        <w:t>s</w:t>
      </w:r>
      <w:r w:rsidR="00442E59">
        <w:t>.</w:t>
      </w:r>
    </w:p>
    <w:p w:rsidR="001042A4" w:rsidRPr="00CA39C6" w:rsidP="00DB03C7" w14:paraId="4D3CB15E" w14:textId="46E966C1">
      <w:pPr>
        <w:pStyle w:val="BodyText"/>
        <w:spacing w:before="100"/>
        <w:ind w:left="420" w:right="257"/>
      </w:pPr>
      <w:r>
        <w:t>Following</w:t>
      </w:r>
      <w:r w:rsidR="00E91CA6">
        <w:t xml:space="preserve"> renewal of this </w:t>
      </w:r>
      <w:r w:rsidR="003879BD">
        <w:t>collection of information request</w:t>
      </w:r>
      <w:r w:rsidR="00E91CA6">
        <w:t xml:space="preserve">, the online 372 reporting tool quality section will begin collecting data for </w:t>
      </w:r>
      <w:r w:rsidR="00006C3F">
        <w:t xml:space="preserve">each </w:t>
      </w:r>
      <w:r w:rsidR="00E91CA6">
        <w:t xml:space="preserve">of the waiver’s approved performance measures. </w:t>
      </w:r>
      <w:r w:rsidR="00F64F9B">
        <w:t xml:space="preserve">The reporting tool will be prepopulated </w:t>
      </w:r>
      <w:r>
        <w:t xml:space="preserve">by WMS </w:t>
      </w:r>
      <w:r w:rsidR="00F64F9B">
        <w:t>with information from the applicable approved section 1915(c) waiver and will include: specific performance measures; frequency of data collection, aggregation</w:t>
      </w:r>
      <w:r w:rsidR="00455BD2">
        <w:t>,</w:t>
      </w:r>
      <w:r w:rsidR="00F64F9B">
        <w:t xml:space="preserve"> and analysis; and the approved sampling approach.   </w:t>
      </w:r>
      <w:r w:rsidR="00E91CA6">
        <w:t xml:space="preserve">When a performance level is less than </w:t>
      </w:r>
      <w:r w:rsidR="00F64F9B">
        <w:t xml:space="preserve">the approved performance level, typically </w:t>
      </w:r>
      <w:r w:rsidR="00E91CA6">
        <w:t xml:space="preserve">86%, the state will be required to provide information about remediation actions taken to bring it into compliance and steps taken to ensure deficiencies do not </w:t>
      </w:r>
      <w:r w:rsidRPr="00CA39C6" w:rsidR="00E91CA6">
        <w:t>reoccur.</w:t>
      </w:r>
      <w:r w:rsidRPr="00CA39C6" w:rsidR="00D05EA8">
        <w:t xml:space="preserve"> </w:t>
      </w:r>
    </w:p>
    <w:p w:rsidR="00F16FBD" w:rsidP="003879BD" w14:paraId="53AF5265" w14:textId="30A6F714">
      <w:pPr>
        <w:pStyle w:val="BodyText"/>
        <w:spacing w:before="119"/>
        <w:ind w:left="420" w:right="555"/>
      </w:pPr>
      <w:r w:rsidRPr="00CA39C6">
        <w:t xml:space="preserve">The 2021 approved collection of information request included a rough draft prototype of the updated quality section. That prototype has been replaced in this 2024 issue with screenshots of a more dynamic quality section to be </w:t>
      </w:r>
      <w:r w:rsidRPr="00CA39C6" w:rsidR="00945624">
        <w:t>released</w:t>
      </w:r>
      <w:r w:rsidRPr="00CA39C6">
        <w:t xml:space="preserve"> in WMS (see </w:t>
      </w:r>
      <w:r w:rsidRPr="00CA39C6" w:rsidR="003879BD">
        <w:t>reporting instrument</w:t>
      </w:r>
      <w:r w:rsidRPr="00CA39C6">
        <w:t xml:space="preserve"> 372 Report Quality Section Updates). Both instruments were designed to gather the same information, but the latest version is much more user friendly.</w:t>
      </w:r>
      <w:r w:rsidRPr="00CA39C6" w:rsidR="003879BD">
        <w:t xml:space="preserve"> </w:t>
      </w:r>
      <w:r w:rsidRPr="00CA39C6" w:rsidR="00006C3F">
        <w:t>Additionally, t</w:t>
      </w:r>
      <w:r w:rsidRPr="00CA39C6" w:rsidR="00DB03C7">
        <w:t xml:space="preserve">he changes described in this </w:t>
      </w:r>
      <w:r w:rsidRPr="00CA39C6" w:rsidR="003879BD">
        <w:t>section</w:t>
      </w:r>
      <w:r w:rsidRPr="00CA39C6" w:rsidR="00DB03C7">
        <w:t xml:space="preserve"> are </w:t>
      </w:r>
      <w:r w:rsidRPr="00CA39C6" w:rsidR="00006C3F">
        <w:t xml:space="preserve">included </w:t>
      </w:r>
      <w:r w:rsidRPr="00CA39C6" w:rsidR="00DB03C7">
        <w:t xml:space="preserve">in the </w:t>
      </w:r>
      <w:r w:rsidRPr="00CA39C6" w:rsidR="007F0C78">
        <w:t>Form CMS</w:t>
      </w:r>
      <w:r w:rsidRPr="00CA39C6" w:rsidR="00006C3F">
        <w:t>-</w:t>
      </w:r>
      <w:r w:rsidRPr="00CA39C6" w:rsidR="007F0C78">
        <w:t xml:space="preserve">372(S) Annual Report </w:t>
      </w:r>
      <w:r w:rsidRPr="00CA39C6" w:rsidR="00006C3F">
        <w:t>HCBS Waivers Crosswalk.</w:t>
      </w:r>
    </w:p>
    <w:p w:rsidR="00F16FBD" w14:paraId="07F8D538" w14:textId="77777777">
      <w:pPr>
        <w:pStyle w:val="ListParagraph"/>
        <w:numPr>
          <w:ilvl w:val="0"/>
          <w:numId w:val="1"/>
        </w:numPr>
        <w:tabs>
          <w:tab w:val="left" w:pos="552"/>
        </w:tabs>
        <w:jc w:val="left"/>
        <w:rPr>
          <w:sz w:val="24"/>
        </w:rPr>
      </w:pPr>
      <w:r>
        <w:rPr>
          <w:sz w:val="24"/>
          <w:u w:val="single"/>
        </w:rPr>
        <w:t>Capital</w:t>
      </w:r>
      <w:r>
        <w:rPr>
          <w:spacing w:val="-1"/>
          <w:sz w:val="24"/>
          <w:u w:val="single"/>
        </w:rPr>
        <w:t xml:space="preserve"> </w:t>
      </w:r>
      <w:r>
        <w:rPr>
          <w:sz w:val="24"/>
          <w:u w:val="single"/>
        </w:rPr>
        <w:t>Costs</w:t>
      </w:r>
    </w:p>
    <w:p w:rsidR="00F16FBD" w14:paraId="701887BA" w14:textId="77777777">
      <w:pPr>
        <w:pStyle w:val="BodyText"/>
      </w:pPr>
      <w:r>
        <w:t>There are no capital costs associated with this collection of information.</w:t>
      </w:r>
    </w:p>
    <w:p w:rsidR="00F16FBD" w14:paraId="781BE839" w14:textId="77777777">
      <w:pPr>
        <w:pStyle w:val="ListParagraph"/>
        <w:numPr>
          <w:ilvl w:val="0"/>
          <w:numId w:val="1"/>
        </w:numPr>
        <w:tabs>
          <w:tab w:val="left" w:pos="552"/>
        </w:tabs>
        <w:jc w:val="left"/>
        <w:rPr>
          <w:sz w:val="24"/>
        </w:rPr>
      </w:pPr>
      <w:r>
        <w:rPr>
          <w:sz w:val="24"/>
          <w:u w:val="single"/>
        </w:rPr>
        <w:t>Cost to Federal</w:t>
      </w:r>
      <w:r>
        <w:rPr>
          <w:spacing w:val="-1"/>
          <w:sz w:val="24"/>
          <w:u w:val="single"/>
        </w:rPr>
        <w:t xml:space="preserve"> </w:t>
      </w:r>
      <w:r>
        <w:rPr>
          <w:sz w:val="24"/>
          <w:u w:val="single"/>
        </w:rPr>
        <w:t>Government</w:t>
      </w:r>
    </w:p>
    <w:p w:rsidR="00734984" w:rsidP="00734984" w14:paraId="61A8C412" w14:textId="7307D29E">
      <w:pPr>
        <w:pStyle w:val="BodyText"/>
        <w:ind w:left="119" w:right="413"/>
      </w:pPr>
      <w:r>
        <w:t>The CMS's Division of HCBS Operations and Oversight (DHCBSO) is responsible for performing review of the Form CMS-372(S) Report via the online 372 reporting tool. CMS estimates a burden of 13 hours for a GS-12, Step 4 analyst at $</w:t>
      </w:r>
      <w:r w:rsidR="00195541">
        <w:t>51</w:t>
      </w:r>
      <w:r>
        <w:t>.</w:t>
      </w:r>
      <w:r w:rsidR="00FF0547">
        <w:t>38</w:t>
      </w:r>
      <w:r>
        <w:t xml:space="preserve">/hr to complete each Form CMS-372(S) Report review. The </w:t>
      </w:r>
      <w:r w:rsidR="00442E59">
        <w:t>13-hour</w:t>
      </w:r>
      <w:r>
        <w:t xml:space="preserve"> burden is comprised of reviewing the annual Form CMS-372(S) Report and additional follow-up actions when the report is incomplete or demonstrates a lack of cost neutrality.</w:t>
      </w:r>
      <w:r w:rsidR="00442E59">
        <w:t xml:space="preserve"> </w:t>
      </w:r>
    </w:p>
    <w:p w:rsidR="00F16FBD" w:rsidP="00734984" w14:paraId="2276E000" w14:textId="5B99C527">
      <w:pPr>
        <w:pStyle w:val="BodyText"/>
        <w:ind w:left="119" w:right="413"/>
      </w:pPr>
      <w:r>
        <w:t>The GS-12, Step 4 was determined to be an average grade based on the variety of staff</w:t>
      </w:r>
      <w:r>
        <w:rPr>
          <w:spacing w:val="-22"/>
        </w:rPr>
        <w:t xml:space="preserve"> </w:t>
      </w:r>
      <w:r>
        <w:t xml:space="preserve">performing 372 </w:t>
      </w:r>
      <w:r w:rsidR="004F1534">
        <w:t>r</w:t>
      </w:r>
      <w:r>
        <w:t>eport reviews within DHCBSO that includes staff members based out of each of the CMS office locations. Since nearly all states operate HCBS waivers, the $</w:t>
      </w:r>
      <w:r w:rsidR="00E16466">
        <w:t>51</w:t>
      </w:r>
      <w:r>
        <w:t>.</w:t>
      </w:r>
      <w:r w:rsidR="00FF0547">
        <w:t>38</w:t>
      </w:r>
      <w:r>
        <w:t xml:space="preserve">/hr wage was determined by averaging basic pay rates for a GS-12, Step 4 analyst across the </w:t>
      </w:r>
      <w:r w:rsidR="00E16466">
        <w:t xml:space="preserve">eleven </w:t>
      </w:r>
      <w:r>
        <w:t>localities of CMS offices as</w:t>
      </w:r>
      <w:r>
        <w:rPr>
          <w:spacing w:val="-3"/>
        </w:rPr>
        <w:t xml:space="preserve"> </w:t>
      </w:r>
      <w:r>
        <w:t>follows:</w:t>
      </w:r>
    </w:p>
    <w:p w:rsidR="00F16FBD" w:rsidRPr="00BD4E1C" w:rsidP="00BD4E1C" w14:paraId="457C2456" w14:textId="303E647F">
      <w:pPr>
        <w:pStyle w:val="Heading1"/>
        <w:rPr>
          <w:b w:val="0"/>
          <w:bCs w:val="0"/>
        </w:rPr>
      </w:pPr>
      <w:r>
        <w:rPr>
          <w:b w:val="0"/>
          <w:bCs w:val="0"/>
        </w:rPr>
        <w:t xml:space="preserve">                         </w:t>
      </w:r>
      <w:r w:rsidRPr="00BD4E1C" w:rsidR="00E91CA6">
        <w:rPr>
          <w:b w:val="0"/>
          <w:bCs w:val="0"/>
        </w:rPr>
        <w:t>Federal Wage Estimates</w:t>
      </w:r>
    </w:p>
    <w:p w:rsidR="00F16FBD" w14:paraId="468AC3E5" w14:textId="77777777">
      <w:pPr>
        <w:pStyle w:val="BodyText"/>
        <w:spacing w:before="5"/>
        <w:ind w:left="0"/>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8"/>
        <w:gridCol w:w="2340"/>
      </w:tblGrid>
      <w:tr w14:paraId="3613955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628" w:type="dxa"/>
          </w:tcPr>
          <w:p w:rsidR="00F16FBD" w:rsidRPr="007536D0" w14:paraId="5489FB10" w14:textId="77777777">
            <w:pPr>
              <w:pStyle w:val="TableParagraph"/>
              <w:rPr>
                <w:sz w:val="20"/>
                <w:szCs w:val="20"/>
              </w:rPr>
            </w:pPr>
            <w:r w:rsidRPr="007536D0">
              <w:rPr>
                <w:sz w:val="20"/>
                <w:szCs w:val="20"/>
              </w:rPr>
              <w:t>Regional Office location</w:t>
            </w:r>
          </w:p>
        </w:tc>
        <w:tc>
          <w:tcPr>
            <w:tcW w:w="2340" w:type="dxa"/>
          </w:tcPr>
          <w:p w:rsidR="00F16FBD" w:rsidRPr="007536D0" w:rsidP="00B8034D" w14:paraId="4C716A9B" w14:textId="395AE17E">
            <w:pPr>
              <w:pStyle w:val="TableParagraph"/>
              <w:spacing w:line="240" w:lineRule="auto"/>
              <w:ind w:right="173"/>
              <w:jc w:val="center"/>
              <w:rPr>
                <w:sz w:val="20"/>
                <w:szCs w:val="20"/>
              </w:rPr>
            </w:pPr>
            <w:r w:rsidRPr="007536D0">
              <w:rPr>
                <w:sz w:val="20"/>
                <w:szCs w:val="20"/>
              </w:rPr>
              <w:t>GS 12-4 hourly basic pay based on locality ($/hr)</w:t>
            </w:r>
          </w:p>
        </w:tc>
      </w:tr>
      <w:tr w14:paraId="16E7681D" w14:textId="77777777">
        <w:tblPrEx>
          <w:tblW w:w="0" w:type="auto"/>
          <w:tblInd w:w="130" w:type="dxa"/>
          <w:tblLayout w:type="fixed"/>
          <w:tblCellMar>
            <w:left w:w="0" w:type="dxa"/>
            <w:right w:w="0" w:type="dxa"/>
          </w:tblCellMar>
          <w:tblLook w:val="01E0"/>
        </w:tblPrEx>
        <w:trPr>
          <w:trHeight w:val="395"/>
        </w:trPr>
        <w:tc>
          <w:tcPr>
            <w:tcW w:w="2628" w:type="dxa"/>
          </w:tcPr>
          <w:p w:rsidR="00F16FBD" w:rsidRPr="007536D0" w14:paraId="285462E7" w14:textId="77777777">
            <w:pPr>
              <w:pStyle w:val="TableParagraph"/>
              <w:rPr>
                <w:sz w:val="20"/>
                <w:szCs w:val="20"/>
              </w:rPr>
            </w:pPr>
            <w:r w:rsidRPr="007536D0">
              <w:rPr>
                <w:sz w:val="20"/>
                <w:szCs w:val="20"/>
              </w:rPr>
              <w:t>Boston</w:t>
            </w:r>
          </w:p>
        </w:tc>
        <w:tc>
          <w:tcPr>
            <w:tcW w:w="2340" w:type="dxa"/>
          </w:tcPr>
          <w:p w:rsidR="00F16FBD" w:rsidRPr="007536D0" w14:paraId="4862F1EA" w14:textId="2310A70A">
            <w:pPr>
              <w:pStyle w:val="TableParagraph"/>
              <w:rPr>
                <w:sz w:val="20"/>
                <w:szCs w:val="20"/>
              </w:rPr>
            </w:pPr>
            <w:r w:rsidRPr="007536D0">
              <w:rPr>
                <w:sz w:val="20"/>
                <w:szCs w:val="20"/>
              </w:rPr>
              <w:t>51.78</w:t>
            </w:r>
          </w:p>
        </w:tc>
      </w:tr>
      <w:tr w14:paraId="5D955042" w14:textId="77777777">
        <w:tblPrEx>
          <w:tblW w:w="0" w:type="auto"/>
          <w:tblInd w:w="130" w:type="dxa"/>
          <w:tblLayout w:type="fixed"/>
          <w:tblCellMar>
            <w:left w:w="0" w:type="dxa"/>
            <w:right w:w="0" w:type="dxa"/>
          </w:tblCellMar>
          <w:tblLook w:val="01E0"/>
        </w:tblPrEx>
        <w:trPr>
          <w:trHeight w:val="396"/>
        </w:trPr>
        <w:tc>
          <w:tcPr>
            <w:tcW w:w="2628" w:type="dxa"/>
          </w:tcPr>
          <w:p w:rsidR="00F16FBD" w:rsidRPr="007536D0" w14:paraId="4691ECAA" w14:textId="77777777">
            <w:pPr>
              <w:pStyle w:val="TableParagraph"/>
              <w:spacing w:line="275" w:lineRule="exact"/>
              <w:rPr>
                <w:sz w:val="20"/>
                <w:szCs w:val="20"/>
              </w:rPr>
            </w:pPr>
            <w:r w:rsidRPr="007536D0">
              <w:rPr>
                <w:sz w:val="20"/>
                <w:szCs w:val="20"/>
              </w:rPr>
              <w:t>New York</w:t>
            </w:r>
          </w:p>
        </w:tc>
        <w:tc>
          <w:tcPr>
            <w:tcW w:w="2340" w:type="dxa"/>
          </w:tcPr>
          <w:p w:rsidR="00F16FBD" w:rsidRPr="007536D0" w14:paraId="6730FE36" w14:textId="50E4F3FD">
            <w:pPr>
              <w:pStyle w:val="TableParagraph"/>
              <w:spacing w:line="275" w:lineRule="exact"/>
              <w:rPr>
                <w:sz w:val="20"/>
                <w:szCs w:val="20"/>
              </w:rPr>
            </w:pPr>
            <w:r w:rsidRPr="007536D0">
              <w:rPr>
                <w:sz w:val="20"/>
                <w:szCs w:val="20"/>
              </w:rPr>
              <w:t>53.85</w:t>
            </w:r>
          </w:p>
        </w:tc>
      </w:tr>
      <w:tr w14:paraId="32856C01" w14:textId="77777777">
        <w:tblPrEx>
          <w:tblW w:w="0" w:type="auto"/>
          <w:tblInd w:w="130" w:type="dxa"/>
          <w:tblLayout w:type="fixed"/>
          <w:tblCellMar>
            <w:left w:w="0" w:type="dxa"/>
            <w:right w:w="0" w:type="dxa"/>
          </w:tblCellMar>
          <w:tblLook w:val="01E0"/>
        </w:tblPrEx>
        <w:trPr>
          <w:trHeight w:val="395"/>
        </w:trPr>
        <w:tc>
          <w:tcPr>
            <w:tcW w:w="2628" w:type="dxa"/>
          </w:tcPr>
          <w:p w:rsidR="00F16FBD" w:rsidRPr="007536D0" w14:paraId="4434CA5E" w14:textId="77777777">
            <w:pPr>
              <w:pStyle w:val="TableParagraph"/>
              <w:rPr>
                <w:sz w:val="20"/>
                <w:szCs w:val="20"/>
              </w:rPr>
            </w:pPr>
            <w:r w:rsidRPr="007536D0">
              <w:rPr>
                <w:sz w:val="20"/>
                <w:szCs w:val="20"/>
              </w:rPr>
              <w:t>Philadelphia</w:t>
            </w:r>
          </w:p>
        </w:tc>
        <w:tc>
          <w:tcPr>
            <w:tcW w:w="2340" w:type="dxa"/>
          </w:tcPr>
          <w:p w:rsidR="00F16FBD" w:rsidRPr="007536D0" w14:paraId="3844628C" w14:textId="7A710414">
            <w:pPr>
              <w:pStyle w:val="TableParagraph"/>
              <w:rPr>
                <w:sz w:val="20"/>
                <w:szCs w:val="20"/>
              </w:rPr>
            </w:pPr>
            <w:r w:rsidRPr="007536D0">
              <w:rPr>
                <w:sz w:val="20"/>
                <w:szCs w:val="20"/>
              </w:rPr>
              <w:t>50.44</w:t>
            </w:r>
          </w:p>
        </w:tc>
      </w:tr>
      <w:tr w14:paraId="32ED2391" w14:textId="77777777" w:rsidTr="00CA0354">
        <w:tblPrEx>
          <w:tblW w:w="0" w:type="auto"/>
          <w:tblInd w:w="130" w:type="dxa"/>
          <w:tblLayout w:type="fixed"/>
          <w:tblCellMar>
            <w:left w:w="0" w:type="dxa"/>
            <w:right w:w="0" w:type="dxa"/>
          </w:tblCellMar>
          <w:tblLook w:val="01E0"/>
        </w:tblPrEx>
        <w:trPr>
          <w:trHeight w:val="395"/>
        </w:trPr>
        <w:tc>
          <w:tcPr>
            <w:tcW w:w="2628" w:type="dxa"/>
          </w:tcPr>
          <w:p w:rsidR="00E16466" w:rsidRPr="007536D0" w:rsidP="00CA0354" w14:paraId="613CBB07" w14:textId="77777777">
            <w:pPr>
              <w:pStyle w:val="TableParagraph"/>
              <w:rPr>
                <w:sz w:val="20"/>
                <w:szCs w:val="20"/>
              </w:rPr>
            </w:pPr>
            <w:r w:rsidRPr="007536D0">
              <w:rPr>
                <w:sz w:val="20"/>
                <w:szCs w:val="20"/>
              </w:rPr>
              <w:t>Baltimore</w:t>
            </w:r>
          </w:p>
        </w:tc>
        <w:tc>
          <w:tcPr>
            <w:tcW w:w="2340" w:type="dxa"/>
          </w:tcPr>
          <w:p w:rsidR="00E16466" w:rsidRPr="007536D0" w:rsidP="00CA0354" w14:paraId="71DFD4A1" w14:textId="77777777">
            <w:pPr>
              <w:pStyle w:val="TableParagraph"/>
              <w:rPr>
                <w:sz w:val="20"/>
                <w:szCs w:val="20"/>
              </w:rPr>
            </w:pPr>
            <w:r w:rsidRPr="007536D0">
              <w:rPr>
                <w:sz w:val="20"/>
                <w:szCs w:val="20"/>
              </w:rPr>
              <w:t>52.29</w:t>
            </w:r>
          </w:p>
        </w:tc>
      </w:tr>
      <w:tr w14:paraId="3C11F5CC" w14:textId="77777777">
        <w:tblPrEx>
          <w:tblW w:w="0" w:type="auto"/>
          <w:tblInd w:w="130" w:type="dxa"/>
          <w:tblLayout w:type="fixed"/>
          <w:tblCellMar>
            <w:left w:w="0" w:type="dxa"/>
            <w:right w:w="0" w:type="dxa"/>
          </w:tblCellMar>
          <w:tblLook w:val="01E0"/>
        </w:tblPrEx>
        <w:trPr>
          <w:trHeight w:val="395"/>
        </w:trPr>
        <w:tc>
          <w:tcPr>
            <w:tcW w:w="2628" w:type="dxa"/>
          </w:tcPr>
          <w:p w:rsidR="00F16FBD" w:rsidRPr="007536D0" w14:paraId="438D1F5B" w14:textId="77777777">
            <w:pPr>
              <w:pStyle w:val="TableParagraph"/>
              <w:rPr>
                <w:sz w:val="20"/>
                <w:szCs w:val="20"/>
              </w:rPr>
            </w:pPr>
            <w:r w:rsidRPr="007536D0">
              <w:rPr>
                <w:sz w:val="20"/>
                <w:szCs w:val="20"/>
              </w:rPr>
              <w:t>Atlanta</w:t>
            </w:r>
          </w:p>
        </w:tc>
        <w:tc>
          <w:tcPr>
            <w:tcW w:w="2340" w:type="dxa"/>
          </w:tcPr>
          <w:p w:rsidR="00F16FBD" w:rsidRPr="007536D0" w14:paraId="17F8BA5B" w14:textId="5CB664EE">
            <w:pPr>
              <w:pStyle w:val="TableParagraph"/>
              <w:rPr>
                <w:sz w:val="20"/>
                <w:szCs w:val="20"/>
              </w:rPr>
            </w:pPr>
            <w:r w:rsidRPr="007536D0">
              <w:rPr>
                <w:sz w:val="20"/>
                <w:szCs w:val="20"/>
              </w:rPr>
              <w:t>48.44</w:t>
            </w:r>
          </w:p>
        </w:tc>
      </w:tr>
      <w:tr w14:paraId="5CE0422A" w14:textId="77777777">
        <w:tblPrEx>
          <w:tblW w:w="0" w:type="auto"/>
          <w:tblInd w:w="130" w:type="dxa"/>
          <w:tblLayout w:type="fixed"/>
          <w:tblCellMar>
            <w:left w:w="0" w:type="dxa"/>
            <w:right w:w="0" w:type="dxa"/>
          </w:tblCellMar>
          <w:tblLook w:val="01E0"/>
        </w:tblPrEx>
        <w:trPr>
          <w:trHeight w:val="396"/>
        </w:trPr>
        <w:tc>
          <w:tcPr>
            <w:tcW w:w="2628" w:type="dxa"/>
          </w:tcPr>
          <w:p w:rsidR="00F16FBD" w:rsidRPr="007536D0" w14:paraId="180F6A8E" w14:textId="77777777">
            <w:pPr>
              <w:pStyle w:val="TableParagraph"/>
              <w:spacing w:line="275" w:lineRule="exact"/>
              <w:rPr>
                <w:sz w:val="20"/>
                <w:szCs w:val="20"/>
              </w:rPr>
            </w:pPr>
            <w:r w:rsidRPr="007536D0">
              <w:rPr>
                <w:sz w:val="20"/>
                <w:szCs w:val="20"/>
              </w:rPr>
              <w:t>Chicago</w:t>
            </w:r>
          </w:p>
        </w:tc>
        <w:tc>
          <w:tcPr>
            <w:tcW w:w="2340" w:type="dxa"/>
          </w:tcPr>
          <w:p w:rsidR="00F16FBD" w:rsidRPr="007536D0" w14:paraId="22777C17" w14:textId="5C4AED6E">
            <w:pPr>
              <w:pStyle w:val="TableParagraph"/>
              <w:spacing w:line="275" w:lineRule="exact"/>
              <w:rPr>
                <w:sz w:val="20"/>
                <w:szCs w:val="20"/>
              </w:rPr>
            </w:pPr>
            <w:r w:rsidRPr="007536D0">
              <w:rPr>
                <w:sz w:val="20"/>
                <w:szCs w:val="20"/>
              </w:rPr>
              <w:t>52.72</w:t>
            </w:r>
          </w:p>
        </w:tc>
      </w:tr>
      <w:tr w14:paraId="2B07E8F7" w14:textId="77777777">
        <w:tblPrEx>
          <w:tblW w:w="0" w:type="auto"/>
          <w:tblInd w:w="130" w:type="dxa"/>
          <w:tblLayout w:type="fixed"/>
          <w:tblCellMar>
            <w:left w:w="0" w:type="dxa"/>
            <w:right w:w="0" w:type="dxa"/>
          </w:tblCellMar>
          <w:tblLook w:val="01E0"/>
        </w:tblPrEx>
        <w:trPr>
          <w:trHeight w:val="395"/>
        </w:trPr>
        <w:tc>
          <w:tcPr>
            <w:tcW w:w="2628" w:type="dxa"/>
          </w:tcPr>
          <w:p w:rsidR="00F16FBD" w:rsidRPr="007536D0" w14:paraId="22572DDC" w14:textId="77777777">
            <w:pPr>
              <w:pStyle w:val="TableParagraph"/>
              <w:rPr>
                <w:sz w:val="20"/>
                <w:szCs w:val="20"/>
              </w:rPr>
            </w:pPr>
            <w:r w:rsidRPr="007536D0">
              <w:rPr>
                <w:sz w:val="20"/>
                <w:szCs w:val="20"/>
              </w:rPr>
              <w:t>Dallas</w:t>
            </w:r>
          </w:p>
        </w:tc>
        <w:tc>
          <w:tcPr>
            <w:tcW w:w="2340" w:type="dxa"/>
          </w:tcPr>
          <w:p w:rsidR="00F16FBD" w:rsidRPr="007536D0" w14:paraId="05871A48" w14:textId="41836F2D">
            <w:pPr>
              <w:pStyle w:val="TableParagraph"/>
              <w:rPr>
                <w:sz w:val="20"/>
                <w:szCs w:val="20"/>
              </w:rPr>
            </w:pPr>
            <w:r w:rsidRPr="007536D0">
              <w:rPr>
                <w:sz w:val="20"/>
                <w:szCs w:val="20"/>
              </w:rPr>
              <w:t>49.79</w:t>
            </w:r>
          </w:p>
        </w:tc>
      </w:tr>
      <w:tr w14:paraId="558997B8" w14:textId="77777777">
        <w:tblPrEx>
          <w:tblW w:w="0" w:type="auto"/>
          <w:tblInd w:w="130" w:type="dxa"/>
          <w:tblLayout w:type="fixed"/>
          <w:tblCellMar>
            <w:left w:w="0" w:type="dxa"/>
            <w:right w:w="0" w:type="dxa"/>
          </w:tblCellMar>
          <w:tblLook w:val="01E0"/>
        </w:tblPrEx>
        <w:trPr>
          <w:trHeight w:val="395"/>
        </w:trPr>
        <w:tc>
          <w:tcPr>
            <w:tcW w:w="2628" w:type="dxa"/>
          </w:tcPr>
          <w:p w:rsidR="00F16FBD" w:rsidRPr="007536D0" w14:paraId="69811708" w14:textId="77777777">
            <w:pPr>
              <w:pStyle w:val="TableParagraph"/>
              <w:rPr>
                <w:sz w:val="20"/>
                <w:szCs w:val="20"/>
              </w:rPr>
            </w:pPr>
            <w:r w:rsidRPr="007536D0">
              <w:rPr>
                <w:sz w:val="20"/>
                <w:szCs w:val="20"/>
              </w:rPr>
              <w:t>Kansas City</w:t>
            </w:r>
          </w:p>
        </w:tc>
        <w:tc>
          <w:tcPr>
            <w:tcW w:w="2340" w:type="dxa"/>
          </w:tcPr>
          <w:p w:rsidR="00F16FBD" w:rsidRPr="007536D0" w14:paraId="185D7CCE" w14:textId="6A4CDF7F">
            <w:pPr>
              <w:pStyle w:val="TableParagraph"/>
              <w:rPr>
                <w:sz w:val="20"/>
                <w:szCs w:val="20"/>
              </w:rPr>
            </w:pPr>
            <w:r w:rsidRPr="007536D0">
              <w:rPr>
                <w:sz w:val="20"/>
                <w:szCs w:val="20"/>
              </w:rPr>
              <w:t>46.55</w:t>
            </w:r>
          </w:p>
        </w:tc>
      </w:tr>
      <w:tr w14:paraId="1F404152" w14:textId="77777777">
        <w:tblPrEx>
          <w:tblW w:w="0" w:type="auto"/>
          <w:tblInd w:w="130" w:type="dxa"/>
          <w:tblLayout w:type="fixed"/>
          <w:tblCellMar>
            <w:left w:w="0" w:type="dxa"/>
            <w:right w:w="0" w:type="dxa"/>
          </w:tblCellMar>
          <w:tblLook w:val="01E0"/>
        </w:tblPrEx>
        <w:trPr>
          <w:trHeight w:val="396"/>
        </w:trPr>
        <w:tc>
          <w:tcPr>
            <w:tcW w:w="2628" w:type="dxa"/>
          </w:tcPr>
          <w:p w:rsidR="00F16FBD" w:rsidRPr="007536D0" w14:paraId="1A8E401E" w14:textId="77777777">
            <w:pPr>
              <w:pStyle w:val="TableParagraph"/>
              <w:spacing w:line="275" w:lineRule="exact"/>
              <w:rPr>
                <w:sz w:val="20"/>
                <w:szCs w:val="20"/>
              </w:rPr>
            </w:pPr>
            <w:r w:rsidRPr="007536D0">
              <w:rPr>
                <w:sz w:val="20"/>
                <w:szCs w:val="20"/>
              </w:rPr>
              <w:t>Denver</w:t>
            </w:r>
          </w:p>
        </w:tc>
        <w:tc>
          <w:tcPr>
            <w:tcW w:w="2340" w:type="dxa"/>
          </w:tcPr>
          <w:p w:rsidR="00F16FBD" w:rsidRPr="007536D0" w14:paraId="5E3E834E" w14:textId="2226F649">
            <w:pPr>
              <w:pStyle w:val="TableParagraph"/>
              <w:spacing w:line="275" w:lineRule="exact"/>
              <w:rPr>
                <w:sz w:val="20"/>
                <w:szCs w:val="20"/>
              </w:rPr>
            </w:pPr>
            <w:r w:rsidRPr="007536D0">
              <w:rPr>
                <w:sz w:val="20"/>
                <w:szCs w:val="20"/>
              </w:rPr>
              <w:t>50.96</w:t>
            </w:r>
          </w:p>
        </w:tc>
      </w:tr>
      <w:tr w14:paraId="07527078" w14:textId="77777777">
        <w:tblPrEx>
          <w:tblW w:w="0" w:type="auto"/>
          <w:tblInd w:w="130" w:type="dxa"/>
          <w:tblLayout w:type="fixed"/>
          <w:tblCellMar>
            <w:left w:w="0" w:type="dxa"/>
            <w:right w:w="0" w:type="dxa"/>
          </w:tblCellMar>
          <w:tblLook w:val="01E0"/>
        </w:tblPrEx>
        <w:trPr>
          <w:trHeight w:val="395"/>
        </w:trPr>
        <w:tc>
          <w:tcPr>
            <w:tcW w:w="2628" w:type="dxa"/>
          </w:tcPr>
          <w:p w:rsidR="00F16FBD" w:rsidRPr="007536D0" w14:paraId="7F16B589" w14:textId="77777777">
            <w:pPr>
              <w:pStyle w:val="TableParagraph"/>
              <w:rPr>
                <w:sz w:val="20"/>
                <w:szCs w:val="20"/>
              </w:rPr>
            </w:pPr>
            <w:r w:rsidRPr="007536D0">
              <w:rPr>
                <w:sz w:val="20"/>
                <w:szCs w:val="20"/>
              </w:rPr>
              <w:t>San Francisco</w:t>
            </w:r>
          </w:p>
        </w:tc>
        <w:tc>
          <w:tcPr>
            <w:tcW w:w="2340" w:type="dxa"/>
          </w:tcPr>
          <w:p w:rsidR="00F16FBD" w:rsidRPr="007536D0" w14:paraId="253F454D" w14:textId="4BC31E9E">
            <w:pPr>
              <w:pStyle w:val="TableParagraph"/>
              <w:rPr>
                <w:sz w:val="20"/>
                <w:szCs w:val="20"/>
              </w:rPr>
            </w:pPr>
            <w:r w:rsidRPr="007536D0">
              <w:rPr>
                <w:sz w:val="20"/>
                <w:szCs w:val="20"/>
              </w:rPr>
              <w:t>57.05</w:t>
            </w:r>
          </w:p>
        </w:tc>
      </w:tr>
      <w:tr w14:paraId="2E31D7E8" w14:textId="77777777">
        <w:tblPrEx>
          <w:tblW w:w="0" w:type="auto"/>
          <w:tblInd w:w="130" w:type="dxa"/>
          <w:tblLayout w:type="fixed"/>
          <w:tblCellMar>
            <w:left w:w="0" w:type="dxa"/>
            <w:right w:w="0" w:type="dxa"/>
          </w:tblCellMar>
          <w:tblLook w:val="01E0"/>
        </w:tblPrEx>
        <w:trPr>
          <w:trHeight w:val="395"/>
        </w:trPr>
        <w:tc>
          <w:tcPr>
            <w:tcW w:w="2628" w:type="dxa"/>
          </w:tcPr>
          <w:p w:rsidR="00F16FBD" w:rsidRPr="007536D0" w14:paraId="00B168BD" w14:textId="77777777">
            <w:pPr>
              <w:pStyle w:val="TableParagraph"/>
              <w:rPr>
                <w:sz w:val="20"/>
                <w:szCs w:val="20"/>
              </w:rPr>
            </w:pPr>
            <w:r w:rsidRPr="007536D0">
              <w:rPr>
                <w:sz w:val="20"/>
                <w:szCs w:val="20"/>
              </w:rPr>
              <w:t>Seattle</w:t>
            </w:r>
          </w:p>
        </w:tc>
        <w:tc>
          <w:tcPr>
            <w:tcW w:w="2340" w:type="dxa"/>
          </w:tcPr>
          <w:p w:rsidR="00F16FBD" w:rsidRPr="007536D0" w14:paraId="310BD687" w14:textId="177A73E9">
            <w:pPr>
              <w:pStyle w:val="TableParagraph"/>
              <w:rPr>
                <w:sz w:val="20"/>
                <w:szCs w:val="20"/>
              </w:rPr>
            </w:pPr>
            <w:r w:rsidRPr="007536D0">
              <w:rPr>
                <w:sz w:val="20"/>
                <w:szCs w:val="20"/>
              </w:rPr>
              <w:t>51.32</w:t>
            </w:r>
          </w:p>
        </w:tc>
      </w:tr>
      <w:tr w14:paraId="0E5E65DB" w14:textId="77777777">
        <w:tblPrEx>
          <w:tblW w:w="0" w:type="auto"/>
          <w:tblInd w:w="130" w:type="dxa"/>
          <w:tblLayout w:type="fixed"/>
          <w:tblCellMar>
            <w:left w:w="0" w:type="dxa"/>
            <w:right w:w="0" w:type="dxa"/>
          </w:tblCellMar>
          <w:tblLook w:val="01E0"/>
        </w:tblPrEx>
        <w:trPr>
          <w:trHeight w:val="396"/>
        </w:trPr>
        <w:tc>
          <w:tcPr>
            <w:tcW w:w="2628" w:type="dxa"/>
          </w:tcPr>
          <w:p w:rsidR="00F16FBD" w:rsidRPr="007536D0" w14:paraId="49349C9C" w14:textId="77777777">
            <w:pPr>
              <w:pStyle w:val="TableParagraph"/>
              <w:spacing w:line="275" w:lineRule="exact"/>
              <w:rPr>
                <w:sz w:val="20"/>
                <w:szCs w:val="20"/>
              </w:rPr>
            </w:pPr>
            <w:r w:rsidRPr="007536D0">
              <w:rPr>
                <w:sz w:val="20"/>
                <w:szCs w:val="20"/>
              </w:rPr>
              <w:t>TOTAL</w:t>
            </w:r>
          </w:p>
        </w:tc>
        <w:tc>
          <w:tcPr>
            <w:tcW w:w="2340" w:type="dxa"/>
          </w:tcPr>
          <w:p w:rsidR="00F16FBD" w:rsidRPr="007536D0" w14:paraId="0268ED25" w14:textId="4FBD6352">
            <w:pPr>
              <w:pStyle w:val="TableParagraph"/>
              <w:spacing w:line="275" w:lineRule="exact"/>
              <w:rPr>
                <w:sz w:val="20"/>
                <w:szCs w:val="20"/>
              </w:rPr>
            </w:pPr>
            <w:r w:rsidRPr="007536D0">
              <w:rPr>
                <w:sz w:val="20"/>
                <w:szCs w:val="20"/>
              </w:rPr>
              <w:t>565.19</w:t>
            </w:r>
          </w:p>
        </w:tc>
      </w:tr>
      <w:tr w14:paraId="364A4934" w14:textId="77777777">
        <w:tblPrEx>
          <w:tblW w:w="0" w:type="auto"/>
          <w:tblInd w:w="130" w:type="dxa"/>
          <w:tblLayout w:type="fixed"/>
          <w:tblCellMar>
            <w:left w:w="0" w:type="dxa"/>
            <w:right w:w="0" w:type="dxa"/>
          </w:tblCellMar>
          <w:tblLook w:val="01E0"/>
        </w:tblPrEx>
        <w:trPr>
          <w:trHeight w:val="395"/>
        </w:trPr>
        <w:tc>
          <w:tcPr>
            <w:tcW w:w="2628" w:type="dxa"/>
          </w:tcPr>
          <w:p w:rsidR="00F16FBD" w:rsidRPr="007536D0" w14:paraId="56764BFD" w14:textId="77777777">
            <w:pPr>
              <w:pStyle w:val="TableParagraph"/>
              <w:rPr>
                <w:sz w:val="20"/>
                <w:szCs w:val="20"/>
              </w:rPr>
            </w:pPr>
            <w:r w:rsidRPr="007536D0">
              <w:rPr>
                <w:sz w:val="20"/>
                <w:szCs w:val="20"/>
              </w:rPr>
              <w:t>Average hourly rate</w:t>
            </w:r>
          </w:p>
        </w:tc>
        <w:tc>
          <w:tcPr>
            <w:tcW w:w="2340" w:type="dxa"/>
          </w:tcPr>
          <w:p w:rsidR="00F16FBD" w:rsidRPr="007536D0" w14:paraId="134E1A0E" w14:textId="115EFEB6">
            <w:pPr>
              <w:pStyle w:val="TableParagraph"/>
              <w:rPr>
                <w:sz w:val="20"/>
                <w:szCs w:val="20"/>
              </w:rPr>
            </w:pPr>
            <w:r w:rsidRPr="007536D0">
              <w:rPr>
                <w:sz w:val="20"/>
                <w:szCs w:val="20"/>
              </w:rPr>
              <w:t>51.</w:t>
            </w:r>
            <w:r w:rsidRPr="007536D0" w:rsidR="00FF0547">
              <w:rPr>
                <w:sz w:val="20"/>
                <w:szCs w:val="20"/>
              </w:rPr>
              <w:t>38</w:t>
            </w:r>
            <w:r w:rsidRPr="007536D0" w:rsidR="004E552B">
              <w:rPr>
                <w:sz w:val="20"/>
                <w:szCs w:val="20"/>
              </w:rPr>
              <w:t xml:space="preserve"> (565.19/11)</w:t>
            </w:r>
          </w:p>
        </w:tc>
      </w:tr>
    </w:tbl>
    <w:p w:rsidR="00F16FBD" w14:paraId="5AE7199E" w14:textId="77777777">
      <w:pPr>
        <w:pStyle w:val="BodyText"/>
        <w:spacing w:before="7"/>
        <w:ind w:left="0"/>
        <w:rPr>
          <w:b/>
          <w:sz w:val="20"/>
        </w:rPr>
      </w:pPr>
    </w:p>
    <w:p w:rsidR="00F16FBD" w14:paraId="6ECEB868" w14:textId="71F0BDB9">
      <w:pPr>
        <w:pStyle w:val="BodyText"/>
        <w:spacing w:before="1"/>
        <w:ind w:left="119" w:right="234"/>
      </w:pPr>
      <w:r>
        <w:t>The 202</w:t>
      </w:r>
      <w:r w:rsidR="00195541">
        <w:t>4</w:t>
      </w:r>
      <w:r>
        <w:t xml:space="preserve"> General Schedule (GS) Locality Pay Tables published by the Office of Personnel Management were used to obtain the hourly basic pay based on locality, see </w:t>
      </w:r>
      <w:hyperlink r:id="rId5" w:history="1">
        <w:r w:rsidRPr="002C58CE" w:rsidR="00455BD2">
          <w:rPr>
            <w:rStyle w:val="Hyperlink"/>
          </w:rPr>
          <w:t>https://www.opm.gov/policy-data-oversight/pay-leave/salaries-wages/2024/general-schedule</w:t>
        </w:r>
      </w:hyperlink>
      <w:r w:rsidR="00455BD2">
        <w:t xml:space="preserve">.  </w:t>
      </w:r>
      <w:r>
        <w:t>When accounting for fringe benefits, the hourly wage is adjusted by 100% to $</w:t>
      </w:r>
      <w:r w:rsidR="00FF0547">
        <w:t>102.76</w:t>
      </w:r>
      <w:r>
        <w:t>/hr</w:t>
      </w:r>
      <w:r w:rsidR="003879BD">
        <w:t>.</w:t>
      </w:r>
      <w:r>
        <w:t xml:space="preserve"> As such, the cost to the federal government is estimated to be $</w:t>
      </w:r>
      <w:r w:rsidRPr="00093B26" w:rsidR="00093B26">
        <w:t>345,99</w:t>
      </w:r>
      <w:r w:rsidR="00093B26">
        <w:t>3</w:t>
      </w:r>
      <w:r>
        <w:t xml:space="preserve"> ($</w:t>
      </w:r>
      <w:r w:rsidR="00455BD2">
        <w:t>102</w:t>
      </w:r>
      <w:r>
        <w:t>.</w:t>
      </w:r>
      <w:r w:rsidR="00FF0547">
        <w:t>76</w:t>
      </w:r>
      <w:r>
        <w:t xml:space="preserve"> x 13 hours x 25</w:t>
      </w:r>
      <w:r w:rsidR="0056669C">
        <w:t>9</w:t>
      </w:r>
      <w:r>
        <w:t xml:space="preserve"> waivers).</w:t>
      </w:r>
    </w:p>
    <w:p w:rsidR="00F16FBD" w14:paraId="0B857136" w14:textId="77777777">
      <w:pPr>
        <w:pStyle w:val="ListParagraph"/>
        <w:numPr>
          <w:ilvl w:val="0"/>
          <w:numId w:val="1"/>
        </w:numPr>
        <w:tabs>
          <w:tab w:val="left" w:pos="552"/>
        </w:tabs>
        <w:jc w:val="left"/>
        <w:rPr>
          <w:sz w:val="24"/>
        </w:rPr>
      </w:pPr>
      <w:r>
        <w:rPr>
          <w:sz w:val="24"/>
          <w:u w:val="single"/>
        </w:rPr>
        <w:t>Changes to</w:t>
      </w:r>
      <w:r>
        <w:rPr>
          <w:spacing w:val="-3"/>
          <w:sz w:val="24"/>
          <w:u w:val="single"/>
        </w:rPr>
        <w:t xml:space="preserve"> </w:t>
      </w:r>
      <w:r>
        <w:rPr>
          <w:sz w:val="24"/>
          <w:u w:val="single"/>
        </w:rPr>
        <w:t>Burden</w:t>
      </w:r>
    </w:p>
    <w:p w:rsidR="005E7499" w14:paraId="537EF608" w14:textId="77777777">
      <w:pPr>
        <w:pStyle w:val="BodyText"/>
        <w:spacing w:before="78"/>
        <w:ind w:right="370"/>
      </w:pPr>
      <w:r>
        <w:t xml:space="preserve">The </w:t>
      </w:r>
      <w:r w:rsidR="00694AA9">
        <w:t>2021 public notification for renewal of the CMS-372(S)</w:t>
      </w:r>
      <w:r w:rsidR="003879BD">
        <w:t xml:space="preserve"> </w:t>
      </w:r>
      <w:r w:rsidR="004F1534">
        <w:t>R</w:t>
      </w:r>
      <w:r w:rsidR="003879BD">
        <w:t>eport</w:t>
      </w:r>
      <w:r w:rsidR="00694AA9">
        <w:t xml:space="preserve"> already </w:t>
      </w:r>
      <w:r>
        <w:t xml:space="preserve">included one additional hour (totaling 44 hours) in anticipation of the more detailed quality section in the online reporting tool. However, the updated </w:t>
      </w:r>
      <w:r w:rsidR="00CC6E93">
        <w:t xml:space="preserve">online </w:t>
      </w:r>
      <w:r>
        <w:t xml:space="preserve">tool has not been implemented yet. </w:t>
      </w:r>
      <w:r w:rsidR="00CC6E93">
        <w:t xml:space="preserve">Therefore, the estimated time to complete the updated online </w:t>
      </w:r>
      <w:r w:rsidR="00B4174E">
        <w:t xml:space="preserve">372 report </w:t>
      </w:r>
      <w:r w:rsidR="00CC6E93">
        <w:t>tool remains at 44 hours.</w:t>
      </w:r>
      <w:r>
        <w:t xml:space="preserve">  </w:t>
      </w:r>
    </w:p>
    <w:p w:rsidR="00881D21" w14:paraId="1954C8A9" w14:textId="54517193">
      <w:pPr>
        <w:pStyle w:val="BodyText"/>
        <w:spacing w:before="78"/>
        <w:ind w:right="370"/>
      </w:pPr>
      <w:r>
        <w:t xml:space="preserve">The </w:t>
      </w:r>
      <w:r w:rsidR="00B4174E">
        <w:t xml:space="preserve">quality section </w:t>
      </w:r>
      <w:r>
        <w:t>update will</w:t>
      </w:r>
      <w:r w:rsidR="00E91CA6">
        <w:t xml:space="preserve"> requir</w:t>
      </w:r>
      <w:r>
        <w:t xml:space="preserve">e states to </w:t>
      </w:r>
      <w:r w:rsidR="003879BD">
        <w:t>report</w:t>
      </w:r>
      <w:r w:rsidR="00E91CA6">
        <w:t xml:space="preserve"> data for all performance measures rather than only for health and welfare and deficient measures. </w:t>
      </w:r>
      <w:r w:rsidR="001A3EC9">
        <w:t>Identifying deficiencies requires s</w:t>
      </w:r>
      <w:r w:rsidR="00E91CA6">
        <w:t xml:space="preserve">tates to gather and evaluate data for </w:t>
      </w:r>
      <w:r w:rsidR="00027A9F">
        <w:t>each</w:t>
      </w:r>
      <w:r w:rsidR="00E91CA6">
        <w:t xml:space="preserve"> of the waiver’s performance measures </w:t>
      </w:r>
      <w:r w:rsidR="00455BD2">
        <w:t xml:space="preserve">approved in the corresponding </w:t>
      </w:r>
      <w:r w:rsidR="003879BD">
        <w:t>§</w:t>
      </w:r>
      <w:r w:rsidR="00455BD2">
        <w:t>1915(c) waiver</w:t>
      </w:r>
      <w:r w:rsidR="001A3EC9">
        <w:t xml:space="preserve"> on an annual basis unless otherwise specified in the waiver.  As a result</w:t>
      </w:r>
      <w:r w:rsidR="00455BD2">
        <w:t>,</w:t>
      </w:r>
      <w:r w:rsidR="001A3EC9">
        <w:t xml:space="preserve"> states should have the information they need to complete the updated quality section.</w:t>
      </w:r>
      <w:r w:rsidR="00455BD2">
        <w:t xml:space="preserve"> The online </w:t>
      </w:r>
      <w:r w:rsidR="00770380">
        <w:t>372 report</w:t>
      </w:r>
      <w:r w:rsidR="00B4174E">
        <w:t>ing tool</w:t>
      </w:r>
      <w:r w:rsidR="00455BD2">
        <w:t xml:space="preserve"> will </w:t>
      </w:r>
      <w:r w:rsidR="001A3EC9">
        <w:t xml:space="preserve">also </w:t>
      </w:r>
      <w:r w:rsidR="00BD4360">
        <w:t xml:space="preserve">allow states to indicate if no data is available for a specific performance measure.  </w:t>
      </w:r>
    </w:p>
    <w:p w:rsidR="00B4174E" w:rsidP="00B4174E" w14:paraId="14A428BA" w14:textId="25232CBB">
      <w:pPr>
        <w:pStyle w:val="BodyText"/>
        <w:ind w:left="119" w:right="186"/>
      </w:pPr>
      <w:r>
        <w:t xml:space="preserve">Requiring the detailed quality performance measure data in the 372 report on an annual basis </w:t>
      </w:r>
      <w:r>
        <w:t>will be more efficient for states and CMS. Without the change, states are required to report on the quality assurances annually in the 372 report in addition to providing three-</w:t>
      </w:r>
      <w:r w:rsidR="00945624">
        <w:t>year’s worth</w:t>
      </w:r>
      <w:r>
        <w:t xml:space="preserve"> of performance measure data once per 3 or 5-year waiver cycle for the CMS quality review report.  When implemented, CMS will be able to compile information from the 372 reports and use it as evidence for the CMS quality review reports.</w:t>
      </w:r>
    </w:p>
    <w:p w:rsidR="00B4174E" w:rsidP="00B4174E" w14:paraId="36151F12" w14:textId="6355BC32">
      <w:pPr>
        <w:pStyle w:val="BodyText"/>
        <w:ind w:left="119" w:right="186"/>
      </w:pPr>
      <w:r>
        <w:t xml:space="preserve">There are 6 new §1915(c) waivers as compared to the 2021 approved collection of information request.  Therefore, we project an increase of 264 hours (from 253 waivers to 259 waivers) ([Active: 253 waivers x 44 hr/response] – [Revised: [259 waivers x 44 hr/response]). When factoring the </w:t>
      </w:r>
      <w:r w:rsidRPr="00900C30">
        <w:t>U.S. Bureau of Labor Statistics</w:t>
      </w:r>
      <w:r>
        <w:t xml:space="preserve">’ wage increase of plus $9.34/hr (from </w:t>
      </w:r>
      <w:r w:rsidRPr="001E1033">
        <w:t>$</w:t>
      </w:r>
      <w:r>
        <w:t>75.32</w:t>
      </w:r>
      <w:r w:rsidRPr="001E1033">
        <w:t xml:space="preserve">/hr </w:t>
      </w:r>
      <w:r>
        <w:t xml:space="preserve">to </w:t>
      </w:r>
      <w:r w:rsidRPr="000E6697">
        <w:t>$</w:t>
      </w:r>
      <w:r>
        <w:t>84.66</w:t>
      </w:r>
      <w:r w:rsidRPr="000E6697">
        <w:t>/hr</w:t>
      </w:r>
      <w:r>
        <w:t>)</w:t>
      </w:r>
      <w:r w:rsidRPr="000E6697">
        <w:t xml:space="preserve"> </w:t>
      </w:r>
      <w:r>
        <w:t>we project a cost increase of $126,323 (from $838,462 to $964,785).</w:t>
      </w:r>
    </w:p>
    <w:p w:rsidR="00526B45" w:rsidP="00B4174E" w14:paraId="61854CCA" w14:textId="77777777">
      <w:pPr>
        <w:pStyle w:val="BodyText"/>
        <w:ind w:left="119" w:right="186"/>
      </w:pPr>
    </w:p>
    <w:tbl>
      <w:tblPr>
        <w:tblStyle w:val="TableGrid"/>
        <w:tblW w:w="0" w:type="auto"/>
        <w:jc w:val="center"/>
        <w:tblLook w:val="04A0"/>
      </w:tblPr>
      <w:tblGrid>
        <w:gridCol w:w="1280"/>
        <w:gridCol w:w="1425"/>
        <w:gridCol w:w="1316"/>
        <w:gridCol w:w="1312"/>
        <w:gridCol w:w="1304"/>
        <w:gridCol w:w="1300"/>
        <w:gridCol w:w="1305"/>
      </w:tblGrid>
      <w:tr w14:paraId="5C7C47B6" w14:textId="77777777" w:rsidTr="00526B45">
        <w:tblPrEx>
          <w:tblW w:w="0" w:type="auto"/>
          <w:jc w:val="center"/>
          <w:tblLook w:val="04A0"/>
        </w:tblPrEx>
        <w:trPr>
          <w:jc w:val="center"/>
        </w:trPr>
        <w:tc>
          <w:tcPr>
            <w:tcW w:w="1269" w:type="dxa"/>
          </w:tcPr>
          <w:p w:rsidR="00526B45" w:rsidRPr="00526B45" w:rsidP="00526B45" w14:paraId="281C3280" w14:textId="77777777">
            <w:pPr>
              <w:pStyle w:val="BodyText"/>
              <w:ind w:left="0" w:right="186"/>
              <w:rPr>
                <w:sz w:val="20"/>
                <w:szCs w:val="20"/>
              </w:rPr>
            </w:pPr>
          </w:p>
        </w:tc>
        <w:tc>
          <w:tcPr>
            <w:tcW w:w="1425" w:type="dxa"/>
            <w:shd w:val="clear" w:color="auto" w:fill="auto"/>
            <w:vAlign w:val="center"/>
          </w:tcPr>
          <w:p w:rsidR="00526B45" w:rsidRPr="00526B45" w:rsidP="00526B45" w14:paraId="5CCA253A" w14:textId="26C3CA6A">
            <w:pPr>
              <w:pStyle w:val="BodyText"/>
              <w:ind w:left="0" w:right="186"/>
              <w:rPr>
                <w:sz w:val="20"/>
                <w:szCs w:val="20"/>
              </w:rPr>
            </w:pPr>
            <w:r w:rsidRPr="00526B45">
              <w:rPr>
                <w:color w:val="000000"/>
                <w:sz w:val="20"/>
                <w:szCs w:val="20"/>
              </w:rPr>
              <w:t># of Respondents</w:t>
            </w:r>
          </w:p>
        </w:tc>
        <w:tc>
          <w:tcPr>
            <w:tcW w:w="1316" w:type="dxa"/>
            <w:shd w:val="clear" w:color="auto" w:fill="auto"/>
            <w:vAlign w:val="center"/>
          </w:tcPr>
          <w:p w:rsidR="00526B45" w:rsidRPr="00526B45" w:rsidP="00526B45" w14:paraId="5202FBE9" w14:textId="40390087">
            <w:pPr>
              <w:pStyle w:val="BodyText"/>
              <w:ind w:left="0" w:right="186"/>
              <w:rPr>
                <w:sz w:val="20"/>
                <w:szCs w:val="20"/>
              </w:rPr>
            </w:pPr>
            <w:r w:rsidRPr="00526B45">
              <w:rPr>
                <w:color w:val="000000"/>
                <w:sz w:val="20"/>
                <w:szCs w:val="20"/>
              </w:rPr>
              <w:t>Total # of Responses</w:t>
            </w:r>
          </w:p>
        </w:tc>
        <w:tc>
          <w:tcPr>
            <w:tcW w:w="1312" w:type="dxa"/>
            <w:shd w:val="clear" w:color="auto" w:fill="auto"/>
            <w:vAlign w:val="center"/>
          </w:tcPr>
          <w:p w:rsidR="00526B45" w:rsidRPr="00526B45" w:rsidP="00526B45" w14:paraId="5786EB51" w14:textId="65D60179">
            <w:pPr>
              <w:pStyle w:val="BodyText"/>
              <w:ind w:left="0" w:right="186"/>
              <w:rPr>
                <w:sz w:val="20"/>
                <w:szCs w:val="20"/>
              </w:rPr>
            </w:pPr>
            <w:r w:rsidRPr="00526B45">
              <w:rPr>
                <w:color w:val="000000"/>
                <w:sz w:val="20"/>
                <w:szCs w:val="20"/>
              </w:rPr>
              <w:t>Time per Response (hours)</w:t>
            </w:r>
          </w:p>
        </w:tc>
        <w:tc>
          <w:tcPr>
            <w:tcW w:w="1304" w:type="dxa"/>
            <w:shd w:val="clear" w:color="auto" w:fill="auto"/>
            <w:vAlign w:val="center"/>
          </w:tcPr>
          <w:p w:rsidR="00526B45" w:rsidRPr="00526B45" w:rsidP="00526B45" w14:paraId="6DFE5BD0" w14:textId="5E037544">
            <w:pPr>
              <w:pStyle w:val="BodyText"/>
              <w:ind w:left="0" w:right="186"/>
              <w:rPr>
                <w:sz w:val="20"/>
                <w:szCs w:val="20"/>
              </w:rPr>
            </w:pPr>
            <w:r w:rsidRPr="00526B45">
              <w:rPr>
                <w:color w:val="000000"/>
                <w:sz w:val="20"/>
                <w:szCs w:val="20"/>
              </w:rPr>
              <w:t>Total Time (hours)</w:t>
            </w:r>
          </w:p>
        </w:tc>
        <w:tc>
          <w:tcPr>
            <w:tcW w:w="1300" w:type="dxa"/>
            <w:shd w:val="clear" w:color="auto" w:fill="auto"/>
            <w:vAlign w:val="center"/>
          </w:tcPr>
          <w:p w:rsidR="00526B45" w:rsidRPr="00526B45" w:rsidP="00526B45" w14:paraId="52152F26" w14:textId="45B6AAA3">
            <w:pPr>
              <w:pStyle w:val="BodyText"/>
              <w:ind w:left="0" w:right="186"/>
              <w:rPr>
                <w:sz w:val="20"/>
                <w:szCs w:val="20"/>
              </w:rPr>
            </w:pPr>
            <w:r w:rsidRPr="00526B45">
              <w:rPr>
                <w:color w:val="000000"/>
                <w:sz w:val="20"/>
                <w:szCs w:val="20"/>
              </w:rPr>
              <w:t>Labor Rate ($/</w:t>
            </w:r>
            <w:r w:rsidRPr="00526B45">
              <w:rPr>
                <w:color w:val="000000"/>
                <w:sz w:val="20"/>
                <w:szCs w:val="20"/>
              </w:rPr>
              <w:t>hr</w:t>
            </w:r>
            <w:r w:rsidRPr="00526B45">
              <w:rPr>
                <w:color w:val="000000"/>
                <w:sz w:val="20"/>
                <w:szCs w:val="20"/>
              </w:rPr>
              <w:t>)</w:t>
            </w:r>
          </w:p>
        </w:tc>
        <w:tc>
          <w:tcPr>
            <w:tcW w:w="1305" w:type="dxa"/>
            <w:shd w:val="clear" w:color="auto" w:fill="auto"/>
            <w:vAlign w:val="center"/>
          </w:tcPr>
          <w:p w:rsidR="00526B45" w:rsidRPr="00526B45" w:rsidP="00526B45" w14:paraId="11BEB6EC" w14:textId="0BBD0F80">
            <w:pPr>
              <w:pStyle w:val="BodyText"/>
              <w:ind w:left="0" w:right="186"/>
              <w:rPr>
                <w:sz w:val="20"/>
                <w:szCs w:val="20"/>
              </w:rPr>
            </w:pPr>
            <w:r w:rsidRPr="00526B45">
              <w:rPr>
                <w:color w:val="000000"/>
                <w:sz w:val="20"/>
                <w:szCs w:val="20"/>
              </w:rPr>
              <w:t>Total Annual Cost ($)</w:t>
            </w:r>
          </w:p>
        </w:tc>
      </w:tr>
      <w:tr w14:paraId="72698D46" w14:textId="77777777" w:rsidTr="00526B45">
        <w:tblPrEx>
          <w:tblW w:w="0" w:type="auto"/>
          <w:jc w:val="center"/>
          <w:tblLook w:val="04A0"/>
        </w:tblPrEx>
        <w:trPr>
          <w:jc w:val="center"/>
        </w:trPr>
        <w:tc>
          <w:tcPr>
            <w:tcW w:w="1269" w:type="dxa"/>
            <w:shd w:val="clear" w:color="auto" w:fill="auto"/>
            <w:vAlign w:val="center"/>
          </w:tcPr>
          <w:p w:rsidR="00526B45" w:rsidRPr="00526B45" w:rsidP="00526B45" w14:paraId="26D7F200" w14:textId="24454E3C">
            <w:pPr>
              <w:pStyle w:val="BodyText"/>
              <w:ind w:left="0" w:right="186"/>
              <w:rPr>
                <w:sz w:val="20"/>
                <w:szCs w:val="20"/>
              </w:rPr>
            </w:pPr>
            <w:r w:rsidRPr="00526B45">
              <w:rPr>
                <w:color w:val="000000"/>
                <w:sz w:val="20"/>
                <w:szCs w:val="20"/>
              </w:rPr>
              <w:t>2021 (Active)</w:t>
            </w:r>
          </w:p>
        </w:tc>
        <w:tc>
          <w:tcPr>
            <w:tcW w:w="1425" w:type="dxa"/>
            <w:shd w:val="clear" w:color="auto" w:fill="auto"/>
            <w:vAlign w:val="center"/>
          </w:tcPr>
          <w:p w:rsidR="00526B45" w:rsidRPr="00526B45" w:rsidP="00526B45" w14:paraId="456BBE85" w14:textId="11D72001">
            <w:pPr>
              <w:pStyle w:val="BodyText"/>
              <w:ind w:left="0" w:right="186"/>
              <w:rPr>
                <w:sz w:val="20"/>
                <w:szCs w:val="20"/>
              </w:rPr>
            </w:pPr>
            <w:r w:rsidRPr="00526B45">
              <w:rPr>
                <w:color w:val="000000"/>
                <w:sz w:val="20"/>
                <w:szCs w:val="20"/>
              </w:rPr>
              <w:t>48</w:t>
            </w:r>
          </w:p>
        </w:tc>
        <w:tc>
          <w:tcPr>
            <w:tcW w:w="1316" w:type="dxa"/>
            <w:shd w:val="clear" w:color="auto" w:fill="auto"/>
            <w:vAlign w:val="center"/>
          </w:tcPr>
          <w:p w:rsidR="00526B45" w:rsidRPr="00526B45" w:rsidP="00526B45" w14:paraId="5178C9F5" w14:textId="04F36F6E">
            <w:pPr>
              <w:pStyle w:val="BodyText"/>
              <w:ind w:left="0" w:right="186"/>
              <w:rPr>
                <w:sz w:val="20"/>
                <w:szCs w:val="20"/>
              </w:rPr>
            </w:pPr>
            <w:r w:rsidRPr="00526B45">
              <w:rPr>
                <w:color w:val="000000"/>
                <w:sz w:val="20"/>
                <w:szCs w:val="20"/>
              </w:rPr>
              <w:t>253</w:t>
            </w:r>
          </w:p>
        </w:tc>
        <w:tc>
          <w:tcPr>
            <w:tcW w:w="1312" w:type="dxa"/>
            <w:shd w:val="clear" w:color="auto" w:fill="auto"/>
            <w:vAlign w:val="center"/>
          </w:tcPr>
          <w:p w:rsidR="00526B45" w:rsidRPr="00526B45" w:rsidP="00526B45" w14:paraId="21E8AD73" w14:textId="0A0670C2">
            <w:pPr>
              <w:pStyle w:val="BodyText"/>
              <w:ind w:left="0" w:right="186"/>
              <w:rPr>
                <w:sz w:val="20"/>
                <w:szCs w:val="20"/>
              </w:rPr>
            </w:pPr>
            <w:r w:rsidRPr="00526B45">
              <w:rPr>
                <w:color w:val="000000"/>
                <w:sz w:val="20"/>
                <w:szCs w:val="20"/>
              </w:rPr>
              <w:t>44</w:t>
            </w:r>
          </w:p>
        </w:tc>
        <w:tc>
          <w:tcPr>
            <w:tcW w:w="1304" w:type="dxa"/>
            <w:shd w:val="clear" w:color="auto" w:fill="auto"/>
            <w:vAlign w:val="center"/>
          </w:tcPr>
          <w:p w:rsidR="00526B45" w:rsidRPr="00526B45" w:rsidP="00526B45" w14:paraId="7652C866" w14:textId="342072E2">
            <w:pPr>
              <w:pStyle w:val="BodyText"/>
              <w:ind w:left="0" w:right="186"/>
              <w:rPr>
                <w:sz w:val="20"/>
                <w:szCs w:val="20"/>
              </w:rPr>
            </w:pPr>
            <w:r w:rsidRPr="00526B45">
              <w:rPr>
                <w:color w:val="000000"/>
                <w:sz w:val="20"/>
                <w:szCs w:val="20"/>
              </w:rPr>
              <w:t>11,132</w:t>
            </w:r>
          </w:p>
        </w:tc>
        <w:tc>
          <w:tcPr>
            <w:tcW w:w="1300" w:type="dxa"/>
            <w:shd w:val="clear" w:color="auto" w:fill="auto"/>
            <w:vAlign w:val="center"/>
          </w:tcPr>
          <w:p w:rsidR="00526B45" w:rsidRPr="00526B45" w:rsidP="00526B45" w14:paraId="60DEF706" w14:textId="5BE4089D">
            <w:pPr>
              <w:pStyle w:val="BodyText"/>
              <w:ind w:left="0" w:right="186"/>
              <w:rPr>
                <w:sz w:val="20"/>
                <w:szCs w:val="20"/>
              </w:rPr>
            </w:pPr>
            <w:r w:rsidRPr="00526B45">
              <w:rPr>
                <w:color w:val="000000"/>
                <w:sz w:val="20"/>
                <w:szCs w:val="20"/>
              </w:rPr>
              <w:t>75.32</w:t>
            </w:r>
          </w:p>
        </w:tc>
        <w:tc>
          <w:tcPr>
            <w:tcW w:w="1305" w:type="dxa"/>
            <w:shd w:val="clear" w:color="auto" w:fill="auto"/>
            <w:vAlign w:val="center"/>
          </w:tcPr>
          <w:p w:rsidR="00526B45" w:rsidRPr="00526B45" w:rsidP="00526B45" w14:paraId="64B798B0" w14:textId="562B57EF">
            <w:pPr>
              <w:pStyle w:val="BodyText"/>
              <w:ind w:left="0" w:right="186"/>
              <w:rPr>
                <w:sz w:val="20"/>
                <w:szCs w:val="20"/>
              </w:rPr>
            </w:pPr>
            <w:r w:rsidRPr="00526B45">
              <w:rPr>
                <w:color w:val="000000"/>
                <w:sz w:val="20"/>
                <w:szCs w:val="20"/>
              </w:rPr>
              <w:t>838,462</w:t>
            </w:r>
          </w:p>
        </w:tc>
      </w:tr>
      <w:tr w14:paraId="69CC6A88" w14:textId="77777777" w:rsidTr="00526B45">
        <w:tblPrEx>
          <w:tblW w:w="0" w:type="auto"/>
          <w:jc w:val="center"/>
          <w:tblLook w:val="04A0"/>
        </w:tblPrEx>
        <w:trPr>
          <w:jc w:val="center"/>
        </w:trPr>
        <w:tc>
          <w:tcPr>
            <w:tcW w:w="1269" w:type="dxa"/>
            <w:shd w:val="clear" w:color="auto" w:fill="auto"/>
            <w:vAlign w:val="center"/>
          </w:tcPr>
          <w:p w:rsidR="00526B45" w:rsidRPr="00526B45" w:rsidP="00526B45" w14:paraId="565DA180" w14:textId="57D9510D">
            <w:pPr>
              <w:pStyle w:val="BodyText"/>
              <w:ind w:left="0" w:right="186"/>
              <w:rPr>
                <w:sz w:val="20"/>
                <w:szCs w:val="20"/>
              </w:rPr>
            </w:pPr>
            <w:r w:rsidRPr="00526B45">
              <w:rPr>
                <w:color w:val="000000"/>
                <w:sz w:val="20"/>
                <w:szCs w:val="20"/>
              </w:rPr>
              <w:t>2024 (Proposed)</w:t>
            </w:r>
          </w:p>
        </w:tc>
        <w:tc>
          <w:tcPr>
            <w:tcW w:w="1425" w:type="dxa"/>
            <w:shd w:val="clear" w:color="auto" w:fill="auto"/>
            <w:vAlign w:val="center"/>
          </w:tcPr>
          <w:p w:rsidR="00526B45" w:rsidRPr="00526B45" w:rsidP="00526B45" w14:paraId="61099B11" w14:textId="470748C6">
            <w:pPr>
              <w:pStyle w:val="BodyText"/>
              <w:ind w:left="0" w:right="186"/>
              <w:rPr>
                <w:sz w:val="20"/>
                <w:szCs w:val="20"/>
              </w:rPr>
            </w:pPr>
            <w:r w:rsidRPr="00526B45">
              <w:rPr>
                <w:color w:val="000000"/>
                <w:sz w:val="20"/>
                <w:szCs w:val="20"/>
              </w:rPr>
              <w:t>47</w:t>
            </w:r>
          </w:p>
        </w:tc>
        <w:tc>
          <w:tcPr>
            <w:tcW w:w="1316" w:type="dxa"/>
            <w:shd w:val="clear" w:color="auto" w:fill="auto"/>
            <w:vAlign w:val="center"/>
          </w:tcPr>
          <w:p w:rsidR="00526B45" w:rsidRPr="00526B45" w:rsidP="00526B45" w14:paraId="488EC6C6" w14:textId="7D7FA0BA">
            <w:pPr>
              <w:pStyle w:val="BodyText"/>
              <w:ind w:left="0" w:right="186"/>
              <w:rPr>
                <w:sz w:val="20"/>
                <w:szCs w:val="20"/>
              </w:rPr>
            </w:pPr>
            <w:r w:rsidRPr="00526B45">
              <w:rPr>
                <w:color w:val="000000"/>
                <w:sz w:val="20"/>
                <w:szCs w:val="20"/>
              </w:rPr>
              <w:t>259</w:t>
            </w:r>
          </w:p>
        </w:tc>
        <w:tc>
          <w:tcPr>
            <w:tcW w:w="1312" w:type="dxa"/>
            <w:shd w:val="clear" w:color="auto" w:fill="auto"/>
            <w:vAlign w:val="center"/>
          </w:tcPr>
          <w:p w:rsidR="00526B45" w:rsidRPr="00526B45" w:rsidP="00526B45" w14:paraId="286C6D7A" w14:textId="244606BE">
            <w:pPr>
              <w:pStyle w:val="BodyText"/>
              <w:ind w:left="0" w:right="186"/>
              <w:rPr>
                <w:sz w:val="20"/>
                <w:szCs w:val="20"/>
              </w:rPr>
            </w:pPr>
            <w:r w:rsidRPr="00526B45">
              <w:rPr>
                <w:color w:val="000000"/>
                <w:sz w:val="20"/>
                <w:szCs w:val="20"/>
              </w:rPr>
              <w:t>44</w:t>
            </w:r>
          </w:p>
        </w:tc>
        <w:tc>
          <w:tcPr>
            <w:tcW w:w="1304" w:type="dxa"/>
            <w:shd w:val="clear" w:color="auto" w:fill="auto"/>
            <w:vAlign w:val="center"/>
          </w:tcPr>
          <w:p w:rsidR="00526B45" w:rsidRPr="00526B45" w:rsidP="00526B45" w14:paraId="62B0A91A" w14:textId="2D7D7493">
            <w:pPr>
              <w:pStyle w:val="BodyText"/>
              <w:ind w:left="0" w:right="186"/>
              <w:rPr>
                <w:sz w:val="20"/>
                <w:szCs w:val="20"/>
              </w:rPr>
            </w:pPr>
            <w:r w:rsidRPr="00526B45">
              <w:rPr>
                <w:color w:val="000000"/>
                <w:sz w:val="20"/>
                <w:szCs w:val="20"/>
              </w:rPr>
              <w:t>11,396</w:t>
            </w:r>
          </w:p>
        </w:tc>
        <w:tc>
          <w:tcPr>
            <w:tcW w:w="1300" w:type="dxa"/>
            <w:shd w:val="clear" w:color="auto" w:fill="auto"/>
            <w:vAlign w:val="center"/>
          </w:tcPr>
          <w:p w:rsidR="00526B45" w:rsidRPr="00526B45" w:rsidP="00526B45" w14:paraId="2E5424BC" w14:textId="40EE052B">
            <w:pPr>
              <w:pStyle w:val="BodyText"/>
              <w:ind w:left="0" w:right="186"/>
              <w:rPr>
                <w:sz w:val="20"/>
                <w:szCs w:val="20"/>
              </w:rPr>
            </w:pPr>
            <w:r w:rsidRPr="00526B45">
              <w:rPr>
                <w:color w:val="000000"/>
                <w:sz w:val="20"/>
                <w:szCs w:val="20"/>
              </w:rPr>
              <w:t>84.66</w:t>
            </w:r>
          </w:p>
        </w:tc>
        <w:tc>
          <w:tcPr>
            <w:tcW w:w="1305" w:type="dxa"/>
            <w:shd w:val="clear" w:color="auto" w:fill="auto"/>
            <w:vAlign w:val="center"/>
          </w:tcPr>
          <w:p w:rsidR="00526B45" w:rsidRPr="00526B45" w:rsidP="00526B45" w14:paraId="6D12156A" w14:textId="06490D54">
            <w:pPr>
              <w:pStyle w:val="BodyText"/>
              <w:ind w:left="0" w:right="186"/>
              <w:rPr>
                <w:sz w:val="20"/>
                <w:szCs w:val="20"/>
              </w:rPr>
            </w:pPr>
            <w:r w:rsidRPr="00526B45">
              <w:rPr>
                <w:color w:val="000000"/>
                <w:sz w:val="20"/>
                <w:szCs w:val="20"/>
              </w:rPr>
              <w:t>964,785</w:t>
            </w:r>
          </w:p>
        </w:tc>
      </w:tr>
      <w:tr w14:paraId="3B794522" w14:textId="77777777" w:rsidTr="00526B45">
        <w:tblPrEx>
          <w:tblW w:w="0" w:type="auto"/>
          <w:jc w:val="center"/>
          <w:tblLook w:val="04A0"/>
        </w:tblPrEx>
        <w:trPr>
          <w:jc w:val="center"/>
        </w:trPr>
        <w:tc>
          <w:tcPr>
            <w:tcW w:w="1269" w:type="dxa"/>
            <w:shd w:val="clear" w:color="auto" w:fill="auto"/>
            <w:vAlign w:val="center"/>
          </w:tcPr>
          <w:p w:rsidR="00526B45" w:rsidRPr="00526B45" w:rsidP="00526B45" w14:paraId="4DD65B1E" w14:textId="3B9106AA">
            <w:pPr>
              <w:pStyle w:val="BodyText"/>
              <w:ind w:left="0" w:right="186"/>
              <w:rPr>
                <w:sz w:val="20"/>
                <w:szCs w:val="20"/>
              </w:rPr>
            </w:pPr>
            <w:r w:rsidRPr="00526B45">
              <w:rPr>
                <w:b/>
                <w:bCs/>
                <w:color w:val="000000"/>
                <w:sz w:val="20"/>
                <w:szCs w:val="20"/>
              </w:rPr>
              <w:t>Change</w:t>
            </w:r>
          </w:p>
        </w:tc>
        <w:tc>
          <w:tcPr>
            <w:tcW w:w="1425" w:type="dxa"/>
            <w:shd w:val="clear" w:color="auto" w:fill="auto"/>
            <w:vAlign w:val="center"/>
          </w:tcPr>
          <w:p w:rsidR="00526B45" w:rsidRPr="00526B45" w:rsidP="00526B45" w14:paraId="33726D49" w14:textId="45B9759C">
            <w:pPr>
              <w:pStyle w:val="BodyText"/>
              <w:ind w:left="0" w:right="186"/>
              <w:rPr>
                <w:sz w:val="20"/>
                <w:szCs w:val="20"/>
              </w:rPr>
            </w:pPr>
            <w:r w:rsidRPr="00526B45">
              <w:rPr>
                <w:b/>
                <w:bCs/>
                <w:color w:val="000000"/>
                <w:sz w:val="20"/>
                <w:szCs w:val="20"/>
              </w:rPr>
              <w:t>(1)</w:t>
            </w:r>
          </w:p>
        </w:tc>
        <w:tc>
          <w:tcPr>
            <w:tcW w:w="1316" w:type="dxa"/>
            <w:shd w:val="clear" w:color="auto" w:fill="auto"/>
            <w:vAlign w:val="center"/>
          </w:tcPr>
          <w:p w:rsidR="00526B45" w:rsidRPr="00526B45" w:rsidP="00526B45" w14:paraId="47D745C3" w14:textId="76E1B0F1">
            <w:pPr>
              <w:pStyle w:val="BodyText"/>
              <w:ind w:left="0" w:right="186"/>
              <w:rPr>
                <w:sz w:val="20"/>
                <w:szCs w:val="20"/>
              </w:rPr>
            </w:pPr>
            <w:r w:rsidRPr="00526B45">
              <w:rPr>
                <w:b/>
                <w:bCs/>
                <w:color w:val="000000"/>
                <w:sz w:val="20"/>
                <w:szCs w:val="20"/>
              </w:rPr>
              <w:t>+6</w:t>
            </w:r>
          </w:p>
        </w:tc>
        <w:tc>
          <w:tcPr>
            <w:tcW w:w="1312" w:type="dxa"/>
            <w:shd w:val="clear" w:color="auto" w:fill="auto"/>
            <w:vAlign w:val="center"/>
          </w:tcPr>
          <w:p w:rsidR="00526B45" w:rsidRPr="00526B45" w:rsidP="00526B45" w14:paraId="289C252E" w14:textId="4B4E147F">
            <w:pPr>
              <w:pStyle w:val="BodyText"/>
              <w:ind w:left="0" w:right="186"/>
              <w:rPr>
                <w:sz w:val="20"/>
                <w:szCs w:val="20"/>
              </w:rPr>
            </w:pPr>
            <w:r w:rsidRPr="00526B45">
              <w:rPr>
                <w:b/>
                <w:bCs/>
                <w:color w:val="000000"/>
                <w:sz w:val="20"/>
                <w:szCs w:val="20"/>
              </w:rPr>
              <w:t>No Change</w:t>
            </w:r>
          </w:p>
        </w:tc>
        <w:tc>
          <w:tcPr>
            <w:tcW w:w="1304" w:type="dxa"/>
            <w:shd w:val="clear" w:color="auto" w:fill="auto"/>
            <w:vAlign w:val="center"/>
          </w:tcPr>
          <w:p w:rsidR="00526B45" w:rsidRPr="00526B45" w:rsidP="00526B45" w14:paraId="094B194D" w14:textId="0D752B39">
            <w:pPr>
              <w:pStyle w:val="BodyText"/>
              <w:ind w:left="0" w:right="186"/>
              <w:rPr>
                <w:sz w:val="20"/>
                <w:szCs w:val="20"/>
              </w:rPr>
            </w:pPr>
            <w:r w:rsidRPr="00526B45">
              <w:rPr>
                <w:b/>
                <w:bCs/>
                <w:color w:val="000000"/>
                <w:sz w:val="20"/>
                <w:szCs w:val="20"/>
              </w:rPr>
              <w:t>+264</w:t>
            </w:r>
          </w:p>
        </w:tc>
        <w:tc>
          <w:tcPr>
            <w:tcW w:w="1300" w:type="dxa"/>
            <w:shd w:val="clear" w:color="auto" w:fill="auto"/>
            <w:vAlign w:val="center"/>
          </w:tcPr>
          <w:p w:rsidR="00526B45" w:rsidRPr="00526B45" w:rsidP="00526B45" w14:paraId="21164C4E" w14:textId="6307F070">
            <w:pPr>
              <w:pStyle w:val="BodyText"/>
              <w:ind w:left="0" w:right="186"/>
              <w:rPr>
                <w:sz w:val="20"/>
                <w:szCs w:val="20"/>
              </w:rPr>
            </w:pPr>
            <w:r w:rsidRPr="00526B45">
              <w:rPr>
                <w:b/>
                <w:bCs/>
                <w:color w:val="000000"/>
                <w:sz w:val="20"/>
                <w:szCs w:val="20"/>
              </w:rPr>
              <w:t>+9.34</w:t>
            </w:r>
          </w:p>
        </w:tc>
        <w:tc>
          <w:tcPr>
            <w:tcW w:w="1305" w:type="dxa"/>
            <w:shd w:val="clear" w:color="auto" w:fill="auto"/>
            <w:vAlign w:val="center"/>
          </w:tcPr>
          <w:p w:rsidR="00526B45" w:rsidRPr="00526B45" w:rsidP="00526B45" w14:paraId="6F7A220D" w14:textId="429FE482">
            <w:pPr>
              <w:pStyle w:val="BodyText"/>
              <w:ind w:left="0" w:right="186"/>
              <w:rPr>
                <w:sz w:val="20"/>
                <w:szCs w:val="20"/>
              </w:rPr>
            </w:pPr>
            <w:r w:rsidRPr="00526B45">
              <w:rPr>
                <w:b/>
                <w:bCs/>
                <w:color w:val="000000"/>
                <w:sz w:val="20"/>
                <w:szCs w:val="20"/>
              </w:rPr>
              <w:t>+126,323</w:t>
            </w:r>
          </w:p>
        </w:tc>
      </w:tr>
    </w:tbl>
    <w:p w:rsidR="00526B45" w:rsidP="00B4174E" w14:paraId="7B10F2D0" w14:textId="77777777">
      <w:pPr>
        <w:pStyle w:val="BodyText"/>
        <w:ind w:left="119" w:right="186"/>
      </w:pPr>
    </w:p>
    <w:p w:rsidR="00F16FBD" w:rsidRPr="00B4174E" w:rsidP="00B4174E" w14:paraId="559FCC7F" w14:textId="3AE5B369">
      <w:pPr>
        <w:pStyle w:val="ListParagraph"/>
        <w:numPr>
          <w:ilvl w:val="0"/>
          <w:numId w:val="1"/>
        </w:numPr>
        <w:tabs>
          <w:tab w:val="left" w:pos="552"/>
        </w:tabs>
        <w:jc w:val="left"/>
        <w:rPr>
          <w:sz w:val="24"/>
        </w:rPr>
      </w:pPr>
      <w:r w:rsidRPr="00B4174E">
        <w:rPr>
          <w:sz w:val="24"/>
          <w:u w:val="single"/>
        </w:rPr>
        <w:t>Publication/Tabulation</w:t>
      </w:r>
      <w:r w:rsidRPr="00B4174E">
        <w:rPr>
          <w:spacing w:val="-3"/>
          <w:sz w:val="24"/>
          <w:u w:val="single"/>
        </w:rPr>
        <w:t xml:space="preserve"> </w:t>
      </w:r>
      <w:r w:rsidRPr="00B4174E">
        <w:rPr>
          <w:sz w:val="24"/>
          <w:u w:val="single"/>
        </w:rPr>
        <w:t>Dates</w:t>
      </w:r>
    </w:p>
    <w:p w:rsidR="00F16FBD" w14:paraId="6E7502C5" w14:textId="77777777">
      <w:pPr>
        <w:pStyle w:val="BodyText"/>
      </w:pPr>
      <w:r>
        <w:t>This collection of information is not intended for publication.</w:t>
      </w:r>
    </w:p>
    <w:p w:rsidR="00F16FBD" w14:paraId="19F82938" w14:textId="77777777">
      <w:pPr>
        <w:pStyle w:val="ListParagraph"/>
        <w:numPr>
          <w:ilvl w:val="0"/>
          <w:numId w:val="1"/>
        </w:numPr>
        <w:tabs>
          <w:tab w:val="left" w:pos="552"/>
        </w:tabs>
        <w:jc w:val="left"/>
        <w:rPr>
          <w:sz w:val="24"/>
        </w:rPr>
      </w:pPr>
      <w:r>
        <w:rPr>
          <w:sz w:val="24"/>
          <w:u w:val="single"/>
        </w:rPr>
        <w:t>Expiration</w:t>
      </w:r>
      <w:r>
        <w:rPr>
          <w:spacing w:val="-3"/>
          <w:sz w:val="24"/>
          <w:u w:val="single"/>
        </w:rPr>
        <w:t xml:space="preserve"> </w:t>
      </w:r>
      <w:r>
        <w:rPr>
          <w:sz w:val="24"/>
          <w:u w:val="single"/>
        </w:rPr>
        <w:t>Date</w:t>
      </w:r>
    </w:p>
    <w:p w:rsidR="00F16FBD" w14:paraId="6052012A" w14:textId="77777777">
      <w:pPr>
        <w:pStyle w:val="BodyText"/>
      </w:pPr>
      <w:r>
        <w:t>There are no exceptions to the expiration date.</w:t>
      </w:r>
    </w:p>
    <w:p w:rsidR="00F16FBD" w14:paraId="45038E76" w14:textId="77777777">
      <w:pPr>
        <w:pStyle w:val="ListParagraph"/>
        <w:numPr>
          <w:ilvl w:val="0"/>
          <w:numId w:val="1"/>
        </w:numPr>
        <w:tabs>
          <w:tab w:val="left" w:pos="552"/>
        </w:tabs>
        <w:jc w:val="left"/>
        <w:rPr>
          <w:sz w:val="24"/>
        </w:rPr>
      </w:pPr>
      <w:r>
        <w:rPr>
          <w:sz w:val="24"/>
          <w:u w:val="single"/>
        </w:rPr>
        <w:t>Certification</w:t>
      </w:r>
      <w:r>
        <w:rPr>
          <w:spacing w:val="-3"/>
          <w:sz w:val="24"/>
          <w:u w:val="single"/>
        </w:rPr>
        <w:t xml:space="preserve"> </w:t>
      </w:r>
      <w:r>
        <w:rPr>
          <w:sz w:val="24"/>
          <w:u w:val="single"/>
        </w:rPr>
        <w:t>Statement</w:t>
      </w:r>
    </w:p>
    <w:p w:rsidR="00F16FBD" w14:paraId="347D156B" w14:textId="77777777">
      <w:pPr>
        <w:pStyle w:val="BodyText"/>
      </w:pPr>
      <w:r>
        <w:t>There are no exceptions to the certification statement.</w:t>
      </w:r>
    </w:p>
    <w:p w:rsidR="00F16FBD" w14:paraId="3DAB6776" w14:textId="77777777">
      <w:pPr>
        <w:pStyle w:val="Heading1"/>
        <w:numPr>
          <w:ilvl w:val="0"/>
          <w:numId w:val="3"/>
        </w:numPr>
        <w:tabs>
          <w:tab w:val="left" w:pos="480"/>
        </w:tabs>
        <w:spacing w:before="123"/>
        <w:ind w:left="480" w:hanging="360"/>
      </w:pPr>
      <w:r>
        <w:t>Collections of Information Employing Statistical</w:t>
      </w:r>
      <w:r>
        <w:rPr>
          <w:spacing w:val="-4"/>
        </w:rPr>
        <w:t xml:space="preserve"> </w:t>
      </w:r>
      <w:r>
        <w:t>Methods</w:t>
      </w:r>
    </w:p>
    <w:p w:rsidR="00063FE1" w14:paraId="73ACFF8B" w14:textId="77777777">
      <w:pPr>
        <w:pStyle w:val="BodyText"/>
        <w:spacing w:before="117"/>
      </w:pPr>
      <w:r>
        <w:t>This collection of information does not employ statistical methods.</w:t>
      </w:r>
    </w:p>
    <w:p w:rsidR="00063FE1" w:rsidRPr="00063FE1" w:rsidP="00063FE1" w14:paraId="1A3BE62D" w14:textId="77777777"/>
    <w:p w:rsidR="00063FE1" w:rsidP="00063FE1" w14:paraId="06FA04C6" w14:textId="77777777"/>
    <w:sectPr w:rsidSect="00D12FBF">
      <w:footerReference w:type="default" r:id="rId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3827815"/>
      <w:docPartObj>
        <w:docPartGallery w:val="Page Numbers (Bottom of Page)"/>
        <w:docPartUnique/>
      </w:docPartObj>
    </w:sdtPr>
    <w:sdtEndPr>
      <w:rPr>
        <w:noProof/>
      </w:rPr>
    </w:sdtEndPr>
    <w:sdtContent>
      <w:p w:rsidR="0076232E" w14:paraId="5C8773C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6FBD" w14:paraId="5371BCC9"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86863"/>
    <w:multiLevelType w:val="hybridMultilevel"/>
    <w:tmpl w:val="F7CE32EC"/>
    <w:lvl w:ilvl="0">
      <w:start w:val="1"/>
      <w:numFmt w:val="decimal"/>
      <w:lvlText w:val="%1."/>
      <w:lvlJc w:val="left"/>
      <w:pPr>
        <w:ind w:left="420" w:hanging="300"/>
      </w:pPr>
      <w:rPr>
        <w:rFonts w:ascii="Times New Roman" w:eastAsia="Times New Roman" w:hAnsi="Times New Roman" w:cs="Times New Roman" w:hint="default"/>
        <w:spacing w:val="-2"/>
        <w:w w:val="99"/>
        <w:sz w:val="24"/>
        <w:szCs w:val="24"/>
        <w:lang w:val="en-US" w:eastAsia="en-US" w:bidi="en-US"/>
      </w:rPr>
    </w:lvl>
    <w:lvl w:ilvl="1">
      <w:start w:val="0"/>
      <w:numFmt w:val="bullet"/>
      <w:lvlText w:val="•"/>
      <w:lvlJc w:val="left"/>
      <w:pPr>
        <w:ind w:left="1358" w:hanging="300"/>
      </w:pPr>
      <w:rPr>
        <w:rFonts w:hint="default"/>
        <w:lang w:val="en-US" w:eastAsia="en-US" w:bidi="en-US"/>
      </w:rPr>
    </w:lvl>
    <w:lvl w:ilvl="2">
      <w:start w:val="0"/>
      <w:numFmt w:val="bullet"/>
      <w:lvlText w:val="•"/>
      <w:lvlJc w:val="left"/>
      <w:pPr>
        <w:ind w:left="2296" w:hanging="300"/>
      </w:pPr>
      <w:rPr>
        <w:rFonts w:hint="default"/>
        <w:lang w:val="en-US" w:eastAsia="en-US" w:bidi="en-US"/>
      </w:rPr>
    </w:lvl>
    <w:lvl w:ilvl="3">
      <w:start w:val="0"/>
      <w:numFmt w:val="bullet"/>
      <w:lvlText w:val="•"/>
      <w:lvlJc w:val="left"/>
      <w:pPr>
        <w:ind w:left="3234" w:hanging="300"/>
      </w:pPr>
      <w:rPr>
        <w:rFonts w:hint="default"/>
        <w:lang w:val="en-US" w:eastAsia="en-US" w:bidi="en-US"/>
      </w:rPr>
    </w:lvl>
    <w:lvl w:ilvl="4">
      <w:start w:val="0"/>
      <w:numFmt w:val="bullet"/>
      <w:lvlText w:val="•"/>
      <w:lvlJc w:val="left"/>
      <w:pPr>
        <w:ind w:left="4172" w:hanging="300"/>
      </w:pPr>
      <w:rPr>
        <w:rFonts w:hint="default"/>
        <w:lang w:val="en-US" w:eastAsia="en-US" w:bidi="en-US"/>
      </w:rPr>
    </w:lvl>
    <w:lvl w:ilvl="5">
      <w:start w:val="0"/>
      <w:numFmt w:val="bullet"/>
      <w:lvlText w:val="•"/>
      <w:lvlJc w:val="left"/>
      <w:pPr>
        <w:ind w:left="5110" w:hanging="300"/>
      </w:pPr>
      <w:rPr>
        <w:rFonts w:hint="default"/>
        <w:lang w:val="en-US" w:eastAsia="en-US" w:bidi="en-US"/>
      </w:rPr>
    </w:lvl>
    <w:lvl w:ilvl="6">
      <w:start w:val="0"/>
      <w:numFmt w:val="bullet"/>
      <w:lvlText w:val="•"/>
      <w:lvlJc w:val="left"/>
      <w:pPr>
        <w:ind w:left="6048" w:hanging="300"/>
      </w:pPr>
      <w:rPr>
        <w:rFonts w:hint="default"/>
        <w:lang w:val="en-US" w:eastAsia="en-US" w:bidi="en-US"/>
      </w:rPr>
    </w:lvl>
    <w:lvl w:ilvl="7">
      <w:start w:val="0"/>
      <w:numFmt w:val="bullet"/>
      <w:lvlText w:val="•"/>
      <w:lvlJc w:val="left"/>
      <w:pPr>
        <w:ind w:left="6986" w:hanging="300"/>
      </w:pPr>
      <w:rPr>
        <w:rFonts w:hint="default"/>
        <w:lang w:val="en-US" w:eastAsia="en-US" w:bidi="en-US"/>
      </w:rPr>
    </w:lvl>
    <w:lvl w:ilvl="8">
      <w:start w:val="0"/>
      <w:numFmt w:val="bullet"/>
      <w:lvlText w:val="•"/>
      <w:lvlJc w:val="left"/>
      <w:pPr>
        <w:ind w:left="7924" w:hanging="300"/>
      </w:pPr>
      <w:rPr>
        <w:rFonts w:hint="default"/>
        <w:lang w:val="en-US" w:eastAsia="en-US" w:bidi="en-US"/>
      </w:rPr>
    </w:lvl>
  </w:abstractNum>
  <w:abstractNum w:abstractNumId="1">
    <w:nsid w:val="22FD0682"/>
    <w:multiLevelType w:val="hybridMultilevel"/>
    <w:tmpl w:val="8E38A430"/>
    <w:lvl w:ilvl="0">
      <w:start w:val="1"/>
      <w:numFmt w:val="upperLetter"/>
      <w:lvlText w:val="%1."/>
      <w:lvlJc w:val="left"/>
      <w:pPr>
        <w:ind w:left="552" w:hanging="433"/>
      </w:pPr>
      <w:rPr>
        <w:rFonts w:ascii="Times New Roman" w:eastAsia="Times New Roman" w:hAnsi="Times New Roman" w:cs="Times New Roman" w:hint="default"/>
        <w:b/>
        <w:bCs/>
        <w:w w:val="99"/>
        <w:sz w:val="24"/>
        <w:szCs w:val="24"/>
        <w:lang w:val="en-US" w:eastAsia="en-US" w:bidi="en-US"/>
      </w:rPr>
    </w:lvl>
    <w:lvl w:ilvl="1">
      <w:start w:val="1"/>
      <w:numFmt w:val="decimal"/>
      <w:lvlText w:val="%2."/>
      <w:lvlJc w:val="left"/>
      <w:pPr>
        <w:ind w:left="552" w:hanging="432"/>
      </w:pPr>
      <w:rPr>
        <w:rFonts w:ascii="Times New Roman" w:eastAsia="Times New Roman" w:hAnsi="Times New Roman" w:cs="Times New Roman" w:hint="default"/>
        <w:w w:val="99"/>
        <w:sz w:val="24"/>
        <w:szCs w:val="24"/>
        <w:lang w:val="en-US" w:eastAsia="en-US" w:bidi="en-US"/>
      </w:rPr>
    </w:lvl>
    <w:lvl w:ilvl="2">
      <w:start w:val="0"/>
      <w:numFmt w:val="bullet"/>
      <w:lvlText w:val=""/>
      <w:lvlJc w:val="left"/>
      <w:pPr>
        <w:ind w:left="840" w:hanging="360"/>
      </w:pPr>
      <w:rPr>
        <w:rFonts w:ascii="Symbol" w:eastAsia="Symbol" w:hAnsi="Symbol" w:cs="Symbol" w:hint="default"/>
        <w:w w:val="100"/>
        <w:sz w:val="24"/>
        <w:szCs w:val="24"/>
        <w:lang w:val="en-US" w:eastAsia="en-US" w:bidi="en-US"/>
      </w:rPr>
    </w:lvl>
    <w:lvl w:ilvl="3">
      <w:start w:val="0"/>
      <w:numFmt w:val="bullet"/>
      <w:lvlText w:val="•"/>
      <w:lvlJc w:val="left"/>
      <w:pPr>
        <w:ind w:left="2831" w:hanging="360"/>
      </w:pPr>
      <w:rPr>
        <w:rFonts w:hint="default"/>
        <w:lang w:val="en-US" w:eastAsia="en-US" w:bidi="en-US"/>
      </w:rPr>
    </w:lvl>
    <w:lvl w:ilvl="4">
      <w:start w:val="0"/>
      <w:numFmt w:val="bullet"/>
      <w:lvlText w:val="•"/>
      <w:lvlJc w:val="left"/>
      <w:pPr>
        <w:ind w:left="3826" w:hanging="360"/>
      </w:pPr>
      <w:rPr>
        <w:rFonts w:hint="default"/>
        <w:lang w:val="en-US" w:eastAsia="en-US" w:bidi="en-US"/>
      </w:rPr>
    </w:lvl>
    <w:lvl w:ilvl="5">
      <w:start w:val="0"/>
      <w:numFmt w:val="bullet"/>
      <w:lvlText w:val="•"/>
      <w:lvlJc w:val="left"/>
      <w:pPr>
        <w:ind w:left="4822" w:hanging="360"/>
      </w:pPr>
      <w:rPr>
        <w:rFonts w:hint="default"/>
        <w:lang w:val="en-US" w:eastAsia="en-US" w:bidi="en-US"/>
      </w:rPr>
    </w:lvl>
    <w:lvl w:ilvl="6">
      <w:start w:val="0"/>
      <w:numFmt w:val="bullet"/>
      <w:lvlText w:val="•"/>
      <w:lvlJc w:val="left"/>
      <w:pPr>
        <w:ind w:left="5817" w:hanging="360"/>
      </w:pPr>
      <w:rPr>
        <w:rFonts w:hint="default"/>
        <w:lang w:val="en-US" w:eastAsia="en-US" w:bidi="en-US"/>
      </w:rPr>
    </w:lvl>
    <w:lvl w:ilvl="7">
      <w:start w:val="0"/>
      <w:numFmt w:val="bullet"/>
      <w:lvlText w:val="•"/>
      <w:lvlJc w:val="left"/>
      <w:pPr>
        <w:ind w:left="6813" w:hanging="360"/>
      </w:pPr>
      <w:rPr>
        <w:rFonts w:hint="default"/>
        <w:lang w:val="en-US" w:eastAsia="en-US" w:bidi="en-US"/>
      </w:rPr>
    </w:lvl>
    <w:lvl w:ilvl="8">
      <w:start w:val="0"/>
      <w:numFmt w:val="bullet"/>
      <w:lvlText w:val="•"/>
      <w:lvlJc w:val="left"/>
      <w:pPr>
        <w:ind w:left="7808" w:hanging="360"/>
      </w:pPr>
      <w:rPr>
        <w:rFonts w:hint="default"/>
        <w:lang w:val="en-US" w:eastAsia="en-US" w:bidi="en-US"/>
      </w:rPr>
    </w:lvl>
  </w:abstractNum>
  <w:abstractNum w:abstractNumId="2">
    <w:nsid w:val="56386CFF"/>
    <w:multiLevelType w:val="hybridMultilevel"/>
    <w:tmpl w:val="9E7EB25E"/>
    <w:lvl w:ilvl="0">
      <w:start w:val="13"/>
      <w:numFmt w:val="decimal"/>
      <w:lvlText w:val="%1."/>
      <w:lvlJc w:val="left"/>
      <w:pPr>
        <w:ind w:left="552" w:hanging="432"/>
        <w:jc w:val="right"/>
      </w:pPr>
      <w:rPr>
        <w:rFonts w:ascii="Times New Roman" w:eastAsia="Times New Roman" w:hAnsi="Times New Roman" w:cs="Times New Roman" w:hint="default"/>
        <w:spacing w:val="-1"/>
        <w:w w:val="99"/>
        <w:sz w:val="24"/>
        <w:szCs w:val="24"/>
        <w:lang w:val="en-US" w:eastAsia="en-US" w:bidi="en-US"/>
      </w:rPr>
    </w:lvl>
    <w:lvl w:ilvl="1">
      <w:start w:val="0"/>
      <w:numFmt w:val="bullet"/>
      <w:lvlText w:val="•"/>
      <w:lvlJc w:val="left"/>
      <w:pPr>
        <w:ind w:left="1484" w:hanging="432"/>
      </w:pPr>
      <w:rPr>
        <w:rFonts w:hint="default"/>
        <w:lang w:val="en-US" w:eastAsia="en-US" w:bidi="en-US"/>
      </w:rPr>
    </w:lvl>
    <w:lvl w:ilvl="2">
      <w:start w:val="0"/>
      <w:numFmt w:val="bullet"/>
      <w:lvlText w:val="•"/>
      <w:lvlJc w:val="left"/>
      <w:pPr>
        <w:ind w:left="2408" w:hanging="432"/>
      </w:pPr>
      <w:rPr>
        <w:rFonts w:hint="default"/>
        <w:lang w:val="en-US" w:eastAsia="en-US" w:bidi="en-US"/>
      </w:rPr>
    </w:lvl>
    <w:lvl w:ilvl="3">
      <w:start w:val="0"/>
      <w:numFmt w:val="bullet"/>
      <w:lvlText w:val="•"/>
      <w:lvlJc w:val="left"/>
      <w:pPr>
        <w:ind w:left="3332" w:hanging="432"/>
      </w:pPr>
      <w:rPr>
        <w:rFonts w:hint="default"/>
        <w:lang w:val="en-US" w:eastAsia="en-US" w:bidi="en-US"/>
      </w:rPr>
    </w:lvl>
    <w:lvl w:ilvl="4">
      <w:start w:val="0"/>
      <w:numFmt w:val="bullet"/>
      <w:lvlText w:val="•"/>
      <w:lvlJc w:val="left"/>
      <w:pPr>
        <w:ind w:left="4256" w:hanging="432"/>
      </w:pPr>
      <w:rPr>
        <w:rFonts w:hint="default"/>
        <w:lang w:val="en-US" w:eastAsia="en-US" w:bidi="en-US"/>
      </w:rPr>
    </w:lvl>
    <w:lvl w:ilvl="5">
      <w:start w:val="0"/>
      <w:numFmt w:val="bullet"/>
      <w:lvlText w:val="•"/>
      <w:lvlJc w:val="left"/>
      <w:pPr>
        <w:ind w:left="5180" w:hanging="432"/>
      </w:pPr>
      <w:rPr>
        <w:rFonts w:hint="default"/>
        <w:lang w:val="en-US" w:eastAsia="en-US" w:bidi="en-US"/>
      </w:rPr>
    </w:lvl>
    <w:lvl w:ilvl="6">
      <w:start w:val="0"/>
      <w:numFmt w:val="bullet"/>
      <w:lvlText w:val="•"/>
      <w:lvlJc w:val="left"/>
      <w:pPr>
        <w:ind w:left="6104" w:hanging="432"/>
      </w:pPr>
      <w:rPr>
        <w:rFonts w:hint="default"/>
        <w:lang w:val="en-US" w:eastAsia="en-US" w:bidi="en-US"/>
      </w:rPr>
    </w:lvl>
    <w:lvl w:ilvl="7">
      <w:start w:val="0"/>
      <w:numFmt w:val="bullet"/>
      <w:lvlText w:val="•"/>
      <w:lvlJc w:val="left"/>
      <w:pPr>
        <w:ind w:left="7028" w:hanging="432"/>
      </w:pPr>
      <w:rPr>
        <w:rFonts w:hint="default"/>
        <w:lang w:val="en-US" w:eastAsia="en-US" w:bidi="en-US"/>
      </w:rPr>
    </w:lvl>
    <w:lvl w:ilvl="8">
      <w:start w:val="0"/>
      <w:numFmt w:val="bullet"/>
      <w:lvlText w:val="•"/>
      <w:lvlJc w:val="left"/>
      <w:pPr>
        <w:ind w:left="7952" w:hanging="432"/>
      </w:pPr>
      <w:rPr>
        <w:rFonts w:hint="default"/>
        <w:lang w:val="en-US" w:eastAsia="en-US" w:bidi="en-US"/>
      </w:rPr>
    </w:lvl>
  </w:abstractNum>
  <w:num w:numId="1" w16cid:durableId="1239092887">
    <w:abstractNumId w:val="2"/>
  </w:num>
  <w:num w:numId="2" w16cid:durableId="1530559837">
    <w:abstractNumId w:val="0"/>
  </w:num>
  <w:num w:numId="3" w16cid:durableId="102544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BD"/>
    <w:rsid w:val="00006C3F"/>
    <w:rsid w:val="00016E48"/>
    <w:rsid w:val="000170B6"/>
    <w:rsid w:val="00027A9F"/>
    <w:rsid w:val="000328C6"/>
    <w:rsid w:val="00046663"/>
    <w:rsid w:val="000540BF"/>
    <w:rsid w:val="000546B2"/>
    <w:rsid w:val="00063D48"/>
    <w:rsid w:val="00063FE1"/>
    <w:rsid w:val="00076C27"/>
    <w:rsid w:val="00081648"/>
    <w:rsid w:val="00093B26"/>
    <w:rsid w:val="000A24BA"/>
    <w:rsid w:val="000A57F0"/>
    <w:rsid w:val="000A71BE"/>
    <w:rsid w:val="000B4FE0"/>
    <w:rsid w:val="000D0E4F"/>
    <w:rsid w:val="000D129F"/>
    <w:rsid w:val="000D2FF6"/>
    <w:rsid w:val="000E0783"/>
    <w:rsid w:val="000E1504"/>
    <w:rsid w:val="000E211C"/>
    <w:rsid w:val="000E6697"/>
    <w:rsid w:val="001042A4"/>
    <w:rsid w:val="00120927"/>
    <w:rsid w:val="001537BC"/>
    <w:rsid w:val="00174168"/>
    <w:rsid w:val="001864D9"/>
    <w:rsid w:val="00195541"/>
    <w:rsid w:val="001A38BA"/>
    <w:rsid w:val="001A3EC9"/>
    <w:rsid w:val="001B3472"/>
    <w:rsid w:val="001C7A57"/>
    <w:rsid w:val="001E1033"/>
    <w:rsid w:val="001E5055"/>
    <w:rsid w:val="00201F07"/>
    <w:rsid w:val="00216792"/>
    <w:rsid w:val="00220671"/>
    <w:rsid w:val="002236A8"/>
    <w:rsid w:val="00232E4C"/>
    <w:rsid w:val="00244B2B"/>
    <w:rsid w:val="00245B0E"/>
    <w:rsid w:val="00261036"/>
    <w:rsid w:val="00261BCE"/>
    <w:rsid w:val="00274968"/>
    <w:rsid w:val="002869C8"/>
    <w:rsid w:val="00287AC9"/>
    <w:rsid w:val="002B7F7E"/>
    <w:rsid w:val="002C38A4"/>
    <w:rsid w:val="002C58CE"/>
    <w:rsid w:val="002E5D36"/>
    <w:rsid w:val="002F65BE"/>
    <w:rsid w:val="00317196"/>
    <w:rsid w:val="003212AB"/>
    <w:rsid w:val="00325316"/>
    <w:rsid w:val="003344A3"/>
    <w:rsid w:val="003376AE"/>
    <w:rsid w:val="00360BFE"/>
    <w:rsid w:val="003634B0"/>
    <w:rsid w:val="003822E5"/>
    <w:rsid w:val="003849D5"/>
    <w:rsid w:val="0038568A"/>
    <w:rsid w:val="003879BD"/>
    <w:rsid w:val="0039193A"/>
    <w:rsid w:val="003932C3"/>
    <w:rsid w:val="003A673A"/>
    <w:rsid w:val="003B1C6C"/>
    <w:rsid w:val="003C3C2A"/>
    <w:rsid w:val="003C5229"/>
    <w:rsid w:val="003C5EBE"/>
    <w:rsid w:val="00414B34"/>
    <w:rsid w:val="00423334"/>
    <w:rsid w:val="00442E59"/>
    <w:rsid w:val="0045256F"/>
    <w:rsid w:val="00455BD2"/>
    <w:rsid w:val="0045634C"/>
    <w:rsid w:val="004B6FE0"/>
    <w:rsid w:val="004C0BE5"/>
    <w:rsid w:val="004D409A"/>
    <w:rsid w:val="004E34AD"/>
    <w:rsid w:val="004E552B"/>
    <w:rsid w:val="004F1534"/>
    <w:rsid w:val="004F4429"/>
    <w:rsid w:val="004F516F"/>
    <w:rsid w:val="004F6E01"/>
    <w:rsid w:val="005078A8"/>
    <w:rsid w:val="00526B45"/>
    <w:rsid w:val="00533B21"/>
    <w:rsid w:val="005351F6"/>
    <w:rsid w:val="0054411D"/>
    <w:rsid w:val="00547770"/>
    <w:rsid w:val="005647E3"/>
    <w:rsid w:val="0056669C"/>
    <w:rsid w:val="0059504B"/>
    <w:rsid w:val="005D0356"/>
    <w:rsid w:val="005E36D7"/>
    <w:rsid w:val="005E7499"/>
    <w:rsid w:val="005F554B"/>
    <w:rsid w:val="005F6ACD"/>
    <w:rsid w:val="00612147"/>
    <w:rsid w:val="00612296"/>
    <w:rsid w:val="00625F58"/>
    <w:rsid w:val="00641FF0"/>
    <w:rsid w:val="00646921"/>
    <w:rsid w:val="006515BC"/>
    <w:rsid w:val="00663A61"/>
    <w:rsid w:val="00676F47"/>
    <w:rsid w:val="006842CE"/>
    <w:rsid w:val="00685C23"/>
    <w:rsid w:val="00690215"/>
    <w:rsid w:val="00694AA9"/>
    <w:rsid w:val="006B51FD"/>
    <w:rsid w:val="006F6AF3"/>
    <w:rsid w:val="00734984"/>
    <w:rsid w:val="00741341"/>
    <w:rsid w:val="00745E46"/>
    <w:rsid w:val="007536D0"/>
    <w:rsid w:val="0076232E"/>
    <w:rsid w:val="00770380"/>
    <w:rsid w:val="0077651B"/>
    <w:rsid w:val="00777599"/>
    <w:rsid w:val="007954B2"/>
    <w:rsid w:val="0079570F"/>
    <w:rsid w:val="007A78AC"/>
    <w:rsid w:val="007B10E8"/>
    <w:rsid w:val="007B38AB"/>
    <w:rsid w:val="007B5597"/>
    <w:rsid w:val="007F0C78"/>
    <w:rsid w:val="00801113"/>
    <w:rsid w:val="00836195"/>
    <w:rsid w:val="00853DE7"/>
    <w:rsid w:val="00873A7E"/>
    <w:rsid w:val="00873E1F"/>
    <w:rsid w:val="008818DB"/>
    <w:rsid w:val="00881D21"/>
    <w:rsid w:val="00891AC9"/>
    <w:rsid w:val="008B0E89"/>
    <w:rsid w:val="008B3637"/>
    <w:rsid w:val="008D0CF8"/>
    <w:rsid w:val="008F00D5"/>
    <w:rsid w:val="008F2383"/>
    <w:rsid w:val="008F65B7"/>
    <w:rsid w:val="008F7D0B"/>
    <w:rsid w:val="00900BEA"/>
    <w:rsid w:val="00900C30"/>
    <w:rsid w:val="00900CEC"/>
    <w:rsid w:val="009046FC"/>
    <w:rsid w:val="00911B35"/>
    <w:rsid w:val="00941769"/>
    <w:rsid w:val="00945624"/>
    <w:rsid w:val="0094611D"/>
    <w:rsid w:val="00946A40"/>
    <w:rsid w:val="00957CA3"/>
    <w:rsid w:val="009629FB"/>
    <w:rsid w:val="00972369"/>
    <w:rsid w:val="009751B5"/>
    <w:rsid w:val="00980210"/>
    <w:rsid w:val="00987693"/>
    <w:rsid w:val="00995E10"/>
    <w:rsid w:val="009B1D4B"/>
    <w:rsid w:val="009E09B7"/>
    <w:rsid w:val="009F17A3"/>
    <w:rsid w:val="009F1C81"/>
    <w:rsid w:val="009F7655"/>
    <w:rsid w:val="009F7DD4"/>
    <w:rsid w:val="00A3171C"/>
    <w:rsid w:val="00A31EE6"/>
    <w:rsid w:val="00A3702B"/>
    <w:rsid w:val="00A47318"/>
    <w:rsid w:val="00A51D2A"/>
    <w:rsid w:val="00A6076D"/>
    <w:rsid w:val="00A706CC"/>
    <w:rsid w:val="00A968F1"/>
    <w:rsid w:val="00AB1A84"/>
    <w:rsid w:val="00AB2B5B"/>
    <w:rsid w:val="00AB5E91"/>
    <w:rsid w:val="00AD42FC"/>
    <w:rsid w:val="00AE70BC"/>
    <w:rsid w:val="00B4174E"/>
    <w:rsid w:val="00B57915"/>
    <w:rsid w:val="00B8034D"/>
    <w:rsid w:val="00B95D7A"/>
    <w:rsid w:val="00B95F8C"/>
    <w:rsid w:val="00BA22A3"/>
    <w:rsid w:val="00BC1976"/>
    <w:rsid w:val="00BC2D93"/>
    <w:rsid w:val="00BC53FD"/>
    <w:rsid w:val="00BD4360"/>
    <w:rsid w:val="00BD4E1C"/>
    <w:rsid w:val="00BD5439"/>
    <w:rsid w:val="00C0447F"/>
    <w:rsid w:val="00C23D71"/>
    <w:rsid w:val="00C274D8"/>
    <w:rsid w:val="00C356DB"/>
    <w:rsid w:val="00C35726"/>
    <w:rsid w:val="00C42934"/>
    <w:rsid w:val="00C61C32"/>
    <w:rsid w:val="00C82A8D"/>
    <w:rsid w:val="00C83475"/>
    <w:rsid w:val="00C91AE9"/>
    <w:rsid w:val="00C93716"/>
    <w:rsid w:val="00CA0354"/>
    <w:rsid w:val="00CA39C6"/>
    <w:rsid w:val="00CC351D"/>
    <w:rsid w:val="00CC6E93"/>
    <w:rsid w:val="00CD3676"/>
    <w:rsid w:val="00CE2C09"/>
    <w:rsid w:val="00CE5210"/>
    <w:rsid w:val="00CF236C"/>
    <w:rsid w:val="00D05EA8"/>
    <w:rsid w:val="00D074FA"/>
    <w:rsid w:val="00D11805"/>
    <w:rsid w:val="00D12FBF"/>
    <w:rsid w:val="00D21820"/>
    <w:rsid w:val="00D261F9"/>
    <w:rsid w:val="00D35282"/>
    <w:rsid w:val="00D50F3A"/>
    <w:rsid w:val="00D53521"/>
    <w:rsid w:val="00D56226"/>
    <w:rsid w:val="00D742CC"/>
    <w:rsid w:val="00D77D92"/>
    <w:rsid w:val="00D85F94"/>
    <w:rsid w:val="00D972E7"/>
    <w:rsid w:val="00DB03C7"/>
    <w:rsid w:val="00DC62C4"/>
    <w:rsid w:val="00DD3872"/>
    <w:rsid w:val="00E01298"/>
    <w:rsid w:val="00E07E50"/>
    <w:rsid w:val="00E11831"/>
    <w:rsid w:val="00E16466"/>
    <w:rsid w:val="00E16863"/>
    <w:rsid w:val="00E31C7F"/>
    <w:rsid w:val="00E524E1"/>
    <w:rsid w:val="00E6118D"/>
    <w:rsid w:val="00E73D94"/>
    <w:rsid w:val="00E91CA6"/>
    <w:rsid w:val="00E935EA"/>
    <w:rsid w:val="00EA52E2"/>
    <w:rsid w:val="00EB3687"/>
    <w:rsid w:val="00EB4AEB"/>
    <w:rsid w:val="00EC028B"/>
    <w:rsid w:val="00ED2931"/>
    <w:rsid w:val="00EE5880"/>
    <w:rsid w:val="00F10929"/>
    <w:rsid w:val="00F16460"/>
    <w:rsid w:val="00F16FBD"/>
    <w:rsid w:val="00F51272"/>
    <w:rsid w:val="00F576AF"/>
    <w:rsid w:val="00F6413C"/>
    <w:rsid w:val="00F64F9B"/>
    <w:rsid w:val="00F71648"/>
    <w:rsid w:val="00FB4779"/>
    <w:rsid w:val="00FE53BF"/>
    <w:rsid w:val="00FF05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20F72D"/>
  <w15:docId w15:val="{D446C3EA-6698-45B4-9749-A714FD2C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2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0"/>
    </w:pPr>
    <w:rPr>
      <w:sz w:val="24"/>
      <w:szCs w:val="24"/>
    </w:rPr>
  </w:style>
  <w:style w:type="paragraph" w:styleId="ListParagraph">
    <w:name w:val="List Paragraph"/>
    <w:basedOn w:val="Normal"/>
    <w:uiPriority w:val="1"/>
    <w:qFormat/>
    <w:pPr>
      <w:spacing w:before="120"/>
      <w:ind w:left="552" w:hanging="432"/>
    </w:pPr>
  </w:style>
  <w:style w:type="paragraph" w:customStyle="1" w:styleId="TableParagraph">
    <w:name w:val="Table Paragraph"/>
    <w:basedOn w:val="Normal"/>
    <w:uiPriority w:val="1"/>
    <w:qFormat/>
    <w:pPr>
      <w:spacing w:line="274" w:lineRule="exact"/>
      <w:ind w:left="107"/>
    </w:pPr>
  </w:style>
  <w:style w:type="paragraph" w:styleId="BalloonText">
    <w:name w:val="Balloon Text"/>
    <w:basedOn w:val="Normal"/>
    <w:link w:val="BalloonTextChar"/>
    <w:uiPriority w:val="99"/>
    <w:semiHidden/>
    <w:unhideWhenUsed/>
    <w:rsid w:val="00DB0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3C7"/>
    <w:rPr>
      <w:rFonts w:ascii="Segoe UI" w:eastAsia="Times New Roman" w:hAnsi="Segoe UI" w:cs="Segoe UI"/>
      <w:sz w:val="18"/>
      <w:szCs w:val="18"/>
      <w:lang w:bidi="en-US"/>
    </w:rPr>
  </w:style>
  <w:style w:type="paragraph" w:styleId="Header">
    <w:name w:val="header"/>
    <w:basedOn w:val="Normal"/>
    <w:link w:val="HeaderChar"/>
    <w:uiPriority w:val="99"/>
    <w:unhideWhenUsed/>
    <w:rsid w:val="000A24BA"/>
    <w:pPr>
      <w:tabs>
        <w:tab w:val="center" w:pos="4680"/>
        <w:tab w:val="right" w:pos="9360"/>
      </w:tabs>
    </w:pPr>
  </w:style>
  <w:style w:type="character" w:customStyle="1" w:styleId="HeaderChar">
    <w:name w:val="Header Char"/>
    <w:basedOn w:val="DefaultParagraphFont"/>
    <w:link w:val="Header"/>
    <w:uiPriority w:val="99"/>
    <w:rsid w:val="000A24BA"/>
    <w:rPr>
      <w:rFonts w:ascii="Times New Roman" w:eastAsia="Times New Roman" w:hAnsi="Times New Roman" w:cs="Times New Roman"/>
      <w:lang w:bidi="en-US"/>
    </w:rPr>
  </w:style>
  <w:style w:type="paragraph" w:styleId="Footer">
    <w:name w:val="footer"/>
    <w:basedOn w:val="Normal"/>
    <w:link w:val="FooterChar"/>
    <w:uiPriority w:val="99"/>
    <w:unhideWhenUsed/>
    <w:rsid w:val="000A24BA"/>
    <w:pPr>
      <w:tabs>
        <w:tab w:val="center" w:pos="4680"/>
        <w:tab w:val="right" w:pos="9360"/>
      </w:tabs>
    </w:pPr>
  </w:style>
  <w:style w:type="character" w:customStyle="1" w:styleId="FooterChar">
    <w:name w:val="Footer Char"/>
    <w:basedOn w:val="DefaultParagraphFont"/>
    <w:link w:val="Footer"/>
    <w:uiPriority w:val="99"/>
    <w:rsid w:val="000A24BA"/>
    <w:rPr>
      <w:rFonts w:ascii="Times New Roman" w:eastAsia="Times New Roman" w:hAnsi="Times New Roman" w:cs="Times New Roman"/>
      <w:lang w:bidi="en-US"/>
    </w:rPr>
  </w:style>
  <w:style w:type="paragraph" w:styleId="Revision">
    <w:name w:val="Revision"/>
    <w:hidden/>
    <w:uiPriority w:val="99"/>
    <w:semiHidden/>
    <w:rsid w:val="00641FF0"/>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5E36D7"/>
    <w:rPr>
      <w:sz w:val="16"/>
      <w:szCs w:val="16"/>
    </w:rPr>
  </w:style>
  <w:style w:type="paragraph" w:styleId="CommentText">
    <w:name w:val="annotation text"/>
    <w:basedOn w:val="Normal"/>
    <w:link w:val="CommentTextChar"/>
    <w:uiPriority w:val="99"/>
    <w:unhideWhenUsed/>
    <w:rsid w:val="005E36D7"/>
    <w:rPr>
      <w:sz w:val="20"/>
      <w:szCs w:val="20"/>
    </w:rPr>
  </w:style>
  <w:style w:type="character" w:customStyle="1" w:styleId="CommentTextChar">
    <w:name w:val="Comment Text Char"/>
    <w:basedOn w:val="DefaultParagraphFont"/>
    <w:link w:val="CommentText"/>
    <w:uiPriority w:val="99"/>
    <w:rsid w:val="005E36D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36D7"/>
    <w:rPr>
      <w:b/>
      <w:bCs/>
    </w:rPr>
  </w:style>
  <w:style w:type="character" w:customStyle="1" w:styleId="CommentSubjectChar">
    <w:name w:val="Comment Subject Char"/>
    <w:basedOn w:val="CommentTextChar"/>
    <w:link w:val="CommentSubject"/>
    <w:uiPriority w:val="99"/>
    <w:semiHidden/>
    <w:rsid w:val="005E36D7"/>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455BD2"/>
    <w:rPr>
      <w:color w:val="0000FF" w:themeColor="hyperlink"/>
      <w:u w:val="single"/>
    </w:rPr>
  </w:style>
  <w:style w:type="character" w:styleId="UnresolvedMention">
    <w:name w:val="Unresolved Mention"/>
    <w:basedOn w:val="DefaultParagraphFont"/>
    <w:uiPriority w:val="99"/>
    <w:semiHidden/>
    <w:unhideWhenUsed/>
    <w:rsid w:val="00455BD2"/>
    <w:rPr>
      <w:color w:val="605E5C"/>
      <w:shd w:val="clear" w:color="auto" w:fill="E1DFDD"/>
    </w:rPr>
  </w:style>
  <w:style w:type="character" w:styleId="FollowedHyperlink">
    <w:name w:val="FollowedHyperlink"/>
    <w:basedOn w:val="DefaultParagraphFont"/>
    <w:uiPriority w:val="99"/>
    <w:semiHidden/>
    <w:unhideWhenUsed/>
    <w:rsid w:val="00941769"/>
    <w:rPr>
      <w:color w:val="800080" w:themeColor="followedHyperlink"/>
      <w:u w:val="single"/>
    </w:rPr>
  </w:style>
  <w:style w:type="table" w:styleId="TableGrid">
    <w:name w:val="Table Grid"/>
    <w:basedOn w:val="TableNormal"/>
    <w:uiPriority w:val="39"/>
    <w:rsid w:val="00526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2023/may/oes_nat.htm" TargetMode="External" /><Relationship Id="rId5" Type="http://schemas.openxmlformats.org/officeDocument/2006/relationships/hyperlink" Target="https://www.opm.gov/policy-data-oversight/pay-leave/salaries-wages/2024/general-schedule"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B607ED52CE045F48E4685335FA6DC74"/>
        <w:category>
          <w:name w:val="General"/>
          <w:gallery w:val="placeholder"/>
        </w:category>
        <w:types>
          <w:type w:val="bbPlcHdr"/>
        </w:types>
        <w:behaviors>
          <w:behavior w:val="content"/>
        </w:behaviors>
        <w:guid w:val="{145F3D6A-E424-4456-80DA-7FE5F86BF659}"/>
      </w:docPartPr>
      <w:docPartBody>
        <w:p w:rsidR="00E07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50"/>
    <w:rsid w:val="009629FB"/>
    <w:rsid w:val="009F17A3"/>
    <w:rsid w:val="00E07E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3191</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CMS-372(S) - Supporting Statement A (2021)</vt:lpstr>
    </vt:vector>
  </TitlesOfParts>
  <Company>CMS</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CMS-372(S) - Supporting Statement A (2021)</dc:title>
  <dc:creator>CMS</dc:creator>
  <cp:lastModifiedBy>Bryman, Mitch (CMS/OSORA)</cp:lastModifiedBy>
  <cp:revision>3</cp:revision>
  <dcterms:created xsi:type="dcterms:W3CDTF">2024-09-20T16:42:00Z</dcterms:created>
  <dcterms:modified xsi:type="dcterms:W3CDTF">2024-09-20T16:46:00Z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Acrobat PDFMaker 17 for Word</vt:lpwstr>
  </property>
  <property fmtid="{D5CDD505-2E9C-101B-9397-08002B2CF9AE}" pid="4" name="LastSaved">
    <vt:filetime>2021-02-22T00:00:00Z</vt:filetime>
  </property>
</Properties>
</file>