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2E33" w:rsidP="007306C1" w14:paraId="69AD9004" w14:textId="77777777">
      <w:pPr>
        <w:jc w:val="center"/>
        <w:rPr>
          <w:b/>
          <w:bCs/>
        </w:rPr>
      </w:pPr>
      <w:r w:rsidRPr="00C465F4">
        <w:rPr>
          <w:b/>
          <w:bCs/>
        </w:rPr>
        <w:t>S</w:t>
      </w:r>
      <w:r>
        <w:rPr>
          <w:b/>
          <w:bCs/>
        </w:rPr>
        <w:t>upporting Statement for Form</w:t>
      </w:r>
      <w:r w:rsidRPr="00C465F4">
        <w:rPr>
          <w:b/>
          <w:bCs/>
        </w:rPr>
        <w:t xml:space="preserve"> </w:t>
      </w:r>
      <w:r>
        <w:rPr>
          <w:b/>
          <w:bCs/>
        </w:rPr>
        <w:t>SSA-</w:t>
      </w:r>
      <w:r w:rsidR="00CB14DF">
        <w:rPr>
          <w:b/>
          <w:bCs/>
        </w:rPr>
        <w:t>132</w:t>
      </w:r>
    </w:p>
    <w:p w:rsidR="00C5620A" w:rsidP="007306C1" w14:paraId="427AE65C" w14:textId="77777777">
      <w:pPr>
        <w:jc w:val="center"/>
        <w:rPr>
          <w:b/>
          <w:bCs/>
        </w:rPr>
      </w:pPr>
      <w:r>
        <w:rPr>
          <w:b/>
          <w:bCs/>
        </w:rPr>
        <w:t>N</w:t>
      </w:r>
      <w:r w:rsidR="00363FFB">
        <w:rPr>
          <w:b/>
          <w:bCs/>
        </w:rPr>
        <w:t xml:space="preserve">otification of a Social Security Number (SSN) to an Employer </w:t>
      </w:r>
    </w:p>
    <w:p w:rsidR="00F72E33" w:rsidP="007306C1" w14:paraId="7FE42964" w14:textId="77777777">
      <w:pPr>
        <w:jc w:val="center"/>
        <w:rPr>
          <w:b/>
          <w:bCs/>
        </w:rPr>
      </w:pPr>
      <w:r>
        <w:rPr>
          <w:b/>
          <w:bCs/>
        </w:rPr>
        <w:t>for Wage Reporting Purposes</w:t>
      </w:r>
    </w:p>
    <w:p w:rsidR="007306C1" w:rsidRPr="00C465F4" w:rsidP="007306C1" w14:paraId="6F14D697" w14:textId="77777777">
      <w:pPr>
        <w:jc w:val="center"/>
        <w:rPr>
          <w:b/>
          <w:bCs/>
        </w:rPr>
      </w:pPr>
      <w:r>
        <w:rPr>
          <w:b/>
          <w:bCs/>
        </w:rPr>
        <w:t>20 CFR 422.103(a)</w:t>
      </w:r>
    </w:p>
    <w:p w:rsidR="00F72E33" w:rsidP="007306C1" w14:paraId="0D79430A" w14:textId="77777777">
      <w:pPr>
        <w:tabs>
          <w:tab w:val="center" w:pos="5040"/>
          <w:tab w:val="left" w:pos="8910"/>
        </w:tabs>
        <w:jc w:val="center"/>
        <w:rPr>
          <w:b/>
          <w:bCs/>
        </w:rPr>
      </w:pPr>
      <w:r>
        <w:rPr>
          <w:b/>
          <w:bCs/>
        </w:rPr>
        <w:t>OMB No.</w:t>
      </w:r>
      <w:r w:rsidR="00BC139B">
        <w:rPr>
          <w:b/>
          <w:bCs/>
        </w:rPr>
        <w:t xml:space="preserve"> 0960-</w:t>
      </w:r>
      <w:r w:rsidR="00D35E8F">
        <w:rPr>
          <w:b/>
          <w:bCs/>
        </w:rPr>
        <w:t>0778</w:t>
      </w:r>
    </w:p>
    <w:p w:rsidR="00F72E33" w:rsidP="00F72E33" w14:paraId="000D8491" w14:textId="77777777">
      <w:pPr>
        <w:rPr>
          <w:b/>
          <w:bCs/>
        </w:rPr>
      </w:pPr>
    </w:p>
    <w:p w:rsidR="00F72E33" w:rsidP="00DF53E6" w14:paraId="21A36F6A" w14:textId="77777777">
      <w:pPr>
        <w:numPr>
          <w:ilvl w:val="0"/>
          <w:numId w:val="7"/>
        </w:numPr>
        <w:ind w:left="720" w:hanging="540"/>
        <w:rPr>
          <w:b/>
          <w:bCs/>
          <w:u w:val="single"/>
        </w:rPr>
      </w:pPr>
      <w:r w:rsidRPr="002A1FE7">
        <w:rPr>
          <w:b/>
          <w:bCs/>
          <w:u w:val="single"/>
        </w:rPr>
        <w:t>Justification</w:t>
      </w:r>
    </w:p>
    <w:p w:rsidR="00617806" w:rsidP="00617806" w14:paraId="15F60CF4" w14:textId="77777777">
      <w:pPr>
        <w:ind w:left="360"/>
        <w:rPr>
          <w:b/>
          <w:bCs/>
          <w:u w:val="single"/>
        </w:rPr>
      </w:pPr>
    </w:p>
    <w:p w:rsidR="00617806" w:rsidRPr="00617806" w:rsidP="00DF53E6" w14:paraId="1B5BACC8" w14:textId="77777777">
      <w:pPr>
        <w:numPr>
          <w:ilvl w:val="0"/>
          <w:numId w:val="8"/>
        </w:numPr>
        <w:ind w:left="1440" w:hanging="720"/>
        <w:rPr>
          <w:b/>
          <w:bCs/>
          <w:u w:val="single"/>
        </w:rPr>
      </w:pPr>
      <w:r>
        <w:rPr>
          <w:b/>
          <w:bCs/>
        </w:rPr>
        <w:t>Introduction/Authoring Laws and Regulations</w:t>
      </w:r>
    </w:p>
    <w:p w:rsidR="00617806" w:rsidP="00DF53E6" w14:paraId="27003AB7" w14:textId="4D50084E">
      <w:pPr>
        <w:ind w:left="1440"/>
        <w:rPr>
          <w:b/>
          <w:bCs/>
        </w:rPr>
      </w:pPr>
      <w:r w:rsidRPr="00617806">
        <w:rPr>
          <w:bCs/>
        </w:rPr>
        <w:t>Section</w:t>
      </w:r>
      <w:r w:rsidRPr="00617806">
        <w:rPr>
          <w:bCs/>
          <w:i/>
        </w:rPr>
        <w:t xml:space="preserve"> 205(c)(2)(B)(i)(I) </w:t>
      </w:r>
      <w:r w:rsidRPr="00617806">
        <w:rPr>
          <w:bCs/>
        </w:rPr>
        <w:t xml:space="preserve">of the </w:t>
      </w:r>
      <w:r w:rsidRPr="00617806">
        <w:rPr>
          <w:bCs/>
          <w:i/>
        </w:rPr>
        <w:t>Social Security Act</w:t>
      </w:r>
      <w:r w:rsidRPr="00617806">
        <w:rPr>
          <w:bCs/>
        </w:rPr>
        <w:t xml:space="preserve"> and </w:t>
      </w:r>
      <w:r w:rsidR="00313941">
        <w:rPr>
          <w:bCs/>
        </w:rPr>
        <w:t>S</w:t>
      </w:r>
      <w:r w:rsidRPr="00617806">
        <w:rPr>
          <w:bCs/>
        </w:rPr>
        <w:t xml:space="preserve">ection </w:t>
      </w:r>
      <w:r w:rsidRPr="00617806">
        <w:rPr>
          <w:i/>
        </w:rPr>
        <w:t>20 CFR 422.103(a)</w:t>
      </w:r>
      <w:r w:rsidRPr="001945E1">
        <w:t xml:space="preserve"> of the </w:t>
      </w:r>
      <w:r w:rsidRPr="00617806">
        <w:rPr>
          <w:i/>
        </w:rPr>
        <w:t>Code of Federal Regulations</w:t>
      </w:r>
      <w:r>
        <w:t xml:space="preserve"> provide the legal authority for collecting the information on Form SSA</w:t>
      </w:r>
      <w:r>
        <w:noBreakHyphen/>
        <w:t xml:space="preserve">132.  These regulations also explain how an individual’s name and Social Security number (SSN) identify the record </w:t>
      </w:r>
      <w:r w:rsidR="00BD14B4">
        <w:t xml:space="preserve">that </w:t>
      </w:r>
      <w:r>
        <w:t>the Social Security Administration (SSA) uses to record wages or self-employment income individuals or their employers report.</w:t>
      </w:r>
    </w:p>
    <w:p w:rsidR="00617806" w:rsidP="00DF53E6" w14:paraId="4ED951F3" w14:textId="77777777">
      <w:pPr>
        <w:ind w:left="1440"/>
        <w:rPr>
          <w:b/>
          <w:bCs/>
          <w:u w:val="single"/>
        </w:rPr>
      </w:pPr>
    </w:p>
    <w:p w:rsidR="00617806" w:rsidRPr="00617806" w:rsidP="00DF53E6" w14:paraId="0229BE75" w14:textId="77777777">
      <w:pPr>
        <w:numPr>
          <w:ilvl w:val="0"/>
          <w:numId w:val="8"/>
        </w:numPr>
        <w:ind w:left="1440" w:hanging="720"/>
        <w:rPr>
          <w:b/>
          <w:bCs/>
          <w:u w:val="single"/>
        </w:rPr>
      </w:pPr>
      <w:r>
        <w:rPr>
          <w:b/>
          <w:bCs/>
        </w:rPr>
        <w:t>Description of the Collection</w:t>
      </w:r>
    </w:p>
    <w:p w:rsidR="00617806" w:rsidP="00DF53E6" w14:paraId="167C468E" w14:textId="77777777">
      <w:pPr>
        <w:ind w:left="1440"/>
      </w:pPr>
      <w:r w:rsidRPr="00EA54D6">
        <w:rPr>
          <w:lang w:eastAsia="en-US"/>
        </w:rPr>
        <w:t>Individuals applying for</w:t>
      </w:r>
      <w:r>
        <w:rPr>
          <w:lang w:eastAsia="en-US"/>
        </w:rPr>
        <w:t xml:space="preserve"> </w:t>
      </w:r>
      <w:r w:rsidRPr="00EA54D6">
        <w:rPr>
          <w:lang w:eastAsia="en-US"/>
        </w:rPr>
        <w:t xml:space="preserve">employment must </w:t>
      </w:r>
      <w:r w:rsidRPr="00EA54D6">
        <w:rPr>
          <w:lang w:eastAsia="en-US"/>
        </w:rPr>
        <w:t>provide an SSN or</w:t>
      </w:r>
      <w:r>
        <w:rPr>
          <w:lang w:eastAsia="en-US"/>
        </w:rPr>
        <w:t xml:space="preserve"> </w:t>
      </w:r>
      <w:r w:rsidRPr="00EA54D6">
        <w:rPr>
          <w:lang w:eastAsia="en-US"/>
        </w:rPr>
        <w:t xml:space="preserve">indicate they applied for one. </w:t>
      </w:r>
      <w:r>
        <w:rPr>
          <w:lang w:eastAsia="en-US"/>
        </w:rPr>
        <w:t xml:space="preserve"> However, </w:t>
      </w:r>
      <w:r>
        <w:t>when an individual applies for an initial SSN, there is a delay between the assignment of the number and the delivery of the SSN card.</w:t>
      </w:r>
      <w:r w:rsidRPr="00EA54D6">
        <w:rPr>
          <w:lang w:eastAsia="en-US"/>
        </w:rPr>
        <w:t xml:space="preserve"> </w:t>
      </w:r>
      <w:r>
        <w:rPr>
          <w:lang w:eastAsia="en-US"/>
        </w:rPr>
        <w:t xml:space="preserve"> At an individual’s request, SSA uses Form SSA-13</w:t>
      </w:r>
      <w:r w:rsidRPr="00EA54D6">
        <w:rPr>
          <w:lang w:eastAsia="en-US"/>
        </w:rPr>
        <w:t xml:space="preserve">2 </w:t>
      </w:r>
      <w:r>
        <w:rPr>
          <w:lang w:eastAsia="en-US"/>
        </w:rPr>
        <w:t xml:space="preserve">to send </w:t>
      </w:r>
      <w:r w:rsidRPr="00EA54D6">
        <w:rPr>
          <w:lang w:eastAsia="en-US"/>
        </w:rPr>
        <w:t>the individual’s</w:t>
      </w:r>
      <w:r>
        <w:rPr>
          <w:lang w:eastAsia="en-US"/>
        </w:rPr>
        <w:t xml:space="preserve"> </w:t>
      </w:r>
      <w:r w:rsidRPr="00EA54D6">
        <w:rPr>
          <w:lang w:eastAsia="en-US"/>
        </w:rPr>
        <w:t xml:space="preserve">SSN to </w:t>
      </w:r>
      <w:r>
        <w:rPr>
          <w:lang w:eastAsia="en-US"/>
        </w:rPr>
        <w:t>an</w:t>
      </w:r>
      <w:r w:rsidRPr="00EA54D6">
        <w:rPr>
          <w:lang w:eastAsia="en-US"/>
        </w:rPr>
        <w:t xml:space="preserve"> employer. </w:t>
      </w:r>
      <w:r>
        <w:rPr>
          <w:lang w:eastAsia="en-US"/>
        </w:rPr>
        <w:t xml:space="preserve"> </w:t>
      </w:r>
      <w:r>
        <w:t xml:space="preserve">Mailing this information to the employer:  (1) ensures the employer has the correct SSN for the individual; (2) allows SSA to receive correct earnings information for wage reporting purposes; and (3) reduces the delay in </w:t>
      </w:r>
      <w:r>
        <w:t>the initial SSN assignment and delivery of the SSN information from SSA directly to the employer</w:t>
      </w:r>
      <w:r w:rsidRPr="00EA54D6">
        <w:rPr>
          <w:lang w:eastAsia="en-US"/>
        </w:rPr>
        <w:t>.</w:t>
      </w:r>
      <w:r>
        <w:rPr>
          <w:lang w:eastAsia="en-US"/>
        </w:rPr>
        <w:t xml:space="preserve">  It also </w:t>
      </w:r>
      <w:r>
        <w:t>enables SSA to verify the employer as a safeguard for the applicant’s personally identifiable information.</w:t>
      </w:r>
    </w:p>
    <w:p w:rsidR="00617806" w:rsidP="00DF53E6" w14:paraId="38AB63F8" w14:textId="77777777">
      <w:pPr>
        <w:ind w:left="1440"/>
      </w:pPr>
    </w:p>
    <w:p w:rsidR="00617806" w:rsidP="00DF53E6" w14:paraId="2226FC49" w14:textId="0F90443D">
      <w:pPr>
        <w:ind w:left="1440"/>
      </w:pPr>
      <w:r>
        <w:t xml:space="preserve">This is especially important to foreign exchange visitors who are in the United States </w:t>
      </w:r>
      <w:r w:rsidR="007F6218">
        <w:t>working</w:t>
      </w:r>
      <w:r>
        <w:t xml:space="preserve"> during the summer.  Often, SSA receives a returned SSN card either because the exchange visitor is no longer in the service area, or because they returned to their country of origin when the card arrives in the mail</w:t>
      </w:r>
      <w:r w:rsidRPr="005530B6">
        <w:t>.  When SSA receives earnings information from an employer and those earnings do not have an SSN associated with the wage earner, SSA cannot post the earnings information to that wage earner’s record</w:t>
      </w:r>
      <w:r>
        <w:t xml:space="preserve">.  SSA places the </w:t>
      </w:r>
      <w:r w:rsidRPr="005530B6">
        <w:t>resulting in</w:t>
      </w:r>
      <w:r>
        <w:t>complete earnings history in an</w:t>
      </w:r>
      <w:r w:rsidRPr="005530B6">
        <w:t xml:space="preserve"> earnings suspense file.</w:t>
      </w:r>
    </w:p>
    <w:p w:rsidR="00617806" w:rsidP="00DF53E6" w14:paraId="4CA9322B" w14:textId="77777777">
      <w:pPr>
        <w:ind w:left="1440"/>
      </w:pPr>
    </w:p>
    <w:p w:rsidR="00617806" w:rsidP="00DF53E6" w14:paraId="11F67790" w14:textId="0B1CB14C">
      <w:pPr>
        <w:ind w:left="1440"/>
      </w:pPr>
      <w:r>
        <w:t xml:space="preserve">Individuals applying for an original SSN who would like SSA to release the SSN directly to their employer </w:t>
      </w:r>
      <w:r w:rsidR="003F6322">
        <w:t xml:space="preserve">must </w:t>
      </w:r>
      <w:r>
        <w:t xml:space="preserve">sign Form SSA-132.  </w:t>
      </w:r>
      <w:r w:rsidR="00D26FB4">
        <w:t xml:space="preserve">The form is not required to receive an SSN and there is no requirement to complete the form.  However, if the individual wants their employer notified of their SSN in expedited fashion, they may complete this form to receive that service.  </w:t>
      </w:r>
      <w:r w:rsidR="009E431F">
        <w:t>Subsequently</w:t>
      </w:r>
      <w:r>
        <w:t>, the SSA field office (FO) sends the SSN directly to their employer</w:t>
      </w:r>
      <w:r w:rsidRPr="00D01B8D">
        <w:t>.</w:t>
      </w:r>
      <w:r>
        <w:t xml:space="preserve">  </w:t>
      </w:r>
      <w:r w:rsidR="00B773B4">
        <w:t>Most</w:t>
      </w:r>
      <w:r>
        <w:t xml:space="preserve"> individuals who take advantage of this form are in the United States with exchange visitor </w:t>
      </w:r>
      <w:r w:rsidRPr="00A90FC5">
        <w:t xml:space="preserve">and </w:t>
      </w:r>
      <w:r>
        <w:t xml:space="preserve">student </w:t>
      </w:r>
      <w:r w:rsidRPr="00A90FC5">
        <w:t>visas.</w:t>
      </w:r>
    </w:p>
    <w:p w:rsidR="00767A59" w:rsidP="00DF53E6" w14:paraId="35813810" w14:textId="77777777">
      <w:pPr>
        <w:ind w:left="1440"/>
      </w:pPr>
    </w:p>
    <w:p w:rsidR="00767A59" w:rsidRPr="00D26FB4" w:rsidP="00DF53E6" w14:paraId="622A669C" w14:textId="5489A4A8">
      <w:pPr>
        <w:ind w:left="1440"/>
      </w:pPr>
      <w:r w:rsidRPr="00D26FB4">
        <w:t xml:space="preserve">Respondents </w:t>
      </w:r>
      <w:r w:rsidRPr="00D26FB4" w:rsidR="00B773B4">
        <w:t>learn</w:t>
      </w:r>
      <w:r w:rsidRPr="00D26FB4" w:rsidR="003A6AB9">
        <w:t xml:space="preserve"> </w:t>
      </w:r>
      <w:r w:rsidR="003C0B11">
        <w:t xml:space="preserve">that </w:t>
      </w:r>
      <w:r w:rsidRPr="00D26FB4" w:rsidR="00F7482A">
        <w:t xml:space="preserve">they </w:t>
      </w:r>
      <w:r w:rsidRPr="00D26FB4">
        <w:t xml:space="preserve">need an SSN from either their employer or their school.  Their employer or school will often advise them of the </w:t>
      </w:r>
      <w:r w:rsidR="003B1478">
        <w:t>SSA-132</w:t>
      </w:r>
      <w:r w:rsidRPr="00D26FB4">
        <w:t xml:space="preserve"> at that time to ensure they take the action of completing the </w:t>
      </w:r>
      <w:r w:rsidR="003B1478">
        <w:t>form</w:t>
      </w:r>
      <w:r w:rsidRPr="00D26FB4">
        <w:t xml:space="preserve"> to ensure faster receipt of the SSN by the employer/school.  </w:t>
      </w:r>
      <w:r w:rsidR="00D26FB4">
        <w:t>Sometimes</w:t>
      </w:r>
      <w:r w:rsidR="00A300D6">
        <w:t>,</w:t>
      </w:r>
      <w:r w:rsidR="00D26FB4">
        <w:t xml:space="preserve"> the employer will provide the individual with the SSA-132, but often</w:t>
      </w:r>
      <w:r w:rsidR="008A7C9D">
        <w:t>,</w:t>
      </w:r>
      <w:r w:rsidR="00D26FB4">
        <w:t xml:space="preserve"> the individual receives the form from SSA field office personnel.  </w:t>
      </w:r>
      <w:r w:rsidRPr="00D26FB4">
        <w:t>Additionally, the respondent may learn of the SSA</w:t>
      </w:r>
      <w:r w:rsidR="003B1478">
        <w:noBreakHyphen/>
      </w:r>
      <w:r w:rsidRPr="00D26FB4">
        <w:t xml:space="preserve">132 at the SSA field office when they are applying for an SSN and express a desire to have the SSN provided to the employer/school as quickly as possible. </w:t>
      </w:r>
      <w:r w:rsidR="00B773B4">
        <w:t xml:space="preserve"> </w:t>
      </w:r>
      <w:r w:rsidRPr="00D26FB4">
        <w:t>SSA is constantly reviewing our ability to make processes easier</w:t>
      </w:r>
      <w:r w:rsidR="00D85E0D">
        <w:t>.</w:t>
      </w:r>
      <w:r w:rsidRPr="00D26FB4">
        <w:t xml:space="preserve"> </w:t>
      </w:r>
      <w:r w:rsidR="00D85E0D">
        <w:t xml:space="preserve"> I</w:t>
      </w:r>
      <w:r w:rsidRPr="00D26FB4">
        <w:t xml:space="preserve">n fact, the SSA-132 </w:t>
      </w:r>
      <w:r w:rsidRPr="00D26FB4">
        <w:t xml:space="preserve">is in place for the specific purpose of making the SSN application process easier by allowing applicants to provide access to their SSN to employers/schools more quickly.  </w:t>
      </w:r>
    </w:p>
    <w:p w:rsidR="00617806" w:rsidP="00DF53E6" w14:paraId="37557DEB" w14:textId="77777777">
      <w:pPr>
        <w:ind w:left="1440"/>
      </w:pPr>
    </w:p>
    <w:p w:rsidR="00617806" w:rsidP="00DF53E6" w14:paraId="65CC7975" w14:textId="77777777">
      <w:pPr>
        <w:ind w:left="1440"/>
      </w:pPr>
      <w:r>
        <w:t>There are two scenarios for use of Form SSA-132:</w:t>
      </w:r>
    </w:p>
    <w:p w:rsidR="00617806" w:rsidP="00617806" w14:paraId="705C7C94" w14:textId="77777777">
      <w:pPr>
        <w:ind w:left="1080"/>
      </w:pPr>
    </w:p>
    <w:p w:rsidR="00617806" w:rsidP="00DF53E6" w14:paraId="27243C5E" w14:textId="5FBAA3A7">
      <w:pPr>
        <w:numPr>
          <w:ilvl w:val="0"/>
          <w:numId w:val="9"/>
        </w:numPr>
        <w:ind w:left="2160"/>
      </w:pPr>
      <w:r w:rsidRPr="00FC1506">
        <w:rPr>
          <w:u w:val="single"/>
        </w:rPr>
        <w:t>Scenario 1</w:t>
      </w:r>
      <w:r>
        <w:t>:  I</w:t>
      </w:r>
      <w:r w:rsidRPr="001945E1">
        <w:t>ndividual</w:t>
      </w:r>
      <w:r>
        <w:t>s</w:t>
      </w:r>
      <w:r w:rsidRPr="001945E1">
        <w:t xml:space="preserve"> applying for an</w:t>
      </w:r>
      <w:r>
        <w:t xml:space="preserve"> SSN </w:t>
      </w:r>
      <w:r w:rsidRPr="001945E1">
        <w:t>brin</w:t>
      </w:r>
      <w:r>
        <w:t>g F</w:t>
      </w:r>
      <w:r w:rsidRPr="001945E1">
        <w:t xml:space="preserve">orm </w:t>
      </w:r>
      <w:r>
        <w:t xml:space="preserve">SSA-132 </w:t>
      </w:r>
      <w:r>
        <w:rPr>
          <w:bCs/>
        </w:rPr>
        <w:t>to</w:t>
      </w:r>
      <w:r>
        <w:t xml:space="preserve"> an SSA FO at the time of their SSN application.  The individual provides </w:t>
      </w:r>
      <w:r w:rsidR="00B773B4">
        <w:t>all</w:t>
      </w:r>
      <w:r>
        <w:t xml:space="preserve"> the employer information on the form.  The FO verifies the employer information against SSA employer files.  Applicants sign their name and date the form.  The FO completes the form with the applicant’s assigned SSN and mails the form to the applicant’s employer.</w:t>
      </w:r>
    </w:p>
    <w:p w:rsidR="00617806" w:rsidRPr="00617806" w:rsidP="00DF53E6" w14:paraId="342CACB4" w14:textId="77777777">
      <w:pPr>
        <w:ind w:left="2160" w:hanging="360"/>
      </w:pPr>
    </w:p>
    <w:p w:rsidR="00617806" w:rsidP="00DF53E6" w14:paraId="30EA44F7" w14:textId="131808AA">
      <w:pPr>
        <w:numPr>
          <w:ilvl w:val="0"/>
          <w:numId w:val="9"/>
        </w:numPr>
        <w:ind w:left="2160"/>
      </w:pPr>
      <w:r w:rsidRPr="00FC1506">
        <w:rPr>
          <w:u w:val="single"/>
        </w:rPr>
        <w:t>Scenario 2</w:t>
      </w:r>
      <w:r>
        <w:t>:  An applicant comes to the FO to apply for an original SSN without Form SSA</w:t>
      </w:r>
      <w:r>
        <w:noBreakHyphen/>
        <w:t>132.  The applicant advises SSA that their employer needs the SSN immediately.  The FO obtains employer information from the applicant and compares it to SSA employer files to ensure we mail the SSN to the correct employer address.  The applicant signs and dates the form.  The FO completes the form with the applicant’s assigned SSN and mails the form to the applicant’s employer.  Although</w:t>
      </w:r>
      <w:r w:rsidR="00B773B4">
        <w:t xml:space="preserve"> </w:t>
      </w:r>
      <w:r>
        <w:t>the majority of individuals who take advan</w:t>
      </w:r>
      <w:r>
        <w:t xml:space="preserve">tage of this option are in the United States with exchange visitor </w:t>
      </w:r>
      <w:r w:rsidRPr="00A90FC5">
        <w:t xml:space="preserve">and </w:t>
      </w:r>
      <w:r>
        <w:t xml:space="preserve">student </w:t>
      </w:r>
      <w:r w:rsidRPr="00A90FC5">
        <w:t>visas</w:t>
      </w:r>
      <w:r>
        <w:t>, we allow any applicant for an SSN to use the SSA</w:t>
      </w:r>
      <w:r>
        <w:noBreakHyphen/>
        <w:t>132</w:t>
      </w:r>
      <w:r>
        <w:rPr>
          <w:lang w:eastAsia="en-US"/>
        </w:rPr>
        <w:t>.</w:t>
      </w:r>
    </w:p>
    <w:p w:rsidR="00617806" w:rsidP="00617806" w14:paraId="26648DD3" w14:textId="77777777">
      <w:pPr>
        <w:ind w:left="1080"/>
      </w:pPr>
    </w:p>
    <w:p w:rsidR="00B322C8" w:rsidRPr="00D26FB4" w:rsidP="00B322C8" w14:paraId="75599DD6" w14:textId="57E66B1D">
      <w:pPr>
        <w:ind w:left="1440"/>
      </w:pPr>
      <w:bookmarkStart w:id="0" w:name="_Hlk177046879"/>
      <w:r w:rsidRPr="00D26FB4">
        <w:t>We</w:t>
      </w:r>
      <w:bookmarkEnd w:id="0"/>
      <w:r w:rsidRPr="00D26FB4">
        <w:t xml:space="preserve"> identified the following psychological cost based on the requirements for this information collection:</w:t>
      </w:r>
    </w:p>
    <w:p w:rsidR="00B322C8" w:rsidRPr="00D26FB4" w:rsidP="00B322C8" w14:paraId="0A0910E8" w14:textId="77777777">
      <w:pPr>
        <w:ind w:left="1440"/>
      </w:pPr>
    </w:p>
    <w:p w:rsidR="00B322C8" w:rsidP="00B322C8" w14:paraId="18DA58FE" w14:textId="77777777">
      <w:pPr>
        <w:numPr>
          <w:ilvl w:val="0"/>
          <w:numId w:val="11"/>
        </w:numPr>
        <w:ind w:left="1980" w:hanging="270"/>
      </w:pPr>
      <w:r w:rsidRPr="00D26FB4">
        <w:rPr>
          <w:b/>
          <w:bCs/>
          <w:u w:val="single"/>
        </w:rPr>
        <w:t>Psychological Cost #1</w:t>
      </w:r>
      <w:r w:rsidRPr="00D26FB4">
        <w:t xml:space="preserve">:  </w:t>
      </w:r>
    </w:p>
    <w:p w:rsidR="00153EC0" w:rsidRPr="00D26FB4" w:rsidP="003B1478" w14:paraId="51835661" w14:textId="77777777">
      <w:pPr>
        <w:ind w:left="1980"/>
      </w:pPr>
    </w:p>
    <w:p w:rsidR="00B322C8" w:rsidRPr="00D26FB4" w:rsidP="00B322C8" w14:paraId="0B94D168" w14:textId="285C44FE">
      <w:pPr>
        <w:numPr>
          <w:ilvl w:val="1"/>
          <w:numId w:val="11"/>
        </w:numPr>
        <w:ind w:left="2430" w:hanging="270"/>
      </w:pPr>
      <w:r w:rsidRPr="00D26FB4">
        <w:rPr>
          <w:b/>
          <w:bCs/>
        </w:rPr>
        <w:t>Requirement for the Program:</w:t>
      </w:r>
      <w:r w:rsidRPr="00D26FB4">
        <w:t xml:space="preserve">  </w:t>
      </w:r>
      <w:r w:rsidRPr="00D26FB4" w:rsidR="0073311F">
        <w:t>Respondents may experience a psychological cost when they learn they must complete this additional form to receive</w:t>
      </w:r>
      <w:r w:rsidRPr="00D26FB4" w:rsidR="00E0750F">
        <w:t xml:space="preserve"> expedited access to their SSN by employers/schools.</w:t>
      </w:r>
      <w:r w:rsidRPr="00D26FB4" w:rsidR="00626CE9">
        <w:t xml:space="preserve">  The SSA-132 requires the employer’s name and address and the respondent’s</w:t>
      </w:r>
      <w:r w:rsidRPr="00D26FB4" w:rsidR="00F0308A">
        <w:t xml:space="preserve"> name and signature</w:t>
      </w:r>
      <w:r w:rsidRPr="00D26FB4" w:rsidR="00611834">
        <w:t xml:space="preserve"> allowing SSA to quickly provide the SSN to the employer/school once assigned to the applicant.</w:t>
      </w:r>
    </w:p>
    <w:p w:rsidR="00B322C8" w:rsidRPr="00D26FB4" w:rsidP="00B322C8" w14:paraId="6732410B" w14:textId="77777777">
      <w:pPr>
        <w:ind w:left="2430"/>
      </w:pPr>
    </w:p>
    <w:p w:rsidR="00B322C8" w:rsidRPr="00D26FB4" w:rsidP="00B322C8" w14:paraId="0DF64107" w14:textId="030BE675">
      <w:pPr>
        <w:numPr>
          <w:ilvl w:val="1"/>
          <w:numId w:val="11"/>
        </w:numPr>
        <w:ind w:left="2430" w:hanging="270"/>
        <w:rPr>
          <w:b/>
          <w:bCs/>
        </w:rPr>
      </w:pPr>
      <w:r w:rsidRPr="00D26FB4">
        <w:rPr>
          <w:b/>
          <w:bCs/>
        </w:rPr>
        <w:t xml:space="preserve">Psychological Cost:  </w:t>
      </w:r>
      <w:r w:rsidRPr="00D26FB4">
        <w:t>T</w:t>
      </w:r>
      <w:r w:rsidRPr="00D26FB4">
        <w:rPr>
          <w:snapToGrid w:val="0"/>
        </w:rPr>
        <w:t>he respondent may perceive these questions as</w:t>
      </w:r>
      <w:r w:rsidRPr="00D26FB4" w:rsidR="00805409">
        <w:rPr>
          <w:snapToGrid w:val="0"/>
        </w:rPr>
        <w:t xml:space="preserve"> an extra burden which could cause frustration</w:t>
      </w:r>
      <w:r w:rsidR="00153EC0">
        <w:rPr>
          <w:snapToGrid w:val="0"/>
        </w:rPr>
        <w:t xml:space="preserve">. </w:t>
      </w:r>
      <w:r w:rsidRPr="00D26FB4" w:rsidR="00805409">
        <w:rPr>
          <w:snapToGrid w:val="0"/>
        </w:rPr>
        <w:t xml:space="preserve"> </w:t>
      </w:r>
      <w:r w:rsidR="00153EC0">
        <w:rPr>
          <w:snapToGrid w:val="0"/>
        </w:rPr>
        <w:t>H</w:t>
      </w:r>
      <w:r w:rsidRPr="00D26FB4" w:rsidR="008A2568">
        <w:rPr>
          <w:snapToGrid w:val="0"/>
        </w:rPr>
        <w:t xml:space="preserve">owever, </w:t>
      </w:r>
      <w:r w:rsidR="003B1478">
        <w:rPr>
          <w:snapToGrid w:val="0"/>
        </w:rPr>
        <w:t>SSA requires the minimal amount of</w:t>
      </w:r>
      <w:r w:rsidRPr="00D26FB4" w:rsidR="00FF388D">
        <w:rPr>
          <w:snapToGrid w:val="0"/>
        </w:rPr>
        <w:t xml:space="preserve"> information to complete the SS-132</w:t>
      </w:r>
      <w:r w:rsidR="00153EC0">
        <w:rPr>
          <w:snapToGrid w:val="0"/>
        </w:rPr>
        <w:t>,</w:t>
      </w:r>
      <w:r w:rsidRPr="00D26FB4" w:rsidR="00FF388D">
        <w:rPr>
          <w:snapToGrid w:val="0"/>
        </w:rPr>
        <w:t xml:space="preserve"> and we not</w:t>
      </w:r>
      <w:r w:rsidR="004F68A1">
        <w:rPr>
          <w:snapToGrid w:val="0"/>
        </w:rPr>
        <w:t>e</w:t>
      </w:r>
      <w:r w:rsidRPr="00D26FB4" w:rsidR="00FF388D">
        <w:rPr>
          <w:snapToGrid w:val="0"/>
        </w:rPr>
        <w:t xml:space="preserve"> that </w:t>
      </w:r>
      <w:r w:rsidRPr="00D26FB4" w:rsidR="008A2568">
        <w:rPr>
          <w:snapToGrid w:val="0"/>
        </w:rPr>
        <w:t>this additional service will ultimately ensure the SSN is available more quickly to the employer/school</w:t>
      </w:r>
      <w:r w:rsidR="005333C2">
        <w:rPr>
          <w:snapToGrid w:val="0"/>
        </w:rPr>
        <w:t>,</w:t>
      </w:r>
      <w:r w:rsidRPr="00D26FB4" w:rsidR="00FF388D">
        <w:rPr>
          <w:snapToGrid w:val="0"/>
        </w:rPr>
        <w:t xml:space="preserve"> which will mitigate </w:t>
      </w:r>
      <w:r w:rsidR="003B1478">
        <w:rPr>
          <w:snapToGrid w:val="0"/>
        </w:rPr>
        <w:t xml:space="preserve">the </w:t>
      </w:r>
      <w:r w:rsidRPr="00D26FB4" w:rsidR="00FF388D">
        <w:rPr>
          <w:snapToGrid w:val="0"/>
        </w:rPr>
        <w:t>overall psychological cost.</w:t>
      </w:r>
    </w:p>
    <w:p w:rsidR="00B322C8" w:rsidRPr="00FF388D" w:rsidP="00B322C8" w14:paraId="3B2970F3" w14:textId="77777777">
      <w:pPr>
        <w:ind w:left="1440"/>
        <w:rPr>
          <w:color w:val="FF0000"/>
        </w:rPr>
      </w:pPr>
    </w:p>
    <w:p w:rsidR="00B322C8" w:rsidP="00B322C8" w14:paraId="3B9E43BF" w14:textId="00899DCD">
      <w:pPr>
        <w:ind w:left="1440"/>
      </w:pPr>
      <w:r w:rsidRPr="00D26FB4">
        <w:t>We understand th</w:t>
      </w:r>
      <w:r w:rsidRPr="00D26FB4" w:rsidR="009E6365">
        <w:t xml:space="preserve">is </w:t>
      </w:r>
      <w:r w:rsidRPr="00D26FB4">
        <w:t>psychological cost</w:t>
      </w:r>
      <w:r w:rsidRPr="00D26FB4" w:rsidR="009E6365">
        <w:t xml:space="preserve"> may frustrate the respondent b</w:t>
      </w:r>
      <w:r w:rsidRPr="00D26FB4" w:rsidR="00AC173D">
        <w:t>ecause they will need to fill out this additional form to receive the expedited service.  Ho</w:t>
      </w:r>
      <w:r w:rsidRPr="00D26FB4" w:rsidR="008F3043">
        <w:t>wever, we do not require completion of this form for the assignment of an SSN and only call for its use upon respondent’s request for expedited notification of an SSN.</w:t>
      </w:r>
      <w:r w:rsidRPr="00D26FB4">
        <w:t xml:space="preserve">  </w:t>
      </w:r>
      <w:r w:rsidRPr="00D26FB4" w:rsidR="00FF388D">
        <w:t>Thus, we believe the psychological cost</w:t>
      </w:r>
      <w:r w:rsidR="00603BEE">
        <w:t xml:space="preserve"> </w:t>
      </w:r>
      <w:r w:rsidRPr="00D26FB4" w:rsidR="00FF388D">
        <w:t>is minimal, and will likely have the overall impact of mitigating and minimizing overall psychological costs associated with the SSN application process.  W</w:t>
      </w:r>
      <w:r w:rsidRPr="00D26FB4">
        <w:t>e h</w:t>
      </w:r>
      <w:r w:rsidRPr="00D26FB4">
        <w:t xml:space="preserve">ave taken this potential psychological cost into account </w:t>
      </w:r>
      <w:r w:rsidRPr="00D26FB4" w:rsidR="00FF388D">
        <w:t xml:space="preserve">and included this analysis while </w:t>
      </w:r>
      <w:r w:rsidRPr="00D26FB4">
        <w:t>calculating our burden in #12 below.</w:t>
      </w:r>
    </w:p>
    <w:p w:rsidR="00A96002" w:rsidP="00B322C8" w14:paraId="56A9E669" w14:textId="77777777">
      <w:pPr>
        <w:ind w:left="1440"/>
      </w:pPr>
    </w:p>
    <w:p w:rsidR="00A96002" w:rsidRPr="00D26FB4" w:rsidP="00B322C8" w14:paraId="49C3623E" w14:textId="679CCC26">
      <w:pPr>
        <w:ind w:left="1440"/>
      </w:pPr>
      <w:r w:rsidRPr="00B523B7">
        <w:rPr>
          <w:lang w:eastAsia="en-US"/>
        </w:rPr>
        <w:t>The respondents are</w:t>
      </w:r>
      <w:r>
        <w:rPr>
          <w:lang w:eastAsia="en-US"/>
        </w:rPr>
        <w:t xml:space="preserve"> </w:t>
      </w:r>
      <w:r w:rsidRPr="00B523B7">
        <w:rPr>
          <w:lang w:eastAsia="en-US"/>
        </w:rPr>
        <w:t>individuals applying for an initial SSN</w:t>
      </w:r>
      <w:r>
        <w:rPr>
          <w:lang w:eastAsia="en-US"/>
        </w:rPr>
        <w:t xml:space="preserve"> </w:t>
      </w:r>
      <w:r w:rsidRPr="00B523B7">
        <w:rPr>
          <w:lang w:eastAsia="en-US"/>
        </w:rPr>
        <w:t>who ask SSA to mail confirmation of</w:t>
      </w:r>
      <w:r>
        <w:rPr>
          <w:lang w:eastAsia="en-US"/>
        </w:rPr>
        <w:t xml:space="preserve"> </w:t>
      </w:r>
      <w:r w:rsidRPr="00B523B7">
        <w:rPr>
          <w:lang w:eastAsia="en-US"/>
        </w:rPr>
        <w:t>their application or the SSN to their</w:t>
      </w:r>
      <w:r>
        <w:rPr>
          <w:lang w:eastAsia="en-US"/>
        </w:rPr>
        <w:t xml:space="preserve"> </w:t>
      </w:r>
      <w:r w:rsidRPr="00B523B7">
        <w:rPr>
          <w:lang w:eastAsia="en-US"/>
        </w:rPr>
        <w:t>employers.</w:t>
      </w:r>
    </w:p>
    <w:p w:rsidR="00B322C8" w:rsidP="00B322C8" w14:paraId="4199D6D2" w14:textId="77777777">
      <w:pPr>
        <w:ind w:left="1440"/>
      </w:pPr>
    </w:p>
    <w:p w:rsidR="00617806" w:rsidRPr="00617806" w:rsidP="00DF53E6" w14:paraId="564C7963" w14:textId="77777777">
      <w:pPr>
        <w:numPr>
          <w:ilvl w:val="0"/>
          <w:numId w:val="8"/>
        </w:numPr>
        <w:ind w:left="1440" w:hanging="720"/>
        <w:rPr>
          <w:b/>
          <w:bCs/>
          <w:u w:val="single"/>
        </w:rPr>
      </w:pPr>
      <w:r>
        <w:rPr>
          <w:b/>
          <w:bCs/>
        </w:rPr>
        <w:t xml:space="preserve">Use </w:t>
      </w:r>
      <w:r>
        <w:rPr>
          <w:b/>
          <w:bCs/>
        </w:rPr>
        <w:t>of Information Technology to Collect the Information</w:t>
      </w:r>
    </w:p>
    <w:p w:rsidR="00353BA0" w:rsidP="00DF53E6" w14:paraId="49DD691D" w14:textId="7FC41B8A">
      <w:pPr>
        <w:ind w:left="1440"/>
        <w:rPr>
          <w:b/>
          <w:bCs/>
        </w:rPr>
      </w:pPr>
      <w:r w:rsidRPr="00C60B97">
        <w:rPr>
          <w:rFonts w:eastAsia="Times New Roman"/>
          <w:snapToGrid w:val="0"/>
          <w:lang w:eastAsia="en-US"/>
        </w:rPr>
        <w:t>This form is available as a fillable PDF on SSA’s website</w:t>
      </w:r>
      <w:r>
        <w:rPr>
          <w:rFonts w:eastAsia="Times New Roman"/>
          <w:snapToGrid w:val="0"/>
          <w:lang w:eastAsia="en-US"/>
        </w:rPr>
        <w:t xml:space="preserve">.  </w:t>
      </w:r>
      <w:bookmarkStart w:id="1" w:name="_Hlk173232915"/>
      <w:r w:rsidRPr="00353BA0">
        <w:rPr>
          <w:rFonts w:eastAsia="Times New Roman"/>
          <w:snapToGrid w:val="0"/>
          <w:lang w:eastAsia="en-US"/>
        </w:rPr>
        <w:t xml:space="preserve">SSA is unable to create an Internet version of this information collection, as </w:t>
      </w:r>
      <w:r>
        <w:t xml:space="preserve">this process involves applications for </w:t>
      </w:r>
      <w:r w:rsidRPr="00C44BB0">
        <w:t xml:space="preserve">original </w:t>
      </w:r>
      <w:r>
        <w:t>SSNs and the SSN applicants are unknown to SSA, we cannot electronically authenticate them without comparing the identification information they provide with SSA’s existing records</w:t>
      </w:r>
      <w:r w:rsidRPr="00353BA0">
        <w:rPr>
          <w:rFonts w:eastAsia="Times New Roman"/>
          <w:snapToGrid w:val="0"/>
          <w:lang w:eastAsia="en-US"/>
        </w:rPr>
        <w:t xml:space="preserve">.  </w:t>
      </w:r>
      <w:r>
        <w:t>In addition, many of the SSN applicants who use this form are citizens of countries outside the United States and are only here temporarily before returning to their countries of origin</w:t>
      </w:r>
      <w:r>
        <w:rPr>
          <w:rFonts w:eastAsia="Times New Roman"/>
          <w:snapToGrid w:val="0"/>
          <w:lang w:eastAsia="en-US"/>
        </w:rPr>
        <w:t>.</w:t>
      </w:r>
      <w:r>
        <w:t xml:space="preserve">  Further, SSA does not provide one-way transmission of SSNs to employers or other third partie</w:t>
      </w:r>
      <w:r>
        <w:t xml:space="preserve">s at the initial assignment of the SSN.  </w:t>
      </w:r>
      <w:r w:rsidRPr="00353BA0">
        <w:rPr>
          <w:rFonts w:eastAsia="Times New Roman"/>
          <w:snapToGrid w:val="0"/>
          <w:lang w:eastAsia="en-US"/>
        </w:rPr>
        <w:t xml:space="preserve">We will reassess this ability </w:t>
      </w:r>
      <w:r w:rsidRPr="00353BA0" w:rsidR="00B773B4">
        <w:rPr>
          <w:rFonts w:eastAsia="Times New Roman"/>
          <w:snapToGrid w:val="0"/>
          <w:lang w:eastAsia="en-US"/>
        </w:rPr>
        <w:t>if</w:t>
      </w:r>
      <w:r w:rsidRPr="00353BA0">
        <w:rPr>
          <w:rFonts w:eastAsia="Times New Roman"/>
          <w:snapToGrid w:val="0"/>
          <w:lang w:eastAsia="en-US"/>
        </w:rPr>
        <w:t xml:space="preserve"> technological advances are created that would allow for us to make this collection available via the Internet</w:t>
      </w:r>
      <w:r w:rsidR="003B1478">
        <w:rPr>
          <w:rFonts w:eastAsia="Times New Roman"/>
          <w:snapToGrid w:val="0"/>
          <w:lang w:eastAsia="en-US"/>
        </w:rPr>
        <w:t>, mitigating the issues mentioned above</w:t>
      </w:r>
      <w:r w:rsidRPr="00353BA0">
        <w:rPr>
          <w:rFonts w:eastAsia="Times New Roman"/>
          <w:snapToGrid w:val="0"/>
          <w:lang w:eastAsia="en-US"/>
        </w:rPr>
        <w:t>.</w:t>
      </w:r>
      <w:bookmarkEnd w:id="1"/>
      <w:r w:rsidRPr="00353BA0">
        <w:rPr>
          <w:rFonts w:eastAsia="Times New Roman"/>
          <w:snapToGrid w:val="0"/>
          <w:lang w:eastAsia="en-US"/>
        </w:rPr>
        <w:t xml:space="preserve"> </w:t>
      </w:r>
      <w:r w:rsidR="00B773B4">
        <w:rPr>
          <w:rFonts w:eastAsia="Times New Roman"/>
          <w:snapToGrid w:val="0"/>
          <w:lang w:eastAsia="en-US"/>
        </w:rPr>
        <w:t xml:space="preserve"> </w:t>
      </w:r>
      <w:r w:rsidR="007D5501">
        <w:rPr>
          <w:rFonts w:eastAsia="Times New Roman"/>
          <w:snapToGrid w:val="0"/>
          <w:lang w:eastAsia="en-US"/>
        </w:rPr>
        <w:t xml:space="preserve">While this instrument may become available online in the future, currently this initiative is not on the Agency’s future prioritization road map and will not likely be available online in the next 3-6 years. </w:t>
      </w:r>
      <w:r w:rsidRPr="00353BA0">
        <w:rPr>
          <w:rFonts w:eastAsia="Times New Roman"/>
          <w:snapToGrid w:val="0"/>
          <w:lang w:eastAsia="en-US"/>
        </w:rPr>
        <w:t xml:space="preserve"> In addition, we evaluated this collection for conversion to a submittable PDF, and found it is not suitable for that process either</w:t>
      </w:r>
      <w:r>
        <w:rPr>
          <w:rFonts w:eastAsia="Times New Roman"/>
          <w:snapToGrid w:val="0"/>
          <w:lang w:eastAsia="en-US"/>
        </w:rPr>
        <w:t xml:space="preserve"> per the issues </w:t>
      </w:r>
      <w:r w:rsidR="003B1478">
        <w:rPr>
          <w:rFonts w:eastAsia="Times New Roman"/>
          <w:snapToGrid w:val="0"/>
          <w:lang w:eastAsia="en-US"/>
        </w:rPr>
        <w:t xml:space="preserve">related </w:t>
      </w:r>
      <w:r>
        <w:rPr>
          <w:rFonts w:eastAsia="Times New Roman"/>
          <w:snapToGrid w:val="0"/>
          <w:lang w:eastAsia="en-US"/>
        </w:rPr>
        <w:t>above.</w:t>
      </w:r>
    </w:p>
    <w:p w:rsidR="00617806" w:rsidP="00DF53E6" w14:paraId="10E749BE" w14:textId="77777777">
      <w:pPr>
        <w:ind w:left="1440"/>
        <w:rPr>
          <w:b/>
          <w:bCs/>
          <w:u w:val="single"/>
        </w:rPr>
      </w:pPr>
    </w:p>
    <w:p w:rsidR="00617806" w:rsidRPr="0004764D" w:rsidP="00DF53E6" w14:paraId="1404A7FC" w14:textId="77777777">
      <w:pPr>
        <w:numPr>
          <w:ilvl w:val="0"/>
          <w:numId w:val="8"/>
        </w:numPr>
        <w:ind w:left="1440" w:hanging="720"/>
        <w:rPr>
          <w:b/>
          <w:bCs/>
          <w:u w:val="single"/>
        </w:rPr>
      </w:pPr>
      <w:r>
        <w:rPr>
          <w:b/>
          <w:bCs/>
        </w:rPr>
        <w:t>Why We Cannot Use Duplicate Information</w:t>
      </w:r>
    </w:p>
    <w:p w:rsidR="0004764D" w:rsidP="00DF53E6" w14:paraId="11AD3D99" w14:textId="77777777">
      <w:pPr>
        <w:ind w:left="1440"/>
        <w:rPr>
          <w:b/>
          <w:bCs/>
        </w:rPr>
      </w:pPr>
      <w:r w:rsidRPr="00786454">
        <w:t>The n</w:t>
      </w:r>
      <w:r>
        <w:t>ature of the information we collect</w:t>
      </w:r>
      <w:r w:rsidRPr="00786454">
        <w:t xml:space="preserve"> and th</w:t>
      </w:r>
      <w:r>
        <w:t>e manner in which we collect</w:t>
      </w:r>
      <w:r w:rsidRPr="00786454">
        <w:t xml:space="preserve"> it preclude duplication.  SSA does not use an</w:t>
      </w:r>
      <w:r>
        <w:t>o</w:t>
      </w:r>
      <w:r w:rsidRPr="00786454">
        <w:t xml:space="preserve">ther collection instrument </w:t>
      </w:r>
      <w:r>
        <w:t xml:space="preserve">to </w:t>
      </w:r>
      <w:r w:rsidRPr="00786454">
        <w:t>obtain similar data</w:t>
      </w:r>
      <w:r>
        <w:t>.</w:t>
      </w:r>
    </w:p>
    <w:p w:rsidR="0004764D" w:rsidP="00DF53E6" w14:paraId="3E20E243" w14:textId="77777777">
      <w:pPr>
        <w:ind w:left="1440"/>
        <w:rPr>
          <w:b/>
          <w:bCs/>
          <w:u w:val="single"/>
        </w:rPr>
      </w:pPr>
    </w:p>
    <w:p w:rsidR="00617806" w:rsidRPr="0004764D" w:rsidP="00DF53E6" w14:paraId="0E94E95A" w14:textId="77777777">
      <w:pPr>
        <w:numPr>
          <w:ilvl w:val="0"/>
          <w:numId w:val="8"/>
        </w:numPr>
        <w:ind w:left="1440" w:hanging="720"/>
        <w:rPr>
          <w:b/>
          <w:bCs/>
          <w:u w:val="single"/>
        </w:rPr>
      </w:pPr>
      <w:r>
        <w:rPr>
          <w:b/>
          <w:bCs/>
        </w:rPr>
        <w:t>Minimizing Burden on Small Respondents</w:t>
      </w:r>
    </w:p>
    <w:p w:rsidR="0004764D" w:rsidP="00DF53E6" w14:paraId="01C8E057" w14:textId="77777777">
      <w:pPr>
        <w:ind w:left="1440"/>
        <w:rPr>
          <w:b/>
          <w:bCs/>
        </w:rPr>
      </w:pPr>
      <w:r>
        <w:rPr>
          <w:bCs/>
        </w:rPr>
        <w:t>This collection does not affect small businesses or other small entities.</w:t>
      </w:r>
    </w:p>
    <w:p w:rsidR="00C60B97" w:rsidP="003B1478" w14:paraId="50707766" w14:textId="77777777">
      <w:pPr>
        <w:rPr>
          <w:b/>
          <w:bCs/>
          <w:u w:val="single"/>
        </w:rPr>
      </w:pPr>
    </w:p>
    <w:p w:rsidR="00617806" w:rsidRPr="0004764D" w:rsidP="00DF53E6" w14:paraId="18B50A22" w14:textId="77777777">
      <w:pPr>
        <w:numPr>
          <w:ilvl w:val="0"/>
          <w:numId w:val="8"/>
        </w:numPr>
        <w:ind w:left="1440" w:hanging="720"/>
        <w:rPr>
          <w:b/>
          <w:bCs/>
          <w:u w:val="single"/>
        </w:rPr>
      </w:pPr>
      <w:r>
        <w:rPr>
          <w:b/>
          <w:bCs/>
        </w:rPr>
        <w:t>Consequence of Not Collecting Information or Collecting it Less Frequently</w:t>
      </w:r>
    </w:p>
    <w:p w:rsidR="0004764D" w:rsidP="00DF53E6" w14:paraId="74528AAC" w14:textId="39B9E89D">
      <w:pPr>
        <w:ind w:left="1440"/>
        <w:rPr>
          <w:b/>
          <w:bCs/>
        </w:rPr>
      </w:pPr>
      <w:r>
        <w:t xml:space="preserve">If SSA did not collect this information, a greater number of employers would report earnings information without an SSN for individuals (e.g., exchange visitors holding a visa who obtain temporary employment during the summer).  When employers do not report the employee’s SSN, SSA is unable to credit that individual’s earnings record, and places the earnings in a suspense file.  This </w:t>
      </w:r>
      <w:r w:rsidR="00B773B4">
        <w:t>could</w:t>
      </w:r>
      <w:r>
        <w:t xml:space="preserve"> cause errors of incorrect benefit payment amounts to potential future beneficiaries.  </w:t>
      </w:r>
      <w:r w:rsidRPr="0007291C" w:rsidR="0007291C">
        <w:rPr>
          <w:rFonts w:eastAsia="Times New Roman"/>
          <w:snapToGrid w:val="0"/>
          <w:lang w:eastAsia="en-US"/>
        </w:rPr>
        <w:t>Because we collect this information on an as-needed basis, we cannot collect it less frequently</w:t>
      </w:r>
      <w:r>
        <w:t>.  There are no technical or legal obstacles that prevent burden reduction.</w:t>
      </w:r>
    </w:p>
    <w:p w:rsidR="0004764D" w:rsidP="00DF53E6" w14:paraId="6D1A7EAD" w14:textId="77777777">
      <w:pPr>
        <w:ind w:left="1440"/>
        <w:rPr>
          <w:b/>
          <w:bCs/>
          <w:u w:val="single"/>
        </w:rPr>
      </w:pPr>
    </w:p>
    <w:p w:rsidR="00617806" w:rsidRPr="0004764D" w:rsidP="00DF53E6" w14:paraId="2C7A93E2" w14:textId="77777777">
      <w:pPr>
        <w:numPr>
          <w:ilvl w:val="0"/>
          <w:numId w:val="8"/>
        </w:numPr>
        <w:ind w:left="1440" w:hanging="720"/>
        <w:rPr>
          <w:b/>
          <w:bCs/>
          <w:u w:val="single"/>
        </w:rPr>
      </w:pPr>
      <w:r>
        <w:rPr>
          <w:b/>
          <w:bCs/>
        </w:rPr>
        <w:t>Special Circumstances</w:t>
      </w:r>
    </w:p>
    <w:p w:rsidR="0004764D" w:rsidP="00DF53E6" w14:paraId="75880144" w14:textId="77777777">
      <w:pPr>
        <w:ind w:left="1440"/>
        <w:rPr>
          <w:b/>
          <w:bCs/>
        </w:rPr>
      </w:pPr>
      <w:r>
        <w:t xml:space="preserve">There are no special circumstances that would cause SSA to collect this information in a manner inconsistent with </w:t>
      </w:r>
      <w:r w:rsidRPr="000601A4">
        <w:rPr>
          <w:i/>
        </w:rPr>
        <w:t>5 CFR 1320.5</w:t>
      </w:r>
      <w:r>
        <w:rPr>
          <w:i/>
        </w:rPr>
        <w:t>.</w:t>
      </w:r>
    </w:p>
    <w:p w:rsidR="0004764D" w:rsidP="00DF53E6" w14:paraId="7DA5886F" w14:textId="77777777">
      <w:pPr>
        <w:ind w:left="1440"/>
        <w:rPr>
          <w:b/>
          <w:bCs/>
          <w:u w:val="single"/>
        </w:rPr>
      </w:pPr>
    </w:p>
    <w:p w:rsidR="00617806" w:rsidRPr="0004764D" w:rsidP="00DF53E6" w14:paraId="526FF88B" w14:textId="77777777">
      <w:pPr>
        <w:numPr>
          <w:ilvl w:val="0"/>
          <w:numId w:val="8"/>
        </w:numPr>
        <w:ind w:left="1440" w:hanging="720"/>
        <w:rPr>
          <w:b/>
          <w:bCs/>
          <w:u w:val="single"/>
        </w:rPr>
      </w:pPr>
      <w:r w:rsidRPr="00852FE2">
        <w:rPr>
          <w:b/>
        </w:rPr>
        <w:t xml:space="preserve">Solicitation of Public </w:t>
      </w:r>
      <w:r w:rsidRPr="00852FE2">
        <w:rPr>
          <w:b/>
        </w:rPr>
        <w:t>Comment and Other Consultations with the Public</w:t>
      </w:r>
    </w:p>
    <w:p w:rsidR="0004764D" w:rsidP="00DF53E6" w14:paraId="2C9ECDD4" w14:textId="1F08377C">
      <w:pPr>
        <w:ind w:left="1440"/>
        <w:rPr>
          <w:b/>
        </w:rPr>
      </w:pPr>
      <w:r>
        <w:rPr>
          <w:noProof/>
          <w:snapToGrid w:val="0"/>
          <w:lang w:bidi="en-US"/>
        </w:rPr>
        <w:t xml:space="preserve">The 60-day advance Federal Register Notice published on </w:t>
      </w:r>
      <w:r w:rsidR="00DA55B9">
        <w:rPr>
          <w:noProof/>
          <w:snapToGrid w:val="0"/>
          <w:lang w:bidi="en-US"/>
        </w:rPr>
        <w:t>November 6, 2024</w:t>
      </w:r>
      <w:r>
        <w:rPr>
          <w:noProof/>
          <w:snapToGrid w:val="0"/>
          <w:lang w:bidi="en-US"/>
        </w:rPr>
        <w:t xml:space="preserve"> at 8</w:t>
      </w:r>
      <w:r w:rsidR="006654A0">
        <w:rPr>
          <w:noProof/>
          <w:snapToGrid w:val="0"/>
          <w:lang w:bidi="en-US"/>
        </w:rPr>
        <w:t>9</w:t>
      </w:r>
      <w:r>
        <w:rPr>
          <w:noProof/>
          <w:snapToGrid w:val="0"/>
          <w:lang w:bidi="en-US"/>
        </w:rPr>
        <w:t> FR </w:t>
      </w:r>
      <w:r w:rsidR="006654A0">
        <w:rPr>
          <w:noProof/>
          <w:snapToGrid w:val="0"/>
          <w:lang w:bidi="en-US"/>
        </w:rPr>
        <w:t>88105</w:t>
      </w:r>
      <w:r>
        <w:rPr>
          <w:noProof/>
          <w:snapToGrid w:val="0"/>
          <w:lang w:bidi="en-US"/>
        </w:rPr>
        <w:t xml:space="preserve">, and we received no public comments.  The 30-day FRN published on </w:t>
      </w:r>
      <w:r w:rsidR="00190922">
        <w:rPr>
          <w:noProof/>
          <w:snapToGrid w:val="0"/>
          <w:lang w:bidi="en-US"/>
        </w:rPr>
        <w:t xml:space="preserve">January </w:t>
      </w:r>
      <w:r>
        <w:rPr>
          <w:noProof/>
          <w:snapToGrid w:val="0"/>
          <w:lang w:bidi="en-US"/>
        </w:rPr>
        <w:t>8, 202</w:t>
      </w:r>
      <w:r w:rsidR="00190922">
        <w:rPr>
          <w:noProof/>
          <w:snapToGrid w:val="0"/>
          <w:lang w:bidi="en-US"/>
        </w:rPr>
        <w:t>5</w:t>
      </w:r>
      <w:r>
        <w:rPr>
          <w:noProof/>
          <w:snapToGrid w:val="0"/>
          <w:lang w:bidi="en-US"/>
        </w:rPr>
        <w:t xml:space="preserve"> at </w:t>
      </w:r>
      <w:r w:rsidR="00364BED">
        <w:rPr>
          <w:noProof/>
          <w:snapToGrid w:val="0"/>
          <w:lang w:bidi="en-US"/>
        </w:rPr>
        <w:t>90</w:t>
      </w:r>
      <w:r>
        <w:rPr>
          <w:noProof/>
          <w:snapToGrid w:val="0"/>
          <w:lang w:bidi="en-US"/>
        </w:rPr>
        <w:t xml:space="preserve"> FR </w:t>
      </w:r>
      <w:r w:rsidR="00364BED">
        <w:rPr>
          <w:noProof/>
          <w:snapToGrid w:val="0"/>
          <w:lang w:bidi="en-US"/>
        </w:rPr>
        <w:t>1588</w:t>
      </w:r>
      <w:r>
        <w:rPr>
          <w:noProof/>
          <w:snapToGrid w:val="0"/>
          <w:lang w:bidi="en-US"/>
        </w:rPr>
        <w:t>.  If we receive any comments in response to this Notice, we will forward them to OMB</w:t>
      </w:r>
      <w:r>
        <w:t>.</w:t>
      </w:r>
    </w:p>
    <w:p w:rsidR="0004764D" w:rsidP="00DF53E6" w14:paraId="634B15FB" w14:textId="77777777">
      <w:pPr>
        <w:ind w:left="1440"/>
        <w:rPr>
          <w:b/>
          <w:bCs/>
          <w:u w:val="single"/>
        </w:rPr>
      </w:pPr>
    </w:p>
    <w:p w:rsidR="00617806" w:rsidRPr="0004764D" w:rsidP="00DF53E6" w14:paraId="52972176" w14:textId="77777777">
      <w:pPr>
        <w:numPr>
          <w:ilvl w:val="0"/>
          <w:numId w:val="8"/>
        </w:numPr>
        <w:ind w:left="1440" w:hanging="720"/>
        <w:rPr>
          <w:b/>
          <w:bCs/>
          <w:u w:val="single"/>
        </w:rPr>
      </w:pPr>
      <w:r w:rsidRPr="00D92F57">
        <w:rPr>
          <w:b/>
          <w:spacing w:val="-3"/>
        </w:rPr>
        <w:t>Payment of Gifts to Respondents</w:t>
      </w:r>
    </w:p>
    <w:p w:rsidR="0004764D" w:rsidP="00DF53E6" w14:paraId="0AEB9F8F" w14:textId="77777777">
      <w:pPr>
        <w:ind w:left="1440"/>
        <w:rPr>
          <w:b/>
          <w:spacing w:val="-3"/>
        </w:rPr>
      </w:pPr>
      <w:r>
        <w:rPr>
          <w:spacing w:val="-3"/>
        </w:rPr>
        <w:t>SSA provides no payment or gifts to the respondents.</w:t>
      </w:r>
    </w:p>
    <w:p w:rsidR="0004764D" w:rsidP="00DF53E6" w14:paraId="0C54F5D0" w14:textId="77777777">
      <w:pPr>
        <w:ind w:left="1440"/>
        <w:rPr>
          <w:b/>
          <w:bCs/>
          <w:u w:val="single"/>
        </w:rPr>
      </w:pPr>
    </w:p>
    <w:p w:rsidR="0004764D" w:rsidRPr="0004764D" w:rsidP="00DF53E6" w14:paraId="3266DD44" w14:textId="77777777">
      <w:pPr>
        <w:numPr>
          <w:ilvl w:val="0"/>
          <w:numId w:val="8"/>
        </w:numPr>
        <w:ind w:left="1440" w:hanging="720"/>
        <w:rPr>
          <w:b/>
          <w:bCs/>
          <w:u w:val="single"/>
        </w:rPr>
      </w:pPr>
      <w:r>
        <w:rPr>
          <w:b/>
          <w:bCs/>
        </w:rPr>
        <w:t>Assurances of Confidentiality</w:t>
      </w:r>
    </w:p>
    <w:p w:rsidR="0004764D" w:rsidP="00DF53E6" w14:paraId="2F435617" w14:textId="77777777">
      <w:pPr>
        <w:ind w:left="1440"/>
        <w:rPr>
          <w:b/>
          <w:bCs/>
        </w:rPr>
      </w:pPr>
      <w:r w:rsidRPr="00F62078">
        <w:t>SSA protects and holds confidential the information it collects in accordance with</w:t>
      </w:r>
      <w:r>
        <w:rPr>
          <w:i/>
        </w:rPr>
        <w:t xml:space="preserve"> 42 </w:t>
      </w:r>
      <w:r w:rsidRPr="00F62078">
        <w:rPr>
          <w:i/>
        </w:rPr>
        <w:t xml:space="preserve">U.S.C. 1306, 20 CFR 401 </w:t>
      </w:r>
      <w:r w:rsidRPr="00F62078">
        <w:t>and</w:t>
      </w:r>
      <w:r w:rsidRPr="00F62078">
        <w:rPr>
          <w:i/>
        </w:rPr>
        <w:t xml:space="preserve"> 402, 5 U.S.C. 552 </w:t>
      </w:r>
      <w:r w:rsidRPr="00F62078">
        <w:t>(Freedom of Information Act),</w:t>
      </w:r>
      <w:r>
        <w:rPr>
          <w:i/>
        </w:rPr>
        <w:t xml:space="preserve"> 5 </w:t>
      </w:r>
      <w:r w:rsidRPr="00F62078">
        <w:rPr>
          <w:i/>
        </w:rPr>
        <w:t xml:space="preserve">U.S.C. 552a </w:t>
      </w:r>
      <w:r w:rsidRPr="00F62078">
        <w:t>(Privacy Act of 1974), and OMB Circular No. A-130</w:t>
      </w:r>
      <w:r>
        <w:t>.</w:t>
      </w:r>
    </w:p>
    <w:p w:rsidR="0004764D" w:rsidRPr="0004764D" w:rsidP="00DF53E6" w14:paraId="454A88C5" w14:textId="77777777">
      <w:pPr>
        <w:ind w:left="1440"/>
        <w:rPr>
          <w:b/>
          <w:bCs/>
          <w:u w:val="single"/>
        </w:rPr>
      </w:pPr>
    </w:p>
    <w:p w:rsidR="00617806" w:rsidRPr="0004764D" w:rsidP="00DF53E6" w14:paraId="576DD44B" w14:textId="77777777">
      <w:pPr>
        <w:numPr>
          <w:ilvl w:val="0"/>
          <w:numId w:val="8"/>
        </w:numPr>
        <w:ind w:left="1440" w:hanging="720"/>
        <w:rPr>
          <w:b/>
          <w:bCs/>
          <w:u w:val="single"/>
        </w:rPr>
      </w:pPr>
      <w:r w:rsidRPr="0009791F">
        <w:rPr>
          <w:b/>
          <w:bCs/>
        </w:rPr>
        <w:t>Justification for Sensitive Questions</w:t>
      </w:r>
    </w:p>
    <w:p w:rsidR="0004764D" w:rsidP="00DF53E6" w14:paraId="2B761C36" w14:textId="77777777">
      <w:pPr>
        <w:ind w:left="1440"/>
        <w:rPr>
          <w:b/>
          <w:bCs/>
        </w:rPr>
      </w:pPr>
      <w:r w:rsidRPr="0009791F">
        <w:rPr>
          <w:bCs/>
        </w:rPr>
        <w:t xml:space="preserve">The information collection does not contain any questions of a </w:t>
      </w:r>
      <w:r w:rsidRPr="0009791F">
        <w:rPr>
          <w:bCs/>
        </w:rPr>
        <w:t>sensitive nature</w:t>
      </w:r>
      <w:r>
        <w:rPr>
          <w:bCs/>
        </w:rPr>
        <w:t>.</w:t>
      </w:r>
    </w:p>
    <w:p w:rsidR="0004764D" w:rsidP="00DF53E6" w14:paraId="6D250AB9" w14:textId="77777777">
      <w:pPr>
        <w:ind w:left="1440"/>
        <w:rPr>
          <w:b/>
          <w:bCs/>
          <w:u w:val="single"/>
        </w:rPr>
      </w:pPr>
    </w:p>
    <w:p w:rsidR="00617806" w:rsidRPr="00696474" w:rsidP="00DF53E6" w14:paraId="41194382" w14:textId="77777777">
      <w:pPr>
        <w:numPr>
          <w:ilvl w:val="0"/>
          <w:numId w:val="8"/>
        </w:numPr>
        <w:ind w:left="1440" w:hanging="720"/>
        <w:rPr>
          <w:b/>
          <w:bCs/>
          <w:u w:val="single"/>
        </w:rPr>
      </w:pPr>
      <w:r w:rsidRPr="00696474">
        <w:rPr>
          <w:b/>
          <w:bCs/>
        </w:rPr>
        <w:t>Estimates of Public Reporting Burden</w:t>
      </w:r>
    </w:p>
    <w:p w:rsidR="00192906" w:rsidRPr="00DB43E6" w:rsidP="00DF53E6" w14:paraId="380A6B26" w14:textId="77777777">
      <w:pPr>
        <w:ind w:left="1440"/>
        <w:rPr>
          <w:bCs/>
        </w:rPr>
      </w:pPr>
    </w:p>
    <w:p w:rsidR="002D5206" w:rsidP="0004764D" w14:paraId="1A8C62E3" w14:textId="3BDA2B62">
      <w:pPr>
        <w:ind w:left="1080"/>
      </w:pPr>
    </w:p>
    <w:tbl>
      <w:tblPr>
        <w:tblStyle w:val="TableGrid1"/>
        <w:tblW w:w="11520" w:type="dxa"/>
        <w:tblInd w:w="-995" w:type="dxa"/>
        <w:tblLook w:val="04A0"/>
      </w:tblPr>
      <w:tblGrid>
        <w:gridCol w:w="1544"/>
        <w:gridCol w:w="1526"/>
        <w:gridCol w:w="1325"/>
        <w:gridCol w:w="1218"/>
        <w:gridCol w:w="1257"/>
        <w:gridCol w:w="1549"/>
        <w:gridCol w:w="1355"/>
        <w:gridCol w:w="1746"/>
      </w:tblGrid>
      <w:tr w14:paraId="60E88730" w14:textId="77777777" w:rsidTr="00D51705">
        <w:tblPrEx>
          <w:tblW w:w="11520" w:type="dxa"/>
          <w:tblInd w:w="-995" w:type="dxa"/>
          <w:tblLook w:val="04A0"/>
        </w:tblPrEx>
        <w:tc>
          <w:tcPr>
            <w:tcW w:w="1544" w:type="dxa"/>
          </w:tcPr>
          <w:p w:rsidR="009343D3" w:rsidRPr="009343D3" w:rsidP="009343D3" w14:paraId="0EEE4F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Modality of Completion</w:t>
            </w:r>
          </w:p>
        </w:tc>
        <w:tc>
          <w:tcPr>
            <w:tcW w:w="1526" w:type="dxa"/>
          </w:tcPr>
          <w:p w:rsidR="009343D3" w:rsidRPr="009343D3" w:rsidP="009343D3" w14:paraId="67676A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Number of Respondents</w:t>
            </w:r>
          </w:p>
        </w:tc>
        <w:tc>
          <w:tcPr>
            <w:tcW w:w="1325" w:type="dxa"/>
          </w:tcPr>
          <w:p w:rsidR="009343D3" w:rsidRPr="009343D3" w:rsidP="009343D3" w14:paraId="055BF7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Frequency of Response</w:t>
            </w:r>
          </w:p>
        </w:tc>
        <w:tc>
          <w:tcPr>
            <w:tcW w:w="1218" w:type="dxa"/>
          </w:tcPr>
          <w:p w:rsidR="009343D3" w:rsidRPr="009343D3" w:rsidP="009343D3" w14:paraId="3440F1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Average Burden Per Response (minutes)</w:t>
            </w:r>
          </w:p>
        </w:tc>
        <w:tc>
          <w:tcPr>
            <w:tcW w:w="1257" w:type="dxa"/>
          </w:tcPr>
          <w:p w:rsidR="009343D3" w:rsidRPr="009343D3" w:rsidP="009343D3" w14:paraId="3A81F8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Estimated Total Annual Burden (hours)</w:t>
            </w:r>
          </w:p>
        </w:tc>
        <w:tc>
          <w:tcPr>
            <w:tcW w:w="1549" w:type="dxa"/>
          </w:tcPr>
          <w:p w:rsidR="009343D3" w:rsidRPr="009343D3" w:rsidP="009343D3" w14:paraId="2724C9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 xml:space="preserve">Average Theoretical Hourly Cost Amount </w:t>
            </w:r>
            <w:r w:rsidRPr="009343D3">
              <w:rPr>
                <w:rFonts w:eastAsia="Calibri"/>
                <w:b/>
                <w:lang w:val="x-none"/>
              </w:rPr>
              <w:t>(dollars)*</w:t>
            </w:r>
          </w:p>
        </w:tc>
        <w:tc>
          <w:tcPr>
            <w:tcW w:w="1355" w:type="dxa"/>
          </w:tcPr>
          <w:p w:rsidR="009343D3" w:rsidRPr="009343D3" w:rsidP="009343D3" w14:paraId="495F0455" w14:textId="77777777">
            <w:pPr>
              <w:suppressAutoHyphens/>
              <w:autoSpaceDE w:val="0"/>
              <w:autoSpaceDN w:val="0"/>
              <w:adjustRightInd w:val="0"/>
              <w:rPr>
                <w:rFonts w:eastAsia="Calibri"/>
                <w:b/>
                <w:lang w:eastAsia="ar-SA"/>
              </w:rPr>
            </w:pPr>
            <w:r w:rsidRPr="009343D3">
              <w:rPr>
                <w:rFonts w:eastAsia="Calibri"/>
                <w:b/>
                <w:lang w:eastAsia="ar-SA"/>
              </w:rPr>
              <w:t>Average Wait Time in Field Office</w:t>
            </w:r>
          </w:p>
          <w:p w:rsidR="009343D3" w:rsidRPr="009343D3" w:rsidP="009343D3" w14:paraId="5D360D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(minutes) **</w:t>
            </w:r>
          </w:p>
        </w:tc>
        <w:tc>
          <w:tcPr>
            <w:tcW w:w="1746" w:type="dxa"/>
          </w:tcPr>
          <w:p w:rsidR="009343D3" w:rsidRPr="009343D3" w:rsidP="009343D3" w14:paraId="7DB341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Times New Roman"/>
                <w:b/>
                <w:snapToGrid w:val="0"/>
                <w:lang w:val="x-none"/>
              </w:rPr>
              <w:t>Total Annual Opportunity Cost (dollars)***</w:t>
            </w:r>
          </w:p>
        </w:tc>
      </w:tr>
      <w:tr w14:paraId="3F9AFFCC" w14:textId="77777777" w:rsidTr="00D51705">
        <w:tblPrEx>
          <w:tblW w:w="11520" w:type="dxa"/>
          <w:tblInd w:w="-995" w:type="dxa"/>
          <w:tblLook w:val="04A0"/>
        </w:tblPrEx>
        <w:tc>
          <w:tcPr>
            <w:tcW w:w="1544" w:type="dxa"/>
            <w:shd w:val="clear" w:color="auto" w:fill="auto"/>
            <w:vAlign w:val="center"/>
          </w:tcPr>
          <w:p w:rsidR="009343D3" w:rsidRPr="009343D3" w:rsidP="009343D3" w14:paraId="539718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Times New Roman"/>
                <w:color w:val="000000"/>
                <w:lang w:eastAsia="en-US"/>
              </w:rPr>
              <w:t>SSA-132</w:t>
            </w:r>
          </w:p>
        </w:tc>
        <w:tc>
          <w:tcPr>
            <w:tcW w:w="1526" w:type="dxa"/>
            <w:shd w:val="clear" w:color="auto" w:fill="auto"/>
            <w:vAlign w:val="center"/>
          </w:tcPr>
          <w:p w:rsidR="009343D3" w:rsidRPr="00073622" w:rsidP="009343D3" w14:paraId="66A5EECF" w14:textId="1D890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073622">
              <w:rPr>
                <w:rFonts w:eastAsia="Calibri"/>
              </w:rPr>
              <w:t>361,902</w:t>
            </w:r>
          </w:p>
        </w:tc>
        <w:tc>
          <w:tcPr>
            <w:tcW w:w="1325" w:type="dxa"/>
            <w:shd w:val="clear" w:color="auto" w:fill="auto"/>
            <w:vAlign w:val="center"/>
          </w:tcPr>
          <w:p w:rsidR="009343D3" w:rsidRPr="00073622" w:rsidP="009343D3" w14:paraId="06C759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073622">
              <w:rPr>
                <w:rFonts w:eastAsia="Times New Roman"/>
                <w:lang w:eastAsia="en-US"/>
              </w:rPr>
              <w:t>1</w:t>
            </w:r>
          </w:p>
        </w:tc>
        <w:tc>
          <w:tcPr>
            <w:tcW w:w="1218" w:type="dxa"/>
            <w:shd w:val="clear" w:color="auto" w:fill="auto"/>
            <w:vAlign w:val="center"/>
          </w:tcPr>
          <w:p w:rsidR="009343D3" w:rsidRPr="00073622" w:rsidP="009343D3" w14:paraId="28C86A4A" w14:textId="672E6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073622">
              <w:rPr>
                <w:rFonts w:eastAsia="Times New Roman"/>
                <w:lang w:eastAsia="en-US"/>
              </w:rPr>
              <w:t>5</w:t>
            </w:r>
          </w:p>
        </w:tc>
        <w:tc>
          <w:tcPr>
            <w:tcW w:w="1257" w:type="dxa"/>
            <w:shd w:val="clear" w:color="auto" w:fill="auto"/>
            <w:vAlign w:val="center"/>
          </w:tcPr>
          <w:p w:rsidR="009343D3" w:rsidRPr="00073622" w:rsidP="009343D3" w14:paraId="2BA258F3" w14:textId="7A419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073622">
              <w:rPr>
                <w:rFonts w:eastAsia="Calibri"/>
              </w:rPr>
              <w:t>30,15</w:t>
            </w:r>
            <w:r w:rsidR="00CF7DD3">
              <w:rPr>
                <w:rFonts w:eastAsia="Calibri"/>
              </w:rPr>
              <w:t>9</w:t>
            </w:r>
          </w:p>
        </w:tc>
        <w:tc>
          <w:tcPr>
            <w:tcW w:w="1549" w:type="dxa"/>
            <w:shd w:val="clear" w:color="auto" w:fill="auto"/>
          </w:tcPr>
          <w:p w:rsidR="009343D3" w:rsidRPr="00073622" w:rsidP="009343D3" w14:paraId="0E3B215F" w14:textId="595B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073622">
              <w:rPr>
                <w:rFonts w:eastAsia="Calibri"/>
                <w:lang w:val="x-none"/>
              </w:rPr>
              <w:t>$</w:t>
            </w:r>
            <w:r w:rsidRPr="00073622" w:rsidR="009B215A">
              <w:rPr>
                <w:rFonts w:eastAsia="Calibri"/>
              </w:rPr>
              <w:t>31.48</w:t>
            </w:r>
            <w:r w:rsidRPr="00073622">
              <w:rPr>
                <w:rFonts w:eastAsia="Calibri"/>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9343D3" w:rsidRPr="00073622" w:rsidP="009343D3" w14:paraId="0D7BEA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073622">
              <w:rPr>
                <w:rFonts w:eastAsia="Calibri"/>
                <w:lang w:val="x-none" w:eastAsia="ar-SA"/>
              </w:rPr>
              <w:t>24**</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9343D3" w:rsidRPr="00073622" w:rsidP="009343D3" w14:paraId="65E93B76" w14:textId="74E18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073622">
              <w:rPr>
                <w:rFonts w:eastAsia="Calibri"/>
                <w:lang w:val="x-none"/>
              </w:rPr>
              <w:t xml:space="preserve"> $</w:t>
            </w:r>
            <w:r w:rsidRPr="00073622" w:rsidR="00AC59E1">
              <w:rPr>
                <w:rFonts w:eastAsia="Calibri"/>
              </w:rPr>
              <w:t>5</w:t>
            </w:r>
            <w:r w:rsidRPr="00073622" w:rsidR="00882E55">
              <w:rPr>
                <w:rFonts w:eastAsia="Calibri"/>
              </w:rPr>
              <w:t>,</w:t>
            </w:r>
            <w:r w:rsidRPr="00073622" w:rsidR="00AC59E1">
              <w:rPr>
                <w:rFonts w:eastAsia="Calibri"/>
              </w:rPr>
              <w:t>506</w:t>
            </w:r>
            <w:r w:rsidRPr="00073622" w:rsidR="00882E55">
              <w:rPr>
                <w:rFonts w:eastAsia="Calibri"/>
              </w:rPr>
              <w:t>,</w:t>
            </w:r>
            <w:r w:rsidRPr="00073622" w:rsidR="00AC59E1">
              <w:rPr>
                <w:rFonts w:eastAsia="Calibri"/>
              </w:rPr>
              <w:t>4</w:t>
            </w:r>
            <w:r w:rsidR="000220ED">
              <w:rPr>
                <w:rFonts w:eastAsia="Calibri"/>
              </w:rPr>
              <w:t>82</w:t>
            </w:r>
            <w:r w:rsidRPr="00073622">
              <w:rPr>
                <w:rFonts w:eastAsia="Calibri"/>
              </w:rPr>
              <w:t>***</w:t>
            </w:r>
          </w:p>
        </w:tc>
      </w:tr>
    </w:tbl>
    <w:p w:rsidR="009343D3" w:rsidP="009343D3" w14:paraId="0D580377" w14:textId="1D2DE96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lang w:eastAsia="ar-SA"/>
        </w:rPr>
      </w:pPr>
      <w:r w:rsidRPr="009343D3">
        <w:rPr>
          <w:bCs/>
          <w:lang w:eastAsia="ar-SA"/>
        </w:rPr>
        <w:t>*</w:t>
      </w:r>
      <w:r w:rsidRPr="009343D3">
        <w:rPr>
          <w:b/>
          <w:lang w:eastAsia="ar-SA"/>
        </w:rPr>
        <w:t xml:space="preserve"> </w:t>
      </w:r>
      <w:r w:rsidRPr="009343D3">
        <w:rPr>
          <w:lang w:eastAsia="ar-SA"/>
        </w:rPr>
        <w:t xml:space="preserve">We based this figure on the average U.S. worker’s hourly wages, as reported by Bureau of </w:t>
      </w:r>
      <w:r w:rsidRPr="009343D3">
        <w:rPr>
          <w:lang w:eastAsia="ar-SA"/>
        </w:rPr>
        <w:t>Labor Statistics data</w:t>
      </w:r>
      <w:r w:rsidR="00110288">
        <w:rPr>
          <w:lang w:eastAsia="ar-SA"/>
        </w:rPr>
        <w:t xml:space="preserve"> </w:t>
      </w:r>
      <w:r w:rsidRPr="009343D3">
        <w:rPr>
          <w:lang w:eastAsia="ar-SA"/>
        </w:rPr>
        <w:t>(</w:t>
      </w:r>
      <w:hyperlink r:id="rId5" w:anchor="00-0000" w:history="1">
        <w:r w:rsidRPr="009343D3">
          <w:rPr>
            <w:color w:val="0000FF"/>
            <w:u w:val="single"/>
            <w:lang w:eastAsia="ar-SA"/>
          </w:rPr>
          <w:t>https://www.bls.gov/oes/current/oes_nat.htm#00-0000</w:t>
        </w:r>
      </w:hyperlink>
      <w:r w:rsidRPr="009343D3">
        <w:rPr>
          <w:lang w:eastAsia="ar-SA"/>
        </w:rPr>
        <w:t>).</w:t>
      </w:r>
    </w:p>
    <w:p w:rsidR="009343D3" w:rsidRPr="009343D3" w:rsidP="009343D3" w14:paraId="3CC83176" w14:textId="77777777">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p>
    <w:p w:rsidR="009343D3" w:rsidP="009343D3" w14:paraId="04899273" w14:textId="00912AD1">
      <w:pPr>
        <w:widowControl w:val="0"/>
        <w:tabs>
          <w:tab w:val="left" w:pos="0"/>
          <w:tab w:val="left" w:pos="1440"/>
        </w:tabs>
        <w:suppressAutoHyphens/>
        <w:ind w:left="1440"/>
        <w:rPr>
          <w:rFonts w:eastAsia="Times New Roman"/>
          <w:lang w:eastAsia="ar-SA"/>
        </w:rPr>
      </w:pPr>
      <w:r w:rsidRPr="009343D3">
        <w:rPr>
          <w:rFonts w:eastAsia="Times New Roman"/>
          <w:snapToGrid w:val="0"/>
          <w:lang w:eastAsia="en-US"/>
        </w:rPr>
        <w:t xml:space="preserve">** </w:t>
      </w:r>
      <w:r w:rsidRPr="009343D3">
        <w:rPr>
          <w:rFonts w:eastAsia="Times New Roman"/>
          <w:lang w:eastAsia="ar-SA"/>
        </w:rPr>
        <w:t xml:space="preserve">We based this figure on the average </w:t>
      </w:r>
      <w:r w:rsidRPr="00073622">
        <w:rPr>
          <w:rFonts w:eastAsia="Times New Roman"/>
          <w:lang w:eastAsia="ar-SA"/>
        </w:rPr>
        <w:t>FY 202</w:t>
      </w:r>
      <w:r w:rsidR="00E82E4A">
        <w:rPr>
          <w:rFonts w:eastAsia="Times New Roman"/>
          <w:lang w:eastAsia="ar-SA"/>
        </w:rPr>
        <w:t>4</w:t>
      </w:r>
      <w:r w:rsidRPr="00073622">
        <w:rPr>
          <w:rFonts w:eastAsia="Times New Roman"/>
          <w:lang w:eastAsia="ar-SA"/>
        </w:rPr>
        <w:t xml:space="preserve"> </w:t>
      </w:r>
      <w:r w:rsidRPr="009343D3">
        <w:rPr>
          <w:rFonts w:eastAsia="Times New Roman"/>
          <w:lang w:eastAsia="ar-SA"/>
        </w:rPr>
        <w:t xml:space="preserve">wait times for </w:t>
      </w:r>
      <w:r w:rsidRPr="009343D3">
        <w:rPr>
          <w:rFonts w:eastAsia="Times New Roman"/>
          <w:lang w:eastAsia="ar-SA"/>
        </w:rPr>
        <w:t>field offices, based on SSA’s current management information data.</w:t>
      </w:r>
    </w:p>
    <w:p w:rsidR="009343D3" w:rsidRPr="009343D3" w:rsidP="009343D3" w14:paraId="11635716" w14:textId="77777777">
      <w:pPr>
        <w:widowControl w:val="0"/>
        <w:tabs>
          <w:tab w:val="left" w:pos="0"/>
          <w:tab w:val="left" w:pos="1440"/>
        </w:tabs>
        <w:suppressAutoHyphens/>
        <w:ind w:left="1440"/>
        <w:rPr>
          <w:rFonts w:eastAsia="Times New Roman"/>
          <w:spacing w:val="-2"/>
          <w:lang w:eastAsia="ar-SA"/>
        </w:rPr>
      </w:pPr>
    </w:p>
    <w:p w:rsidR="00EA6891" w:rsidP="009343D3" w14:paraId="7EA9A062" w14:textId="055F2168">
      <w:pPr>
        <w:tabs>
          <w:tab w:val="left" w:pos="1440"/>
        </w:tabs>
        <w:ind w:left="1440"/>
        <w:rPr>
          <w:lang w:eastAsia="ar-SA"/>
        </w:rPr>
      </w:pPr>
      <w:r w:rsidRPr="009343D3">
        <w:rPr>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9343D3">
        <w:rPr>
          <w:b/>
          <w:u w:val="single"/>
          <w:lang w:eastAsia="ar-SA"/>
        </w:rPr>
        <w:t>There is no actual charge to respondents to complete the application</w:t>
      </w:r>
      <w:r w:rsidRPr="009343D3">
        <w:rPr>
          <w:lang w:eastAsia="ar-SA"/>
        </w:rPr>
        <w:t>.</w:t>
      </w:r>
    </w:p>
    <w:p w:rsidR="00110288" w:rsidP="009343D3" w14:paraId="2D914D3A" w14:textId="3A4C779F">
      <w:pPr>
        <w:tabs>
          <w:tab w:val="left" w:pos="1440"/>
        </w:tabs>
        <w:ind w:left="1440"/>
        <w:rPr>
          <w:lang w:eastAsia="ar-SA"/>
        </w:rPr>
      </w:pPr>
    </w:p>
    <w:p w:rsidR="00110288" w:rsidRPr="00110288" w:rsidP="00110288" w14:paraId="09237DC0" w14:textId="0524563F">
      <w:pPr>
        <w:widowControl w:val="0"/>
        <w:ind w:left="1440"/>
        <w:contextualSpacing/>
        <w:rPr>
          <w:rFonts w:eastAsia="Times New Roman"/>
          <w:snapToGrid w:val="0"/>
          <w:color w:val="000000"/>
          <w:lang w:eastAsia="en-US"/>
        </w:rPr>
      </w:pPr>
      <w:r w:rsidRPr="00110288">
        <w:rPr>
          <w:rFonts w:eastAsia="Times New Roman"/>
          <w:snapToGrid w:val="0"/>
          <w:lang w:eastAsia="en-US"/>
        </w:rPr>
        <w:t xml:space="preserve">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w:t>
      </w:r>
      <w:r w:rsidRPr="00110288" w:rsidR="00B773B4">
        <w:rPr>
          <w:rFonts w:eastAsia="Times New Roman"/>
          <w:snapToGrid w:val="0"/>
          <w:lang w:eastAsia="en-US"/>
        </w:rPr>
        <w:t>represents</w:t>
      </w:r>
      <w:r w:rsidRPr="00110288">
        <w:rPr>
          <w:rFonts w:eastAsia="Times New Roman"/>
          <w:snapToGrid w:val="0"/>
          <w:lang w:eastAsia="en-US"/>
        </w:rPr>
        <w:t xml:space="preserve"> a 13.97-mile driving distance for one-way travel.  We depict this on the chart below:</w:t>
      </w:r>
    </w:p>
    <w:p w:rsidR="00110288" w:rsidRPr="00110288" w:rsidP="00110288" w14:paraId="319BF0EA" w14:textId="77777777">
      <w:pPr>
        <w:widowControl w:val="0"/>
        <w:ind w:left="720"/>
        <w:rPr>
          <w:rFonts w:eastAsia="Times New Roman"/>
          <w:snapToGrid w:val="0"/>
          <w:lang w:eastAsia="en-US"/>
        </w:rPr>
      </w:pPr>
    </w:p>
    <w:tbl>
      <w:tblPr>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22"/>
        <w:gridCol w:w="1714"/>
        <w:gridCol w:w="1729"/>
        <w:gridCol w:w="1800"/>
      </w:tblGrid>
      <w:tr w14:paraId="27E05E2F" w14:textId="77777777" w:rsidTr="00D03BC9">
        <w:tblPrEx>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110288" w:rsidRPr="00110288" w:rsidP="00110288" w14:paraId="46760365" w14:textId="77777777">
            <w:pPr>
              <w:widowControl w:val="0"/>
              <w:rPr>
                <w:rFonts w:eastAsia="Times New Roman"/>
                <w:b/>
                <w:snapToGrid w:val="0"/>
                <w:lang w:eastAsia="en-US"/>
              </w:rPr>
            </w:pPr>
            <w:r w:rsidRPr="00110288">
              <w:rPr>
                <w:rFonts w:eastAsia="Times New Roman"/>
                <w:b/>
                <w:snapToGrid w:val="0"/>
                <w:lang w:eastAsia="en-US"/>
              </w:rPr>
              <w:t>Total Number of Respondents Who Visit a Field Office</w:t>
            </w:r>
          </w:p>
        </w:tc>
        <w:tc>
          <w:tcPr>
            <w:tcW w:w="1522" w:type="dxa"/>
            <w:shd w:val="clear" w:color="auto" w:fill="auto"/>
          </w:tcPr>
          <w:p w:rsidR="00110288" w:rsidRPr="00110288" w:rsidP="00110288" w14:paraId="386D10FC" w14:textId="77777777">
            <w:pPr>
              <w:widowControl w:val="0"/>
              <w:rPr>
                <w:rFonts w:eastAsia="Times New Roman"/>
                <w:b/>
                <w:snapToGrid w:val="0"/>
                <w:lang w:eastAsia="en-US"/>
              </w:rPr>
            </w:pPr>
            <w:r w:rsidRPr="00110288">
              <w:rPr>
                <w:rFonts w:eastAsia="Times New Roman"/>
                <w:b/>
                <w:snapToGrid w:val="0"/>
                <w:lang w:eastAsia="en-US"/>
              </w:rPr>
              <w:t>Frequency of Response</w:t>
            </w:r>
          </w:p>
        </w:tc>
        <w:tc>
          <w:tcPr>
            <w:tcW w:w="1714" w:type="dxa"/>
            <w:shd w:val="clear" w:color="auto" w:fill="auto"/>
          </w:tcPr>
          <w:p w:rsidR="00110288" w:rsidRPr="00110288" w:rsidP="00110288" w14:paraId="4B315E7A" w14:textId="77777777">
            <w:pPr>
              <w:widowControl w:val="0"/>
              <w:rPr>
                <w:rFonts w:eastAsia="Times New Roman"/>
                <w:b/>
                <w:snapToGrid w:val="0"/>
                <w:lang w:eastAsia="en-US"/>
              </w:rPr>
            </w:pPr>
            <w:r w:rsidRPr="00110288">
              <w:rPr>
                <w:rFonts w:eastAsia="Times New Roman"/>
                <w:b/>
                <w:snapToGrid w:val="0"/>
                <w:lang w:eastAsia="en-US"/>
              </w:rPr>
              <w:t>Average One-Way Travel Time to a Field Office (minutes)</w:t>
            </w:r>
          </w:p>
        </w:tc>
        <w:tc>
          <w:tcPr>
            <w:tcW w:w="1729" w:type="dxa"/>
            <w:shd w:val="clear" w:color="auto" w:fill="auto"/>
          </w:tcPr>
          <w:p w:rsidR="00110288" w:rsidRPr="00110288" w:rsidP="00110288" w14:paraId="40023A5F" w14:textId="77777777">
            <w:pPr>
              <w:widowControl w:val="0"/>
              <w:rPr>
                <w:rFonts w:eastAsia="Times New Roman"/>
                <w:b/>
                <w:snapToGrid w:val="0"/>
                <w:lang w:eastAsia="en-US"/>
              </w:rPr>
            </w:pPr>
            <w:r w:rsidRPr="00110288">
              <w:rPr>
                <w:rFonts w:eastAsia="Times New Roman"/>
                <w:b/>
                <w:snapToGrid w:val="0"/>
                <w:lang w:eastAsia="en-US"/>
              </w:rPr>
              <w:t>Estimated Total Travel Time to a Field Office (hours)</w:t>
            </w:r>
          </w:p>
        </w:tc>
        <w:tc>
          <w:tcPr>
            <w:tcW w:w="1800" w:type="dxa"/>
            <w:shd w:val="clear" w:color="auto" w:fill="auto"/>
          </w:tcPr>
          <w:p w:rsidR="00110288" w:rsidRPr="00110288" w:rsidP="00110288" w14:paraId="3086365D" w14:textId="77777777">
            <w:pPr>
              <w:widowControl w:val="0"/>
              <w:rPr>
                <w:rFonts w:eastAsia="Times New Roman"/>
                <w:b/>
                <w:snapToGrid w:val="0"/>
                <w:lang w:eastAsia="en-US"/>
              </w:rPr>
            </w:pPr>
            <w:r w:rsidRPr="00110288">
              <w:rPr>
                <w:rFonts w:eastAsia="Times New Roman"/>
                <w:b/>
                <w:snapToGrid w:val="0"/>
                <w:lang w:eastAsia="en-US"/>
              </w:rPr>
              <w:t>Total Annual Opportunity Cost for Travel Time (dollars)****</w:t>
            </w:r>
          </w:p>
        </w:tc>
      </w:tr>
      <w:tr w14:paraId="03656758" w14:textId="77777777" w:rsidTr="00D03BC9">
        <w:tblPrEx>
          <w:tblW w:w="8501" w:type="dxa"/>
          <w:tblInd w:w="895" w:type="dxa"/>
          <w:tblLook w:val="04A0"/>
        </w:tblPrEx>
        <w:tc>
          <w:tcPr>
            <w:tcW w:w="1736" w:type="dxa"/>
            <w:shd w:val="clear" w:color="auto" w:fill="auto"/>
          </w:tcPr>
          <w:p w:rsidR="00110288" w:rsidRPr="00073622" w:rsidP="00110288" w14:paraId="658A0717" w14:textId="4EEC1265">
            <w:pPr>
              <w:widowControl w:val="0"/>
              <w:jc w:val="right"/>
              <w:rPr>
                <w:rFonts w:eastAsia="Times New Roman"/>
                <w:snapToGrid w:val="0"/>
                <w:lang w:eastAsia="en-US"/>
              </w:rPr>
            </w:pPr>
            <w:r w:rsidRPr="00073622">
              <w:rPr>
                <w:rFonts w:eastAsia="Times New Roman"/>
                <w:snapToGrid w:val="0"/>
                <w:lang w:eastAsia="en-US"/>
              </w:rPr>
              <w:t>361,902</w:t>
            </w:r>
          </w:p>
        </w:tc>
        <w:tc>
          <w:tcPr>
            <w:tcW w:w="1522" w:type="dxa"/>
            <w:shd w:val="clear" w:color="auto" w:fill="auto"/>
          </w:tcPr>
          <w:p w:rsidR="00110288" w:rsidRPr="00073622" w:rsidP="00110288" w14:paraId="7B3EEB46" w14:textId="77777777">
            <w:pPr>
              <w:widowControl w:val="0"/>
              <w:jc w:val="right"/>
              <w:rPr>
                <w:rFonts w:eastAsia="Times New Roman"/>
                <w:snapToGrid w:val="0"/>
                <w:lang w:eastAsia="en-US"/>
              </w:rPr>
            </w:pPr>
            <w:r w:rsidRPr="00073622">
              <w:rPr>
                <w:rFonts w:eastAsia="Times New Roman"/>
                <w:snapToGrid w:val="0"/>
                <w:lang w:eastAsia="en-US"/>
              </w:rPr>
              <w:t>1</w:t>
            </w:r>
          </w:p>
        </w:tc>
        <w:tc>
          <w:tcPr>
            <w:tcW w:w="1714" w:type="dxa"/>
            <w:shd w:val="clear" w:color="auto" w:fill="auto"/>
          </w:tcPr>
          <w:p w:rsidR="00110288" w:rsidRPr="00073622" w:rsidP="00110288" w14:paraId="37D4C82D" w14:textId="77777777">
            <w:pPr>
              <w:widowControl w:val="0"/>
              <w:jc w:val="right"/>
              <w:rPr>
                <w:rFonts w:eastAsia="Times New Roman"/>
                <w:snapToGrid w:val="0"/>
                <w:lang w:eastAsia="en-US"/>
              </w:rPr>
            </w:pPr>
            <w:r w:rsidRPr="00073622">
              <w:rPr>
                <w:rFonts w:eastAsia="Times New Roman"/>
                <w:snapToGrid w:val="0"/>
                <w:lang w:eastAsia="en-US"/>
              </w:rPr>
              <w:t>30</w:t>
            </w:r>
          </w:p>
        </w:tc>
        <w:tc>
          <w:tcPr>
            <w:tcW w:w="1729" w:type="dxa"/>
            <w:shd w:val="clear" w:color="auto" w:fill="auto"/>
          </w:tcPr>
          <w:p w:rsidR="00110288" w:rsidRPr="00073622" w:rsidP="00110288" w14:paraId="791047FA" w14:textId="25788BC5">
            <w:pPr>
              <w:widowControl w:val="0"/>
              <w:jc w:val="right"/>
              <w:rPr>
                <w:rFonts w:eastAsia="Times New Roman"/>
                <w:snapToGrid w:val="0"/>
                <w:lang w:eastAsia="en-US"/>
              </w:rPr>
            </w:pPr>
            <w:r w:rsidRPr="00073622">
              <w:rPr>
                <w:rFonts w:eastAsia="Times New Roman"/>
                <w:snapToGrid w:val="0"/>
                <w:lang w:eastAsia="en-US"/>
              </w:rPr>
              <w:t>180,951</w:t>
            </w:r>
          </w:p>
        </w:tc>
        <w:tc>
          <w:tcPr>
            <w:tcW w:w="1800" w:type="dxa"/>
            <w:shd w:val="clear" w:color="auto" w:fill="auto"/>
          </w:tcPr>
          <w:p w:rsidR="00110288" w:rsidRPr="00073622" w:rsidP="00110288" w14:paraId="00A635AA" w14:textId="7CC82D75">
            <w:pPr>
              <w:widowControl w:val="0"/>
              <w:jc w:val="right"/>
              <w:rPr>
                <w:rFonts w:eastAsia="Times New Roman"/>
                <w:snapToGrid w:val="0"/>
                <w:lang w:eastAsia="en-US"/>
              </w:rPr>
            </w:pPr>
            <w:r>
              <w:rPr>
                <w:rFonts w:eastAsia="Times New Roman"/>
                <w:snapToGrid w:val="0"/>
                <w:lang w:eastAsia="en-US"/>
              </w:rPr>
              <w:t>$5,696,337****</w:t>
            </w:r>
          </w:p>
        </w:tc>
      </w:tr>
    </w:tbl>
    <w:p w:rsidR="00110288" w:rsidRPr="00110288" w:rsidP="00110288" w14:paraId="643A515E" w14:textId="77777777">
      <w:pPr>
        <w:widowControl w:val="0"/>
        <w:ind w:left="1440"/>
        <w:rPr>
          <w:rFonts w:eastAsia="Times New Roman"/>
          <w:snapToGrid w:val="0"/>
          <w:lang w:eastAsia="en-US"/>
        </w:rPr>
      </w:pPr>
      <w:r w:rsidRPr="00110288">
        <w:rPr>
          <w:rFonts w:eastAsia="Times New Roman"/>
          <w:snapToGrid w:val="0"/>
          <w:lang w:eastAsia="en-US"/>
        </w:rPr>
        <w:t xml:space="preserve">**** We based this dollar amount on the Average Theoretical Hourly Cost Amount in dollars shown on the burden chart above.  </w:t>
      </w:r>
    </w:p>
    <w:p w:rsidR="00110288" w:rsidRPr="00110288" w:rsidP="00110288" w14:paraId="2C50638A" w14:textId="77777777">
      <w:pPr>
        <w:widowControl w:val="0"/>
        <w:ind w:left="1440"/>
        <w:rPr>
          <w:rFonts w:eastAsia="Times New Roman"/>
          <w:snapToGrid w:val="0"/>
          <w:lang w:eastAsia="en-US"/>
        </w:rPr>
      </w:pPr>
    </w:p>
    <w:p w:rsidR="00110288" w:rsidRPr="00110288" w:rsidP="00110288" w14:paraId="23077E4D" w14:textId="77777777">
      <w:pPr>
        <w:widowControl w:val="0"/>
        <w:ind w:left="1440"/>
        <w:rPr>
          <w:rFonts w:eastAsia="Times New Roman"/>
          <w:snapToGrid w:val="0"/>
          <w:lang w:eastAsia="en-US"/>
        </w:rPr>
      </w:pPr>
      <w:r w:rsidRPr="00110288">
        <w:rPr>
          <w:rFonts w:eastAsia="Times New Roman"/>
          <w:snapToGrid w:val="0"/>
          <w:lang w:eastAsia="en-US"/>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w:t>
      </w:r>
      <w:r w:rsidRPr="00110288">
        <w:rPr>
          <w:rFonts w:eastAsia="Times New Roman"/>
          <w:snapToGrid w:val="0"/>
          <w:lang w:eastAsia="en-US"/>
        </w:rPr>
        <w:t xml:space="preserve">ives to a field office, rather than using any other mode of transport.  SSA also acknowledges that respondents’ mode of travel and, therefore, travel times vary widely dependent on region, mode of travel, and actual proximity to a field office. </w:t>
      </w:r>
    </w:p>
    <w:p w:rsidR="00110288" w:rsidRPr="00110288" w:rsidP="00110288" w14:paraId="7185094A" w14:textId="77777777">
      <w:pPr>
        <w:widowControl w:val="0"/>
        <w:ind w:left="1440"/>
        <w:contextualSpacing/>
        <w:rPr>
          <w:rFonts w:eastAsia="Times New Roman"/>
          <w:snapToGrid w:val="0"/>
          <w:lang w:eastAsia="en-US"/>
        </w:rPr>
      </w:pPr>
    </w:p>
    <w:p w:rsidR="00110288" w:rsidRPr="00110288" w:rsidP="00110288" w14:paraId="17C25A5D" w14:textId="77777777">
      <w:pPr>
        <w:widowControl w:val="0"/>
        <w:ind w:left="1440"/>
        <w:contextualSpacing/>
        <w:rPr>
          <w:rFonts w:eastAsia="Times New Roman"/>
          <w:snapToGrid w:val="0"/>
          <w:lang w:eastAsia="en-US"/>
        </w:rPr>
      </w:pPr>
      <w:r w:rsidRPr="00110288">
        <w:rPr>
          <w:rFonts w:eastAsia="Times New Roman"/>
          <w:snapToGrid w:val="0"/>
          <w:lang w:eastAsia="en-US"/>
        </w:rPr>
        <w:t>NOTE:  We included the total opportunity cost estimate from this chart in our calculations when showing the total time and opportunity cost estimates in the paragraph below.</w:t>
      </w:r>
    </w:p>
    <w:p w:rsidR="00F160E1" w:rsidP="00C24123" w14:paraId="3F921DB5" w14:textId="77777777">
      <w:pPr>
        <w:rPr>
          <w:bCs/>
        </w:rPr>
      </w:pPr>
    </w:p>
    <w:p w:rsidR="00F160E1" w:rsidP="00BA5D17" w14:paraId="638A74A8" w14:textId="77777777">
      <w:pPr>
        <w:ind w:left="1440"/>
        <w:rPr>
          <w:rFonts w:eastAsia="Times New Roman"/>
          <w:lang w:eastAsia="en-US"/>
        </w:rPr>
      </w:pPr>
      <w:r>
        <w:t xml:space="preserve">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w:t>
      </w:r>
      <w:r>
        <w:t>program requirements (beyond reading the instructions on the collection instrument):</w:t>
      </w:r>
    </w:p>
    <w:p w:rsidR="00F160E1" w:rsidP="00F160E1" w14:paraId="51AA2AF2" w14:textId="77777777"/>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37"/>
        <w:gridCol w:w="1260"/>
        <w:gridCol w:w="1440"/>
        <w:gridCol w:w="1980"/>
      </w:tblGrid>
      <w:tr w14:paraId="5D362840" w14:textId="77777777" w:rsidTr="00C24123">
        <w:tblPrEx>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23" w:type="dxa"/>
            <w:tcBorders>
              <w:top w:val="single" w:sz="4" w:space="0" w:color="auto"/>
              <w:left w:val="single" w:sz="4" w:space="0" w:color="auto"/>
              <w:bottom w:val="single" w:sz="4" w:space="0" w:color="auto"/>
              <w:right w:val="single" w:sz="4" w:space="0" w:color="auto"/>
            </w:tcBorders>
            <w:hideMark/>
          </w:tcPr>
          <w:p w:rsidR="00F160E1" w:rsidP="00DE1498" w14:paraId="083E5E8F" w14:textId="77777777">
            <w:pPr>
              <w:rPr>
                <w:b/>
                <w:kern w:val="2"/>
                <w14:ligatures w14:val="standardContextual"/>
              </w:rPr>
            </w:pPr>
            <w:r>
              <w:rPr>
                <w:b/>
                <w:kern w:val="2"/>
                <w14:ligatures w14:val="standardContextual"/>
              </w:rPr>
              <w:t xml:space="preserve">Total Number of Respondents </w:t>
            </w:r>
          </w:p>
        </w:tc>
        <w:tc>
          <w:tcPr>
            <w:tcW w:w="1537" w:type="dxa"/>
            <w:tcBorders>
              <w:top w:val="single" w:sz="4" w:space="0" w:color="auto"/>
              <w:left w:val="single" w:sz="4" w:space="0" w:color="auto"/>
              <w:bottom w:val="single" w:sz="4" w:space="0" w:color="auto"/>
              <w:right w:val="single" w:sz="4" w:space="0" w:color="auto"/>
            </w:tcBorders>
            <w:hideMark/>
          </w:tcPr>
          <w:p w:rsidR="00F160E1" w:rsidP="00DE1498" w14:paraId="5BBE42DA" w14:textId="77777777">
            <w:pPr>
              <w:rPr>
                <w:b/>
                <w:kern w:val="2"/>
                <w14:ligatures w14:val="standardContextual"/>
              </w:rPr>
            </w:pPr>
            <w:r>
              <w:rPr>
                <w:b/>
                <w:kern w:val="2"/>
                <w14:ligatures w14:val="standardContextual"/>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F160E1" w:rsidP="00DE1498" w14:paraId="2D179A29" w14:textId="77777777">
            <w:pPr>
              <w:rPr>
                <w:b/>
                <w:kern w:val="2"/>
                <w14:ligatures w14:val="standardContextual"/>
              </w:rPr>
            </w:pPr>
            <w:r>
              <w:rPr>
                <w:b/>
                <w:kern w:val="2"/>
                <w14:ligatures w14:val="standardContextual"/>
              </w:rPr>
              <w:t>Estimate Learning Cost (minutes)</w:t>
            </w:r>
          </w:p>
        </w:tc>
        <w:tc>
          <w:tcPr>
            <w:tcW w:w="1440" w:type="dxa"/>
            <w:tcBorders>
              <w:top w:val="single" w:sz="4" w:space="0" w:color="auto"/>
              <w:left w:val="single" w:sz="4" w:space="0" w:color="auto"/>
              <w:bottom w:val="single" w:sz="4" w:space="0" w:color="auto"/>
              <w:right w:val="single" w:sz="4" w:space="0" w:color="auto"/>
            </w:tcBorders>
            <w:hideMark/>
          </w:tcPr>
          <w:p w:rsidR="00F160E1" w:rsidP="00DE1498" w14:paraId="7D81DF1F" w14:textId="77777777">
            <w:pPr>
              <w:rPr>
                <w:b/>
                <w:kern w:val="2"/>
                <w14:ligatures w14:val="standardContextual"/>
              </w:rPr>
            </w:pPr>
            <w:r>
              <w:rPr>
                <w:b/>
                <w:kern w:val="2"/>
                <w14:ligatures w14:val="standardContextual"/>
              </w:rPr>
              <w:t>Estimated Total Annual Burden (hours)</w:t>
            </w:r>
          </w:p>
        </w:tc>
        <w:tc>
          <w:tcPr>
            <w:tcW w:w="1980" w:type="dxa"/>
            <w:tcBorders>
              <w:top w:val="single" w:sz="4" w:space="0" w:color="auto"/>
              <w:left w:val="single" w:sz="4" w:space="0" w:color="auto"/>
              <w:bottom w:val="single" w:sz="4" w:space="0" w:color="auto"/>
              <w:right w:val="single" w:sz="4" w:space="0" w:color="auto"/>
            </w:tcBorders>
            <w:hideMark/>
          </w:tcPr>
          <w:p w:rsidR="00F160E1" w:rsidP="00DE1498" w14:paraId="7A59AC5B" w14:textId="596D98BE">
            <w:pPr>
              <w:rPr>
                <w:b/>
                <w:kern w:val="2"/>
                <w14:ligatures w14:val="standardContextual"/>
              </w:rPr>
            </w:pPr>
            <w:r>
              <w:rPr>
                <w:b/>
                <w:kern w:val="2"/>
                <w14:ligatures w14:val="standardContextual"/>
              </w:rPr>
              <w:t>Total Annual Learning Cost (dollars)**</w:t>
            </w:r>
            <w:r w:rsidR="00C24123">
              <w:rPr>
                <w:b/>
                <w:kern w:val="2"/>
                <w14:ligatures w14:val="standardContextual"/>
              </w:rPr>
              <w:t>****</w:t>
            </w:r>
          </w:p>
        </w:tc>
      </w:tr>
      <w:tr w14:paraId="19E2D7D1" w14:textId="77777777" w:rsidTr="00C24123">
        <w:tblPrEx>
          <w:tblW w:w="7740" w:type="dxa"/>
          <w:tblInd w:w="1435" w:type="dxa"/>
          <w:tblLook w:val="04A0"/>
        </w:tblPrEx>
        <w:trPr>
          <w:trHeight w:val="306"/>
        </w:trPr>
        <w:tc>
          <w:tcPr>
            <w:tcW w:w="1523" w:type="dxa"/>
            <w:tcBorders>
              <w:top w:val="single" w:sz="4" w:space="0" w:color="auto"/>
              <w:left w:val="single" w:sz="4" w:space="0" w:color="auto"/>
              <w:bottom w:val="single" w:sz="4" w:space="0" w:color="auto"/>
              <w:right w:val="single" w:sz="4" w:space="0" w:color="auto"/>
            </w:tcBorders>
            <w:hideMark/>
          </w:tcPr>
          <w:p w:rsidR="00F160E1" w:rsidP="00C24123" w14:paraId="01B30F92" w14:textId="77777777">
            <w:pPr>
              <w:jc w:val="right"/>
              <w:rPr>
                <w:kern w:val="2"/>
                <w14:ligatures w14:val="standardContextual"/>
              </w:rPr>
            </w:pPr>
            <w:r>
              <w:rPr>
                <w:kern w:val="2"/>
                <w14:ligatures w14:val="standardContextual"/>
              </w:rPr>
              <w:t>361,902</w:t>
            </w:r>
          </w:p>
        </w:tc>
        <w:tc>
          <w:tcPr>
            <w:tcW w:w="1537" w:type="dxa"/>
            <w:tcBorders>
              <w:top w:val="single" w:sz="4" w:space="0" w:color="auto"/>
              <w:left w:val="single" w:sz="4" w:space="0" w:color="auto"/>
              <w:bottom w:val="single" w:sz="4" w:space="0" w:color="auto"/>
              <w:right w:val="single" w:sz="4" w:space="0" w:color="auto"/>
            </w:tcBorders>
            <w:hideMark/>
          </w:tcPr>
          <w:p w:rsidR="00F160E1" w:rsidP="00C24123" w14:paraId="4D69123B" w14:textId="77777777">
            <w:pPr>
              <w:jc w:val="right"/>
              <w:rPr>
                <w:kern w:val="2"/>
                <w14:ligatures w14:val="standardContextual"/>
              </w:rPr>
            </w:pPr>
            <w:r>
              <w:rPr>
                <w:kern w:val="2"/>
                <w14:ligatures w14:val="standardContextual"/>
              </w:rPr>
              <w:t>1</w:t>
            </w:r>
          </w:p>
        </w:tc>
        <w:tc>
          <w:tcPr>
            <w:tcW w:w="1260" w:type="dxa"/>
            <w:tcBorders>
              <w:top w:val="single" w:sz="4" w:space="0" w:color="auto"/>
              <w:left w:val="single" w:sz="4" w:space="0" w:color="auto"/>
              <w:bottom w:val="single" w:sz="4" w:space="0" w:color="auto"/>
              <w:right w:val="single" w:sz="4" w:space="0" w:color="auto"/>
            </w:tcBorders>
            <w:hideMark/>
          </w:tcPr>
          <w:p w:rsidR="00F160E1" w:rsidP="00DE1498" w14:paraId="52ED3222" w14:textId="77777777">
            <w:pPr>
              <w:jc w:val="right"/>
              <w:rPr>
                <w:kern w:val="2"/>
                <w14:ligatures w14:val="standardContextual"/>
              </w:rPr>
            </w:pPr>
            <w:r>
              <w:rPr>
                <w:kern w:val="2"/>
                <w14:ligatures w14:val="standardContextual"/>
              </w:rPr>
              <w:t>2</w:t>
            </w:r>
          </w:p>
        </w:tc>
        <w:tc>
          <w:tcPr>
            <w:tcW w:w="1440" w:type="dxa"/>
            <w:tcBorders>
              <w:top w:val="single" w:sz="4" w:space="0" w:color="auto"/>
              <w:left w:val="single" w:sz="4" w:space="0" w:color="auto"/>
              <w:bottom w:val="single" w:sz="4" w:space="0" w:color="auto"/>
              <w:right w:val="single" w:sz="4" w:space="0" w:color="auto"/>
            </w:tcBorders>
            <w:hideMark/>
          </w:tcPr>
          <w:p w:rsidR="00F160E1" w:rsidP="00DE1498" w14:paraId="70A924E1" w14:textId="77777777">
            <w:pPr>
              <w:jc w:val="right"/>
              <w:rPr>
                <w:kern w:val="2"/>
                <w14:ligatures w14:val="standardContextual"/>
              </w:rPr>
            </w:pPr>
            <w:r>
              <w:rPr>
                <w:kern w:val="2"/>
                <w14:ligatures w14:val="standardContextual"/>
              </w:rPr>
              <w:t>12,063</w:t>
            </w:r>
          </w:p>
        </w:tc>
        <w:tc>
          <w:tcPr>
            <w:tcW w:w="1980" w:type="dxa"/>
            <w:tcBorders>
              <w:top w:val="single" w:sz="4" w:space="0" w:color="auto"/>
              <w:left w:val="single" w:sz="4" w:space="0" w:color="auto"/>
              <w:bottom w:val="single" w:sz="4" w:space="0" w:color="auto"/>
              <w:right w:val="single" w:sz="4" w:space="0" w:color="auto"/>
            </w:tcBorders>
            <w:hideMark/>
          </w:tcPr>
          <w:p w:rsidR="00F160E1" w:rsidP="00DE1498" w14:paraId="23F8C679" w14:textId="400FD463">
            <w:pPr>
              <w:jc w:val="right"/>
              <w:rPr>
                <w:kern w:val="2"/>
                <w14:ligatures w14:val="standardContextual"/>
              </w:rPr>
            </w:pPr>
            <w:r>
              <w:rPr>
                <w:kern w:val="2"/>
                <w14:ligatures w14:val="standardContextual"/>
              </w:rPr>
              <w:t>$379,7</w:t>
            </w:r>
            <w:r w:rsidR="00C24123">
              <w:rPr>
                <w:kern w:val="2"/>
                <w14:ligatures w14:val="standardContextual"/>
              </w:rPr>
              <w:t>43*****</w:t>
            </w:r>
          </w:p>
        </w:tc>
      </w:tr>
    </w:tbl>
    <w:p w:rsidR="00F160E1" w:rsidP="00110288" w14:paraId="0BA12196" w14:textId="77777777">
      <w:pPr>
        <w:tabs>
          <w:tab w:val="left" w:pos="1440"/>
        </w:tabs>
        <w:ind w:left="1440"/>
        <w:rPr>
          <w:lang w:eastAsia="ar-SA"/>
        </w:rPr>
      </w:pPr>
    </w:p>
    <w:p w:rsidR="00C24123" w:rsidRPr="00C24123" w:rsidP="00C24123" w14:paraId="31B2D5B7" w14:textId="6BC89AF3">
      <w:pPr>
        <w:widowControl w:val="0"/>
        <w:ind w:left="1440"/>
        <w:contextualSpacing/>
        <w:rPr>
          <w:rFonts w:eastAsia="Times New Roman"/>
          <w:snapToGrid w:val="0"/>
          <w:lang w:eastAsia="en-US"/>
        </w:rPr>
      </w:pPr>
      <w:r w:rsidRPr="00110288">
        <w:rPr>
          <w:rFonts w:eastAsia="Times New Roman"/>
          <w:snapToGrid w:val="0"/>
          <w:lang w:eastAsia="en-US"/>
        </w:rPr>
        <w:t>NOTE:  We included the total opportunity cost estimate from this chart in our calculations when showing the total time and opportunity cost estimates in the paragraph below.</w:t>
      </w:r>
    </w:p>
    <w:p w:rsidR="00C24123" w:rsidP="00110288" w14:paraId="1CEF7651" w14:textId="77777777">
      <w:pPr>
        <w:tabs>
          <w:tab w:val="left" w:pos="1440"/>
        </w:tabs>
        <w:ind w:left="1440"/>
        <w:rPr>
          <w:lang w:eastAsia="ar-SA"/>
        </w:rPr>
      </w:pPr>
    </w:p>
    <w:p w:rsidR="00DB175C" w:rsidRPr="00FF2150" w:rsidP="00C321DA" w14:paraId="12BB4ADE" w14:textId="55E4F404">
      <w:pPr>
        <w:pStyle w:val="ListParagraph"/>
        <w:ind w:left="1440"/>
      </w:pPr>
      <w:r w:rsidRPr="00FF2150">
        <w:rPr>
          <w:noProof/>
        </w:rPr>
        <w:t xml:space="preserve">We base our burden estimates on current management information data, which includes data from actual interviews, as well as from years of conducting this information collection.  Per our management information data, and the time estimate included in the Paperwork Reduction Act on the form itself, we believe that 2 minutes accurately shows the average burden per response for </w:t>
      </w:r>
      <w:r w:rsidRPr="00FF2150">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FF2150">
        <w:rPr>
          <w:noProof/>
        </w:rPr>
        <w:t>.  Based on our current management information data, the current burden information we provided is accurate</w:t>
      </w:r>
      <w:r w:rsidRPr="00FF2150">
        <w:t>.  The total burden for this I</w:t>
      </w:r>
      <w:r w:rsidRPr="00FF2150">
        <w:t xml:space="preserve">CR is </w:t>
      </w:r>
      <w:r w:rsidRPr="00C24123" w:rsidR="00C24123">
        <w:rPr>
          <w:rFonts w:eastAsia="Calibri"/>
          <w:b/>
          <w:bCs/>
        </w:rPr>
        <w:t>30,159</w:t>
      </w:r>
      <w:r w:rsidR="00C24123">
        <w:rPr>
          <w:rFonts w:eastAsia="Calibri"/>
        </w:rPr>
        <w:t xml:space="preserve"> </w:t>
      </w:r>
      <w:r w:rsidRPr="00FF2150">
        <w:t xml:space="preserve">burden hours (reflecting SSA management information data), which results in an associated theoretical (not actual) opportunity cost financial burden of </w:t>
      </w:r>
      <w:r w:rsidRPr="00FF2150">
        <w:rPr>
          <w:b/>
        </w:rPr>
        <w:t>$</w:t>
      </w:r>
      <w:r w:rsidR="00017DEB">
        <w:rPr>
          <w:b/>
        </w:rPr>
        <w:t>11,582,5</w:t>
      </w:r>
      <w:r w:rsidR="00C24123">
        <w:rPr>
          <w:b/>
        </w:rPr>
        <w:t>62</w:t>
      </w:r>
      <w:r w:rsidRPr="00FF2150">
        <w:t>.  SSA does not charge respondents to complete our applications</w:t>
      </w:r>
      <w:r w:rsidRPr="00FF2150">
        <w:rPr>
          <w:noProof/>
        </w:rPr>
        <w:t>.</w:t>
      </w:r>
    </w:p>
    <w:p w:rsidR="0004764D" w:rsidP="00696474" w14:paraId="1305F70A" w14:textId="77777777">
      <w:pPr>
        <w:rPr>
          <w:b/>
          <w:bCs/>
          <w:u w:val="single"/>
        </w:rPr>
      </w:pPr>
    </w:p>
    <w:p w:rsidR="00617806" w:rsidRPr="0004764D" w:rsidP="00DF53E6" w14:paraId="66E30316" w14:textId="77777777">
      <w:pPr>
        <w:numPr>
          <w:ilvl w:val="0"/>
          <w:numId w:val="8"/>
        </w:numPr>
        <w:ind w:left="1440" w:hanging="720"/>
        <w:rPr>
          <w:b/>
          <w:bCs/>
          <w:u w:val="single"/>
        </w:rPr>
      </w:pPr>
      <w:r>
        <w:rPr>
          <w:b/>
          <w:bCs/>
        </w:rPr>
        <w:t xml:space="preserve">Annual </w:t>
      </w:r>
      <w:r w:rsidRPr="001C4996">
        <w:rPr>
          <w:b/>
          <w:bCs/>
        </w:rPr>
        <w:t xml:space="preserve">Cost to </w:t>
      </w:r>
      <w:r>
        <w:rPr>
          <w:b/>
          <w:bCs/>
        </w:rPr>
        <w:t>the Respondents</w:t>
      </w:r>
    </w:p>
    <w:p w:rsidR="003F42EF" w:rsidRPr="00DB43E6" w:rsidP="00DF53E6" w14:paraId="10E38565" w14:textId="66A5DD29">
      <w:pPr>
        <w:ind w:left="1440"/>
      </w:pPr>
      <w:r w:rsidRPr="00696474">
        <w:t xml:space="preserve">This collection does not impose a known cost burden on the respondents.   </w:t>
      </w:r>
    </w:p>
    <w:p w:rsidR="003F42EF" w:rsidP="00DF53E6" w14:paraId="72A9FF39" w14:textId="77777777">
      <w:pPr>
        <w:ind w:left="1440"/>
        <w:rPr>
          <w:b/>
          <w:bCs/>
          <w:u w:val="single"/>
        </w:rPr>
      </w:pPr>
    </w:p>
    <w:p w:rsidR="00617806" w:rsidRPr="00696474" w:rsidP="00DF53E6" w14:paraId="4F2D7AEC" w14:textId="77777777">
      <w:pPr>
        <w:numPr>
          <w:ilvl w:val="0"/>
          <w:numId w:val="8"/>
        </w:numPr>
        <w:ind w:left="1440" w:hanging="720"/>
        <w:rPr>
          <w:b/>
          <w:bCs/>
          <w:u w:val="single"/>
        </w:rPr>
      </w:pPr>
      <w:r w:rsidRPr="00696474">
        <w:rPr>
          <w:b/>
          <w:bCs/>
        </w:rPr>
        <w:t>Annual Cost to the Federal Government</w:t>
      </w:r>
    </w:p>
    <w:p w:rsidR="00696474" w:rsidP="00DF53E6" w14:paraId="3B7B4EAE" w14:textId="79D567E2">
      <w:pPr>
        <w:ind w:left="1440"/>
        <w:rPr>
          <w:color w:val="000000"/>
        </w:rPr>
      </w:pPr>
      <w:r w:rsidRPr="00467322">
        <w:t>The annual cost to the Federal Governm</w:t>
      </w:r>
      <w:r>
        <w:t xml:space="preserve">ent is approximately </w:t>
      </w:r>
      <w:r w:rsidRPr="00073622">
        <w:rPr>
          <w:b/>
          <w:bCs/>
        </w:rPr>
        <w:t>$</w:t>
      </w:r>
      <w:r w:rsidRPr="00073622" w:rsidR="002B0F88">
        <w:rPr>
          <w:b/>
          <w:bCs/>
        </w:rPr>
        <w:t>969,848</w:t>
      </w:r>
      <w:r w:rsidR="00EF03CA">
        <w:rPr>
          <w:bCs/>
        </w:rPr>
        <w:t>.</w:t>
      </w:r>
      <w:r w:rsidR="00C60B97">
        <w:rPr>
          <w:bCs/>
        </w:rPr>
        <w:t xml:space="preserve">  </w:t>
      </w:r>
      <w:r w:rsidRPr="0047588F">
        <w:rPr>
          <w:color w:val="000000"/>
        </w:rPr>
        <w:t>This estimate accounts for costs from the following areas:</w:t>
      </w:r>
    </w:p>
    <w:p w:rsidR="00C60B97" w:rsidP="00DF53E6" w14:paraId="18ED70E6" w14:textId="77777777">
      <w:pPr>
        <w:ind w:left="1440"/>
        <w:rPr>
          <w:color w:val="000000"/>
        </w:rPr>
      </w:pPr>
    </w:p>
    <w:tbl>
      <w:tblPr>
        <w:tblStyle w:val="TableGrid"/>
        <w:tblW w:w="0" w:type="auto"/>
        <w:tblInd w:w="625" w:type="dxa"/>
        <w:tblLook w:val="04A0"/>
      </w:tblPr>
      <w:tblGrid>
        <w:gridCol w:w="2880"/>
        <w:gridCol w:w="3420"/>
        <w:gridCol w:w="2425"/>
      </w:tblGrid>
      <w:tr w14:paraId="439A5CEB" w14:textId="77777777" w:rsidTr="00C24123">
        <w:tblPrEx>
          <w:tblW w:w="0" w:type="auto"/>
          <w:tblInd w:w="625" w:type="dxa"/>
          <w:tblLook w:val="04A0"/>
        </w:tblPrEx>
        <w:tc>
          <w:tcPr>
            <w:tcW w:w="2880" w:type="dxa"/>
          </w:tcPr>
          <w:p w:rsidR="00696474" w:rsidRPr="00696474" w:rsidP="00F72BB3" w14:paraId="04862F1F" w14:textId="77777777">
            <w:pPr>
              <w:pStyle w:val="ListParagraph"/>
              <w:ind w:left="0"/>
              <w:rPr>
                <w:bCs/>
                <w:color w:val="000000"/>
              </w:rPr>
            </w:pPr>
            <w:r w:rsidRPr="00696474">
              <w:rPr>
                <w:bCs/>
                <w:color w:val="000000"/>
              </w:rPr>
              <w:t>Description of Cost Factor</w:t>
            </w:r>
          </w:p>
        </w:tc>
        <w:tc>
          <w:tcPr>
            <w:tcW w:w="3420" w:type="dxa"/>
          </w:tcPr>
          <w:p w:rsidR="00696474" w:rsidRPr="00696474" w:rsidP="00F72BB3" w14:paraId="2ACA7DCC" w14:textId="77777777">
            <w:pPr>
              <w:pStyle w:val="ListParagraph"/>
              <w:ind w:left="0"/>
              <w:rPr>
                <w:bCs/>
                <w:color w:val="000000"/>
              </w:rPr>
            </w:pPr>
            <w:r w:rsidRPr="00696474">
              <w:rPr>
                <w:bCs/>
                <w:color w:val="000000"/>
              </w:rPr>
              <w:t>Methodology for Estimating Cost</w:t>
            </w:r>
          </w:p>
        </w:tc>
        <w:tc>
          <w:tcPr>
            <w:tcW w:w="2425" w:type="dxa"/>
          </w:tcPr>
          <w:p w:rsidR="00696474" w:rsidRPr="00696474" w:rsidP="00F72BB3" w14:paraId="3548C42A" w14:textId="77777777">
            <w:pPr>
              <w:pStyle w:val="ListParagraph"/>
              <w:ind w:left="0"/>
              <w:rPr>
                <w:bCs/>
                <w:color w:val="000000"/>
              </w:rPr>
            </w:pPr>
            <w:r w:rsidRPr="00696474">
              <w:rPr>
                <w:bCs/>
                <w:color w:val="000000"/>
              </w:rPr>
              <w:t>Cost in Dollars*</w:t>
            </w:r>
          </w:p>
        </w:tc>
      </w:tr>
      <w:tr w14:paraId="210C2162" w14:textId="77777777" w:rsidTr="00C24123">
        <w:tblPrEx>
          <w:tblW w:w="0" w:type="auto"/>
          <w:tblInd w:w="625" w:type="dxa"/>
          <w:tblLook w:val="04A0"/>
        </w:tblPrEx>
        <w:tc>
          <w:tcPr>
            <w:tcW w:w="2880" w:type="dxa"/>
          </w:tcPr>
          <w:p w:rsidR="00696474" w:rsidRPr="00696474" w:rsidP="00F72BB3" w14:paraId="13EB7F29" w14:textId="77777777">
            <w:pPr>
              <w:pStyle w:val="ListParagraph"/>
              <w:ind w:left="0"/>
              <w:rPr>
                <w:color w:val="000000"/>
              </w:rPr>
            </w:pPr>
            <w:r w:rsidRPr="00696474">
              <w:rPr>
                <w:color w:val="000000"/>
              </w:rPr>
              <w:t>Designing and Printing the Form</w:t>
            </w:r>
          </w:p>
        </w:tc>
        <w:tc>
          <w:tcPr>
            <w:tcW w:w="3420" w:type="dxa"/>
          </w:tcPr>
          <w:p w:rsidR="00696474" w:rsidRPr="00696474" w:rsidP="00F72BB3" w14:paraId="4C7A0EED" w14:textId="77777777">
            <w:pPr>
              <w:pStyle w:val="ListParagraph"/>
              <w:ind w:left="0"/>
              <w:rPr>
                <w:color w:val="000000"/>
              </w:rPr>
            </w:pPr>
            <w:r w:rsidRPr="00696474">
              <w:rPr>
                <w:color w:val="000000"/>
              </w:rPr>
              <w:t>Design Cost + Printing Cost</w:t>
            </w:r>
          </w:p>
        </w:tc>
        <w:tc>
          <w:tcPr>
            <w:tcW w:w="2425" w:type="dxa"/>
          </w:tcPr>
          <w:p w:rsidR="00696474" w:rsidRPr="00696474" w:rsidP="00C60B97" w14:paraId="019B7B6F" w14:textId="6D27B42B">
            <w:pPr>
              <w:pStyle w:val="ListParagraph"/>
              <w:ind w:left="0"/>
              <w:jc w:val="right"/>
              <w:rPr>
                <w:color w:val="000000"/>
              </w:rPr>
            </w:pPr>
            <w:r w:rsidRPr="00696474">
              <w:rPr>
                <w:color w:val="000000"/>
              </w:rPr>
              <w:t>$</w:t>
            </w:r>
            <w:r w:rsidR="00C60B97">
              <w:rPr>
                <w:color w:val="000000"/>
              </w:rPr>
              <w:t>150</w:t>
            </w:r>
          </w:p>
          <w:p w:rsidR="00696474" w:rsidRPr="00696474" w:rsidP="00C60B97" w14:paraId="44DB02ED" w14:textId="77777777">
            <w:pPr>
              <w:pStyle w:val="ListParagraph"/>
              <w:ind w:left="0"/>
              <w:jc w:val="right"/>
              <w:rPr>
                <w:color w:val="000000"/>
              </w:rPr>
            </w:pPr>
          </w:p>
        </w:tc>
      </w:tr>
      <w:tr w14:paraId="2A9B5927" w14:textId="77777777" w:rsidTr="00C24123">
        <w:tblPrEx>
          <w:tblW w:w="0" w:type="auto"/>
          <w:tblInd w:w="625" w:type="dxa"/>
          <w:tblLook w:val="04A0"/>
        </w:tblPrEx>
        <w:tc>
          <w:tcPr>
            <w:tcW w:w="2880" w:type="dxa"/>
          </w:tcPr>
          <w:p w:rsidR="00696474" w:rsidRPr="00696474" w:rsidP="00F72BB3" w14:paraId="69695F07" w14:textId="77777777">
            <w:pPr>
              <w:pStyle w:val="ListParagraph"/>
              <w:ind w:left="0"/>
              <w:rPr>
                <w:color w:val="000000"/>
              </w:rPr>
            </w:pPr>
            <w:r w:rsidRPr="00696474">
              <w:rPr>
                <w:color w:val="000000"/>
              </w:rPr>
              <w:t>Distributing, Shipping, and Material Costs for the Form</w:t>
            </w:r>
          </w:p>
        </w:tc>
        <w:tc>
          <w:tcPr>
            <w:tcW w:w="3420" w:type="dxa"/>
          </w:tcPr>
          <w:p w:rsidR="00696474" w:rsidRPr="00696474" w:rsidP="00F72BB3" w14:paraId="0A6F72C0" w14:textId="77777777">
            <w:pPr>
              <w:pStyle w:val="ListParagraph"/>
              <w:ind w:left="0"/>
              <w:rPr>
                <w:color w:val="000000"/>
              </w:rPr>
            </w:pPr>
            <w:r w:rsidRPr="00696474">
              <w:rPr>
                <w:color w:val="000000"/>
              </w:rPr>
              <w:t>Distribution + Shipping + Material Cost</w:t>
            </w:r>
          </w:p>
        </w:tc>
        <w:tc>
          <w:tcPr>
            <w:tcW w:w="2425" w:type="dxa"/>
          </w:tcPr>
          <w:p w:rsidR="00696474" w:rsidRPr="00696474" w:rsidP="00C60B97" w14:paraId="7091F61B" w14:textId="78BAC071">
            <w:pPr>
              <w:pStyle w:val="ListParagraph"/>
              <w:ind w:left="0"/>
              <w:jc w:val="right"/>
              <w:rPr>
                <w:color w:val="000000"/>
              </w:rPr>
            </w:pPr>
            <w:r w:rsidRPr="00696474">
              <w:rPr>
                <w:color w:val="000000"/>
              </w:rPr>
              <w:t>$0</w:t>
            </w:r>
            <w:r w:rsidR="0017212A">
              <w:rPr>
                <w:color w:val="000000"/>
              </w:rPr>
              <w:t>*</w:t>
            </w:r>
          </w:p>
        </w:tc>
      </w:tr>
      <w:tr w14:paraId="2DF86688" w14:textId="77777777" w:rsidTr="00C24123">
        <w:tblPrEx>
          <w:tblW w:w="0" w:type="auto"/>
          <w:tblInd w:w="625" w:type="dxa"/>
          <w:tblLook w:val="04A0"/>
        </w:tblPrEx>
        <w:tc>
          <w:tcPr>
            <w:tcW w:w="2880" w:type="dxa"/>
          </w:tcPr>
          <w:p w:rsidR="00696474" w:rsidRPr="00696474" w:rsidP="00F72BB3" w14:paraId="24B80403" w14:textId="77777777">
            <w:pPr>
              <w:pStyle w:val="ListParagraph"/>
              <w:ind w:left="0"/>
              <w:rPr>
                <w:color w:val="000000"/>
              </w:rPr>
            </w:pPr>
            <w:r w:rsidRPr="00696474">
              <w:rPr>
                <w:color w:val="000000"/>
              </w:rPr>
              <w:t xml:space="preserve">SSA </w:t>
            </w:r>
            <w:r w:rsidRPr="00696474">
              <w:rPr>
                <w:color w:val="000000"/>
              </w:rPr>
              <w:t xml:space="preserve">Employee (e.g., field office, 800 number, DDS </w:t>
            </w:r>
            <w:r w:rsidRPr="00696474">
              <w:rPr>
                <w:color w:val="000000"/>
              </w:rPr>
              <w:t>staff) Information Collection and Processing Time</w:t>
            </w:r>
          </w:p>
        </w:tc>
        <w:tc>
          <w:tcPr>
            <w:tcW w:w="3420" w:type="dxa"/>
          </w:tcPr>
          <w:p w:rsidR="00696474" w:rsidRPr="00696474" w:rsidP="00F72BB3" w14:paraId="427EAE92" w14:textId="77777777">
            <w:pPr>
              <w:pStyle w:val="ListParagraph"/>
              <w:ind w:left="0"/>
              <w:rPr>
                <w:color w:val="000000"/>
              </w:rPr>
            </w:pPr>
            <w:r w:rsidRPr="00696474">
              <w:rPr>
                <w:color w:val="000000"/>
              </w:rPr>
              <w:t>GS-9 employee x # of responses x processing time</w:t>
            </w:r>
          </w:p>
        </w:tc>
        <w:tc>
          <w:tcPr>
            <w:tcW w:w="2425" w:type="dxa"/>
          </w:tcPr>
          <w:p w:rsidR="00696474" w:rsidRPr="00696474" w:rsidP="00C60B97" w14:paraId="10FBFBD2" w14:textId="49611A17">
            <w:pPr>
              <w:pStyle w:val="ListParagraph"/>
              <w:ind w:left="0"/>
              <w:jc w:val="right"/>
              <w:rPr>
                <w:color w:val="000000"/>
              </w:rPr>
            </w:pPr>
            <w:r w:rsidRPr="00696474">
              <w:rPr>
                <w:color w:val="000000"/>
              </w:rPr>
              <w:t>$</w:t>
            </w:r>
            <w:r w:rsidRPr="00073622" w:rsidR="006F5D5F">
              <w:t>966,278</w:t>
            </w:r>
          </w:p>
        </w:tc>
      </w:tr>
      <w:tr w14:paraId="2AE1D4A4" w14:textId="77777777" w:rsidTr="00C24123">
        <w:tblPrEx>
          <w:tblW w:w="0" w:type="auto"/>
          <w:tblInd w:w="625" w:type="dxa"/>
          <w:tblLook w:val="04A0"/>
        </w:tblPrEx>
        <w:tc>
          <w:tcPr>
            <w:tcW w:w="2880" w:type="dxa"/>
          </w:tcPr>
          <w:p w:rsidR="00696474" w:rsidRPr="00696474" w:rsidP="00F72BB3" w14:paraId="2D822E92" w14:textId="77777777">
            <w:pPr>
              <w:pStyle w:val="ListParagraph"/>
              <w:ind w:left="0"/>
              <w:rPr>
                <w:color w:val="000000"/>
              </w:rPr>
            </w:pPr>
            <w:r w:rsidRPr="00696474">
              <w:rPr>
                <w:color w:val="000000"/>
              </w:rPr>
              <w:t>Full-Time Equivalent Costs</w:t>
            </w:r>
          </w:p>
        </w:tc>
        <w:tc>
          <w:tcPr>
            <w:tcW w:w="3420" w:type="dxa"/>
          </w:tcPr>
          <w:p w:rsidR="00696474" w:rsidRPr="00696474" w:rsidP="00F72BB3" w14:paraId="76417598" w14:textId="77777777">
            <w:pPr>
              <w:pStyle w:val="ListParagraph"/>
              <w:ind w:left="0"/>
              <w:rPr>
                <w:color w:val="000000"/>
              </w:rPr>
            </w:pPr>
            <w:r w:rsidRPr="00696474">
              <w:rPr>
                <w:color w:val="000000"/>
              </w:rPr>
              <w:t>Out of pocket costs + Other expenses for providing this service</w:t>
            </w:r>
          </w:p>
        </w:tc>
        <w:tc>
          <w:tcPr>
            <w:tcW w:w="2425" w:type="dxa"/>
          </w:tcPr>
          <w:p w:rsidR="00696474" w:rsidRPr="00696474" w:rsidP="00C60B97" w14:paraId="48495143" w14:textId="2F7599C0">
            <w:pPr>
              <w:pStyle w:val="ListParagraph"/>
              <w:ind w:left="0"/>
              <w:jc w:val="right"/>
              <w:rPr>
                <w:color w:val="000000"/>
              </w:rPr>
            </w:pPr>
            <w:r w:rsidRPr="00696474">
              <w:rPr>
                <w:color w:val="000000"/>
              </w:rPr>
              <w:t>$0</w:t>
            </w:r>
            <w:r w:rsidR="0017212A">
              <w:rPr>
                <w:color w:val="000000"/>
              </w:rPr>
              <w:t>*</w:t>
            </w:r>
          </w:p>
          <w:p w:rsidR="00696474" w:rsidRPr="00696474" w:rsidP="00C60B97" w14:paraId="3FBF59B9" w14:textId="77777777">
            <w:pPr>
              <w:pStyle w:val="ListParagraph"/>
              <w:ind w:left="0"/>
              <w:jc w:val="right"/>
              <w:rPr>
                <w:color w:val="000000"/>
              </w:rPr>
            </w:pPr>
          </w:p>
        </w:tc>
      </w:tr>
      <w:tr w14:paraId="79E5AFEC" w14:textId="77777777" w:rsidTr="00C24123">
        <w:tblPrEx>
          <w:tblW w:w="0" w:type="auto"/>
          <w:tblInd w:w="625" w:type="dxa"/>
          <w:tblLook w:val="04A0"/>
        </w:tblPrEx>
        <w:tc>
          <w:tcPr>
            <w:tcW w:w="2880" w:type="dxa"/>
          </w:tcPr>
          <w:p w:rsidR="00696474" w:rsidRPr="00696474" w:rsidP="00F72BB3" w14:paraId="34A76787" w14:textId="77777777">
            <w:pPr>
              <w:pStyle w:val="ListParagraph"/>
              <w:ind w:left="0"/>
              <w:rPr>
                <w:color w:val="000000"/>
              </w:rPr>
            </w:pPr>
            <w:r w:rsidRPr="00696474">
              <w:rPr>
                <w:color w:val="000000"/>
              </w:rPr>
              <w:t>Systems Development, Updating, and Maintenance</w:t>
            </w:r>
          </w:p>
        </w:tc>
        <w:tc>
          <w:tcPr>
            <w:tcW w:w="3420" w:type="dxa"/>
          </w:tcPr>
          <w:p w:rsidR="00696474" w:rsidRPr="00696474" w:rsidP="00F72BB3" w14:paraId="153B789E" w14:textId="77777777">
            <w:pPr>
              <w:pStyle w:val="ListParagraph"/>
              <w:ind w:left="0"/>
              <w:rPr>
                <w:color w:val="000000"/>
              </w:rPr>
            </w:pPr>
            <w:r w:rsidRPr="00696474">
              <w:rPr>
                <w:color w:val="000000"/>
              </w:rPr>
              <w:t>GS-9 employee x man hours for development, updating, maintenance</w:t>
            </w:r>
          </w:p>
        </w:tc>
        <w:tc>
          <w:tcPr>
            <w:tcW w:w="2425" w:type="dxa"/>
          </w:tcPr>
          <w:p w:rsidR="00696474" w:rsidRPr="00696474" w:rsidP="00C60B97" w14:paraId="258EFF52" w14:textId="547C3380">
            <w:pPr>
              <w:pStyle w:val="ListParagraph"/>
              <w:ind w:left="0"/>
              <w:jc w:val="right"/>
              <w:rPr>
                <w:color w:val="000000"/>
              </w:rPr>
            </w:pPr>
            <w:r w:rsidRPr="00696474">
              <w:rPr>
                <w:color w:val="000000"/>
              </w:rPr>
              <w:t>$</w:t>
            </w:r>
            <w:r w:rsidR="00C60B97">
              <w:rPr>
                <w:color w:val="000000"/>
              </w:rPr>
              <w:t>3,420</w:t>
            </w:r>
          </w:p>
        </w:tc>
      </w:tr>
      <w:tr w14:paraId="6A60A018" w14:textId="77777777" w:rsidTr="00C24123">
        <w:tblPrEx>
          <w:tblW w:w="0" w:type="auto"/>
          <w:tblInd w:w="625" w:type="dxa"/>
          <w:tblLook w:val="04A0"/>
        </w:tblPrEx>
        <w:tc>
          <w:tcPr>
            <w:tcW w:w="2880" w:type="dxa"/>
          </w:tcPr>
          <w:p w:rsidR="00696474" w:rsidRPr="00696474" w:rsidP="00F72BB3" w14:paraId="7B9AE758" w14:textId="77777777">
            <w:pPr>
              <w:pStyle w:val="ListParagraph"/>
              <w:ind w:left="0"/>
              <w:rPr>
                <w:color w:val="000000"/>
              </w:rPr>
            </w:pPr>
            <w:r w:rsidRPr="00696474">
              <w:rPr>
                <w:color w:val="000000"/>
              </w:rPr>
              <w:t>Quantifiable IT Costs</w:t>
            </w:r>
          </w:p>
        </w:tc>
        <w:tc>
          <w:tcPr>
            <w:tcW w:w="3420" w:type="dxa"/>
          </w:tcPr>
          <w:p w:rsidR="00696474" w:rsidRPr="00696474" w:rsidP="00F72BB3" w14:paraId="00AA097E" w14:textId="77777777">
            <w:pPr>
              <w:pStyle w:val="ListParagraph"/>
              <w:ind w:left="0"/>
              <w:rPr>
                <w:color w:val="000000"/>
              </w:rPr>
            </w:pPr>
            <w:r w:rsidRPr="00696474">
              <w:rPr>
                <w:color w:val="000000"/>
              </w:rPr>
              <w:t>Any additional IT costs</w:t>
            </w:r>
          </w:p>
        </w:tc>
        <w:tc>
          <w:tcPr>
            <w:tcW w:w="2425" w:type="dxa"/>
          </w:tcPr>
          <w:p w:rsidR="00696474" w:rsidRPr="00696474" w:rsidP="00C60B97" w14:paraId="163AD741" w14:textId="4D982767">
            <w:pPr>
              <w:pStyle w:val="ListParagraph"/>
              <w:ind w:left="0"/>
              <w:jc w:val="right"/>
              <w:rPr>
                <w:color w:val="000000"/>
              </w:rPr>
            </w:pPr>
            <w:r w:rsidRPr="00696474">
              <w:rPr>
                <w:color w:val="000000"/>
              </w:rPr>
              <w:t>$0</w:t>
            </w:r>
            <w:r w:rsidR="0017212A">
              <w:rPr>
                <w:color w:val="000000"/>
              </w:rPr>
              <w:t>*</w:t>
            </w:r>
          </w:p>
        </w:tc>
      </w:tr>
      <w:tr w14:paraId="36E22317" w14:textId="77777777" w:rsidTr="00C24123">
        <w:tblPrEx>
          <w:tblW w:w="0" w:type="auto"/>
          <w:tblInd w:w="625" w:type="dxa"/>
          <w:tblLook w:val="04A0"/>
        </w:tblPrEx>
        <w:tc>
          <w:tcPr>
            <w:tcW w:w="2880" w:type="dxa"/>
          </w:tcPr>
          <w:p w:rsidR="00696474" w:rsidRPr="00C24123" w:rsidP="00F72BB3" w14:paraId="0BFF9DB6" w14:textId="77777777">
            <w:pPr>
              <w:pStyle w:val="ListParagraph"/>
              <w:ind w:left="0"/>
              <w:rPr>
                <w:b/>
                <w:color w:val="000000"/>
              </w:rPr>
            </w:pPr>
            <w:r w:rsidRPr="00C24123">
              <w:rPr>
                <w:b/>
                <w:color w:val="000000"/>
              </w:rPr>
              <w:t>Total</w:t>
            </w:r>
          </w:p>
        </w:tc>
        <w:tc>
          <w:tcPr>
            <w:tcW w:w="3420" w:type="dxa"/>
          </w:tcPr>
          <w:p w:rsidR="00696474" w:rsidRPr="00C24123" w:rsidP="00F72BB3" w14:paraId="6852194B" w14:textId="77777777">
            <w:pPr>
              <w:pStyle w:val="ListParagraph"/>
              <w:ind w:left="0"/>
              <w:rPr>
                <w:b/>
                <w:color w:val="000000"/>
              </w:rPr>
            </w:pPr>
          </w:p>
        </w:tc>
        <w:tc>
          <w:tcPr>
            <w:tcW w:w="2425" w:type="dxa"/>
          </w:tcPr>
          <w:p w:rsidR="00696474" w:rsidRPr="00C24123" w:rsidP="00C60B97" w14:paraId="30A14BB5" w14:textId="38754013">
            <w:pPr>
              <w:pStyle w:val="ListParagraph"/>
              <w:ind w:left="0"/>
              <w:jc w:val="right"/>
              <w:rPr>
                <w:b/>
                <w:color w:val="000000"/>
              </w:rPr>
            </w:pPr>
            <w:r w:rsidRPr="00C24123">
              <w:rPr>
                <w:b/>
                <w:color w:val="000000"/>
              </w:rPr>
              <w:t>$</w:t>
            </w:r>
            <w:r w:rsidRPr="00C24123" w:rsidR="006F5D5F">
              <w:rPr>
                <w:b/>
              </w:rPr>
              <w:t>969,848</w:t>
            </w:r>
          </w:p>
        </w:tc>
      </w:tr>
    </w:tbl>
    <w:p w:rsidR="00696474" w:rsidP="00D51705" w14:paraId="180E1ABA" w14:textId="7EED4EED">
      <w:pPr>
        <w:ind w:left="1440"/>
        <w:rPr>
          <w:color w:val="000000"/>
        </w:rPr>
      </w:pPr>
      <w:r>
        <w:rPr>
          <w:color w:val="000000"/>
        </w:rPr>
        <w:t xml:space="preserve">* We have inserted a $0 amount for cost factors that do not apply to </w:t>
      </w:r>
      <w:r>
        <w:rPr>
          <w:color w:val="000000"/>
        </w:rPr>
        <w:t>this collection.</w:t>
      </w:r>
    </w:p>
    <w:p w:rsidR="00E67298" w:rsidP="00D51705" w14:paraId="70F9DFB1" w14:textId="3D078469">
      <w:pPr>
        <w:ind w:left="1440"/>
        <w:rPr>
          <w:color w:val="000000"/>
        </w:rPr>
      </w:pPr>
    </w:p>
    <w:p w:rsidR="00E67298" w:rsidRPr="00E67298" w:rsidP="00E67298" w14:paraId="45019320" w14:textId="77777777">
      <w:pPr>
        <w:widowControl w:val="0"/>
        <w:ind w:left="1440"/>
        <w:rPr>
          <w:rFonts w:eastAsia="Times New Roman"/>
          <w:snapToGrid w:val="0"/>
          <w:color w:val="000000"/>
          <w:lang w:eastAsia="en-US"/>
        </w:rPr>
      </w:pPr>
      <w:r w:rsidRPr="00E67298">
        <w:rPr>
          <w:rFonts w:eastAsia="Times New Roman"/>
          <w:snapToGrid w:val="0"/>
          <w:color w:val="000000"/>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w:t>
      </w:r>
      <w:r w:rsidRPr="00E67298">
        <w:rPr>
          <w:rFonts w:eastAsia="Times New Roman"/>
          <w:snapToGrid w:val="0"/>
          <w:color w:val="000000"/>
          <w:lang w:eastAsia="en-US"/>
        </w:rPr>
        <w:t>ns.  However, we have calculated these costs as accurately as possible based on the information we collect for creating, updating, and maintaining these information collections.</w:t>
      </w:r>
    </w:p>
    <w:p w:rsidR="00E67298" w:rsidP="0059631E" w14:paraId="22104BE2" w14:textId="77777777">
      <w:pPr>
        <w:rPr>
          <w:b/>
          <w:bCs/>
          <w:u w:val="single"/>
        </w:rPr>
      </w:pPr>
    </w:p>
    <w:p w:rsidR="00617806" w:rsidRPr="00696474" w:rsidP="00D51705" w14:paraId="6D017B6C" w14:textId="77777777">
      <w:pPr>
        <w:numPr>
          <w:ilvl w:val="0"/>
          <w:numId w:val="8"/>
        </w:numPr>
        <w:ind w:left="1440" w:hanging="720"/>
        <w:rPr>
          <w:b/>
          <w:bCs/>
          <w:u w:val="single"/>
        </w:rPr>
      </w:pPr>
      <w:r w:rsidRPr="00696474">
        <w:rPr>
          <w:b/>
        </w:rPr>
        <w:t>Program Changes or Adjustments to the Information Collection Request</w:t>
      </w:r>
    </w:p>
    <w:p w:rsidR="00873A0F" w:rsidP="00D51705" w14:paraId="5821F06E" w14:textId="620C041D">
      <w:pPr>
        <w:ind w:left="1440"/>
      </w:pPr>
      <w:r w:rsidRPr="00873A0F">
        <w:rPr>
          <w:rFonts w:eastAsia="Times New Roman"/>
          <w:snapToGrid w:val="0"/>
          <w:lang w:eastAsia="en-US"/>
        </w:rPr>
        <w:t>When we last cleared this IC in 20</w:t>
      </w:r>
      <w:r w:rsidR="00AE1F77">
        <w:rPr>
          <w:rFonts w:eastAsia="Times New Roman"/>
          <w:snapToGrid w:val="0"/>
          <w:lang w:eastAsia="en-US"/>
        </w:rPr>
        <w:t>21</w:t>
      </w:r>
      <w:r w:rsidRPr="00873A0F">
        <w:rPr>
          <w:rFonts w:eastAsia="Times New Roman"/>
          <w:snapToGrid w:val="0"/>
          <w:lang w:eastAsia="en-US"/>
        </w:rPr>
        <w:t xml:space="preserve">, the burden was </w:t>
      </w:r>
      <w:bookmarkStart w:id="2" w:name="_Hlk178326253"/>
      <w:r>
        <w:rPr>
          <w:rFonts w:eastAsia="Times New Roman"/>
          <w:snapToGrid w:val="0"/>
          <w:lang w:eastAsia="en-US"/>
        </w:rPr>
        <w:t>10,</w:t>
      </w:r>
      <w:r w:rsidR="00AE1F77">
        <w:rPr>
          <w:rFonts w:eastAsia="Times New Roman"/>
          <w:snapToGrid w:val="0"/>
          <w:lang w:eastAsia="en-US"/>
        </w:rPr>
        <w:t>389</w:t>
      </w:r>
      <w:r w:rsidRPr="00873A0F">
        <w:rPr>
          <w:rFonts w:eastAsia="Times New Roman"/>
          <w:snapToGrid w:val="0"/>
          <w:lang w:eastAsia="en-US"/>
        </w:rPr>
        <w:t xml:space="preserve"> hours</w:t>
      </w:r>
      <w:bookmarkEnd w:id="2"/>
      <w:r w:rsidRPr="00873A0F">
        <w:rPr>
          <w:rFonts w:eastAsia="Times New Roman"/>
          <w:snapToGrid w:val="0"/>
          <w:lang w:eastAsia="en-US"/>
        </w:rPr>
        <w:t xml:space="preserve">.  However, we are currently reporting a burden of </w:t>
      </w:r>
      <w:r w:rsidRPr="00073622" w:rsidR="002B0F88">
        <w:rPr>
          <w:rFonts w:eastAsia="Times New Roman"/>
          <w:snapToGrid w:val="0"/>
          <w:lang w:eastAsia="en-US"/>
        </w:rPr>
        <w:t>30,1</w:t>
      </w:r>
      <w:r w:rsidR="00AA6CBE">
        <w:rPr>
          <w:rFonts w:eastAsia="Times New Roman"/>
          <w:snapToGrid w:val="0"/>
          <w:lang w:eastAsia="en-US"/>
        </w:rPr>
        <w:t>59</w:t>
      </w:r>
      <w:r w:rsidRPr="00073622">
        <w:rPr>
          <w:rFonts w:eastAsia="Times New Roman"/>
          <w:b/>
          <w:snapToGrid w:val="0"/>
          <w:lang w:eastAsia="en-US"/>
        </w:rPr>
        <w:t xml:space="preserve"> </w:t>
      </w:r>
      <w:r w:rsidRPr="00073622">
        <w:rPr>
          <w:rFonts w:eastAsia="Times New Roman"/>
          <w:snapToGrid w:val="0"/>
          <w:lang w:eastAsia="en-US"/>
        </w:rPr>
        <w:t xml:space="preserve">hours.  This change stems from </w:t>
      </w:r>
      <w:r w:rsidRPr="00073622" w:rsidR="00B773B4">
        <w:rPr>
          <w:rFonts w:eastAsia="Times New Roman"/>
          <w:snapToGrid w:val="0"/>
          <w:lang w:eastAsia="en-US"/>
        </w:rPr>
        <w:t>an</w:t>
      </w:r>
      <w:r w:rsidRPr="00073622">
        <w:rPr>
          <w:rFonts w:eastAsia="Times New Roman"/>
          <w:snapToGrid w:val="0"/>
          <w:lang w:eastAsia="en-US"/>
        </w:rPr>
        <w:t xml:space="preserve"> </w:t>
      </w:r>
      <w:r w:rsidRPr="00073622" w:rsidR="00141369">
        <w:rPr>
          <w:rFonts w:eastAsia="Times New Roman"/>
          <w:snapToGrid w:val="0"/>
          <w:lang w:eastAsia="en-US"/>
        </w:rPr>
        <w:t>increase</w:t>
      </w:r>
      <w:r w:rsidRPr="00073622">
        <w:rPr>
          <w:rFonts w:eastAsia="Times New Roman"/>
          <w:snapToGrid w:val="0"/>
          <w:lang w:eastAsia="en-US"/>
        </w:rPr>
        <w:t xml:space="preserve"> in the number of responses from </w:t>
      </w:r>
      <w:r w:rsidRPr="00073622" w:rsidR="00141369">
        <w:rPr>
          <w:rFonts w:eastAsia="Times New Roman"/>
          <w:snapToGrid w:val="0"/>
          <w:lang w:eastAsia="en-US"/>
        </w:rPr>
        <w:t>124,668 to 361,902.</w:t>
      </w:r>
      <w:r w:rsidRPr="00073622" w:rsidR="005606FB">
        <w:rPr>
          <w:rFonts w:eastAsia="Times New Roman"/>
          <w:lang w:eastAsia="en-US"/>
        </w:rPr>
        <w:t xml:space="preserve">  </w:t>
      </w:r>
      <w:r w:rsidRPr="00073622">
        <w:t>In FY 202</w:t>
      </w:r>
      <w:r w:rsidRPr="00073622" w:rsidR="00141369">
        <w:t>3</w:t>
      </w:r>
      <w:r w:rsidRPr="00073622">
        <w:t xml:space="preserve">, SSA enumerated approximately </w:t>
      </w:r>
      <w:r w:rsidRPr="00073622" w:rsidR="00141369">
        <w:t>361,902</w:t>
      </w:r>
      <w:r w:rsidRPr="00073622">
        <w:t xml:space="preserve"> foreign students and exchange visitors.  </w:t>
      </w:r>
      <w:r w:rsidRPr="00103FD0">
        <w:t>Absent any mechanism that measures the number of individuals</w:t>
      </w:r>
      <w:r>
        <w:t xml:space="preserve"> who </w:t>
      </w:r>
      <w:r w:rsidRPr="00103FD0">
        <w:t>u</w:t>
      </w:r>
      <w:r>
        <w:t>tilize form SSA-132, we use this</w:t>
      </w:r>
      <w:r w:rsidRPr="00103FD0">
        <w:t xml:space="preserve"> figure </w:t>
      </w:r>
      <w:r>
        <w:t>as the number of respondents for the reporting burden (</w:t>
      </w:r>
      <w:r w:rsidRPr="00103FD0">
        <w:t xml:space="preserve">assuming that every </w:t>
      </w:r>
      <w:r>
        <w:t>foreign student and exchange visitor</w:t>
      </w:r>
      <w:r w:rsidRPr="00103FD0">
        <w:t xml:space="preserve"> </w:t>
      </w:r>
      <w:r>
        <w:t>needs to complete F</w:t>
      </w:r>
      <w:r w:rsidRPr="00103FD0">
        <w:t>orm SSA-132</w:t>
      </w:r>
      <w:r>
        <w:t xml:space="preserve">, otherwise they would not have their newly requested SSN fast enough). </w:t>
      </w:r>
      <w:r w:rsidR="00B773B4">
        <w:t xml:space="preserve"> </w:t>
      </w:r>
      <w:r w:rsidR="00C24123">
        <w:t>SSA did not change the burden per response.</w:t>
      </w:r>
    </w:p>
    <w:p w:rsidR="00192906" w:rsidP="00943E44" w14:paraId="7CE756C6" w14:textId="77777777">
      <w:pPr>
        <w:ind w:left="1440"/>
      </w:pPr>
    </w:p>
    <w:p w:rsidR="00943E44" w:rsidRPr="00495B43" w:rsidP="00943E44" w14:paraId="112D1D72" w14:textId="0023FA68">
      <w:pPr>
        <w:pStyle w:val="NoSpacing"/>
        <w:ind w:left="1440"/>
        <w:rPr>
          <w:b/>
          <w:bCs/>
          <w:iCs/>
        </w:rPr>
      </w:pPr>
      <w:r>
        <w:rPr>
          <w:color w:val="000000"/>
        </w:rPr>
        <w:t xml:space="preserve">* Note: The total burden reflected in ROCIS is </w:t>
      </w:r>
      <w:r>
        <w:rPr>
          <w:b/>
          <w:bCs/>
          <w:color w:val="000000"/>
        </w:rPr>
        <w:t>367,934</w:t>
      </w:r>
      <w:r>
        <w:rPr>
          <w:color w:val="000000"/>
        </w:rPr>
        <w:t xml:space="preserve">, while the burden cited in #12 of the Supporting Statement is </w:t>
      </w:r>
      <w:r w:rsidR="00CF05AB">
        <w:rPr>
          <w:b/>
          <w:bCs/>
          <w:color w:val="000000"/>
        </w:rPr>
        <w:t>30,159</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04764D" w:rsidP="00D51705" w14:paraId="3C87C1FD" w14:textId="77777777">
      <w:pPr>
        <w:ind w:left="1440"/>
        <w:rPr>
          <w:b/>
          <w:bCs/>
          <w:u w:val="single"/>
        </w:rPr>
      </w:pPr>
    </w:p>
    <w:p w:rsidR="00617806" w:rsidRPr="00B41944" w:rsidP="00D51705" w14:paraId="3F29CC12" w14:textId="77777777">
      <w:pPr>
        <w:numPr>
          <w:ilvl w:val="0"/>
          <w:numId w:val="8"/>
        </w:numPr>
        <w:ind w:left="1440" w:hanging="720"/>
        <w:rPr>
          <w:b/>
          <w:bCs/>
          <w:u w:val="single"/>
        </w:rPr>
      </w:pPr>
      <w:r w:rsidRPr="00BC7F42">
        <w:rPr>
          <w:b/>
        </w:rPr>
        <w:t>Plans for Publication Information Collection</w:t>
      </w:r>
      <w:r>
        <w:rPr>
          <w:b/>
        </w:rPr>
        <w:t xml:space="preserve"> </w:t>
      </w:r>
      <w:r w:rsidRPr="00A53FDF">
        <w:rPr>
          <w:b/>
        </w:rPr>
        <w:t>Results</w:t>
      </w:r>
    </w:p>
    <w:p w:rsidR="00B41944" w:rsidP="00D51705" w14:paraId="41869B1E" w14:textId="77777777">
      <w:pPr>
        <w:ind w:left="1440"/>
        <w:rPr>
          <w:b/>
          <w:bCs/>
        </w:rPr>
      </w:pPr>
      <w:r>
        <w:t>SSA will not publish the results of the information collection.</w:t>
      </w:r>
    </w:p>
    <w:p w:rsidR="00B41944" w:rsidP="00D51705" w14:paraId="63F999CD" w14:textId="77777777">
      <w:pPr>
        <w:ind w:left="1440"/>
        <w:rPr>
          <w:b/>
          <w:bCs/>
          <w:u w:val="single"/>
        </w:rPr>
      </w:pPr>
    </w:p>
    <w:p w:rsidR="00A323E0" w:rsidP="00D51705" w14:paraId="4D873ED5" w14:textId="77777777">
      <w:pPr>
        <w:ind w:left="1440"/>
        <w:rPr>
          <w:b/>
          <w:bCs/>
          <w:u w:val="single"/>
        </w:rPr>
      </w:pPr>
    </w:p>
    <w:p w:rsidR="00A323E0" w:rsidP="00D51705" w14:paraId="195E7716" w14:textId="77777777">
      <w:pPr>
        <w:ind w:left="1440"/>
        <w:rPr>
          <w:b/>
          <w:bCs/>
          <w:u w:val="single"/>
        </w:rPr>
      </w:pPr>
    </w:p>
    <w:p w:rsidR="00617806" w:rsidRPr="00B41944" w:rsidP="00D51705" w14:paraId="798E2762" w14:textId="77777777">
      <w:pPr>
        <w:numPr>
          <w:ilvl w:val="0"/>
          <w:numId w:val="8"/>
        </w:numPr>
        <w:ind w:left="1440" w:hanging="720"/>
        <w:rPr>
          <w:b/>
          <w:bCs/>
          <w:u w:val="single"/>
        </w:rPr>
      </w:pPr>
      <w:r w:rsidRPr="001C4996">
        <w:rPr>
          <w:b/>
          <w:bCs/>
        </w:rPr>
        <w:t>Displaying t</w:t>
      </w:r>
      <w:r>
        <w:rPr>
          <w:b/>
          <w:bCs/>
        </w:rPr>
        <w:t>he OMB Approval Expiration Date</w:t>
      </w:r>
    </w:p>
    <w:p w:rsidR="00B41944" w:rsidP="00D51705" w14:paraId="5D89D99B" w14:textId="77777777">
      <w:pPr>
        <w:ind w:left="1440"/>
        <w:rPr>
          <w:b/>
          <w:bCs/>
        </w:rPr>
      </w:pPr>
      <w:r w:rsidRPr="00310C58">
        <w:rPr>
          <w:bCs/>
          <w:iCs/>
        </w:rPr>
        <w:t xml:space="preserve">OMB granted SSA an exemption from the requirement to print the OMB expiration date on its program forms.  SSA produces millions of </w:t>
      </w:r>
      <w:r w:rsidRPr="00310C58">
        <w:rPr>
          <w:bCs/>
          <w:iCs/>
        </w:rPr>
        <w:t>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B41944" w:rsidP="00D51705" w14:paraId="0C6DE4A8" w14:textId="77777777">
      <w:pPr>
        <w:ind w:left="1440"/>
        <w:rPr>
          <w:b/>
          <w:bCs/>
          <w:u w:val="single"/>
        </w:rPr>
      </w:pPr>
    </w:p>
    <w:p w:rsidR="00617806" w:rsidRPr="00B41944" w:rsidP="00D51705" w14:paraId="6EE9B03C" w14:textId="77777777">
      <w:pPr>
        <w:numPr>
          <w:ilvl w:val="0"/>
          <w:numId w:val="8"/>
        </w:numPr>
        <w:ind w:left="1440" w:hanging="720"/>
        <w:rPr>
          <w:b/>
          <w:bCs/>
          <w:u w:val="single"/>
        </w:rPr>
      </w:pPr>
      <w:r w:rsidRPr="00BC7F42">
        <w:rPr>
          <w:b/>
        </w:rPr>
        <w:t>Exceptions to Certification Statement</w:t>
      </w:r>
    </w:p>
    <w:p w:rsidR="00B41944" w:rsidP="00D51705" w14:paraId="161AD846" w14:textId="77777777">
      <w:pPr>
        <w:ind w:left="1440"/>
        <w:rPr>
          <w:b/>
        </w:rPr>
      </w:pPr>
      <w:r w:rsidRPr="00AA5249">
        <w:t>SSA is not requesting an exception to the certification requirements at</w:t>
      </w:r>
      <w:r w:rsidRPr="00AA5249">
        <w:rPr>
          <w:i/>
        </w:rPr>
        <w:t xml:space="preserve"> 5 CFR 1320.9 </w:t>
      </w:r>
      <w:r w:rsidRPr="00AA5249">
        <w:t>and related provisions at</w:t>
      </w:r>
      <w:r w:rsidRPr="00AA5249">
        <w:rPr>
          <w:i/>
        </w:rPr>
        <w:t xml:space="preserve"> 5 CFR 1320.8(b)(3)</w:t>
      </w:r>
      <w:r w:rsidRPr="00AA5249">
        <w:t>.</w:t>
      </w:r>
    </w:p>
    <w:p w:rsidR="00617806" w:rsidP="00617806" w14:paraId="38EE5674" w14:textId="77777777">
      <w:pPr>
        <w:ind w:left="360"/>
        <w:rPr>
          <w:b/>
          <w:bCs/>
          <w:u w:val="single"/>
        </w:rPr>
      </w:pPr>
    </w:p>
    <w:p w:rsidR="00F72E33" w:rsidRPr="00B41944" w:rsidP="00D51705" w14:paraId="2A7770B1" w14:textId="77777777">
      <w:pPr>
        <w:numPr>
          <w:ilvl w:val="0"/>
          <w:numId w:val="7"/>
        </w:numPr>
        <w:ind w:left="720" w:hanging="540"/>
        <w:rPr>
          <w:u w:val="single"/>
        </w:rPr>
      </w:pPr>
      <w:r w:rsidRPr="00B41944">
        <w:rPr>
          <w:b/>
          <w:bCs/>
          <w:u w:val="single"/>
        </w:rPr>
        <w:t>Collections of Information Employing Statistical Methods</w:t>
      </w:r>
    </w:p>
    <w:p w:rsidR="00F72E33" w:rsidP="00F72E33" w14:paraId="432AF3E4" w14:textId="77777777">
      <w:pPr>
        <w:rPr>
          <w:b/>
          <w:bCs/>
          <w:u w:val="single"/>
        </w:rPr>
      </w:pPr>
    </w:p>
    <w:p w:rsidR="00F72E33" w:rsidRPr="00E52DA2" w:rsidP="00D51705" w14:paraId="61DB5781" w14:textId="77777777">
      <w:pPr>
        <w:ind w:left="1440"/>
      </w:pPr>
      <w:r w:rsidRPr="00781F68">
        <w:rPr>
          <w:bCs/>
        </w:rPr>
        <w:t>SSA does not use statistical</w:t>
      </w:r>
      <w:r>
        <w:rPr>
          <w:b/>
          <w:bCs/>
        </w:rPr>
        <w:t xml:space="preserve"> </w:t>
      </w:r>
      <w:r>
        <w:t xml:space="preserve">methods for this information collection. </w:t>
      </w:r>
      <w:r w:rsidRPr="00E52DA2">
        <w:t xml:space="preserve"> </w:t>
      </w:r>
      <w:r>
        <w:t xml:space="preserve">     </w:t>
      </w:r>
    </w:p>
    <w:p w:rsidR="00F72E33" w:rsidP="00F72E33" w14:paraId="36B8DC5C" w14:textId="77777777"/>
    <w:p w:rsidR="00F72E33" w14:paraId="6CEA8FDC" w14:textId="77777777"/>
    <w:sectPr w:rsidSect="00DF53E6">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1D7" w:rsidRPr="002A1FE7" w:rsidP="00781F68" w14:paraId="178FDBAA" w14:textId="57662A5C">
    <w:pPr>
      <w:pStyle w:val="Footer"/>
      <w:jc w:val="cen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659F"/>
    <w:multiLevelType w:val="hybridMultilevel"/>
    <w:tmpl w:val="996A156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7B22CC6"/>
    <w:multiLevelType w:val="hybridMultilevel"/>
    <w:tmpl w:val="DDEEA21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1E695C7A"/>
    <w:multiLevelType w:val="hybridMultilevel"/>
    <w:tmpl w:val="A7E2FB62"/>
    <w:lvl w:ilvl="0">
      <w:start w:val="1"/>
      <w:numFmt w:val="upperLetter"/>
      <w:lvlText w:val="%1."/>
      <w:lvlJc w:val="left"/>
      <w:pPr>
        <w:ind w:left="1080" w:hanging="72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6C0CB0"/>
    <w:multiLevelType w:val="hybridMultilevel"/>
    <w:tmpl w:val="F6663B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AF81537"/>
    <w:multiLevelType w:val="hybridMultilevel"/>
    <w:tmpl w:val="3028DC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F845E4"/>
    <w:multiLevelType w:val="hybridMultilevel"/>
    <w:tmpl w:val="1D0CB97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E515A58"/>
    <w:multiLevelType w:val="hybridMultilevel"/>
    <w:tmpl w:val="3E1AB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8CE4E62"/>
    <w:multiLevelType w:val="hybridMultilevel"/>
    <w:tmpl w:val="94F4C79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59B076EB"/>
    <w:multiLevelType w:val="hybridMultilevel"/>
    <w:tmpl w:val="5790B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D92380B"/>
    <w:multiLevelType w:val="hybridMultilevel"/>
    <w:tmpl w:val="429A989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68447460">
    <w:abstractNumId w:val="10"/>
  </w:num>
  <w:num w:numId="2" w16cid:durableId="1427001580">
    <w:abstractNumId w:val="3"/>
  </w:num>
  <w:num w:numId="3" w16cid:durableId="1204176637">
    <w:abstractNumId w:val="5"/>
  </w:num>
  <w:num w:numId="4" w16cid:durableId="546186469">
    <w:abstractNumId w:val="8"/>
  </w:num>
  <w:num w:numId="5" w16cid:durableId="1841383314">
    <w:abstractNumId w:val="1"/>
  </w:num>
  <w:num w:numId="6" w16cid:durableId="433866167">
    <w:abstractNumId w:val="9"/>
  </w:num>
  <w:num w:numId="7" w16cid:durableId="1991055749">
    <w:abstractNumId w:val="2"/>
  </w:num>
  <w:num w:numId="8" w16cid:durableId="497430401">
    <w:abstractNumId w:val="4"/>
  </w:num>
  <w:num w:numId="9" w16cid:durableId="662515634">
    <w:abstractNumId w:val="0"/>
  </w:num>
  <w:num w:numId="10" w16cid:durableId="1148860732">
    <w:abstractNumId w:val="6"/>
  </w:num>
  <w:num w:numId="11" w16cid:durableId="949700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33"/>
    <w:rsid w:val="00015B7B"/>
    <w:rsid w:val="00017DEB"/>
    <w:rsid w:val="000220ED"/>
    <w:rsid w:val="0004620E"/>
    <w:rsid w:val="0004764D"/>
    <w:rsid w:val="00050217"/>
    <w:rsid w:val="000601A4"/>
    <w:rsid w:val="0006044F"/>
    <w:rsid w:val="0007291C"/>
    <w:rsid w:val="00073622"/>
    <w:rsid w:val="0009301A"/>
    <w:rsid w:val="0009327D"/>
    <w:rsid w:val="0009791F"/>
    <w:rsid w:val="000A2C5F"/>
    <w:rsid w:val="000B05F1"/>
    <w:rsid w:val="000B1CC8"/>
    <w:rsid w:val="000B2749"/>
    <w:rsid w:val="000B4E4D"/>
    <w:rsid w:val="000C5382"/>
    <w:rsid w:val="000E2B9E"/>
    <w:rsid w:val="000F0C95"/>
    <w:rsid w:val="000F24CD"/>
    <w:rsid w:val="00103FD0"/>
    <w:rsid w:val="00110288"/>
    <w:rsid w:val="00111B73"/>
    <w:rsid w:val="00112761"/>
    <w:rsid w:val="00120C49"/>
    <w:rsid w:val="00132582"/>
    <w:rsid w:val="001358C9"/>
    <w:rsid w:val="00141369"/>
    <w:rsid w:val="00153EC0"/>
    <w:rsid w:val="0017212A"/>
    <w:rsid w:val="001773D9"/>
    <w:rsid w:val="00190922"/>
    <w:rsid w:val="00190C56"/>
    <w:rsid w:val="001921DD"/>
    <w:rsid w:val="00192906"/>
    <w:rsid w:val="001945E1"/>
    <w:rsid w:val="001A3609"/>
    <w:rsid w:val="001A50CC"/>
    <w:rsid w:val="001A6ED2"/>
    <w:rsid w:val="001C4996"/>
    <w:rsid w:val="001C7F28"/>
    <w:rsid w:val="001D2110"/>
    <w:rsid w:val="001D4F60"/>
    <w:rsid w:val="001E3773"/>
    <w:rsid w:val="001F011E"/>
    <w:rsid w:val="001F2134"/>
    <w:rsid w:val="001F7842"/>
    <w:rsid w:val="00203489"/>
    <w:rsid w:val="002111F2"/>
    <w:rsid w:val="00212749"/>
    <w:rsid w:val="00213F1D"/>
    <w:rsid w:val="00226486"/>
    <w:rsid w:val="002416D2"/>
    <w:rsid w:val="00265C98"/>
    <w:rsid w:val="00275658"/>
    <w:rsid w:val="00281E2A"/>
    <w:rsid w:val="002A1FE7"/>
    <w:rsid w:val="002A5909"/>
    <w:rsid w:val="002B0F88"/>
    <w:rsid w:val="002B74D6"/>
    <w:rsid w:val="002C031A"/>
    <w:rsid w:val="002C57FD"/>
    <w:rsid w:val="002D3A8C"/>
    <w:rsid w:val="002D5206"/>
    <w:rsid w:val="002F3258"/>
    <w:rsid w:val="002F5A93"/>
    <w:rsid w:val="002F7E80"/>
    <w:rsid w:val="00300A22"/>
    <w:rsid w:val="00310C58"/>
    <w:rsid w:val="00313941"/>
    <w:rsid w:val="00331EF0"/>
    <w:rsid w:val="00337913"/>
    <w:rsid w:val="00337D0F"/>
    <w:rsid w:val="00351FF2"/>
    <w:rsid w:val="00352725"/>
    <w:rsid w:val="00353BA0"/>
    <w:rsid w:val="00355B88"/>
    <w:rsid w:val="00363FFB"/>
    <w:rsid w:val="00364BED"/>
    <w:rsid w:val="00364F46"/>
    <w:rsid w:val="00373FAB"/>
    <w:rsid w:val="0037461A"/>
    <w:rsid w:val="00377BB2"/>
    <w:rsid w:val="00384346"/>
    <w:rsid w:val="00385927"/>
    <w:rsid w:val="003A6AB9"/>
    <w:rsid w:val="003B1478"/>
    <w:rsid w:val="003C0B11"/>
    <w:rsid w:val="003C1C3A"/>
    <w:rsid w:val="003D52A8"/>
    <w:rsid w:val="003E79E5"/>
    <w:rsid w:val="003F42EF"/>
    <w:rsid w:val="003F557A"/>
    <w:rsid w:val="003F6322"/>
    <w:rsid w:val="00404C2C"/>
    <w:rsid w:val="004218E6"/>
    <w:rsid w:val="00425B39"/>
    <w:rsid w:val="0043224F"/>
    <w:rsid w:val="00435305"/>
    <w:rsid w:val="00442D6C"/>
    <w:rsid w:val="004471CE"/>
    <w:rsid w:val="004630CA"/>
    <w:rsid w:val="00467322"/>
    <w:rsid w:val="0047588F"/>
    <w:rsid w:val="00495B43"/>
    <w:rsid w:val="004A3D98"/>
    <w:rsid w:val="004A4853"/>
    <w:rsid w:val="004B27D0"/>
    <w:rsid w:val="004B6235"/>
    <w:rsid w:val="004C61C8"/>
    <w:rsid w:val="004C7830"/>
    <w:rsid w:val="004D628D"/>
    <w:rsid w:val="004D74FB"/>
    <w:rsid w:val="004F68A1"/>
    <w:rsid w:val="005061C3"/>
    <w:rsid w:val="005333C2"/>
    <w:rsid w:val="00533664"/>
    <w:rsid w:val="00533D12"/>
    <w:rsid w:val="0054171A"/>
    <w:rsid w:val="00545304"/>
    <w:rsid w:val="005460FB"/>
    <w:rsid w:val="00550D93"/>
    <w:rsid w:val="005530B6"/>
    <w:rsid w:val="005566AB"/>
    <w:rsid w:val="005606FB"/>
    <w:rsid w:val="0056279B"/>
    <w:rsid w:val="00563D18"/>
    <w:rsid w:val="005653B4"/>
    <w:rsid w:val="00570C4A"/>
    <w:rsid w:val="0059414F"/>
    <w:rsid w:val="0059631E"/>
    <w:rsid w:val="005A5F4B"/>
    <w:rsid w:val="005A6FDF"/>
    <w:rsid w:val="005F58DB"/>
    <w:rsid w:val="00602FB6"/>
    <w:rsid w:val="00603BEE"/>
    <w:rsid w:val="00611834"/>
    <w:rsid w:val="00617806"/>
    <w:rsid w:val="00625EC5"/>
    <w:rsid w:val="00626CE9"/>
    <w:rsid w:val="00630EC0"/>
    <w:rsid w:val="006343BB"/>
    <w:rsid w:val="006353C5"/>
    <w:rsid w:val="00642A10"/>
    <w:rsid w:val="00647327"/>
    <w:rsid w:val="00650EA3"/>
    <w:rsid w:val="00657F63"/>
    <w:rsid w:val="00664DC4"/>
    <w:rsid w:val="006654A0"/>
    <w:rsid w:val="00666806"/>
    <w:rsid w:val="00691DC1"/>
    <w:rsid w:val="00696474"/>
    <w:rsid w:val="006A2F3E"/>
    <w:rsid w:val="006F47EA"/>
    <w:rsid w:val="006F5D5F"/>
    <w:rsid w:val="007006B7"/>
    <w:rsid w:val="00704D24"/>
    <w:rsid w:val="00705F27"/>
    <w:rsid w:val="007063E8"/>
    <w:rsid w:val="00730463"/>
    <w:rsid w:val="007306C1"/>
    <w:rsid w:val="0073311F"/>
    <w:rsid w:val="00746B77"/>
    <w:rsid w:val="007628F0"/>
    <w:rsid w:val="00764D93"/>
    <w:rsid w:val="00767A59"/>
    <w:rsid w:val="00774A75"/>
    <w:rsid w:val="00775586"/>
    <w:rsid w:val="00781F68"/>
    <w:rsid w:val="007826D7"/>
    <w:rsid w:val="00786454"/>
    <w:rsid w:val="007A28E1"/>
    <w:rsid w:val="007A4E01"/>
    <w:rsid w:val="007B3B9D"/>
    <w:rsid w:val="007C1E23"/>
    <w:rsid w:val="007D01A2"/>
    <w:rsid w:val="007D5501"/>
    <w:rsid w:val="007F6218"/>
    <w:rsid w:val="00805409"/>
    <w:rsid w:val="00811901"/>
    <w:rsid w:val="008169A5"/>
    <w:rsid w:val="008232E2"/>
    <w:rsid w:val="00844952"/>
    <w:rsid w:val="008527A9"/>
    <w:rsid w:val="00852FE2"/>
    <w:rsid w:val="008658D6"/>
    <w:rsid w:val="00870E2D"/>
    <w:rsid w:val="00873A0F"/>
    <w:rsid w:val="008755AA"/>
    <w:rsid w:val="008820B0"/>
    <w:rsid w:val="00882E55"/>
    <w:rsid w:val="00883490"/>
    <w:rsid w:val="008917F1"/>
    <w:rsid w:val="00897005"/>
    <w:rsid w:val="008A2568"/>
    <w:rsid w:val="008A3B19"/>
    <w:rsid w:val="008A7764"/>
    <w:rsid w:val="008A7C9D"/>
    <w:rsid w:val="008C31E9"/>
    <w:rsid w:val="008C4727"/>
    <w:rsid w:val="008C4968"/>
    <w:rsid w:val="008D6FA5"/>
    <w:rsid w:val="008E57A9"/>
    <w:rsid w:val="008E740E"/>
    <w:rsid w:val="008F3043"/>
    <w:rsid w:val="00904B9E"/>
    <w:rsid w:val="00933228"/>
    <w:rsid w:val="009343D3"/>
    <w:rsid w:val="00936555"/>
    <w:rsid w:val="009410BC"/>
    <w:rsid w:val="00943E44"/>
    <w:rsid w:val="00946FD2"/>
    <w:rsid w:val="00950925"/>
    <w:rsid w:val="0096469C"/>
    <w:rsid w:val="00971B8B"/>
    <w:rsid w:val="0097274C"/>
    <w:rsid w:val="0097667D"/>
    <w:rsid w:val="009777BE"/>
    <w:rsid w:val="009822C1"/>
    <w:rsid w:val="00983AE3"/>
    <w:rsid w:val="0098578C"/>
    <w:rsid w:val="0099031D"/>
    <w:rsid w:val="009934F8"/>
    <w:rsid w:val="00994BEB"/>
    <w:rsid w:val="009B215A"/>
    <w:rsid w:val="009B7B07"/>
    <w:rsid w:val="009C55B2"/>
    <w:rsid w:val="009C6662"/>
    <w:rsid w:val="009D37D8"/>
    <w:rsid w:val="009E1C40"/>
    <w:rsid w:val="009E431F"/>
    <w:rsid w:val="009E6365"/>
    <w:rsid w:val="009F003F"/>
    <w:rsid w:val="00A00DA1"/>
    <w:rsid w:val="00A0383C"/>
    <w:rsid w:val="00A07AC8"/>
    <w:rsid w:val="00A16C7C"/>
    <w:rsid w:val="00A20377"/>
    <w:rsid w:val="00A300D6"/>
    <w:rsid w:val="00A323E0"/>
    <w:rsid w:val="00A401D7"/>
    <w:rsid w:val="00A513BD"/>
    <w:rsid w:val="00A51A84"/>
    <w:rsid w:val="00A53FDF"/>
    <w:rsid w:val="00A60225"/>
    <w:rsid w:val="00A639F0"/>
    <w:rsid w:val="00A82746"/>
    <w:rsid w:val="00A86C8F"/>
    <w:rsid w:val="00A90FC5"/>
    <w:rsid w:val="00A96002"/>
    <w:rsid w:val="00AA4E19"/>
    <w:rsid w:val="00AA5249"/>
    <w:rsid w:val="00AA6CBE"/>
    <w:rsid w:val="00AB0FD6"/>
    <w:rsid w:val="00AB3CA4"/>
    <w:rsid w:val="00AB6E95"/>
    <w:rsid w:val="00AC173D"/>
    <w:rsid w:val="00AC59E1"/>
    <w:rsid w:val="00AC6C26"/>
    <w:rsid w:val="00AD0EFC"/>
    <w:rsid w:val="00AD626D"/>
    <w:rsid w:val="00AE1F77"/>
    <w:rsid w:val="00AE64AC"/>
    <w:rsid w:val="00AF0E1E"/>
    <w:rsid w:val="00B04574"/>
    <w:rsid w:val="00B062DC"/>
    <w:rsid w:val="00B06351"/>
    <w:rsid w:val="00B11BC6"/>
    <w:rsid w:val="00B146CE"/>
    <w:rsid w:val="00B24D62"/>
    <w:rsid w:val="00B322C8"/>
    <w:rsid w:val="00B36CDC"/>
    <w:rsid w:val="00B41944"/>
    <w:rsid w:val="00B523B7"/>
    <w:rsid w:val="00B773B4"/>
    <w:rsid w:val="00B80FCE"/>
    <w:rsid w:val="00B823D8"/>
    <w:rsid w:val="00B86070"/>
    <w:rsid w:val="00BA5D17"/>
    <w:rsid w:val="00BC139B"/>
    <w:rsid w:val="00BC7F42"/>
    <w:rsid w:val="00BD14B4"/>
    <w:rsid w:val="00BD23FA"/>
    <w:rsid w:val="00BD3F7A"/>
    <w:rsid w:val="00BD513E"/>
    <w:rsid w:val="00BD7EDE"/>
    <w:rsid w:val="00BE7982"/>
    <w:rsid w:val="00C13E29"/>
    <w:rsid w:val="00C24123"/>
    <w:rsid w:val="00C3172F"/>
    <w:rsid w:val="00C321DA"/>
    <w:rsid w:val="00C36B07"/>
    <w:rsid w:val="00C44BB0"/>
    <w:rsid w:val="00C465F4"/>
    <w:rsid w:val="00C5172B"/>
    <w:rsid w:val="00C521C0"/>
    <w:rsid w:val="00C5620A"/>
    <w:rsid w:val="00C60B97"/>
    <w:rsid w:val="00C67DC6"/>
    <w:rsid w:val="00C76D27"/>
    <w:rsid w:val="00CB14DF"/>
    <w:rsid w:val="00CC4082"/>
    <w:rsid w:val="00CC488A"/>
    <w:rsid w:val="00CD10BD"/>
    <w:rsid w:val="00CE09E5"/>
    <w:rsid w:val="00CE3B9A"/>
    <w:rsid w:val="00CF05AB"/>
    <w:rsid w:val="00CF3E39"/>
    <w:rsid w:val="00CF7DD3"/>
    <w:rsid w:val="00D01B8D"/>
    <w:rsid w:val="00D06B3C"/>
    <w:rsid w:val="00D11619"/>
    <w:rsid w:val="00D1632D"/>
    <w:rsid w:val="00D26FB4"/>
    <w:rsid w:val="00D35E8F"/>
    <w:rsid w:val="00D44A57"/>
    <w:rsid w:val="00D51705"/>
    <w:rsid w:val="00D51B0D"/>
    <w:rsid w:val="00D53C70"/>
    <w:rsid w:val="00D54EDB"/>
    <w:rsid w:val="00D7656F"/>
    <w:rsid w:val="00D85E0D"/>
    <w:rsid w:val="00D92742"/>
    <w:rsid w:val="00D92F57"/>
    <w:rsid w:val="00D96326"/>
    <w:rsid w:val="00DA55B9"/>
    <w:rsid w:val="00DB175C"/>
    <w:rsid w:val="00DB43E6"/>
    <w:rsid w:val="00DB5953"/>
    <w:rsid w:val="00DC0B60"/>
    <w:rsid w:val="00DD0041"/>
    <w:rsid w:val="00DD28BA"/>
    <w:rsid w:val="00DD7C5B"/>
    <w:rsid w:val="00DE0AAF"/>
    <w:rsid w:val="00DE1498"/>
    <w:rsid w:val="00DE659E"/>
    <w:rsid w:val="00DF53E6"/>
    <w:rsid w:val="00E00817"/>
    <w:rsid w:val="00E013E3"/>
    <w:rsid w:val="00E0630B"/>
    <w:rsid w:val="00E0750F"/>
    <w:rsid w:val="00E16849"/>
    <w:rsid w:val="00E174C9"/>
    <w:rsid w:val="00E303F1"/>
    <w:rsid w:val="00E3091F"/>
    <w:rsid w:val="00E34B8D"/>
    <w:rsid w:val="00E35AFB"/>
    <w:rsid w:val="00E43E04"/>
    <w:rsid w:val="00E51205"/>
    <w:rsid w:val="00E52DA2"/>
    <w:rsid w:val="00E53E2B"/>
    <w:rsid w:val="00E67298"/>
    <w:rsid w:val="00E82E4A"/>
    <w:rsid w:val="00E839F2"/>
    <w:rsid w:val="00E8592A"/>
    <w:rsid w:val="00E86B35"/>
    <w:rsid w:val="00E9575F"/>
    <w:rsid w:val="00EA15D8"/>
    <w:rsid w:val="00EA54D6"/>
    <w:rsid w:val="00EA5A09"/>
    <w:rsid w:val="00EA6891"/>
    <w:rsid w:val="00EA6DA1"/>
    <w:rsid w:val="00EC532D"/>
    <w:rsid w:val="00EC67D4"/>
    <w:rsid w:val="00EC6FFF"/>
    <w:rsid w:val="00ED082C"/>
    <w:rsid w:val="00EE54E0"/>
    <w:rsid w:val="00EF03CA"/>
    <w:rsid w:val="00EF077E"/>
    <w:rsid w:val="00EF5543"/>
    <w:rsid w:val="00F010A6"/>
    <w:rsid w:val="00F0308A"/>
    <w:rsid w:val="00F031B6"/>
    <w:rsid w:val="00F14B50"/>
    <w:rsid w:val="00F160E1"/>
    <w:rsid w:val="00F16FC6"/>
    <w:rsid w:val="00F20225"/>
    <w:rsid w:val="00F21A42"/>
    <w:rsid w:val="00F23147"/>
    <w:rsid w:val="00F26242"/>
    <w:rsid w:val="00F3473D"/>
    <w:rsid w:val="00F439B4"/>
    <w:rsid w:val="00F62078"/>
    <w:rsid w:val="00F62BC3"/>
    <w:rsid w:val="00F64504"/>
    <w:rsid w:val="00F72BB3"/>
    <w:rsid w:val="00F72E33"/>
    <w:rsid w:val="00F7482A"/>
    <w:rsid w:val="00F92867"/>
    <w:rsid w:val="00F94254"/>
    <w:rsid w:val="00FA1727"/>
    <w:rsid w:val="00FA1A60"/>
    <w:rsid w:val="00FA66CA"/>
    <w:rsid w:val="00FB7647"/>
    <w:rsid w:val="00FC1506"/>
    <w:rsid w:val="00FC266A"/>
    <w:rsid w:val="00FD7D2C"/>
    <w:rsid w:val="00FE203D"/>
    <w:rsid w:val="00FF13CA"/>
    <w:rsid w:val="00FF2150"/>
    <w:rsid w:val="00FF388D"/>
  </w:rsids>
  <w:docVars>
    <w:docVar w:name="dgnword-docGUID" w:val="{B1C1FE03-CF50-414E-99E9-BAC565948F76}"/>
    <w:docVar w:name="dgnword-eventsink" w:val="131065597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05D1AE"/>
  <w15:chartTrackingRefBased/>
  <w15:docId w15:val="{4B20DE7B-37B0-4973-A9A0-2F7B0FC0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E33"/>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2E33"/>
    <w:pPr>
      <w:tabs>
        <w:tab w:val="center" w:pos="4320"/>
        <w:tab w:val="right" w:pos="8640"/>
      </w:tabs>
    </w:pPr>
  </w:style>
  <w:style w:type="character" w:styleId="PageNumber">
    <w:name w:val="page number"/>
    <w:basedOn w:val="DefaultParagraphFont"/>
    <w:rsid w:val="00F72E33"/>
  </w:style>
  <w:style w:type="table" w:styleId="TableGrid">
    <w:name w:val="Table Grid"/>
    <w:basedOn w:val="TableNormal"/>
    <w:uiPriority w:val="39"/>
    <w:rsid w:val="00F72E3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3D18"/>
    <w:rPr>
      <w:sz w:val="16"/>
      <w:szCs w:val="16"/>
    </w:rPr>
  </w:style>
  <w:style w:type="paragraph" w:styleId="CommentText">
    <w:name w:val="annotation text"/>
    <w:basedOn w:val="Normal"/>
    <w:semiHidden/>
    <w:rsid w:val="00563D18"/>
    <w:rPr>
      <w:sz w:val="20"/>
      <w:szCs w:val="20"/>
    </w:rPr>
  </w:style>
  <w:style w:type="paragraph" w:styleId="CommentSubject">
    <w:name w:val="annotation subject"/>
    <w:basedOn w:val="CommentText"/>
    <w:next w:val="CommentText"/>
    <w:semiHidden/>
    <w:rsid w:val="00563D18"/>
    <w:rPr>
      <w:b/>
      <w:bCs/>
    </w:rPr>
  </w:style>
  <w:style w:type="paragraph" w:styleId="BalloonText">
    <w:name w:val="Balloon Text"/>
    <w:basedOn w:val="Normal"/>
    <w:semiHidden/>
    <w:rsid w:val="00563D18"/>
    <w:rPr>
      <w:rFonts w:ascii="Tahoma" w:hAnsi="Tahoma" w:cs="Tahoma"/>
      <w:sz w:val="16"/>
      <w:szCs w:val="16"/>
    </w:rPr>
  </w:style>
  <w:style w:type="paragraph" w:styleId="BodyTextIndent">
    <w:name w:val="Body Text Indent"/>
    <w:basedOn w:val="Normal"/>
    <w:link w:val="BodyTextIndentChar"/>
    <w:rsid w:val="00642A10"/>
    <w:pPr>
      <w:ind w:left="1440" w:hanging="720"/>
    </w:pPr>
    <w:rPr>
      <w:rFonts w:ascii="Courier New" w:eastAsia="Times New Roman" w:hAnsi="Courier New" w:cs="Courier New"/>
    </w:rPr>
  </w:style>
  <w:style w:type="character" w:customStyle="1" w:styleId="BodyTextIndentChar">
    <w:name w:val="Body Text Indent Char"/>
    <w:link w:val="BodyTextIndent"/>
    <w:locked/>
    <w:rsid w:val="00642A10"/>
    <w:rPr>
      <w:rFonts w:ascii="Courier New" w:hAnsi="Courier New" w:cs="Courier New"/>
      <w:sz w:val="24"/>
      <w:szCs w:val="24"/>
      <w:lang w:val="en-US" w:eastAsia="zh-CN" w:bidi="ar-SA"/>
    </w:rPr>
  </w:style>
  <w:style w:type="paragraph" w:styleId="BodyText3">
    <w:name w:val="Body Text 3"/>
    <w:basedOn w:val="Normal"/>
    <w:link w:val="BodyText3Char"/>
    <w:rsid w:val="00642A10"/>
    <w:pPr>
      <w:spacing w:after="120"/>
    </w:pPr>
    <w:rPr>
      <w:rFonts w:ascii="Courier New" w:eastAsia="Times New Roman" w:hAnsi="Courier New" w:cs="Courier New"/>
      <w:sz w:val="16"/>
      <w:szCs w:val="16"/>
    </w:rPr>
  </w:style>
  <w:style w:type="character" w:customStyle="1" w:styleId="BodyText3Char">
    <w:name w:val="Body Text 3 Char"/>
    <w:link w:val="BodyText3"/>
    <w:semiHidden/>
    <w:locked/>
    <w:rsid w:val="00642A10"/>
    <w:rPr>
      <w:rFonts w:ascii="Courier New" w:hAnsi="Courier New" w:cs="Courier New"/>
      <w:sz w:val="16"/>
      <w:szCs w:val="16"/>
      <w:lang w:val="en-US" w:eastAsia="zh-CN" w:bidi="ar-SA"/>
    </w:rPr>
  </w:style>
  <w:style w:type="paragraph" w:styleId="Header">
    <w:name w:val="header"/>
    <w:basedOn w:val="Normal"/>
    <w:rsid w:val="00BD7EDE"/>
    <w:pPr>
      <w:tabs>
        <w:tab w:val="center" w:pos="4320"/>
        <w:tab w:val="right" w:pos="8640"/>
      </w:tabs>
    </w:pPr>
  </w:style>
  <w:style w:type="paragraph" w:styleId="HTMLPreformatted">
    <w:name w:val="HTML Preformatted"/>
    <w:basedOn w:val="Normal"/>
    <w:link w:val="HTMLPreformattedChar"/>
    <w:rsid w:val="00E3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34B8D"/>
    <w:rPr>
      <w:rFonts w:ascii="Courier New" w:eastAsia="SimSun" w:hAnsi="Courier New" w:cs="Courier New"/>
      <w:lang w:eastAsia="zh-CN"/>
    </w:rPr>
  </w:style>
  <w:style w:type="paragraph" w:styleId="ListParagraph">
    <w:name w:val="List Paragraph"/>
    <w:basedOn w:val="Normal"/>
    <w:uiPriority w:val="34"/>
    <w:qFormat/>
    <w:rsid w:val="00E34B8D"/>
    <w:pPr>
      <w:suppressAutoHyphens/>
      <w:ind w:left="720"/>
      <w:contextualSpacing/>
    </w:pPr>
    <w:rPr>
      <w:lang w:eastAsia="ar-SA"/>
    </w:rPr>
  </w:style>
  <w:style w:type="character" w:styleId="Hyperlink">
    <w:name w:val="Hyperlink"/>
    <w:basedOn w:val="DefaultParagraphFont"/>
    <w:uiPriority w:val="99"/>
    <w:unhideWhenUsed/>
    <w:rsid w:val="00CC488A"/>
    <w:rPr>
      <w:color w:val="0563C1"/>
      <w:u w:val="single"/>
    </w:rPr>
  </w:style>
  <w:style w:type="paragraph" w:styleId="Revision">
    <w:name w:val="Revision"/>
    <w:hidden/>
    <w:uiPriority w:val="99"/>
    <w:semiHidden/>
    <w:rsid w:val="00DB43E6"/>
    <w:rPr>
      <w:rFonts w:eastAsia="SimSun"/>
      <w:sz w:val="24"/>
      <w:szCs w:val="24"/>
      <w:lang w:eastAsia="zh-CN"/>
    </w:rPr>
  </w:style>
  <w:style w:type="table" w:customStyle="1" w:styleId="TableGrid1">
    <w:name w:val="Table Grid1"/>
    <w:basedOn w:val="TableNormal"/>
    <w:next w:val="TableGrid"/>
    <w:rsid w:val="009343D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92906"/>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A52D-89FA-4338-AD74-9C7F488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2843</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FORM SSA-____</vt:lpstr>
    </vt:vector>
  </TitlesOfParts>
  <Company>Social Security Administration</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SSA-____</dc:title>
  <dc:creator>Leah Ann McCormick</dc:creator>
  <cp:lastModifiedBy>Naomi Sipple</cp:lastModifiedBy>
  <cp:revision>2</cp:revision>
  <cp:lastPrinted>2015-07-30T20:00:00Z</cp:lastPrinted>
  <dcterms:created xsi:type="dcterms:W3CDTF">2025-01-14T19:53:00Z</dcterms:created>
  <dcterms:modified xsi:type="dcterms:W3CDTF">2025-01-14T19:53:00Z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