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8AA" w:rsidRPr="00C648AA" w:rsidP="00C648AA" w14:paraId="099C3EDF" w14:textId="77777777">
      <w:pPr>
        <w:pStyle w:val="Heading1"/>
      </w:pPr>
      <w:r w:rsidRPr="00005C80">
        <w:t>A</w:t>
      </w:r>
      <w:r w:rsidRPr="00005C80" w:rsidR="00DB0B45">
        <w:t xml:space="preserve">ddendum to the </w:t>
      </w:r>
      <w:r w:rsidRPr="00C648AA">
        <w:t>Supporting Statement for Form SSA-132</w:t>
      </w:r>
    </w:p>
    <w:p w:rsidR="00C648AA" w:rsidRPr="00C648AA" w:rsidP="00C648AA" w14:paraId="4A24A323" w14:textId="66EF7902">
      <w:pPr>
        <w:pStyle w:val="Heading1"/>
      </w:pPr>
      <w:r w:rsidRPr="00C648AA">
        <w:t>Notification of a Social Security Number (SSN) to an Employer</w:t>
      </w:r>
    </w:p>
    <w:p w:rsidR="00C648AA" w:rsidRPr="00C648AA" w:rsidP="00C648AA" w14:paraId="7A936368" w14:textId="77777777">
      <w:pPr>
        <w:pStyle w:val="Heading1"/>
      </w:pPr>
      <w:r w:rsidRPr="00C648AA">
        <w:t>for Wage Reporting Purposes</w:t>
      </w:r>
    </w:p>
    <w:p w:rsidR="00C648AA" w:rsidRPr="00C648AA" w:rsidP="00C648AA" w14:paraId="035989FE" w14:textId="77777777">
      <w:pPr>
        <w:pStyle w:val="Heading1"/>
      </w:pPr>
      <w:r w:rsidRPr="00C648AA">
        <w:t>20 CFR 422.103(a)</w:t>
      </w:r>
    </w:p>
    <w:p w:rsidR="00DB0B45" w:rsidP="009A58EF" w14:paraId="792D0A73" w14:textId="186C3113">
      <w:pPr>
        <w:pStyle w:val="Heading1"/>
      </w:pPr>
      <w:r w:rsidRPr="00C648AA">
        <w:t>OMB No. 0960-0778</w:t>
      </w:r>
    </w:p>
    <w:p w:rsidR="00C5356A" w:rsidRPr="00C5356A" w:rsidP="00C5356A" w14:paraId="140641A3" w14:textId="77777777">
      <w:pPr>
        <w:suppressAutoHyphens w:val="0"/>
        <w:snapToGrid w:val="0"/>
        <w:rPr>
          <w:rFonts w:eastAsia="Calibri"/>
          <w:sz w:val="24"/>
          <w:szCs w:val="24"/>
          <w:lang w:eastAsia="en-US"/>
          <w14:ligatures w14:val="standardContextual"/>
        </w:rPr>
      </w:pPr>
    </w:p>
    <w:p w:rsidR="003D467A" w:rsidRPr="003D467A" w:rsidP="00C5356A" w14:paraId="664F1414" w14:textId="77777777">
      <w:pPr>
        <w:suppressAutoHyphens w:val="0"/>
        <w:autoSpaceDE w:val="0"/>
        <w:autoSpaceDN w:val="0"/>
        <w:rPr>
          <w:b/>
          <w:bCs/>
          <w:sz w:val="24"/>
          <w:szCs w:val="24"/>
          <w:u w:val="single"/>
        </w:rPr>
      </w:pPr>
      <w:r w:rsidRPr="003D467A">
        <w:rPr>
          <w:b/>
          <w:bCs/>
          <w:sz w:val="24"/>
          <w:szCs w:val="24"/>
          <w:u w:val="single"/>
        </w:rPr>
        <w:t>Terms of Clearance</w:t>
      </w:r>
    </w:p>
    <w:p w:rsidR="003D467A" w:rsidP="00C5356A" w14:paraId="5FF0CCAE" w14:textId="77777777">
      <w:pPr>
        <w:suppressAutoHyphens w:val="0"/>
        <w:autoSpaceDE w:val="0"/>
        <w:autoSpaceDN w:val="0"/>
        <w:rPr>
          <w:rFonts w:eastAsia="Calibri"/>
          <w:b/>
          <w:bCs/>
          <w:i/>
          <w:iCs/>
          <w:sz w:val="22"/>
          <w:szCs w:val="22"/>
          <w:lang w:eastAsia="en-US"/>
          <w14:ligatures w14:val="standardContextual"/>
        </w:rPr>
      </w:pPr>
    </w:p>
    <w:p w:rsidR="00C5356A" w:rsidRPr="00C5356A" w:rsidP="00C5356A" w14:paraId="4F10D3A5" w14:textId="6FBA7A40">
      <w:pPr>
        <w:suppressAutoHyphens w:val="0"/>
        <w:autoSpaceDE w:val="0"/>
        <w:autoSpaceDN w:val="0"/>
        <w:rPr>
          <w:rFonts w:eastAsia="Calibri"/>
          <w:b/>
          <w:bCs/>
          <w:i/>
          <w:iCs/>
          <w:sz w:val="22"/>
          <w:szCs w:val="22"/>
          <w:lang w:eastAsia="en-US"/>
          <w14:ligatures w14:val="standardContextual"/>
        </w:rPr>
      </w:pPr>
      <w:r w:rsidRPr="00C5356A">
        <w:rPr>
          <w:rFonts w:eastAsia="Calibri"/>
          <w:b/>
          <w:bCs/>
          <w:i/>
          <w:iCs/>
          <w:sz w:val="22"/>
          <w:szCs w:val="22"/>
          <w:lang w:eastAsia="en-US"/>
          <w14:ligatures w14:val="standardContextual"/>
        </w:rPr>
        <w:t xml:space="preserve">This ICR is approved for 2 years. </w:t>
      </w:r>
      <w:r w:rsidR="00CA2E74">
        <w:rPr>
          <w:rFonts w:eastAsia="Calibri"/>
          <w:b/>
          <w:bCs/>
          <w:i/>
          <w:iCs/>
          <w:sz w:val="22"/>
          <w:szCs w:val="22"/>
          <w:lang w:eastAsia="en-US"/>
          <w14:ligatures w14:val="standardContextual"/>
        </w:rPr>
        <w:t xml:space="preserve"> </w:t>
      </w:r>
      <w:r w:rsidRPr="00C5356A">
        <w:rPr>
          <w:rFonts w:eastAsia="Calibri"/>
          <w:b/>
          <w:bCs/>
          <w:i/>
          <w:iCs/>
          <w:sz w:val="22"/>
          <w:szCs w:val="22"/>
          <w:lang w:eastAsia="en-US"/>
          <w14:ligatures w14:val="standardContextual"/>
        </w:rPr>
        <w:t xml:space="preserve">SSA should review whether this form </w:t>
      </w:r>
      <w:r w:rsidR="00AB6792">
        <w:rPr>
          <w:rFonts w:eastAsia="Calibri"/>
          <w:b/>
          <w:bCs/>
          <w:i/>
          <w:iCs/>
          <w:sz w:val="22"/>
          <w:szCs w:val="22"/>
          <w:lang w:eastAsia="en-US"/>
          <w14:ligatures w14:val="standardContextual"/>
        </w:rPr>
        <w:t>is necessary</w:t>
      </w:r>
      <w:r w:rsidRPr="00C5356A">
        <w:rPr>
          <w:rFonts w:eastAsia="Calibri"/>
          <w:b/>
          <w:bCs/>
          <w:i/>
          <w:iCs/>
          <w:sz w:val="22"/>
          <w:szCs w:val="22"/>
          <w:lang w:eastAsia="en-US"/>
          <w14:ligatures w14:val="standardContextual"/>
        </w:rPr>
        <w:t xml:space="preserve"> in their next review of forms for electronic implementation prior to resubmission for OMB approval.</w:t>
      </w:r>
    </w:p>
    <w:p w:rsidR="00CF6128" w:rsidRPr="00CF6128" w:rsidP="00CF6128" w14:paraId="4CB7579E" w14:textId="77777777">
      <w:pPr>
        <w:widowControl w:val="0"/>
        <w:suppressAutoHyphens w:val="0"/>
        <w:snapToGrid w:val="0"/>
        <w:rPr>
          <w:sz w:val="24"/>
          <w:szCs w:val="24"/>
          <w:u w:val="single"/>
          <w:lang w:eastAsia="en-US"/>
        </w:rPr>
      </w:pPr>
    </w:p>
    <w:p w:rsidR="003D467A" w:rsidRPr="003D467A" w:rsidP="003D467A" w14:paraId="3C915703" w14:textId="77777777">
      <w:pPr>
        <w:rPr>
          <w:b/>
          <w:bCs/>
          <w:snapToGrid w:val="0"/>
          <w:color w:val="0000FF"/>
          <w:sz w:val="24"/>
          <w:szCs w:val="24"/>
          <w:lang w:eastAsia="en-US"/>
        </w:rPr>
      </w:pPr>
      <w:r w:rsidRPr="003D467A">
        <w:rPr>
          <w:b/>
          <w:bCs/>
          <w:snapToGrid w:val="0"/>
          <w:color w:val="0000FF"/>
          <w:sz w:val="24"/>
          <w:szCs w:val="24"/>
          <w:lang w:eastAsia="en-US"/>
        </w:rPr>
        <w:t>SSA Response:</w:t>
      </w:r>
    </w:p>
    <w:p w:rsidR="003D467A" w:rsidRPr="003D467A" w:rsidP="003D467A" w14:paraId="2BC81118" w14:textId="77777777">
      <w:pPr>
        <w:rPr>
          <w:snapToGrid w:val="0"/>
          <w:color w:val="0000FF"/>
          <w:sz w:val="24"/>
          <w:szCs w:val="24"/>
          <w:lang w:eastAsia="en-US"/>
        </w:rPr>
      </w:pPr>
    </w:p>
    <w:p w:rsidR="00C5356A" w:rsidRPr="003D467A" w:rsidP="003D467A" w14:paraId="3B11B3BC" w14:textId="76826EE5">
      <w:pPr>
        <w:rPr>
          <w:rFonts w:eastAsia="SimSun"/>
          <w:color w:val="0000FF"/>
          <w:sz w:val="24"/>
          <w:szCs w:val="24"/>
          <w:lang w:eastAsia="zh-CN"/>
        </w:rPr>
      </w:pPr>
      <w:r w:rsidRPr="003D467A">
        <w:rPr>
          <w:snapToGrid w:val="0"/>
          <w:color w:val="0000FF"/>
          <w:sz w:val="24"/>
          <w:szCs w:val="24"/>
          <w:lang w:eastAsia="en-US"/>
        </w:rPr>
        <w:t>SSA</w:t>
      </w:r>
      <w:r>
        <w:rPr>
          <w:snapToGrid w:val="0"/>
          <w:color w:val="0000FF"/>
          <w:sz w:val="24"/>
          <w:szCs w:val="24"/>
          <w:lang w:eastAsia="en-US"/>
        </w:rPr>
        <w:t xml:space="preserve"> rereviewed the need for this form, and it remains a necessary tool for respondents who are foreign exchange students or exchange visitors who require an SSN for school purposes or for work purposes under their work visas.  SSA also assessed this form for electronic implementation and determined that we are</w:t>
      </w:r>
      <w:r w:rsidRPr="003D467A">
        <w:rPr>
          <w:snapToGrid w:val="0"/>
          <w:color w:val="0000FF"/>
          <w:sz w:val="24"/>
          <w:szCs w:val="24"/>
          <w:lang w:eastAsia="en-US"/>
        </w:rPr>
        <w:t xml:space="preserve"> unable to create an Internet version of this information collection</w:t>
      </w:r>
      <w:r>
        <w:rPr>
          <w:snapToGrid w:val="0"/>
          <w:color w:val="0000FF"/>
          <w:sz w:val="24"/>
          <w:szCs w:val="24"/>
          <w:lang w:eastAsia="en-US"/>
        </w:rPr>
        <w:t xml:space="preserve"> at this time</w:t>
      </w:r>
      <w:r w:rsidRPr="003D467A" w:rsidR="005103C2">
        <w:rPr>
          <w:snapToGrid w:val="0"/>
          <w:color w:val="0000FF"/>
          <w:sz w:val="24"/>
          <w:szCs w:val="24"/>
          <w:lang w:eastAsia="en-US"/>
        </w:rPr>
        <w:t>.  Since</w:t>
      </w:r>
      <w:r w:rsidRPr="003D467A">
        <w:rPr>
          <w:snapToGrid w:val="0"/>
          <w:color w:val="0000FF"/>
          <w:sz w:val="24"/>
          <w:szCs w:val="24"/>
          <w:lang w:eastAsia="en-US"/>
        </w:rPr>
        <w:t xml:space="preserve"> </w:t>
      </w:r>
      <w:r w:rsidRPr="003D467A">
        <w:rPr>
          <w:rFonts w:eastAsia="SimSun"/>
          <w:color w:val="0000FF"/>
          <w:sz w:val="24"/>
          <w:szCs w:val="24"/>
          <w:lang w:eastAsia="zh-CN"/>
        </w:rPr>
        <w:t xml:space="preserve">this process involves applications for original SSNs and the SSN applicants are </w:t>
      </w:r>
      <w:r>
        <w:rPr>
          <w:rFonts w:eastAsia="SimSun"/>
          <w:color w:val="0000FF"/>
          <w:sz w:val="24"/>
          <w:szCs w:val="24"/>
          <w:lang w:eastAsia="zh-CN"/>
        </w:rPr>
        <w:t xml:space="preserve">both </w:t>
      </w:r>
      <w:r w:rsidRPr="003D467A">
        <w:rPr>
          <w:rFonts w:eastAsia="SimSun"/>
          <w:color w:val="0000FF"/>
          <w:sz w:val="24"/>
          <w:szCs w:val="24"/>
          <w:lang w:eastAsia="zh-CN"/>
        </w:rPr>
        <w:t>unknown to SSA</w:t>
      </w:r>
      <w:r>
        <w:rPr>
          <w:rFonts w:eastAsia="SimSun"/>
          <w:color w:val="0000FF"/>
          <w:sz w:val="24"/>
          <w:szCs w:val="24"/>
          <w:lang w:eastAsia="zh-CN"/>
        </w:rPr>
        <w:t xml:space="preserve"> and not U.S. c</w:t>
      </w:r>
      <w:r>
        <w:rPr>
          <w:rFonts w:eastAsia="SimSun"/>
          <w:color w:val="0000FF"/>
          <w:sz w:val="24"/>
          <w:szCs w:val="24"/>
          <w:lang w:eastAsia="zh-CN"/>
        </w:rPr>
        <w:t>itizens</w:t>
      </w:r>
      <w:r w:rsidRPr="003D467A">
        <w:rPr>
          <w:rFonts w:eastAsia="SimSun"/>
          <w:color w:val="0000FF"/>
          <w:sz w:val="24"/>
          <w:szCs w:val="24"/>
          <w:lang w:eastAsia="zh-CN"/>
        </w:rPr>
        <w:t xml:space="preserve">, we </w:t>
      </w:r>
      <w:r>
        <w:rPr>
          <w:rFonts w:eastAsia="SimSun"/>
          <w:color w:val="0000FF"/>
          <w:sz w:val="24"/>
          <w:szCs w:val="24"/>
          <w:lang w:eastAsia="zh-CN"/>
        </w:rPr>
        <w:t>do not have the means to</w:t>
      </w:r>
      <w:r w:rsidRPr="003D467A">
        <w:rPr>
          <w:rFonts w:eastAsia="SimSun"/>
          <w:color w:val="0000FF"/>
          <w:sz w:val="24"/>
          <w:szCs w:val="24"/>
          <w:lang w:eastAsia="zh-CN"/>
        </w:rPr>
        <w:t xml:space="preserve"> electronically authenticate them</w:t>
      </w:r>
      <w:r>
        <w:rPr>
          <w:rFonts w:eastAsia="SimSun"/>
          <w:color w:val="0000FF"/>
          <w:sz w:val="24"/>
          <w:szCs w:val="24"/>
          <w:lang w:eastAsia="zh-CN"/>
        </w:rPr>
        <w:t xml:space="preserve">, as we cannot </w:t>
      </w:r>
      <w:r w:rsidRPr="003D467A">
        <w:rPr>
          <w:rFonts w:eastAsia="SimSun"/>
          <w:color w:val="0000FF"/>
          <w:sz w:val="24"/>
          <w:szCs w:val="24"/>
          <w:lang w:eastAsia="zh-CN"/>
        </w:rPr>
        <w:t>compar</w:t>
      </w:r>
      <w:r>
        <w:rPr>
          <w:rFonts w:eastAsia="SimSun"/>
          <w:color w:val="0000FF"/>
          <w:sz w:val="24"/>
          <w:szCs w:val="24"/>
          <w:lang w:eastAsia="zh-CN"/>
        </w:rPr>
        <w:t>e</w:t>
      </w:r>
      <w:r w:rsidRPr="003D467A">
        <w:rPr>
          <w:rFonts w:eastAsia="SimSun"/>
          <w:color w:val="0000FF"/>
          <w:sz w:val="24"/>
          <w:szCs w:val="24"/>
          <w:lang w:eastAsia="zh-CN"/>
        </w:rPr>
        <w:t xml:space="preserve"> the identification information the</w:t>
      </w:r>
      <w:r w:rsidRPr="003D467A" w:rsidR="005103C2">
        <w:rPr>
          <w:rFonts w:eastAsia="SimSun"/>
          <w:color w:val="0000FF"/>
          <w:sz w:val="24"/>
          <w:szCs w:val="24"/>
          <w:lang w:eastAsia="zh-CN"/>
        </w:rPr>
        <w:t xml:space="preserve"> applicants</w:t>
      </w:r>
      <w:r w:rsidRPr="003D467A">
        <w:rPr>
          <w:rFonts w:eastAsia="SimSun"/>
          <w:color w:val="0000FF"/>
          <w:sz w:val="24"/>
          <w:szCs w:val="24"/>
          <w:lang w:eastAsia="zh-CN"/>
        </w:rPr>
        <w:t xml:space="preserve"> provide with SSA’s existing records</w:t>
      </w:r>
      <w:r w:rsidRPr="003D467A">
        <w:rPr>
          <w:snapToGrid w:val="0"/>
          <w:color w:val="0000FF"/>
          <w:sz w:val="24"/>
          <w:szCs w:val="24"/>
          <w:lang w:eastAsia="en-US"/>
        </w:rPr>
        <w:t xml:space="preserve">.  </w:t>
      </w:r>
      <w:r w:rsidRPr="003D467A">
        <w:rPr>
          <w:rFonts w:eastAsia="SimSun"/>
          <w:color w:val="0000FF"/>
          <w:sz w:val="24"/>
          <w:szCs w:val="24"/>
          <w:lang w:eastAsia="zh-CN"/>
        </w:rPr>
        <w:t xml:space="preserve">In addition, </w:t>
      </w:r>
      <w:r>
        <w:rPr>
          <w:rFonts w:eastAsia="SimSun"/>
          <w:color w:val="0000FF"/>
          <w:sz w:val="24"/>
          <w:szCs w:val="24"/>
          <w:lang w:eastAsia="zh-CN"/>
        </w:rPr>
        <w:t xml:space="preserve">since </w:t>
      </w:r>
      <w:r w:rsidRPr="003D467A">
        <w:rPr>
          <w:rFonts w:eastAsia="SimSun"/>
          <w:color w:val="0000FF"/>
          <w:sz w:val="24"/>
          <w:szCs w:val="24"/>
          <w:lang w:eastAsia="zh-CN"/>
        </w:rPr>
        <w:t xml:space="preserve">many of the SSN applicants who use this form are citizens of countries outside the United States and are temporarily </w:t>
      </w:r>
      <w:r w:rsidRPr="003D467A" w:rsidR="007F6625">
        <w:rPr>
          <w:rFonts w:eastAsia="SimSun"/>
          <w:color w:val="0000FF"/>
          <w:sz w:val="24"/>
          <w:szCs w:val="24"/>
          <w:lang w:eastAsia="zh-CN"/>
        </w:rPr>
        <w:t xml:space="preserve">here </w:t>
      </w:r>
      <w:r w:rsidRPr="003D467A">
        <w:rPr>
          <w:rFonts w:eastAsia="SimSun"/>
          <w:color w:val="0000FF"/>
          <w:sz w:val="24"/>
          <w:szCs w:val="24"/>
          <w:lang w:eastAsia="zh-CN"/>
        </w:rPr>
        <w:t>before returning to their countries of origin</w:t>
      </w:r>
      <w:r>
        <w:rPr>
          <w:rFonts w:eastAsia="SimSun"/>
          <w:color w:val="0000FF"/>
          <w:sz w:val="24"/>
          <w:szCs w:val="24"/>
          <w:lang w:eastAsia="zh-CN"/>
        </w:rPr>
        <w:t>, we cannot authenticate them using ID.me or Login.gov, both of which rely on prior information obtained from U.S. citizens</w:t>
      </w:r>
      <w:r w:rsidRPr="003D467A">
        <w:rPr>
          <w:snapToGrid w:val="0"/>
          <w:color w:val="0000FF"/>
          <w:sz w:val="24"/>
          <w:szCs w:val="24"/>
          <w:lang w:eastAsia="en-US"/>
        </w:rPr>
        <w:t>.</w:t>
      </w:r>
      <w:r w:rsidRPr="003D467A">
        <w:rPr>
          <w:rFonts w:eastAsia="SimSun"/>
          <w:color w:val="0000FF"/>
          <w:sz w:val="24"/>
          <w:szCs w:val="24"/>
          <w:lang w:eastAsia="zh-CN"/>
        </w:rPr>
        <w:t xml:space="preserve">  </w:t>
      </w:r>
      <w:r>
        <w:rPr>
          <w:rFonts w:eastAsia="SimSun"/>
          <w:color w:val="0000FF"/>
          <w:sz w:val="24"/>
          <w:szCs w:val="24"/>
          <w:lang w:eastAsia="zh-CN"/>
        </w:rPr>
        <w:t>Finally</w:t>
      </w:r>
      <w:r w:rsidRPr="003D467A">
        <w:rPr>
          <w:rFonts w:eastAsia="SimSun"/>
          <w:color w:val="0000FF"/>
          <w:sz w:val="24"/>
          <w:szCs w:val="24"/>
          <w:lang w:eastAsia="zh-CN"/>
        </w:rPr>
        <w:t xml:space="preserve">, SSA does not provide one-way transmission of SSNs to employers or other third parties at the initial assignment of the SSN.  </w:t>
      </w:r>
    </w:p>
    <w:p w:rsidR="00C5356A" w:rsidRPr="003D467A" w:rsidP="00275D32" w14:paraId="0C4C0786" w14:textId="77777777">
      <w:pPr>
        <w:ind w:left="360"/>
        <w:rPr>
          <w:snapToGrid w:val="0"/>
          <w:color w:val="0000FF"/>
          <w:sz w:val="24"/>
          <w:szCs w:val="24"/>
          <w:lang w:eastAsia="en-US"/>
        </w:rPr>
      </w:pPr>
    </w:p>
    <w:p w:rsidR="00DB0B45" w:rsidP="003D467A" w14:paraId="13FFB681" w14:textId="0BC2F963">
      <w:pPr>
        <w:rPr>
          <w:snapToGrid w:val="0"/>
          <w:color w:val="0000FF"/>
          <w:sz w:val="24"/>
          <w:szCs w:val="24"/>
          <w:lang w:eastAsia="en-US"/>
        </w:rPr>
      </w:pPr>
      <w:r w:rsidRPr="003D467A">
        <w:rPr>
          <w:snapToGrid w:val="0"/>
          <w:color w:val="0000FF"/>
          <w:sz w:val="24"/>
          <w:szCs w:val="24"/>
          <w:lang w:eastAsia="en-US"/>
        </w:rPr>
        <w:t xml:space="preserve">We will reassess </w:t>
      </w:r>
      <w:r>
        <w:rPr>
          <w:snapToGrid w:val="0"/>
          <w:color w:val="0000FF"/>
          <w:sz w:val="24"/>
          <w:szCs w:val="24"/>
          <w:lang w:eastAsia="en-US"/>
        </w:rPr>
        <w:t>our</w:t>
      </w:r>
      <w:r w:rsidRPr="003D467A">
        <w:rPr>
          <w:snapToGrid w:val="0"/>
          <w:color w:val="0000FF"/>
          <w:sz w:val="24"/>
          <w:szCs w:val="24"/>
          <w:lang w:eastAsia="en-US"/>
        </w:rPr>
        <w:t xml:space="preserve"> ability</w:t>
      </w:r>
      <w:r>
        <w:rPr>
          <w:snapToGrid w:val="0"/>
          <w:color w:val="0000FF"/>
          <w:sz w:val="24"/>
          <w:szCs w:val="24"/>
          <w:lang w:eastAsia="en-US"/>
        </w:rPr>
        <w:t xml:space="preserve"> to make this form electronic</w:t>
      </w:r>
      <w:r w:rsidRPr="003D467A">
        <w:rPr>
          <w:snapToGrid w:val="0"/>
          <w:color w:val="0000FF"/>
          <w:sz w:val="24"/>
          <w:szCs w:val="24"/>
          <w:lang w:eastAsia="en-US"/>
        </w:rPr>
        <w:t xml:space="preserve"> </w:t>
      </w:r>
      <w:r w:rsidRPr="003D467A" w:rsidR="009D0F30">
        <w:rPr>
          <w:snapToGrid w:val="0"/>
          <w:color w:val="0000FF"/>
          <w:sz w:val="24"/>
          <w:szCs w:val="24"/>
          <w:lang w:eastAsia="en-US"/>
        </w:rPr>
        <w:t>if</w:t>
      </w:r>
      <w:r>
        <w:rPr>
          <w:snapToGrid w:val="0"/>
          <w:color w:val="0000FF"/>
          <w:sz w:val="24"/>
          <w:szCs w:val="24"/>
          <w:lang w:eastAsia="en-US"/>
        </w:rPr>
        <w:t xml:space="preserve"> (or when)</w:t>
      </w:r>
      <w:r w:rsidRPr="003D467A">
        <w:rPr>
          <w:snapToGrid w:val="0"/>
          <w:color w:val="0000FF"/>
          <w:sz w:val="24"/>
          <w:szCs w:val="24"/>
          <w:lang w:eastAsia="en-US"/>
        </w:rPr>
        <w:t xml:space="preserve"> technological advances are created that would allow for us to make this collection available via the Internet</w:t>
      </w:r>
      <w:r>
        <w:rPr>
          <w:snapToGrid w:val="0"/>
          <w:color w:val="0000FF"/>
          <w:sz w:val="24"/>
          <w:szCs w:val="24"/>
          <w:lang w:eastAsia="en-US"/>
        </w:rPr>
        <w:t xml:space="preserve"> and authenticate the respondents using secure means</w:t>
      </w:r>
      <w:r w:rsidRPr="003D467A">
        <w:rPr>
          <w:snapToGrid w:val="0"/>
          <w:color w:val="0000FF"/>
          <w:sz w:val="24"/>
          <w:szCs w:val="24"/>
          <w:lang w:eastAsia="en-US"/>
        </w:rPr>
        <w:t>.</w:t>
      </w:r>
    </w:p>
    <w:p w:rsidR="009A58EF" w:rsidRPr="009A58EF" w:rsidP="003D467A" w14:paraId="5E21D44E" w14:textId="77777777">
      <w:pPr>
        <w:rPr>
          <w:snapToGrid w:val="0"/>
          <w:color w:val="0000FF"/>
          <w:sz w:val="24"/>
          <w:szCs w:val="24"/>
          <w:lang w:eastAsia="en-US"/>
        </w:rPr>
      </w:pPr>
    </w:p>
    <w:p w:rsidR="009A58EF" w:rsidRPr="009A58EF" w:rsidP="003D467A" w14:paraId="25C6A36F" w14:textId="5078AD05">
      <w:pPr>
        <w:rPr>
          <w:color w:val="000000" w:themeColor="text1"/>
          <w:sz w:val="24"/>
          <w:szCs w:val="24"/>
        </w:rPr>
      </w:pPr>
      <w:r w:rsidRPr="009A58EF">
        <w:rPr>
          <w:b/>
          <w:bCs/>
          <w:color w:val="000000" w:themeColor="text1"/>
          <w:sz w:val="24"/>
          <w:szCs w:val="24"/>
          <w:u w:val="single"/>
        </w:rPr>
        <w:t>Minor Revisions to the Collection Instrument</w:t>
      </w:r>
    </w:p>
    <w:p w:rsidR="009A58EF" w:rsidRPr="009A58EF" w:rsidP="003D467A" w14:paraId="40A85624" w14:textId="77777777">
      <w:pPr>
        <w:rPr>
          <w:color w:val="000000" w:themeColor="text1"/>
          <w:sz w:val="24"/>
          <w:szCs w:val="24"/>
        </w:rPr>
      </w:pPr>
    </w:p>
    <w:p w:rsidR="009A58EF" w:rsidRPr="009A58EF" w:rsidP="009A58EF" w14:paraId="6B792C10" w14:textId="77777777">
      <w:pPr>
        <w:rPr>
          <w:color w:val="000000" w:themeColor="text1"/>
          <w:sz w:val="24"/>
          <w:szCs w:val="24"/>
        </w:rPr>
      </w:pPr>
      <w:r w:rsidRPr="009A58EF">
        <w:rPr>
          <w:color w:val="000000" w:themeColor="text1"/>
          <w:sz w:val="24"/>
          <w:szCs w:val="24"/>
        </w:rPr>
        <w:t>SSA is making the following revisions:</w:t>
      </w:r>
    </w:p>
    <w:p w:rsidR="009A58EF" w:rsidRPr="009A58EF" w:rsidP="009A58EF" w14:paraId="0FEBE799" w14:textId="77777777">
      <w:pPr>
        <w:rPr>
          <w:color w:val="000000" w:themeColor="text1"/>
          <w:sz w:val="24"/>
          <w:szCs w:val="24"/>
        </w:rPr>
      </w:pPr>
    </w:p>
    <w:p w:rsidR="009A58EF" w:rsidRPr="009A58EF" w:rsidP="009A58EF" w14:paraId="2F6531C9" w14:textId="7B854383">
      <w:pPr>
        <w:numPr>
          <w:ilvl w:val="0"/>
          <w:numId w:val="1"/>
        </w:numPr>
        <w:suppressAutoHyphens w:val="0"/>
        <w:rPr>
          <w:color w:val="000000" w:themeColor="text1"/>
          <w:sz w:val="24"/>
          <w:szCs w:val="24"/>
        </w:rPr>
      </w:pPr>
      <w:r w:rsidRPr="009A58EF">
        <w:rPr>
          <w:b/>
          <w:color w:val="000000" w:themeColor="text1"/>
          <w:sz w:val="24"/>
          <w:szCs w:val="24"/>
          <w:u w:val="single"/>
        </w:rPr>
        <w:t>Change #1</w:t>
      </w:r>
      <w:r w:rsidRPr="009A58EF">
        <w:rPr>
          <w:b/>
          <w:color w:val="000000" w:themeColor="text1"/>
          <w:sz w:val="24"/>
          <w:szCs w:val="24"/>
        </w:rPr>
        <w:t xml:space="preserve">: </w:t>
      </w:r>
      <w:r w:rsidRPr="009A58EF">
        <w:rPr>
          <w:color w:val="000000" w:themeColor="text1"/>
          <w:sz w:val="24"/>
          <w:szCs w:val="24"/>
        </w:rPr>
        <w:t xml:space="preserve"> We are revising the Privacy Act Statements on this collection.</w:t>
      </w:r>
    </w:p>
    <w:p w:rsidR="009A58EF" w:rsidRPr="009A58EF" w:rsidP="009A58EF" w14:paraId="5833C3C2" w14:textId="77777777">
      <w:pPr>
        <w:ind w:left="360"/>
        <w:rPr>
          <w:color w:val="000000" w:themeColor="text1"/>
          <w:sz w:val="24"/>
          <w:szCs w:val="24"/>
        </w:rPr>
      </w:pPr>
    </w:p>
    <w:p w:rsidR="009A58EF" w:rsidRPr="009A58EF" w:rsidP="009A58EF" w14:paraId="54E9DE37" w14:textId="56EB85A5">
      <w:pPr>
        <w:ind w:left="360"/>
        <w:rPr>
          <w:color w:val="000000" w:themeColor="text1"/>
          <w:sz w:val="24"/>
          <w:szCs w:val="24"/>
        </w:rPr>
      </w:pPr>
      <w:r w:rsidRPr="009A58EF">
        <w:rPr>
          <w:b/>
          <w:color w:val="000000" w:themeColor="text1"/>
          <w:sz w:val="24"/>
          <w:szCs w:val="24"/>
          <w:u w:val="single"/>
        </w:rPr>
        <w:t>Justification #1</w:t>
      </w:r>
      <w:r w:rsidRPr="009A58EF">
        <w:rPr>
          <w:b/>
          <w:color w:val="000000" w:themeColor="text1"/>
          <w:sz w:val="24"/>
          <w:szCs w:val="24"/>
        </w:rPr>
        <w:t>:</w:t>
      </w:r>
      <w:r w:rsidRPr="009A58EF">
        <w:rPr>
          <w:color w:val="000000" w:themeColor="text1"/>
          <w:sz w:val="24"/>
          <w:szCs w:val="24"/>
        </w:rPr>
        <w:t xml:space="preserve">  SSA’s Office of the General Counsel is conducting a systematic review of SSA’s Privacy Act Statements on agency forms.  As a result, SSA is updating the Privacy Act Statements on this collection</w:t>
      </w:r>
      <w:r>
        <w:rPr>
          <w:color w:val="000000" w:themeColor="text1"/>
          <w:sz w:val="24"/>
          <w:szCs w:val="24"/>
        </w:rPr>
        <w:t>.</w:t>
      </w:r>
    </w:p>
    <w:p w:rsidR="009A58EF" w:rsidRPr="009A58EF" w:rsidP="009A58EF" w14:paraId="2AFEBDAC" w14:textId="77777777">
      <w:pPr>
        <w:ind w:left="360"/>
        <w:rPr>
          <w:color w:val="000000" w:themeColor="text1"/>
          <w:sz w:val="24"/>
          <w:szCs w:val="24"/>
        </w:rPr>
      </w:pPr>
    </w:p>
    <w:p w:rsidR="009A58EF" w:rsidRPr="009A58EF" w:rsidP="009A58EF" w14:paraId="09BF3339" w14:textId="35710A22">
      <w:pPr>
        <w:numPr>
          <w:ilvl w:val="0"/>
          <w:numId w:val="1"/>
        </w:numPr>
        <w:suppressAutoHyphens w:val="0"/>
        <w:rPr>
          <w:color w:val="000000" w:themeColor="text1"/>
          <w:sz w:val="24"/>
          <w:szCs w:val="24"/>
        </w:rPr>
      </w:pPr>
      <w:r w:rsidRPr="009A58EF">
        <w:rPr>
          <w:b/>
          <w:color w:val="000000" w:themeColor="text1"/>
          <w:sz w:val="24"/>
          <w:szCs w:val="24"/>
          <w:u w:val="single"/>
        </w:rPr>
        <w:t>Change #2</w:t>
      </w:r>
      <w:r w:rsidRPr="009A58EF">
        <w:rPr>
          <w:b/>
          <w:color w:val="000000" w:themeColor="text1"/>
          <w:sz w:val="24"/>
          <w:szCs w:val="24"/>
        </w:rPr>
        <w:t>:</w:t>
      </w:r>
      <w:r w:rsidRPr="009A58EF">
        <w:rPr>
          <w:color w:val="000000" w:themeColor="text1"/>
          <w:sz w:val="24"/>
          <w:szCs w:val="24"/>
        </w:rPr>
        <w:t xml:space="preserve">  We are revising the PRA statement on this collection.</w:t>
      </w:r>
    </w:p>
    <w:p w:rsidR="009A58EF" w:rsidRPr="009A58EF" w:rsidP="009A58EF" w14:paraId="071CCCFB" w14:textId="77777777">
      <w:pPr>
        <w:ind w:left="360"/>
        <w:rPr>
          <w:color w:val="000000" w:themeColor="text1"/>
          <w:sz w:val="24"/>
          <w:szCs w:val="24"/>
        </w:rPr>
      </w:pPr>
    </w:p>
    <w:p w:rsidR="009A58EF" w:rsidRPr="009A58EF" w:rsidP="009A58EF" w14:paraId="76F0604B" w14:textId="34DCDF38">
      <w:pPr>
        <w:ind w:left="360"/>
        <w:rPr>
          <w:color w:val="000000" w:themeColor="text1"/>
          <w:sz w:val="24"/>
          <w:szCs w:val="24"/>
        </w:rPr>
      </w:pPr>
      <w:r w:rsidRPr="009A58EF">
        <w:rPr>
          <w:b/>
          <w:color w:val="000000" w:themeColor="text1"/>
          <w:sz w:val="24"/>
          <w:szCs w:val="24"/>
          <w:u w:val="single"/>
        </w:rPr>
        <w:t>Justification #2</w:t>
      </w:r>
      <w:r w:rsidRPr="009A58EF">
        <w:rPr>
          <w:b/>
          <w:color w:val="000000" w:themeColor="text1"/>
          <w:sz w:val="24"/>
          <w:szCs w:val="24"/>
        </w:rPr>
        <w:t xml:space="preserve">: </w:t>
      </w:r>
      <w:r w:rsidRPr="009A58EF">
        <w:rPr>
          <w:color w:val="000000" w:themeColor="text1"/>
          <w:sz w:val="24"/>
          <w:szCs w:val="24"/>
        </w:rPr>
        <w:t xml:space="preserve"> We are revising the PRA statement to reflect our current boilerplate language.  The current language, which dates back to the last reprint of the form, is now outdated.</w:t>
      </w:r>
    </w:p>
    <w:p w:rsidR="009A58EF" w:rsidRPr="009A58EF" w:rsidP="003D467A" w14:paraId="59527033" w14:textId="77777777">
      <w:pPr>
        <w:rPr>
          <w:color w:val="0000FF"/>
          <w:sz w:val="24"/>
          <w:szCs w:val="24"/>
        </w:rPr>
      </w:pPr>
    </w:p>
    <w:sectPr>
      <w:footerReference w:type="default" r:id="rId4"/>
      <w:footnotePr>
        <w:pos w:val="beneathText"/>
      </w:footnotePr>
      <w:pgSz w:w="12240" w:h="15840"/>
      <w:pgMar w:top="1440" w:right="1440" w:bottom="1496" w:left="1440" w:header="720" w:footer="144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B45" w14:paraId="027906DB" w14:textId="77777777">
    <w:pPr>
      <w:pStyle w:val="Footer"/>
    </w:pPr>
  </w:p>
  <w:p w:rsidR="00DB0B45" w14:paraId="7808AD69" w14:textId="77777777">
    <w:pPr>
      <w:pStyle w:val="Footer"/>
      <w:rPr>
        <w:rFonts w:ascii="Times New Roman" w:hAnsi="Times New Roman" w:cs="Times New Roman"/>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7F4874"/>
    <w:multiLevelType w:val="hybridMultilevel"/>
    <w:tmpl w:val="80108A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3651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D7"/>
    <w:rsid w:val="00005C80"/>
    <w:rsid w:val="0002531A"/>
    <w:rsid w:val="00063A61"/>
    <w:rsid w:val="00076564"/>
    <w:rsid w:val="00077466"/>
    <w:rsid w:val="00091C62"/>
    <w:rsid w:val="000B4629"/>
    <w:rsid w:val="00184557"/>
    <w:rsid w:val="00275D32"/>
    <w:rsid w:val="00347D0D"/>
    <w:rsid w:val="00373E7A"/>
    <w:rsid w:val="003D4136"/>
    <w:rsid w:val="003D467A"/>
    <w:rsid w:val="00435551"/>
    <w:rsid w:val="005103C2"/>
    <w:rsid w:val="00545AC9"/>
    <w:rsid w:val="005F4DE5"/>
    <w:rsid w:val="007B28CB"/>
    <w:rsid w:val="007F6625"/>
    <w:rsid w:val="008F21AA"/>
    <w:rsid w:val="00930C63"/>
    <w:rsid w:val="009353AF"/>
    <w:rsid w:val="009865DC"/>
    <w:rsid w:val="009A58EF"/>
    <w:rsid w:val="009D0F30"/>
    <w:rsid w:val="00A333DA"/>
    <w:rsid w:val="00AB6792"/>
    <w:rsid w:val="00AF4C26"/>
    <w:rsid w:val="00B100AB"/>
    <w:rsid w:val="00B841DF"/>
    <w:rsid w:val="00B86C4E"/>
    <w:rsid w:val="00BB6982"/>
    <w:rsid w:val="00C3158A"/>
    <w:rsid w:val="00C35DE8"/>
    <w:rsid w:val="00C5356A"/>
    <w:rsid w:val="00C648AA"/>
    <w:rsid w:val="00CA2E74"/>
    <w:rsid w:val="00CF6128"/>
    <w:rsid w:val="00CF72F3"/>
    <w:rsid w:val="00DB0B45"/>
    <w:rsid w:val="00DE20D7"/>
    <w:rsid w:val="00E55378"/>
    <w:rsid w:val="00E65DF4"/>
    <w:rsid w:val="00ED788C"/>
    <w:rsid w:val="00F85B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6BDBC0"/>
  <w15:docId w15:val="{4A5840C5-E9B5-40AA-B3AE-6B5796CC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link w:val="Heading1Char"/>
    <w:qFormat/>
    <w:rsid w:val="009865DC"/>
    <w:pPr>
      <w:keepNext/>
      <w:widowControl w:val="0"/>
      <w:tabs>
        <w:tab w:val="center" w:pos="4680"/>
      </w:tabs>
      <w:jc w:val="center"/>
      <w:outlineLvl w:val="0"/>
    </w:pPr>
    <w:rPr>
      <w:b/>
      <w:bCs/>
      <w:snapToGrid w:val="0"/>
      <w:sz w:val="24"/>
      <w:szCs w:val="24"/>
      <w:lang w:eastAsia="en-US"/>
    </w:rPr>
  </w:style>
  <w:style w:type="paragraph" w:styleId="Heading7">
    <w:name w:val="heading 7"/>
    <w:basedOn w:val="Normal"/>
    <w:next w:val="Normal"/>
    <w:link w:val="Heading7Char"/>
    <w:uiPriority w:val="9"/>
    <w:semiHidden/>
    <w:unhideWhenUsed/>
    <w:qFormat/>
    <w:rsid w:val="00CF612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sz w:val="24"/>
    </w:rPr>
  </w:style>
  <w:style w:type="character" w:customStyle="1" w:styleId="WW8Num4z0">
    <w:name w:val="WW8Num4z0"/>
    <w:rPr>
      <w:strike w:val="0"/>
      <w:dstrike w:val="0"/>
    </w:r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dnoteText">
    <w:name w:val="endnote text"/>
    <w:basedOn w:val="Normal"/>
    <w:semiHidden/>
    <w:pPr>
      <w:widowControl w:val="0"/>
    </w:pPr>
    <w:rPr>
      <w:rFonts w:ascii="Courier New" w:hAnsi="Courier New" w:cs="Courier New"/>
      <w:sz w:val="24"/>
      <w:szCs w:val="24"/>
    </w:rPr>
  </w:style>
  <w:style w:type="paragraph" w:styleId="BodyTextIndent">
    <w:name w:val="Body Text Indent"/>
    <w:basedOn w:val="Normal"/>
    <w:semiHidden/>
    <w:pPr>
      <w:widowControl w:val="0"/>
      <w:tabs>
        <w:tab w:val="left" w:pos="-720"/>
        <w:tab w:val="left" w:pos="0"/>
        <w:tab w:val="left" w:pos="720"/>
      </w:tabs>
      <w:ind w:left="1440" w:hanging="1440"/>
    </w:pPr>
    <w:rPr>
      <w:rFonts w:ascii="Courier New" w:hAnsi="Courier New" w:cs="Courier New"/>
      <w:sz w:val="24"/>
      <w:szCs w:val="24"/>
    </w:rPr>
  </w:style>
  <w:style w:type="paragraph" w:styleId="Footer">
    <w:name w:val="footer"/>
    <w:basedOn w:val="Normal"/>
    <w:semiHidden/>
    <w:pPr>
      <w:widowControl w:val="0"/>
      <w:tabs>
        <w:tab w:val="center" w:pos="4320"/>
        <w:tab w:val="right" w:pos="8640"/>
      </w:tabs>
    </w:pPr>
    <w:rPr>
      <w:rFonts w:ascii="Courier New" w:hAnsi="Courier New" w:cs="Courier New"/>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customStyle="1" w:styleId="Style1">
    <w:name w:val="Style 1"/>
    <w:basedOn w:val="Normal"/>
    <w:pPr>
      <w:spacing w:before="252"/>
      <w:ind w:left="1440" w:hanging="720"/>
    </w:pPr>
  </w:style>
  <w:style w:type="character" w:customStyle="1" w:styleId="Heading1Char">
    <w:name w:val="Heading 1 Char"/>
    <w:basedOn w:val="DefaultParagraphFont"/>
    <w:link w:val="Heading1"/>
    <w:rsid w:val="009865DC"/>
    <w:rPr>
      <w:b/>
      <w:bCs/>
      <w:snapToGrid w:val="0"/>
      <w:sz w:val="24"/>
      <w:szCs w:val="24"/>
    </w:rPr>
  </w:style>
  <w:style w:type="character" w:customStyle="1" w:styleId="Heading7Char">
    <w:name w:val="Heading 7 Char"/>
    <w:basedOn w:val="DefaultParagraphFont"/>
    <w:link w:val="Heading7"/>
    <w:uiPriority w:val="9"/>
    <w:semiHidden/>
    <w:rsid w:val="00CF6128"/>
    <w:rPr>
      <w:rFonts w:asciiTheme="majorHAnsi" w:eastAsiaTheme="majorEastAsia" w:hAnsiTheme="majorHAnsi" w:cstheme="majorBidi"/>
      <w:i/>
      <w:iCs/>
      <w:color w:val="243F60" w:themeColor="accent1" w:themeShade="7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Supporting Statement For Form HA-539, Notice Regarding Substitution of Party Upon Death of Claimant</vt:lpstr>
    </vt:vector>
  </TitlesOfParts>
  <Company>Social Security Administration</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HA-539, Notice Regarding Substitution of Party Upon Death of Claimant</dc:title>
  <dc:creator>689830</dc:creator>
  <cp:lastModifiedBy>Naomi Sipple</cp:lastModifiedBy>
  <cp:revision>2</cp:revision>
  <cp:lastPrinted>2009-08-19T13:25:00Z</cp:lastPrinted>
  <dcterms:created xsi:type="dcterms:W3CDTF">2025-01-14T20:10:00Z</dcterms:created>
  <dcterms:modified xsi:type="dcterms:W3CDTF">2025-01-14T20:10:00Z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