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4939813">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77017F" w14:paraId="64B77AAA" w14:textId="28805186">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00434E33" w:rsidR="005E714A">
        <w:rPr>
          <w:b/>
        </w:rPr>
        <w:t>TITLE OF INFORMATION COLLECTION:</w:t>
      </w:r>
      <w:r w:rsidR="005E714A">
        <w:t xml:space="preserve">  </w:t>
      </w:r>
      <w:r w:rsidR="007A00D8">
        <w:t xml:space="preserve">Administration for Children and Families </w:t>
      </w:r>
      <w:r>
        <w:t>Office of Grants Management Grants Learning Experience Customer Feedback</w:t>
      </w:r>
    </w:p>
    <w:p w:rsidR="00340E84" w14:paraId="5D046B21" w14:textId="77777777"/>
    <w:p w:rsidR="004754CE" w:rsidP="00CB6EBE" w14:paraId="01A7BD29" w14:textId="09DC97CF">
      <w:pPr>
        <w:shd w:val="clear" w:color="auto" w:fill="FFFFFF"/>
        <w:rPr>
          <w:color w:val="000000" w:themeColor="text1"/>
        </w:rPr>
      </w:pPr>
      <w:r>
        <w:rPr>
          <w:b/>
        </w:rPr>
        <w:t>PURPOSE AND USE</w:t>
      </w:r>
      <w:r w:rsidRPr="009239AA">
        <w:rPr>
          <w:b/>
        </w:rPr>
        <w:t xml:space="preserve">:  </w:t>
      </w:r>
      <w:r w:rsidRPr="00141350" w:rsidR="0077017F">
        <w:rPr>
          <w:color w:val="000000" w:themeColor="text1"/>
        </w:rPr>
        <w:t>The purpose of this information collection is t</w:t>
      </w:r>
      <w:r w:rsidR="00141350">
        <w:rPr>
          <w:color w:val="000000" w:themeColor="text1"/>
        </w:rPr>
        <w:t xml:space="preserve">o </w:t>
      </w:r>
      <w:r w:rsidRPr="00141350" w:rsidR="0077017F">
        <w:rPr>
          <w:color w:val="000000" w:themeColor="text1"/>
        </w:rPr>
        <w:t xml:space="preserve">collect customer feedback regarding webinars and events held by </w:t>
      </w:r>
      <w:r w:rsidR="007A00D8">
        <w:rPr>
          <w:color w:val="000000" w:themeColor="text1"/>
        </w:rPr>
        <w:t xml:space="preserve">the </w:t>
      </w:r>
      <w:r w:rsidR="007A00D8">
        <w:t>Administration for Children and Families (</w:t>
      </w:r>
      <w:r w:rsidRPr="00141350" w:rsidR="0077017F">
        <w:rPr>
          <w:color w:val="000000" w:themeColor="text1"/>
        </w:rPr>
        <w:t>ACF</w:t>
      </w:r>
      <w:r w:rsidR="007A00D8">
        <w:rPr>
          <w:color w:val="000000" w:themeColor="text1"/>
        </w:rPr>
        <w:t>)</w:t>
      </w:r>
      <w:r w:rsidRPr="00141350" w:rsidR="0077017F">
        <w:rPr>
          <w:color w:val="000000" w:themeColor="text1"/>
        </w:rPr>
        <w:t xml:space="preserve"> Office of Grants Management (OGM). OGM sits within the Office of Administration with a mission to provide high-quality fiscal stewardship and management for all ACF- funded recipients across the country and U.S. territories. With support from the Office of Administration, OGM plans to host various national and regional online and in-person learning experiences based on needs identified by the customers of ACF</w:t>
      </w:r>
      <w:r w:rsidR="0025792B">
        <w:rPr>
          <w:color w:val="000000" w:themeColor="text1"/>
        </w:rPr>
        <w:t xml:space="preserve">. These learning events will be held </w:t>
      </w:r>
      <w:r w:rsidR="00DB203E">
        <w:rPr>
          <w:color w:val="000000" w:themeColor="text1"/>
        </w:rPr>
        <w:t xml:space="preserve">on an </w:t>
      </w:r>
      <w:r w:rsidR="008F545A">
        <w:rPr>
          <w:color w:val="000000" w:themeColor="text1"/>
        </w:rPr>
        <w:t>ongoing basis as part</w:t>
      </w:r>
      <w:r w:rsidR="00DB203E">
        <w:rPr>
          <w:color w:val="000000" w:themeColor="text1"/>
        </w:rPr>
        <w:t xml:space="preserve"> of an effort to build out the agency’s grants management training and technical capacity</w:t>
      </w:r>
      <w:r w:rsidRPr="00141350" w:rsidR="0077017F">
        <w:rPr>
          <w:color w:val="000000" w:themeColor="text1"/>
        </w:rPr>
        <w:t xml:space="preserve">. </w:t>
      </w:r>
    </w:p>
    <w:p w:rsidR="004754CE" w:rsidP="00CB6EBE" w14:paraId="7801B476" w14:textId="77777777">
      <w:pPr>
        <w:shd w:val="clear" w:color="auto" w:fill="FFFFFF"/>
        <w:rPr>
          <w:color w:val="000000" w:themeColor="text1"/>
        </w:rPr>
      </w:pPr>
    </w:p>
    <w:p w:rsidR="004754CE" w:rsidP="00CB6EBE" w14:paraId="4767BC98" w14:textId="5A711D28">
      <w:pPr>
        <w:shd w:val="clear" w:color="auto" w:fill="FFFFFF"/>
        <w:rPr>
          <w:color w:val="000000" w:themeColor="text1"/>
        </w:rPr>
      </w:pPr>
      <w:r w:rsidRPr="00141350">
        <w:rPr>
          <w:color w:val="000000" w:themeColor="text1"/>
        </w:rPr>
        <w:t xml:space="preserve">The feedback received </w:t>
      </w:r>
      <w:r w:rsidR="007A00D8">
        <w:rPr>
          <w:color w:val="000000" w:themeColor="text1"/>
        </w:rPr>
        <w:t>through th</w:t>
      </w:r>
      <w:r>
        <w:rPr>
          <w:color w:val="000000" w:themeColor="text1"/>
        </w:rPr>
        <w:t>ese</w:t>
      </w:r>
      <w:r w:rsidR="007A00D8">
        <w:rPr>
          <w:color w:val="000000" w:themeColor="text1"/>
        </w:rPr>
        <w:t xml:space="preserve"> survey</w:t>
      </w:r>
      <w:r>
        <w:rPr>
          <w:color w:val="000000" w:themeColor="text1"/>
        </w:rPr>
        <w:t>s</w:t>
      </w:r>
      <w:r w:rsidR="007A00D8">
        <w:rPr>
          <w:color w:val="000000" w:themeColor="text1"/>
        </w:rPr>
        <w:t xml:space="preserve"> </w:t>
      </w:r>
      <w:r w:rsidRPr="00141350">
        <w:rPr>
          <w:color w:val="000000" w:themeColor="text1"/>
        </w:rPr>
        <w:t xml:space="preserve">will allow OGM staff to understand the experience of customers with each learning experience so that they can make improvements to better serve customers and meet their information needs. </w:t>
      </w:r>
      <w:r w:rsidRPr="00141350" w:rsidR="00141350">
        <w:rPr>
          <w:color w:val="000000" w:themeColor="text1"/>
        </w:rPr>
        <w:t xml:space="preserve">The surveys will include feedback questions that are structured to be of shorter length during completion of individual learning experience for both online and in-person learning experiences. Data will be used by OGM staff to make improvements to the future learning events. They will not be used for evaluation purposes. </w:t>
      </w:r>
    </w:p>
    <w:p w:rsidR="004754CE" w:rsidP="00CB6EBE" w14:paraId="7F673C21" w14:textId="77777777">
      <w:pPr>
        <w:shd w:val="clear" w:color="auto" w:fill="FFFFFF"/>
        <w:rPr>
          <w:color w:val="000000" w:themeColor="text1"/>
        </w:rPr>
      </w:pPr>
    </w:p>
    <w:p w:rsidR="0077017F" w:rsidRPr="009B611C" w:rsidP="00CB6EBE" w14:paraId="20F752B6" w14:textId="3B2C6B91">
      <w:pPr>
        <w:shd w:val="clear" w:color="auto" w:fill="FFFFFF"/>
        <w:rPr>
          <w:snapToGrid w:val="0"/>
        </w:rPr>
      </w:pPr>
      <w:r w:rsidRPr="00141350">
        <w:rPr>
          <w:color w:val="000000" w:themeColor="text1"/>
        </w:rPr>
        <w:t xml:space="preserve">Due to the varied structure of each learning experience for which feedback is needed, the information collection is designed to allow Office of Administration and OGM staff to choose feedback questions tailored to the experience and reduce the potential burden on respondents of needing to answer identical questions for every instance, even when those questions may not be applicable. </w:t>
      </w:r>
      <w:r w:rsidR="004754CE">
        <w:rPr>
          <w:color w:val="000000" w:themeColor="text1"/>
        </w:rPr>
        <w:t xml:space="preserve">As such, a universe of question is provided with this request from which </w:t>
      </w:r>
      <w:r w:rsidRPr="00141350" w:rsidR="004754CE">
        <w:rPr>
          <w:color w:val="000000" w:themeColor="text1"/>
        </w:rPr>
        <w:t xml:space="preserve">Office of Administration and OGM staff </w:t>
      </w:r>
      <w:r w:rsidR="004754CE">
        <w:rPr>
          <w:color w:val="000000" w:themeColor="text1"/>
        </w:rPr>
        <w:t xml:space="preserve">will select questions. </w:t>
      </w:r>
      <w:r w:rsidR="00E34D65">
        <w:rPr>
          <w:color w:val="000000" w:themeColor="text1"/>
        </w:rPr>
        <w:t xml:space="preserve">The estimated average time per survey will be 10 minutes. </w:t>
      </w:r>
    </w:p>
    <w:p w:rsidR="00C8488C" w:rsidP="00434E33" w14:paraId="0FB4871F" w14:textId="77777777">
      <w:pPr>
        <w:pStyle w:val="Header"/>
        <w:tabs>
          <w:tab w:val="clear" w:pos="4320"/>
          <w:tab w:val="clear" w:pos="8640"/>
        </w:tabs>
        <w:rPr>
          <w:b/>
        </w:rPr>
      </w:pPr>
    </w:p>
    <w:p w:rsidR="00C8488C" w14:paraId="55E177D6" w14:textId="5383CFB5">
      <w:r w:rsidRPr="00434E33">
        <w:rPr>
          <w:b/>
        </w:rPr>
        <w:t>DESCRIPTION OF RESPONDENTS</w:t>
      </w:r>
      <w:r>
        <w:t xml:space="preserve">: </w:t>
      </w:r>
      <w:r w:rsidR="00141350">
        <w:t xml:space="preserve">Participants will include state and local </w:t>
      </w:r>
      <w:r w:rsidR="00141350">
        <w:rPr>
          <w:color w:val="000000"/>
        </w:rPr>
        <w:t xml:space="preserve">human services agency staff, non-profit organization staff, or other public or private organization staff who attend learning experiences and meetings offered by </w:t>
      </w:r>
      <w:r w:rsidR="00E34D65">
        <w:rPr>
          <w:color w:val="000000"/>
        </w:rPr>
        <w:t>OGM</w:t>
      </w:r>
      <w:r w:rsidR="00141350">
        <w:rPr>
          <w:color w:val="000000"/>
        </w:rPr>
        <w:t xml:space="preserve">.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43E57533">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141350">
        <w:rPr>
          <w:bCs/>
          <w:sz w:val="24"/>
        </w:rPr>
        <w:t>X</w:t>
      </w:r>
      <w:r w:rsidRPr="00F06866">
        <w:rPr>
          <w:bCs/>
          <w:sz w:val="24"/>
        </w:rPr>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AA4397" w14:paraId="42D693BA" w14:textId="69FBA742">
      <w:pPr>
        <w:ind w:left="2250" w:hanging="2250"/>
      </w:pPr>
      <w:r>
        <w:t>Name</w:t>
      </w:r>
      <w:r w:rsidR="00340E84">
        <w:t xml:space="preserve"> and affiliation</w:t>
      </w:r>
      <w:r>
        <w:t>:</w:t>
      </w:r>
      <w:r w:rsidR="00141350">
        <w:t xml:space="preserve"> </w:t>
      </w:r>
      <w:r w:rsidR="009F29B7">
        <w:rPr>
          <w:u w:val="single"/>
        </w:rPr>
        <w:t xml:space="preserve">Augusto </w:t>
      </w:r>
      <w:r w:rsidR="009F29B7">
        <w:rPr>
          <w:u w:val="single"/>
        </w:rPr>
        <w:t>Cangahuala</w:t>
      </w:r>
      <w:r w:rsidR="00BE4034">
        <w:rPr>
          <w:u w:val="single"/>
        </w:rPr>
        <w:t>, ACF Customer Experience Manager</w:t>
      </w:r>
      <w:r w:rsidR="00E34D65">
        <w:rPr>
          <w:u w:val="single"/>
        </w:rPr>
        <w:t>, ACF Office of Administration</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5388C2AE">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 </w:t>
      </w:r>
      <w:r w:rsidR="00141350">
        <w:t>X</w:t>
      </w:r>
      <w:r w:rsidR="009239AA">
        <w:t xml:space="preserve">]  No </w:t>
      </w:r>
    </w:p>
    <w:p w:rsidR="00C86E91" w:rsidP="00C86E91" w14:paraId="744BD79D"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18869D1A" w14:textId="77777777">
      <w:pPr>
        <w:pStyle w:val="ListParagraph"/>
        <w:ind w:left="0"/>
        <w:rPr>
          <w:b/>
        </w:rPr>
      </w:pPr>
    </w:p>
    <w:p w:rsidR="00C86E91" w:rsidP="763201CD" w14:paraId="6567916E" w14:textId="0D59079B">
      <w:r w:rsidRPr="763201CD">
        <w:rPr>
          <w:b/>
          <w:bCs/>
        </w:rPr>
        <w:t>Tokens of Appreciation or Honoraria:</w:t>
      </w:r>
    </w:p>
    <w:p w:rsidR="00C86E91" w:rsidP="763201CD" w14:paraId="2E1C8400" w14:textId="40A160E8">
      <w:r w:rsidRPr="763201CD">
        <w:t>Will a t</w:t>
      </w:r>
      <w:r w:rsidRPr="763201CD">
        <w:rPr>
          <w:b/>
          <w:bCs/>
        </w:rPr>
        <w:t xml:space="preserve">oken of </w:t>
      </w:r>
      <w:r w:rsidRPr="763201CD">
        <w:t xml:space="preserve">appreciation or honoraria be </w:t>
      </w:r>
      <w:r w:rsidRPr="763201CD">
        <w:rPr>
          <w:color w:val="000000" w:themeColor="text1"/>
        </w:rPr>
        <w:t xml:space="preserve">provided to participants? </w:t>
      </w:r>
      <w:r>
        <w:t xml:space="preserve">  </w:t>
      </w:r>
      <w:r>
        <w:t>[  ]</w:t>
      </w:r>
      <w:r>
        <w:t xml:space="preserve"> Yes [ </w:t>
      </w:r>
      <w:r w:rsidR="00141350">
        <w:t>X</w:t>
      </w:r>
      <w:r>
        <w:t xml:space="preserve"> ] No  </w:t>
      </w:r>
    </w:p>
    <w:p w:rsidR="004D6E14" w14:paraId="1700CE24" w14:textId="77777777">
      <w:pPr>
        <w:rPr>
          <w:b/>
        </w:rPr>
      </w:pPr>
    </w:p>
    <w:p w:rsidR="005E714A" w:rsidP="00C86E91" w14:paraId="23B139B4" w14:textId="026755F6">
      <w:pPr>
        <w:rPr>
          <w:i/>
        </w:rPr>
      </w:pPr>
      <w:r>
        <w:rPr>
          <w:b/>
        </w:rPr>
        <w:t>ANNUAL</w:t>
      </w:r>
      <w:r w:rsidR="004B6CE1">
        <w:rPr>
          <w:b/>
        </w:rPr>
        <w:t xml:space="preserve"> </w:t>
      </w:r>
      <w:r>
        <w:rPr>
          <w:b/>
        </w:rPr>
        <w:t>BURDEN HOUR</w:t>
      </w:r>
      <w:r w:rsidR="00441434">
        <w:rPr>
          <w:b/>
        </w:rPr>
        <w:t>S</w:t>
      </w:r>
      <w:r>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160"/>
        <w:gridCol w:w="1417"/>
        <w:gridCol w:w="1710"/>
        <w:gridCol w:w="1710"/>
        <w:gridCol w:w="1003"/>
      </w:tblGrid>
      <w:tr w14:paraId="14D0480D" w14:textId="77777777" w:rsidTr="00574B83">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268" w:type="dxa"/>
          </w:tcPr>
          <w:p w:rsidR="00340E84" w:rsidRPr="00574B83" w:rsidP="00C8488C" w14:paraId="674C58C3" w14:textId="6D90EE58">
            <w:pPr>
              <w:rPr>
                <w:b/>
                <w:sz w:val="20"/>
                <w:szCs w:val="20"/>
              </w:rPr>
            </w:pPr>
            <w:r w:rsidRPr="00574B83">
              <w:rPr>
                <w:b/>
                <w:sz w:val="20"/>
                <w:szCs w:val="20"/>
              </w:rPr>
              <w:t>Information Collection</w:t>
            </w:r>
          </w:p>
        </w:tc>
        <w:tc>
          <w:tcPr>
            <w:tcW w:w="2160" w:type="dxa"/>
          </w:tcPr>
          <w:p w:rsidR="00340E84" w:rsidRPr="00574B83" w:rsidP="00C8488C" w14:paraId="432BD2DC" w14:textId="11A0F7BA">
            <w:pPr>
              <w:rPr>
                <w:b/>
                <w:sz w:val="20"/>
                <w:szCs w:val="20"/>
              </w:rPr>
            </w:pPr>
            <w:r w:rsidRPr="00574B83">
              <w:rPr>
                <w:b/>
                <w:sz w:val="20"/>
                <w:szCs w:val="20"/>
              </w:rPr>
              <w:t xml:space="preserve">Category of Respondent </w:t>
            </w:r>
          </w:p>
        </w:tc>
        <w:tc>
          <w:tcPr>
            <w:tcW w:w="1417" w:type="dxa"/>
          </w:tcPr>
          <w:p w:rsidR="00340E84" w:rsidRPr="00574B83" w:rsidP="00843796" w14:paraId="03451CBD" w14:textId="77777777">
            <w:pPr>
              <w:rPr>
                <w:b/>
                <w:sz w:val="20"/>
                <w:szCs w:val="20"/>
              </w:rPr>
            </w:pPr>
            <w:r w:rsidRPr="00574B83">
              <w:rPr>
                <w:b/>
                <w:sz w:val="20"/>
                <w:szCs w:val="20"/>
              </w:rPr>
              <w:t>No. of Respondents</w:t>
            </w:r>
          </w:p>
        </w:tc>
        <w:tc>
          <w:tcPr>
            <w:tcW w:w="1710" w:type="dxa"/>
          </w:tcPr>
          <w:p w:rsidR="00340E84" w:rsidRPr="00574B83" w:rsidP="00843796" w14:paraId="3F9470DC" w14:textId="5E8AEB1B">
            <w:pPr>
              <w:rPr>
                <w:b/>
                <w:sz w:val="20"/>
                <w:szCs w:val="20"/>
              </w:rPr>
            </w:pPr>
            <w:r w:rsidRPr="00574B83">
              <w:rPr>
                <w:b/>
                <w:sz w:val="20"/>
                <w:szCs w:val="20"/>
              </w:rPr>
              <w:t>No. of Responses per Respondent</w:t>
            </w:r>
          </w:p>
        </w:tc>
        <w:tc>
          <w:tcPr>
            <w:tcW w:w="1710" w:type="dxa"/>
          </w:tcPr>
          <w:p w:rsidR="00340E84" w:rsidRPr="00574B83" w:rsidP="00843796" w14:paraId="0D6C37D5" w14:textId="2CA736C1">
            <w:pPr>
              <w:rPr>
                <w:b/>
                <w:sz w:val="20"/>
                <w:szCs w:val="20"/>
              </w:rPr>
            </w:pPr>
            <w:r w:rsidRPr="00574B83">
              <w:rPr>
                <w:b/>
                <w:sz w:val="20"/>
                <w:szCs w:val="20"/>
              </w:rPr>
              <w:t>Estimated Time per Response</w:t>
            </w:r>
            <w:r w:rsidRPr="00574B83">
              <w:rPr>
                <w:b/>
                <w:sz w:val="20"/>
                <w:szCs w:val="20"/>
              </w:rPr>
              <w:t xml:space="preserve"> </w:t>
            </w:r>
          </w:p>
        </w:tc>
        <w:tc>
          <w:tcPr>
            <w:tcW w:w="1003" w:type="dxa"/>
          </w:tcPr>
          <w:p w:rsidR="00340E84" w:rsidRPr="00574B83" w:rsidP="00843796" w14:paraId="0BA6B090" w14:textId="688B9CCE">
            <w:pPr>
              <w:rPr>
                <w:b/>
                <w:sz w:val="20"/>
                <w:szCs w:val="20"/>
              </w:rPr>
            </w:pPr>
            <w:r>
              <w:rPr>
                <w:b/>
                <w:sz w:val="20"/>
                <w:szCs w:val="20"/>
              </w:rPr>
              <w:t xml:space="preserve">Annual </w:t>
            </w:r>
            <w:r w:rsidRPr="00574B83">
              <w:rPr>
                <w:b/>
                <w:sz w:val="20"/>
                <w:szCs w:val="20"/>
              </w:rPr>
              <w:t>Burden Hours</w:t>
            </w:r>
          </w:p>
        </w:tc>
      </w:tr>
      <w:tr w14:paraId="1F158995" w14:textId="77777777" w:rsidTr="00574B83">
        <w:tblPrEx>
          <w:tblW w:w="10268" w:type="dxa"/>
          <w:tblLayout w:type="fixed"/>
          <w:tblLook w:val="01E0"/>
        </w:tblPrEx>
        <w:trPr>
          <w:trHeight w:val="274"/>
        </w:trPr>
        <w:tc>
          <w:tcPr>
            <w:tcW w:w="2268" w:type="dxa"/>
            <w:vAlign w:val="center"/>
          </w:tcPr>
          <w:p w:rsidR="00340E84" w:rsidRPr="00574B83" w:rsidP="00A92E50" w14:paraId="585F12D8" w14:textId="7672057E">
            <w:pPr>
              <w:rPr>
                <w:sz w:val="20"/>
                <w:szCs w:val="20"/>
              </w:rPr>
            </w:pPr>
            <w:r w:rsidRPr="00574B83">
              <w:rPr>
                <w:sz w:val="20"/>
                <w:szCs w:val="20"/>
              </w:rPr>
              <w:t>ACF Office of Grants Management Grants Learning Experience Customer Feedback</w:t>
            </w:r>
          </w:p>
        </w:tc>
        <w:tc>
          <w:tcPr>
            <w:tcW w:w="2160" w:type="dxa"/>
            <w:vAlign w:val="center"/>
          </w:tcPr>
          <w:p w:rsidR="00340E84" w:rsidRPr="00574B83" w:rsidP="00A92E50" w14:paraId="1568D5FE" w14:textId="21975DE4">
            <w:pPr>
              <w:rPr>
                <w:sz w:val="20"/>
                <w:szCs w:val="20"/>
              </w:rPr>
            </w:pPr>
            <w:r w:rsidRPr="00574B83">
              <w:rPr>
                <w:sz w:val="20"/>
                <w:szCs w:val="20"/>
              </w:rPr>
              <w:t>State, local, tribal or territorial government</w:t>
            </w:r>
          </w:p>
        </w:tc>
        <w:tc>
          <w:tcPr>
            <w:tcW w:w="1417" w:type="dxa"/>
            <w:vAlign w:val="center"/>
          </w:tcPr>
          <w:p w:rsidR="00340E84" w:rsidRPr="00574B83" w:rsidP="00574B83" w14:paraId="71E63EBF" w14:textId="7D5C106A">
            <w:pPr>
              <w:jc w:val="center"/>
              <w:rPr>
                <w:sz w:val="20"/>
                <w:szCs w:val="20"/>
              </w:rPr>
            </w:pPr>
            <w:r w:rsidRPr="00574B83">
              <w:rPr>
                <w:sz w:val="20"/>
                <w:szCs w:val="20"/>
              </w:rPr>
              <w:t>250</w:t>
            </w:r>
          </w:p>
        </w:tc>
        <w:tc>
          <w:tcPr>
            <w:tcW w:w="1710" w:type="dxa"/>
            <w:vAlign w:val="center"/>
          </w:tcPr>
          <w:p w:rsidR="00340E84" w:rsidRPr="00574B83" w:rsidP="00574B83" w14:paraId="593F10F4" w14:textId="22C30908">
            <w:pPr>
              <w:jc w:val="center"/>
              <w:rPr>
                <w:sz w:val="20"/>
                <w:szCs w:val="20"/>
              </w:rPr>
            </w:pPr>
            <w:r w:rsidRPr="00574B83">
              <w:rPr>
                <w:sz w:val="20"/>
                <w:szCs w:val="20"/>
              </w:rPr>
              <w:t>1</w:t>
            </w:r>
          </w:p>
        </w:tc>
        <w:tc>
          <w:tcPr>
            <w:tcW w:w="1710" w:type="dxa"/>
            <w:vAlign w:val="center"/>
          </w:tcPr>
          <w:p w:rsidR="00340E84" w:rsidRPr="00574B83" w:rsidP="00574B83" w14:paraId="1DC12617" w14:textId="77777777">
            <w:pPr>
              <w:jc w:val="center"/>
              <w:rPr>
                <w:sz w:val="20"/>
                <w:szCs w:val="20"/>
              </w:rPr>
            </w:pPr>
            <w:r w:rsidRPr="00574B83">
              <w:rPr>
                <w:sz w:val="20"/>
                <w:szCs w:val="20"/>
              </w:rPr>
              <w:t>10 minutes</w:t>
            </w:r>
          </w:p>
          <w:p w:rsidR="00EA4808" w:rsidRPr="00574B83" w:rsidP="00574B83" w14:paraId="29021E8C" w14:textId="6276D6C4">
            <w:pPr>
              <w:jc w:val="center"/>
              <w:rPr>
                <w:sz w:val="20"/>
                <w:szCs w:val="20"/>
              </w:rPr>
            </w:pPr>
            <w:r w:rsidRPr="00574B83">
              <w:rPr>
                <w:sz w:val="20"/>
                <w:szCs w:val="20"/>
              </w:rPr>
              <w:t>0.16 hours</w:t>
            </w:r>
          </w:p>
        </w:tc>
        <w:tc>
          <w:tcPr>
            <w:tcW w:w="1003" w:type="dxa"/>
            <w:vAlign w:val="center"/>
          </w:tcPr>
          <w:p w:rsidR="00340E84" w:rsidRPr="00574B83" w:rsidP="00574B83" w14:paraId="515AAFC2" w14:textId="6CE9490F">
            <w:pPr>
              <w:jc w:val="center"/>
              <w:rPr>
                <w:sz w:val="20"/>
                <w:szCs w:val="20"/>
              </w:rPr>
            </w:pPr>
            <w:r w:rsidRPr="00574B83">
              <w:rPr>
                <w:sz w:val="20"/>
                <w:szCs w:val="20"/>
              </w:rPr>
              <w:t>40 hours</w:t>
            </w:r>
          </w:p>
        </w:tc>
      </w:tr>
      <w:tr w14:paraId="468A1D2D" w14:textId="77777777" w:rsidTr="00574B83">
        <w:tblPrEx>
          <w:tblW w:w="10268" w:type="dxa"/>
          <w:tblLayout w:type="fixed"/>
          <w:tblLook w:val="01E0"/>
        </w:tblPrEx>
        <w:trPr>
          <w:trHeight w:val="274"/>
        </w:trPr>
        <w:tc>
          <w:tcPr>
            <w:tcW w:w="2268" w:type="dxa"/>
            <w:vAlign w:val="center"/>
          </w:tcPr>
          <w:p w:rsidR="00340E84" w:rsidRPr="00574B83" w:rsidP="00A92E50" w14:paraId="35C47455" w14:textId="04E73785">
            <w:pPr>
              <w:rPr>
                <w:sz w:val="20"/>
                <w:szCs w:val="20"/>
              </w:rPr>
            </w:pPr>
            <w:r w:rsidRPr="00574B83">
              <w:rPr>
                <w:sz w:val="20"/>
                <w:szCs w:val="20"/>
              </w:rPr>
              <w:t>ACF Office of Grants Management Grants Learning Experience Customer Feedback</w:t>
            </w:r>
          </w:p>
        </w:tc>
        <w:tc>
          <w:tcPr>
            <w:tcW w:w="2160" w:type="dxa"/>
            <w:vAlign w:val="center"/>
          </w:tcPr>
          <w:p w:rsidR="00340E84" w:rsidRPr="00574B83" w:rsidP="00A92E50" w14:paraId="184BE662" w14:textId="27271E52">
            <w:pPr>
              <w:rPr>
                <w:sz w:val="20"/>
                <w:szCs w:val="20"/>
              </w:rPr>
            </w:pPr>
            <w:r w:rsidRPr="00574B83">
              <w:rPr>
                <w:sz w:val="20"/>
                <w:szCs w:val="20"/>
              </w:rPr>
              <w:t>State and local community-based organizations, non-profits, and academic institutions</w:t>
            </w:r>
          </w:p>
        </w:tc>
        <w:tc>
          <w:tcPr>
            <w:tcW w:w="1417" w:type="dxa"/>
            <w:vAlign w:val="center"/>
          </w:tcPr>
          <w:p w:rsidR="00340E84" w:rsidRPr="00574B83" w:rsidP="00574B83" w14:paraId="32D1FB7E" w14:textId="00DE7BAF">
            <w:pPr>
              <w:jc w:val="center"/>
              <w:rPr>
                <w:sz w:val="20"/>
                <w:szCs w:val="20"/>
              </w:rPr>
            </w:pPr>
            <w:r w:rsidRPr="00574B83">
              <w:rPr>
                <w:sz w:val="20"/>
                <w:szCs w:val="20"/>
              </w:rPr>
              <w:t>250</w:t>
            </w:r>
          </w:p>
        </w:tc>
        <w:tc>
          <w:tcPr>
            <w:tcW w:w="1710" w:type="dxa"/>
            <w:vAlign w:val="center"/>
          </w:tcPr>
          <w:p w:rsidR="00340E84" w:rsidRPr="00574B83" w:rsidP="00574B83" w14:paraId="62283D9B" w14:textId="723B8B43">
            <w:pPr>
              <w:jc w:val="center"/>
              <w:rPr>
                <w:sz w:val="20"/>
                <w:szCs w:val="20"/>
              </w:rPr>
            </w:pPr>
            <w:r w:rsidRPr="00574B83">
              <w:rPr>
                <w:sz w:val="20"/>
                <w:szCs w:val="20"/>
              </w:rPr>
              <w:t>1</w:t>
            </w:r>
          </w:p>
        </w:tc>
        <w:tc>
          <w:tcPr>
            <w:tcW w:w="1710" w:type="dxa"/>
            <w:vAlign w:val="center"/>
          </w:tcPr>
          <w:p w:rsidR="00340E84" w:rsidRPr="00574B83" w:rsidP="00574B83" w14:paraId="61C54C6C" w14:textId="77777777">
            <w:pPr>
              <w:jc w:val="center"/>
              <w:rPr>
                <w:sz w:val="20"/>
                <w:szCs w:val="20"/>
              </w:rPr>
            </w:pPr>
            <w:r w:rsidRPr="00574B83">
              <w:rPr>
                <w:sz w:val="20"/>
                <w:szCs w:val="20"/>
              </w:rPr>
              <w:t>10 minutes</w:t>
            </w:r>
          </w:p>
          <w:p w:rsidR="00EA4808" w:rsidRPr="00574B83" w:rsidP="00574B83" w14:paraId="3CA9EBF6" w14:textId="7C5E08FB">
            <w:pPr>
              <w:jc w:val="center"/>
              <w:rPr>
                <w:sz w:val="20"/>
                <w:szCs w:val="20"/>
              </w:rPr>
            </w:pPr>
            <w:r w:rsidRPr="00574B83">
              <w:rPr>
                <w:sz w:val="20"/>
                <w:szCs w:val="20"/>
              </w:rPr>
              <w:t>0.16 hours</w:t>
            </w:r>
          </w:p>
        </w:tc>
        <w:tc>
          <w:tcPr>
            <w:tcW w:w="1003" w:type="dxa"/>
            <w:vAlign w:val="center"/>
          </w:tcPr>
          <w:p w:rsidR="00340E84" w:rsidRPr="00574B83" w:rsidP="00574B83" w14:paraId="5DCE1861" w14:textId="658E1218">
            <w:pPr>
              <w:jc w:val="center"/>
              <w:rPr>
                <w:sz w:val="20"/>
                <w:szCs w:val="20"/>
              </w:rPr>
            </w:pPr>
            <w:r w:rsidRPr="00574B83">
              <w:rPr>
                <w:sz w:val="20"/>
                <w:szCs w:val="20"/>
              </w:rPr>
              <w:t>40 hours</w:t>
            </w:r>
          </w:p>
        </w:tc>
      </w:tr>
      <w:tr w14:paraId="7DE107E6" w14:textId="77777777" w:rsidTr="00AA4397">
        <w:tblPrEx>
          <w:tblW w:w="10268" w:type="dxa"/>
          <w:tblLayout w:type="fixed"/>
          <w:tblLook w:val="01E0"/>
        </w:tblPrEx>
        <w:trPr>
          <w:trHeight w:val="289"/>
        </w:trPr>
        <w:tc>
          <w:tcPr>
            <w:tcW w:w="4428" w:type="dxa"/>
            <w:gridSpan w:val="2"/>
            <w:vAlign w:val="center"/>
          </w:tcPr>
          <w:p w:rsidR="00A92E50" w:rsidRPr="00574B83" w:rsidP="00A92E50" w14:paraId="3B8E1C51" w14:textId="4CAFB0FA">
            <w:pPr>
              <w:jc w:val="right"/>
              <w:rPr>
                <w:b/>
                <w:sz w:val="20"/>
                <w:szCs w:val="20"/>
              </w:rPr>
            </w:pPr>
            <w:r w:rsidRPr="00574B83">
              <w:rPr>
                <w:b/>
                <w:sz w:val="20"/>
                <w:szCs w:val="20"/>
              </w:rPr>
              <w:t>Totals</w:t>
            </w:r>
          </w:p>
        </w:tc>
        <w:tc>
          <w:tcPr>
            <w:tcW w:w="1417" w:type="dxa"/>
            <w:vAlign w:val="center"/>
          </w:tcPr>
          <w:p w:rsidR="00A92E50" w:rsidRPr="00574B83" w:rsidP="00AA4397" w14:paraId="55E12884" w14:textId="1D324560">
            <w:pPr>
              <w:jc w:val="center"/>
              <w:rPr>
                <w:bCs/>
                <w:sz w:val="20"/>
                <w:szCs w:val="20"/>
              </w:rPr>
            </w:pPr>
            <w:r w:rsidRPr="00574B83">
              <w:rPr>
                <w:bCs/>
                <w:sz w:val="20"/>
                <w:szCs w:val="20"/>
              </w:rPr>
              <w:t>500</w:t>
            </w:r>
          </w:p>
        </w:tc>
        <w:tc>
          <w:tcPr>
            <w:tcW w:w="1710" w:type="dxa"/>
            <w:vAlign w:val="center"/>
          </w:tcPr>
          <w:p w:rsidR="00A92E50" w:rsidRPr="00574B83" w:rsidP="00574B83" w14:paraId="1DB2365D" w14:textId="1AAF5247">
            <w:pPr>
              <w:jc w:val="center"/>
              <w:rPr>
                <w:bCs/>
                <w:sz w:val="20"/>
                <w:szCs w:val="20"/>
              </w:rPr>
            </w:pPr>
            <w:r w:rsidRPr="00D11E0F">
              <w:rPr>
                <w:sz w:val="20"/>
                <w:szCs w:val="20"/>
              </w:rPr>
              <w:t>1</w:t>
            </w:r>
          </w:p>
        </w:tc>
        <w:tc>
          <w:tcPr>
            <w:tcW w:w="1710" w:type="dxa"/>
            <w:vAlign w:val="center"/>
          </w:tcPr>
          <w:p w:rsidR="00A92E50" w:rsidRPr="00D11E0F" w:rsidP="00A92E50" w14:paraId="52F43786" w14:textId="77777777">
            <w:pPr>
              <w:jc w:val="center"/>
              <w:rPr>
                <w:sz w:val="20"/>
                <w:szCs w:val="20"/>
              </w:rPr>
            </w:pPr>
            <w:r w:rsidRPr="00D11E0F">
              <w:rPr>
                <w:sz w:val="20"/>
                <w:szCs w:val="20"/>
              </w:rPr>
              <w:t>10 minutes</w:t>
            </w:r>
          </w:p>
          <w:p w:rsidR="00A92E50" w:rsidRPr="00574B83" w:rsidP="00574B83" w14:paraId="39DC28AB" w14:textId="7E02DF53">
            <w:pPr>
              <w:jc w:val="center"/>
              <w:rPr>
                <w:bCs/>
                <w:sz w:val="20"/>
                <w:szCs w:val="20"/>
              </w:rPr>
            </w:pPr>
            <w:r w:rsidRPr="00D11E0F">
              <w:rPr>
                <w:sz w:val="20"/>
                <w:szCs w:val="20"/>
              </w:rPr>
              <w:t>0.16 hours</w:t>
            </w:r>
          </w:p>
        </w:tc>
        <w:tc>
          <w:tcPr>
            <w:tcW w:w="1003" w:type="dxa"/>
            <w:vAlign w:val="center"/>
          </w:tcPr>
          <w:p w:rsidR="00A92E50" w:rsidRPr="00574B83" w:rsidP="00AA4397" w14:paraId="4E11045B" w14:textId="4CC4DF62">
            <w:pPr>
              <w:jc w:val="center"/>
              <w:rPr>
                <w:bCs/>
                <w:sz w:val="20"/>
                <w:szCs w:val="20"/>
              </w:rPr>
            </w:pPr>
            <w:r w:rsidRPr="00574B83">
              <w:rPr>
                <w:bCs/>
                <w:sz w:val="20"/>
                <w:szCs w:val="20"/>
              </w:rPr>
              <w:t>80 hours</w:t>
            </w:r>
          </w:p>
        </w:tc>
      </w:tr>
    </w:tbl>
    <w:p w:rsidR="00F3170F" w:rsidP="00F3170F" w14:paraId="3CF8F186" w14:textId="77777777"/>
    <w:p w:rsidR="005E714A" w14:paraId="35567BF8" w14:textId="37A26D43">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EA4808">
        <w:t>$</w:t>
      </w:r>
      <w:r w:rsidR="0082511D">
        <w:t>5</w:t>
      </w:r>
      <w:r w:rsidR="00EA4808">
        <w:t>,</w:t>
      </w:r>
      <w:r w:rsidR="00A92E50">
        <w:t>625.</w:t>
      </w:r>
    </w:p>
    <w:p w:rsidR="00ED6492" w14:paraId="51DEAE36" w14:textId="77777777">
      <w:pPr>
        <w:rPr>
          <w:b/>
          <w:bCs/>
          <w:u w:val="single"/>
        </w:rPr>
      </w:pPr>
    </w:p>
    <w:p w:rsidR="00F06866" w:rsidP="009B1EC8"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67C92BE3">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w:t>
      </w:r>
      <w:r>
        <w:t xml:space="preserve"> Yes</w:t>
      </w:r>
      <w:r>
        <w:tab/>
        <w:t>[</w:t>
      </w:r>
      <w:r w:rsidR="00EA4808">
        <w:t>X</w:t>
      </w:r>
      <w:r>
        <w:t xml:space="preserve"> ]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8B2629" w:rsidP="001B0AAA" w14:paraId="476388BC" w14:textId="77777777"/>
    <w:p w:rsidR="00C15BE9" w:rsidP="001B0AAA" w14:paraId="6CDB9874" w14:textId="20FDE5BF">
      <w:r>
        <w:t xml:space="preserve">The survey will be open only to attendees of an OGM learning experience. </w:t>
      </w:r>
      <w:r>
        <w:t>The survey will be shared with all attendees of lear</w:t>
      </w:r>
      <w:r w:rsidR="00DD0AC1">
        <w:t>ning experiences after the completion of the session</w:t>
      </w:r>
      <w:r>
        <w:t xml:space="preserve"> with a request for their feedback. </w:t>
      </w:r>
    </w:p>
    <w:p w:rsidR="00A403BB" w:rsidP="00A403BB" w14:paraId="10110DDC" w14:textId="77777777">
      <w:pPr>
        <w:pStyle w:val="ListParagraph"/>
      </w:pPr>
    </w:p>
    <w:p w:rsidR="00A403BB" w:rsidP="00A403BB" w14:paraId="794D6777" w14:textId="77777777"/>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70B3784A">
      <w:pPr>
        <w:ind w:left="720"/>
      </w:pPr>
      <w:r>
        <w:t xml:space="preserve">[ </w:t>
      </w:r>
      <w:r w:rsidR="00EA4808">
        <w:t>X</w:t>
      </w:r>
      <w:r>
        <w:t xml:space="preserve"> </w:t>
      </w:r>
      <w:r>
        <w:t>]</w:t>
      </w:r>
      <w:r>
        <w:t xml:space="preserve"> Web-based</w:t>
      </w:r>
      <w:r>
        <w:t xml:space="preserve"> or other forms of Social Media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07E17E35">
      <w:pPr>
        <w:ind w:left="720"/>
      </w:pPr>
      <w:r>
        <w:t>[</w:t>
      </w:r>
      <w:r>
        <w:t xml:space="preserve"> </w:t>
      </w:r>
      <w:r w:rsidR="00EA4808">
        <w:t>X</w:t>
      </w:r>
      <w:r>
        <w:t xml:space="preserve"> ]</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2862E885">
      <w:pPr>
        <w:ind w:left="720"/>
      </w:pPr>
      <w:r>
        <w:t>[</w:t>
      </w:r>
      <w:r w:rsidR="00EA4808">
        <w:t>X</w:t>
      </w:r>
      <w:r>
        <w:t xml:space="preserve"> </w:t>
      </w:r>
      <w:r>
        <w:t xml:space="preserve"> </w:t>
      </w:r>
      <w:r>
        <w:t>]</w:t>
      </w:r>
      <w:r>
        <w:t xml:space="preserve"> Other, Explain</w:t>
      </w:r>
      <w:r w:rsidR="007B0C2A">
        <w:t>- Survey link will be shared as part of the webinar experience</w:t>
      </w:r>
    </w:p>
    <w:p w:rsidR="00340E84" w:rsidP="001B0AAA" w14:paraId="3BC2CAC2" w14:textId="77777777">
      <w:pPr>
        <w:ind w:left="720"/>
      </w:pPr>
    </w:p>
    <w:p w:rsidR="00F24CFC" w:rsidP="00F24CFC" w14:paraId="1993A005" w14:textId="757EFEEB">
      <w:pPr>
        <w:pStyle w:val="ListParagraph"/>
        <w:numPr>
          <w:ilvl w:val="0"/>
          <w:numId w:val="17"/>
        </w:numPr>
      </w:pPr>
      <w:r>
        <w:t xml:space="preserve">Will interviewers or facilitators be used?  </w:t>
      </w:r>
      <w:r>
        <w:t>[  ]</w:t>
      </w:r>
      <w:r>
        <w:t xml:space="preserve"> Yes [  </w:t>
      </w:r>
      <w:r w:rsidR="007B0C2A">
        <w:t>X</w:t>
      </w:r>
      <w:r>
        <w:t>] No</w:t>
      </w:r>
    </w:p>
    <w:p w:rsidR="00F24CFC" w:rsidP="00F24CFC" w14:paraId="4F6EB0D0" w14:textId="77777777">
      <w:pPr>
        <w:pStyle w:val="ListParagraph"/>
        <w:ind w:left="360"/>
      </w:pPr>
      <w:r>
        <w:t xml:space="preserve"> </w:t>
      </w:r>
    </w:p>
    <w:p w:rsidR="00CE5BCE" w14:paraId="66D211AF" w14:textId="4DD41DAC">
      <w:pPr>
        <w:rPr>
          <w:b/>
          <w:bCs/>
          <w:sz w:val="28"/>
        </w:rPr>
      </w:pPr>
    </w:p>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1"/>
  </w:num>
  <w:num w:numId="2" w16cid:durableId="322320519">
    <w:abstractNumId w:val="18"/>
  </w:num>
  <w:num w:numId="3" w16cid:durableId="56559454">
    <w:abstractNumId w:val="17"/>
  </w:num>
  <w:num w:numId="4" w16cid:durableId="398749592">
    <w:abstractNumId w:val="19"/>
  </w:num>
  <w:num w:numId="5" w16cid:durableId="1152063476">
    <w:abstractNumId w:val="3"/>
  </w:num>
  <w:num w:numId="6" w16cid:durableId="1717386465">
    <w:abstractNumId w:val="1"/>
  </w:num>
  <w:num w:numId="7" w16cid:durableId="1896771014">
    <w:abstractNumId w:val="9"/>
  </w:num>
  <w:num w:numId="8" w16cid:durableId="27026990">
    <w:abstractNumId w:val="14"/>
  </w:num>
  <w:num w:numId="9" w16cid:durableId="259262918">
    <w:abstractNumId w:val="10"/>
  </w:num>
  <w:num w:numId="10" w16cid:durableId="20673169">
    <w:abstractNumId w:val="2"/>
  </w:num>
  <w:num w:numId="11" w16cid:durableId="1114786263">
    <w:abstractNumId w:val="6"/>
  </w:num>
  <w:num w:numId="12" w16cid:durableId="2100128997">
    <w:abstractNumId w:val="7"/>
  </w:num>
  <w:num w:numId="13" w16cid:durableId="711155273">
    <w:abstractNumId w:val="0"/>
  </w:num>
  <w:num w:numId="14" w16cid:durableId="1429502277">
    <w:abstractNumId w:val="16"/>
  </w:num>
  <w:num w:numId="15" w16cid:durableId="1543056259">
    <w:abstractNumId w:val="13"/>
  </w:num>
  <w:num w:numId="16" w16cid:durableId="11299836">
    <w:abstractNumId w:val="12"/>
  </w:num>
  <w:num w:numId="17" w16cid:durableId="75133636">
    <w:abstractNumId w:val="4"/>
  </w:num>
  <w:num w:numId="18" w16cid:durableId="1365330390">
    <w:abstractNumId w:val="5"/>
  </w:num>
  <w:num w:numId="19" w16cid:durableId="1886790524">
    <w:abstractNumId w:val="8"/>
  </w:num>
  <w:num w:numId="20" w16cid:durableId="1792169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556F"/>
    <w:rsid w:val="0001027E"/>
    <w:rsid w:val="00023A57"/>
    <w:rsid w:val="00047A64"/>
    <w:rsid w:val="00067329"/>
    <w:rsid w:val="000B2838"/>
    <w:rsid w:val="000D44CA"/>
    <w:rsid w:val="000E200B"/>
    <w:rsid w:val="000F68BE"/>
    <w:rsid w:val="00141350"/>
    <w:rsid w:val="001927A4"/>
    <w:rsid w:val="00194AC6"/>
    <w:rsid w:val="001A23B0"/>
    <w:rsid w:val="001A25CC"/>
    <w:rsid w:val="001B0AAA"/>
    <w:rsid w:val="001C39F7"/>
    <w:rsid w:val="00237B48"/>
    <w:rsid w:val="0024521E"/>
    <w:rsid w:val="00253324"/>
    <w:rsid w:val="0025792B"/>
    <w:rsid w:val="00263C3D"/>
    <w:rsid w:val="00265D24"/>
    <w:rsid w:val="00274D0B"/>
    <w:rsid w:val="00292148"/>
    <w:rsid w:val="002B052D"/>
    <w:rsid w:val="002B090A"/>
    <w:rsid w:val="002B34CD"/>
    <w:rsid w:val="002B3C95"/>
    <w:rsid w:val="002D0B92"/>
    <w:rsid w:val="00310867"/>
    <w:rsid w:val="00340E84"/>
    <w:rsid w:val="003D137A"/>
    <w:rsid w:val="003D5BBE"/>
    <w:rsid w:val="003E3C61"/>
    <w:rsid w:val="003E6474"/>
    <w:rsid w:val="003F1C5B"/>
    <w:rsid w:val="00434E33"/>
    <w:rsid w:val="00441434"/>
    <w:rsid w:val="0045264C"/>
    <w:rsid w:val="004754CE"/>
    <w:rsid w:val="00482CE1"/>
    <w:rsid w:val="004876EC"/>
    <w:rsid w:val="004B6CE1"/>
    <w:rsid w:val="004D46E9"/>
    <w:rsid w:val="004D6E14"/>
    <w:rsid w:val="005009B0"/>
    <w:rsid w:val="00574B83"/>
    <w:rsid w:val="005A0D6D"/>
    <w:rsid w:val="005A1006"/>
    <w:rsid w:val="005E714A"/>
    <w:rsid w:val="005F693D"/>
    <w:rsid w:val="006140A0"/>
    <w:rsid w:val="00636621"/>
    <w:rsid w:val="00642B49"/>
    <w:rsid w:val="006832D9"/>
    <w:rsid w:val="00691AE3"/>
    <w:rsid w:val="0069403B"/>
    <w:rsid w:val="006F3DDE"/>
    <w:rsid w:val="00704678"/>
    <w:rsid w:val="007425E7"/>
    <w:rsid w:val="007662E0"/>
    <w:rsid w:val="0077017F"/>
    <w:rsid w:val="007A00D8"/>
    <w:rsid w:val="007B0C2A"/>
    <w:rsid w:val="007F7080"/>
    <w:rsid w:val="00802607"/>
    <w:rsid w:val="008101A5"/>
    <w:rsid w:val="00822664"/>
    <w:rsid w:val="0082511D"/>
    <w:rsid w:val="00830827"/>
    <w:rsid w:val="0083113D"/>
    <w:rsid w:val="00843796"/>
    <w:rsid w:val="00895229"/>
    <w:rsid w:val="008B2629"/>
    <w:rsid w:val="008B2EB3"/>
    <w:rsid w:val="008F0203"/>
    <w:rsid w:val="008F50D4"/>
    <w:rsid w:val="008F545A"/>
    <w:rsid w:val="0091100C"/>
    <w:rsid w:val="009239AA"/>
    <w:rsid w:val="00935ADA"/>
    <w:rsid w:val="00946B6C"/>
    <w:rsid w:val="0095343D"/>
    <w:rsid w:val="00955A71"/>
    <w:rsid w:val="0096108F"/>
    <w:rsid w:val="009B1EC8"/>
    <w:rsid w:val="009B611C"/>
    <w:rsid w:val="009C13B9"/>
    <w:rsid w:val="009C5A68"/>
    <w:rsid w:val="009D01A2"/>
    <w:rsid w:val="009F29B7"/>
    <w:rsid w:val="009F5923"/>
    <w:rsid w:val="00A403BB"/>
    <w:rsid w:val="00A4421F"/>
    <w:rsid w:val="00A61314"/>
    <w:rsid w:val="00A674DF"/>
    <w:rsid w:val="00A73855"/>
    <w:rsid w:val="00A83AA6"/>
    <w:rsid w:val="00A92E50"/>
    <w:rsid w:val="00A934D6"/>
    <w:rsid w:val="00AA4397"/>
    <w:rsid w:val="00AE1809"/>
    <w:rsid w:val="00B21251"/>
    <w:rsid w:val="00B50559"/>
    <w:rsid w:val="00B80D76"/>
    <w:rsid w:val="00BA2105"/>
    <w:rsid w:val="00BA7E06"/>
    <w:rsid w:val="00BB43B5"/>
    <w:rsid w:val="00BB6219"/>
    <w:rsid w:val="00BD290F"/>
    <w:rsid w:val="00BD75E5"/>
    <w:rsid w:val="00BE4034"/>
    <w:rsid w:val="00C14CC4"/>
    <w:rsid w:val="00C15BE9"/>
    <w:rsid w:val="00C33C52"/>
    <w:rsid w:val="00C40D8B"/>
    <w:rsid w:val="00C8407A"/>
    <w:rsid w:val="00C8488C"/>
    <w:rsid w:val="00C86E91"/>
    <w:rsid w:val="00CA2650"/>
    <w:rsid w:val="00CB1078"/>
    <w:rsid w:val="00CB6EBE"/>
    <w:rsid w:val="00CC6FAF"/>
    <w:rsid w:val="00CE5BCE"/>
    <w:rsid w:val="00CF1EDD"/>
    <w:rsid w:val="00CF6542"/>
    <w:rsid w:val="00D11E0F"/>
    <w:rsid w:val="00D13805"/>
    <w:rsid w:val="00D24698"/>
    <w:rsid w:val="00D41D4B"/>
    <w:rsid w:val="00D6383F"/>
    <w:rsid w:val="00DB203E"/>
    <w:rsid w:val="00DB35A0"/>
    <w:rsid w:val="00DB59D0"/>
    <w:rsid w:val="00DC33D3"/>
    <w:rsid w:val="00DD0AC1"/>
    <w:rsid w:val="00DE227A"/>
    <w:rsid w:val="00E26329"/>
    <w:rsid w:val="00E34D65"/>
    <w:rsid w:val="00E40B50"/>
    <w:rsid w:val="00E43ADF"/>
    <w:rsid w:val="00E50293"/>
    <w:rsid w:val="00E65FFC"/>
    <w:rsid w:val="00E744EA"/>
    <w:rsid w:val="00E80951"/>
    <w:rsid w:val="00E854FE"/>
    <w:rsid w:val="00E86CC6"/>
    <w:rsid w:val="00EA4808"/>
    <w:rsid w:val="00EB56B3"/>
    <w:rsid w:val="00ED6492"/>
    <w:rsid w:val="00EF2095"/>
    <w:rsid w:val="00F06866"/>
    <w:rsid w:val="00F15956"/>
    <w:rsid w:val="00F16B38"/>
    <w:rsid w:val="00F24CFC"/>
    <w:rsid w:val="00F2736A"/>
    <w:rsid w:val="00F3170F"/>
    <w:rsid w:val="00F32BF7"/>
    <w:rsid w:val="00F83A28"/>
    <w:rsid w:val="00F956A6"/>
    <w:rsid w:val="00F976B0"/>
    <w:rsid w:val="00FA6DE7"/>
    <w:rsid w:val="00FA79EB"/>
    <w:rsid w:val="00FC0A8E"/>
    <w:rsid w:val="00FE2FA6"/>
    <w:rsid w:val="00FE3DF2"/>
    <w:rsid w:val="185C5D82"/>
    <w:rsid w:val="24632FEA"/>
    <w:rsid w:val="5EFC95CE"/>
    <w:rsid w:val="65F6BC27"/>
    <w:rsid w:val="763201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5B0EF7"/>
  <w15:docId w15:val="{D0F1DE6E-991F-4EEB-8EE5-3B6C8432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141350"/>
    <w:rPr>
      <w:color w:val="0563C1" w:themeColor="hyperlink"/>
      <w:u w:val="single"/>
    </w:rPr>
  </w:style>
  <w:style w:type="character" w:styleId="UnresolvedMention">
    <w:name w:val="Unresolved Mention"/>
    <w:basedOn w:val="DefaultParagraphFont"/>
    <w:uiPriority w:val="99"/>
    <w:semiHidden/>
    <w:unhideWhenUsed/>
    <w:rsid w:val="00141350"/>
    <w:rPr>
      <w:color w:val="605E5C"/>
      <w:shd w:val="clear" w:color="auto" w:fill="E1DFDD"/>
    </w:rPr>
  </w:style>
  <w:style w:type="character" w:customStyle="1" w:styleId="HeaderChar">
    <w:name w:val="Header Char"/>
    <w:basedOn w:val="DefaultParagraphFont"/>
    <w:link w:val="Header"/>
    <w:uiPriority w:val="99"/>
    <w:rsid w:val="0082511D"/>
    <w:rPr>
      <w:snapToGrid w:val="0"/>
      <w:sz w:val="24"/>
      <w:szCs w:val="24"/>
    </w:rPr>
  </w:style>
  <w:style w:type="paragraph" w:styleId="Revision">
    <w:name w:val="Revision"/>
    <w:hidden/>
    <w:uiPriority w:val="99"/>
    <w:semiHidden/>
    <w:rsid w:val="007A00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A17766FB5D047A33EC66C8AFB81C1" ma:contentTypeVersion="5" ma:contentTypeDescription="Create a new document." ma:contentTypeScope="" ma:versionID="1abe5cee5f5847045b97dbe01e10a34d">
  <xsd:schema xmlns:xsd="http://www.w3.org/2001/XMLSchema" xmlns:xs="http://www.w3.org/2001/XMLSchema" xmlns:p="http://schemas.microsoft.com/office/2006/metadata/properties" xmlns:ns1="http://schemas.microsoft.com/sharepoint/v3" xmlns:ns2="7002df9e-167c-4a9d-a976-aa99b9e80286" xmlns:ns3="d0d7f2ef-e3ff-4b90-924c-49653014acc9" xmlns:ns4="75d4f1c7-cb42-45af-8396-deaf6fa9ef89" xmlns:ns5="c6aa4176-1970-4f73-ba15-10d17963debb" targetNamespace="http://schemas.microsoft.com/office/2006/metadata/properties" ma:root="true" ma:fieldsID="aa5a27cb035bcb72cd719444772dbb93" ns1:_="" ns2:_="" ns3:_="" ns4:_="" ns5:_="">
    <xsd:import namespace="http://schemas.microsoft.com/sharepoint/v3"/>
    <xsd:import namespace="7002df9e-167c-4a9d-a976-aa99b9e80286"/>
    <xsd:import namespace="d0d7f2ef-e3ff-4b90-924c-49653014acc9"/>
    <xsd:import namespace="75d4f1c7-cb42-45af-8396-deaf6fa9ef89"/>
    <xsd:import namespace="c6aa4176-1970-4f73-ba15-10d17963de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1:_ip_UnifiedCompliancePolicyProperties" minOccurs="0"/>
                <xsd:element ref="ns1:_ip_UnifiedCompliancePolicyUIAction" minOccurs="0"/>
                <xsd:element ref="ns2: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2df9e-167c-4a9d-a976-aa99b9e80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7f2ef-e3ff-4b90-924c-49653014ac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d4f1c7-cb42-45af-8396-deaf6fa9ef8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f93263-5f87-41ef-a5f8-45fb28a229f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aa4176-1970-4f73-ba15-10d17963deb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b377922-ce10-41e6-9ab8-2ecbcc3508e3}" ma:internalName="TaxCatchAll" ma:showField="CatchAllData" ma:web="c6aa4176-1970-4f73-ba15-10d17963d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6aa4176-1970-4f73-ba15-10d17963debb" xsi:nil="true"/>
    <lcf76f155ced4ddcb4097134ff3c332f xmlns="75d4f1c7-cb42-45af-8396-deaf6fa9ef8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78407071-2635-4624-A5C9-2D23DA37E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02df9e-167c-4a9d-a976-aa99b9e80286"/>
    <ds:schemaRef ds:uri="d0d7f2ef-e3ff-4b90-924c-49653014acc9"/>
    <ds:schemaRef ds:uri="75d4f1c7-cb42-45af-8396-deaf6fa9ef89"/>
    <ds:schemaRef ds:uri="c6aa4176-1970-4f73-ba15-10d17963d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http://schemas.microsoft.com/sharepoint/v3"/>
    <ds:schemaRef ds:uri="c6aa4176-1970-4f73-ba15-10d17963debb"/>
    <ds:schemaRef ds:uri="75d4f1c7-cb42-45af-8396-deaf6fa9ef89"/>
  </ds:schemaRefs>
</ds:datastoreItem>
</file>

<file path=customXml/itemProps5.xml><?xml version="1.0" encoding="utf-8"?>
<ds:datastoreItem xmlns:ds="http://schemas.openxmlformats.org/officeDocument/2006/customXml" ds:itemID="{C6630DAB-05F3-43CA-8328-2C9E189C5B57}">
  <ds:schemaRefs>
    <ds:schemaRef ds:uri="http://schemas.openxmlformats.org/officeDocument/2006/bibliography"/>
  </ds:schemaRefs>
</ds:datastoreItem>
</file>

<file path=docMetadata/LabelInfo.xml><?xml version="1.0" encoding="utf-8"?>
<clbl:labelList xmlns:clbl="http://schemas.microsoft.com/office/2020/mipLabelMetadata">
  <clbl:label id="{b4f49566-f18d-44d1-9442-111a59d839fa}" enabled="1" method="Privileged" siteId="{a01f407a-85cb-4a16-98bb-f28e6384bd28}"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3</cp:revision>
  <cp:lastPrinted>2010-10-04T15:59:00Z</cp:lastPrinted>
  <dcterms:created xsi:type="dcterms:W3CDTF">2024-06-24T16:09:00Z</dcterms:created>
  <dcterms:modified xsi:type="dcterms:W3CDTF">2024-06-24T16:16:00Z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0x0101005ECA17766FB5D047A33EC66C8AFB81C1</vt:lpwstr>
  </property>
  <property fmtid="{D5CDD505-2E9C-101B-9397-08002B2CF9AE}" pid="3" name="Description0">
    <vt:lpwstr/>
  </property>
  <property fmtid="{D5CDD505-2E9C-101B-9397-08002B2CF9AE}" pid="4" name="_NewReviewCycle">
    <vt:lpwstr/>
  </property>
</Properties>
</file>