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2C4F75" w:rsidRDefault="002C4F75" w14:paraId="12EE9856" w14:textId="77777777">
      <w:pPr>
        <w:jc w:val="center"/>
        <w:rPr>
          <w:rFonts w:ascii="Arial" w:hAnsi="Arial" w:cs="Arial"/>
          <w:b/>
        </w:rPr>
      </w:pPr>
    </w:p>
    <w:p w:rsidRPr="002C4F75" w:rsidR="002C4F75" w:rsidP="002C4F75" w:rsidRDefault="002C4F75" w14:paraId="6656DB4E" w14:textId="77777777">
      <w:pPr>
        <w:pStyle w:val="ReportCover-Title"/>
        <w:rPr>
          <w:rFonts w:ascii="Arial" w:hAnsi="Arial" w:cs="Arial"/>
          <w:color w:val="auto"/>
        </w:rPr>
      </w:pPr>
    </w:p>
    <w:p w:rsidRPr="002C4F75" w:rsidR="00F95639" w:rsidP="00F95639" w:rsidRDefault="00F95639" w14:paraId="74ED513C" w14:textId="77777777">
      <w:pPr>
        <w:pStyle w:val="ReportCover-Title"/>
        <w:jc w:val="center"/>
        <w:rPr>
          <w:rFonts w:ascii="Arial" w:hAnsi="Arial" w:cs="Arial"/>
          <w:color w:val="auto"/>
        </w:rPr>
      </w:pPr>
      <w:r w:rsidRPr="0076105E">
        <w:rPr>
          <w:rFonts w:ascii="Arial" w:hAnsi="Arial" w:eastAsia="Arial Unicode MS" w:cs="Arial"/>
          <w:noProof/>
          <w:color w:val="auto"/>
        </w:rPr>
        <w:t>O</w:t>
      </w:r>
      <w:r>
        <w:rPr>
          <w:rFonts w:ascii="Arial" w:hAnsi="Arial" w:eastAsia="Arial Unicode MS" w:cs="Arial"/>
          <w:noProof/>
          <w:color w:val="auto"/>
        </w:rPr>
        <w:t>peration Allies Welcome (O</w:t>
      </w:r>
      <w:r w:rsidRPr="0076105E">
        <w:rPr>
          <w:rFonts w:ascii="Arial" w:hAnsi="Arial" w:eastAsia="Arial Unicode MS" w:cs="Arial"/>
          <w:noProof/>
          <w:color w:val="auto"/>
        </w:rPr>
        <w:t>AW</w:t>
      </w:r>
      <w:r>
        <w:rPr>
          <w:rFonts w:ascii="Arial" w:hAnsi="Arial" w:eastAsia="Arial Unicode MS" w:cs="Arial"/>
          <w:noProof/>
          <w:color w:val="auto"/>
        </w:rPr>
        <w:t>)</w:t>
      </w:r>
      <w:r w:rsidRPr="0076105E">
        <w:rPr>
          <w:rFonts w:ascii="Arial" w:hAnsi="Arial" w:eastAsia="Arial Unicode MS" w:cs="Arial"/>
          <w:noProof/>
          <w:color w:val="auto"/>
        </w:rPr>
        <w:t xml:space="preserve"> Resettlement </w:t>
      </w:r>
      <w:r>
        <w:rPr>
          <w:rFonts w:ascii="Arial" w:hAnsi="Arial" w:eastAsia="Arial Unicode MS" w:cs="Arial"/>
          <w:noProof/>
          <w:color w:val="auto"/>
        </w:rPr>
        <w:t>State Refugee Coordinator (</w:t>
      </w:r>
      <w:r w:rsidRPr="0076105E">
        <w:rPr>
          <w:rFonts w:ascii="Arial" w:hAnsi="Arial" w:eastAsia="Arial Unicode MS" w:cs="Arial"/>
          <w:noProof/>
          <w:color w:val="auto"/>
        </w:rPr>
        <w:t>SRC</w:t>
      </w:r>
      <w:r>
        <w:rPr>
          <w:rFonts w:ascii="Arial" w:hAnsi="Arial" w:eastAsia="Arial Unicode MS" w:cs="Arial"/>
          <w:noProof/>
          <w:color w:val="auto"/>
        </w:rPr>
        <w:t>)</w:t>
      </w:r>
      <w:r w:rsidRPr="0076105E">
        <w:rPr>
          <w:rFonts w:ascii="Arial" w:hAnsi="Arial" w:eastAsia="Arial Unicode MS" w:cs="Arial"/>
          <w:noProof/>
          <w:color w:val="auto"/>
        </w:rPr>
        <w:t xml:space="preserve"> Monthly Report</w:t>
      </w:r>
    </w:p>
    <w:p w:rsidRPr="002C4F75" w:rsidR="002C4F75" w:rsidP="002C4F75" w:rsidRDefault="002C4F75" w14:paraId="531BA742" w14:textId="77777777">
      <w:pPr>
        <w:pStyle w:val="ReportCover-Title"/>
        <w:rPr>
          <w:rFonts w:ascii="Arial" w:hAnsi="Arial" w:cs="Arial"/>
          <w:color w:val="auto"/>
        </w:rPr>
      </w:pPr>
    </w:p>
    <w:p w:rsidRPr="004F4039" w:rsidR="00984BBF" w:rsidP="002C4F75" w:rsidRDefault="00984BBF" w14:paraId="66EC70E8" w14:textId="77777777">
      <w:pPr>
        <w:pStyle w:val="ReportCover-Title"/>
        <w:jc w:val="center"/>
        <w:rPr>
          <w:rFonts w:ascii="Arial" w:hAnsi="Arial" w:cs="Arial"/>
          <w:color w:val="auto"/>
          <w:sz w:val="32"/>
          <w:szCs w:val="32"/>
        </w:rPr>
      </w:pPr>
      <w:r w:rsidRPr="004F4039">
        <w:rPr>
          <w:rFonts w:ascii="Arial" w:hAnsi="Arial" w:cs="Arial"/>
          <w:color w:val="auto"/>
          <w:sz w:val="32"/>
          <w:szCs w:val="32"/>
        </w:rPr>
        <w:t>Formative Data Collections for Program Support</w:t>
      </w:r>
    </w:p>
    <w:p w:rsidRPr="004F4039" w:rsidR="006D2637" w:rsidP="002C4F75" w:rsidRDefault="006D2637" w14:paraId="1F236595" w14:textId="77777777">
      <w:pPr>
        <w:pStyle w:val="ReportCover-Title"/>
        <w:jc w:val="center"/>
        <w:rPr>
          <w:rFonts w:ascii="Arial" w:hAnsi="Arial" w:cs="Arial"/>
          <w:color w:val="auto"/>
          <w:sz w:val="32"/>
          <w:szCs w:val="32"/>
        </w:rPr>
      </w:pPr>
    </w:p>
    <w:p w:rsidRPr="002C4F75" w:rsidR="002C4F75" w:rsidP="002C4F75" w:rsidRDefault="002C4F75" w14:paraId="2BFCD42E" w14:textId="3E0ECA84">
      <w:pPr>
        <w:pStyle w:val="ReportCover-Title"/>
        <w:jc w:val="center"/>
        <w:rPr>
          <w:rFonts w:ascii="Arial" w:hAnsi="Arial" w:cs="Arial"/>
          <w:color w:val="auto"/>
          <w:sz w:val="32"/>
          <w:szCs w:val="32"/>
        </w:rPr>
      </w:pPr>
      <w:r w:rsidRPr="004F4039">
        <w:rPr>
          <w:rFonts w:ascii="Arial" w:hAnsi="Arial" w:cs="Arial"/>
          <w:color w:val="auto"/>
          <w:sz w:val="32"/>
          <w:szCs w:val="32"/>
        </w:rPr>
        <w:t xml:space="preserve">0970 </w:t>
      </w:r>
      <w:r w:rsidRPr="004F4039" w:rsidR="00877346">
        <w:rPr>
          <w:rFonts w:ascii="Arial" w:hAnsi="Arial" w:cs="Arial"/>
          <w:color w:val="auto"/>
          <w:sz w:val="32"/>
          <w:szCs w:val="32"/>
        </w:rPr>
        <w:t>–</w:t>
      </w:r>
      <w:r w:rsidRPr="004F4039">
        <w:rPr>
          <w:rFonts w:ascii="Arial" w:hAnsi="Arial" w:cs="Arial"/>
          <w:color w:val="auto"/>
          <w:sz w:val="32"/>
          <w:szCs w:val="32"/>
        </w:rPr>
        <w:t xml:space="preserve"> </w:t>
      </w:r>
      <w:r w:rsidRPr="004F4039" w:rsidR="006D2637">
        <w:rPr>
          <w:rFonts w:ascii="Arial" w:hAnsi="Arial" w:cs="Arial"/>
          <w:color w:val="auto"/>
          <w:sz w:val="32"/>
          <w:szCs w:val="32"/>
        </w:rPr>
        <w:t>0</w:t>
      </w:r>
      <w:r w:rsidRPr="004F4039" w:rsidR="004F4039">
        <w:rPr>
          <w:rFonts w:ascii="Arial" w:hAnsi="Arial" w:cs="Arial"/>
          <w:color w:val="auto"/>
          <w:sz w:val="32"/>
          <w:szCs w:val="32"/>
        </w:rPr>
        <w:t>531</w:t>
      </w:r>
    </w:p>
    <w:p w:rsidRPr="002C4F75" w:rsidR="002C4F75" w:rsidP="002C4F75" w:rsidRDefault="002C4F75" w14:paraId="1D64B464" w14:textId="77777777">
      <w:pPr>
        <w:rPr>
          <w:rFonts w:ascii="Arial" w:hAnsi="Arial" w:cs="Arial"/>
          <w:szCs w:val="22"/>
        </w:rPr>
      </w:pPr>
    </w:p>
    <w:p w:rsidRPr="002C4F75" w:rsidR="002C4F75" w:rsidP="002C4F75" w:rsidRDefault="002C4F75" w14:paraId="3B692556" w14:textId="77777777">
      <w:pPr>
        <w:pStyle w:val="ReportCover-Date"/>
        <w:jc w:val="center"/>
        <w:rPr>
          <w:rFonts w:ascii="Arial" w:hAnsi="Arial" w:cs="Arial"/>
          <w:color w:val="auto"/>
        </w:rPr>
      </w:pPr>
    </w:p>
    <w:p w:rsidRPr="002C4F75" w:rsidR="002C4F75" w:rsidP="002C4F75"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2C4F75"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2C4F75" w:rsidRDefault="003C092D" w14:paraId="153EDE13" w14:textId="54586EA8">
      <w:pPr>
        <w:pStyle w:val="ReportCover-Date"/>
        <w:jc w:val="center"/>
        <w:rPr>
          <w:rFonts w:ascii="Arial" w:hAnsi="Arial" w:cs="Arial"/>
          <w:color w:val="auto"/>
        </w:rPr>
      </w:pPr>
      <w:r>
        <w:rPr>
          <w:rFonts w:ascii="Arial" w:hAnsi="Arial" w:cs="Arial"/>
          <w:color w:val="auto"/>
        </w:rPr>
        <w:t>April</w:t>
      </w:r>
      <w:r w:rsidRPr="007A0612" w:rsidR="007A0612">
        <w:rPr>
          <w:rFonts w:ascii="Arial" w:hAnsi="Arial" w:cs="Arial"/>
          <w:color w:val="auto"/>
        </w:rPr>
        <w:t xml:space="preserve"> 2022</w:t>
      </w:r>
    </w:p>
    <w:p w:rsidRPr="002C4F75" w:rsidR="002C4F75" w:rsidP="002C4F75" w:rsidRDefault="002C4F75" w14:paraId="27DA3839" w14:textId="77777777">
      <w:pPr>
        <w:jc w:val="center"/>
        <w:rPr>
          <w:rFonts w:ascii="Arial" w:hAnsi="Arial" w:cs="Arial"/>
        </w:rPr>
      </w:pPr>
    </w:p>
    <w:p w:rsidRPr="002C4F75" w:rsidR="002C4F75" w:rsidP="002C4F75" w:rsidRDefault="002C4F75" w14:paraId="79ABBAD2" w14:textId="77777777">
      <w:pPr>
        <w:jc w:val="center"/>
        <w:rPr>
          <w:rFonts w:ascii="Arial" w:hAnsi="Arial" w:cs="Arial"/>
        </w:rPr>
      </w:pPr>
      <w:r w:rsidRPr="002C4F75">
        <w:rPr>
          <w:rFonts w:ascii="Arial" w:hAnsi="Arial" w:cs="Arial"/>
        </w:rPr>
        <w:t>Submitted By:</w:t>
      </w:r>
    </w:p>
    <w:p w:rsidRPr="002C4F75" w:rsidR="00C140A5" w:rsidP="00C140A5" w:rsidRDefault="00C140A5" w14:paraId="441F51A5" w14:textId="77777777">
      <w:pPr>
        <w:jc w:val="center"/>
        <w:rPr>
          <w:rFonts w:ascii="Arial" w:hAnsi="Arial" w:cs="Arial"/>
        </w:rPr>
      </w:pPr>
      <w:r w:rsidRPr="007344A6">
        <w:rPr>
          <w:rFonts w:ascii="Arial" w:hAnsi="Arial" w:cs="Arial"/>
        </w:rPr>
        <w:t>Office of Refugee Resettlement</w:t>
      </w:r>
    </w:p>
    <w:p w:rsidRPr="002C4F75" w:rsidR="002C4F75" w:rsidP="002C4F75"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2C4F75"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2C4F75" w:rsidRDefault="002C4F75" w14:paraId="5BB8A166" w14:textId="77777777">
      <w:pPr>
        <w:jc w:val="center"/>
        <w:rPr>
          <w:rFonts w:ascii="Arial" w:hAnsi="Arial" w:cs="Arial"/>
        </w:rPr>
      </w:pPr>
    </w:p>
    <w:p w:rsidRPr="002C4F75" w:rsidR="002C4F75" w:rsidP="002C4F75" w:rsidRDefault="00436F5E" w14:paraId="55149FF8"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2C4F75"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2C4F75"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2C4F75" w:rsidRDefault="002C4F75" w14:paraId="258A9347" w14:textId="77777777">
      <w:pPr>
        <w:jc w:val="center"/>
        <w:rPr>
          <w:rFonts w:ascii="Arial" w:hAnsi="Arial" w:cs="Arial"/>
        </w:rPr>
      </w:pPr>
    </w:p>
    <w:p w:rsidR="002C4F75" w:rsidP="002C4F75" w:rsidRDefault="002C4F75" w14:paraId="5040D306" w14:textId="4CEBED3B">
      <w:pPr>
        <w:jc w:val="center"/>
        <w:rPr>
          <w:rFonts w:ascii="Arial" w:hAnsi="Arial" w:cs="Arial"/>
        </w:rPr>
      </w:pPr>
      <w:r w:rsidRPr="00BE7952">
        <w:rPr>
          <w:rFonts w:ascii="Arial" w:hAnsi="Arial" w:cs="Arial"/>
        </w:rPr>
        <w:t>Project Officers:</w:t>
      </w:r>
    </w:p>
    <w:p w:rsidRPr="002C4F75" w:rsidR="002B36BE" w:rsidP="002C4F75" w:rsidRDefault="002B36BE" w14:paraId="11F8D943" w14:textId="77777777">
      <w:pPr>
        <w:jc w:val="center"/>
        <w:rPr>
          <w:rFonts w:ascii="Arial" w:hAnsi="Arial" w:cs="Arial"/>
        </w:rPr>
      </w:pPr>
    </w:p>
    <w:p w:rsidR="00774F70" w:rsidP="00774F70" w:rsidRDefault="00774F70" w14:paraId="331B346A" w14:textId="797F37E1">
      <w:pPr>
        <w:jc w:val="center"/>
        <w:rPr>
          <w:rFonts w:ascii="Arial" w:hAnsi="Arial" w:cs="Arial"/>
        </w:rPr>
      </w:pPr>
      <w:r w:rsidRPr="00A23D89">
        <w:rPr>
          <w:rFonts w:ascii="Arial" w:hAnsi="Arial" w:cs="Arial"/>
        </w:rPr>
        <w:t>Carl Rubenstein</w:t>
      </w:r>
    </w:p>
    <w:p w:rsidR="00406AF2" w:rsidP="00774F70" w:rsidRDefault="00774F70" w14:paraId="696A44EB" w14:textId="35B683BA">
      <w:pPr>
        <w:jc w:val="center"/>
        <w:rPr>
          <w:b/>
        </w:rPr>
      </w:pPr>
      <w:r w:rsidRPr="00A23D89">
        <w:rPr>
          <w:rFonts w:ascii="Arial" w:hAnsi="Arial" w:cs="Arial"/>
        </w:rPr>
        <w:t>Director, Division of Refugee Assistance (DRA)</w:t>
      </w:r>
      <w:r w:rsidR="00406AF2">
        <w:rPr>
          <w:b/>
        </w:rPr>
        <w:br w:type="page"/>
      </w:r>
    </w:p>
    <w:p w:rsidRPr="000D53DF" w:rsidR="00945CD6" w:rsidP="00436F5E" w:rsidRDefault="00292B70" w14:paraId="63932BF7" w14:textId="378AF874">
      <w:pPr>
        <w:spacing w:after="120"/>
        <w:rPr>
          <w:b/>
        </w:rPr>
      </w:pPr>
      <w:r w:rsidRPr="000D53DF">
        <w:rPr>
          <w:b/>
        </w:rPr>
        <w:lastRenderedPageBreak/>
        <w:t xml:space="preserve">A1. </w:t>
      </w:r>
      <w:r w:rsidRPr="000D53DF" w:rsidR="00945CD6">
        <w:rPr>
          <w:b/>
        </w:rPr>
        <w:t>Necessity for the Data Collection</w:t>
      </w:r>
    </w:p>
    <w:p w:rsidRPr="00467C3C" w:rsidR="00984CA2" w:rsidP="0084640C" w:rsidRDefault="00984CA2" w14:paraId="64CE4BD1" w14:textId="6466584A">
      <w:r w:rsidRPr="00467C3C">
        <w:t>The Administration for Children and Families (ACF) at the U.S. Department of Health and Human Services (HHS) seeks approval for</w:t>
      </w:r>
      <w:r w:rsidRPr="00467C3C" w:rsidR="0084640C">
        <w:t xml:space="preserve"> </w:t>
      </w:r>
      <w:r w:rsidR="00E16DBC">
        <w:t xml:space="preserve">the </w:t>
      </w:r>
      <w:r w:rsidRPr="00467C3C" w:rsidR="0084640C">
        <w:t xml:space="preserve">Operation Allies Welcome (OAW) Resettlement State Refugee Coordinator (SRC) Monthly Report. </w:t>
      </w:r>
    </w:p>
    <w:p w:rsidRPr="00467C3C" w:rsidR="0084640C" w:rsidP="0084640C" w:rsidRDefault="0084640C" w14:paraId="53D6BC22" w14:textId="77777777"/>
    <w:p w:rsidRPr="00467C3C" w:rsidR="00984BBF" w:rsidP="00436F5E" w:rsidRDefault="00984BBF" w14:paraId="593F740E" w14:textId="77777777">
      <w:pPr>
        <w:pStyle w:val="Heading4"/>
        <w:numPr>
          <w:ilvl w:val="3"/>
          <w:numId w:val="0"/>
        </w:numPr>
        <w:tabs>
          <w:tab w:val="num" w:pos="180"/>
        </w:tabs>
        <w:spacing w:before="60" w:line="264" w:lineRule="auto"/>
        <w:rPr>
          <w:rFonts w:ascii="Times New Roman" w:hAnsi="Times New Roman"/>
          <w:b w:val="0"/>
          <w:sz w:val="24"/>
          <w:szCs w:val="24"/>
        </w:rPr>
      </w:pPr>
      <w:r w:rsidRPr="00467C3C">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Pr="00467C3C" w:rsidR="00984BBF" w:rsidP="00984BBF" w:rsidRDefault="00984BBF" w14:paraId="725422D6" w14:textId="2013E231">
      <w:pPr>
        <w:pStyle w:val="ListParagraph"/>
        <w:numPr>
          <w:ilvl w:val="0"/>
          <w:numId w:val="18"/>
        </w:numPr>
        <w:ind w:left="720"/>
        <w:rPr>
          <w:sz w:val="24"/>
          <w:szCs w:val="24"/>
        </w:rPr>
      </w:pPr>
      <w:r w:rsidRPr="00467C3C">
        <w:rPr>
          <w:sz w:val="24"/>
          <w:szCs w:val="24"/>
        </w:rPr>
        <w:t>Delivery of targeted assistance and workflows related to program implementation or the development or refinement of program and grantee processes</w:t>
      </w:r>
      <w:r w:rsidRPr="00467C3C" w:rsidR="004A6E5E">
        <w:rPr>
          <w:sz w:val="24"/>
          <w:szCs w:val="24"/>
        </w:rPr>
        <w:t>.</w:t>
      </w:r>
    </w:p>
    <w:p w:rsidRPr="00467C3C" w:rsidR="00984BBF" w:rsidP="00984BBF" w:rsidRDefault="00984BBF" w14:paraId="20C95F35" w14:textId="77777777">
      <w:pPr>
        <w:pStyle w:val="ListParagraph"/>
        <w:numPr>
          <w:ilvl w:val="0"/>
          <w:numId w:val="18"/>
        </w:numPr>
        <w:ind w:left="720"/>
        <w:rPr>
          <w:sz w:val="24"/>
          <w:szCs w:val="24"/>
        </w:rPr>
      </w:pPr>
      <w:r w:rsidRPr="00467C3C">
        <w:rPr>
          <w:sz w:val="24"/>
          <w:szCs w:val="24"/>
        </w:rPr>
        <w:t>Planning for provision of programmatic or evaluation-related training or technical assistance (T/TA).</w:t>
      </w:r>
    </w:p>
    <w:p w:rsidRPr="00984BBF" w:rsidR="00984BBF" w:rsidP="00984BBF" w:rsidRDefault="00984BBF" w14:paraId="32F118BE" w14:textId="77777777">
      <w:pPr>
        <w:rPr>
          <w:highlight w:val="yellow"/>
        </w:rPr>
      </w:pPr>
    </w:p>
    <w:p w:rsidRPr="00177982" w:rsidR="00984CA2" w:rsidP="00436F5E" w:rsidRDefault="00984CA2" w14:paraId="34493FD2" w14:textId="2B81EE30">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Pr="00467C3C" w:rsidR="00F86B3D" w:rsidP="00F86B3D" w:rsidRDefault="00F86B3D" w14:paraId="1D03D750" w14:textId="7DC6E841">
      <w:r w:rsidRPr="00467C3C">
        <w:t xml:space="preserve">As part of OAW, a significant number of Afghan arrivals are being resettled, including humanitarian parolees.  The nature and scale of rapid influx of Afghan evacuees is unprecedented and is made more challenging by the reduction in resettlement capacity over the past several years.  As a result, states may need additional resources and T/TA to adequately meet the needs of these arrivals.  </w:t>
      </w:r>
      <w:r w:rsidR="00E16DBC">
        <w:t xml:space="preserve">SRCs and </w:t>
      </w:r>
      <w:r w:rsidRPr="00467C3C" w:rsidR="00E16DBC">
        <w:t>State Refugee Health Coordinators (</w:t>
      </w:r>
      <w:r w:rsidR="00E16DBC">
        <w:t>SRHC) understand the specific needs within their states and can provide ORR with valuable information to inform</w:t>
      </w:r>
      <w:r w:rsidRPr="00E16DBC" w:rsidR="00E16DBC">
        <w:t xml:space="preserve"> </w:t>
      </w:r>
      <w:r w:rsidRPr="00467C3C" w:rsidR="00E16DBC">
        <w:t xml:space="preserve">timely and appropriate targeted support </w:t>
      </w:r>
      <w:r w:rsidR="00E16DBC">
        <w:t xml:space="preserve">from ORR. </w:t>
      </w:r>
      <w:r w:rsidR="0013327C">
        <w:t xml:space="preserve"> </w:t>
      </w:r>
      <w:r w:rsidR="00E16DBC">
        <w:t xml:space="preserve">This includes support for </w:t>
      </w:r>
      <w:r w:rsidRPr="00467C3C" w:rsidR="00E16DBC">
        <w:t>program implementation</w:t>
      </w:r>
      <w:r w:rsidR="00E16DBC">
        <w:t>,</w:t>
      </w:r>
      <w:r w:rsidRPr="00E16DBC" w:rsidR="00E16DBC">
        <w:t xml:space="preserve"> </w:t>
      </w:r>
      <w:r w:rsidR="00E16DBC">
        <w:t xml:space="preserve">development of T/TA, and information to inform </w:t>
      </w:r>
      <w:r w:rsidRPr="00467C3C" w:rsidR="00E16DBC">
        <w:t>program decisions on program refinement</w:t>
      </w:r>
      <w:r w:rsidR="00E16DBC">
        <w:t xml:space="preserve">, </w:t>
      </w:r>
      <w:r w:rsidRPr="00467C3C" w:rsidR="00E16DBC">
        <w:t>development and process</w:t>
      </w:r>
      <w:r w:rsidR="00E16DBC">
        <w:t xml:space="preserve">es. </w:t>
      </w:r>
    </w:p>
    <w:p w:rsidRPr="00F86B3D" w:rsidR="00F86B3D" w:rsidP="00F86B3D" w:rsidRDefault="00F86B3D" w14:paraId="1522B60F" w14:textId="77777777"/>
    <w:p w:rsidRPr="00177982" w:rsidR="00984CA2" w:rsidP="00661C17" w:rsidRDefault="00984CA2" w14:paraId="742B4ABD" w14:textId="07C1486B">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Pr="00467C3C" w:rsidR="00BE7952" w:rsidP="00292B70" w:rsidRDefault="001854E0" w14:paraId="51D13214" w14:textId="22FF7F84">
      <w:r w:rsidRPr="00467C3C">
        <w:t>There are no legal or administrative requirements that necessitate the collection. ACF is undertaking the collection at the discretion of the agency.</w:t>
      </w:r>
    </w:p>
    <w:p w:rsidR="001854E0" w:rsidP="00292B70" w:rsidRDefault="001854E0" w14:paraId="2BD13B17" w14:textId="69BD1172">
      <w:pPr>
        <w:rPr>
          <w:b/>
        </w:rPr>
      </w:pPr>
    </w:p>
    <w:p w:rsidR="003C092D" w:rsidP="00292B70" w:rsidRDefault="003C092D" w14:paraId="155329E5" w14:textId="77777777">
      <w:pPr>
        <w:rPr>
          <w:b/>
        </w:rPr>
      </w:pPr>
    </w:p>
    <w:p w:rsidRPr="0072204D" w:rsidR="00945CD6" w:rsidP="00436F5E" w:rsidRDefault="00292B70" w14:paraId="617B0354" w14:textId="77777777">
      <w:pPr>
        <w:spacing w:after="120"/>
        <w:rPr>
          <w:b/>
        </w:rPr>
      </w:pPr>
      <w:r>
        <w:rPr>
          <w:b/>
        </w:rPr>
        <w:t xml:space="preserve">A2. </w:t>
      </w:r>
      <w:r w:rsidRPr="0072204D" w:rsidR="00945CD6">
        <w:rPr>
          <w:b/>
        </w:rPr>
        <w:t>Purpose of Survey and Data Collection Procedures</w:t>
      </w:r>
    </w:p>
    <w:p w:rsidRPr="00177982" w:rsidR="00984CA2" w:rsidP="00436F5E" w:rsidRDefault="00984CA2" w14:paraId="473B9418" w14:textId="77777777">
      <w:pPr>
        <w:spacing w:after="60"/>
        <w:rPr>
          <w:b/>
          <w:i/>
        </w:rPr>
      </w:pPr>
      <w:r w:rsidRPr="00177982">
        <w:rPr>
          <w:b/>
          <w:i/>
        </w:rPr>
        <w:t>Overview of Purpose and Approach</w:t>
      </w:r>
    </w:p>
    <w:p w:rsidR="004B59C0" w:rsidP="00513E4C" w:rsidRDefault="00B000F9" w14:paraId="1CF81BF4" w14:textId="5BB5528C">
      <w:r w:rsidRPr="00467C3C">
        <w:t xml:space="preserve">ORR proposes to collect </w:t>
      </w:r>
      <w:r>
        <w:t>p</w:t>
      </w:r>
      <w:r w:rsidRPr="00467C3C" w:rsidR="00A43B0B">
        <w:t>rogram</w:t>
      </w:r>
      <w:r w:rsidR="00792791">
        <w:t>matic</w:t>
      </w:r>
      <w:r w:rsidRPr="00467C3C" w:rsidR="00A43B0B">
        <w:t xml:space="preserve"> implementation, budget</w:t>
      </w:r>
      <w:r w:rsidR="00792791">
        <w:t xml:space="preserve"> deployment</w:t>
      </w:r>
      <w:r w:rsidRPr="00467C3C" w:rsidR="00A43B0B">
        <w:t>, and process</w:t>
      </w:r>
      <w:r w:rsidR="00C23853">
        <w:t>-</w:t>
      </w:r>
      <w:r w:rsidRPr="00467C3C" w:rsidR="00A43B0B">
        <w:t xml:space="preserve">related information </w:t>
      </w:r>
      <w:r w:rsidRPr="00467C3C">
        <w:t xml:space="preserve">from the SRCs and SRHCs </w:t>
      </w:r>
      <w:r w:rsidRPr="00467C3C" w:rsidR="00A43B0B">
        <w:t xml:space="preserve">from the </w:t>
      </w:r>
      <w:r w:rsidRPr="00467C3C" w:rsidR="00744B34">
        <w:t>states with the highest numbers of Afghan arrivals</w:t>
      </w:r>
      <w:r w:rsidR="005E4BA9">
        <w:t>, and states participating in the State Afghan Placement Assistance (SAPA) program</w:t>
      </w:r>
      <w:r>
        <w:t>.</w:t>
      </w:r>
    </w:p>
    <w:p w:rsidR="004B59C0" w:rsidP="00513E4C" w:rsidRDefault="004B59C0" w14:paraId="5B275EF1" w14:textId="77777777"/>
    <w:p w:rsidRPr="00467C3C" w:rsidR="00182CAF" w:rsidP="00182CAF" w:rsidRDefault="00182CAF" w14:paraId="632E1733" w14:textId="4C05CB77">
      <w:r>
        <w:t>The purpose of this information collection is to inform ORR’s internal planning</w:t>
      </w:r>
      <w:r w:rsidR="00BE51C0">
        <w:t xml:space="preserve"> </w:t>
      </w:r>
      <w:r>
        <w:t xml:space="preserve">and the </w:t>
      </w:r>
      <w:r w:rsidRPr="00467C3C">
        <w:t>timely decision</w:t>
      </w:r>
      <w:r>
        <w:t>s</w:t>
      </w:r>
      <w:r w:rsidRPr="00467C3C">
        <w:t xml:space="preserve"> on delivering targeted assistance </w:t>
      </w:r>
      <w:r w:rsidR="00BE51C0">
        <w:t xml:space="preserve">to programs and states who face challenges in areas such as housing, legal, health, and school enrollment </w:t>
      </w:r>
      <w:r>
        <w:t>(such as deploying different types of housing staff and providing resources to increase medical screening sites).</w:t>
      </w:r>
      <w:r w:rsidRPr="002E0AC9">
        <w:t xml:space="preserve"> </w:t>
      </w:r>
      <w:r w:rsidR="002716F3">
        <w:t xml:space="preserve"> </w:t>
      </w:r>
      <w:r w:rsidRPr="00C602ED">
        <w:t xml:space="preserve">The data collected will help ORR identify </w:t>
      </w:r>
      <w:r>
        <w:t>targeted T/TA</w:t>
      </w:r>
      <w:r w:rsidRPr="00C602ED">
        <w:t xml:space="preserve"> needs</w:t>
      </w:r>
      <w:r>
        <w:t xml:space="preserve"> </w:t>
      </w:r>
      <w:r w:rsidRPr="00467C3C">
        <w:t>related to program implementation</w:t>
      </w:r>
      <w:r>
        <w:t>, medical screening process modification</w:t>
      </w:r>
      <w:r w:rsidR="007E5D8C">
        <w:t>s</w:t>
      </w:r>
      <w:r>
        <w:t>, and funding deployment.</w:t>
      </w:r>
      <w:r w:rsidRPr="00467C3C">
        <w:t xml:space="preserve"> </w:t>
      </w:r>
      <w:r>
        <w:t xml:space="preserve"> Information collected will also inform ORR to make timely </w:t>
      </w:r>
      <w:r w:rsidRPr="00467C3C">
        <w:t xml:space="preserve">refinement </w:t>
      </w:r>
      <w:r>
        <w:t>of program and grantee process</w:t>
      </w:r>
      <w:r w:rsidR="007E5D8C">
        <w:t>es related to</w:t>
      </w:r>
      <w:r>
        <w:t xml:space="preserve"> the newly </w:t>
      </w:r>
      <w:r>
        <w:lastRenderedPageBreak/>
        <w:t>added program component such as Support to School (S2S) and legal assistance</w:t>
      </w:r>
      <w:r w:rsidRPr="00467C3C" w:rsidR="00A43B0B">
        <w:t>.</w:t>
      </w:r>
      <w:r w:rsidR="00226F52">
        <w:t xml:space="preserve"> </w:t>
      </w:r>
      <w:r>
        <w:t xml:space="preserve"> Limited and a</w:t>
      </w:r>
      <w:r w:rsidRPr="00CE1F36">
        <w:t xml:space="preserve">ggregated </w:t>
      </w:r>
      <w:r>
        <w:t>tabulations and descriptive summaries might</w:t>
      </w:r>
      <w:r w:rsidRPr="00CE1F36">
        <w:t xml:space="preserve"> be shared</w:t>
      </w:r>
      <w:r>
        <w:t xml:space="preserve"> with </w:t>
      </w:r>
      <w:r w:rsidRPr="00CE1F36">
        <w:t>states</w:t>
      </w:r>
      <w:r>
        <w:t xml:space="preserve">, resettlement agencies, </w:t>
      </w:r>
      <w:r w:rsidRPr="00CE1F36">
        <w:t>service providers</w:t>
      </w:r>
      <w:r>
        <w:t xml:space="preserve">, technical assistance providers, and partnering federal resettlement agencies upon request and approval </w:t>
      </w:r>
      <w:r w:rsidR="003C092D">
        <w:t xml:space="preserve">by ORR leadership </w:t>
      </w:r>
      <w:r>
        <w:t xml:space="preserve">to facilitate bilateral discussions and inform ORR decisions on specific </w:t>
      </w:r>
      <w:r w:rsidRPr="00CE1F36">
        <w:t xml:space="preserve">targeted assistance related to program implementation, refinement </w:t>
      </w:r>
      <w:r>
        <w:t>of current grantee process</w:t>
      </w:r>
      <w:r w:rsidRPr="00CE1F36">
        <w:t>, and provision of programmatic or evaluation-related T/TA</w:t>
      </w:r>
      <w:r>
        <w:t xml:space="preserve"> to these stakeholders.  </w:t>
      </w:r>
    </w:p>
    <w:p w:rsidR="00744B34" w:rsidP="000B7D13" w:rsidRDefault="00744B34" w14:paraId="5836DC9C" w14:textId="613436C6"/>
    <w:p w:rsidR="00A44209" w:rsidP="00436F5E" w:rsidRDefault="00E16DBC" w14:paraId="431271B8" w14:textId="44B57792">
      <w:pPr>
        <w:spacing w:after="60"/>
        <w:rPr>
          <w:b/>
          <w:i/>
        </w:rPr>
      </w:pPr>
      <w:r>
        <w:rPr>
          <w:b/>
          <w:i/>
        </w:rPr>
        <w:t>Guiding</w:t>
      </w:r>
      <w:r w:rsidRPr="00F56E91">
        <w:rPr>
          <w:b/>
          <w:i/>
        </w:rPr>
        <w:t xml:space="preserve"> </w:t>
      </w:r>
      <w:r w:rsidRPr="00F56E91" w:rsidR="00A44209">
        <w:rPr>
          <w:b/>
          <w:i/>
        </w:rPr>
        <w:t>Questions</w:t>
      </w:r>
    </w:p>
    <w:p w:rsidRPr="005761EF" w:rsidR="00325A92" w:rsidP="005761EF" w:rsidRDefault="005761EF" w14:paraId="20904853" w14:textId="319E5719">
      <w:pPr>
        <w:pStyle w:val="ListParagraph"/>
        <w:numPr>
          <w:ilvl w:val="0"/>
          <w:numId w:val="22"/>
        </w:numPr>
        <w:spacing w:after="60"/>
        <w:rPr>
          <w:bCs/>
          <w:iCs/>
          <w:sz w:val="24"/>
          <w:szCs w:val="24"/>
        </w:rPr>
      </w:pPr>
      <w:r w:rsidRPr="005761EF">
        <w:rPr>
          <w:bCs/>
          <w:iCs/>
          <w:sz w:val="24"/>
          <w:szCs w:val="24"/>
        </w:rPr>
        <w:t xml:space="preserve">How do different types of housing staff support Afghans’ transition </w:t>
      </w:r>
      <w:r>
        <w:rPr>
          <w:bCs/>
          <w:iCs/>
          <w:sz w:val="24"/>
          <w:szCs w:val="24"/>
        </w:rPr>
        <w:t xml:space="preserve">from short-term </w:t>
      </w:r>
      <w:r w:rsidRPr="005761EF">
        <w:rPr>
          <w:bCs/>
          <w:iCs/>
          <w:sz w:val="24"/>
          <w:szCs w:val="24"/>
        </w:rPr>
        <w:t>to long-term housing?</w:t>
      </w:r>
    </w:p>
    <w:p w:rsidRPr="005761EF" w:rsidR="005761EF" w:rsidP="005761EF" w:rsidRDefault="005761EF" w14:paraId="107965AF" w14:textId="27C1A817">
      <w:pPr>
        <w:pStyle w:val="ListParagraph"/>
        <w:numPr>
          <w:ilvl w:val="0"/>
          <w:numId w:val="22"/>
        </w:numPr>
        <w:spacing w:after="60"/>
        <w:rPr>
          <w:bCs/>
          <w:iCs/>
          <w:sz w:val="24"/>
          <w:szCs w:val="24"/>
        </w:rPr>
      </w:pPr>
      <w:r w:rsidRPr="005761EF">
        <w:rPr>
          <w:bCs/>
          <w:iCs/>
          <w:sz w:val="24"/>
          <w:szCs w:val="24"/>
        </w:rPr>
        <w:t xml:space="preserve">What </w:t>
      </w:r>
      <w:r w:rsidR="006F37DA">
        <w:rPr>
          <w:bCs/>
          <w:iCs/>
          <w:sz w:val="24"/>
          <w:szCs w:val="24"/>
        </w:rPr>
        <w:t xml:space="preserve">T/TA </w:t>
      </w:r>
      <w:r w:rsidR="00493956">
        <w:rPr>
          <w:bCs/>
          <w:iCs/>
          <w:sz w:val="24"/>
          <w:szCs w:val="24"/>
        </w:rPr>
        <w:t xml:space="preserve">can </w:t>
      </w:r>
      <w:r w:rsidRPr="005761EF">
        <w:rPr>
          <w:bCs/>
          <w:iCs/>
          <w:sz w:val="24"/>
          <w:szCs w:val="24"/>
        </w:rPr>
        <w:t xml:space="preserve">ORR provide to facilitate states and program deploying budgeted funding to provide </w:t>
      </w:r>
      <w:r w:rsidR="006F37DA">
        <w:rPr>
          <w:bCs/>
          <w:iCs/>
          <w:sz w:val="24"/>
          <w:szCs w:val="24"/>
        </w:rPr>
        <w:t xml:space="preserve">timely </w:t>
      </w:r>
      <w:r w:rsidRPr="005761EF">
        <w:rPr>
          <w:bCs/>
          <w:iCs/>
          <w:sz w:val="24"/>
          <w:szCs w:val="24"/>
        </w:rPr>
        <w:t>services in housing, legal assistance, health, and schooling?</w:t>
      </w:r>
    </w:p>
    <w:p w:rsidR="005761EF" w:rsidP="005761EF" w:rsidRDefault="006F37DA" w14:paraId="34C4ED76" w14:textId="42C9ADE2">
      <w:pPr>
        <w:pStyle w:val="ListParagraph"/>
        <w:numPr>
          <w:ilvl w:val="0"/>
          <w:numId w:val="22"/>
        </w:numPr>
        <w:spacing w:after="60"/>
        <w:rPr>
          <w:bCs/>
          <w:iCs/>
          <w:sz w:val="24"/>
          <w:szCs w:val="24"/>
        </w:rPr>
      </w:pPr>
      <w:r>
        <w:rPr>
          <w:bCs/>
          <w:iCs/>
          <w:sz w:val="24"/>
          <w:szCs w:val="24"/>
        </w:rPr>
        <w:t xml:space="preserve">How are ORR’s services </w:t>
      </w:r>
      <w:r w:rsidR="005761EF">
        <w:rPr>
          <w:bCs/>
          <w:iCs/>
          <w:sz w:val="24"/>
          <w:szCs w:val="24"/>
        </w:rPr>
        <w:t xml:space="preserve">associated with </w:t>
      </w:r>
      <w:r>
        <w:rPr>
          <w:bCs/>
          <w:iCs/>
          <w:sz w:val="24"/>
          <w:szCs w:val="24"/>
        </w:rPr>
        <w:t xml:space="preserve">Afghan employment outcomes? </w:t>
      </w:r>
    </w:p>
    <w:p w:rsidRPr="00493956" w:rsidR="005761EF" w:rsidP="00493956" w:rsidRDefault="00493956" w14:paraId="5D675483" w14:textId="2020FBD2">
      <w:pPr>
        <w:pStyle w:val="ListParagraph"/>
        <w:numPr>
          <w:ilvl w:val="0"/>
          <w:numId w:val="22"/>
        </w:numPr>
        <w:spacing w:after="60"/>
        <w:rPr>
          <w:bCs/>
          <w:iCs/>
          <w:sz w:val="24"/>
          <w:szCs w:val="24"/>
        </w:rPr>
      </w:pPr>
      <w:r>
        <w:rPr>
          <w:bCs/>
          <w:iCs/>
          <w:sz w:val="24"/>
          <w:szCs w:val="24"/>
        </w:rPr>
        <w:t xml:space="preserve">What challenges do </w:t>
      </w:r>
      <w:r w:rsidRPr="00493956" w:rsidR="005761EF">
        <w:rPr>
          <w:bCs/>
          <w:iCs/>
          <w:sz w:val="24"/>
          <w:szCs w:val="24"/>
        </w:rPr>
        <w:t>grantee and service providers</w:t>
      </w:r>
      <w:r w:rsidRPr="00493956" w:rsidR="006F37DA">
        <w:rPr>
          <w:bCs/>
          <w:iCs/>
          <w:sz w:val="24"/>
          <w:szCs w:val="24"/>
        </w:rPr>
        <w:t xml:space="preserve"> </w:t>
      </w:r>
      <w:r>
        <w:rPr>
          <w:bCs/>
          <w:iCs/>
          <w:sz w:val="24"/>
          <w:szCs w:val="24"/>
        </w:rPr>
        <w:t xml:space="preserve">face </w:t>
      </w:r>
      <w:r w:rsidRPr="00493956" w:rsidR="006F37DA">
        <w:rPr>
          <w:bCs/>
          <w:iCs/>
          <w:sz w:val="24"/>
          <w:szCs w:val="24"/>
        </w:rPr>
        <w:t>to increase medical screening sites or modify current medical screening process to meet the needs of Afghans?</w:t>
      </w:r>
      <w:r w:rsidRPr="00493956">
        <w:rPr>
          <w:bCs/>
          <w:iCs/>
          <w:sz w:val="24"/>
          <w:szCs w:val="24"/>
        </w:rPr>
        <w:t xml:space="preserve"> </w:t>
      </w:r>
      <w:r>
        <w:rPr>
          <w:bCs/>
          <w:iCs/>
          <w:sz w:val="24"/>
          <w:szCs w:val="24"/>
        </w:rPr>
        <w:t>What T/TA and resources can ORR provide to address these challenges?</w:t>
      </w:r>
    </w:p>
    <w:p w:rsidRPr="0059094A" w:rsidR="006F37DA" w:rsidP="003C092D" w:rsidRDefault="006F37DA" w14:paraId="3F93E096" w14:textId="782B8E78">
      <w:pPr>
        <w:pStyle w:val="ListParagraph"/>
        <w:numPr>
          <w:ilvl w:val="0"/>
          <w:numId w:val="22"/>
        </w:numPr>
        <w:rPr>
          <w:bCs/>
          <w:iCs/>
          <w:sz w:val="24"/>
          <w:szCs w:val="24"/>
        </w:rPr>
      </w:pPr>
      <w:r>
        <w:rPr>
          <w:bCs/>
          <w:iCs/>
          <w:sz w:val="24"/>
          <w:szCs w:val="24"/>
        </w:rPr>
        <w:t>How can ORR refine the new legal assistance and S2S program components to better serve the Afghans and Afghan school-age children?</w:t>
      </w:r>
    </w:p>
    <w:p w:rsidRPr="005761EF" w:rsidR="005761EF" w:rsidP="003C092D" w:rsidRDefault="005761EF" w14:paraId="66A1848F" w14:textId="77777777">
      <w:pPr>
        <w:pStyle w:val="ListParagraph"/>
        <w:rPr>
          <w:bCs/>
          <w:iCs/>
          <w:sz w:val="24"/>
          <w:szCs w:val="24"/>
        </w:rPr>
      </w:pPr>
    </w:p>
    <w:p w:rsidR="00A44209" w:rsidP="00436F5E" w:rsidRDefault="00A44209" w14:paraId="36034649" w14:textId="68B1EF26">
      <w:pPr>
        <w:spacing w:after="60"/>
        <w:rPr>
          <w:b/>
          <w:i/>
        </w:rPr>
      </w:pPr>
      <w:r>
        <w:rPr>
          <w:b/>
          <w:i/>
        </w:rPr>
        <w:t>Design</w:t>
      </w:r>
    </w:p>
    <w:p w:rsidRPr="00467C3C" w:rsidR="00984CA2" w:rsidP="004C5F51" w:rsidRDefault="00F040E9" w14:paraId="08AA4B35" w14:textId="67C2C1CD">
      <w:r w:rsidRPr="00467C3C">
        <w:t>As of March 2022, OAW Afghan evacuees have resettled into fifty states and Washington D.C.</w:t>
      </w:r>
      <w:r>
        <w:t xml:space="preserve"> T</w:t>
      </w:r>
      <w:r w:rsidRPr="00467C3C" w:rsidR="00B000F9">
        <w:t>o minimize total respondent burden and increase cost-effectiveness of data collection efforts while</w:t>
      </w:r>
      <w:r>
        <w:t xml:space="preserve"> providing valuable and usable information to ORR, we </w:t>
      </w:r>
      <w:r w:rsidRPr="00467C3C" w:rsidR="003D2A6E">
        <w:t>will select around 25 states</w:t>
      </w:r>
      <w:r w:rsidR="00D32AC2">
        <w:t xml:space="preserve"> </w:t>
      </w:r>
      <w:r w:rsidR="00A50800">
        <w:t>meeting at least one</w:t>
      </w:r>
      <w:r w:rsidR="00D32AC2">
        <w:t xml:space="preserve"> of </w:t>
      </w:r>
      <w:r w:rsidR="00A50800">
        <w:t xml:space="preserve">the </w:t>
      </w:r>
      <w:r w:rsidR="00D32AC2">
        <w:t xml:space="preserve">two criteria: (1) states </w:t>
      </w:r>
      <w:r w:rsidRPr="00467C3C" w:rsidR="003D2A6E">
        <w:t>with the highest numbers of OAW Afghan arrivals</w:t>
      </w:r>
      <w:r w:rsidR="00D32AC2">
        <w:t xml:space="preserve">, </w:t>
      </w:r>
      <w:r w:rsidR="00F82004">
        <w:t>or</w:t>
      </w:r>
      <w:r w:rsidR="00D32AC2">
        <w:t xml:space="preserve"> (2) states participating in the State Afghan Placement Assistance (SAPA) program. States participating in the SAPA program receive additional funding from ORR to resettle OAW cases, augmenting the current resettlement capacity in the state.</w:t>
      </w:r>
      <w:r w:rsidRPr="00467C3C" w:rsidR="00842B9C">
        <w:t xml:space="preserve"> </w:t>
      </w:r>
      <w:r w:rsidR="000A58FA">
        <w:t>These s</w:t>
      </w:r>
      <w:r w:rsidRPr="00467C3C" w:rsidR="000A58FA">
        <w:t xml:space="preserve">elected </w:t>
      </w:r>
      <w:r w:rsidRPr="00467C3C" w:rsidR="00842B9C">
        <w:t>states</w:t>
      </w:r>
      <w:r w:rsidRPr="00467C3C" w:rsidR="003D2A6E">
        <w:t xml:space="preserve"> accounts for about </w:t>
      </w:r>
      <w:r w:rsidRPr="00467C3C" w:rsidR="00842B9C">
        <w:t>85-</w:t>
      </w:r>
      <w:r w:rsidRPr="00467C3C" w:rsidR="003D2A6E">
        <w:t xml:space="preserve">90% of the </w:t>
      </w:r>
      <w:r w:rsidRPr="00467C3C" w:rsidR="00842B9C">
        <w:t xml:space="preserve">total </w:t>
      </w:r>
      <w:r w:rsidRPr="00467C3C" w:rsidR="003D2A6E">
        <w:t>OAW arrivals.  Respondents will be SRCs and SRHCs from these most impacted states.</w:t>
      </w:r>
    </w:p>
    <w:p w:rsidR="00984CA2" w:rsidP="00984CA2" w:rsidRDefault="00984CA2" w14:paraId="0813F471" w14:textId="77777777">
      <w:pPr>
        <w:rPr>
          <w:b/>
          <w:i/>
        </w:rPr>
      </w:pPr>
    </w:p>
    <w:p w:rsidRPr="00177982" w:rsidR="00984CA2" w:rsidP="00436F5E" w:rsidRDefault="00F040E9" w14:paraId="009551C5" w14:textId="3FBB6ACD">
      <w:pPr>
        <w:spacing w:after="60"/>
        <w:rPr>
          <w:b/>
          <w:i/>
        </w:rPr>
      </w:pPr>
      <w:r>
        <w:rPr>
          <w:b/>
          <w:i/>
        </w:rPr>
        <w:t>Information</w:t>
      </w:r>
      <w:r w:rsidR="00984CA2">
        <w:rPr>
          <w:b/>
          <w:i/>
        </w:rPr>
        <w:t xml:space="preserve"> Collection Efforts</w:t>
      </w:r>
    </w:p>
    <w:p w:rsidRPr="00467C3C" w:rsidR="004554B1" w:rsidP="003C092D" w:rsidRDefault="00F040E9" w14:paraId="5C2D1E44" w14:textId="00DCDE59">
      <w:r>
        <w:t xml:space="preserve">ORR will use the </w:t>
      </w:r>
      <w:r w:rsidRPr="00467C3C">
        <w:t>OAW Resettlement SRC Monthly Report form</w:t>
      </w:r>
      <w:r>
        <w:t xml:space="preserve"> to collect information on a monthly basis from SRCs and SRHCs in these most impacted states. </w:t>
      </w:r>
    </w:p>
    <w:p w:rsidR="008A46C2" w:rsidP="003C092D" w:rsidRDefault="008A46C2" w14:paraId="2B3DB804" w14:textId="155B7B56"/>
    <w:p w:rsidR="003C092D" w:rsidP="003C092D" w:rsidRDefault="003C092D" w14:paraId="71974351" w14:textId="77777777"/>
    <w:p w:rsidRPr="0072204D" w:rsidR="00945CD6" w:rsidP="00436F5E" w:rsidRDefault="00292B70" w14:paraId="49EEF137" w14:textId="77777777">
      <w:pPr>
        <w:spacing w:after="120"/>
        <w:rPr>
          <w:b/>
        </w:rPr>
      </w:pPr>
      <w:r>
        <w:rPr>
          <w:b/>
        </w:rPr>
        <w:t xml:space="preserve">A3. </w:t>
      </w:r>
      <w:r w:rsidRPr="0072204D" w:rsidR="00945CD6">
        <w:rPr>
          <w:b/>
        </w:rPr>
        <w:t>Improved Information Technology to Reduce Burden</w:t>
      </w:r>
    </w:p>
    <w:p w:rsidRPr="00467C3C" w:rsidR="008A46C2" w:rsidP="00467C3C" w:rsidRDefault="008A46C2" w14:paraId="6BDA7C73" w14:textId="5B1263A2">
      <w:pPr>
        <w:spacing w:after="120"/>
      </w:pPr>
      <w:r w:rsidRPr="00467C3C">
        <w:t xml:space="preserve">For each state, aggregated data will be collected by email using an Excel spreadsheet. </w:t>
      </w:r>
      <w:r w:rsidR="00854874">
        <w:t>This s</w:t>
      </w:r>
      <w:r w:rsidRPr="00467C3C">
        <w:t xml:space="preserve">preadsheet is designed and formulated to ensure data entry consistency and accuracy. </w:t>
      </w:r>
    </w:p>
    <w:p w:rsidR="005046F0" w:rsidP="005046F0" w:rsidRDefault="005046F0" w14:paraId="5804584A" w14:textId="52FE79A7">
      <w:pPr>
        <w:ind w:left="360"/>
      </w:pPr>
    </w:p>
    <w:p w:rsidR="003C092D" w:rsidP="005046F0" w:rsidRDefault="003C092D" w14:paraId="078DE5FF" w14:textId="77777777">
      <w:pPr>
        <w:ind w:left="360"/>
      </w:pPr>
    </w:p>
    <w:p w:rsidRPr="0072204D" w:rsidR="00945CD6" w:rsidP="00436F5E" w:rsidRDefault="00292B70" w14:paraId="39BBEF3E" w14:textId="77777777">
      <w:pPr>
        <w:spacing w:after="120"/>
        <w:rPr>
          <w:b/>
        </w:rPr>
      </w:pPr>
      <w:r>
        <w:rPr>
          <w:b/>
        </w:rPr>
        <w:lastRenderedPageBreak/>
        <w:t xml:space="preserve">A4. </w:t>
      </w:r>
      <w:r w:rsidRPr="0072204D" w:rsidR="00945CD6">
        <w:rPr>
          <w:b/>
        </w:rPr>
        <w:t>Efforts to Identify Duplication</w:t>
      </w:r>
    </w:p>
    <w:p w:rsidRPr="00467C3C" w:rsidR="000E0DF7" w:rsidP="003C092D" w:rsidRDefault="000E0DF7" w14:paraId="064EA9E3" w14:textId="6567A68D">
      <w:r w:rsidRPr="00467C3C">
        <w:t xml:space="preserve">ORR is sensitive to the time and resource constraints of state service providers during the surge and influx of Afghan arrivals.  ORR </w:t>
      </w:r>
      <w:r w:rsidR="00CE4DCC">
        <w:t>has developed t</w:t>
      </w:r>
      <w:r w:rsidRPr="00467C3C">
        <w:t>he OAW Resettlement SRC Monthly Report in coordination with other ORR data collection activities and</w:t>
      </w:r>
      <w:r w:rsidR="00854874">
        <w:t xml:space="preserve"> </w:t>
      </w:r>
      <w:r w:rsidR="00CE4DCC">
        <w:t xml:space="preserve">has confirmed </w:t>
      </w:r>
      <w:r w:rsidR="00854874">
        <w:t>that</w:t>
      </w:r>
      <w:r w:rsidRPr="00467C3C">
        <w:t xml:space="preserve"> there </w:t>
      </w:r>
      <w:r w:rsidR="00CE4DCC">
        <w:t>are</w:t>
      </w:r>
      <w:r w:rsidRPr="00467C3C">
        <w:t xml:space="preserve"> no duplicative data collection efforts. </w:t>
      </w:r>
    </w:p>
    <w:p w:rsidR="000E0DF7" w:rsidP="000E0DF7" w:rsidRDefault="000E0DF7" w14:paraId="483652B7" w14:textId="327AE3C0">
      <w:pPr>
        <w:rPr>
          <w:b/>
        </w:rPr>
      </w:pPr>
    </w:p>
    <w:p w:rsidR="003C092D" w:rsidP="000E0DF7" w:rsidRDefault="003C092D" w14:paraId="2F800103" w14:textId="77777777">
      <w:pPr>
        <w:rPr>
          <w:b/>
        </w:rPr>
      </w:pPr>
    </w:p>
    <w:p w:rsidRPr="0072204D" w:rsidR="00945CD6" w:rsidP="00436F5E" w:rsidRDefault="00292B70" w14:paraId="10B90123" w14:textId="77777777">
      <w:pPr>
        <w:spacing w:after="120"/>
        <w:rPr>
          <w:b/>
        </w:rPr>
      </w:pPr>
      <w:r>
        <w:rPr>
          <w:b/>
        </w:rPr>
        <w:t xml:space="preserve">A5. </w:t>
      </w:r>
      <w:r w:rsidRPr="0072204D" w:rsidR="00945CD6">
        <w:rPr>
          <w:b/>
        </w:rPr>
        <w:t>Involvement of Small Organizations</w:t>
      </w:r>
    </w:p>
    <w:p w:rsidRPr="00467C3C" w:rsidR="008C78B4" w:rsidP="003C092D" w:rsidRDefault="000E0DF7" w14:paraId="6077512E" w14:textId="29160DFD">
      <w:r w:rsidRPr="00467C3C">
        <w:t>No small organizations will be involved in the proposed data collection activities.</w:t>
      </w:r>
    </w:p>
    <w:p w:rsidR="000E0DF7" w:rsidP="00292B70" w:rsidRDefault="000E0DF7" w14:paraId="7BF0AE4C" w14:textId="5CB395C6">
      <w:pPr>
        <w:rPr>
          <w:b/>
        </w:rPr>
      </w:pPr>
    </w:p>
    <w:p w:rsidR="003C092D" w:rsidP="00292B70" w:rsidRDefault="003C092D" w14:paraId="7085A3EB" w14:textId="77777777">
      <w:pPr>
        <w:rPr>
          <w:b/>
        </w:rPr>
      </w:pPr>
    </w:p>
    <w:p w:rsidRPr="0072204D" w:rsidR="00945CD6" w:rsidP="00436F5E" w:rsidRDefault="00292B70" w14:paraId="5C724C5E" w14:textId="77777777">
      <w:pPr>
        <w:spacing w:after="120"/>
        <w:rPr>
          <w:b/>
        </w:rPr>
      </w:pPr>
      <w:r>
        <w:rPr>
          <w:b/>
        </w:rPr>
        <w:t xml:space="preserve">A6. </w:t>
      </w:r>
      <w:r w:rsidRPr="0072204D" w:rsidR="00945CD6">
        <w:rPr>
          <w:b/>
        </w:rPr>
        <w:t>Consequences of Less Frequent Data Collection</w:t>
      </w:r>
    </w:p>
    <w:p w:rsidR="008E5CFA" w:rsidP="003C092D" w:rsidRDefault="00CE4DCC" w14:paraId="22AB36D3" w14:textId="571A7CFA">
      <w:r>
        <w:t xml:space="preserve">ORR will request information monthly. </w:t>
      </w:r>
      <w:r w:rsidRPr="00467C3C" w:rsidR="008E5CFA">
        <w:t xml:space="preserve">A timely and frequent data collection effort </w:t>
      </w:r>
      <w:r>
        <w:t xml:space="preserve">is necessary to </w:t>
      </w:r>
      <w:r w:rsidRPr="00467C3C" w:rsidR="008E5CFA">
        <w:t xml:space="preserve">provide ORR with targeted and up-to-date information related to programs serving large number of Afghan evacuees.  </w:t>
      </w:r>
      <w:r w:rsidR="00347110">
        <w:t xml:space="preserve">Specifically, monthly information will </w:t>
      </w:r>
      <w:r w:rsidR="007E5D8C">
        <w:t xml:space="preserve">provide </w:t>
      </w:r>
      <w:r w:rsidR="003C092D">
        <w:t xml:space="preserve">information to </w:t>
      </w:r>
      <w:r w:rsidR="00347110">
        <w:t>ORR</w:t>
      </w:r>
      <w:r w:rsidR="000A7274">
        <w:t xml:space="preserve"> </w:t>
      </w:r>
      <w:r w:rsidR="003C092D">
        <w:t xml:space="preserve">about </w:t>
      </w:r>
      <w:r w:rsidR="000A7274">
        <w:t xml:space="preserve">different types of </w:t>
      </w:r>
      <w:r w:rsidR="00347110">
        <w:t xml:space="preserve">housing staff </w:t>
      </w:r>
      <w:r w:rsidR="000A7274">
        <w:t xml:space="preserve">needed by geolocation to provide various housing services. Transitioning Afghan evacuees from high-cost short-term housing to stable long-term housing under current stringent housing market is critical to Afghans’ self-sufficiency and has critical funding implication. </w:t>
      </w:r>
      <w:r w:rsidR="007E5D8C">
        <w:t>Monthly information also allows ORR to understand budget needs as they change and to refine</w:t>
      </w:r>
      <w:r w:rsidR="000A7274">
        <w:t xml:space="preserve"> brand-new service</w:t>
      </w:r>
      <w:r w:rsidR="007E5D8C">
        <w:t>s</w:t>
      </w:r>
      <w:r w:rsidR="000A7274">
        <w:t xml:space="preserve"> and program component</w:t>
      </w:r>
      <w:r w:rsidR="005B4480">
        <w:t>s</w:t>
      </w:r>
      <w:r w:rsidR="000A7274">
        <w:t xml:space="preserve"> (such as S2S and legal services). </w:t>
      </w:r>
      <w:r w:rsidRPr="00467C3C" w:rsidR="008E5CFA">
        <w:t>If the data collection is not conducted or not conducted in a timely manner, it will result in little to no data on how programs are implemented under high level</w:t>
      </w:r>
      <w:r w:rsidR="00854874">
        <w:t>s</w:t>
      </w:r>
      <w:r w:rsidRPr="00467C3C" w:rsidR="008E5CFA">
        <w:t xml:space="preserve"> of influx, how current program capacity is effectively adjusted, what process needs to be refined, and what assistance and T/TA is needed for states during the critical initial resettlement phase.  It will also jeopardize ORR’s timely program development and refinement</w:t>
      </w:r>
      <w:r w:rsidR="00854874">
        <w:t>,</w:t>
      </w:r>
      <w:r w:rsidRPr="00467C3C" w:rsidR="008E5CFA">
        <w:t xml:space="preserve"> and risk ORR’s ability to appropriately provide T/TA to states and service providers</w:t>
      </w:r>
      <w:r w:rsidRPr="00EC08A4" w:rsidR="008E5CFA">
        <w:t>.</w:t>
      </w:r>
    </w:p>
    <w:p w:rsidR="005046F0" w:rsidP="005046F0" w:rsidRDefault="005046F0" w14:paraId="7C36762A" w14:textId="2E39570B">
      <w:pPr>
        <w:ind w:left="360"/>
      </w:pPr>
    </w:p>
    <w:p w:rsidR="003C092D" w:rsidP="005046F0" w:rsidRDefault="003C092D" w14:paraId="68CCFAC3" w14:textId="77777777">
      <w:pPr>
        <w:ind w:left="360"/>
      </w:pPr>
    </w:p>
    <w:p w:rsidRPr="0072204D" w:rsidR="00945CD6" w:rsidP="00436F5E" w:rsidRDefault="00292B70" w14:paraId="5060136E" w14:textId="77777777">
      <w:pPr>
        <w:spacing w:after="120"/>
        <w:rPr>
          <w:b/>
        </w:rPr>
      </w:pPr>
      <w:r>
        <w:rPr>
          <w:b/>
        </w:rPr>
        <w:t xml:space="preserve">A7. </w:t>
      </w:r>
      <w:r w:rsidRPr="0072204D" w:rsidR="00945CD6">
        <w:rPr>
          <w:b/>
        </w:rPr>
        <w:t>Special Circumstances</w:t>
      </w:r>
    </w:p>
    <w:p w:rsidRPr="00467C3C" w:rsidR="00D90EF6" w:rsidP="003C092D" w:rsidRDefault="008E5CFA" w14:paraId="6156892E" w14:textId="7F732CAA">
      <w:r w:rsidRPr="00467C3C">
        <w:t>There are no special circumstances for the proposed data collection efforts.</w:t>
      </w:r>
    </w:p>
    <w:p w:rsidR="008E5CFA" w:rsidP="00D90EF6" w:rsidRDefault="008E5CFA" w14:paraId="307CDA1F" w14:textId="1ABD0CC5">
      <w:pPr>
        <w:rPr>
          <w:b/>
        </w:rPr>
      </w:pPr>
    </w:p>
    <w:p w:rsidR="003C092D" w:rsidP="00D90EF6" w:rsidRDefault="003C092D" w14:paraId="619F93B1" w14:textId="77777777">
      <w:pPr>
        <w:rPr>
          <w:b/>
        </w:rPr>
      </w:pPr>
    </w:p>
    <w:p w:rsidR="00D90EF6" w:rsidP="00436F5E" w:rsidRDefault="00292B70" w14:paraId="4FD99BC0" w14:textId="77777777">
      <w:pPr>
        <w:spacing w:after="120"/>
        <w:rPr>
          <w:b/>
        </w:rPr>
      </w:pPr>
      <w:r w:rsidRPr="000D53DF">
        <w:rPr>
          <w:b/>
        </w:rPr>
        <w:t xml:space="preserve">A8. </w:t>
      </w:r>
      <w:r w:rsidRPr="000D53DF" w:rsidR="00945CD6">
        <w:rPr>
          <w:b/>
        </w:rPr>
        <w:t>Federal Register Notice and Consultation</w:t>
      </w:r>
    </w:p>
    <w:p w:rsidRPr="00B91D97" w:rsidR="00B91D97" w:rsidP="00436F5E" w:rsidRDefault="00B91D97" w14:paraId="6A39001F" w14:textId="77777777">
      <w:pPr>
        <w:spacing w:after="60"/>
        <w:rPr>
          <w:b/>
          <w:i/>
        </w:rPr>
      </w:pPr>
      <w:r w:rsidRPr="004B63ED">
        <w:rPr>
          <w:b/>
          <w:i/>
        </w:rPr>
        <w:t>Federal Register Notice and Comments</w:t>
      </w:r>
    </w:p>
    <w:p w:rsidRPr="00467C3C" w:rsidR="00D44EA5" w:rsidP="00467C3C" w:rsidRDefault="008F10A2" w14:paraId="27C68A44" w14:textId="6B851DD5">
      <w:pPr>
        <w:spacing w:after="120"/>
      </w:pPr>
      <w:r w:rsidRPr="00467C3C">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467C3C" w:rsidR="00D44EA5">
        <w:t xml:space="preserve">of the overarching generic clearance for </w:t>
      </w:r>
      <w:r w:rsidRPr="00467C3C" w:rsidR="00984BBF">
        <w:t>formative information collection. This notice was published on October 1</w:t>
      </w:r>
      <w:r w:rsidRPr="00467C3C" w:rsidR="00680FFE">
        <w:t>3</w:t>
      </w:r>
      <w:r w:rsidRPr="00467C3C" w:rsidR="00984BBF">
        <w:t>, 20</w:t>
      </w:r>
      <w:r w:rsidRPr="00467C3C" w:rsidR="00680FFE">
        <w:t>20</w:t>
      </w:r>
      <w:r w:rsidRPr="00467C3C" w:rsidR="00984BBF">
        <w:t>, Volume 8</w:t>
      </w:r>
      <w:r w:rsidRPr="00467C3C" w:rsidR="00680FFE">
        <w:t>5</w:t>
      </w:r>
      <w:r w:rsidRPr="00467C3C" w:rsidR="00984BBF">
        <w:t>, Number 19</w:t>
      </w:r>
      <w:r w:rsidRPr="00467C3C" w:rsidR="00680FFE">
        <w:t>8</w:t>
      </w:r>
      <w:r w:rsidRPr="00467C3C" w:rsidR="00984BBF">
        <w:t xml:space="preserve">, page </w:t>
      </w:r>
      <w:r w:rsidRPr="00467C3C" w:rsidR="00680FFE">
        <w:t>64480</w:t>
      </w:r>
      <w:r w:rsidRPr="00467C3C" w:rsidR="00984BBF">
        <w:t xml:space="preserve">, and provided a sixty-day period for public comment. During the notice and comment periods, no substantive comments were received. </w:t>
      </w:r>
      <w:r w:rsidRPr="00467C3C" w:rsidR="00D44EA5">
        <w:t xml:space="preserve"> </w:t>
      </w:r>
    </w:p>
    <w:p w:rsidRPr="00B91D97" w:rsidR="00B91D97" w:rsidP="00436F5E" w:rsidRDefault="00B91D97" w14:paraId="21E62C00" w14:textId="77777777">
      <w:pPr>
        <w:pStyle w:val="Heading4"/>
        <w:rPr>
          <w:rFonts w:ascii="Times New Roman" w:hAnsi="Times New Roman"/>
          <w:i/>
          <w:sz w:val="24"/>
          <w:szCs w:val="24"/>
        </w:rPr>
      </w:pPr>
      <w:r w:rsidRPr="00F56E91">
        <w:rPr>
          <w:rFonts w:ascii="Times New Roman" w:hAnsi="Times New Roman"/>
          <w:i/>
          <w:sz w:val="24"/>
          <w:szCs w:val="24"/>
        </w:rPr>
        <w:lastRenderedPageBreak/>
        <w:t>Consultation with Experts Outside of the Study</w:t>
      </w:r>
    </w:p>
    <w:p w:rsidR="00D90EF6" w:rsidP="00292B70" w:rsidRDefault="003229D4" w14:paraId="16A7A923" w14:textId="41F1DAFF">
      <w:pPr>
        <w:rPr>
          <w:bCs/>
        </w:rPr>
      </w:pPr>
      <w:r w:rsidRPr="003229D4">
        <w:rPr>
          <w:bCs/>
        </w:rPr>
        <w:t>SRCs and experts from ORR’s Division of Refugee Health have been consulted for their feedback on the questions and wording.</w:t>
      </w:r>
    </w:p>
    <w:p w:rsidR="003C092D" w:rsidP="00292B70" w:rsidRDefault="003C092D" w14:paraId="766B3F7A" w14:textId="0B6F192B">
      <w:pPr>
        <w:rPr>
          <w:bCs/>
        </w:rPr>
      </w:pPr>
    </w:p>
    <w:p w:rsidRPr="003229D4" w:rsidR="003C092D" w:rsidP="00292B70" w:rsidRDefault="003C092D" w14:paraId="40254530" w14:textId="77777777">
      <w:pPr>
        <w:rPr>
          <w:bCs/>
        </w:rPr>
      </w:pPr>
    </w:p>
    <w:p w:rsidRPr="0072204D" w:rsidR="00945CD6" w:rsidP="00436F5E" w:rsidRDefault="00292B70" w14:paraId="391068CD" w14:textId="77777777">
      <w:pPr>
        <w:spacing w:after="120"/>
        <w:rPr>
          <w:b/>
        </w:rPr>
      </w:pPr>
      <w:r>
        <w:rPr>
          <w:b/>
        </w:rPr>
        <w:t xml:space="preserve">A9. </w:t>
      </w:r>
      <w:r w:rsidR="00B66874">
        <w:rPr>
          <w:b/>
        </w:rPr>
        <w:t>Incentives for</w:t>
      </w:r>
      <w:r w:rsidRPr="0072204D" w:rsidR="00945CD6">
        <w:rPr>
          <w:b/>
        </w:rPr>
        <w:t xml:space="preserve"> Respondents</w:t>
      </w:r>
    </w:p>
    <w:p w:rsidRPr="002A1583" w:rsidR="004222F8" w:rsidP="003C092D" w:rsidRDefault="002A1583" w14:paraId="7605E87D" w14:textId="39FAE2A0">
      <w:r w:rsidRPr="002A1583">
        <w:t>No incentives for respondents are proposed for this information collection.</w:t>
      </w:r>
    </w:p>
    <w:p w:rsidR="002A1583" w:rsidP="003C092D" w:rsidRDefault="002A1583" w14:paraId="46D3CD16" w14:textId="70DC0F9C">
      <w:pPr>
        <w:rPr>
          <w:b/>
        </w:rPr>
      </w:pPr>
    </w:p>
    <w:p w:rsidR="003C092D" w:rsidP="003C092D" w:rsidRDefault="003C092D" w14:paraId="454FD752" w14:textId="77777777">
      <w:pPr>
        <w:rPr>
          <w:b/>
        </w:rPr>
      </w:pPr>
    </w:p>
    <w:p w:rsidRPr="0072204D" w:rsidR="004222F8" w:rsidP="004222F8" w:rsidRDefault="004222F8" w14:paraId="5BB4F440" w14:textId="77777777">
      <w:pPr>
        <w:spacing w:after="120"/>
        <w:rPr>
          <w:b/>
        </w:rPr>
      </w:pPr>
      <w:r>
        <w:rPr>
          <w:b/>
        </w:rPr>
        <w:t>A10. Privacy</w:t>
      </w:r>
      <w:r w:rsidRPr="0072204D">
        <w:rPr>
          <w:b/>
        </w:rPr>
        <w:t xml:space="preserve"> of Respondents</w:t>
      </w:r>
    </w:p>
    <w:p w:rsidRPr="00436F5E" w:rsidR="004222F8" w:rsidP="00436F5E" w:rsidRDefault="00436F5E" w14:paraId="480B2A5E" w14:textId="77777777">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436F5E" w:rsidR="004222F8" w:rsidP="008C78B4" w:rsidRDefault="004222F8" w14:paraId="6F65404C" w14:textId="77777777">
      <w:pPr>
        <w:widowControl w:val="0"/>
        <w:autoSpaceDE w:val="0"/>
        <w:autoSpaceDN w:val="0"/>
        <w:adjustRightInd w:val="0"/>
        <w:ind w:left="360"/>
      </w:pPr>
    </w:p>
    <w:p w:rsidRPr="00436F5E" w:rsidR="004222F8" w:rsidP="00436F5E" w:rsidRDefault="00CE4DCC" w14:paraId="1A608FE2" w14:textId="6950533F">
      <w:pPr>
        <w:widowControl w:val="0"/>
        <w:autoSpaceDE w:val="0"/>
        <w:autoSpaceDN w:val="0"/>
        <w:adjustRightInd w:val="0"/>
      </w:pPr>
      <w:r>
        <w:t xml:space="preserve">ORR has contracted with </w:t>
      </w:r>
      <w:r w:rsidR="00C86FB9">
        <w:t>GDIT</w:t>
      </w:r>
      <w:r>
        <w:t xml:space="preserve"> to collect this information. </w:t>
      </w:r>
      <w:r w:rsidRPr="00436F5E" w:rsidR="004222F8">
        <w:t xml:space="preserve">As specified in the contract, the Contractor shall protect respondent privacy to the extent permitted by law and will comply with all Federal and Departmental regulations for private information. </w:t>
      </w:r>
      <w:r w:rsidRPr="00620087" w:rsidR="004222F8">
        <w:t>The Contractor has developed a Data Safety and Monitoring Plan that assesses all protections of respondents’ personally identifiable information.</w:t>
      </w:r>
      <w:r w:rsidRPr="00436F5E" w:rsidR="004222F8">
        <w:t xml:space="preserve"> The Contractor shall ensure that all its employees, subcontractors (at all tiers), and employees of each subcontractor, who perform work under this contract/subcontract, are trained on data privacy issues and comply with the above requirements. </w:t>
      </w:r>
    </w:p>
    <w:p w:rsidRPr="00436F5E" w:rsidR="004222F8" w:rsidP="008C78B4" w:rsidRDefault="004222F8" w14:paraId="057C96B7" w14:textId="77777777">
      <w:pPr>
        <w:widowControl w:val="0"/>
        <w:autoSpaceDE w:val="0"/>
        <w:autoSpaceDN w:val="0"/>
        <w:adjustRightInd w:val="0"/>
        <w:ind w:left="360"/>
      </w:pPr>
    </w:p>
    <w:p w:rsidRPr="00436F5E" w:rsidR="00436F5E" w:rsidP="00436F5E" w:rsidRDefault="00436F5E" w14:paraId="17AE9425" w14:textId="4E25F3F8">
      <w:pPr>
        <w:widowControl w:val="0"/>
        <w:autoSpaceDE w:val="0"/>
        <w:autoSpaceDN w:val="0"/>
        <w:adjustRightInd w:val="0"/>
      </w:pPr>
      <w:r w:rsidRPr="00436F5E">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w:t>
      </w:r>
      <w:r w:rsidR="002F16E2">
        <w:t xml:space="preserve"> No </w:t>
      </w:r>
      <w:r w:rsidRPr="00620087" w:rsidR="002F16E2">
        <w:t>personally identifiable information</w:t>
      </w:r>
      <w:r w:rsidR="002F16E2">
        <w:t xml:space="preserve"> is collected through this data collection. All information collected is aggregated information.  </w:t>
      </w:r>
    </w:p>
    <w:p w:rsidR="00436F5E" w:rsidP="00436F5E" w:rsidRDefault="00436F5E" w14:paraId="34DFAED3" w14:textId="2304442D">
      <w:pPr>
        <w:widowControl w:val="0"/>
        <w:autoSpaceDE w:val="0"/>
        <w:autoSpaceDN w:val="0"/>
        <w:adjustRightInd w:val="0"/>
      </w:pPr>
    </w:p>
    <w:p w:rsidRPr="00436F5E" w:rsidR="003C092D" w:rsidP="00436F5E" w:rsidRDefault="003C092D" w14:paraId="75B82E96" w14:textId="77777777">
      <w:pPr>
        <w:widowControl w:val="0"/>
        <w:autoSpaceDE w:val="0"/>
        <w:autoSpaceDN w:val="0"/>
        <w:adjustRightInd w:val="0"/>
      </w:pPr>
    </w:p>
    <w:p w:rsidRPr="0072204D" w:rsidR="00945CD6" w:rsidP="00436F5E" w:rsidRDefault="00292B70" w14:paraId="0B35E015" w14:textId="77777777">
      <w:pPr>
        <w:spacing w:after="120"/>
        <w:rPr>
          <w:b/>
        </w:rPr>
      </w:pPr>
      <w:r>
        <w:rPr>
          <w:b/>
        </w:rPr>
        <w:t xml:space="preserve">A11. </w:t>
      </w:r>
      <w:r w:rsidRPr="0072204D" w:rsidR="00945CD6">
        <w:rPr>
          <w:b/>
        </w:rPr>
        <w:t>Sensitive Questions</w:t>
      </w:r>
    </w:p>
    <w:p w:rsidR="005046F0" w:rsidP="00D87B94" w:rsidRDefault="00D87B94" w14:paraId="45C63BFE" w14:textId="678EAAE2">
      <w:r w:rsidRPr="00D87B94">
        <w:t>There are no sensitive questions in this data collection.</w:t>
      </w:r>
    </w:p>
    <w:p w:rsidR="00D87B94" w:rsidP="005046F0" w:rsidRDefault="00D87B94" w14:paraId="4CF98E5B" w14:textId="1CD72196">
      <w:pPr>
        <w:ind w:left="360"/>
      </w:pPr>
    </w:p>
    <w:p w:rsidR="00D87B94" w:rsidP="005046F0" w:rsidRDefault="00D87B94" w14:paraId="043039E2" w14:textId="35E03232">
      <w:pPr>
        <w:ind w:left="360"/>
      </w:pPr>
    </w:p>
    <w:p w:rsidR="003C092D" w:rsidP="005046F0" w:rsidRDefault="003C092D" w14:paraId="74F26BD2" w14:textId="131F5852">
      <w:pPr>
        <w:ind w:left="360"/>
      </w:pPr>
    </w:p>
    <w:p w:rsidR="003C092D" w:rsidP="005046F0" w:rsidRDefault="003C092D" w14:paraId="348BED2C" w14:textId="77777777">
      <w:pPr>
        <w:ind w:left="360"/>
      </w:pPr>
    </w:p>
    <w:p w:rsidR="00945CD6" w:rsidP="00436F5E" w:rsidRDefault="00292B70" w14:paraId="60F84B06" w14:textId="51DAB202">
      <w:pPr>
        <w:spacing w:after="120"/>
        <w:rPr>
          <w:b/>
        </w:rPr>
      </w:pPr>
      <w:r>
        <w:rPr>
          <w:b/>
        </w:rPr>
        <w:lastRenderedPageBreak/>
        <w:t xml:space="preserve">A12. </w:t>
      </w:r>
      <w:r w:rsidRPr="0072204D" w:rsidR="00945CD6">
        <w:rPr>
          <w:b/>
        </w:rPr>
        <w:t>Estimation of Information Collection Burden</w:t>
      </w:r>
    </w:p>
    <w:p w:rsidRPr="00C602ED" w:rsidR="00D87B94" w:rsidP="00D87B94" w:rsidRDefault="00D87B94" w14:paraId="5BD288A4" w14:textId="77777777">
      <w:pPr>
        <w:spacing w:after="60"/>
        <w:rPr>
          <w:bCs/>
          <w:i/>
          <w:iCs/>
        </w:rPr>
      </w:pPr>
      <w:r w:rsidRPr="00C602ED">
        <w:rPr>
          <w:bCs/>
          <w:i/>
          <w:iCs/>
        </w:rPr>
        <w:t>Estimated Burden and Costs</w:t>
      </w:r>
    </w:p>
    <w:p w:rsidR="00D87B94" w:rsidP="00D87B94" w:rsidRDefault="00D87B94" w14:paraId="4BA0555E" w14:textId="1EC4ADFE">
      <w:r>
        <w:t xml:space="preserve">ORR proposes to collect the monthly data </w:t>
      </w:r>
      <w:r w:rsidR="00B8070E">
        <w:t xml:space="preserve">until the end of FY2023 when </w:t>
      </w:r>
      <w:r w:rsidRPr="00B8070E" w:rsidR="00B8070E">
        <w:t>Afghanistan Supplemental Appropriations Act, 2022</w:t>
      </w:r>
      <w:r w:rsidR="00B8070E">
        <w:t xml:space="preserve"> (ASA) funds end</w:t>
      </w:r>
      <w:r w:rsidR="003A1130">
        <w:t>;</w:t>
      </w:r>
      <w:r w:rsidR="00B8070E">
        <w:t xml:space="preserve"> </w:t>
      </w:r>
      <w:r w:rsidR="00CE4DCC">
        <w:t xml:space="preserve">for about </w:t>
      </w:r>
      <w:r>
        <w:t>1</w:t>
      </w:r>
      <w:r w:rsidR="00A069BC">
        <w:t>8</w:t>
      </w:r>
      <w:r>
        <w:t xml:space="preserve"> month. The e</w:t>
      </w:r>
      <w:r w:rsidRPr="00536B51">
        <w:t xml:space="preserve">stimated </w:t>
      </w:r>
      <w:r>
        <w:t>a</w:t>
      </w:r>
      <w:r w:rsidRPr="00536B51">
        <w:t xml:space="preserve">nnual </w:t>
      </w:r>
      <w:r>
        <w:t>c</w:t>
      </w:r>
      <w:r w:rsidRPr="00536B51">
        <w:t xml:space="preserve">ost to </w:t>
      </w:r>
      <w:r>
        <w:t>r</w:t>
      </w:r>
      <w:r w:rsidRPr="00536B51">
        <w:t>espondents</w:t>
      </w:r>
      <w:r>
        <w:t xml:space="preserve"> is calculated using the U.S. Bureau of Labor Statistics (BLS) job code for Social and Human Services Assistants [21-1093] and wage data from May 2020</w:t>
      </w:r>
      <w:r>
        <w:rPr>
          <w:rStyle w:val="FootnoteReference"/>
        </w:rPr>
        <w:footnoteReference w:id="1"/>
      </w:r>
      <w:r>
        <w:t xml:space="preserve">, which is $18.38 per hour. To account for fringe benefits and overhead, the rate was multiplied by two, totaling $36.76 per hour. </w:t>
      </w:r>
    </w:p>
    <w:p w:rsidRPr="00A35B0D" w:rsidR="00436F5E" w:rsidP="00A35B0D" w:rsidRDefault="00436F5E" w14:paraId="648A2A32" w14:textId="77777777"/>
    <w:tbl>
      <w:tblPr>
        <w:tblW w:w="10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425"/>
        <w:gridCol w:w="1530"/>
        <w:gridCol w:w="1530"/>
        <w:gridCol w:w="1350"/>
        <w:gridCol w:w="809"/>
        <w:gridCol w:w="809"/>
        <w:gridCol w:w="900"/>
        <w:gridCol w:w="822"/>
      </w:tblGrid>
      <w:tr w:rsidRPr="00BD4CFB" w:rsidR="00CE4DCC" w:rsidTr="00DF0C3C" w14:paraId="3DDE53E5" w14:textId="77777777">
        <w:trPr>
          <w:jc w:val="center"/>
        </w:trPr>
        <w:tc>
          <w:tcPr>
            <w:tcW w:w="2425" w:type="dxa"/>
            <w:shd w:val="clear" w:color="auto" w:fill="BFBFBF"/>
            <w:vAlign w:val="center"/>
          </w:tcPr>
          <w:p w:rsidRPr="00BD4CFB" w:rsidR="00CE4DCC" w:rsidP="00124EBF" w:rsidRDefault="00CE4DCC" w14:paraId="2381BB0C" w14:textId="77777777">
            <w:pPr>
              <w:jc w:val="center"/>
              <w:rPr>
                <w:sz w:val="20"/>
                <w:szCs w:val="20"/>
              </w:rPr>
            </w:pPr>
            <w:r w:rsidRPr="00BD4CFB">
              <w:rPr>
                <w:sz w:val="20"/>
                <w:szCs w:val="20"/>
              </w:rPr>
              <w:t>Instrument</w:t>
            </w:r>
          </w:p>
        </w:tc>
        <w:tc>
          <w:tcPr>
            <w:tcW w:w="1530" w:type="dxa"/>
            <w:shd w:val="clear" w:color="auto" w:fill="BFBFBF"/>
            <w:vAlign w:val="center"/>
          </w:tcPr>
          <w:p w:rsidRPr="00BD4CFB" w:rsidR="00CE4DCC" w:rsidP="00C1674B" w:rsidRDefault="00CE4DCC" w14:paraId="48549E71" w14:textId="27B1AEEB">
            <w:pPr>
              <w:jc w:val="center"/>
              <w:rPr>
                <w:sz w:val="20"/>
                <w:szCs w:val="20"/>
              </w:rPr>
            </w:pPr>
            <w:r>
              <w:rPr>
                <w:sz w:val="20"/>
                <w:szCs w:val="20"/>
              </w:rPr>
              <w:t xml:space="preserve">Total </w:t>
            </w:r>
            <w:r w:rsidRPr="00BD4CFB">
              <w:rPr>
                <w:sz w:val="20"/>
                <w:szCs w:val="20"/>
              </w:rPr>
              <w:t>Number of Respondents</w:t>
            </w:r>
          </w:p>
        </w:tc>
        <w:tc>
          <w:tcPr>
            <w:tcW w:w="1530" w:type="dxa"/>
            <w:shd w:val="clear" w:color="auto" w:fill="BFBFBF"/>
            <w:vAlign w:val="center"/>
          </w:tcPr>
          <w:p w:rsidRPr="00BD4CFB" w:rsidR="00CE4DCC" w:rsidP="00124EBF" w:rsidRDefault="00CE4DCC" w14:paraId="714F2F09" w14:textId="03C21945">
            <w:pPr>
              <w:jc w:val="center"/>
              <w:rPr>
                <w:sz w:val="20"/>
                <w:szCs w:val="20"/>
              </w:rPr>
            </w:pPr>
            <w:r w:rsidRPr="00BD4CFB">
              <w:rPr>
                <w:sz w:val="20"/>
                <w:szCs w:val="20"/>
              </w:rPr>
              <w:t>Number of Responses Per Respondent</w:t>
            </w:r>
            <w:r w:rsidR="006177A8">
              <w:rPr>
                <w:sz w:val="20"/>
                <w:szCs w:val="20"/>
              </w:rPr>
              <w:t xml:space="preserve"> </w:t>
            </w:r>
          </w:p>
        </w:tc>
        <w:tc>
          <w:tcPr>
            <w:tcW w:w="1350" w:type="dxa"/>
            <w:shd w:val="clear" w:color="auto" w:fill="BFBFBF"/>
            <w:vAlign w:val="center"/>
          </w:tcPr>
          <w:p w:rsidRPr="00BD4CFB" w:rsidR="00CE4DCC" w:rsidP="00124EBF" w:rsidRDefault="00CE4DCC" w14:paraId="05CC723F" w14:textId="77777777">
            <w:pPr>
              <w:jc w:val="center"/>
              <w:rPr>
                <w:sz w:val="20"/>
                <w:szCs w:val="20"/>
              </w:rPr>
            </w:pPr>
            <w:r w:rsidRPr="00BD4CFB">
              <w:rPr>
                <w:sz w:val="20"/>
                <w:szCs w:val="20"/>
              </w:rPr>
              <w:t>Average Burden Hours Per Response</w:t>
            </w:r>
          </w:p>
        </w:tc>
        <w:tc>
          <w:tcPr>
            <w:tcW w:w="809" w:type="dxa"/>
            <w:shd w:val="clear" w:color="auto" w:fill="BFBFBF"/>
          </w:tcPr>
          <w:p w:rsidR="00CE4DCC" w:rsidP="00124EBF" w:rsidRDefault="00CE4DCC" w14:paraId="57BF5CA8" w14:textId="6A1CDDDA">
            <w:pPr>
              <w:jc w:val="center"/>
              <w:rPr>
                <w:bCs/>
                <w:sz w:val="20"/>
                <w:szCs w:val="20"/>
              </w:rPr>
            </w:pPr>
            <w:r>
              <w:rPr>
                <w:bCs/>
                <w:sz w:val="20"/>
                <w:szCs w:val="20"/>
              </w:rPr>
              <w:t>Total Burden Hours</w:t>
            </w:r>
          </w:p>
        </w:tc>
        <w:tc>
          <w:tcPr>
            <w:tcW w:w="809" w:type="dxa"/>
            <w:shd w:val="clear" w:color="auto" w:fill="BFBFBF"/>
            <w:vAlign w:val="center"/>
          </w:tcPr>
          <w:p w:rsidRPr="00BD4CFB" w:rsidR="00CE4DCC" w:rsidP="00124EBF" w:rsidRDefault="00CE4DCC" w14:paraId="0F4785AD" w14:textId="4DD3F734">
            <w:pPr>
              <w:jc w:val="center"/>
              <w:rPr>
                <w:bCs/>
                <w:sz w:val="20"/>
                <w:szCs w:val="20"/>
              </w:rPr>
            </w:pPr>
            <w:r>
              <w:rPr>
                <w:bCs/>
                <w:sz w:val="20"/>
                <w:szCs w:val="20"/>
              </w:rPr>
              <w:t>Annual Burden Hours</w:t>
            </w:r>
            <w:r>
              <w:rPr>
                <w:rStyle w:val="FootnoteReference"/>
                <w:bCs/>
                <w:sz w:val="20"/>
                <w:szCs w:val="20"/>
              </w:rPr>
              <w:footnoteReference w:id="2"/>
            </w:r>
          </w:p>
        </w:tc>
        <w:tc>
          <w:tcPr>
            <w:tcW w:w="900" w:type="dxa"/>
            <w:shd w:val="clear" w:color="auto" w:fill="BFBFBF"/>
            <w:vAlign w:val="center"/>
          </w:tcPr>
          <w:p w:rsidRPr="00BD4CFB" w:rsidR="00CE4DCC" w:rsidP="00124EBF" w:rsidRDefault="00CE4DCC" w14:paraId="45DFE675" w14:textId="77777777">
            <w:pPr>
              <w:jc w:val="center"/>
              <w:rPr>
                <w:sz w:val="20"/>
                <w:szCs w:val="20"/>
              </w:rPr>
            </w:pPr>
            <w:r w:rsidRPr="00BD4CFB">
              <w:rPr>
                <w:bCs/>
                <w:sz w:val="20"/>
                <w:szCs w:val="20"/>
              </w:rPr>
              <w:t>Average Hourly Wage</w:t>
            </w:r>
          </w:p>
        </w:tc>
        <w:tc>
          <w:tcPr>
            <w:tcW w:w="822" w:type="dxa"/>
            <w:shd w:val="clear" w:color="auto" w:fill="BFBFBF"/>
            <w:vAlign w:val="center"/>
          </w:tcPr>
          <w:p w:rsidRPr="00BD4CFB" w:rsidR="00CE4DCC" w:rsidP="00124EBF" w:rsidRDefault="00CE4DCC" w14:paraId="39990194" w14:textId="77777777">
            <w:pPr>
              <w:jc w:val="center"/>
              <w:rPr>
                <w:sz w:val="20"/>
                <w:szCs w:val="20"/>
              </w:rPr>
            </w:pPr>
            <w:r w:rsidRPr="00BD4CFB">
              <w:rPr>
                <w:bCs/>
                <w:sz w:val="20"/>
                <w:szCs w:val="20"/>
              </w:rPr>
              <w:t>Total Annual Cost</w:t>
            </w:r>
          </w:p>
        </w:tc>
      </w:tr>
      <w:tr w:rsidRPr="00BD4CFB" w:rsidR="00CE4DCC" w:rsidTr="00DF0C3C" w14:paraId="7CE63E36" w14:textId="77777777">
        <w:trPr>
          <w:trHeight w:val="432"/>
          <w:jc w:val="center"/>
        </w:trPr>
        <w:tc>
          <w:tcPr>
            <w:tcW w:w="2425" w:type="dxa"/>
            <w:vAlign w:val="center"/>
          </w:tcPr>
          <w:p w:rsidRPr="006F6653" w:rsidR="00CE4DCC" w:rsidP="00FD7600" w:rsidRDefault="00CE4DCC" w14:paraId="15455CD3" w14:textId="1CECF9ED">
            <w:pPr>
              <w:tabs>
                <w:tab w:val="center" w:pos="4320"/>
                <w:tab w:val="right" w:pos="8640"/>
              </w:tabs>
              <w:rPr>
                <w:sz w:val="22"/>
                <w:szCs w:val="22"/>
              </w:rPr>
            </w:pPr>
            <w:r w:rsidRPr="006F6653">
              <w:rPr>
                <w:sz w:val="22"/>
                <w:szCs w:val="22"/>
              </w:rPr>
              <w:t>OAW Resettlement SRC Monthly Report</w:t>
            </w:r>
          </w:p>
        </w:tc>
        <w:tc>
          <w:tcPr>
            <w:tcW w:w="1530" w:type="dxa"/>
            <w:vAlign w:val="center"/>
          </w:tcPr>
          <w:p w:rsidRPr="006F6653" w:rsidR="00CE4DCC" w:rsidP="006F6653" w:rsidRDefault="00CE4DCC" w14:paraId="1A656D6A" w14:textId="40C9A86F">
            <w:pPr>
              <w:tabs>
                <w:tab w:val="center" w:pos="4320"/>
                <w:tab w:val="right" w:pos="8640"/>
              </w:tabs>
              <w:jc w:val="center"/>
              <w:rPr>
                <w:sz w:val="22"/>
                <w:szCs w:val="22"/>
              </w:rPr>
            </w:pPr>
            <w:r w:rsidRPr="006F6653">
              <w:rPr>
                <w:sz w:val="22"/>
                <w:szCs w:val="22"/>
              </w:rPr>
              <w:t>25</w:t>
            </w:r>
          </w:p>
        </w:tc>
        <w:tc>
          <w:tcPr>
            <w:tcW w:w="1530" w:type="dxa"/>
            <w:vAlign w:val="center"/>
          </w:tcPr>
          <w:p w:rsidRPr="006F6653" w:rsidR="00CE4DCC" w:rsidP="006F6653" w:rsidRDefault="00CE4DCC" w14:paraId="402332F4" w14:textId="2CA9038C">
            <w:pPr>
              <w:tabs>
                <w:tab w:val="center" w:pos="4320"/>
                <w:tab w:val="right" w:pos="8640"/>
              </w:tabs>
              <w:jc w:val="center"/>
              <w:rPr>
                <w:sz w:val="22"/>
                <w:szCs w:val="22"/>
              </w:rPr>
            </w:pPr>
            <w:r w:rsidRPr="006F6653">
              <w:rPr>
                <w:sz w:val="22"/>
                <w:szCs w:val="22"/>
              </w:rPr>
              <w:t>18</w:t>
            </w:r>
          </w:p>
        </w:tc>
        <w:tc>
          <w:tcPr>
            <w:tcW w:w="1350" w:type="dxa"/>
            <w:vAlign w:val="center"/>
          </w:tcPr>
          <w:p w:rsidRPr="006F6653" w:rsidR="00CE4DCC" w:rsidP="006F6653" w:rsidRDefault="00CE4DCC" w14:paraId="2166A45E" w14:textId="27047C9E">
            <w:pPr>
              <w:tabs>
                <w:tab w:val="center" w:pos="4320"/>
                <w:tab w:val="right" w:pos="8640"/>
              </w:tabs>
              <w:jc w:val="center"/>
              <w:rPr>
                <w:sz w:val="22"/>
                <w:szCs w:val="22"/>
              </w:rPr>
            </w:pPr>
            <w:r w:rsidRPr="006F6653">
              <w:rPr>
                <w:sz w:val="22"/>
                <w:szCs w:val="22"/>
              </w:rPr>
              <w:t>2</w:t>
            </w:r>
          </w:p>
        </w:tc>
        <w:tc>
          <w:tcPr>
            <w:tcW w:w="809" w:type="dxa"/>
            <w:vAlign w:val="center"/>
          </w:tcPr>
          <w:p w:rsidRPr="006F6653" w:rsidR="00CE4DCC" w:rsidP="00CE4DCC" w:rsidRDefault="00CE4DCC" w14:paraId="6F01D02E" w14:textId="4141764D">
            <w:pPr>
              <w:tabs>
                <w:tab w:val="center" w:pos="4320"/>
                <w:tab w:val="right" w:pos="8640"/>
              </w:tabs>
              <w:jc w:val="center"/>
              <w:rPr>
                <w:sz w:val="22"/>
                <w:szCs w:val="22"/>
              </w:rPr>
            </w:pPr>
            <w:r>
              <w:rPr>
                <w:sz w:val="22"/>
                <w:szCs w:val="22"/>
              </w:rPr>
              <w:t>900</w:t>
            </w:r>
          </w:p>
        </w:tc>
        <w:tc>
          <w:tcPr>
            <w:tcW w:w="809" w:type="dxa"/>
            <w:vAlign w:val="center"/>
          </w:tcPr>
          <w:p w:rsidRPr="006F6653" w:rsidR="00CE4DCC" w:rsidP="006F6653" w:rsidRDefault="006177A8" w14:paraId="79BC68EF" w14:textId="34248F6A">
            <w:pPr>
              <w:tabs>
                <w:tab w:val="center" w:pos="4320"/>
                <w:tab w:val="right" w:pos="8640"/>
              </w:tabs>
              <w:jc w:val="center"/>
              <w:rPr>
                <w:sz w:val="22"/>
                <w:szCs w:val="22"/>
              </w:rPr>
            </w:pPr>
            <w:r>
              <w:rPr>
                <w:sz w:val="22"/>
                <w:szCs w:val="22"/>
              </w:rPr>
              <w:t>600</w:t>
            </w:r>
          </w:p>
        </w:tc>
        <w:tc>
          <w:tcPr>
            <w:tcW w:w="900" w:type="dxa"/>
            <w:vAlign w:val="center"/>
          </w:tcPr>
          <w:p w:rsidRPr="006F6653" w:rsidR="00CE4DCC" w:rsidP="006F6653" w:rsidRDefault="00CE4DCC" w14:paraId="4C12A145" w14:textId="3EC20990">
            <w:pPr>
              <w:tabs>
                <w:tab w:val="center" w:pos="4320"/>
                <w:tab w:val="right" w:pos="8640"/>
              </w:tabs>
              <w:jc w:val="center"/>
              <w:rPr>
                <w:sz w:val="22"/>
                <w:szCs w:val="22"/>
              </w:rPr>
            </w:pPr>
            <w:r w:rsidRPr="006F6653">
              <w:rPr>
                <w:sz w:val="22"/>
                <w:szCs w:val="22"/>
              </w:rPr>
              <w:t>$36.76</w:t>
            </w:r>
          </w:p>
        </w:tc>
        <w:tc>
          <w:tcPr>
            <w:tcW w:w="822" w:type="dxa"/>
            <w:vAlign w:val="center"/>
          </w:tcPr>
          <w:p w:rsidRPr="006F6653" w:rsidR="00CE4DCC" w:rsidP="006F6653" w:rsidRDefault="006177A8" w14:paraId="01C1A511" w14:textId="70FD0CDE">
            <w:pPr>
              <w:tabs>
                <w:tab w:val="center" w:pos="4320"/>
                <w:tab w:val="right" w:pos="8640"/>
              </w:tabs>
              <w:jc w:val="center"/>
              <w:rPr>
                <w:sz w:val="22"/>
                <w:szCs w:val="22"/>
              </w:rPr>
            </w:pPr>
            <w:r>
              <w:rPr>
                <w:sz w:val="22"/>
                <w:szCs w:val="22"/>
              </w:rPr>
              <w:t>22,056</w:t>
            </w:r>
          </w:p>
        </w:tc>
      </w:tr>
    </w:tbl>
    <w:p w:rsidR="002338AC" w:rsidP="005046F0" w:rsidRDefault="002338AC" w14:paraId="7770C6D8" w14:textId="77777777">
      <w:pPr>
        <w:ind w:left="360"/>
      </w:pPr>
    </w:p>
    <w:p w:rsidR="002338AC" w:rsidP="005046F0" w:rsidRDefault="002338AC" w14:paraId="3C895703" w14:textId="77777777">
      <w:pPr>
        <w:ind w:left="360"/>
      </w:pPr>
    </w:p>
    <w:p w:rsidRPr="0072204D" w:rsidR="00945CD6" w:rsidP="00292B70" w:rsidRDefault="00292B70" w14:paraId="7BDBE261" w14:textId="77777777">
      <w:pPr>
        <w:rPr>
          <w:b/>
        </w:rPr>
      </w:pPr>
      <w:r>
        <w:rPr>
          <w:b/>
        </w:rPr>
        <w:t xml:space="preserve">A13. </w:t>
      </w:r>
      <w:r w:rsidRPr="0072204D" w:rsidR="00945CD6">
        <w:rPr>
          <w:b/>
        </w:rPr>
        <w:t>Cost Burden to Respondents or Record Keepers</w:t>
      </w:r>
    </w:p>
    <w:p w:rsidR="002338AC" w:rsidP="00436F5E" w:rsidRDefault="006F6653" w14:paraId="136F28B3" w14:textId="380C830D">
      <w:r w:rsidRPr="006F6653">
        <w:t>There are no additional costs to respondents.</w:t>
      </w:r>
    </w:p>
    <w:p w:rsidR="006F6653" w:rsidP="00436F5E" w:rsidRDefault="006F6653" w14:paraId="750D84BF" w14:textId="77169157"/>
    <w:p w:rsidR="003C092D" w:rsidP="00436F5E" w:rsidRDefault="003C092D" w14:paraId="37D2A713" w14:textId="77777777"/>
    <w:p w:rsidRPr="0072204D" w:rsidR="00945CD6" w:rsidP="00436F5E" w:rsidRDefault="00292B70" w14:paraId="2A791D57" w14:textId="77777777">
      <w:pPr>
        <w:spacing w:after="60"/>
        <w:rPr>
          <w:b/>
        </w:rPr>
      </w:pPr>
      <w:r>
        <w:rPr>
          <w:b/>
        </w:rPr>
        <w:t xml:space="preserve">A14. </w:t>
      </w:r>
      <w:r w:rsidRPr="0072204D" w:rsidR="00945CD6">
        <w:rPr>
          <w:b/>
        </w:rPr>
        <w:t>Estimate of Cost to the Federal Government</w:t>
      </w:r>
    </w:p>
    <w:p w:rsidR="002338AC" w:rsidP="00436F5E" w:rsidRDefault="00B91D97" w14:paraId="036762EF" w14:textId="609B8A91">
      <w:r w:rsidRPr="00BB2157">
        <w:t>The total cost for the</w:t>
      </w:r>
      <w:r>
        <w:t xml:space="preserve"> data collection under this current request </w:t>
      </w:r>
      <w:r w:rsidR="00B76E26">
        <w:t>to the federal government is</w:t>
      </w:r>
      <w:r w:rsidRPr="001061C5">
        <w:t xml:space="preserve"> $</w:t>
      </w:r>
      <w:r w:rsidRPr="00F010D4" w:rsidR="00F010D4">
        <w:t>140,946</w:t>
      </w:r>
      <w:r>
        <w:t xml:space="preserve">. </w:t>
      </w:r>
    </w:p>
    <w:p w:rsidR="00436F5E" w:rsidP="00436F5E" w:rsidRDefault="00436F5E" w14:paraId="304B1383" w14:textId="04ACE042"/>
    <w:p w:rsidR="002F16E2" w:rsidP="00436F5E" w:rsidRDefault="002F16E2" w14:paraId="7723EE62" w14:textId="77777777"/>
    <w:p w:rsidR="00945CD6" w:rsidP="00436F5E" w:rsidRDefault="00292B70" w14:paraId="4B385444" w14:textId="77777777">
      <w:pPr>
        <w:spacing w:after="120"/>
        <w:rPr>
          <w:b/>
        </w:rPr>
      </w:pPr>
      <w:r>
        <w:rPr>
          <w:b/>
        </w:rPr>
        <w:t xml:space="preserve">A15. </w:t>
      </w:r>
      <w:r w:rsidRPr="0072204D" w:rsidR="00945CD6">
        <w:rPr>
          <w:b/>
        </w:rPr>
        <w:t>Change in Burden</w:t>
      </w:r>
    </w:p>
    <w:p w:rsidRPr="00DF0C3C" w:rsidR="00CB2ED6" w:rsidP="00CB2ED6" w:rsidRDefault="00CB2ED6" w14:paraId="4B05A013" w14:textId="2155369C">
      <w:r w:rsidRPr="00DF0C3C">
        <w:t xml:space="preserve">This is for an individual information collection under the umbrella </w:t>
      </w:r>
      <w:r w:rsidRPr="00DF0C3C" w:rsidR="001140AB">
        <w:t>formative generic clearance for program support (0970-0531)</w:t>
      </w:r>
      <w:r w:rsidRPr="00DF0C3C" w:rsidR="000903D7">
        <w:t xml:space="preserve">. </w:t>
      </w:r>
    </w:p>
    <w:p w:rsidR="002338AC" w:rsidP="005046F0" w:rsidRDefault="002338AC" w14:paraId="31DADDE8" w14:textId="2760501B">
      <w:pPr>
        <w:ind w:left="360"/>
      </w:pPr>
    </w:p>
    <w:p w:rsidR="003C092D" w:rsidP="005046F0" w:rsidRDefault="003C092D" w14:paraId="34EDEB3C" w14:textId="77777777">
      <w:pPr>
        <w:ind w:left="360"/>
      </w:pPr>
    </w:p>
    <w:p w:rsidRPr="005A64C5" w:rsidR="00945CD6" w:rsidP="00436F5E" w:rsidRDefault="00292B70" w14:paraId="347FE16D" w14:textId="77777777">
      <w:pPr>
        <w:spacing w:after="60"/>
        <w:rPr>
          <w:b/>
        </w:rPr>
      </w:pPr>
      <w:r w:rsidRPr="005A64C5">
        <w:rPr>
          <w:b/>
        </w:rPr>
        <w:t xml:space="preserve">A16. </w:t>
      </w:r>
      <w:r w:rsidRPr="005A64C5" w:rsidR="00945CD6">
        <w:rPr>
          <w:b/>
        </w:rPr>
        <w:t>Plan and Time Schedule for Information Collection, Tabulation and Publication</w:t>
      </w:r>
    </w:p>
    <w:p w:rsidR="002338AC" w:rsidP="00292B70" w:rsidRDefault="00E76658" w14:paraId="5D35D3D0" w14:textId="45164921">
      <w:pPr>
        <w:rPr>
          <w:b/>
        </w:rPr>
      </w:pPr>
      <w:r>
        <w:t>Data collection will start monthly in April 2022</w:t>
      </w:r>
      <w:r w:rsidR="00CE4DCC">
        <w:t>, pending</w:t>
      </w:r>
      <w:r>
        <w:t xml:space="preserve"> OMB approval</w:t>
      </w:r>
      <w:r w:rsidR="00CE4DCC">
        <w:t>, and will continue for about 18 months.</w:t>
      </w:r>
      <w:r>
        <w:t xml:space="preserve"> </w:t>
      </w:r>
      <w:r w:rsidRPr="00CE1F36">
        <w:t>Data collected wi</w:t>
      </w:r>
      <w:r>
        <w:t>ll</w:t>
      </w:r>
      <w:r w:rsidRPr="00CE1F36">
        <w:t xml:space="preserve"> be tabulated and analyzed </w:t>
      </w:r>
      <w:r>
        <w:t>immediately</w:t>
      </w:r>
      <w:r w:rsidRPr="00CE1F36">
        <w:t xml:space="preserve"> after the data collection is completed.</w:t>
      </w:r>
      <w:r>
        <w:t xml:space="preserve"> </w:t>
      </w:r>
      <w:r w:rsidR="000E63CC">
        <w:t xml:space="preserve">Aggregated data </w:t>
      </w:r>
      <w:r w:rsidR="000F67B4">
        <w:t>and tabulation will</w:t>
      </w:r>
      <w:r w:rsidR="000E63CC">
        <w:t xml:space="preserve"> be used internally for program</w:t>
      </w:r>
      <w:r w:rsidR="000F67B4">
        <w:t xml:space="preserve"> support and T/TA provision.</w:t>
      </w:r>
      <w:r w:rsidR="00D77FFD">
        <w:t xml:space="preserve"> These summary data will be shared with the ORR federal</w:t>
      </w:r>
      <w:r w:rsidR="00E21763">
        <w:t>, state,</w:t>
      </w:r>
      <w:r w:rsidR="00D77FFD">
        <w:t xml:space="preserve"> and local partners,</w:t>
      </w:r>
      <w:r w:rsidR="00E21763">
        <w:t xml:space="preserve"> </w:t>
      </w:r>
      <w:r w:rsidR="00684FBC">
        <w:t xml:space="preserve">resettlement agencies, </w:t>
      </w:r>
      <w:r w:rsidR="00E21763">
        <w:t>and refugee technical assistance providers</w:t>
      </w:r>
      <w:r w:rsidR="00D77FFD">
        <w:t>.</w:t>
      </w:r>
    </w:p>
    <w:p w:rsidR="00AE55B4" w:rsidP="003C092D" w:rsidRDefault="00AE55B4" w14:paraId="41AD7009" w14:textId="266624F4">
      <w:pPr>
        <w:rPr>
          <w:b/>
        </w:rPr>
      </w:pPr>
    </w:p>
    <w:p w:rsidR="003C092D" w:rsidP="003C092D" w:rsidRDefault="003C092D" w14:paraId="37A47B69" w14:textId="3C1F2BA9">
      <w:pPr>
        <w:rPr>
          <w:b/>
        </w:rPr>
      </w:pPr>
    </w:p>
    <w:p w:rsidR="003C092D" w:rsidP="003C092D" w:rsidRDefault="003C092D" w14:paraId="12DAB4EF" w14:textId="77777777">
      <w:pPr>
        <w:rPr>
          <w:b/>
        </w:rPr>
      </w:pPr>
    </w:p>
    <w:p w:rsidR="000F67B4" w:rsidP="00436F5E" w:rsidRDefault="00292B70" w14:paraId="18986802" w14:textId="201E3394">
      <w:pPr>
        <w:spacing w:after="120"/>
      </w:pPr>
      <w:r>
        <w:rPr>
          <w:b/>
        </w:rPr>
        <w:lastRenderedPageBreak/>
        <w:t xml:space="preserve">A17. </w:t>
      </w:r>
      <w:r w:rsidRPr="0072204D" w:rsidR="00945CD6">
        <w:rPr>
          <w:b/>
        </w:rPr>
        <w:t>Reasons Not to Display OMB Expiration Date</w:t>
      </w:r>
      <w:r w:rsidRPr="000F67B4" w:rsidR="000F67B4">
        <w:t xml:space="preserve"> </w:t>
      </w:r>
    </w:p>
    <w:p w:rsidRPr="000F67B4" w:rsidR="00945CD6" w:rsidP="003C092D" w:rsidRDefault="000F67B4" w14:paraId="750BBE88" w14:textId="2160C5FE">
      <w:r w:rsidRPr="000F67B4">
        <w:t>All instruments will display the expiration date for OMB approval.</w:t>
      </w:r>
    </w:p>
    <w:p w:rsidR="005046F0" w:rsidP="005046F0" w:rsidRDefault="005046F0" w14:paraId="3CB00E49" w14:textId="6B5BF3B0">
      <w:pPr>
        <w:ind w:left="360"/>
      </w:pPr>
    </w:p>
    <w:p w:rsidR="003C092D" w:rsidP="005046F0" w:rsidRDefault="003C092D" w14:paraId="41A08FFD" w14:textId="77777777">
      <w:pPr>
        <w:ind w:left="360"/>
      </w:pPr>
    </w:p>
    <w:p w:rsidRPr="000B5EA8" w:rsidR="00945CD6" w:rsidP="00436F5E" w:rsidRDefault="00292B70" w14:paraId="0DA51717" w14:textId="77777777">
      <w:pPr>
        <w:spacing w:after="120"/>
        <w:rPr>
          <w:b/>
        </w:rPr>
      </w:pPr>
      <w:r w:rsidRPr="000B5EA8">
        <w:rPr>
          <w:b/>
        </w:rPr>
        <w:t>A18.</w:t>
      </w:r>
      <w:r w:rsidRPr="000B5EA8" w:rsidR="000B5EA8">
        <w:rPr>
          <w:b/>
        </w:rPr>
        <w:t xml:space="preserve"> Exceptions to Certification for Paperwork Reduction Act Submissions</w:t>
      </w:r>
    </w:p>
    <w:p w:rsidRPr="0072204D" w:rsidR="0072204D" w:rsidP="00CA6C9D" w:rsidRDefault="00D90EF6" w14:paraId="4DA2F605" w14:textId="2AED5D19">
      <w:pPr>
        <w:spacing w:after="120"/>
      </w:pPr>
      <w:r w:rsidRPr="000F67B4">
        <w:t>No exceptions are necessary for this information collection.</w:t>
      </w:r>
      <w:r w:rsidR="000B5EA8">
        <w:tab/>
      </w:r>
    </w:p>
    <w:sectPr w:rsidRPr="0072204D" w:rsidR="0072204D"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8B963" w14:textId="77777777" w:rsidR="00450BBC" w:rsidRDefault="00450BBC">
      <w:r>
        <w:separator/>
      </w:r>
    </w:p>
  </w:endnote>
  <w:endnote w:type="continuationSeparator" w:id="0">
    <w:p w14:paraId="213C73E6" w14:textId="77777777" w:rsidR="00450BBC" w:rsidRDefault="0045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E0B63" w14:textId="77777777" w:rsidR="00450BBC" w:rsidRDefault="00450BBC">
      <w:r>
        <w:separator/>
      </w:r>
    </w:p>
  </w:footnote>
  <w:footnote w:type="continuationSeparator" w:id="0">
    <w:p w14:paraId="017026E2" w14:textId="77777777" w:rsidR="00450BBC" w:rsidRDefault="00450BBC">
      <w:r>
        <w:continuationSeparator/>
      </w:r>
    </w:p>
  </w:footnote>
  <w:footnote w:id="1">
    <w:p w14:paraId="60F7DFF9" w14:textId="77777777" w:rsidR="00D87B94" w:rsidRDefault="00D87B94" w:rsidP="00D87B94">
      <w:pPr>
        <w:pStyle w:val="FootnoteText"/>
      </w:pPr>
      <w:r>
        <w:rPr>
          <w:rStyle w:val="FootnoteReference"/>
        </w:rPr>
        <w:footnoteRef/>
      </w:r>
      <w:r>
        <w:t xml:space="preserve"> </w:t>
      </w:r>
      <w:r>
        <w:rPr>
          <w:sz w:val="18"/>
          <w:szCs w:val="18"/>
        </w:rPr>
        <w:t xml:space="preserve">U.S. Bureau of Labor Statistics, </w:t>
      </w:r>
      <w:r w:rsidRPr="008B1098">
        <w:rPr>
          <w:i/>
          <w:sz w:val="18"/>
          <w:szCs w:val="18"/>
        </w:rPr>
        <w:t>Occupational Employment and Wages, May 20</w:t>
      </w:r>
      <w:r>
        <w:rPr>
          <w:i/>
          <w:sz w:val="18"/>
          <w:szCs w:val="18"/>
        </w:rPr>
        <w:t>20</w:t>
      </w:r>
      <w:r w:rsidRPr="008B1098">
        <w:rPr>
          <w:i/>
          <w:sz w:val="18"/>
          <w:szCs w:val="18"/>
        </w:rPr>
        <w:t>, 21-1093 Social and Human Service Assistants</w:t>
      </w:r>
      <w:r>
        <w:rPr>
          <w:i/>
          <w:sz w:val="18"/>
          <w:szCs w:val="18"/>
        </w:rPr>
        <w:t>,</w:t>
      </w:r>
      <w:r>
        <w:rPr>
          <w:sz w:val="18"/>
          <w:szCs w:val="18"/>
        </w:rPr>
        <w:t xml:space="preserve"> </w:t>
      </w:r>
      <w:hyperlink r:id="rId1" w:history="1">
        <w:r w:rsidRPr="00E914B7">
          <w:rPr>
            <w:rStyle w:val="Hyperlink"/>
            <w:sz w:val="18"/>
            <w:szCs w:val="18"/>
          </w:rPr>
          <w:t>https://www.bls.gov/oes/current/oes211093.htm</w:t>
        </w:r>
      </w:hyperlink>
      <w:r>
        <w:rPr>
          <w:rStyle w:val="Hyperlink"/>
          <w:sz w:val="18"/>
          <w:szCs w:val="18"/>
        </w:rPr>
        <w:t xml:space="preserve"> (last visited February.16, 2022).</w:t>
      </w:r>
    </w:p>
  </w:footnote>
  <w:footnote w:id="2">
    <w:p w14:paraId="36B14AE5" w14:textId="3C3904B4" w:rsidR="00CE4DCC" w:rsidRDefault="00CE4DCC">
      <w:pPr>
        <w:pStyle w:val="FootnoteText"/>
      </w:pPr>
      <w:r>
        <w:rPr>
          <w:rStyle w:val="FootnoteReference"/>
        </w:rPr>
        <w:footnoteRef/>
      </w:r>
      <w:r>
        <w:t xml:space="preserve"> </w:t>
      </w:r>
      <w:r w:rsidR="006177A8">
        <w:t>Reflects 12 months of submissions.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0F56" w14:textId="77777777"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F7181"/>
    <w:multiLevelType w:val="hybridMultilevel"/>
    <w:tmpl w:val="EE7C993A"/>
    <w:lvl w:ilvl="0" w:tplc="786C4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B113E"/>
    <w:multiLevelType w:val="hybridMultilevel"/>
    <w:tmpl w:val="419C8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D02E4"/>
    <w:multiLevelType w:val="hybridMultilevel"/>
    <w:tmpl w:val="1B9C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7C3FD5"/>
    <w:multiLevelType w:val="hybridMultilevel"/>
    <w:tmpl w:val="36B8A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2265957"/>
    <w:multiLevelType w:val="hybridMultilevel"/>
    <w:tmpl w:val="8F72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7"/>
  </w:num>
  <w:num w:numId="5">
    <w:abstractNumId w:val="8"/>
  </w:num>
  <w:num w:numId="6">
    <w:abstractNumId w:val="16"/>
  </w:num>
  <w:num w:numId="7">
    <w:abstractNumId w:val="14"/>
  </w:num>
  <w:num w:numId="8">
    <w:abstractNumId w:val="9"/>
  </w:num>
  <w:num w:numId="9">
    <w:abstractNumId w:val="11"/>
  </w:num>
  <w:num w:numId="10">
    <w:abstractNumId w:val="2"/>
  </w:num>
  <w:num w:numId="11">
    <w:abstractNumId w:val="0"/>
  </w:num>
  <w:num w:numId="12">
    <w:abstractNumId w:val="3"/>
  </w:num>
  <w:num w:numId="13">
    <w:abstractNumId w:val="17"/>
  </w:num>
  <w:num w:numId="14">
    <w:abstractNumId w:val="5"/>
  </w:num>
  <w:num w:numId="15">
    <w:abstractNumId w:val="6"/>
  </w:num>
  <w:num w:numId="16">
    <w:abstractNumId w:val="21"/>
  </w:num>
  <w:num w:numId="17">
    <w:abstractNumId w:val="22"/>
  </w:num>
  <w:num w:numId="18">
    <w:abstractNumId w:val="19"/>
  </w:num>
  <w:num w:numId="19">
    <w:abstractNumId w:val="20"/>
  </w:num>
  <w:num w:numId="20">
    <w:abstractNumId w:val="12"/>
  </w:num>
  <w:num w:numId="21">
    <w:abstractNumId w:val="10"/>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432AF"/>
    <w:rsid w:val="00045460"/>
    <w:rsid w:val="000476F8"/>
    <w:rsid w:val="0008643E"/>
    <w:rsid w:val="000903D7"/>
    <w:rsid w:val="00091C59"/>
    <w:rsid w:val="000964A6"/>
    <w:rsid w:val="000A58FA"/>
    <w:rsid w:val="000A7274"/>
    <w:rsid w:val="000B5EA8"/>
    <w:rsid w:val="000B6127"/>
    <w:rsid w:val="000B7D13"/>
    <w:rsid w:val="000D53DF"/>
    <w:rsid w:val="000E0DF7"/>
    <w:rsid w:val="000E63CC"/>
    <w:rsid w:val="000F67B4"/>
    <w:rsid w:val="00103EDC"/>
    <w:rsid w:val="001075FF"/>
    <w:rsid w:val="001140AB"/>
    <w:rsid w:val="00124EB9"/>
    <w:rsid w:val="00124EBF"/>
    <w:rsid w:val="00130457"/>
    <w:rsid w:val="00130EA0"/>
    <w:rsid w:val="0013327C"/>
    <w:rsid w:val="00137EC1"/>
    <w:rsid w:val="001455C5"/>
    <w:rsid w:val="00147358"/>
    <w:rsid w:val="001501FD"/>
    <w:rsid w:val="00157F90"/>
    <w:rsid w:val="0016012E"/>
    <w:rsid w:val="00181FBE"/>
    <w:rsid w:val="00182CAF"/>
    <w:rsid w:val="00183C0F"/>
    <w:rsid w:val="0018524C"/>
    <w:rsid w:val="001854E0"/>
    <w:rsid w:val="00192FEE"/>
    <w:rsid w:val="001A5AF9"/>
    <w:rsid w:val="001C1953"/>
    <w:rsid w:val="001C4D60"/>
    <w:rsid w:val="001D0366"/>
    <w:rsid w:val="001D2F75"/>
    <w:rsid w:val="001E7469"/>
    <w:rsid w:val="001F12D3"/>
    <w:rsid w:val="001F7C18"/>
    <w:rsid w:val="0020382F"/>
    <w:rsid w:val="0021315A"/>
    <w:rsid w:val="00215F23"/>
    <w:rsid w:val="002231FA"/>
    <w:rsid w:val="00226E4A"/>
    <w:rsid w:val="00226F52"/>
    <w:rsid w:val="002338AC"/>
    <w:rsid w:val="00234E8D"/>
    <w:rsid w:val="00235A6D"/>
    <w:rsid w:val="002408DE"/>
    <w:rsid w:val="0025173C"/>
    <w:rsid w:val="00253148"/>
    <w:rsid w:val="002716F3"/>
    <w:rsid w:val="0027209A"/>
    <w:rsid w:val="00292B70"/>
    <w:rsid w:val="00293556"/>
    <w:rsid w:val="002A1583"/>
    <w:rsid w:val="002A1F68"/>
    <w:rsid w:val="002A70E3"/>
    <w:rsid w:val="002B36BE"/>
    <w:rsid w:val="002B4DBE"/>
    <w:rsid w:val="002C034F"/>
    <w:rsid w:val="002C4F75"/>
    <w:rsid w:val="002D0291"/>
    <w:rsid w:val="002D4B0A"/>
    <w:rsid w:val="002E0AC9"/>
    <w:rsid w:val="002F16E2"/>
    <w:rsid w:val="003229D4"/>
    <w:rsid w:val="00325A92"/>
    <w:rsid w:val="00327B2E"/>
    <w:rsid w:val="003418E9"/>
    <w:rsid w:val="00347110"/>
    <w:rsid w:val="003602DF"/>
    <w:rsid w:val="00374DAB"/>
    <w:rsid w:val="0038291A"/>
    <w:rsid w:val="00395BC0"/>
    <w:rsid w:val="003A1130"/>
    <w:rsid w:val="003C092D"/>
    <w:rsid w:val="003D2A6E"/>
    <w:rsid w:val="003D5231"/>
    <w:rsid w:val="003F04A2"/>
    <w:rsid w:val="00406AF2"/>
    <w:rsid w:val="004222F8"/>
    <w:rsid w:val="00422C1B"/>
    <w:rsid w:val="00436F5E"/>
    <w:rsid w:val="00450BBC"/>
    <w:rsid w:val="004522FF"/>
    <w:rsid w:val="004554B1"/>
    <w:rsid w:val="00456E2F"/>
    <w:rsid w:val="00456F74"/>
    <w:rsid w:val="00467C3C"/>
    <w:rsid w:val="00482DDE"/>
    <w:rsid w:val="00493956"/>
    <w:rsid w:val="004A44DD"/>
    <w:rsid w:val="004A6E5E"/>
    <w:rsid w:val="004B587E"/>
    <w:rsid w:val="004B59C0"/>
    <w:rsid w:val="004B6674"/>
    <w:rsid w:val="004C157E"/>
    <w:rsid w:val="004C2ADD"/>
    <w:rsid w:val="004C4B0C"/>
    <w:rsid w:val="004C5F51"/>
    <w:rsid w:val="004D22D3"/>
    <w:rsid w:val="004D6CA9"/>
    <w:rsid w:val="004F2DBB"/>
    <w:rsid w:val="004F4039"/>
    <w:rsid w:val="004F4E1D"/>
    <w:rsid w:val="004F6FE2"/>
    <w:rsid w:val="005046F0"/>
    <w:rsid w:val="00513E4C"/>
    <w:rsid w:val="00520737"/>
    <w:rsid w:val="005353B7"/>
    <w:rsid w:val="00541024"/>
    <w:rsid w:val="005577B1"/>
    <w:rsid w:val="005761EF"/>
    <w:rsid w:val="0058787E"/>
    <w:rsid w:val="0059094A"/>
    <w:rsid w:val="005A36EC"/>
    <w:rsid w:val="005A64C5"/>
    <w:rsid w:val="005B4480"/>
    <w:rsid w:val="005B7C2C"/>
    <w:rsid w:val="005C17A4"/>
    <w:rsid w:val="005C3A9D"/>
    <w:rsid w:val="005D05A8"/>
    <w:rsid w:val="005D552D"/>
    <w:rsid w:val="005D5AEE"/>
    <w:rsid w:val="005E202A"/>
    <w:rsid w:val="005E4BA9"/>
    <w:rsid w:val="005F2061"/>
    <w:rsid w:val="006002DB"/>
    <w:rsid w:val="006010CA"/>
    <w:rsid w:val="00607351"/>
    <w:rsid w:val="00607DD7"/>
    <w:rsid w:val="006177A8"/>
    <w:rsid w:val="00620087"/>
    <w:rsid w:val="006228E1"/>
    <w:rsid w:val="00625C56"/>
    <w:rsid w:val="00651DBA"/>
    <w:rsid w:val="00657424"/>
    <w:rsid w:val="00661C17"/>
    <w:rsid w:val="006678CB"/>
    <w:rsid w:val="00680FFE"/>
    <w:rsid w:val="00684FBC"/>
    <w:rsid w:val="00696EDB"/>
    <w:rsid w:val="006A3E00"/>
    <w:rsid w:val="006A7EFA"/>
    <w:rsid w:val="006B6845"/>
    <w:rsid w:val="006C0DE9"/>
    <w:rsid w:val="006D2637"/>
    <w:rsid w:val="006E1C7E"/>
    <w:rsid w:val="006E5B17"/>
    <w:rsid w:val="006F37DA"/>
    <w:rsid w:val="006F6653"/>
    <w:rsid w:val="006F7D02"/>
    <w:rsid w:val="006F7F68"/>
    <w:rsid w:val="00701045"/>
    <w:rsid w:val="00711BC5"/>
    <w:rsid w:val="0072204D"/>
    <w:rsid w:val="007250A3"/>
    <w:rsid w:val="00736F1D"/>
    <w:rsid w:val="00744B34"/>
    <w:rsid w:val="00757242"/>
    <w:rsid w:val="00760680"/>
    <w:rsid w:val="00772457"/>
    <w:rsid w:val="0077465C"/>
    <w:rsid w:val="00774F70"/>
    <w:rsid w:val="00784137"/>
    <w:rsid w:val="00784CD3"/>
    <w:rsid w:val="00792791"/>
    <w:rsid w:val="007A0612"/>
    <w:rsid w:val="007A075B"/>
    <w:rsid w:val="007A30A2"/>
    <w:rsid w:val="007D295D"/>
    <w:rsid w:val="007E5D8C"/>
    <w:rsid w:val="007F79FA"/>
    <w:rsid w:val="00806712"/>
    <w:rsid w:val="008159BF"/>
    <w:rsid w:val="00842B9C"/>
    <w:rsid w:val="0084640C"/>
    <w:rsid w:val="00854874"/>
    <w:rsid w:val="008616A8"/>
    <w:rsid w:val="00863AD5"/>
    <w:rsid w:val="008701B6"/>
    <w:rsid w:val="0087234E"/>
    <w:rsid w:val="00877346"/>
    <w:rsid w:val="00896A23"/>
    <w:rsid w:val="008A46C2"/>
    <w:rsid w:val="008B7EF8"/>
    <w:rsid w:val="008B7F2C"/>
    <w:rsid w:val="008C2F6A"/>
    <w:rsid w:val="008C6A6B"/>
    <w:rsid w:val="008C78B4"/>
    <w:rsid w:val="008E5CFA"/>
    <w:rsid w:val="008E5E49"/>
    <w:rsid w:val="008F10A2"/>
    <w:rsid w:val="009133F5"/>
    <w:rsid w:val="00914B7F"/>
    <w:rsid w:val="009223D3"/>
    <w:rsid w:val="00926A97"/>
    <w:rsid w:val="00932D71"/>
    <w:rsid w:val="00945CD6"/>
    <w:rsid w:val="0095592B"/>
    <w:rsid w:val="00957AE3"/>
    <w:rsid w:val="009648CE"/>
    <w:rsid w:val="0097210C"/>
    <w:rsid w:val="0098459E"/>
    <w:rsid w:val="00984BBF"/>
    <w:rsid w:val="00984CA2"/>
    <w:rsid w:val="009916E4"/>
    <w:rsid w:val="009B1638"/>
    <w:rsid w:val="009C69F2"/>
    <w:rsid w:val="009D0D85"/>
    <w:rsid w:val="009D47D2"/>
    <w:rsid w:val="009D6E41"/>
    <w:rsid w:val="009E052A"/>
    <w:rsid w:val="009E28C8"/>
    <w:rsid w:val="009E63F2"/>
    <w:rsid w:val="00A020E8"/>
    <w:rsid w:val="00A069BC"/>
    <w:rsid w:val="00A35B0D"/>
    <w:rsid w:val="00A35E23"/>
    <w:rsid w:val="00A412C5"/>
    <w:rsid w:val="00A43B0B"/>
    <w:rsid w:val="00A44209"/>
    <w:rsid w:val="00A47F74"/>
    <w:rsid w:val="00A50800"/>
    <w:rsid w:val="00A728D0"/>
    <w:rsid w:val="00AA29C0"/>
    <w:rsid w:val="00AE55B4"/>
    <w:rsid w:val="00B000F9"/>
    <w:rsid w:val="00B03AD8"/>
    <w:rsid w:val="00B14396"/>
    <w:rsid w:val="00B2180B"/>
    <w:rsid w:val="00B275E8"/>
    <w:rsid w:val="00B66874"/>
    <w:rsid w:val="00B73ACF"/>
    <w:rsid w:val="00B76E26"/>
    <w:rsid w:val="00B8070E"/>
    <w:rsid w:val="00B84547"/>
    <w:rsid w:val="00B91D97"/>
    <w:rsid w:val="00BB0A50"/>
    <w:rsid w:val="00BB13A6"/>
    <w:rsid w:val="00BC394B"/>
    <w:rsid w:val="00BD4CFB"/>
    <w:rsid w:val="00BE3C7D"/>
    <w:rsid w:val="00BE51C0"/>
    <w:rsid w:val="00BE7952"/>
    <w:rsid w:val="00C12B95"/>
    <w:rsid w:val="00C140A5"/>
    <w:rsid w:val="00C1674B"/>
    <w:rsid w:val="00C23853"/>
    <w:rsid w:val="00C56EA9"/>
    <w:rsid w:val="00C66371"/>
    <w:rsid w:val="00C86FB9"/>
    <w:rsid w:val="00C92D5C"/>
    <w:rsid w:val="00CA6C9D"/>
    <w:rsid w:val="00CB2ED6"/>
    <w:rsid w:val="00CB49B2"/>
    <w:rsid w:val="00CC1D1A"/>
    <w:rsid w:val="00CC2CD1"/>
    <w:rsid w:val="00CE4DCC"/>
    <w:rsid w:val="00CE6EFF"/>
    <w:rsid w:val="00D012A6"/>
    <w:rsid w:val="00D01720"/>
    <w:rsid w:val="00D06D5F"/>
    <w:rsid w:val="00D14A48"/>
    <w:rsid w:val="00D2289F"/>
    <w:rsid w:val="00D277B1"/>
    <w:rsid w:val="00D32AC2"/>
    <w:rsid w:val="00D42835"/>
    <w:rsid w:val="00D44EA5"/>
    <w:rsid w:val="00D519D9"/>
    <w:rsid w:val="00D65666"/>
    <w:rsid w:val="00D77FFD"/>
    <w:rsid w:val="00D87B94"/>
    <w:rsid w:val="00D90EF6"/>
    <w:rsid w:val="00D95825"/>
    <w:rsid w:val="00DA00C2"/>
    <w:rsid w:val="00DC5A11"/>
    <w:rsid w:val="00DF0C3C"/>
    <w:rsid w:val="00DF26D0"/>
    <w:rsid w:val="00E00860"/>
    <w:rsid w:val="00E05A0A"/>
    <w:rsid w:val="00E1106A"/>
    <w:rsid w:val="00E16DBC"/>
    <w:rsid w:val="00E21763"/>
    <w:rsid w:val="00E41D46"/>
    <w:rsid w:val="00E63E69"/>
    <w:rsid w:val="00E65D4C"/>
    <w:rsid w:val="00E72E9A"/>
    <w:rsid w:val="00E76658"/>
    <w:rsid w:val="00E86DB9"/>
    <w:rsid w:val="00EA081D"/>
    <w:rsid w:val="00EA12DE"/>
    <w:rsid w:val="00EB2E2F"/>
    <w:rsid w:val="00EB5B54"/>
    <w:rsid w:val="00EC329F"/>
    <w:rsid w:val="00ED36AF"/>
    <w:rsid w:val="00ED75B3"/>
    <w:rsid w:val="00EF44FD"/>
    <w:rsid w:val="00EF62F2"/>
    <w:rsid w:val="00F010D4"/>
    <w:rsid w:val="00F040E9"/>
    <w:rsid w:val="00F067E1"/>
    <w:rsid w:val="00F1564D"/>
    <w:rsid w:val="00F4387A"/>
    <w:rsid w:val="00F514D1"/>
    <w:rsid w:val="00F539CC"/>
    <w:rsid w:val="00F56E91"/>
    <w:rsid w:val="00F616F8"/>
    <w:rsid w:val="00F6569D"/>
    <w:rsid w:val="00F73374"/>
    <w:rsid w:val="00F82004"/>
    <w:rsid w:val="00F86B3D"/>
    <w:rsid w:val="00F95639"/>
    <w:rsid w:val="00FA05FE"/>
    <w:rsid w:val="00FA1331"/>
    <w:rsid w:val="00FA42EF"/>
    <w:rsid w:val="00FC04C5"/>
    <w:rsid w:val="00FC196A"/>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B8070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Heading3Char">
    <w:name w:val="Heading 3 Char"/>
    <w:basedOn w:val="DefaultParagraphFont"/>
    <w:link w:val="Heading3"/>
    <w:semiHidden/>
    <w:rsid w:val="00B8070E"/>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878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190661">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268152636">
      <w:bodyDiv w:val="1"/>
      <w:marLeft w:val="0"/>
      <w:marRight w:val="0"/>
      <w:marTop w:val="0"/>
      <w:marBottom w:val="0"/>
      <w:divBdr>
        <w:top w:val="none" w:sz="0" w:space="0" w:color="auto"/>
        <w:left w:val="none" w:sz="0" w:space="0" w:color="auto"/>
        <w:bottom w:val="none" w:sz="0" w:space="0" w:color="auto"/>
        <w:right w:val="none" w:sz="0" w:space="0" w:color="auto"/>
      </w:divBdr>
    </w:div>
    <w:div w:id="1424186117">
      <w:bodyDiv w:val="1"/>
      <w:marLeft w:val="0"/>
      <w:marRight w:val="0"/>
      <w:marTop w:val="0"/>
      <w:marBottom w:val="0"/>
      <w:divBdr>
        <w:top w:val="none" w:sz="0" w:space="0" w:color="auto"/>
        <w:left w:val="none" w:sz="0" w:space="0" w:color="auto"/>
        <w:bottom w:val="none" w:sz="0" w:space="0" w:color="auto"/>
        <w:right w:val="none" w:sz="0" w:space="0" w:color="auto"/>
      </w:divBdr>
    </w:div>
    <w:div w:id="1502356807">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2110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C235F-A8DE-4FE0-B8AB-173E1A212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834DF-0749-454F-A715-D4E511D199E1}">
  <ds:schemaRefs>
    <ds:schemaRef ds:uri="http://schemas.openxmlformats.org/officeDocument/2006/bibliography"/>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1824</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34</cp:revision>
  <cp:lastPrinted>2009-01-26T16:35:00Z</cp:lastPrinted>
  <dcterms:created xsi:type="dcterms:W3CDTF">2022-04-04T16:32:00Z</dcterms:created>
  <dcterms:modified xsi:type="dcterms:W3CDTF">2022-04-06T10:19:00Z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