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CA72EC" w:rsidP="008F570D" w14:paraId="28E08F41" w14:textId="5F4757D2">
      <w:pPr>
        <w:pStyle w:val="ReportCover-Title"/>
        <w:jc w:val="center"/>
        <w:rPr>
          <w:rFonts w:ascii="Arial" w:eastAsia="Arial Unicode MS" w:hAnsi="Arial" w:cs="Arial"/>
          <w:noProof/>
          <w:color w:val="auto"/>
        </w:rPr>
      </w:pPr>
      <w:r>
        <w:rPr>
          <w:rFonts w:ascii="Arial" w:eastAsia="Arial Unicode MS" w:hAnsi="Arial" w:cs="Arial"/>
          <w:noProof/>
          <w:color w:val="auto"/>
        </w:rPr>
        <w:t>O</w:t>
      </w:r>
      <w:r>
        <w:rPr>
          <w:rFonts w:ascii="Arial" w:eastAsia="Arial Unicode MS" w:hAnsi="Arial" w:cs="Arial"/>
          <w:noProof/>
          <w:color w:val="auto"/>
        </w:rPr>
        <w:t xml:space="preserve">ffice of </w:t>
      </w:r>
      <w:r>
        <w:rPr>
          <w:rFonts w:ascii="Arial" w:eastAsia="Arial Unicode MS" w:hAnsi="Arial" w:cs="Arial"/>
          <w:noProof/>
          <w:color w:val="auto"/>
        </w:rPr>
        <w:t>R</w:t>
      </w:r>
      <w:r>
        <w:rPr>
          <w:rFonts w:ascii="Arial" w:eastAsia="Arial Unicode MS" w:hAnsi="Arial" w:cs="Arial"/>
          <w:noProof/>
          <w:color w:val="auto"/>
        </w:rPr>
        <w:t xml:space="preserve">efugee </w:t>
      </w:r>
      <w:r>
        <w:rPr>
          <w:rFonts w:ascii="Arial" w:eastAsia="Arial Unicode MS" w:hAnsi="Arial" w:cs="Arial"/>
          <w:noProof/>
          <w:color w:val="auto"/>
        </w:rPr>
        <w:t>R</w:t>
      </w:r>
      <w:r>
        <w:rPr>
          <w:rFonts w:ascii="Arial" w:eastAsia="Arial Unicode MS" w:hAnsi="Arial" w:cs="Arial"/>
          <w:noProof/>
          <w:color w:val="auto"/>
        </w:rPr>
        <w:t>esettlement</w:t>
      </w:r>
    </w:p>
    <w:p w:rsidR="00CA72EC" w:rsidP="008F570D" w14:paraId="62D977F5"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U</w:t>
      </w:r>
      <w:r>
        <w:rPr>
          <w:rFonts w:ascii="Arial" w:eastAsia="Arial Unicode MS" w:hAnsi="Arial" w:cs="Arial"/>
          <w:noProof/>
          <w:color w:val="auto"/>
        </w:rPr>
        <w:t xml:space="preserve">naccompanied </w:t>
      </w:r>
      <w:r>
        <w:rPr>
          <w:rFonts w:ascii="Arial" w:eastAsia="Arial Unicode MS" w:hAnsi="Arial" w:cs="Arial"/>
          <w:noProof/>
          <w:color w:val="auto"/>
        </w:rPr>
        <w:t>C</w:t>
      </w:r>
      <w:r>
        <w:rPr>
          <w:rFonts w:ascii="Arial" w:eastAsia="Arial Unicode MS" w:hAnsi="Arial" w:cs="Arial"/>
          <w:noProof/>
          <w:color w:val="auto"/>
        </w:rPr>
        <w:t xml:space="preserve">hildren </w:t>
      </w:r>
      <w:r>
        <w:rPr>
          <w:rFonts w:ascii="Arial" w:eastAsia="Arial Unicode MS" w:hAnsi="Arial" w:cs="Arial"/>
          <w:noProof/>
          <w:color w:val="auto"/>
        </w:rPr>
        <w:t>B</w:t>
      </w:r>
      <w:r>
        <w:rPr>
          <w:rFonts w:ascii="Arial" w:eastAsia="Arial Unicode MS" w:hAnsi="Arial" w:cs="Arial"/>
          <w:noProof/>
          <w:color w:val="auto"/>
        </w:rPr>
        <w:t>ureau</w:t>
      </w:r>
    </w:p>
    <w:p w:rsidR="002C4F75" w:rsidRPr="002C4F75" w:rsidP="008F570D" w14:paraId="2D2824CA" w14:textId="4F00FEF6">
      <w:pPr>
        <w:pStyle w:val="ReportCover-Title"/>
        <w:jc w:val="center"/>
        <w:rPr>
          <w:rFonts w:ascii="Arial" w:hAnsi="Arial" w:cs="Arial"/>
          <w:color w:val="auto"/>
        </w:rPr>
      </w:pPr>
      <w:r>
        <w:rPr>
          <w:rFonts w:ascii="Arial" w:eastAsia="Arial Unicode MS" w:hAnsi="Arial" w:cs="Arial"/>
          <w:noProof/>
          <w:color w:val="auto"/>
        </w:rPr>
        <w:t xml:space="preserve">Normalcy </w:t>
      </w:r>
      <w:r w:rsidR="007C3450">
        <w:rPr>
          <w:rFonts w:ascii="Arial" w:eastAsia="Arial Unicode MS" w:hAnsi="Arial" w:cs="Arial"/>
          <w:noProof/>
          <w:color w:val="auto"/>
        </w:rPr>
        <w:t xml:space="preserve">Integration </w:t>
      </w:r>
      <w:r>
        <w:rPr>
          <w:rFonts w:ascii="Arial" w:eastAsia="Arial Unicode MS" w:hAnsi="Arial" w:cs="Arial"/>
          <w:noProof/>
          <w:color w:val="auto"/>
        </w:rPr>
        <w:t xml:space="preserve">Survey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07396F1E">
      <w:pPr>
        <w:pStyle w:val="ReportCover-Date"/>
        <w:jc w:val="center"/>
        <w:rPr>
          <w:rFonts w:ascii="Arial" w:hAnsi="Arial" w:cs="Arial"/>
          <w:color w:val="auto"/>
        </w:rPr>
      </w:pPr>
      <w:r>
        <w:rPr>
          <w:rFonts w:ascii="Arial" w:hAnsi="Arial" w:cs="Arial"/>
          <w:color w:val="auto"/>
        </w:rPr>
        <w:t xml:space="preserve">August </w:t>
      </w:r>
      <w:r w:rsidR="00AC2AC5">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05057AEC">
      <w:pPr>
        <w:jc w:val="center"/>
        <w:rPr>
          <w:rFonts w:ascii="Arial" w:hAnsi="Arial" w:cs="Arial"/>
        </w:rPr>
      </w:pPr>
      <w:r>
        <w:rPr>
          <w:rFonts w:ascii="Arial" w:hAnsi="Arial" w:cs="Arial"/>
        </w:rPr>
        <w:t xml:space="preserve">Office of Refugee Resettlement </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597D0108">
      <w:pPr>
        <w:jc w:val="center"/>
        <w:rPr>
          <w:rFonts w:ascii="Arial" w:hAnsi="Arial" w:cs="Arial"/>
        </w:rPr>
      </w:pPr>
      <w:r>
        <w:rPr>
          <w:rFonts w:ascii="Arial" w:hAnsi="Arial" w:cs="Arial"/>
        </w:rPr>
        <w:t>5</w:t>
      </w:r>
      <w:r w:rsidRPr="002C4F75">
        <w:rPr>
          <w:rFonts w:ascii="Arial" w:hAnsi="Arial" w:cs="Arial"/>
          <w:vertAlign w:val="superscript"/>
        </w:rPr>
        <w:t>th</w:t>
      </w:r>
      <w:r w:rsidRPr="002C4F75">
        <w:rPr>
          <w:rFonts w:ascii="Arial" w:hAnsi="Arial" w:cs="Arial"/>
        </w:rPr>
        <w:t xml:space="preserve"> Floor, </w:t>
      </w:r>
      <w:r w:rsidR="00436F5E">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384B41" w:rsidRPr="00107BB9" w:rsidP="00384B41" w14:paraId="74AA5B27" w14:textId="456B7AD9">
      <w:pPr>
        <w:rPr>
          <w:rFonts w:asciiTheme="majorBidi" w:hAnsiTheme="majorBidi" w:cstheme="majorBidi"/>
        </w:rPr>
      </w:pPr>
      <w:r w:rsidRPr="004F75CB">
        <w:t>The Administration for Children and Families (ACF) at the U.S. Department of Health and Human Services (HHS) seeks approval</w:t>
      </w:r>
      <w:r w:rsidRPr="00107BB9">
        <w:rPr>
          <w:rFonts w:asciiTheme="majorBidi" w:hAnsiTheme="majorBidi" w:cstheme="majorBidi"/>
        </w:rPr>
        <w:t xml:space="preserve"> to gather information on the Unaccompanied Children Bureau’s</w:t>
      </w:r>
      <w:r w:rsidR="009B0380">
        <w:rPr>
          <w:rFonts w:asciiTheme="majorBidi" w:hAnsiTheme="majorBidi" w:cstheme="majorBidi"/>
        </w:rPr>
        <w:t xml:space="preserve"> (UC Bureau)</w:t>
      </w:r>
      <w:r w:rsidRPr="00107BB9">
        <w:rPr>
          <w:rFonts w:asciiTheme="majorBidi" w:hAnsiTheme="majorBidi" w:cstheme="majorBidi"/>
        </w:rPr>
        <w:t xml:space="preserve"> understanding and application of normalcy by surveying staff from the Bureau and the care provider network. </w:t>
      </w:r>
    </w:p>
    <w:p w:rsidR="00984CA2" w:rsidRPr="008F570D" w:rsidP="008F570D" w14:paraId="516D2FC4" w14:textId="4677CF51">
      <w:pPr>
        <w:rPr>
          <w:sz w:val="22"/>
          <w:szCs w:val="22"/>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9D6AFD" w:rsidP="004F085C" w14:paraId="6AC9916C" w14:textId="25F0A1BF">
      <w:pPr>
        <w:rPr>
          <w:rFonts w:asciiTheme="majorBidi" w:hAnsiTheme="majorBidi" w:cstheme="majorBidi"/>
        </w:rPr>
      </w:pPr>
      <w:r>
        <w:rPr>
          <w:rFonts w:asciiTheme="majorBidi" w:hAnsiTheme="majorBidi" w:cstheme="majorBidi"/>
        </w:rPr>
        <w:t>The</w:t>
      </w:r>
      <w:r w:rsidR="009B0380">
        <w:rPr>
          <w:rFonts w:asciiTheme="majorBidi" w:hAnsiTheme="majorBidi" w:cstheme="majorBidi"/>
        </w:rPr>
        <w:t xml:space="preserve"> Bureau within the</w:t>
      </w:r>
      <w:r>
        <w:rPr>
          <w:rFonts w:asciiTheme="majorBidi" w:hAnsiTheme="majorBidi" w:cstheme="majorBidi"/>
        </w:rPr>
        <w:t xml:space="preserve"> Office of Refugee Resettlement (ORR) </w:t>
      </w:r>
      <w:r w:rsidR="000F0348">
        <w:rPr>
          <w:rFonts w:asciiTheme="majorBidi" w:hAnsiTheme="majorBidi" w:cstheme="majorBidi"/>
        </w:rPr>
        <w:t>does</w:t>
      </w:r>
      <w:r w:rsidR="009B0380">
        <w:rPr>
          <w:rFonts w:asciiTheme="majorBidi" w:hAnsiTheme="majorBidi" w:cstheme="majorBidi"/>
        </w:rPr>
        <w:t xml:space="preserve"> not</w:t>
      </w:r>
      <w:r w:rsidR="000F0348">
        <w:rPr>
          <w:rFonts w:asciiTheme="majorBidi" w:hAnsiTheme="majorBidi" w:cstheme="majorBidi"/>
        </w:rPr>
        <w:t xml:space="preserve"> have a </w:t>
      </w:r>
      <w:r w:rsidR="00FC23A7">
        <w:rPr>
          <w:rFonts w:asciiTheme="majorBidi" w:hAnsiTheme="majorBidi" w:cstheme="majorBidi"/>
        </w:rPr>
        <w:t xml:space="preserve">Bureau-wide definition of normalcy.  </w:t>
      </w:r>
      <w:r w:rsidR="007E407A">
        <w:rPr>
          <w:rFonts w:asciiTheme="majorBidi" w:hAnsiTheme="majorBidi" w:cstheme="majorBidi"/>
        </w:rPr>
        <w:t xml:space="preserve">This </w:t>
      </w:r>
      <w:r w:rsidR="008C7659">
        <w:rPr>
          <w:rFonts w:asciiTheme="majorBidi" w:hAnsiTheme="majorBidi" w:cstheme="majorBidi"/>
        </w:rPr>
        <w:t xml:space="preserve">lack of a Bureau-wide definition </w:t>
      </w:r>
      <w:r w:rsidR="006B1672">
        <w:rPr>
          <w:rFonts w:asciiTheme="majorBidi" w:hAnsiTheme="majorBidi" w:cstheme="majorBidi"/>
        </w:rPr>
        <w:t>conflicts with</w:t>
      </w:r>
      <w:r w:rsidR="00C32629">
        <w:rPr>
          <w:rFonts w:asciiTheme="majorBidi" w:hAnsiTheme="majorBidi" w:cstheme="majorBidi"/>
        </w:rPr>
        <w:t xml:space="preserve"> child welfare best practices </w:t>
      </w:r>
      <w:r w:rsidR="007A2E0B">
        <w:rPr>
          <w:rFonts w:asciiTheme="majorBidi" w:hAnsiTheme="majorBidi" w:cstheme="majorBidi"/>
        </w:rPr>
        <w:t xml:space="preserve">in the domestic system since the passage of the </w:t>
      </w:r>
      <w:r w:rsidR="007A2E0B">
        <w:rPr>
          <w:rFonts w:asciiTheme="majorBidi" w:hAnsiTheme="majorBidi" w:cstheme="majorBidi"/>
          <w:i/>
          <w:iCs/>
        </w:rPr>
        <w:t xml:space="preserve">Preventing Sex Trafficking and Strengthening Families </w:t>
      </w:r>
      <w:r w:rsidRPr="00455DB4" w:rsidR="007A2E0B">
        <w:rPr>
          <w:rFonts w:asciiTheme="majorBidi" w:hAnsiTheme="majorBidi" w:cstheme="majorBidi"/>
          <w:i/>
          <w:iCs/>
        </w:rPr>
        <w:t>Act</w:t>
      </w:r>
      <w:r w:rsidR="007A2E0B">
        <w:rPr>
          <w:rFonts w:asciiTheme="majorBidi" w:hAnsiTheme="majorBidi" w:cstheme="majorBidi"/>
        </w:rPr>
        <w:t xml:space="preserve">, in 2014.  </w:t>
      </w:r>
      <w:r w:rsidR="00BE48EE">
        <w:rPr>
          <w:rFonts w:asciiTheme="majorBidi" w:hAnsiTheme="majorBidi" w:cstheme="majorBidi"/>
        </w:rPr>
        <w:t xml:space="preserve">During engagement with Bureau teams and care provider partners, </w:t>
      </w:r>
      <w:r w:rsidR="00684133">
        <w:rPr>
          <w:rFonts w:asciiTheme="majorBidi" w:hAnsiTheme="majorBidi" w:cstheme="majorBidi"/>
        </w:rPr>
        <w:t xml:space="preserve">the Bureau has learned that there are apprehensions and </w:t>
      </w:r>
      <w:r w:rsidR="00CB5F5D">
        <w:rPr>
          <w:rFonts w:asciiTheme="majorBidi" w:hAnsiTheme="majorBidi" w:cstheme="majorBidi"/>
        </w:rPr>
        <w:t xml:space="preserve">misunderstandings regarding the </w:t>
      </w:r>
      <w:r w:rsidR="00F47C4A">
        <w:rPr>
          <w:rFonts w:asciiTheme="majorBidi" w:hAnsiTheme="majorBidi" w:cstheme="majorBidi"/>
        </w:rPr>
        <w:t xml:space="preserve">allowability and </w:t>
      </w:r>
      <w:r w:rsidR="00CB5F5D">
        <w:rPr>
          <w:rFonts w:asciiTheme="majorBidi" w:hAnsiTheme="majorBidi" w:cstheme="majorBidi"/>
        </w:rPr>
        <w:t xml:space="preserve">application of normalcy principles </w:t>
      </w:r>
      <w:r w:rsidR="00D65299">
        <w:rPr>
          <w:rFonts w:asciiTheme="majorBidi" w:hAnsiTheme="majorBidi" w:cstheme="majorBidi"/>
        </w:rPr>
        <w:t xml:space="preserve">for the unaccompanied children population.  </w:t>
      </w:r>
      <w:r w:rsidR="00C32402">
        <w:rPr>
          <w:rFonts w:asciiTheme="majorBidi" w:hAnsiTheme="majorBidi" w:cstheme="majorBidi"/>
        </w:rPr>
        <w:t xml:space="preserve">This is especially the case for children placed in congregate settings, such as shelters.  </w:t>
      </w:r>
      <w:r w:rsidR="009E4A5F">
        <w:rPr>
          <w:rFonts w:asciiTheme="majorBidi" w:hAnsiTheme="majorBidi" w:cstheme="majorBidi"/>
        </w:rPr>
        <w:t xml:space="preserve">ORR plans </w:t>
      </w:r>
      <w:r w:rsidR="00B57645">
        <w:rPr>
          <w:rFonts w:asciiTheme="majorBidi" w:hAnsiTheme="majorBidi" w:cstheme="majorBidi"/>
        </w:rPr>
        <w:t>to develop</w:t>
      </w:r>
      <w:r w:rsidR="00177E90">
        <w:rPr>
          <w:rFonts w:asciiTheme="majorBidi" w:hAnsiTheme="majorBidi" w:cstheme="majorBidi"/>
        </w:rPr>
        <w:t xml:space="preserve"> a Bureau-wide definition of normalcy.  </w:t>
      </w:r>
      <w:r w:rsidR="005B588A">
        <w:rPr>
          <w:rFonts w:asciiTheme="majorBidi" w:hAnsiTheme="majorBidi" w:cstheme="majorBidi"/>
        </w:rPr>
        <w:t xml:space="preserve">The Bureau’s working definition ensures an unaccompanied child’s range of experiences while in ORR custody is typical of the range of experiences of any child of the same age.  The working definition </w:t>
      </w:r>
      <w:r w:rsidR="005B588A">
        <w:rPr>
          <w:rFonts w:asciiTheme="majorBidi" w:hAnsiTheme="majorBidi" w:cstheme="majorBidi"/>
        </w:rPr>
        <w:t>tailors</w:t>
      </w:r>
      <w:r w:rsidR="005B588A">
        <w:rPr>
          <w:rFonts w:asciiTheme="majorBidi" w:hAnsiTheme="majorBidi" w:cstheme="majorBidi"/>
        </w:rPr>
        <w:t xml:space="preserve"> application to the age, developmental stage, and interests of the child</w:t>
      </w:r>
      <w:r w:rsidR="00880BC7">
        <w:rPr>
          <w:rFonts w:asciiTheme="majorBidi" w:hAnsiTheme="majorBidi" w:cstheme="majorBidi"/>
        </w:rPr>
        <w:t>.</w:t>
      </w:r>
      <w:r w:rsidR="00043FE2">
        <w:rPr>
          <w:rFonts w:asciiTheme="majorBidi" w:hAnsiTheme="majorBidi" w:cstheme="majorBidi"/>
        </w:rPr>
        <w:t xml:space="preserve">  The survey asks respondents to evaluate specific normalcy examples, such as cell phone ownership and independent travel to community resources (e.g., public library).</w:t>
      </w:r>
      <w:r w:rsidR="00043FE2">
        <w:rPr>
          <w:rFonts w:asciiTheme="majorBidi" w:hAnsiTheme="majorBidi" w:cstheme="majorBidi"/>
        </w:rPr>
        <w:t xml:space="preserve"> </w:t>
      </w:r>
      <w:r w:rsidR="0048064D">
        <w:rPr>
          <w:rFonts w:asciiTheme="majorBidi" w:hAnsiTheme="majorBidi" w:cstheme="majorBidi"/>
        </w:rPr>
        <w:t xml:space="preserve"> Prior to finalizing the definition</w:t>
      </w:r>
      <w:r w:rsidR="00177E90">
        <w:rPr>
          <w:rFonts w:asciiTheme="majorBidi" w:hAnsiTheme="majorBidi" w:cstheme="majorBidi"/>
        </w:rPr>
        <w:t>, ORR leadership first want</w:t>
      </w:r>
      <w:r w:rsidR="00B84CE3">
        <w:rPr>
          <w:rFonts w:asciiTheme="majorBidi" w:hAnsiTheme="majorBidi" w:cstheme="majorBidi"/>
        </w:rPr>
        <w:t>s</w:t>
      </w:r>
      <w:r w:rsidR="00177E90">
        <w:rPr>
          <w:rFonts w:asciiTheme="majorBidi" w:hAnsiTheme="majorBidi" w:cstheme="majorBidi"/>
        </w:rPr>
        <w:t xml:space="preserve"> to understand the extent of staff and providers’ </w:t>
      </w:r>
      <w:r w:rsidR="00B84CE3">
        <w:rPr>
          <w:rFonts w:asciiTheme="majorBidi" w:hAnsiTheme="majorBidi" w:cstheme="majorBidi"/>
        </w:rPr>
        <w:t xml:space="preserve">attitudes and apprehensions </w:t>
      </w:r>
      <w:r w:rsidR="00CD4D7E">
        <w:rPr>
          <w:rFonts w:asciiTheme="majorBidi" w:hAnsiTheme="majorBidi" w:cstheme="majorBidi"/>
        </w:rPr>
        <w:t>with integrating</w:t>
      </w:r>
      <w:r w:rsidR="00177E90">
        <w:rPr>
          <w:rFonts w:asciiTheme="majorBidi" w:hAnsiTheme="majorBidi" w:cstheme="majorBidi"/>
        </w:rPr>
        <w:t xml:space="preserve"> normalcy </w:t>
      </w:r>
      <w:r w:rsidR="00CD4D7E">
        <w:rPr>
          <w:rFonts w:asciiTheme="majorBidi" w:hAnsiTheme="majorBidi" w:cstheme="majorBidi"/>
        </w:rPr>
        <w:t xml:space="preserve">principals </w:t>
      </w:r>
      <w:r w:rsidR="00177E90">
        <w:rPr>
          <w:rFonts w:asciiTheme="majorBidi" w:hAnsiTheme="majorBidi" w:cstheme="majorBidi"/>
        </w:rPr>
        <w:t>and</w:t>
      </w:r>
      <w:r w:rsidR="00CC067F">
        <w:rPr>
          <w:rFonts w:asciiTheme="majorBidi" w:hAnsiTheme="majorBidi" w:cstheme="majorBidi"/>
        </w:rPr>
        <w:t xml:space="preserve"> their</w:t>
      </w:r>
      <w:r w:rsidR="00473F30">
        <w:rPr>
          <w:rFonts w:asciiTheme="majorBidi" w:hAnsiTheme="majorBidi" w:cstheme="majorBidi"/>
        </w:rPr>
        <w:t xml:space="preserve"> operational impacts</w:t>
      </w:r>
      <w:r w:rsidR="00744F6E">
        <w:rPr>
          <w:rFonts w:asciiTheme="majorBidi" w:hAnsiTheme="majorBidi" w:cstheme="majorBidi"/>
        </w:rPr>
        <w:t xml:space="preserve">.  </w:t>
      </w:r>
    </w:p>
    <w:p w:rsidR="00851D3F" w:rsidP="004F085C" w14:paraId="2C3B4CB8" w14:textId="77777777">
      <w:pPr>
        <w:rPr>
          <w:rFonts w:asciiTheme="majorBidi" w:hAnsiTheme="majorBidi" w:cstheme="majorBidi"/>
        </w:rPr>
      </w:pPr>
    </w:p>
    <w:p w:rsidR="004F085C" w:rsidRPr="00FC404D" w:rsidP="004F085C" w14:paraId="59319A81" w14:textId="60FD8F4D">
      <w:pPr>
        <w:rPr>
          <w:rFonts w:asciiTheme="majorBidi" w:hAnsiTheme="majorBidi" w:cstheme="majorBidi"/>
        </w:rPr>
      </w:pPr>
      <w:r>
        <w:rPr>
          <w:rFonts w:asciiTheme="majorBidi" w:hAnsiTheme="majorBidi" w:cstheme="majorBidi"/>
        </w:rPr>
        <w:t xml:space="preserve">Therefore, ORR </w:t>
      </w:r>
      <w:r>
        <w:rPr>
          <w:rFonts w:asciiTheme="majorBidi" w:hAnsiTheme="majorBidi" w:cstheme="majorBidi"/>
        </w:rPr>
        <w:t>plans to survey Bureau and care provider staff on how they interpret and apply normalcy principles</w:t>
      </w:r>
      <w:r w:rsidR="00B80D2E">
        <w:rPr>
          <w:rFonts w:asciiTheme="majorBidi" w:hAnsiTheme="majorBidi" w:cstheme="majorBidi"/>
        </w:rPr>
        <w:t>.</w:t>
      </w:r>
      <w:r w:rsidR="00702194">
        <w:rPr>
          <w:rFonts w:asciiTheme="majorBidi" w:hAnsiTheme="majorBidi" w:cstheme="majorBidi"/>
        </w:rPr>
        <w:t xml:space="preserve"> </w:t>
      </w:r>
      <w:r w:rsidR="00CC067F">
        <w:rPr>
          <w:rFonts w:asciiTheme="majorBidi" w:hAnsiTheme="majorBidi" w:cstheme="majorBidi"/>
        </w:rPr>
        <w:t xml:space="preserve"> </w:t>
      </w:r>
      <w:r>
        <w:rPr>
          <w:rFonts w:asciiTheme="majorBidi" w:hAnsiTheme="majorBidi" w:cstheme="majorBidi"/>
        </w:rPr>
        <w:t xml:space="preserve">The Bureau will use this feedback to develop a communications plan to solicit buy-in from Bureau staff and care provider partners.  The communications plan will respond to their concerns and questions about normalcy and its impacts on programming and potential liability for providers.  Survey results will also inform the development of training and technical assistance materials.  </w:t>
      </w:r>
      <w:r w:rsidR="00D71F89">
        <w:rPr>
          <w:rFonts w:asciiTheme="majorBidi" w:hAnsiTheme="majorBidi" w:cstheme="majorBidi"/>
        </w:rPr>
        <w:t>Th</w:t>
      </w:r>
      <w:r w:rsidR="00C63098">
        <w:rPr>
          <w:rFonts w:asciiTheme="majorBidi" w:hAnsiTheme="majorBidi" w:cstheme="majorBidi"/>
        </w:rPr>
        <w:t>e</w:t>
      </w:r>
      <w:r w:rsidR="00D71F89">
        <w:rPr>
          <w:rFonts w:asciiTheme="majorBidi" w:hAnsiTheme="majorBidi" w:cstheme="majorBidi"/>
        </w:rPr>
        <w:t xml:space="preserve"> survey is the most appropriate means for </w:t>
      </w:r>
      <w:r w:rsidR="00BE66BB">
        <w:rPr>
          <w:rFonts w:asciiTheme="majorBidi" w:hAnsiTheme="majorBidi" w:cstheme="majorBidi"/>
        </w:rPr>
        <w:t xml:space="preserve">gathering this relevant information.  </w:t>
      </w:r>
      <w:r>
        <w:rPr>
          <w:rFonts w:asciiTheme="majorBidi" w:hAnsiTheme="majorBidi" w:cstheme="majorBidi"/>
        </w:rPr>
        <w:t xml:space="preserve">    </w:t>
      </w:r>
    </w:p>
    <w:p w:rsidR="008F570D" w:rsidRPr="00DD322D" w:rsidP="004F75CB"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DD322D" w:rsidP="004F75CB"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DD322D">
        <w:rPr>
          <w:rFonts w:ascii="Times New Roman" w:hAnsi="Times New Roman"/>
          <w:i/>
          <w:sz w:val="24"/>
          <w:szCs w:val="24"/>
        </w:rPr>
        <w:t xml:space="preserve">Legal or Administrative Requirements that Necessitate the Collection </w:t>
      </w:r>
    </w:p>
    <w:p w:rsidR="00EA12DE" w:rsidRPr="00DD322D" w:rsidP="008F570D" w14:paraId="3BDF35B0" w14:textId="1F239940">
      <w:r w:rsidRPr="00DD322D">
        <w:t xml:space="preserve">There are no legal or administrative requirements that necessitate the collection. </w:t>
      </w:r>
      <w:r w:rsidR="00137235">
        <w:t xml:space="preserve"> </w:t>
      </w:r>
      <w:r w:rsidRPr="00DD322D">
        <w:t>ACF is undertaking the collection at the discretion of the agency.</w:t>
      </w:r>
    </w:p>
    <w:p w:rsidR="0020382F" w:rsidRPr="00DD322D" w:rsidP="008F570D" w14:paraId="7D1B72AE" w14:textId="77777777"/>
    <w:p w:rsidR="00945CD6" w:rsidRPr="00DD322D" w:rsidP="008F570D" w14:paraId="617B0354" w14:textId="77777777">
      <w:pPr>
        <w:spacing w:after="120"/>
        <w:rPr>
          <w:b/>
        </w:rPr>
      </w:pPr>
      <w:r w:rsidRPr="00DD322D">
        <w:rPr>
          <w:b/>
        </w:rPr>
        <w:t xml:space="preserve">A2. </w:t>
      </w:r>
      <w:r w:rsidRPr="00DD322D">
        <w:rPr>
          <w:b/>
        </w:rPr>
        <w:t>Purpose of Survey and Data Collection Procedures</w:t>
      </w:r>
    </w:p>
    <w:p w:rsidR="008F570D" w:rsidRPr="00DD322D" w:rsidP="008F570D" w14:paraId="24636DF8" w14:textId="77777777">
      <w:pPr>
        <w:spacing w:after="60"/>
        <w:rPr>
          <w:b/>
          <w:i/>
        </w:rPr>
      </w:pPr>
      <w:r w:rsidRPr="00DD322D">
        <w:rPr>
          <w:b/>
          <w:i/>
        </w:rPr>
        <w:t xml:space="preserve">Overview of Purpose and </w:t>
      </w:r>
      <w:r w:rsidRPr="00DD322D">
        <w:rPr>
          <w:b/>
          <w:i/>
        </w:rPr>
        <w:t>Use</w:t>
      </w:r>
    </w:p>
    <w:p w:rsidR="00C7367B" w:rsidP="009933E8" w14:paraId="38CC1A46" w14:textId="0834E189">
      <w:pPr>
        <w:rPr>
          <w:bCs/>
        </w:rPr>
      </w:pPr>
      <w:r>
        <w:rPr>
          <w:bCs/>
          <w:iCs/>
        </w:rPr>
        <w:t xml:space="preserve">The purpose of </w:t>
      </w:r>
      <w:r w:rsidR="008077F0">
        <w:rPr>
          <w:bCs/>
          <w:iCs/>
        </w:rPr>
        <w:t xml:space="preserve">the </w:t>
      </w:r>
      <w:r w:rsidR="008077F0">
        <w:rPr>
          <w:rFonts w:asciiTheme="majorBidi" w:hAnsiTheme="majorBidi" w:cstheme="majorBidi"/>
        </w:rPr>
        <w:t xml:space="preserve">ORR Unaccompanied Children Bureau Normalcy </w:t>
      </w:r>
      <w:r w:rsidR="00B60C71">
        <w:rPr>
          <w:rFonts w:asciiTheme="majorBidi" w:hAnsiTheme="majorBidi" w:cstheme="majorBidi"/>
        </w:rPr>
        <w:t xml:space="preserve">Integration </w:t>
      </w:r>
      <w:r w:rsidR="008077F0">
        <w:rPr>
          <w:rFonts w:asciiTheme="majorBidi" w:hAnsiTheme="majorBidi" w:cstheme="majorBidi"/>
        </w:rPr>
        <w:t>Survey</w:t>
      </w:r>
      <w:r>
        <w:rPr>
          <w:bCs/>
          <w:iCs/>
        </w:rPr>
        <w:t xml:space="preserve"> is to inform the Bureau’s efforts to</w:t>
      </w:r>
      <w:r w:rsidR="006D6E05">
        <w:rPr>
          <w:bCs/>
          <w:iCs/>
        </w:rPr>
        <w:t xml:space="preserve"> develop a Bureau-wide definition of normalcy.  </w:t>
      </w:r>
      <w:r>
        <w:rPr>
          <w:bCs/>
          <w:iCs/>
        </w:rPr>
        <w:t xml:space="preserve">The Bureau will use the information to inform the creation of a communications plan </w:t>
      </w:r>
      <w:r w:rsidR="008D6AF2">
        <w:rPr>
          <w:bCs/>
          <w:iCs/>
        </w:rPr>
        <w:t>and training and technical assistance materials on integrating normalcy principles</w:t>
      </w:r>
      <w:r w:rsidR="00230E74">
        <w:rPr>
          <w:bCs/>
          <w:iCs/>
        </w:rPr>
        <w:t xml:space="preserve">.  The goal is that staff understand </w:t>
      </w:r>
      <w:r w:rsidR="00230E74">
        <w:rPr>
          <w:bCs/>
          <w:iCs/>
        </w:rPr>
        <w:t>normalcy</w:t>
      </w:r>
      <w:r w:rsidR="00C23B5D">
        <w:rPr>
          <w:bCs/>
          <w:iCs/>
        </w:rPr>
        <w:t xml:space="preserve"> as a </w:t>
      </w:r>
      <w:r w:rsidR="00FF3F39">
        <w:rPr>
          <w:bCs/>
          <w:iCs/>
        </w:rPr>
        <w:t>way to prepare children for post-release</w:t>
      </w:r>
      <w:r w:rsidR="00D8233E">
        <w:rPr>
          <w:bCs/>
          <w:iCs/>
        </w:rPr>
        <w:t xml:space="preserve"> and as a protective factor to keep children safe from abuse, maltreatment, and other fo</w:t>
      </w:r>
      <w:r w:rsidR="006657BE">
        <w:rPr>
          <w:bCs/>
          <w:iCs/>
        </w:rPr>
        <w:t xml:space="preserve">rms of exploitation. </w:t>
      </w:r>
    </w:p>
    <w:p w:rsidR="00C7367B" w:rsidP="00C7367B" w14:paraId="41326A04" w14:textId="77777777">
      <w:pPr>
        <w:ind w:left="720" w:hanging="720"/>
        <w:rPr>
          <w:bCs/>
        </w:rPr>
      </w:pPr>
    </w:p>
    <w:p w:rsidR="00D964BC" w:rsidRPr="00DD322D" w:rsidP="004F75CB" w14:paraId="6F5CF4FF" w14:textId="15322E99">
      <w:pPr>
        <w:spacing w:after="120"/>
      </w:pPr>
      <w:r w:rsidRPr="00DD322D">
        <w:t xml:space="preserve">This proposed information collection meets the following goals of ACF’s generic clearance for formative data collections for program support (0970-0531): </w:t>
      </w:r>
    </w:p>
    <w:p w:rsidR="00DD322D" w:rsidRPr="00DD322D" w:rsidP="00DD322D" w14:paraId="04609974" w14:textId="7993DDB3">
      <w:pPr>
        <w:pStyle w:val="ListParagraph"/>
        <w:numPr>
          <w:ilvl w:val="0"/>
          <w:numId w:val="28"/>
        </w:numPr>
        <w:rPr>
          <w:sz w:val="24"/>
          <w:szCs w:val="24"/>
        </w:rPr>
      </w:pPr>
      <w:r w:rsidRPr="00DD322D">
        <w:rPr>
          <w:sz w:val="24"/>
          <w:szCs w:val="24"/>
        </w:rPr>
        <w:t xml:space="preserve">Delivery of training or technical assistance and/or workflows related to program implementation. </w:t>
      </w:r>
      <w:r w:rsidR="005A5960">
        <w:rPr>
          <w:sz w:val="24"/>
          <w:szCs w:val="24"/>
        </w:rPr>
        <w:t xml:space="preserve"> </w:t>
      </w:r>
      <w:r w:rsidRPr="00DD322D">
        <w:rPr>
          <w:sz w:val="24"/>
          <w:szCs w:val="24"/>
        </w:rPr>
        <w:t>This could include the development and refinement of communication systems.</w:t>
      </w:r>
    </w:p>
    <w:p w:rsidR="00DD322D" w:rsidRPr="00DD322D" w:rsidP="00DD322D" w14:paraId="08EB9D22" w14:textId="44219D8C">
      <w:pPr>
        <w:pStyle w:val="ListParagraph"/>
        <w:numPr>
          <w:ilvl w:val="0"/>
          <w:numId w:val="28"/>
        </w:numPr>
        <w:rPr>
          <w:sz w:val="24"/>
          <w:szCs w:val="24"/>
        </w:rPr>
      </w:pPr>
      <w:r w:rsidRPr="00DD322D">
        <w:rPr>
          <w:sz w:val="24"/>
          <w:szCs w:val="24"/>
        </w:rPr>
        <w:t xml:space="preserve">Planning for provision of programmatic or evaluation-related </w:t>
      </w:r>
      <w:r w:rsidRPr="00DD322D" w:rsidR="000F2D38">
        <w:rPr>
          <w:sz w:val="24"/>
          <w:szCs w:val="24"/>
        </w:rPr>
        <w:t xml:space="preserve">training or technical assistance </w:t>
      </w:r>
      <w:r w:rsidRPr="00DD322D">
        <w:rPr>
          <w:sz w:val="24"/>
          <w:szCs w:val="24"/>
        </w:rPr>
        <w:t>regarding normalcy principles and their application by Bureau care providers.</w:t>
      </w:r>
    </w:p>
    <w:p w:rsidR="00DD322D" w:rsidRPr="00DD322D" w:rsidP="00DD322D" w14:paraId="51F7D859" w14:textId="77777777">
      <w:pPr>
        <w:pStyle w:val="ListParagraph"/>
        <w:numPr>
          <w:ilvl w:val="0"/>
          <w:numId w:val="28"/>
        </w:numPr>
        <w:rPr>
          <w:sz w:val="24"/>
          <w:szCs w:val="24"/>
        </w:rPr>
      </w:pPr>
      <w:r w:rsidRPr="00DD322D">
        <w:rPr>
          <w:sz w:val="24"/>
          <w:szCs w:val="24"/>
        </w:rPr>
        <w:t xml:space="preserve">Obtaining feedback about processes and/or practices to inform ACF program development or support.  ACF will analyze the information obtained to determine how best to integrate normalcy principles across all Bureau care providers.  </w:t>
      </w:r>
    </w:p>
    <w:p w:rsidR="00DD322D" w:rsidP="00DD322D" w14:paraId="3EE0CB46" w14:textId="77777777"/>
    <w:p w:rsidR="00984CA2" w:rsidRPr="00177982" w:rsidP="008F570D" w14:paraId="473B9418" w14:textId="6FFCAC06">
      <w:pPr>
        <w:spacing w:after="60"/>
        <w:rPr>
          <w:b/>
          <w:i/>
        </w:rPr>
      </w:pPr>
      <w:r>
        <w:rPr>
          <w:b/>
          <w:i/>
        </w:rPr>
        <w:t>Process</w:t>
      </w:r>
      <w:r w:rsidR="003277CF">
        <w:rPr>
          <w:b/>
          <w:i/>
        </w:rPr>
        <w:t>es</w:t>
      </w:r>
      <w:r>
        <w:rPr>
          <w:b/>
          <w:i/>
        </w:rPr>
        <w:t xml:space="preserve"> for Information Collection </w:t>
      </w:r>
    </w:p>
    <w:p w:rsidR="00D90EF6" w:rsidP="008F570D" w14:paraId="352753BD" w14:textId="7F389293">
      <w:r>
        <w:t xml:space="preserve">ORR will </w:t>
      </w:r>
      <w:r w:rsidR="00650B6A">
        <w:t xml:space="preserve">administer </w:t>
      </w:r>
      <w:r w:rsidR="008077F0">
        <w:t xml:space="preserve">the </w:t>
      </w:r>
      <w:r w:rsidR="008077F0">
        <w:rPr>
          <w:rFonts w:asciiTheme="majorBidi" w:hAnsiTheme="majorBidi" w:cstheme="majorBidi"/>
        </w:rPr>
        <w:t xml:space="preserve">ORR Unaccompanied Children Bureau Normalcy </w:t>
      </w:r>
      <w:r w:rsidR="00F9232B">
        <w:rPr>
          <w:rFonts w:asciiTheme="majorBidi" w:hAnsiTheme="majorBidi" w:cstheme="majorBidi"/>
        </w:rPr>
        <w:t xml:space="preserve">Integration </w:t>
      </w:r>
      <w:r w:rsidR="008077F0">
        <w:rPr>
          <w:rFonts w:asciiTheme="majorBidi" w:hAnsiTheme="majorBidi" w:cstheme="majorBidi"/>
        </w:rPr>
        <w:t xml:space="preserve">Survey using an online platform, such as Qualtrics. </w:t>
      </w:r>
      <w:r w:rsidR="001F2CB0">
        <w:rPr>
          <w:rFonts w:asciiTheme="majorBidi" w:hAnsiTheme="majorBidi" w:cstheme="majorBidi"/>
        </w:rPr>
        <w:t xml:space="preserve"> </w:t>
      </w:r>
      <w:r w:rsidR="008077F0">
        <w:rPr>
          <w:rFonts w:asciiTheme="majorBidi" w:hAnsiTheme="majorBidi" w:cstheme="majorBidi"/>
        </w:rPr>
        <w:t xml:space="preserve">The survey is expected to take about 30 minutes and will be sent </w:t>
      </w:r>
      <w:r w:rsidR="00284343">
        <w:t xml:space="preserve">to </w:t>
      </w:r>
      <w:r w:rsidR="00B73EDC">
        <w:t xml:space="preserve">all </w:t>
      </w:r>
      <w:r w:rsidR="0051232A">
        <w:t xml:space="preserve">staff </w:t>
      </w:r>
      <w:r w:rsidR="001F2CB0">
        <w:t>within</w:t>
      </w:r>
      <w:r w:rsidR="0051232A">
        <w:t xml:space="preserve"> the </w:t>
      </w:r>
      <w:r w:rsidR="00B73EDC">
        <w:t xml:space="preserve">Bureau </w:t>
      </w:r>
      <w:r w:rsidR="0051232A">
        <w:t>and its care provider net</w:t>
      </w:r>
      <w:r w:rsidR="009E4676">
        <w:t>work</w:t>
      </w:r>
      <w:r w:rsidR="00B73EDC">
        <w:t>.</w:t>
      </w:r>
      <w:r w:rsidR="009E4676">
        <w:t xml:space="preserve">  </w:t>
      </w:r>
      <w:r w:rsidR="00AE7BC1">
        <w:t>These contacts include Program Directors, Case Managers, Clinicians, and Youth Care Workers, among others.</w:t>
      </w:r>
      <w:r w:rsidR="00160CAE">
        <w:t xml:space="preserve">  </w:t>
      </w:r>
      <w:r w:rsidR="00B06600">
        <w:t xml:space="preserve">Much of the care provider workforce is Spanish speaking, so the survey will be available in </w:t>
      </w:r>
      <w:r w:rsidR="0036379B">
        <w:t>E</w:t>
      </w:r>
      <w:r w:rsidR="00B052F6">
        <w:t xml:space="preserve">nglish and Spanish to maximize participation. </w:t>
      </w:r>
    </w:p>
    <w:p w:rsidR="00A272C4" w:rsidP="008F570D" w14:paraId="73C4E03E" w14:textId="77777777"/>
    <w:p w:rsidR="008B5B72" w:rsidP="007B586E" w14:paraId="3C07FDCA" w14:textId="2C304673">
      <w:r>
        <w:t>ORR will announce the survey during one of its monthly Provider Calls</w:t>
      </w:r>
      <w:r w:rsidR="007B586E">
        <w:t xml:space="preserve"> to be followed by an email announcement.  The email announcement will outline the perceived </w:t>
      </w:r>
      <w:r w:rsidR="00F07300">
        <w:t xml:space="preserve">benefit </w:t>
      </w:r>
      <w:r w:rsidR="00910016">
        <w:t xml:space="preserve">for the Bureau, </w:t>
      </w:r>
      <w:r w:rsidR="00AD1D99">
        <w:t xml:space="preserve">assure respondents their anonymity will be maintained, and </w:t>
      </w:r>
      <w:r w:rsidR="00311A6F">
        <w:t xml:space="preserve">specify a </w:t>
      </w:r>
      <w:r w:rsidR="00891152">
        <w:t xml:space="preserve">14-day deadline </w:t>
      </w:r>
      <w:r w:rsidR="00A61748">
        <w:t>for completion</w:t>
      </w:r>
      <w:r w:rsidR="00891152">
        <w:t xml:space="preserve">. </w:t>
      </w:r>
    </w:p>
    <w:p w:rsidR="00465035" w:rsidP="007B586E" w14:paraId="72EAD662" w14:textId="77777777"/>
    <w:p w:rsidR="00046CAD" w:rsidP="00716B4B" w14:paraId="76DEC752" w14:textId="26A288EA">
      <w:r>
        <w:t xml:space="preserve">Survey results will be anonymous.  However, the Bureau wants to compare results between three distinct groups: </w:t>
      </w:r>
      <w:r w:rsidR="00716B4B">
        <w:t>i</w:t>
      </w:r>
      <w:r w:rsidR="00716B4B">
        <w:t xml:space="preserve">. </w:t>
      </w:r>
      <w:r>
        <w:t>Bureau staff</w:t>
      </w:r>
      <w:r w:rsidR="00716B4B">
        <w:t xml:space="preserve">, ii. </w:t>
      </w:r>
      <w:r>
        <w:t>Congregate care provider staff (e.g., shelters)</w:t>
      </w:r>
      <w:r w:rsidR="00716B4B">
        <w:t xml:space="preserve">, and iii. </w:t>
      </w:r>
      <w:r>
        <w:t>Foster care provider staff (e.g., transitional and long-term foster care)</w:t>
      </w:r>
      <w:r w:rsidR="00716B4B">
        <w:t xml:space="preserve">. </w:t>
      </w:r>
      <w:r w:rsidR="00117C42">
        <w:t xml:space="preserve"> Therefore, </w:t>
      </w:r>
      <w:r w:rsidR="00DE040F">
        <w:t>ORR</w:t>
      </w:r>
      <w:r w:rsidR="00416286">
        <w:t xml:space="preserve"> will issue the survey to </w:t>
      </w:r>
      <w:r w:rsidR="00C21A5E">
        <w:t xml:space="preserve">separate distribution lists for each group.  That way, results can be analyzed </w:t>
      </w:r>
      <w:r w:rsidR="00AD78EA">
        <w:t>by group w</w:t>
      </w:r>
      <w:r w:rsidR="006A02B7">
        <w:t xml:space="preserve">hile maintaining anonymity. </w:t>
      </w:r>
      <w:r w:rsidR="00643FCF">
        <w:t xml:space="preserve"> </w:t>
      </w:r>
    </w:p>
    <w:p w:rsidR="002338AC" w:rsidP="009933E8" w14:paraId="40C43AD9" w14:textId="77777777">
      <w:pPr>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5934C206" w14:textId="202D8CEA">
      <w:r>
        <w:t xml:space="preserve">The survey will be announced during a monthly Provider Call.  Those calls are facilitated via Zoom.  Following the call, ORR will issue an email announcement to all </w:t>
      </w:r>
      <w:r w:rsidR="003B7C14">
        <w:t>contacts</w:t>
      </w:r>
      <w:r>
        <w:t xml:space="preserve"> </w:t>
      </w:r>
      <w:r w:rsidR="001E6ADD">
        <w:t xml:space="preserve">in its Project Management Tool.  </w:t>
      </w:r>
      <w:r w:rsidR="00724CDD">
        <w:t>The survey itself will be administered in English and Spanish</w:t>
      </w:r>
      <w:r w:rsidR="0095602B">
        <w:t>,</w:t>
      </w:r>
      <w:r w:rsidR="00724CDD">
        <w:t xml:space="preserve"> via Qualtrics.  </w:t>
      </w:r>
    </w:p>
    <w:p w:rsidR="005046F0" w:rsidRPr="008077F0" w:rsidP="008F570D" w14:paraId="5804584A" w14:textId="77777777">
      <w:pPr>
        <w:ind w:left="360"/>
      </w:pPr>
    </w:p>
    <w:p w:rsidR="00945CD6" w:rsidRPr="008077F0" w:rsidP="008F570D" w14:paraId="39BBEF3E" w14:textId="77777777">
      <w:pPr>
        <w:spacing w:after="120"/>
        <w:rPr>
          <w:b/>
        </w:rPr>
      </w:pPr>
      <w:r w:rsidRPr="008077F0">
        <w:rPr>
          <w:b/>
        </w:rPr>
        <w:t xml:space="preserve">A4. </w:t>
      </w:r>
      <w:r w:rsidRPr="008077F0">
        <w:rPr>
          <w:b/>
        </w:rPr>
        <w:t>Efforts to Identify Duplication</w:t>
      </w:r>
    </w:p>
    <w:p w:rsidR="00475334" w:rsidRPr="004F75CB" w:rsidP="00A33D1D" w14:paraId="1A84245C" w14:textId="77777777">
      <w:r w:rsidRPr="004F75CB">
        <w:t>The information being collected is not obtainable from other sources.</w:t>
      </w:r>
    </w:p>
    <w:p w:rsidR="00436F5E" w:rsidP="004F75CB" w14:paraId="69A8EDD5" w14:textId="77777777">
      <w:pPr>
        <w:rPr>
          <w:b/>
        </w:rPr>
      </w:pPr>
    </w:p>
    <w:p w:rsidR="008F0D00" w:rsidRPr="008077F0" w:rsidP="004F75CB" w14:paraId="77EB226D" w14:textId="77777777">
      <w:pPr>
        <w:rPr>
          <w:b/>
        </w:rPr>
      </w:pPr>
    </w:p>
    <w:p w:rsidR="00945CD6" w:rsidRPr="008077F0" w:rsidP="008F570D" w14:paraId="10B90123" w14:textId="77777777">
      <w:pPr>
        <w:spacing w:after="120"/>
        <w:rPr>
          <w:b/>
        </w:rPr>
      </w:pPr>
      <w:r w:rsidRPr="008077F0">
        <w:rPr>
          <w:b/>
        </w:rPr>
        <w:t xml:space="preserve">A5. </w:t>
      </w:r>
      <w:r w:rsidRPr="008077F0">
        <w:rPr>
          <w:b/>
        </w:rPr>
        <w:t>Involvement of Small Organizations</w:t>
      </w:r>
    </w:p>
    <w:p w:rsidR="00E00B59" w:rsidRPr="004F75CB" w:rsidP="00E00B59" w14:paraId="2F661736" w14:textId="77777777">
      <w:pPr>
        <w:rPr>
          <w:rStyle w:val="normaltextrun"/>
          <w:color w:val="211D1E"/>
          <w:shd w:val="clear" w:color="auto" w:fill="FFFFFF"/>
        </w:rPr>
      </w:pPr>
      <w:r w:rsidRPr="004F75CB">
        <w:rPr>
          <w:rStyle w:val="normaltextrun"/>
          <w:color w:val="211D1E"/>
          <w:shd w:val="clear" w:color="auto" w:fill="FFFFFF"/>
        </w:rPr>
        <w:t>No small businesses will be involved with this information collection.</w:t>
      </w:r>
    </w:p>
    <w:p w:rsidR="008C78B4" w:rsidRPr="008077F0" w:rsidP="008F570D" w14:paraId="6077512E" w14:textId="77777777">
      <w:pPr>
        <w:rPr>
          <w:b/>
        </w:rPr>
      </w:pPr>
    </w:p>
    <w:p w:rsidR="00945CD6" w:rsidRPr="008077F0" w:rsidP="008F570D" w14:paraId="5C724C5E" w14:textId="77777777">
      <w:pPr>
        <w:spacing w:after="120"/>
        <w:rPr>
          <w:b/>
        </w:rPr>
      </w:pPr>
      <w:r w:rsidRPr="008077F0">
        <w:rPr>
          <w:b/>
        </w:rPr>
        <w:t xml:space="preserve">A6. </w:t>
      </w:r>
      <w:r w:rsidRPr="008077F0">
        <w:rPr>
          <w:b/>
        </w:rPr>
        <w:t>Consequences of Less Frequent Data Collection</w:t>
      </w:r>
    </w:p>
    <w:p w:rsidR="001A1243" w:rsidRPr="004F75CB" w:rsidP="001A1243" w14:paraId="170F7F61" w14:textId="77777777">
      <w:r w:rsidRPr="004F75CB">
        <w:t>This is a one-time data collection.</w:t>
      </w:r>
    </w:p>
    <w:p w:rsidR="005046F0" w:rsidRPr="008077F0" w:rsidP="008F570D" w14:paraId="7C36762A" w14:textId="77777777">
      <w:pPr>
        <w:ind w:left="360"/>
      </w:pPr>
    </w:p>
    <w:p w:rsidR="00945CD6" w:rsidRPr="008077F0" w:rsidP="008F570D" w14:paraId="5060136E" w14:textId="77777777">
      <w:pPr>
        <w:spacing w:after="120"/>
        <w:rPr>
          <w:b/>
        </w:rPr>
      </w:pPr>
      <w:r w:rsidRPr="008077F0">
        <w:rPr>
          <w:b/>
        </w:rPr>
        <w:t xml:space="preserve">A7. </w:t>
      </w:r>
      <w:r w:rsidRPr="008077F0">
        <w:rPr>
          <w:b/>
        </w:rPr>
        <w:t>Special Circumstances</w:t>
      </w:r>
    </w:p>
    <w:p w:rsidR="0020382F" w:rsidP="008F570D" w14:paraId="10D64BA4" w14:textId="77777777">
      <w:r w:rsidRPr="004F75CB">
        <w:t>There are no special circumstances for the proposed data collection efforts.</w:t>
      </w:r>
    </w:p>
    <w:p w:rsidR="008077F0" w:rsidRPr="004F75CB" w:rsidP="008F570D" w14:paraId="37440FA5" w14:textId="77777777"/>
    <w:p w:rsidR="00D90EF6" w:rsidRPr="008077F0" w:rsidP="008F570D" w14:paraId="4FD99BC0" w14:textId="77777777">
      <w:pPr>
        <w:spacing w:after="120"/>
        <w:rPr>
          <w:b/>
        </w:rPr>
      </w:pPr>
      <w:r w:rsidRPr="008077F0">
        <w:rPr>
          <w:b/>
        </w:rPr>
        <w:t xml:space="preserve">A8. </w:t>
      </w:r>
      <w:r w:rsidRPr="008077F0" w:rsidR="00945CD6">
        <w:rPr>
          <w:b/>
        </w:rPr>
        <w:t>Federal Register Notice and Consultation</w:t>
      </w:r>
    </w:p>
    <w:p w:rsidR="00B91D97" w:rsidRPr="008077F0" w:rsidP="008F570D" w14:paraId="6A39001F" w14:textId="77777777">
      <w:pPr>
        <w:spacing w:after="60"/>
        <w:rPr>
          <w:b/>
          <w:i/>
        </w:rPr>
      </w:pPr>
      <w:r w:rsidRPr="008077F0">
        <w:rPr>
          <w:b/>
          <w:i/>
        </w:rPr>
        <w:t>Federal Register Notice and Comments</w:t>
      </w:r>
    </w:p>
    <w:p w:rsidR="00204A6A" w:rsidP="00204A6A" w14:paraId="357FFC06" w14:textId="48F01B53">
      <w:r w:rsidRPr="008077F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w:t>
      </w:r>
      <w:r w:rsidR="00C84D03">
        <w:t xml:space="preserve"> </w:t>
      </w:r>
      <w:r w:rsidRPr="008077F0">
        <w:t xml:space="preserve">The notice was published on January 28, 2022, (87 FR 4603), and provided a sixty-day period for public comment. ACF did not receive any comments on the first notice. </w:t>
      </w:r>
      <w:r w:rsidR="00C84D03">
        <w:t xml:space="preserve"> </w:t>
      </w:r>
      <w:r w:rsidRPr="008077F0">
        <w:t xml:space="preserve">A second notice was published, allowing a thirty-day period for public comment, in conjunction with submission of the request to OMB. </w:t>
      </w:r>
      <w:r w:rsidR="00C84D03">
        <w:t xml:space="preserve"> </w:t>
      </w:r>
      <w:r w:rsidRPr="008077F0">
        <w:t>ACF did not receive any comments on the second notice.</w:t>
      </w:r>
    </w:p>
    <w:p w:rsidR="008077F0" w:rsidRPr="008077F0" w:rsidP="00204A6A" w14:paraId="69434246" w14:textId="77777777"/>
    <w:p w:rsidR="00B91D97" w:rsidRPr="008077F0" w:rsidP="004F75CB" w14:paraId="21E62C00" w14:textId="72CBF5B8">
      <w:pPr>
        <w:pStyle w:val="Heading4"/>
        <w:spacing w:before="0"/>
        <w:rPr>
          <w:rFonts w:ascii="Times New Roman" w:hAnsi="Times New Roman"/>
          <w:i/>
          <w:sz w:val="24"/>
          <w:szCs w:val="24"/>
        </w:rPr>
      </w:pPr>
      <w:r w:rsidRPr="008077F0">
        <w:rPr>
          <w:rFonts w:ascii="Times New Roman" w:hAnsi="Times New Roman"/>
          <w:i/>
          <w:sz w:val="24"/>
          <w:szCs w:val="24"/>
        </w:rPr>
        <w:t xml:space="preserve">Consultation with </w:t>
      </w:r>
      <w:r w:rsidRPr="008077F0" w:rsidR="008F570D">
        <w:rPr>
          <w:rFonts w:ascii="Times New Roman" w:hAnsi="Times New Roman"/>
          <w:i/>
          <w:sz w:val="24"/>
          <w:szCs w:val="24"/>
        </w:rPr>
        <w:t xml:space="preserve">Outside </w:t>
      </w:r>
      <w:r w:rsidRPr="008077F0">
        <w:rPr>
          <w:rFonts w:ascii="Times New Roman" w:hAnsi="Times New Roman"/>
          <w:i/>
          <w:sz w:val="24"/>
          <w:szCs w:val="24"/>
        </w:rPr>
        <w:t>Experts</w:t>
      </w:r>
    </w:p>
    <w:p w:rsidR="00436F5E" w:rsidRPr="008077F0" w:rsidP="008F570D" w14:paraId="3262E2E8" w14:textId="645DE3A7">
      <w:r w:rsidRPr="008077F0">
        <w:t xml:space="preserve">The </w:t>
      </w:r>
      <w:r w:rsidRPr="008077F0" w:rsidR="005D333E">
        <w:t xml:space="preserve">survey was developed in consultation with Cristina Cooper, Senior Attorney, Annie E. Casey Foundation.  </w:t>
      </w:r>
      <w:r w:rsidRPr="008077F0" w:rsidR="00413BC1">
        <w:t xml:space="preserve">Over the past few years, Annie E. Casey Foundation has partnered with ORR to advance child welfare best practices, such as youth engagement, community-based care, and normalcy.  Cristina </w:t>
      </w:r>
      <w:r w:rsidRPr="008077F0" w:rsidR="00726328">
        <w:t>has prior experiencing consulting</w:t>
      </w:r>
      <w:r w:rsidR="00C84D03">
        <w:t xml:space="preserve"> for</w:t>
      </w:r>
      <w:r w:rsidRPr="008077F0" w:rsidR="00726328">
        <w:t xml:space="preserve"> ORR, as she supported ORR’s community-based care work. </w:t>
      </w:r>
    </w:p>
    <w:p w:rsidR="00D90EF6" w:rsidRPr="008077F0" w:rsidP="008F570D" w14:paraId="16A7A923" w14:textId="77777777">
      <w:pPr>
        <w:rPr>
          <w:b/>
        </w:rPr>
      </w:pPr>
    </w:p>
    <w:p w:rsidR="00945CD6" w:rsidRPr="008077F0" w:rsidP="008F570D" w14:paraId="391068CD" w14:textId="6ECE22DD">
      <w:pPr>
        <w:spacing w:after="120"/>
        <w:rPr>
          <w:b/>
        </w:rPr>
      </w:pPr>
      <w:r w:rsidRPr="008077F0">
        <w:rPr>
          <w:b/>
        </w:rPr>
        <w:t xml:space="preserve">A9. </w:t>
      </w:r>
      <w:r w:rsidRPr="008077F0" w:rsidR="00542413">
        <w:rPr>
          <w:b/>
        </w:rPr>
        <w:t xml:space="preserve">Tokens of Appreciation </w:t>
      </w:r>
      <w:r w:rsidRPr="008077F0" w:rsidR="00B66874">
        <w:rPr>
          <w:b/>
        </w:rPr>
        <w:t>for</w:t>
      </w:r>
      <w:r w:rsidRPr="008077F0">
        <w:rPr>
          <w:b/>
        </w:rPr>
        <w:t xml:space="preserve"> Respondents</w:t>
      </w:r>
    </w:p>
    <w:p w:rsidR="00D90EF6" w:rsidRPr="008077F0" w:rsidP="008F570D" w14:paraId="45914615" w14:textId="4321F089">
      <w:pPr>
        <w:rPr>
          <w:b/>
        </w:rPr>
      </w:pPr>
      <w:r w:rsidRPr="008077F0">
        <w:t xml:space="preserve">No </w:t>
      </w:r>
      <w:r w:rsidRPr="008077F0" w:rsidR="00542413">
        <w:t>tokens of appreciation</w:t>
      </w:r>
      <w:r w:rsidRPr="008077F0">
        <w:t xml:space="preserve"> for</w:t>
      </w:r>
      <w:r w:rsidRPr="008077F0" w:rsidR="00BE7952">
        <w:t xml:space="preserve"> respondents are proposed for this information collection.</w:t>
      </w:r>
    </w:p>
    <w:p w:rsidR="004222F8" w:rsidRPr="008077F0" w:rsidP="004F75CB" w14:paraId="7605E87D" w14:textId="77777777">
      <w:pPr>
        <w:rPr>
          <w:b/>
        </w:rPr>
      </w:pPr>
    </w:p>
    <w:p w:rsidR="004222F8" w:rsidRPr="008077F0" w:rsidP="008F570D" w14:paraId="5BB4F440" w14:textId="77777777">
      <w:pPr>
        <w:spacing w:after="120"/>
        <w:rPr>
          <w:b/>
        </w:rPr>
      </w:pPr>
      <w:r w:rsidRPr="008077F0">
        <w:rPr>
          <w:b/>
        </w:rPr>
        <w:t>A10. Privacy of Respondents</w:t>
      </w:r>
    </w:p>
    <w:p w:rsidR="00C5500B" w:rsidRPr="008077F0" w:rsidP="00C5500B" w14:paraId="47A8F5D1" w14:textId="403D99F6">
      <w:pPr>
        <w:widowControl w:val="0"/>
        <w:autoSpaceDE w:val="0"/>
        <w:autoSpaceDN w:val="0"/>
        <w:adjustRightInd w:val="0"/>
      </w:pPr>
      <w:r w:rsidRPr="008077F0">
        <w:t xml:space="preserve">Information collected will be kept private. </w:t>
      </w:r>
      <w:r w:rsidR="00C84D03">
        <w:t xml:space="preserve"> </w:t>
      </w:r>
      <w:r w:rsidRPr="008077F0">
        <w:t>Respondents will be informed of all planned uses of data, that their participation is voluntary, and that their information will be kept private. Personally identifiable information (PII) will not be collected.</w:t>
      </w:r>
    </w:p>
    <w:p w:rsidR="00436F5E" w:rsidRPr="008077F0" w:rsidP="008F570D" w14:paraId="0442A162" w14:textId="77777777"/>
    <w:p w:rsidR="00945CD6" w:rsidRPr="008077F0" w:rsidP="008F570D" w14:paraId="0B35E015" w14:textId="77777777">
      <w:pPr>
        <w:spacing w:after="120"/>
        <w:rPr>
          <w:b/>
        </w:rPr>
      </w:pPr>
      <w:r w:rsidRPr="008077F0">
        <w:rPr>
          <w:b/>
        </w:rPr>
        <w:t xml:space="preserve">A11. </w:t>
      </w:r>
      <w:r w:rsidRPr="008077F0">
        <w:rPr>
          <w:b/>
        </w:rPr>
        <w:t>Sensitive Questions</w:t>
      </w:r>
    </w:p>
    <w:p w:rsidR="00D90EF6" w:rsidRPr="008077F0" w:rsidP="008F570D" w14:paraId="2CE230F0" w14:textId="77777777">
      <w:r w:rsidRPr="008077F0">
        <w:t>There are no sensitive questions in this data collection.</w:t>
      </w:r>
    </w:p>
    <w:p w:rsidR="005046F0" w:rsidP="008F570D" w14:paraId="45C63BFE" w14:textId="77777777">
      <w:pPr>
        <w:ind w:left="360"/>
      </w:pPr>
    </w:p>
    <w:p w:rsidR="008F0D00" w:rsidRPr="008077F0" w:rsidP="008F570D" w14:paraId="6C34C849" w14:textId="77777777">
      <w:pPr>
        <w:ind w:left="360"/>
      </w:pPr>
    </w:p>
    <w:p w:rsidR="00542413" w:rsidRPr="008077F0" w:rsidP="00542413" w14:paraId="3ABF848D" w14:textId="604CE552">
      <w:pPr>
        <w:spacing w:after="120"/>
        <w:rPr>
          <w:b/>
        </w:rPr>
      </w:pPr>
      <w:r w:rsidRPr="008077F0">
        <w:rPr>
          <w:b/>
        </w:rPr>
        <w:t xml:space="preserve">A12. </w:t>
      </w:r>
      <w:r w:rsidRPr="008077F0" w:rsidR="00945CD6">
        <w:rPr>
          <w:b/>
        </w:rPr>
        <w:t>Estimation of Information Collection Burden</w:t>
      </w:r>
    </w:p>
    <w:p w:rsidR="00542413" w:rsidRPr="008077F0" w:rsidP="00542413" w14:paraId="3786490C" w14:textId="2AA637D8">
      <w:pPr>
        <w:spacing w:after="60"/>
        <w:rPr>
          <w:b/>
          <w:bCs/>
          <w:i/>
          <w:iCs/>
        </w:rPr>
      </w:pPr>
      <w:r w:rsidRPr="008077F0">
        <w:rPr>
          <w:b/>
          <w:bCs/>
          <w:i/>
          <w:iCs/>
        </w:rPr>
        <w:t>Burden Estimates</w:t>
      </w:r>
    </w:p>
    <w:p w:rsidR="00542413" w:rsidRPr="008077F0" w:rsidP="008F570D" w14:paraId="45B923F3" w14:textId="56DEC077">
      <w:r>
        <w:t xml:space="preserve">The </w:t>
      </w:r>
      <w:r w:rsidR="006F58F5">
        <w:t>total ORR care provider network consists of 36,000 contacts. ORR estimates a response rate of about 10</w:t>
      </w:r>
      <w:r w:rsidR="008A723B">
        <w:t xml:space="preserve"> percent</w:t>
      </w:r>
      <w:r w:rsidR="006F58F5">
        <w:t xml:space="preserve">, for a total number of 3,600 respondents. </w:t>
      </w:r>
      <w:r w:rsidR="008A723B">
        <w:t xml:space="preserve"> </w:t>
      </w:r>
      <w:r w:rsidR="006F58F5">
        <w:t>Respondents will complete the survey once</w:t>
      </w:r>
      <w:r w:rsidR="008A723B">
        <w:t>,</w:t>
      </w:r>
      <w:r w:rsidR="006F58F5">
        <w:t xml:space="preserve"> and the estimated time to complete the survey is 30 minutes. </w:t>
      </w:r>
    </w:p>
    <w:p w:rsidR="00542413" w:rsidRPr="008077F0" w:rsidP="008F570D" w14:paraId="53AD5D50" w14:textId="77777777">
      <w:pPr>
        <w:rPr>
          <w:b/>
          <w:bCs/>
          <w:i/>
          <w:iCs/>
        </w:rPr>
      </w:pPr>
    </w:p>
    <w:p w:rsidR="00542413" w:rsidRPr="008077F0" w:rsidP="00542413" w14:paraId="6CBE253C" w14:textId="16147A58">
      <w:pPr>
        <w:spacing w:after="60"/>
        <w:rPr>
          <w:b/>
          <w:i/>
        </w:rPr>
      </w:pPr>
      <w:r w:rsidRPr="008077F0">
        <w:rPr>
          <w:b/>
          <w:i/>
        </w:rPr>
        <w:t>Cost Estimates</w:t>
      </w:r>
    </w:p>
    <w:p w:rsidR="0033072C" w:rsidRPr="008077F0" w:rsidP="0033072C" w14:paraId="59A18AED" w14:textId="5E8E2A89">
      <w:r w:rsidRPr="008077F0">
        <w:t xml:space="preserve">The cost to respondents was calculated using the Bureau of Labor Statistics (BLS) job code for </w:t>
      </w:r>
      <w:r w:rsidRPr="008077F0" w:rsidR="00023B13">
        <w:t xml:space="preserve">Child, Family, and School Social Workers </w:t>
      </w:r>
      <w:r w:rsidRPr="008077F0">
        <w:t>[</w:t>
      </w:r>
      <w:r w:rsidRPr="008077F0" w:rsidR="00023B13">
        <w:t>21-1021</w:t>
      </w:r>
      <w:r w:rsidRPr="008077F0">
        <w:t>] and wage data from May 202</w:t>
      </w:r>
      <w:r w:rsidRPr="008077F0" w:rsidR="02B37170">
        <w:t>3</w:t>
      </w:r>
      <w:r w:rsidRPr="008077F0">
        <w:t>, which is $</w:t>
      </w:r>
      <w:r w:rsidRPr="008077F0" w:rsidR="00DF6CD0">
        <w:t>28.46</w:t>
      </w:r>
      <w:r w:rsidRPr="008077F0">
        <w:t xml:space="preserve"> per hour. </w:t>
      </w:r>
      <w:r w:rsidR="008A723B">
        <w:t xml:space="preserve"> </w:t>
      </w:r>
      <w:r w:rsidRPr="008077F0">
        <w:t>To account for fringe benefits and overhead the rate was multiplied by two which is $</w:t>
      </w:r>
      <w:r w:rsidRPr="008077F0" w:rsidR="003C21B2">
        <w:t>56.92</w:t>
      </w:r>
      <w:r w:rsidRPr="008077F0">
        <w:t xml:space="preserve">.  </w:t>
      </w:r>
    </w:p>
    <w:p w:rsidR="0033072C" w:rsidRPr="004F75CB" w:rsidP="0033072C" w14:paraId="255B87E2" w14:textId="77777777">
      <w:pPr>
        <w:ind w:left="360"/>
      </w:pPr>
      <w:hyperlink r:id="rId8" w:history="1">
        <w:r w:rsidRPr="008077F0">
          <w:rPr>
            <w:rStyle w:val="Hyperlink"/>
          </w:rPr>
          <w:t>https://www.bls.gov/oes/current/oes_stru.htm</w:t>
        </w:r>
      </w:hyperlink>
      <w:r w:rsidRPr="008077F0">
        <w:t xml:space="preserve"> </w:t>
      </w:r>
    </w:p>
    <w:p w:rsidR="00542413" w:rsidRPr="008077F0"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0"/>
        <w:gridCol w:w="1239"/>
        <w:gridCol w:w="1161"/>
        <w:gridCol w:w="983"/>
        <w:gridCol w:w="1247"/>
        <w:gridCol w:w="894"/>
        <w:gridCol w:w="1125"/>
      </w:tblGrid>
      <w:tr w14:paraId="3DDE53E5" w14:textId="77777777" w:rsidTr="00B9514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10"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47"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25"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B95143">
        <w:tblPrEx>
          <w:tblW w:w="8759" w:type="dxa"/>
          <w:jc w:val="center"/>
          <w:tblLook w:val="00A0"/>
        </w:tblPrEx>
        <w:trPr>
          <w:trHeight w:val="432"/>
          <w:jc w:val="center"/>
        </w:trPr>
        <w:tc>
          <w:tcPr>
            <w:tcW w:w="2110" w:type="dxa"/>
            <w:vAlign w:val="center"/>
          </w:tcPr>
          <w:p w:rsidR="00542413" w:rsidRPr="00BD4CFB" w:rsidP="008F570D" w14:paraId="15455CD3" w14:textId="53AFE1CB">
            <w:pPr>
              <w:tabs>
                <w:tab w:val="center" w:pos="4320"/>
                <w:tab w:val="right" w:pos="8640"/>
              </w:tabs>
              <w:rPr>
                <w:sz w:val="20"/>
                <w:szCs w:val="20"/>
              </w:rPr>
            </w:pPr>
            <w:r>
              <w:rPr>
                <w:sz w:val="20"/>
                <w:szCs w:val="20"/>
              </w:rPr>
              <w:t>ORR Unaccompanied Children Bureau Normalcy Survey</w:t>
            </w:r>
          </w:p>
        </w:tc>
        <w:tc>
          <w:tcPr>
            <w:tcW w:w="1239" w:type="dxa"/>
            <w:vAlign w:val="center"/>
          </w:tcPr>
          <w:p w:rsidR="00542413" w:rsidRPr="00B95143" w:rsidP="008F570D" w14:paraId="2106BBF5" w14:textId="46ED6C66">
            <w:pPr>
              <w:tabs>
                <w:tab w:val="center" w:pos="4320"/>
                <w:tab w:val="right" w:pos="8640"/>
              </w:tabs>
              <w:jc w:val="center"/>
              <w:rPr>
                <w:sz w:val="20"/>
                <w:szCs w:val="20"/>
              </w:rPr>
            </w:pPr>
            <w:r w:rsidRPr="00B95143">
              <w:rPr>
                <w:sz w:val="20"/>
                <w:szCs w:val="20"/>
              </w:rPr>
              <w:t>3</w:t>
            </w:r>
            <w:r w:rsidR="006136E7">
              <w:rPr>
                <w:sz w:val="20"/>
                <w:szCs w:val="20"/>
              </w:rPr>
              <w:t>,</w:t>
            </w:r>
            <w:r w:rsidRPr="00B95143">
              <w:rPr>
                <w:sz w:val="20"/>
                <w:szCs w:val="20"/>
              </w:rPr>
              <w:t>600</w:t>
            </w:r>
          </w:p>
        </w:tc>
        <w:tc>
          <w:tcPr>
            <w:tcW w:w="1161" w:type="dxa"/>
            <w:vAlign w:val="center"/>
          </w:tcPr>
          <w:p w:rsidR="00542413" w:rsidRPr="00BD4CFB" w:rsidP="008F570D" w14:paraId="402332F4" w14:textId="06ED84FD">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166A45E" w14:textId="350A125B">
            <w:pPr>
              <w:tabs>
                <w:tab w:val="center" w:pos="4320"/>
                <w:tab w:val="right" w:pos="8640"/>
              </w:tabs>
              <w:jc w:val="center"/>
              <w:rPr>
                <w:sz w:val="20"/>
                <w:szCs w:val="20"/>
              </w:rPr>
            </w:pPr>
            <w:r>
              <w:rPr>
                <w:sz w:val="20"/>
                <w:szCs w:val="20"/>
              </w:rPr>
              <w:t>0.5</w:t>
            </w:r>
          </w:p>
        </w:tc>
        <w:tc>
          <w:tcPr>
            <w:tcW w:w="1247" w:type="dxa"/>
          </w:tcPr>
          <w:p w:rsidR="0056290E" w:rsidP="008F570D" w14:paraId="4526D4F9" w14:textId="77777777">
            <w:pPr>
              <w:tabs>
                <w:tab w:val="center" w:pos="4320"/>
                <w:tab w:val="right" w:pos="8640"/>
              </w:tabs>
              <w:jc w:val="center"/>
              <w:rPr>
                <w:sz w:val="20"/>
                <w:szCs w:val="20"/>
              </w:rPr>
            </w:pPr>
          </w:p>
          <w:p w:rsidR="00542413" w:rsidRPr="00BD4CFB" w:rsidP="008F570D" w14:paraId="5A6C5F6C" w14:textId="24745C6C">
            <w:pPr>
              <w:tabs>
                <w:tab w:val="center" w:pos="4320"/>
                <w:tab w:val="right" w:pos="8640"/>
              </w:tabs>
              <w:jc w:val="center"/>
              <w:rPr>
                <w:sz w:val="20"/>
                <w:szCs w:val="20"/>
              </w:rPr>
            </w:pPr>
            <w:r>
              <w:rPr>
                <w:sz w:val="20"/>
                <w:szCs w:val="20"/>
              </w:rPr>
              <w:t>1</w:t>
            </w:r>
            <w:r w:rsidR="006D561A">
              <w:rPr>
                <w:sz w:val="20"/>
                <w:szCs w:val="20"/>
              </w:rPr>
              <w:t>,</w:t>
            </w:r>
            <w:r>
              <w:rPr>
                <w:sz w:val="20"/>
                <w:szCs w:val="20"/>
              </w:rPr>
              <w:t>800</w:t>
            </w:r>
          </w:p>
        </w:tc>
        <w:tc>
          <w:tcPr>
            <w:tcW w:w="894" w:type="dxa"/>
            <w:vAlign w:val="center"/>
          </w:tcPr>
          <w:p w:rsidR="00542413" w:rsidRPr="00BD4CFB" w:rsidP="008F570D" w14:paraId="4C12A145" w14:textId="048E466E">
            <w:pPr>
              <w:tabs>
                <w:tab w:val="center" w:pos="4320"/>
                <w:tab w:val="right" w:pos="8640"/>
              </w:tabs>
              <w:jc w:val="center"/>
              <w:rPr>
                <w:sz w:val="20"/>
                <w:szCs w:val="20"/>
              </w:rPr>
            </w:pPr>
            <w:r>
              <w:rPr>
                <w:sz w:val="20"/>
                <w:szCs w:val="20"/>
              </w:rPr>
              <w:t>$56.92</w:t>
            </w:r>
          </w:p>
        </w:tc>
        <w:tc>
          <w:tcPr>
            <w:tcW w:w="1125" w:type="dxa"/>
            <w:vAlign w:val="center"/>
          </w:tcPr>
          <w:p w:rsidR="00542413" w:rsidRPr="00BD4CFB" w:rsidP="008F570D" w14:paraId="01C1A511" w14:textId="6E3252DE">
            <w:pPr>
              <w:tabs>
                <w:tab w:val="center" w:pos="4320"/>
                <w:tab w:val="right" w:pos="8640"/>
              </w:tabs>
              <w:jc w:val="center"/>
              <w:rPr>
                <w:sz w:val="20"/>
                <w:szCs w:val="20"/>
              </w:rPr>
            </w:pPr>
            <w:r>
              <w:rPr>
                <w:sz w:val="20"/>
                <w:szCs w:val="20"/>
              </w:rPr>
              <w:t>$</w:t>
            </w:r>
            <w:r w:rsidR="00E462B6">
              <w:rPr>
                <w:sz w:val="20"/>
                <w:szCs w:val="20"/>
              </w:rPr>
              <w:t>102,456</w:t>
            </w:r>
          </w:p>
        </w:tc>
      </w:tr>
    </w:tbl>
    <w:p w:rsidR="002338AC" w:rsidP="008F570D" w14:paraId="3C895703" w14:textId="77777777">
      <w:pPr>
        <w:ind w:left="360"/>
      </w:pPr>
    </w:p>
    <w:p w:rsidR="008F0D00" w:rsidRPr="008077F0" w:rsidP="008F570D" w14:paraId="229A054D" w14:textId="77777777">
      <w:pPr>
        <w:ind w:left="360"/>
      </w:pPr>
    </w:p>
    <w:p w:rsidR="00945CD6" w:rsidRPr="008077F0" w:rsidP="00542413" w14:paraId="7BDBE261" w14:textId="77777777">
      <w:pPr>
        <w:spacing w:after="120"/>
        <w:rPr>
          <w:b/>
        </w:rPr>
      </w:pPr>
      <w:r w:rsidRPr="008077F0">
        <w:rPr>
          <w:b/>
        </w:rPr>
        <w:t xml:space="preserve">A13. </w:t>
      </w:r>
      <w:r w:rsidRPr="008077F0">
        <w:rPr>
          <w:b/>
        </w:rPr>
        <w:t>Cost Burden to Respondents or Record Keepers</w:t>
      </w:r>
    </w:p>
    <w:p w:rsidR="00D90EF6" w:rsidRPr="008077F0" w:rsidP="008F570D" w14:paraId="3D88B0B4" w14:textId="77777777">
      <w:r w:rsidRPr="004F75CB">
        <w:t>There are no additional costs to respondents.</w:t>
      </w:r>
    </w:p>
    <w:p w:rsidR="009D01A9" w:rsidRPr="008077F0" w:rsidP="008F570D" w14:paraId="31574F97" w14:textId="77777777">
      <w:pPr>
        <w:spacing w:after="60"/>
        <w:rPr>
          <w:b/>
        </w:rPr>
      </w:pPr>
    </w:p>
    <w:p w:rsidR="00945CD6" w:rsidRPr="008077F0" w:rsidP="008F570D" w14:paraId="2A791D57" w14:textId="4270DE3E">
      <w:pPr>
        <w:spacing w:after="60"/>
        <w:rPr>
          <w:b/>
        </w:rPr>
      </w:pPr>
      <w:r w:rsidRPr="008077F0">
        <w:rPr>
          <w:b/>
        </w:rPr>
        <w:t xml:space="preserve">A14. </w:t>
      </w:r>
      <w:r w:rsidRPr="008077F0">
        <w:rPr>
          <w:b/>
        </w:rPr>
        <w:t>Estimate of Cost to the Federal Government</w:t>
      </w:r>
    </w:p>
    <w:p w:rsidR="002338AC" w:rsidP="008F570D" w14:paraId="7045BB27" w14:textId="0297751B">
      <w:r w:rsidRPr="00BB2157">
        <w:t>The total cost for the</w:t>
      </w:r>
      <w:r>
        <w:t xml:space="preserve"> data collection activities under this current request </w:t>
      </w:r>
      <w:r w:rsidRPr="00BB2157">
        <w:t xml:space="preserve">will </w:t>
      </w:r>
      <w:r w:rsidRPr="001061C5">
        <w:t>be $</w:t>
      </w:r>
      <w:r w:rsidR="00B95143">
        <w:t>3,611.</w:t>
      </w:r>
      <w:r w:rsidR="00FC296D">
        <w:t>20</w:t>
      </w:r>
      <w:r>
        <w:t xml:space="preserve">. </w:t>
      </w:r>
    </w:p>
    <w:tbl>
      <w:tblPr>
        <w:tblpPr w:leftFromText="180" w:rightFromText="180" w:vertAnchor="text" w:horzAnchor="margin" w:tblpY="93"/>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0"/>
        <w:gridCol w:w="1935"/>
        <w:gridCol w:w="2145"/>
        <w:gridCol w:w="2128"/>
      </w:tblGrid>
      <w:tr w14:paraId="61DC03C2" w14:textId="77777777">
        <w:tblPrEx>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7"/>
        </w:trPr>
        <w:tc>
          <w:tcPr>
            <w:tcW w:w="3100" w:type="dxa"/>
            <w:shd w:val="clear" w:color="auto" w:fill="BFBFBF"/>
            <w:vAlign w:val="center"/>
          </w:tcPr>
          <w:p w:rsidR="009D01A9" w:rsidRPr="009D01A9" w:rsidP="009D01A9" w14:paraId="38493037" w14:textId="77777777">
            <w:r w:rsidRPr="009D01A9">
              <w:t>Employee</w:t>
            </w:r>
          </w:p>
        </w:tc>
        <w:tc>
          <w:tcPr>
            <w:tcW w:w="1935" w:type="dxa"/>
            <w:shd w:val="clear" w:color="auto" w:fill="BFBFBF"/>
            <w:vAlign w:val="center"/>
          </w:tcPr>
          <w:p w:rsidR="009D01A9" w:rsidRPr="009D01A9" w:rsidP="009D01A9" w14:paraId="6ACB729D" w14:textId="77777777">
            <w:pPr>
              <w:rPr>
                <w:bCs/>
              </w:rPr>
            </w:pPr>
            <w:r w:rsidRPr="009D01A9">
              <w:rPr>
                <w:bCs/>
              </w:rPr>
              <w:t>Total</w:t>
            </w:r>
          </w:p>
          <w:p w:rsidR="009D01A9" w:rsidRPr="009D01A9" w:rsidP="009D01A9" w14:paraId="19F8D990" w14:textId="77777777">
            <w:pPr>
              <w:rPr>
                <w:bCs/>
              </w:rPr>
            </w:pPr>
            <w:r w:rsidRPr="009D01A9">
              <w:rPr>
                <w:bCs/>
              </w:rPr>
              <w:t>Burden Hours</w:t>
            </w:r>
          </w:p>
        </w:tc>
        <w:tc>
          <w:tcPr>
            <w:tcW w:w="2145" w:type="dxa"/>
            <w:shd w:val="clear" w:color="auto" w:fill="BFBFBF"/>
            <w:vAlign w:val="center"/>
          </w:tcPr>
          <w:p w:rsidR="009D01A9" w:rsidRPr="009D01A9" w:rsidP="009D01A9" w14:paraId="7ABF2BC5" w14:textId="77777777">
            <w:r w:rsidRPr="009D01A9">
              <w:rPr>
                <w:bCs/>
              </w:rPr>
              <w:t>Hourly Wage</w:t>
            </w:r>
          </w:p>
        </w:tc>
        <w:tc>
          <w:tcPr>
            <w:tcW w:w="2128" w:type="dxa"/>
            <w:shd w:val="clear" w:color="auto" w:fill="BFBFBF"/>
            <w:vAlign w:val="center"/>
          </w:tcPr>
          <w:p w:rsidR="009D01A9" w:rsidRPr="009D01A9" w:rsidP="009D01A9" w14:paraId="12FF2931" w14:textId="77777777">
            <w:r w:rsidRPr="009D01A9">
              <w:rPr>
                <w:bCs/>
              </w:rPr>
              <w:t>Total Annual Cost</w:t>
            </w:r>
          </w:p>
        </w:tc>
      </w:tr>
      <w:tr w14:paraId="598B7E69" w14:textId="77777777">
        <w:tblPrEx>
          <w:tblW w:w="9308" w:type="dxa"/>
          <w:tblLook w:val="00A0"/>
        </w:tblPrEx>
        <w:trPr>
          <w:trHeight w:val="355"/>
        </w:trPr>
        <w:tc>
          <w:tcPr>
            <w:tcW w:w="3100" w:type="dxa"/>
            <w:vAlign w:val="center"/>
          </w:tcPr>
          <w:p w:rsidR="009D01A9" w:rsidRPr="009D01A9" w:rsidP="009D01A9" w14:paraId="508903D7" w14:textId="669573B4">
            <w:r w:rsidRPr="009D01A9">
              <w:t>Data Analyst (GS</w:t>
            </w:r>
            <w:r w:rsidR="00ED2598">
              <w:t>12</w:t>
            </w:r>
            <w:r w:rsidRPr="009D01A9">
              <w:t xml:space="preserve"> Step 1) (</w:t>
            </w:r>
            <w:r w:rsidR="000114A2">
              <w:t>W</w:t>
            </w:r>
            <w:r w:rsidR="00ED2598">
              <w:t>DC</w:t>
            </w:r>
            <w:r w:rsidRPr="009D01A9">
              <w:t>)</w:t>
            </w:r>
          </w:p>
        </w:tc>
        <w:tc>
          <w:tcPr>
            <w:tcW w:w="1935" w:type="dxa"/>
            <w:vAlign w:val="center"/>
          </w:tcPr>
          <w:p w:rsidR="009D01A9" w:rsidRPr="009D01A9" w:rsidP="009D01A9" w14:paraId="33652B32" w14:textId="14258CAE">
            <w:r>
              <w:t>20</w:t>
            </w:r>
          </w:p>
        </w:tc>
        <w:tc>
          <w:tcPr>
            <w:tcW w:w="2145" w:type="dxa"/>
            <w:vAlign w:val="center"/>
          </w:tcPr>
          <w:p w:rsidR="009D01A9" w:rsidRPr="009D01A9" w:rsidP="009D01A9" w14:paraId="4B36D9B5" w14:textId="39E7CF8C">
            <w:r w:rsidRPr="009D01A9">
              <w:t>$</w:t>
            </w:r>
            <w:r w:rsidR="004A3BB7">
              <w:t>45.14</w:t>
            </w:r>
            <w:r w:rsidRPr="009D01A9">
              <w:t xml:space="preserve"> x 2= $</w:t>
            </w:r>
            <w:r w:rsidR="00290008">
              <w:t>90.28</w:t>
            </w:r>
          </w:p>
        </w:tc>
        <w:tc>
          <w:tcPr>
            <w:tcW w:w="2128" w:type="dxa"/>
            <w:vAlign w:val="center"/>
          </w:tcPr>
          <w:p w:rsidR="009D01A9" w:rsidRPr="009D01A9" w:rsidP="009D01A9" w14:paraId="124AC59B" w14:textId="0D11FB6A">
            <w:r w:rsidRPr="009D01A9">
              <w:t>$</w:t>
            </w:r>
            <w:r w:rsidR="00AD7282">
              <w:t>1,805.60</w:t>
            </w:r>
          </w:p>
        </w:tc>
      </w:tr>
      <w:tr w14:paraId="3EF2676A" w14:textId="77777777">
        <w:tblPrEx>
          <w:tblW w:w="9308" w:type="dxa"/>
          <w:tblLook w:val="00A0"/>
        </w:tblPrEx>
        <w:trPr>
          <w:trHeight w:val="355"/>
        </w:trPr>
        <w:tc>
          <w:tcPr>
            <w:tcW w:w="3100" w:type="dxa"/>
            <w:vAlign w:val="center"/>
          </w:tcPr>
          <w:p w:rsidR="008B38CD" w:rsidRPr="009D01A9" w:rsidP="009D01A9" w14:paraId="1DB81D0E" w14:textId="4E3BF93F">
            <w:r>
              <w:t xml:space="preserve">Data Analyst (GS12 Step 1) </w:t>
            </w:r>
            <w:r w:rsidR="000114A2">
              <w:t>(WDC)</w:t>
            </w:r>
          </w:p>
        </w:tc>
        <w:tc>
          <w:tcPr>
            <w:tcW w:w="1935" w:type="dxa"/>
            <w:vAlign w:val="center"/>
          </w:tcPr>
          <w:p w:rsidR="008B38CD" w:rsidRPr="009D01A9" w:rsidP="009D01A9" w14:paraId="3B3F5590" w14:textId="0000A3E7">
            <w:r>
              <w:t>20</w:t>
            </w:r>
          </w:p>
        </w:tc>
        <w:tc>
          <w:tcPr>
            <w:tcW w:w="2145" w:type="dxa"/>
            <w:vAlign w:val="center"/>
          </w:tcPr>
          <w:p w:rsidR="008B38CD" w:rsidRPr="009D01A9" w:rsidP="009D01A9" w14:paraId="07C246FD" w14:textId="1CC11404">
            <w:r>
              <w:t>$45.14</w:t>
            </w:r>
            <w:r w:rsidR="00D93D95">
              <w:t xml:space="preserve"> x 2=</w:t>
            </w:r>
            <w:r w:rsidR="00D80430">
              <w:t xml:space="preserve"> $90.28</w:t>
            </w:r>
          </w:p>
        </w:tc>
        <w:tc>
          <w:tcPr>
            <w:tcW w:w="2128" w:type="dxa"/>
            <w:vAlign w:val="center"/>
          </w:tcPr>
          <w:p w:rsidR="008B38CD" w:rsidRPr="009D01A9" w:rsidP="009D01A9" w14:paraId="432A0AF0" w14:textId="57F30820">
            <w:r>
              <w:t>$</w:t>
            </w:r>
            <w:r w:rsidR="00AD7282">
              <w:t>1,805.60</w:t>
            </w:r>
          </w:p>
        </w:tc>
      </w:tr>
      <w:tr w14:paraId="2AD4C764" w14:textId="77777777">
        <w:tblPrEx>
          <w:tblW w:w="9308" w:type="dxa"/>
          <w:tblLook w:val="00A0"/>
        </w:tblPrEx>
        <w:trPr>
          <w:trHeight w:val="355"/>
        </w:trPr>
        <w:tc>
          <w:tcPr>
            <w:tcW w:w="3100" w:type="dxa"/>
            <w:vAlign w:val="center"/>
          </w:tcPr>
          <w:p w:rsidR="009D01A9" w:rsidRPr="009D01A9" w:rsidP="009D01A9" w14:paraId="52C442DD" w14:textId="77777777">
            <w:pPr>
              <w:rPr>
                <w:b/>
                <w:bCs/>
              </w:rPr>
            </w:pPr>
            <w:r w:rsidRPr="009D01A9">
              <w:rPr>
                <w:b/>
                <w:bCs/>
              </w:rPr>
              <w:t>TOTAL</w:t>
            </w:r>
          </w:p>
        </w:tc>
        <w:tc>
          <w:tcPr>
            <w:tcW w:w="1935" w:type="dxa"/>
            <w:vAlign w:val="center"/>
          </w:tcPr>
          <w:p w:rsidR="009D01A9" w:rsidRPr="009D01A9" w:rsidP="009D01A9" w14:paraId="4E45F45F" w14:textId="77777777">
            <w:pPr>
              <w:rPr>
                <w:b/>
                <w:bCs/>
              </w:rPr>
            </w:pPr>
          </w:p>
        </w:tc>
        <w:tc>
          <w:tcPr>
            <w:tcW w:w="2145" w:type="dxa"/>
            <w:vAlign w:val="center"/>
          </w:tcPr>
          <w:p w:rsidR="009D01A9" w:rsidRPr="009D01A9" w:rsidP="009D01A9" w14:paraId="6CBCD1CD" w14:textId="77777777">
            <w:pPr>
              <w:rPr>
                <w:b/>
                <w:bCs/>
              </w:rPr>
            </w:pPr>
          </w:p>
        </w:tc>
        <w:tc>
          <w:tcPr>
            <w:tcW w:w="2128" w:type="dxa"/>
            <w:vAlign w:val="center"/>
          </w:tcPr>
          <w:p w:rsidR="009D01A9" w:rsidRPr="009D01A9" w:rsidP="009D01A9" w14:paraId="22C997E4" w14:textId="49499B69">
            <w:pPr>
              <w:rPr>
                <w:b/>
                <w:bCs/>
              </w:rPr>
            </w:pPr>
            <w:r w:rsidRPr="009D01A9">
              <w:rPr>
                <w:b/>
                <w:bCs/>
              </w:rPr>
              <w:t>$</w:t>
            </w:r>
            <w:r w:rsidR="003A576E">
              <w:rPr>
                <w:b/>
                <w:bCs/>
              </w:rPr>
              <w:t>3,611.20</w:t>
            </w:r>
          </w:p>
        </w:tc>
      </w:tr>
    </w:tbl>
    <w:p w:rsidR="00436F5E" w:rsidP="008F570D" w14:paraId="304B1383" w14:textId="748441F1"/>
    <w:p w:rsidR="008F0D00" w:rsidRPr="00A33D1D" w:rsidP="008F570D" w14:paraId="1519A0CF" w14:textId="77777777"/>
    <w:p w:rsidR="00945CD6" w:rsidRPr="00A33D1D" w:rsidP="008F570D" w14:paraId="4B385444" w14:textId="77777777">
      <w:pPr>
        <w:spacing w:after="120"/>
        <w:rPr>
          <w:b/>
        </w:rPr>
      </w:pPr>
      <w:r w:rsidRPr="00A33D1D">
        <w:rPr>
          <w:b/>
        </w:rPr>
        <w:t xml:space="preserve">A15. </w:t>
      </w:r>
      <w:r w:rsidRPr="00A33D1D">
        <w:rPr>
          <w:b/>
        </w:rPr>
        <w:t>Change in Burden</w:t>
      </w:r>
    </w:p>
    <w:p w:rsidR="00CB2ED6" w:rsidRPr="004F75CB" w:rsidP="008F570D" w14:paraId="4B05A013" w14:textId="02FAB3E5">
      <w:r w:rsidRPr="004F75CB">
        <w:t xml:space="preserve">This is for an individual information collection under the umbrella </w:t>
      </w:r>
      <w:r w:rsidRPr="004F75CB" w:rsidR="001140AB">
        <w:t>formative generic clearance for program support (0970-0531</w:t>
      </w:r>
      <w:r w:rsidRPr="004F75CB" w:rsidR="00542413">
        <w:t>).</w:t>
      </w:r>
    </w:p>
    <w:p w:rsidR="0033072C" w:rsidP="008F570D" w14:paraId="580F3480" w14:textId="77777777">
      <w:pPr>
        <w:ind w:left="360"/>
      </w:pPr>
    </w:p>
    <w:p w:rsidR="008F0D00" w:rsidRPr="00A33D1D" w:rsidP="008F570D" w14:paraId="2C4D8D43" w14:textId="77777777">
      <w:pPr>
        <w:ind w:left="360"/>
      </w:pPr>
    </w:p>
    <w:p w:rsidR="00945CD6" w:rsidRPr="00A33D1D" w:rsidP="008F570D" w14:paraId="347FE16D" w14:textId="77777777">
      <w:pPr>
        <w:spacing w:after="60"/>
        <w:rPr>
          <w:b/>
        </w:rPr>
      </w:pPr>
      <w:r w:rsidRPr="00A33D1D">
        <w:rPr>
          <w:b/>
        </w:rPr>
        <w:t xml:space="preserve">A16. </w:t>
      </w:r>
      <w:r w:rsidRPr="00A33D1D">
        <w:rPr>
          <w:b/>
        </w:rPr>
        <w:t>Plan and Time Schedule for Information Collection, Tabulation and Publication</w:t>
      </w:r>
    </w:p>
    <w:p w:rsidR="002338AC" w:rsidRPr="00A33D1D" w:rsidP="008F570D" w14:paraId="565D87F6" w14:textId="3A8A6CAC">
      <w:pPr>
        <w:rPr>
          <w:bCs/>
        </w:rPr>
      </w:pPr>
      <w:r w:rsidRPr="00A33D1D">
        <w:rPr>
          <w:bCs/>
        </w:rPr>
        <w:t>The survey will be announced during ORR’s Monthly Provider Call, either in August or September 2024</w:t>
      </w:r>
      <w:r w:rsidR="00A33D1D">
        <w:rPr>
          <w:bCs/>
        </w:rPr>
        <w:t>, pending OMB approval</w:t>
      </w:r>
      <w:r w:rsidRPr="00A33D1D">
        <w:rPr>
          <w:bCs/>
        </w:rPr>
        <w:t xml:space="preserve">.  </w:t>
      </w:r>
      <w:r w:rsidRPr="00A33D1D" w:rsidR="00F67B3E">
        <w:rPr>
          <w:bCs/>
        </w:rPr>
        <w:t xml:space="preserve">That week, ORR will issue an email reminder </w:t>
      </w:r>
      <w:r w:rsidR="008A723B">
        <w:rPr>
          <w:bCs/>
        </w:rPr>
        <w:t>and</w:t>
      </w:r>
      <w:r w:rsidRPr="00A33D1D" w:rsidR="00F67B3E">
        <w:rPr>
          <w:bCs/>
        </w:rPr>
        <w:t xml:space="preserve"> the survey tool. </w:t>
      </w:r>
      <w:r w:rsidRPr="00A33D1D" w:rsidR="00BB3ABC">
        <w:rPr>
          <w:bCs/>
        </w:rPr>
        <w:t xml:space="preserve"> </w:t>
      </w:r>
      <w:r w:rsidRPr="00A33D1D" w:rsidR="00F67B3E">
        <w:rPr>
          <w:bCs/>
        </w:rPr>
        <w:t>Respondents will have 14 days to complete the survey</w:t>
      </w:r>
      <w:r w:rsidRPr="00A33D1D" w:rsidR="005401D1">
        <w:rPr>
          <w:bCs/>
        </w:rPr>
        <w:t xml:space="preserve">. </w:t>
      </w:r>
      <w:r w:rsidRPr="00A33D1D" w:rsidR="00856EF1">
        <w:rPr>
          <w:bCs/>
        </w:rPr>
        <w:t xml:space="preserve"> </w:t>
      </w:r>
    </w:p>
    <w:p w:rsidR="00432740" w:rsidRPr="00A33D1D" w:rsidP="008F570D" w14:paraId="0849E3C9" w14:textId="77777777">
      <w:pPr>
        <w:rPr>
          <w:bCs/>
        </w:rPr>
      </w:pPr>
    </w:p>
    <w:p w:rsidR="00432740" w:rsidRPr="00A33D1D" w:rsidP="008F570D" w14:paraId="2367031D" w14:textId="4D8769A3">
      <w:r w:rsidRPr="00A33D1D">
        <w:rPr>
          <w:bCs/>
        </w:rPr>
        <w:t xml:space="preserve">ORR will analyze results across three groups: </w:t>
      </w:r>
      <w:r w:rsidRPr="00A33D1D">
        <w:rPr>
          <w:bCs/>
        </w:rPr>
        <w:t>i</w:t>
      </w:r>
      <w:r w:rsidRPr="00A33D1D">
        <w:rPr>
          <w:bCs/>
        </w:rPr>
        <w:t xml:space="preserve">. Unaccompanied Children Bureau staff, ii. Congregate Care Provider staff, and iii. Foster Care Provider staff.  </w:t>
      </w:r>
      <w:r w:rsidRPr="00A33D1D" w:rsidR="001A5F77">
        <w:rPr>
          <w:bCs/>
        </w:rPr>
        <w:t xml:space="preserve">Between Qualtrics and manual </w:t>
      </w:r>
      <w:r w:rsidRPr="00A33D1D" w:rsidR="00A60484">
        <w:rPr>
          <w:bCs/>
        </w:rPr>
        <w:t>review</w:t>
      </w:r>
      <w:r w:rsidRPr="00A33D1D" w:rsidR="001A5F77">
        <w:rPr>
          <w:bCs/>
        </w:rPr>
        <w:t xml:space="preserve"> by Data Analysts, analysis is anticipated to take five days</w:t>
      </w:r>
      <w:r w:rsidRPr="00A33D1D" w:rsidR="00094647">
        <w:rPr>
          <w:bCs/>
        </w:rPr>
        <w:t xml:space="preserve">.  </w:t>
      </w:r>
      <w:r w:rsidRPr="00A33D1D" w:rsidR="007F2063">
        <w:rPr>
          <w:bCs/>
        </w:rPr>
        <w:t xml:space="preserve">Following the analysis, ORR will develop a communications plan to target </w:t>
      </w:r>
      <w:r w:rsidRPr="00A33D1D" w:rsidR="00AB5BF5">
        <w:rPr>
          <w:bCs/>
        </w:rPr>
        <w:t xml:space="preserve">different teams and positions on their apprehensions, successes, and questions regarding normalcy principles.  </w:t>
      </w:r>
      <w:r w:rsidRPr="00A33D1D" w:rsidR="007E1B57">
        <w:rPr>
          <w:bCs/>
        </w:rPr>
        <w:t>Training and technical assistance materials will accompany the targeted outreach</w:t>
      </w:r>
      <w:r w:rsidR="0094332F">
        <w:rPr>
          <w:bCs/>
        </w:rPr>
        <w:t>,</w:t>
      </w:r>
      <w:r w:rsidRPr="00A33D1D" w:rsidR="007E1B57">
        <w:rPr>
          <w:bCs/>
        </w:rPr>
        <w:t xml:space="preserve"> as well as for continued integration of normalcy principles into the Bureau. </w:t>
      </w:r>
    </w:p>
    <w:p w:rsidR="00F47B40" w:rsidRPr="00A33D1D" w:rsidP="008F570D" w14:paraId="78011723" w14:textId="77777777">
      <w:pPr>
        <w:rPr>
          <w:bCs/>
        </w:rPr>
      </w:pPr>
    </w:p>
    <w:p w:rsidR="00F47B40" w:rsidRPr="00A33D1D" w:rsidP="008F570D" w14:paraId="59EADA6C" w14:textId="3088695D">
      <w:pPr>
        <w:rPr>
          <w:bCs/>
        </w:rPr>
      </w:pPr>
      <w:r w:rsidRPr="00A33D1D">
        <w:rPr>
          <w:bCs/>
        </w:rPr>
        <w:t xml:space="preserve">The actual timeline will depend </w:t>
      </w:r>
      <w:r w:rsidR="0094332F">
        <w:rPr>
          <w:bCs/>
        </w:rPr>
        <w:t xml:space="preserve">on </w:t>
      </w:r>
      <w:r w:rsidRPr="00A33D1D">
        <w:rPr>
          <w:bCs/>
        </w:rPr>
        <w:t>when OMB approval is received</w:t>
      </w:r>
      <w:r w:rsidR="0094332F">
        <w:rPr>
          <w:bCs/>
        </w:rPr>
        <w:t>, along any additional factors that may</w:t>
      </w:r>
      <w:r w:rsidRPr="00A33D1D">
        <w:rPr>
          <w:bCs/>
        </w:rPr>
        <w:t xml:space="preserve"> </w:t>
      </w:r>
      <w:r w:rsidRPr="00A33D1D" w:rsidR="0065002F">
        <w:rPr>
          <w:bCs/>
        </w:rPr>
        <w:t xml:space="preserve">affect timing. </w:t>
      </w:r>
    </w:p>
    <w:p w:rsidR="002338AC" w:rsidRPr="00A33D1D" w:rsidP="008F570D" w14:paraId="5D35D3D0" w14:textId="77777777">
      <w:pPr>
        <w:rPr>
          <w:b/>
        </w:rPr>
      </w:pPr>
    </w:p>
    <w:p w:rsidR="00945CD6" w:rsidRPr="00A33D1D" w:rsidP="008F570D" w14:paraId="750BBE88" w14:textId="77777777">
      <w:pPr>
        <w:spacing w:after="120"/>
        <w:rPr>
          <w:b/>
        </w:rPr>
      </w:pPr>
      <w:r w:rsidRPr="00A33D1D">
        <w:rPr>
          <w:b/>
        </w:rPr>
        <w:t xml:space="preserve">A17. </w:t>
      </w:r>
      <w:r w:rsidRPr="00A33D1D">
        <w:rPr>
          <w:b/>
        </w:rPr>
        <w:t>Reasons Not to Display OMB Expiration Date</w:t>
      </w:r>
    </w:p>
    <w:p w:rsidR="00D90EF6" w:rsidRPr="00A33D1D" w:rsidP="008F570D" w14:paraId="5E995DCB" w14:textId="77777777">
      <w:r w:rsidRPr="00A33D1D">
        <w:t>All instruments will display the expiration date for OMB approval.</w:t>
      </w:r>
    </w:p>
    <w:p w:rsidR="002338AC" w:rsidRPr="00A33D1D" w:rsidP="008F570D" w14:paraId="4920E2AE" w14:textId="77777777">
      <w:pPr>
        <w:ind w:left="360"/>
      </w:pPr>
    </w:p>
    <w:p w:rsidR="00945CD6" w:rsidRPr="00A33D1D" w:rsidP="008F570D" w14:paraId="0DA51717" w14:textId="77777777">
      <w:pPr>
        <w:spacing w:after="120"/>
        <w:rPr>
          <w:b/>
        </w:rPr>
      </w:pPr>
      <w:r w:rsidRPr="00A33D1D">
        <w:rPr>
          <w:b/>
        </w:rPr>
        <w:t>A18.</w:t>
      </w:r>
      <w:r w:rsidRPr="00A33D1D" w:rsidR="000B5EA8">
        <w:rPr>
          <w:b/>
        </w:rPr>
        <w:t xml:space="preserve"> Exceptions to Certification for Paperwork Reduction Act Submissions</w:t>
      </w:r>
    </w:p>
    <w:p w:rsidR="00D90EF6" w:rsidRPr="00A33D1D" w:rsidP="008F570D" w14:paraId="117373B9" w14:textId="77777777">
      <w:r w:rsidRPr="00A33D1D">
        <w:t>No exceptions are necessary for this information collection.</w:t>
      </w:r>
      <w:r w:rsidRPr="00A33D1D" w:rsidR="000B5EA8">
        <w:tab/>
      </w:r>
    </w:p>
    <w:p w:rsidR="00AA29C0" w:rsidRPr="00A33D1D" w:rsidP="008F570D" w14:paraId="356A923F" w14:textId="77777777"/>
    <w:p w:rsidR="00201F72" w:rsidRPr="00A33D1D" w:rsidP="00201F72" w14:paraId="12DE8FF2" w14:textId="77777777">
      <w:pPr>
        <w:spacing w:after="120"/>
        <w:rPr>
          <w:b/>
        </w:rPr>
      </w:pPr>
      <w:r w:rsidRPr="00A33D1D">
        <w:rPr>
          <w:b/>
        </w:rPr>
        <w:t>Attachments</w:t>
      </w:r>
    </w:p>
    <w:p w:rsidR="0072204D" w:rsidRPr="004F75CB" w:rsidP="0077111B" w14:paraId="4DA2F605" w14:textId="59D774DC">
      <w:pPr>
        <w:pStyle w:val="ListParagraph"/>
        <w:numPr>
          <w:ilvl w:val="0"/>
          <w:numId w:val="27"/>
        </w:numPr>
        <w:rPr>
          <w:sz w:val="24"/>
          <w:szCs w:val="24"/>
        </w:rPr>
      </w:pPr>
      <w:r w:rsidRPr="004F75CB">
        <w:rPr>
          <w:sz w:val="24"/>
          <w:szCs w:val="24"/>
        </w:rPr>
        <w:t xml:space="preserve">ORR UCB Normalcy </w:t>
      </w:r>
      <w:r w:rsidR="00697363">
        <w:rPr>
          <w:sz w:val="24"/>
          <w:szCs w:val="24"/>
        </w:rPr>
        <w:t xml:space="preserve">Integration </w:t>
      </w:r>
      <w:r w:rsidRPr="004F75CB">
        <w:rPr>
          <w:sz w:val="24"/>
          <w:szCs w:val="24"/>
        </w:rPr>
        <w:t xml:space="preserve">Survey </w:t>
      </w:r>
    </w:p>
    <w:p w:rsidR="00D577E7" w:rsidRPr="004F75CB" w:rsidP="00B95143" w14:paraId="0259DABC" w14:textId="72CFD598">
      <w:pPr>
        <w:pStyle w:val="ListParagraph"/>
        <w:numPr>
          <w:ilvl w:val="0"/>
          <w:numId w:val="27"/>
        </w:numPr>
        <w:rPr>
          <w:sz w:val="24"/>
          <w:szCs w:val="24"/>
        </w:rPr>
      </w:pPr>
      <w:r w:rsidRPr="004F75CB">
        <w:rPr>
          <w:sz w:val="24"/>
          <w:szCs w:val="24"/>
        </w:rPr>
        <w:t xml:space="preserve">ORR UCB Normalcy </w:t>
      </w:r>
      <w:r w:rsidR="00697363">
        <w:rPr>
          <w:sz w:val="24"/>
          <w:szCs w:val="24"/>
        </w:rPr>
        <w:t xml:space="preserve">Integration </w:t>
      </w:r>
      <w:r w:rsidRPr="004F75CB">
        <w:rPr>
          <w:sz w:val="24"/>
          <w:szCs w:val="24"/>
        </w:rPr>
        <w:t xml:space="preserve">Survey Spanish </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0A2A69"/>
    <w:multiLevelType w:val="hybridMultilevel"/>
    <w:tmpl w:val="619035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9E1F92"/>
    <w:multiLevelType w:val="hybridMultilevel"/>
    <w:tmpl w:val="0AD2849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15B3901"/>
    <w:multiLevelType w:val="hybridMultilevel"/>
    <w:tmpl w:val="5306A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2707E85"/>
    <w:multiLevelType w:val="hybridMultilevel"/>
    <w:tmpl w:val="3F10A2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82079">
    <w:abstractNumId w:val="5"/>
  </w:num>
  <w:num w:numId="2" w16cid:durableId="353533065">
    <w:abstractNumId w:val="1"/>
  </w:num>
  <w:num w:numId="3" w16cid:durableId="1923175036">
    <w:abstractNumId w:val="17"/>
  </w:num>
  <w:num w:numId="4" w16cid:durableId="522861832">
    <w:abstractNumId w:val="9"/>
  </w:num>
  <w:num w:numId="5" w16cid:durableId="1245412473">
    <w:abstractNumId w:val="10"/>
  </w:num>
  <w:num w:numId="6" w16cid:durableId="353658475">
    <w:abstractNumId w:val="19"/>
  </w:num>
  <w:num w:numId="7" w16cid:durableId="1852989849">
    <w:abstractNumId w:val="18"/>
  </w:num>
  <w:num w:numId="8" w16cid:durableId="1768455135">
    <w:abstractNumId w:val="12"/>
  </w:num>
  <w:num w:numId="9" w16cid:durableId="926615725">
    <w:abstractNumId w:val="14"/>
  </w:num>
  <w:num w:numId="10" w16cid:durableId="582881888">
    <w:abstractNumId w:val="2"/>
  </w:num>
  <w:num w:numId="11" w16cid:durableId="1935554641">
    <w:abstractNumId w:val="0"/>
  </w:num>
  <w:num w:numId="12" w16cid:durableId="1204444519">
    <w:abstractNumId w:val="3"/>
  </w:num>
  <w:num w:numId="13" w16cid:durableId="140389919">
    <w:abstractNumId w:val="21"/>
  </w:num>
  <w:num w:numId="14" w16cid:durableId="1820995325">
    <w:abstractNumId w:val="7"/>
  </w:num>
  <w:num w:numId="15" w16cid:durableId="915213277">
    <w:abstractNumId w:val="8"/>
  </w:num>
  <w:num w:numId="16" w16cid:durableId="1217862503">
    <w:abstractNumId w:val="26"/>
  </w:num>
  <w:num w:numId="17" w16cid:durableId="1900554229">
    <w:abstractNumId w:val="27"/>
  </w:num>
  <w:num w:numId="18" w16cid:durableId="1131636261">
    <w:abstractNumId w:val="23"/>
  </w:num>
  <w:num w:numId="19" w16cid:durableId="938947821">
    <w:abstractNumId w:val="22"/>
  </w:num>
  <w:num w:numId="20" w16cid:durableId="506479931">
    <w:abstractNumId w:val="15"/>
  </w:num>
  <w:num w:numId="21" w16cid:durableId="2057309724">
    <w:abstractNumId w:val="25"/>
  </w:num>
  <w:num w:numId="22" w16cid:durableId="1880630241">
    <w:abstractNumId w:val="13"/>
  </w:num>
  <w:num w:numId="23" w16cid:durableId="1521235256">
    <w:abstractNumId w:val="11"/>
  </w:num>
  <w:num w:numId="24" w16cid:durableId="438112788">
    <w:abstractNumId w:val="6"/>
  </w:num>
  <w:num w:numId="25" w16cid:durableId="1641498570">
    <w:abstractNumId w:val="4"/>
  </w:num>
  <w:num w:numId="26" w16cid:durableId="1323001043">
    <w:abstractNumId w:val="16"/>
  </w:num>
  <w:num w:numId="27" w16cid:durableId="672997908">
    <w:abstractNumId w:val="24"/>
  </w:num>
  <w:num w:numId="28" w16cid:durableId="1401706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794D"/>
    <w:rsid w:val="00007C3C"/>
    <w:rsid w:val="000114A2"/>
    <w:rsid w:val="00023B13"/>
    <w:rsid w:val="00023BF7"/>
    <w:rsid w:val="00026282"/>
    <w:rsid w:val="0002789F"/>
    <w:rsid w:val="000278AE"/>
    <w:rsid w:val="00034255"/>
    <w:rsid w:val="00043185"/>
    <w:rsid w:val="000431B8"/>
    <w:rsid w:val="00043FE2"/>
    <w:rsid w:val="00046CAD"/>
    <w:rsid w:val="0006468D"/>
    <w:rsid w:val="00083C7C"/>
    <w:rsid w:val="0008643E"/>
    <w:rsid w:val="00091C59"/>
    <w:rsid w:val="00094647"/>
    <w:rsid w:val="000964A6"/>
    <w:rsid w:val="000B0A47"/>
    <w:rsid w:val="000B2B29"/>
    <w:rsid w:val="000B4F77"/>
    <w:rsid w:val="000B5EA8"/>
    <w:rsid w:val="000B6A81"/>
    <w:rsid w:val="000C31B1"/>
    <w:rsid w:val="000D53DF"/>
    <w:rsid w:val="000E4A5A"/>
    <w:rsid w:val="000F0348"/>
    <w:rsid w:val="000F0503"/>
    <w:rsid w:val="000F2D38"/>
    <w:rsid w:val="00105A9F"/>
    <w:rsid w:val="001061C5"/>
    <w:rsid w:val="00107BB9"/>
    <w:rsid w:val="00112763"/>
    <w:rsid w:val="001140AB"/>
    <w:rsid w:val="00114186"/>
    <w:rsid w:val="0011675A"/>
    <w:rsid w:val="001176A6"/>
    <w:rsid w:val="00117C42"/>
    <w:rsid w:val="00124EBF"/>
    <w:rsid w:val="0012679A"/>
    <w:rsid w:val="00130457"/>
    <w:rsid w:val="00131818"/>
    <w:rsid w:val="00137235"/>
    <w:rsid w:val="0016012E"/>
    <w:rsid w:val="00160CAE"/>
    <w:rsid w:val="00177982"/>
    <w:rsid w:val="00177E90"/>
    <w:rsid w:val="00183C0F"/>
    <w:rsid w:val="00191D01"/>
    <w:rsid w:val="00197875"/>
    <w:rsid w:val="001A1243"/>
    <w:rsid w:val="001A5AF9"/>
    <w:rsid w:val="001A5F77"/>
    <w:rsid w:val="001A77D6"/>
    <w:rsid w:val="001C1BBA"/>
    <w:rsid w:val="001C4D60"/>
    <w:rsid w:val="001C5DC4"/>
    <w:rsid w:val="001D3A2E"/>
    <w:rsid w:val="001E0EB7"/>
    <w:rsid w:val="001E0F85"/>
    <w:rsid w:val="001E6ADD"/>
    <w:rsid w:val="001E7DF6"/>
    <w:rsid w:val="001F2CB0"/>
    <w:rsid w:val="00201F72"/>
    <w:rsid w:val="0020382F"/>
    <w:rsid w:val="00204A6A"/>
    <w:rsid w:val="00214316"/>
    <w:rsid w:val="00216FCB"/>
    <w:rsid w:val="002231FA"/>
    <w:rsid w:val="00224ED7"/>
    <w:rsid w:val="00230E74"/>
    <w:rsid w:val="002338AC"/>
    <w:rsid w:val="00234E8D"/>
    <w:rsid w:val="00235A6D"/>
    <w:rsid w:val="002408DE"/>
    <w:rsid w:val="00246437"/>
    <w:rsid w:val="00247F03"/>
    <w:rsid w:val="0025173C"/>
    <w:rsid w:val="00253148"/>
    <w:rsid w:val="00254C71"/>
    <w:rsid w:val="00284343"/>
    <w:rsid w:val="00290008"/>
    <w:rsid w:val="00291A38"/>
    <w:rsid w:val="00292B70"/>
    <w:rsid w:val="002A1F68"/>
    <w:rsid w:val="002A319B"/>
    <w:rsid w:val="002B4DBE"/>
    <w:rsid w:val="002C45CA"/>
    <w:rsid w:val="002C4F75"/>
    <w:rsid w:val="002D0AD8"/>
    <w:rsid w:val="002D1894"/>
    <w:rsid w:val="002D4B0A"/>
    <w:rsid w:val="002F0BF1"/>
    <w:rsid w:val="002F4047"/>
    <w:rsid w:val="00311A6F"/>
    <w:rsid w:val="00320CDE"/>
    <w:rsid w:val="003277CF"/>
    <w:rsid w:val="00327B2E"/>
    <w:rsid w:val="0033072C"/>
    <w:rsid w:val="00360F1C"/>
    <w:rsid w:val="0036379B"/>
    <w:rsid w:val="00374DAB"/>
    <w:rsid w:val="0038291A"/>
    <w:rsid w:val="00382B88"/>
    <w:rsid w:val="00384B41"/>
    <w:rsid w:val="003907B8"/>
    <w:rsid w:val="003A576E"/>
    <w:rsid w:val="003B7320"/>
    <w:rsid w:val="003B7C14"/>
    <w:rsid w:val="003C21B2"/>
    <w:rsid w:val="003D5231"/>
    <w:rsid w:val="003E1FBC"/>
    <w:rsid w:val="003E3BC7"/>
    <w:rsid w:val="003E3DBE"/>
    <w:rsid w:val="003F75E9"/>
    <w:rsid w:val="00413BC1"/>
    <w:rsid w:val="00416286"/>
    <w:rsid w:val="004211E9"/>
    <w:rsid w:val="00422133"/>
    <w:rsid w:val="004222F8"/>
    <w:rsid w:val="00422C1B"/>
    <w:rsid w:val="00423C02"/>
    <w:rsid w:val="0043255D"/>
    <w:rsid w:val="00432740"/>
    <w:rsid w:val="00436252"/>
    <w:rsid w:val="004369D8"/>
    <w:rsid w:val="00436F5E"/>
    <w:rsid w:val="004522FF"/>
    <w:rsid w:val="004554B1"/>
    <w:rsid w:val="00455DB4"/>
    <w:rsid w:val="00456300"/>
    <w:rsid w:val="00456E2F"/>
    <w:rsid w:val="00464D69"/>
    <w:rsid w:val="00465035"/>
    <w:rsid w:val="004658E2"/>
    <w:rsid w:val="004707C7"/>
    <w:rsid w:val="00473F30"/>
    <w:rsid w:val="00475334"/>
    <w:rsid w:val="0048064D"/>
    <w:rsid w:val="004826EA"/>
    <w:rsid w:val="00482CEC"/>
    <w:rsid w:val="00482DDE"/>
    <w:rsid w:val="004852A6"/>
    <w:rsid w:val="004903ED"/>
    <w:rsid w:val="004A0CE4"/>
    <w:rsid w:val="004A1CD6"/>
    <w:rsid w:val="004A3BB7"/>
    <w:rsid w:val="004A44DD"/>
    <w:rsid w:val="004A5A42"/>
    <w:rsid w:val="004B1CA6"/>
    <w:rsid w:val="004B587E"/>
    <w:rsid w:val="004C2ADD"/>
    <w:rsid w:val="004C34B4"/>
    <w:rsid w:val="004D0142"/>
    <w:rsid w:val="004D190C"/>
    <w:rsid w:val="004D2950"/>
    <w:rsid w:val="004D6CA9"/>
    <w:rsid w:val="004F085C"/>
    <w:rsid w:val="004F4E1D"/>
    <w:rsid w:val="004F75CB"/>
    <w:rsid w:val="005046F0"/>
    <w:rsid w:val="00510293"/>
    <w:rsid w:val="0051232A"/>
    <w:rsid w:val="00514462"/>
    <w:rsid w:val="00520737"/>
    <w:rsid w:val="00521663"/>
    <w:rsid w:val="005353B7"/>
    <w:rsid w:val="005379C6"/>
    <w:rsid w:val="005401D1"/>
    <w:rsid w:val="00540CCE"/>
    <w:rsid w:val="00541024"/>
    <w:rsid w:val="00542413"/>
    <w:rsid w:val="00544A39"/>
    <w:rsid w:val="0056290E"/>
    <w:rsid w:val="00572677"/>
    <w:rsid w:val="0058584C"/>
    <w:rsid w:val="00597BD8"/>
    <w:rsid w:val="005A5960"/>
    <w:rsid w:val="005A64C5"/>
    <w:rsid w:val="005B4159"/>
    <w:rsid w:val="005B588A"/>
    <w:rsid w:val="005D333E"/>
    <w:rsid w:val="005D5E14"/>
    <w:rsid w:val="005E56E6"/>
    <w:rsid w:val="005F2061"/>
    <w:rsid w:val="005F720E"/>
    <w:rsid w:val="00600200"/>
    <w:rsid w:val="006010CA"/>
    <w:rsid w:val="00601AC6"/>
    <w:rsid w:val="00607351"/>
    <w:rsid w:val="00611DCF"/>
    <w:rsid w:val="00612F79"/>
    <w:rsid w:val="006136E7"/>
    <w:rsid w:val="00614849"/>
    <w:rsid w:val="006225EC"/>
    <w:rsid w:val="006228E1"/>
    <w:rsid w:val="00634F99"/>
    <w:rsid w:val="00642526"/>
    <w:rsid w:val="00643FCF"/>
    <w:rsid w:val="006452CD"/>
    <w:rsid w:val="0065002F"/>
    <w:rsid w:val="00650B6A"/>
    <w:rsid w:val="006512A9"/>
    <w:rsid w:val="00651B8F"/>
    <w:rsid w:val="00651DBA"/>
    <w:rsid w:val="0065361C"/>
    <w:rsid w:val="00657424"/>
    <w:rsid w:val="006657BE"/>
    <w:rsid w:val="00680FFE"/>
    <w:rsid w:val="006826DE"/>
    <w:rsid w:val="00684133"/>
    <w:rsid w:val="006908D3"/>
    <w:rsid w:val="00697363"/>
    <w:rsid w:val="006A02B7"/>
    <w:rsid w:val="006A7EFA"/>
    <w:rsid w:val="006B1672"/>
    <w:rsid w:val="006B2214"/>
    <w:rsid w:val="006B24FD"/>
    <w:rsid w:val="006B3216"/>
    <w:rsid w:val="006B6845"/>
    <w:rsid w:val="006C0141"/>
    <w:rsid w:val="006C0DE9"/>
    <w:rsid w:val="006C4DBA"/>
    <w:rsid w:val="006D2637"/>
    <w:rsid w:val="006D561A"/>
    <w:rsid w:val="006D609F"/>
    <w:rsid w:val="006D6E05"/>
    <w:rsid w:val="006F1BFB"/>
    <w:rsid w:val="006F2486"/>
    <w:rsid w:val="006F58F5"/>
    <w:rsid w:val="00701045"/>
    <w:rsid w:val="00702194"/>
    <w:rsid w:val="00702B3F"/>
    <w:rsid w:val="00702D35"/>
    <w:rsid w:val="007039AA"/>
    <w:rsid w:val="007056CD"/>
    <w:rsid w:val="0070639F"/>
    <w:rsid w:val="00711BC5"/>
    <w:rsid w:val="00713715"/>
    <w:rsid w:val="00716B4B"/>
    <w:rsid w:val="0072204D"/>
    <w:rsid w:val="00724CDD"/>
    <w:rsid w:val="007250A3"/>
    <w:rsid w:val="00726328"/>
    <w:rsid w:val="0073065E"/>
    <w:rsid w:val="00732BA2"/>
    <w:rsid w:val="00736F1D"/>
    <w:rsid w:val="00741ED0"/>
    <w:rsid w:val="007436AA"/>
    <w:rsid w:val="00744F6E"/>
    <w:rsid w:val="00760DDC"/>
    <w:rsid w:val="00764398"/>
    <w:rsid w:val="0077111B"/>
    <w:rsid w:val="00772457"/>
    <w:rsid w:val="0077465C"/>
    <w:rsid w:val="007746D8"/>
    <w:rsid w:val="00784137"/>
    <w:rsid w:val="00786B74"/>
    <w:rsid w:val="007A075B"/>
    <w:rsid w:val="007A2E0B"/>
    <w:rsid w:val="007B586E"/>
    <w:rsid w:val="007B6DC2"/>
    <w:rsid w:val="007C0170"/>
    <w:rsid w:val="007C3450"/>
    <w:rsid w:val="007D0882"/>
    <w:rsid w:val="007D295D"/>
    <w:rsid w:val="007D3227"/>
    <w:rsid w:val="007D4B8A"/>
    <w:rsid w:val="007E15FF"/>
    <w:rsid w:val="007E1B57"/>
    <w:rsid w:val="007E3D85"/>
    <w:rsid w:val="007E407A"/>
    <w:rsid w:val="007F2063"/>
    <w:rsid w:val="007F6E15"/>
    <w:rsid w:val="00802D05"/>
    <w:rsid w:val="00805D90"/>
    <w:rsid w:val="00806712"/>
    <w:rsid w:val="008077F0"/>
    <w:rsid w:val="00812E59"/>
    <w:rsid w:val="00820465"/>
    <w:rsid w:val="00830972"/>
    <w:rsid w:val="00836399"/>
    <w:rsid w:val="00841236"/>
    <w:rsid w:val="00842F9A"/>
    <w:rsid w:val="00851D3F"/>
    <w:rsid w:val="00856EF1"/>
    <w:rsid w:val="0086044F"/>
    <w:rsid w:val="00870E05"/>
    <w:rsid w:val="0087234E"/>
    <w:rsid w:val="008739CC"/>
    <w:rsid w:val="00873D11"/>
    <w:rsid w:val="00877346"/>
    <w:rsid w:val="0088046A"/>
    <w:rsid w:val="00880BC7"/>
    <w:rsid w:val="008854C9"/>
    <w:rsid w:val="00891152"/>
    <w:rsid w:val="008A46A7"/>
    <w:rsid w:val="008A5E49"/>
    <w:rsid w:val="008A723B"/>
    <w:rsid w:val="008A7DCA"/>
    <w:rsid w:val="008B38CD"/>
    <w:rsid w:val="008B5B72"/>
    <w:rsid w:val="008B7F2C"/>
    <w:rsid w:val="008C54CA"/>
    <w:rsid w:val="008C6A6B"/>
    <w:rsid w:val="008C7659"/>
    <w:rsid w:val="008C78B4"/>
    <w:rsid w:val="008D5F06"/>
    <w:rsid w:val="008D6AF2"/>
    <w:rsid w:val="008F0D00"/>
    <w:rsid w:val="008F10A2"/>
    <w:rsid w:val="008F570D"/>
    <w:rsid w:val="009048AA"/>
    <w:rsid w:val="00910016"/>
    <w:rsid w:val="00916F68"/>
    <w:rsid w:val="00932D71"/>
    <w:rsid w:val="009416E6"/>
    <w:rsid w:val="0094332F"/>
    <w:rsid w:val="00945CD6"/>
    <w:rsid w:val="0095602B"/>
    <w:rsid w:val="00956637"/>
    <w:rsid w:val="00956EDF"/>
    <w:rsid w:val="00957AE3"/>
    <w:rsid w:val="00957F78"/>
    <w:rsid w:val="009631E3"/>
    <w:rsid w:val="00963B4D"/>
    <w:rsid w:val="009648CE"/>
    <w:rsid w:val="00973F76"/>
    <w:rsid w:val="00976B20"/>
    <w:rsid w:val="009812A0"/>
    <w:rsid w:val="00984BBF"/>
    <w:rsid w:val="00984CA2"/>
    <w:rsid w:val="009933E8"/>
    <w:rsid w:val="00993C84"/>
    <w:rsid w:val="009A1B76"/>
    <w:rsid w:val="009B0380"/>
    <w:rsid w:val="009B1638"/>
    <w:rsid w:val="009B2759"/>
    <w:rsid w:val="009B2B50"/>
    <w:rsid w:val="009D01A9"/>
    <w:rsid w:val="009D0AD0"/>
    <w:rsid w:val="009D4076"/>
    <w:rsid w:val="009D47D2"/>
    <w:rsid w:val="009D53F5"/>
    <w:rsid w:val="009D66A6"/>
    <w:rsid w:val="009D6AFD"/>
    <w:rsid w:val="009E28C8"/>
    <w:rsid w:val="009E4676"/>
    <w:rsid w:val="009E4A5F"/>
    <w:rsid w:val="009F1B56"/>
    <w:rsid w:val="00A020E8"/>
    <w:rsid w:val="00A1245B"/>
    <w:rsid w:val="00A1768A"/>
    <w:rsid w:val="00A21E65"/>
    <w:rsid w:val="00A227BA"/>
    <w:rsid w:val="00A272C4"/>
    <w:rsid w:val="00A33D1D"/>
    <w:rsid w:val="00A35B0D"/>
    <w:rsid w:val="00A35E23"/>
    <w:rsid w:val="00A37A3B"/>
    <w:rsid w:val="00A412C5"/>
    <w:rsid w:val="00A43D2E"/>
    <w:rsid w:val="00A44209"/>
    <w:rsid w:val="00A447C9"/>
    <w:rsid w:val="00A45595"/>
    <w:rsid w:val="00A4668F"/>
    <w:rsid w:val="00A60484"/>
    <w:rsid w:val="00A61512"/>
    <w:rsid w:val="00A61748"/>
    <w:rsid w:val="00A82AEE"/>
    <w:rsid w:val="00A97FE8"/>
    <w:rsid w:val="00AA29C0"/>
    <w:rsid w:val="00AA7A28"/>
    <w:rsid w:val="00AB2FF8"/>
    <w:rsid w:val="00AB5BF5"/>
    <w:rsid w:val="00AC1FCB"/>
    <w:rsid w:val="00AC2AC5"/>
    <w:rsid w:val="00AC7B37"/>
    <w:rsid w:val="00AD05A5"/>
    <w:rsid w:val="00AD1D99"/>
    <w:rsid w:val="00AD281B"/>
    <w:rsid w:val="00AD3296"/>
    <w:rsid w:val="00AD7282"/>
    <w:rsid w:val="00AD78EA"/>
    <w:rsid w:val="00AD7CD0"/>
    <w:rsid w:val="00AE12E5"/>
    <w:rsid w:val="00AE1838"/>
    <w:rsid w:val="00AE7BC1"/>
    <w:rsid w:val="00B0426A"/>
    <w:rsid w:val="00B052F6"/>
    <w:rsid w:val="00B06600"/>
    <w:rsid w:val="00B075D7"/>
    <w:rsid w:val="00B14396"/>
    <w:rsid w:val="00B1558A"/>
    <w:rsid w:val="00B42D0B"/>
    <w:rsid w:val="00B45AFF"/>
    <w:rsid w:val="00B57645"/>
    <w:rsid w:val="00B60C71"/>
    <w:rsid w:val="00B66874"/>
    <w:rsid w:val="00B70709"/>
    <w:rsid w:val="00B73ACF"/>
    <w:rsid w:val="00B73EDC"/>
    <w:rsid w:val="00B80D2E"/>
    <w:rsid w:val="00B84547"/>
    <w:rsid w:val="00B84CE3"/>
    <w:rsid w:val="00B91D97"/>
    <w:rsid w:val="00B95143"/>
    <w:rsid w:val="00BA3939"/>
    <w:rsid w:val="00BA6D9C"/>
    <w:rsid w:val="00BA7EBA"/>
    <w:rsid w:val="00BB13A6"/>
    <w:rsid w:val="00BB2084"/>
    <w:rsid w:val="00BB2157"/>
    <w:rsid w:val="00BB3ABC"/>
    <w:rsid w:val="00BC246D"/>
    <w:rsid w:val="00BD0262"/>
    <w:rsid w:val="00BD1A79"/>
    <w:rsid w:val="00BD4CFB"/>
    <w:rsid w:val="00BD78D6"/>
    <w:rsid w:val="00BE2B5B"/>
    <w:rsid w:val="00BE326F"/>
    <w:rsid w:val="00BE48EE"/>
    <w:rsid w:val="00BE66BB"/>
    <w:rsid w:val="00BE7952"/>
    <w:rsid w:val="00C00796"/>
    <w:rsid w:val="00C0429F"/>
    <w:rsid w:val="00C0698E"/>
    <w:rsid w:val="00C1194B"/>
    <w:rsid w:val="00C12B95"/>
    <w:rsid w:val="00C15B8D"/>
    <w:rsid w:val="00C1674B"/>
    <w:rsid w:val="00C16889"/>
    <w:rsid w:val="00C21A5E"/>
    <w:rsid w:val="00C23B5D"/>
    <w:rsid w:val="00C26248"/>
    <w:rsid w:val="00C32402"/>
    <w:rsid w:val="00C32629"/>
    <w:rsid w:val="00C402B8"/>
    <w:rsid w:val="00C5500B"/>
    <w:rsid w:val="00C55CE1"/>
    <w:rsid w:val="00C56EA9"/>
    <w:rsid w:val="00C63098"/>
    <w:rsid w:val="00C70412"/>
    <w:rsid w:val="00C7367B"/>
    <w:rsid w:val="00C8411D"/>
    <w:rsid w:val="00C84D03"/>
    <w:rsid w:val="00C94E6B"/>
    <w:rsid w:val="00C97429"/>
    <w:rsid w:val="00CA72EC"/>
    <w:rsid w:val="00CB0B81"/>
    <w:rsid w:val="00CB2ED6"/>
    <w:rsid w:val="00CB5F5D"/>
    <w:rsid w:val="00CB6FE5"/>
    <w:rsid w:val="00CC0473"/>
    <w:rsid w:val="00CC067F"/>
    <w:rsid w:val="00CC2CD1"/>
    <w:rsid w:val="00CD3B15"/>
    <w:rsid w:val="00CD4D7E"/>
    <w:rsid w:val="00CD74D2"/>
    <w:rsid w:val="00CE3E8D"/>
    <w:rsid w:val="00CE44CD"/>
    <w:rsid w:val="00CE4FDF"/>
    <w:rsid w:val="00CE6EFF"/>
    <w:rsid w:val="00CF1A20"/>
    <w:rsid w:val="00CF50A0"/>
    <w:rsid w:val="00D012A6"/>
    <w:rsid w:val="00D04B02"/>
    <w:rsid w:val="00D06D5F"/>
    <w:rsid w:val="00D11546"/>
    <w:rsid w:val="00D21C09"/>
    <w:rsid w:val="00D26D97"/>
    <w:rsid w:val="00D277B1"/>
    <w:rsid w:val="00D30904"/>
    <w:rsid w:val="00D408E8"/>
    <w:rsid w:val="00D44EA5"/>
    <w:rsid w:val="00D519D9"/>
    <w:rsid w:val="00D5303B"/>
    <w:rsid w:val="00D53EE2"/>
    <w:rsid w:val="00D577E7"/>
    <w:rsid w:val="00D65299"/>
    <w:rsid w:val="00D71F89"/>
    <w:rsid w:val="00D80430"/>
    <w:rsid w:val="00D8233E"/>
    <w:rsid w:val="00D904D0"/>
    <w:rsid w:val="00D90EF6"/>
    <w:rsid w:val="00D93D95"/>
    <w:rsid w:val="00D964BC"/>
    <w:rsid w:val="00DA12D5"/>
    <w:rsid w:val="00DA200A"/>
    <w:rsid w:val="00DB16A0"/>
    <w:rsid w:val="00DC470B"/>
    <w:rsid w:val="00DD123E"/>
    <w:rsid w:val="00DD322D"/>
    <w:rsid w:val="00DE040F"/>
    <w:rsid w:val="00DF6CD0"/>
    <w:rsid w:val="00E00860"/>
    <w:rsid w:val="00E00B59"/>
    <w:rsid w:val="00E03419"/>
    <w:rsid w:val="00E05A0A"/>
    <w:rsid w:val="00E07F9F"/>
    <w:rsid w:val="00E1210D"/>
    <w:rsid w:val="00E141C9"/>
    <w:rsid w:val="00E27D0E"/>
    <w:rsid w:val="00E3345F"/>
    <w:rsid w:val="00E3414E"/>
    <w:rsid w:val="00E36100"/>
    <w:rsid w:val="00E373FD"/>
    <w:rsid w:val="00E41D46"/>
    <w:rsid w:val="00E44BFD"/>
    <w:rsid w:val="00E462B6"/>
    <w:rsid w:val="00E612BB"/>
    <w:rsid w:val="00E615DB"/>
    <w:rsid w:val="00E637A0"/>
    <w:rsid w:val="00E63E7C"/>
    <w:rsid w:val="00E66EAB"/>
    <w:rsid w:val="00E672BD"/>
    <w:rsid w:val="00E72E9A"/>
    <w:rsid w:val="00E737E3"/>
    <w:rsid w:val="00E73B76"/>
    <w:rsid w:val="00E810E5"/>
    <w:rsid w:val="00E81896"/>
    <w:rsid w:val="00E86DB9"/>
    <w:rsid w:val="00E965BA"/>
    <w:rsid w:val="00EA12DE"/>
    <w:rsid w:val="00EB5B54"/>
    <w:rsid w:val="00EB7506"/>
    <w:rsid w:val="00EC329F"/>
    <w:rsid w:val="00EC64CC"/>
    <w:rsid w:val="00EC7980"/>
    <w:rsid w:val="00ED2598"/>
    <w:rsid w:val="00EE1CB5"/>
    <w:rsid w:val="00F07300"/>
    <w:rsid w:val="00F1711B"/>
    <w:rsid w:val="00F21003"/>
    <w:rsid w:val="00F27708"/>
    <w:rsid w:val="00F30167"/>
    <w:rsid w:val="00F33027"/>
    <w:rsid w:val="00F47B40"/>
    <w:rsid w:val="00F47C4A"/>
    <w:rsid w:val="00F50870"/>
    <w:rsid w:val="00F514D1"/>
    <w:rsid w:val="00F55282"/>
    <w:rsid w:val="00F560F2"/>
    <w:rsid w:val="00F56C2E"/>
    <w:rsid w:val="00F60648"/>
    <w:rsid w:val="00F66322"/>
    <w:rsid w:val="00F67B3E"/>
    <w:rsid w:val="00F72E26"/>
    <w:rsid w:val="00F73374"/>
    <w:rsid w:val="00F77C3A"/>
    <w:rsid w:val="00F9057A"/>
    <w:rsid w:val="00F9232B"/>
    <w:rsid w:val="00F95493"/>
    <w:rsid w:val="00F96B20"/>
    <w:rsid w:val="00FA05FE"/>
    <w:rsid w:val="00FA7F2E"/>
    <w:rsid w:val="00FB0642"/>
    <w:rsid w:val="00FB7B02"/>
    <w:rsid w:val="00FC04C5"/>
    <w:rsid w:val="00FC196A"/>
    <w:rsid w:val="00FC23A7"/>
    <w:rsid w:val="00FC296D"/>
    <w:rsid w:val="00FC404D"/>
    <w:rsid w:val="00FD1B70"/>
    <w:rsid w:val="00FD1D97"/>
    <w:rsid w:val="00FD7600"/>
    <w:rsid w:val="00FE7310"/>
    <w:rsid w:val="00FE7447"/>
    <w:rsid w:val="00FF3048"/>
    <w:rsid w:val="00FF3F39"/>
    <w:rsid w:val="02B37170"/>
    <w:rsid w:val="171CA292"/>
    <w:rsid w:val="2DFAF7AB"/>
    <w:rsid w:val="7649E698"/>
    <w:rsid w:val="784636E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F3B73ED-3AD3-41D7-98B8-5F90D3D1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9B2B50"/>
    <w:rPr>
      <w:sz w:val="24"/>
      <w:szCs w:val="24"/>
    </w:rPr>
  </w:style>
  <w:style w:type="character" w:customStyle="1" w:styleId="normaltextrun">
    <w:name w:val="normaltextrun"/>
    <w:basedOn w:val="DefaultParagraphFont"/>
    <w:rsid w:val="00E00B59"/>
  </w:style>
  <w:style w:type="character" w:styleId="FollowedHyperlink">
    <w:name w:val="FollowedHyperlink"/>
    <w:basedOn w:val="DefaultParagraphFont"/>
    <w:rsid w:val="00023B13"/>
    <w:rPr>
      <w:color w:val="954F72" w:themeColor="followedHyperlink"/>
      <w:u w:val="single"/>
    </w:rPr>
  </w:style>
  <w:style w:type="character" w:styleId="Mention">
    <w:name w:val="Mention"/>
    <w:basedOn w:val="DefaultParagraphFont"/>
    <w:uiPriority w:val="99"/>
    <w:unhideWhenUsed/>
    <w:rsid w:val="00FB7B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Matthew, Resa (ACF)</DisplayName>
        <AccountId>49</AccountId>
        <AccountType/>
      </UserInfo>
      <UserInfo>
        <DisplayName>Sawyer, Chad (ACF)</DisplayName>
        <AccountId>148</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0878FD3D-FF7B-42E4-8BCF-A00B6117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1610</Words>
  <Characters>9484</Characters>
  <Application>Microsoft Office Word</Application>
  <DocSecurity>0</DocSecurity>
  <Lines>79</Lines>
  <Paragraphs>22</Paragraphs>
  <ScaleCrop>false</ScaleCrop>
  <Company>DHHS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2009-01-26T22:35:00Z</cp:lastPrinted>
  <dcterms:created xsi:type="dcterms:W3CDTF">2024-08-20T18:01:00Z</dcterms:created>
  <dcterms:modified xsi:type="dcterms:W3CDTF">2024-08-20T19:40:00Z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