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313A" w:rsidP="00096965" w14:paraId="04DED3D2" w14:textId="77777777">
      <w:pPr>
        <w:jc w:val="center"/>
        <w:rPr>
          <w:color w:val="2E74B5" w:themeColor="accent5" w:themeShade="BF"/>
          <w:sz w:val="28"/>
          <w:szCs w:val="28"/>
        </w:rPr>
      </w:pPr>
    </w:p>
    <w:p w:rsidR="00096965" w:rsidRPr="00096965" w:rsidP="00096965" w14:paraId="6B47EC1F" w14:textId="31181B5F">
      <w:pPr>
        <w:jc w:val="center"/>
        <w:rPr>
          <w:color w:val="2E74B5" w:themeColor="accent5" w:themeShade="BF"/>
          <w:sz w:val="28"/>
          <w:szCs w:val="28"/>
        </w:rPr>
      </w:pPr>
      <w:r w:rsidRPr="00096965">
        <w:rPr>
          <w:color w:val="2E74B5" w:themeColor="accent5" w:themeShade="BF"/>
          <w:sz w:val="28"/>
          <w:szCs w:val="28"/>
        </w:rPr>
        <w:t xml:space="preserve">The Refugee Cash and Medical Assistance </w:t>
      </w:r>
      <w:r w:rsidR="002F0A4D">
        <w:rPr>
          <w:color w:val="2E74B5" w:themeColor="accent5" w:themeShade="BF"/>
          <w:sz w:val="28"/>
          <w:szCs w:val="28"/>
        </w:rPr>
        <w:t xml:space="preserve">ORR-2 </w:t>
      </w:r>
      <w:r w:rsidRPr="00096965">
        <w:rPr>
          <w:color w:val="2E74B5" w:themeColor="accent5" w:themeShade="BF"/>
          <w:sz w:val="28"/>
          <w:szCs w:val="28"/>
        </w:rPr>
        <w:t>Unobligated Balance Report</w:t>
      </w:r>
    </w:p>
    <w:p w:rsidR="00096965" w:rsidP="00096965" w14:paraId="76F3A3E7" w14:textId="77777777"/>
    <w:p w:rsidR="00096965" w:rsidP="00096965" w14:paraId="7F660BF6" w14:textId="0308ED36">
      <w:r>
        <w:t xml:space="preserve">The </w:t>
      </w:r>
      <w:r w:rsidRPr="00EA1B3E" w:rsidR="00EA1B3E">
        <w:rPr>
          <w:b/>
          <w:bCs/>
          <w:u w:val="single"/>
        </w:rPr>
        <w:t>final</w:t>
      </w:r>
      <w:r w:rsidR="00EA1B3E">
        <w:t xml:space="preserve"> (9/30)</w:t>
      </w:r>
      <w:r>
        <w:t xml:space="preserve"> submission of the </w:t>
      </w:r>
      <w:r w:rsidR="00EA1B3E">
        <w:t xml:space="preserve">ORR-2 </w:t>
      </w:r>
      <w:r>
        <w:t xml:space="preserve">financial report should include </w:t>
      </w:r>
      <w:r w:rsidR="002F0A4D">
        <w:t xml:space="preserve">as </w:t>
      </w:r>
      <w:r>
        <w:t xml:space="preserve">an </w:t>
      </w:r>
      <w:r w:rsidR="005D0C90">
        <w:t>attachment</w:t>
      </w:r>
      <w:r w:rsidR="00EA1B3E">
        <w:t xml:space="preserve"> (ex: </w:t>
      </w:r>
      <w:r w:rsidR="00154520">
        <w:t xml:space="preserve">excel </w:t>
      </w:r>
      <w:r w:rsidR="00EA1B3E">
        <w:t>table</w:t>
      </w:r>
      <w:r w:rsidR="00154520">
        <w:t>)</w:t>
      </w:r>
      <w:r w:rsidR="00EA1B3E">
        <w:t xml:space="preserve"> breaking down the unobligated balance </w:t>
      </w:r>
      <w:r w:rsidR="00D70F44">
        <w:t xml:space="preserve">as reported on </w:t>
      </w:r>
      <w:r w:rsidR="00EA1B3E">
        <w:t>column</w:t>
      </w:r>
      <w:r w:rsidR="00D70F44">
        <w:t xml:space="preserve"> (F)</w:t>
      </w:r>
      <w:r w:rsidR="00EA1B3E">
        <w:t xml:space="preserve"> line</w:t>
      </w:r>
      <w:r w:rsidR="00D70F44">
        <w:t xml:space="preserve"> (</w:t>
      </w:r>
      <w:r w:rsidR="00EA1B3E">
        <w:t>6</w:t>
      </w:r>
      <w:r w:rsidR="00D70F44">
        <w:t>)</w:t>
      </w:r>
      <w:r>
        <w:t xml:space="preserve">. The </w:t>
      </w:r>
      <w:r w:rsidR="00154520">
        <w:t>table</w:t>
      </w:r>
      <w:r>
        <w:t xml:space="preserve"> should </w:t>
      </w:r>
      <w:r w:rsidR="00D70F44">
        <w:t xml:space="preserve">delineate remaining unobligated balances by program category and financial account outlined on the Notice of Award. </w:t>
      </w:r>
      <w:r>
        <w:t xml:space="preserve"> </w:t>
      </w:r>
      <w:r w:rsidR="00D70F44">
        <w:t>It is especially important to include remaining A</w:t>
      </w:r>
      <w:r w:rsidR="00DD2785">
        <w:t xml:space="preserve">fghanistan </w:t>
      </w:r>
      <w:r w:rsidR="00D70F44">
        <w:t>S</w:t>
      </w:r>
      <w:r w:rsidR="00DD2785">
        <w:t xml:space="preserve">upplemental </w:t>
      </w:r>
      <w:r w:rsidR="00D70F44">
        <w:t>A</w:t>
      </w:r>
      <w:r w:rsidR="00DD2785">
        <w:t>ppropriations</w:t>
      </w:r>
      <w:r w:rsidR="00D70F44">
        <w:t xml:space="preserve"> and Ukraine</w:t>
      </w:r>
      <w:r w:rsidR="005D0C90">
        <w:t xml:space="preserve"> Supplemental</w:t>
      </w:r>
      <w:r w:rsidR="00D70F44">
        <w:t xml:space="preserve"> balances. </w:t>
      </w:r>
      <w:r>
        <w:t xml:space="preserve"> </w:t>
      </w:r>
      <w:r w:rsidR="00D70F44">
        <w:t xml:space="preserve">Please also provide any accompanying narrative </w:t>
      </w:r>
      <w:r w:rsidR="005D0C90">
        <w:t xml:space="preserve">if areas of clarity are warranted. </w:t>
      </w:r>
    </w:p>
    <w:p w:rsidR="002F0A4D" w:rsidP="00096965" w14:paraId="78A9901B" w14:textId="47915164">
      <w:r>
        <w:t xml:space="preserve">The below information </w:t>
      </w:r>
      <w:r w:rsidR="00CE760F">
        <w:t xml:space="preserve">is an example of the data that </w:t>
      </w:r>
      <w:r>
        <w:t>should be uploaded as a Microsoft Word or Excel file in</w:t>
      </w:r>
      <w:r w:rsidR="00CA6DD4">
        <w:t>to</w:t>
      </w:r>
      <w:r>
        <w:t xml:space="preserve"> the OLDC attachment section</w:t>
      </w:r>
      <w:r w:rsidR="00CA6DD4">
        <w:t xml:space="preserve"> with the ORR-2 report being submitted</w:t>
      </w:r>
      <w:r>
        <w:t xml:space="preserve">. </w:t>
      </w:r>
    </w:p>
    <w:p w:rsidR="005D0C90" w:rsidP="00096965" w14:paraId="4892347C" w14:textId="2BF45955"/>
    <w:tbl>
      <w:tblPr>
        <w:tblStyle w:val="TableGrid"/>
        <w:tblW w:w="9759" w:type="dxa"/>
        <w:tblLook w:val="04A0"/>
      </w:tblPr>
      <w:tblGrid>
        <w:gridCol w:w="1508"/>
        <w:gridCol w:w="2627"/>
        <w:gridCol w:w="2700"/>
        <w:gridCol w:w="2924"/>
      </w:tblGrid>
      <w:tr w14:paraId="3F7C2C1D" w14:textId="77777777" w:rsidTr="00CA5D5C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noWrap/>
            <w:hideMark/>
          </w:tcPr>
          <w:p w:rsidR="002F0A4D" w:rsidRPr="00D61A97" w:rsidP="00CA5D5C" w14:paraId="22C25CA7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Appropriation</w:t>
            </w:r>
          </w:p>
        </w:tc>
        <w:tc>
          <w:tcPr>
            <w:tcW w:w="2627" w:type="dxa"/>
            <w:noWrap/>
            <w:hideMark/>
          </w:tcPr>
          <w:p w:rsidR="002F0A4D" w:rsidRPr="00D61A97" w:rsidP="00CA5D5C" w14:paraId="15693B80" w14:textId="77777777">
            <w:r w:rsidRPr="00D61A97">
              <w:t>Refugee and Entrant Assistance</w:t>
            </w:r>
          </w:p>
        </w:tc>
        <w:tc>
          <w:tcPr>
            <w:tcW w:w="2700" w:type="dxa"/>
            <w:noWrap/>
            <w:hideMark/>
          </w:tcPr>
          <w:p w:rsidR="002F0A4D" w:rsidRPr="00D61A97" w:rsidP="00CA5D5C" w14:paraId="011C6642" w14:textId="77777777">
            <w:r w:rsidRPr="00D61A97">
              <w:t>Afghan Supplemental Appropriation</w:t>
            </w:r>
          </w:p>
        </w:tc>
        <w:tc>
          <w:tcPr>
            <w:tcW w:w="2924" w:type="dxa"/>
            <w:noWrap/>
            <w:hideMark/>
          </w:tcPr>
          <w:p w:rsidR="002F0A4D" w:rsidRPr="00D61A97" w:rsidP="00CA5D5C" w14:paraId="398BB3C4" w14:textId="77777777">
            <w:r w:rsidRPr="00D61A97">
              <w:t>Ukrainian Supplemental Appropriation</w:t>
            </w:r>
          </w:p>
        </w:tc>
      </w:tr>
      <w:tr w14:paraId="3E494CA9" w14:textId="77777777" w:rsidTr="00CA5D5C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bottom w:val="single" w:sz="4" w:space="0" w:color="auto"/>
            </w:tcBorders>
            <w:noWrap/>
            <w:hideMark/>
          </w:tcPr>
          <w:p w:rsidR="002F0A4D" w:rsidRPr="00D61A97" w:rsidP="00CA5D5C" w14:paraId="19B52589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CAN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noWrap/>
            <w:hideMark/>
          </w:tcPr>
          <w:p w:rsidR="002F0A4D" w:rsidRPr="00D61A97" w:rsidP="00CA5D5C" w14:paraId="556DB9CE" w14:textId="486FF01A">
            <w:r w:rsidRPr="00D61A97">
              <w:t>202</w:t>
            </w:r>
            <w:r w:rsidR="00E0313A">
              <w:t xml:space="preserve">3 </w:t>
            </w:r>
            <w:r w:rsidRPr="00D61A97">
              <w:t>G99</w:t>
            </w:r>
            <w:r w:rsidR="00E0313A">
              <w:t>2316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noWrap/>
            <w:hideMark/>
          </w:tcPr>
          <w:p w:rsidR="002F0A4D" w:rsidP="00CA5D5C" w14:paraId="6D7E0726" w14:textId="4C5A6A23">
            <w:r w:rsidRPr="00D61A97">
              <w:t>202</w:t>
            </w:r>
            <w:r w:rsidR="00E0313A">
              <w:t xml:space="preserve">3 </w:t>
            </w:r>
            <w:r w:rsidRPr="00D61A97">
              <w:t>G9922</w:t>
            </w:r>
            <w:r w:rsidR="00E0313A">
              <w:t>07</w:t>
            </w:r>
          </w:p>
          <w:p w:rsidR="002F0A4D" w:rsidRPr="00D61A97" w:rsidP="00CA5D5C" w14:paraId="16E52B8D" w14:textId="43A6A5A5"/>
        </w:tc>
        <w:tc>
          <w:tcPr>
            <w:tcW w:w="2924" w:type="dxa"/>
            <w:tcBorders>
              <w:bottom w:val="single" w:sz="4" w:space="0" w:color="auto"/>
            </w:tcBorders>
            <w:noWrap/>
            <w:hideMark/>
          </w:tcPr>
          <w:p w:rsidR="002F0A4D" w:rsidRPr="00D61A97" w:rsidP="00CA5D5C" w14:paraId="70C485AE" w14:textId="55657A77">
            <w:r>
              <w:t>202</w:t>
            </w:r>
            <w:r w:rsidR="00E0313A">
              <w:t>3</w:t>
            </w:r>
            <w:r>
              <w:t xml:space="preserve"> G99UK</w:t>
            </w:r>
            <w:r w:rsidR="00E0313A">
              <w:t>CM</w:t>
            </w:r>
          </w:p>
        </w:tc>
      </w:tr>
      <w:tr w14:paraId="7DB89888" w14:textId="77777777" w:rsidTr="00CA5D5C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bottom w:val="nil"/>
            </w:tcBorders>
            <w:noWrap/>
            <w:hideMark/>
          </w:tcPr>
          <w:p w:rsidR="00D13401" w:rsidRPr="00D61A97" w:rsidP="00D13401" w14:paraId="1D0ED154" w14:textId="7E28F29C">
            <w:pPr>
              <w:rPr>
                <w:b/>
                <w:bCs/>
              </w:rPr>
            </w:pPr>
            <w:r>
              <w:rPr>
                <w:b/>
                <w:bCs/>
              </w:rPr>
              <w:t>Unobligated Balance</w:t>
            </w:r>
          </w:p>
        </w:tc>
        <w:tc>
          <w:tcPr>
            <w:tcW w:w="2627" w:type="dxa"/>
            <w:tcBorders>
              <w:bottom w:val="nil"/>
            </w:tcBorders>
            <w:noWrap/>
            <w:hideMark/>
          </w:tcPr>
          <w:p w:rsidR="00D13401" w:rsidRPr="00D61A97" w:rsidP="00D13401" w14:paraId="5C814680" w14:textId="068FA451">
            <w:r>
              <w:t>Unobligated balance</w:t>
            </w:r>
          </w:p>
        </w:tc>
        <w:tc>
          <w:tcPr>
            <w:tcW w:w="2700" w:type="dxa"/>
            <w:tcBorders>
              <w:bottom w:val="nil"/>
            </w:tcBorders>
            <w:noWrap/>
            <w:hideMark/>
          </w:tcPr>
          <w:p w:rsidR="00D13401" w:rsidRPr="00D61A97" w:rsidP="00D13401" w14:paraId="667A852C" w14:textId="12168FBC">
            <w:r>
              <w:t>Unobligated balance</w:t>
            </w:r>
          </w:p>
        </w:tc>
        <w:tc>
          <w:tcPr>
            <w:tcW w:w="2924" w:type="dxa"/>
            <w:tcBorders>
              <w:bottom w:val="nil"/>
            </w:tcBorders>
            <w:noWrap/>
            <w:hideMark/>
          </w:tcPr>
          <w:p w:rsidR="00D13401" w:rsidRPr="00D61A97" w:rsidP="00D13401" w14:paraId="0553DFAD" w14:textId="4D50F26C">
            <w:r>
              <w:t>Unobligated balance</w:t>
            </w:r>
          </w:p>
        </w:tc>
      </w:tr>
      <w:tr w14:paraId="3BB91AB9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2DC08B73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4EB27FF0" w14:textId="095AFF53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30E2E6C4" w14:textId="6B2D781E"/>
        </w:tc>
        <w:tc>
          <w:tcPr>
            <w:tcW w:w="2924" w:type="dxa"/>
            <w:tcBorders>
              <w:top w:val="nil"/>
              <w:bottom w:val="nil"/>
            </w:tcBorders>
            <w:noWrap/>
          </w:tcPr>
          <w:p w:rsidR="00D13401" w:rsidRPr="00D61A97" w:rsidP="00D13401" w14:paraId="0BBBB91C" w14:textId="57B2E4B7"/>
        </w:tc>
      </w:tr>
      <w:tr w14:paraId="2288AB77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474303D9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70F77119" w14:textId="0301B985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5FBAC10B" w14:textId="4A65F42F"/>
        </w:tc>
        <w:tc>
          <w:tcPr>
            <w:tcW w:w="2924" w:type="dxa"/>
            <w:tcBorders>
              <w:top w:val="nil"/>
              <w:bottom w:val="nil"/>
            </w:tcBorders>
            <w:noWrap/>
          </w:tcPr>
          <w:p w:rsidR="00D13401" w:rsidRPr="00D61A97" w:rsidP="00D13401" w14:paraId="1A8CB1AB" w14:textId="04FD1288"/>
        </w:tc>
      </w:tr>
      <w:tr w14:paraId="0B3FB7DE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7026AC80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16B49427" w14:textId="7436D6CA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28A45424" w14:textId="44558E75"/>
        </w:tc>
        <w:tc>
          <w:tcPr>
            <w:tcW w:w="2924" w:type="dxa"/>
            <w:tcBorders>
              <w:top w:val="nil"/>
              <w:bottom w:val="nil"/>
            </w:tcBorders>
            <w:noWrap/>
          </w:tcPr>
          <w:p w:rsidR="00D13401" w:rsidRPr="00D61A97" w:rsidP="00D13401" w14:paraId="433CB6DB" w14:textId="7BBC9AE8"/>
        </w:tc>
      </w:tr>
      <w:tr w14:paraId="3B2B2854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267D7DFE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3757318C" w14:textId="76DAFB6B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27148B26" w14:textId="2147011D"/>
        </w:tc>
        <w:tc>
          <w:tcPr>
            <w:tcW w:w="2924" w:type="dxa"/>
            <w:tcBorders>
              <w:top w:val="nil"/>
              <w:bottom w:val="nil"/>
            </w:tcBorders>
            <w:noWrap/>
          </w:tcPr>
          <w:p w:rsidR="00D13401" w:rsidRPr="00D61A97" w:rsidP="00D13401" w14:paraId="5A2AE8A0" w14:textId="77777777"/>
        </w:tc>
      </w:tr>
      <w:tr w14:paraId="330BD49C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01B6EF11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61FE1CC4" w14:textId="49EC2857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6CA270E1" w14:textId="3C026A83"/>
        </w:tc>
        <w:tc>
          <w:tcPr>
            <w:tcW w:w="2924" w:type="dxa"/>
            <w:tcBorders>
              <w:top w:val="nil"/>
              <w:bottom w:val="nil"/>
            </w:tcBorders>
            <w:noWrap/>
          </w:tcPr>
          <w:p w:rsidR="00D13401" w:rsidRPr="00D61A97" w:rsidP="00D13401" w14:paraId="2ED16B3D" w14:textId="77777777"/>
        </w:tc>
      </w:tr>
      <w:tr w14:paraId="5EE6487B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67E82927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  <w:bottom w:val="nil"/>
            </w:tcBorders>
            <w:noWrap/>
          </w:tcPr>
          <w:p w:rsidR="00D13401" w:rsidRPr="00D61A97" w:rsidP="00D13401" w14:paraId="507FBE1E" w14:textId="03D45DD0"/>
        </w:tc>
        <w:tc>
          <w:tcPr>
            <w:tcW w:w="2700" w:type="dxa"/>
            <w:tcBorders>
              <w:top w:val="nil"/>
              <w:bottom w:val="nil"/>
            </w:tcBorders>
            <w:noWrap/>
          </w:tcPr>
          <w:p w:rsidR="00D13401" w:rsidRPr="00D61A97" w:rsidP="00D13401" w14:paraId="4FAD75E4" w14:textId="43BCE72D"/>
        </w:tc>
        <w:tc>
          <w:tcPr>
            <w:tcW w:w="2924" w:type="dxa"/>
            <w:tcBorders>
              <w:top w:val="nil"/>
              <w:bottom w:val="nil"/>
            </w:tcBorders>
            <w:noWrap/>
            <w:hideMark/>
          </w:tcPr>
          <w:p w:rsidR="00D13401" w:rsidRPr="00D61A97" w:rsidP="00D13401" w14:paraId="4C90825F" w14:textId="77777777">
            <w:r w:rsidRPr="00D61A97">
              <w:t> </w:t>
            </w:r>
          </w:p>
        </w:tc>
      </w:tr>
      <w:tr w14:paraId="0CD930D2" w14:textId="77777777" w:rsidTr="00E0313A">
        <w:tblPrEx>
          <w:tblW w:w="9759" w:type="dxa"/>
          <w:tblLook w:val="04A0"/>
        </w:tblPrEx>
        <w:trPr>
          <w:trHeight w:val="290"/>
        </w:trPr>
        <w:tc>
          <w:tcPr>
            <w:tcW w:w="1508" w:type="dxa"/>
            <w:tcBorders>
              <w:top w:val="nil"/>
            </w:tcBorders>
            <w:noWrap/>
            <w:hideMark/>
          </w:tcPr>
          <w:p w:rsidR="00D13401" w:rsidRPr="00D61A97" w:rsidP="00D13401" w14:paraId="43778BF2" w14:textId="77777777">
            <w:pPr>
              <w:rPr>
                <w:b/>
                <w:bCs/>
              </w:rPr>
            </w:pPr>
            <w:r w:rsidRPr="00D61A97">
              <w:rPr>
                <w:b/>
                <w:bCs/>
              </w:rPr>
              <w:t> </w:t>
            </w:r>
          </w:p>
        </w:tc>
        <w:tc>
          <w:tcPr>
            <w:tcW w:w="2627" w:type="dxa"/>
            <w:tcBorders>
              <w:top w:val="nil"/>
            </w:tcBorders>
            <w:noWrap/>
            <w:hideMark/>
          </w:tcPr>
          <w:p w:rsidR="00D13401" w:rsidRPr="00D61A97" w:rsidP="00D13401" w14:paraId="5C40A704" w14:textId="77777777">
            <w:r w:rsidRPr="00D61A97">
              <w:t> </w:t>
            </w:r>
          </w:p>
        </w:tc>
        <w:tc>
          <w:tcPr>
            <w:tcW w:w="2700" w:type="dxa"/>
            <w:tcBorders>
              <w:top w:val="nil"/>
            </w:tcBorders>
            <w:noWrap/>
          </w:tcPr>
          <w:p w:rsidR="00D13401" w:rsidRPr="00D61A97" w:rsidP="00D13401" w14:paraId="34F7C86E" w14:textId="40FD7D0B"/>
        </w:tc>
        <w:tc>
          <w:tcPr>
            <w:tcW w:w="2924" w:type="dxa"/>
            <w:tcBorders>
              <w:top w:val="nil"/>
            </w:tcBorders>
            <w:noWrap/>
            <w:hideMark/>
          </w:tcPr>
          <w:p w:rsidR="00D13401" w:rsidRPr="00D61A97" w:rsidP="00D13401" w14:paraId="20D0FF27" w14:textId="77777777">
            <w:r w:rsidRPr="00D61A97">
              <w:t> </w:t>
            </w:r>
          </w:p>
        </w:tc>
      </w:tr>
    </w:tbl>
    <w:p w:rsidR="005D0C90" w:rsidP="00096965" w14:paraId="5813D503" w14:textId="77777777">
      <w:pPr>
        <w:rPr>
          <w:b/>
          <w:bCs/>
        </w:rPr>
      </w:pPr>
    </w:p>
    <w:p w:rsidR="007C7EFF" w14:paraId="06426E1A" w14:textId="036C56A7"/>
    <w:p w:rsidR="00333D9B" w14:paraId="6E44FD76" w14:textId="67BC8BEE"/>
    <w:p w:rsidR="00333D9B" w14:paraId="4751113D" w14:textId="0C0F1A98"/>
    <w:p w:rsidR="00333D9B" w14:paraId="3A7BECFF" w14:textId="3F3FB9D2"/>
    <w:p w:rsidR="00333D9B" w14:paraId="0AC87633" w14:textId="476B2BE3"/>
    <w:p w:rsidR="00333D9B" w14:paraId="757F877E" w14:textId="387DD96C"/>
    <w:p w:rsidR="00333D9B" w14:paraId="4F0AC665" w14:textId="6B69F970"/>
    <w:p w:rsidR="00333D9B" w14:paraId="5B933B57" w14:textId="3A5869F9"/>
    <w:p w:rsidR="00333D9B" w14:paraId="6CE6487A" w14:textId="5977540C"/>
    <w:p w:rsidR="00333D9B" w14:paraId="51E04792" w14:textId="24268581"/>
    <w:p w:rsidR="00333D9B" w14:paraId="74DC7B0E" w14:textId="4969B615"/>
    <w:p w:rsidR="00333D9B" w:rsidP="00333D9B" w14:paraId="36F0FB83" w14:textId="77777777">
      <w:pPr>
        <w:jc w:val="center"/>
        <w:rPr>
          <w:color w:val="2E74B5" w:themeColor="accent5" w:themeShade="BF"/>
          <w:sz w:val="28"/>
          <w:szCs w:val="28"/>
        </w:rPr>
      </w:pPr>
    </w:p>
    <w:p w:rsidR="00333D9B" w:rsidRPr="00096965" w:rsidP="00333D9B" w14:paraId="3E440F39" w14:textId="5FA7799A">
      <w:pPr>
        <w:jc w:val="center"/>
        <w:rPr>
          <w:color w:val="2E74B5" w:themeColor="accent5" w:themeShade="BF"/>
          <w:sz w:val="28"/>
          <w:szCs w:val="28"/>
        </w:rPr>
      </w:pPr>
      <w:r w:rsidRPr="00096965">
        <w:rPr>
          <w:color w:val="2E74B5" w:themeColor="accent5" w:themeShade="BF"/>
          <w:sz w:val="28"/>
          <w:szCs w:val="28"/>
        </w:rPr>
        <w:t xml:space="preserve">The Refugee Cash and Medical Assistance </w:t>
      </w:r>
      <w:r>
        <w:rPr>
          <w:color w:val="2E74B5" w:themeColor="accent5" w:themeShade="BF"/>
          <w:sz w:val="28"/>
          <w:szCs w:val="28"/>
        </w:rPr>
        <w:t xml:space="preserve">ORR-2 </w:t>
      </w:r>
      <w:r w:rsidRPr="00096965">
        <w:rPr>
          <w:color w:val="2E74B5" w:themeColor="accent5" w:themeShade="BF"/>
          <w:sz w:val="28"/>
          <w:szCs w:val="28"/>
        </w:rPr>
        <w:t>Unobligated Balance Report</w:t>
      </w:r>
    </w:p>
    <w:p w:rsidR="00333D9B" w14:paraId="13280B08" w14:textId="023BF26C"/>
    <w:p w:rsidR="00333D9B" w:rsidP="00333D9B" w14:paraId="1E89DC36" w14:textId="4ABC8CC9">
      <w:pPr>
        <w:shd w:val="clear" w:color="auto" w:fill="FFFFFF"/>
        <w:rPr>
          <w:b/>
          <w:bCs/>
          <w:lang w:val="en"/>
        </w:rPr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>
        <w:rPr>
          <w:lang w:val="en"/>
        </w:rPr>
        <w:t xml:space="preserve"> </w:t>
      </w:r>
      <w:r w:rsidRPr="00D42E6D">
        <w:t xml:space="preserve">Through this information collection, ACF is </w:t>
      </w:r>
      <w:r>
        <w:t>requesting that</w:t>
      </w:r>
      <w:r w:rsidRPr="00D42E6D">
        <w:t xml:space="preserve"> grantees breakout </w:t>
      </w:r>
      <w:r w:rsidR="00F008F4">
        <w:t>unobligated balances</w:t>
      </w:r>
      <w:r w:rsidRPr="00D42E6D">
        <w:t xml:space="preserve"> reported on the </w:t>
      </w:r>
      <w:r w:rsidR="00F008F4">
        <w:t>ORR-2</w:t>
      </w:r>
      <w:r w:rsidRPr="00D42E6D">
        <w:t xml:space="preserve"> </w:t>
      </w:r>
      <w:r w:rsidR="005C6B50">
        <w:t xml:space="preserve">Federal </w:t>
      </w:r>
      <w:r w:rsidRPr="00D42E6D">
        <w:t xml:space="preserve">Financial Report. The purpose of this information collection is to gain the ability to analyze expenditure data by </w:t>
      </w:r>
      <w:r w:rsidR="00F008F4">
        <w:t xml:space="preserve">funding source and </w:t>
      </w:r>
      <w:r w:rsidRPr="00D42E6D">
        <w:t xml:space="preserve">financial account number based on the award.  </w:t>
      </w:r>
      <w:r w:rsidRPr="007300BF">
        <w:t xml:space="preserve">Public reporting burden for this collection of information is estimated to average </w:t>
      </w:r>
      <w:r w:rsidR="00F008F4">
        <w:t>1</w:t>
      </w:r>
      <w:r w:rsidR="00DD2785">
        <w:t>.67</w:t>
      </w:r>
      <w:r w:rsidRPr="007300BF">
        <w:t xml:space="preserve"> hour per grantee, including the time for reviewing instructions, </w:t>
      </w:r>
      <w:r w:rsidRPr="007300BF">
        <w:t>gathering</w:t>
      </w:r>
      <w:r w:rsidRPr="007300BF">
        <w:t xml:space="preserve"> and maintaining the data needed, and </w:t>
      </w:r>
      <w:r w:rsidRPr="009F7034">
        <w:t xml:space="preserve">reviewing the collection of information.  </w:t>
      </w:r>
      <w:r w:rsidRPr="0035752C">
        <w:rPr>
          <w:lang w:val="en"/>
        </w:rPr>
        <w:t xml:space="preserve">This is a mandatory collection of information per </w:t>
      </w:r>
      <w:r w:rsidRPr="009F7034">
        <w:t>45 CFR Part 75.302</w:t>
      </w:r>
      <w:r w:rsidRPr="009F7034">
        <w:rPr>
          <w:lang w:val="en"/>
        </w:rPr>
        <w:t xml:space="preserve">. </w:t>
      </w:r>
      <w:r w:rsidRPr="0035752C">
        <w:rPr>
          <w:lang w:val="en"/>
        </w:rPr>
        <w:t xml:space="preserve"> </w:t>
      </w:r>
      <w:r w:rsidRPr="009F7034">
        <w:t xml:space="preserve">An agency may not conduct or sponsor, and a person is not required to respond to, a collection </w:t>
      </w:r>
      <w:r w:rsidRPr="007300BF">
        <w:t xml:space="preserve">of information subject to the requirements </w:t>
      </w:r>
      <w:r w:rsidRPr="00F008F4">
        <w:t>of the Paperwork Reduction Act of 1995, unless it displays a currently valid OMB control number.  The OMB # is 0970-0</w:t>
      </w:r>
      <w:r w:rsidR="00005623">
        <w:t>510</w:t>
      </w:r>
      <w:r w:rsidRPr="004115FE">
        <w:t xml:space="preserve"> and the expiration date is </w:t>
      </w:r>
      <w:r w:rsidR="00005623">
        <w:t>6/30/2024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>
        <w:rPr>
          <w:lang w:val="en"/>
        </w:rPr>
        <w:t xml:space="preserve"> </w:t>
      </w:r>
      <w:r w:rsidRPr="009D5B64">
        <w:rPr>
          <w:b/>
          <w:bCs/>
          <w:lang w:val="en"/>
        </w:rPr>
        <w:t xml:space="preserve">Amy Menefee-Longs, Grants Officer at (215) 861-4785 or </w:t>
      </w:r>
      <w:hyperlink r:id="rId4" w:history="1">
        <w:r w:rsidRPr="004816AD">
          <w:rPr>
            <w:rStyle w:val="Hyperlink"/>
            <w:b/>
            <w:bCs/>
            <w:lang w:val="en"/>
          </w:rPr>
          <w:t>amy.menefee-long@acf.hhs.gov</w:t>
        </w:r>
      </w:hyperlink>
      <w:r>
        <w:rPr>
          <w:b/>
          <w:bCs/>
          <w:lang w:val="en"/>
        </w:rPr>
        <w:t>.</w:t>
      </w:r>
    </w:p>
    <w:p w:rsidR="00333D9B" w:rsidP="00F008F4" w14:paraId="50CFDBC5" w14:textId="3D22631B">
      <w:pPr>
        <w:tabs>
          <w:tab w:val="left" w:pos="8490"/>
        </w:tabs>
      </w:pPr>
      <w:r>
        <w:tab/>
      </w:r>
    </w:p>
    <w:p w:rsidR="00333D9B" w14:paraId="1231E0CD" w14:textId="77777777"/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965" w:rsidP="00096965" w14:paraId="1FCF19F8" w14:textId="75F581B8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 w:rsidRPr="00096965">
      <w:t xml:space="preserve"> </w:t>
    </w:r>
    <w:r>
      <w:t>OMB Control Number 0970-</w:t>
    </w:r>
    <w:r w:rsidR="00005623">
      <w:t>0510</w:t>
    </w:r>
  </w:p>
  <w:p w:rsidR="00096965" w:rsidP="00096965" w14:paraId="6724091F" w14:textId="343AB3DD">
    <w:pPr>
      <w:pStyle w:val="Header"/>
      <w:jc w:val="right"/>
    </w:pPr>
    <w:r>
      <w:t xml:space="preserve">Expiration Date </w:t>
    </w:r>
    <w:r w:rsidR="00005623">
      <w:t>6/30/2024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5"/>
    <w:rsid w:val="00005623"/>
    <w:rsid w:val="00096965"/>
    <w:rsid w:val="00154520"/>
    <w:rsid w:val="001D5649"/>
    <w:rsid w:val="002F0A4D"/>
    <w:rsid w:val="00333D9B"/>
    <w:rsid w:val="0035752C"/>
    <w:rsid w:val="00361ABC"/>
    <w:rsid w:val="004115FE"/>
    <w:rsid w:val="004816AD"/>
    <w:rsid w:val="00531738"/>
    <w:rsid w:val="005968C8"/>
    <w:rsid w:val="005C6B50"/>
    <w:rsid w:val="005D0C90"/>
    <w:rsid w:val="006C0D7D"/>
    <w:rsid w:val="007300BF"/>
    <w:rsid w:val="007C7EFF"/>
    <w:rsid w:val="0083781C"/>
    <w:rsid w:val="008676C5"/>
    <w:rsid w:val="00892EDD"/>
    <w:rsid w:val="0091572F"/>
    <w:rsid w:val="009D5B64"/>
    <w:rsid w:val="009F7034"/>
    <w:rsid w:val="00CA231E"/>
    <w:rsid w:val="00CA5D5C"/>
    <w:rsid w:val="00CA6DD4"/>
    <w:rsid w:val="00CE760F"/>
    <w:rsid w:val="00CF6B64"/>
    <w:rsid w:val="00D04D3C"/>
    <w:rsid w:val="00D13401"/>
    <w:rsid w:val="00D42E6D"/>
    <w:rsid w:val="00D61A97"/>
    <w:rsid w:val="00D70F44"/>
    <w:rsid w:val="00DC14BE"/>
    <w:rsid w:val="00DD2785"/>
    <w:rsid w:val="00E0313A"/>
    <w:rsid w:val="00EA1B3E"/>
    <w:rsid w:val="00F008F4"/>
    <w:rsid w:val="00F762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36D91E"/>
  <w15:chartTrackingRefBased/>
  <w15:docId w15:val="{4800FDA7-EFF9-4733-A0BF-49DBEA7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65"/>
  </w:style>
  <w:style w:type="paragraph" w:styleId="Footer">
    <w:name w:val="footer"/>
    <w:basedOn w:val="Normal"/>
    <w:link w:val="FooterChar"/>
    <w:uiPriority w:val="99"/>
    <w:unhideWhenUsed/>
    <w:rsid w:val="00096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65"/>
  </w:style>
  <w:style w:type="table" w:styleId="TableGrid">
    <w:name w:val="Table Grid"/>
    <w:basedOn w:val="TableNormal"/>
    <w:uiPriority w:val="39"/>
    <w:rsid w:val="002F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D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1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my.menefee-long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Menefee-Longs, Amy (ACF)</dc:creator>
  <cp:lastModifiedBy>Jones, Molly (ACF)</cp:lastModifiedBy>
  <cp:revision>2</cp:revision>
  <dcterms:created xsi:type="dcterms:W3CDTF">2023-05-04T19:59:00Z</dcterms:created>
  <dcterms:modified xsi:type="dcterms:W3CDTF">2023-05-04T19:59:00Z</dcterms:modified>
</cp:coreProperties>
</file>