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65C933FC">
      <w:pPr>
        <w:pStyle w:val="ReportCover-Title"/>
        <w:jc w:val="center"/>
        <w:rPr>
          <w:rFonts w:ascii="Arial" w:hAnsi="Arial" w:cs="Arial"/>
          <w:color w:val="auto"/>
        </w:rPr>
      </w:pPr>
      <w:r>
        <w:rPr>
          <w:rFonts w:ascii="Arial" w:eastAsia="Arial Unicode MS" w:hAnsi="Arial" w:cs="Arial"/>
          <w:noProof/>
          <w:color w:val="auto"/>
        </w:rPr>
        <w:t>Immigration Legal Service for Afghan Arrivals – Training Experience Survey and Topic-Based Knowledge Assessment</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6C3E7E9D">
      <w:pPr>
        <w:pStyle w:val="ReportCover-Date"/>
        <w:jc w:val="center"/>
        <w:rPr>
          <w:rFonts w:ascii="Arial" w:hAnsi="Arial" w:cs="Arial"/>
          <w:color w:val="auto"/>
        </w:rPr>
      </w:pPr>
      <w:r>
        <w:rPr>
          <w:rFonts w:ascii="Arial" w:hAnsi="Arial" w:cs="Arial"/>
          <w:color w:val="auto"/>
        </w:rPr>
        <w:t>June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2F27AD79">
      <w:pPr>
        <w:jc w:val="center"/>
        <w:rPr>
          <w:rFonts w:ascii="Arial" w:hAnsi="Arial" w:cs="Arial"/>
        </w:rPr>
      </w:pPr>
      <w:r>
        <w:rPr>
          <w:rFonts w:ascii="Arial" w:hAnsi="Arial" w:cs="Arial"/>
        </w:rPr>
        <w:t>Office of Refugees and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D3C65" w:rsidP="009D3C65" w14:paraId="6E47B7FE" w14:textId="20C71EC0">
      <w:pPr>
        <w:rPr>
          <w:color w:val="000000" w:themeColor="text1"/>
        </w:rPr>
      </w:pPr>
      <w:r w:rsidRPr="000517EA">
        <w:rPr>
          <w:sz w:val="22"/>
          <w:szCs w:val="22"/>
        </w:rPr>
        <w:t>The Administration for Children and Families (ACF) at the U.S. Department of Health and Human Services (HHS) seeks approval for</w:t>
      </w:r>
      <w:r w:rsidR="00313C20">
        <w:rPr>
          <w:sz w:val="22"/>
          <w:szCs w:val="22"/>
        </w:rPr>
        <w:t xml:space="preserve"> </w:t>
      </w:r>
      <w:r>
        <w:rPr>
          <w:color w:val="000000" w:themeColor="text1"/>
        </w:rPr>
        <w:t xml:space="preserve">two information collections that support </w:t>
      </w:r>
      <w:r w:rsidR="00681DB6">
        <w:rPr>
          <w:color w:val="000000" w:themeColor="text1"/>
        </w:rPr>
        <w:t xml:space="preserve">the </w:t>
      </w:r>
      <w:r w:rsidRPr="107EE6FF" w:rsidR="00681DB6">
        <w:rPr>
          <w:color w:val="000000" w:themeColor="text1"/>
        </w:rPr>
        <w:t>Office of Refugee Resettlement (</w:t>
      </w:r>
      <w:r w:rsidR="00681DB6">
        <w:rPr>
          <w:color w:val="000000" w:themeColor="text1"/>
        </w:rPr>
        <w:t xml:space="preserve">ORR) to </w:t>
      </w:r>
      <w:r>
        <w:rPr>
          <w:color w:val="000000" w:themeColor="text1"/>
        </w:rPr>
        <w:t>ensur</w:t>
      </w:r>
      <w:r w:rsidR="00681DB6">
        <w:rPr>
          <w:color w:val="000000" w:themeColor="text1"/>
        </w:rPr>
        <w:t>e</w:t>
      </w:r>
      <w:r>
        <w:rPr>
          <w:color w:val="000000" w:themeColor="text1"/>
        </w:rPr>
        <w:t xml:space="preserve"> </w:t>
      </w:r>
      <w:r w:rsidR="00313C20">
        <w:rPr>
          <w:color w:val="000000" w:themeColor="text1"/>
        </w:rPr>
        <w:t xml:space="preserve">Eligible Arriving Afghans </w:t>
      </w:r>
      <w:r w:rsidR="00681DB6">
        <w:rPr>
          <w:color w:val="000000" w:themeColor="text1"/>
        </w:rPr>
        <w:t xml:space="preserve">(EAA) </w:t>
      </w:r>
      <w:r w:rsidR="00313C20">
        <w:rPr>
          <w:color w:val="000000" w:themeColor="text1"/>
        </w:rPr>
        <w:t xml:space="preserve">across the country receive legal </w:t>
      </w:r>
      <w:r>
        <w:rPr>
          <w:color w:val="000000" w:themeColor="text1"/>
        </w:rPr>
        <w:t>services from qualified providers</w:t>
      </w:r>
      <w:r w:rsidR="00313C20">
        <w:rPr>
          <w:color w:val="000000" w:themeColor="text1"/>
        </w:rPr>
        <w:t xml:space="preserve"> as part of </w:t>
      </w:r>
      <w:r w:rsidR="00681DB6">
        <w:rPr>
          <w:color w:val="000000" w:themeColor="text1"/>
        </w:rPr>
        <w:t>ORR’s</w:t>
      </w:r>
      <w:r w:rsidRPr="00191B78" w:rsidR="00681DB6">
        <w:rPr>
          <w:color w:val="000000" w:themeColor="text1"/>
        </w:rPr>
        <w:t xml:space="preserve"> </w:t>
      </w:r>
      <w:r w:rsidRPr="107EE6FF" w:rsidR="00191B78">
        <w:rPr>
          <w:color w:val="000000" w:themeColor="text1"/>
        </w:rPr>
        <w:t>Immigration Legal Services for Afghan Arrivals (ILSAA)</w:t>
      </w:r>
      <w:r w:rsidR="00191B78">
        <w:rPr>
          <w:color w:val="000000" w:themeColor="text1"/>
        </w:rPr>
        <w:t xml:space="preserve"> program</w:t>
      </w:r>
      <w:r w:rsidR="00681DB6">
        <w:rPr>
          <w:color w:val="000000" w:themeColor="text1"/>
        </w:rPr>
        <w:t>.</w:t>
      </w:r>
      <w:r w:rsidRPr="107EE6FF" w:rsidR="00191B78">
        <w:rPr>
          <w:color w:val="000000" w:themeColor="text1"/>
        </w:rPr>
        <w:t xml:space="preserve"> </w:t>
      </w:r>
      <w:r>
        <w:rPr>
          <w:color w:val="000000" w:themeColor="text1"/>
        </w:rPr>
        <w:t xml:space="preserve">These collections will </w:t>
      </w:r>
      <w:r w:rsidR="00681DB6">
        <w:rPr>
          <w:color w:val="000000" w:themeColor="text1"/>
        </w:rPr>
        <w:t xml:space="preserve">provide ORR with information about </w:t>
      </w:r>
      <w:r w:rsidR="00681DB6">
        <w:t xml:space="preserve">participating legal service providers’ (LSP) experiences and knowledge to </w:t>
      </w:r>
      <w:r>
        <w:rPr>
          <w:color w:val="000000" w:themeColor="text1"/>
        </w:rPr>
        <w:t xml:space="preserve">support matching of qualifications to individual’s legal service needs and </w:t>
      </w:r>
      <w:r w:rsidR="00681DB6">
        <w:rPr>
          <w:color w:val="000000" w:themeColor="text1"/>
        </w:rPr>
        <w:t xml:space="preserve">inform the provision </w:t>
      </w:r>
      <w:r w:rsidR="00475D38">
        <w:rPr>
          <w:color w:val="000000" w:themeColor="text1"/>
        </w:rPr>
        <w:t xml:space="preserve">of </w:t>
      </w:r>
      <w:r>
        <w:rPr>
          <w:color w:val="000000" w:themeColor="text1"/>
        </w:rPr>
        <w:t>tailored training</w:t>
      </w:r>
      <w:r w:rsidR="001C68C8">
        <w:rPr>
          <w:color w:val="000000" w:themeColor="text1"/>
        </w:rPr>
        <w:t xml:space="preserve"> to legal service providers</w:t>
      </w:r>
      <w:r>
        <w:rPr>
          <w:color w:val="000000" w:themeColor="text1"/>
        </w:rPr>
        <w:t xml:space="preserve"> in key topical areas. </w:t>
      </w:r>
    </w:p>
    <w:p w:rsidR="008F570D" w:rsidP="00B567A3" w14:paraId="10A288D7" w14:textId="29D96684">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B567A3"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14:paraId="3BDF35B0" w14:textId="77777777">
      <w:r w:rsidRPr="0023470B">
        <w:rPr>
          <w:sz w:val="22"/>
          <w:szCs w:val="22"/>
        </w:rPr>
        <w:t xml:space="preserve">There are no legal or administrative requirements that necessitate the collection. </w:t>
      </w:r>
      <w:r w:rsidRPr="0023470B">
        <w:rPr>
          <w:sz w:val="22"/>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8E2309" w:rsidP="008E2309" w14:paraId="161D6AB9" w14:textId="524760F0">
      <w:r w:rsidRPr="003F42C7">
        <w:rPr>
          <w:b/>
          <w:bCs/>
          <w:iCs/>
          <w:u w:val="single"/>
        </w:rPr>
        <w:t>Training Experience Survey</w:t>
      </w:r>
      <w:r w:rsidRPr="003F42C7">
        <w:rPr>
          <w:iCs/>
          <w:u w:val="single"/>
        </w:rPr>
        <w:t>:</w:t>
      </w:r>
      <w:r w:rsidRPr="008E2309">
        <w:t xml:space="preserve"> </w:t>
      </w:r>
      <w:r>
        <w:t xml:space="preserve">The purpose of this instrument </w:t>
      </w:r>
      <w:r w:rsidR="00381568">
        <w:t xml:space="preserve">is to gather </w:t>
      </w:r>
      <w:r w:rsidR="00156DAD">
        <w:t xml:space="preserve">details about </w:t>
      </w:r>
      <w:r w:rsidR="006A0658">
        <w:t>participating LSPs</w:t>
      </w:r>
      <w:r w:rsidR="00117F86">
        <w:t>’</w:t>
      </w:r>
      <w:r>
        <w:t xml:space="preserve"> previous experience</w:t>
      </w:r>
      <w:r w:rsidR="001E2750">
        <w:t xml:space="preserve"> with immigration law.</w:t>
      </w:r>
      <w:r>
        <w:t xml:space="preserve"> </w:t>
      </w:r>
      <w:r w:rsidR="001E2750">
        <w:t xml:space="preserve">It will be administered to all </w:t>
      </w:r>
      <w:r>
        <w:t>LSPs</w:t>
      </w:r>
      <w:r w:rsidR="00C2264C">
        <w:t xml:space="preserve"> </w:t>
      </w:r>
      <w:r w:rsidR="00070ECE">
        <w:t>joining the ILSAA network</w:t>
      </w:r>
      <w:r>
        <w:t xml:space="preserve"> once they are vetted and approved to provide services to </w:t>
      </w:r>
      <w:r w:rsidR="00681DB6">
        <w:t>EAA</w:t>
      </w:r>
      <w:r>
        <w:t xml:space="preserve">s. This </w:t>
      </w:r>
      <w:r w:rsidR="00E7008C">
        <w:t>survey</w:t>
      </w:r>
      <w:r>
        <w:t xml:space="preserve"> will support ensuring that </w:t>
      </w:r>
      <w:r w:rsidR="00E7008C">
        <w:t>LSPs have adequate</w:t>
      </w:r>
      <w:r>
        <w:t xml:space="preserve"> previous experience.</w:t>
      </w:r>
      <w:r w:rsidR="008F1AC9">
        <w:t xml:space="preserve"> If </w:t>
      </w:r>
      <w:r w:rsidR="004E279F">
        <w:t xml:space="preserve">an LSP does not have experience in a </w:t>
      </w:r>
      <w:r w:rsidR="00B27EDF">
        <w:t xml:space="preserve">specific area, they </w:t>
      </w:r>
      <w:r w:rsidR="00C15F59">
        <w:t>will be</w:t>
      </w:r>
      <w:r w:rsidR="00E033C7">
        <w:t xml:space="preserve"> </w:t>
      </w:r>
      <w:r w:rsidR="00136B63">
        <w:t>provided</w:t>
      </w:r>
      <w:r w:rsidR="00E033C7">
        <w:t xml:space="preserve"> training on that topic</w:t>
      </w:r>
      <w:r w:rsidR="00ED25D0">
        <w:t>.</w:t>
      </w:r>
    </w:p>
    <w:p w:rsidR="008E2309" w:rsidP="008E2309" w14:paraId="0193ED57" w14:textId="77777777"/>
    <w:p w:rsidR="008E2309" w:rsidP="008E2309" w14:paraId="2304C393" w14:textId="352F7663">
      <w:r w:rsidRPr="003F42C7">
        <w:rPr>
          <w:b/>
          <w:bCs/>
          <w:u w:val="single"/>
        </w:rPr>
        <w:t>Topic-Based Knowledge Assessment</w:t>
      </w:r>
      <w:r w:rsidRPr="003F42C7" w:rsidR="00DC3E82">
        <w:rPr>
          <w:u w:val="single"/>
        </w:rPr>
        <w:t>:</w:t>
      </w:r>
      <w:r w:rsidRPr="003F42C7">
        <w:rPr>
          <w:u w:val="single"/>
        </w:rPr>
        <w:t xml:space="preserve"> </w:t>
      </w:r>
      <w:r w:rsidR="00DC3E82">
        <w:t>The purpose of this instrument is</w:t>
      </w:r>
      <w:r>
        <w:t xml:space="preserve"> to assess knowledge in key topic areas </w:t>
      </w:r>
      <w:r w:rsidR="00DC3E82">
        <w:t>LSPs</w:t>
      </w:r>
      <w:r>
        <w:t xml:space="preserve"> will likely encounter </w:t>
      </w:r>
      <w:r w:rsidR="00CE2173">
        <w:t>in assigned</w:t>
      </w:r>
      <w:r>
        <w:t xml:space="preserve"> ILSAA</w:t>
      </w:r>
      <w:r w:rsidR="00CE2173">
        <w:t xml:space="preserve"> cases</w:t>
      </w:r>
      <w:r>
        <w:t>. The information obtained from the assessment will help ILSAA</w:t>
      </w:r>
      <w:r w:rsidR="003168E1">
        <w:t xml:space="preserve"> staff</w:t>
      </w:r>
      <w:r>
        <w:t xml:space="preserve"> determine any knowledge gaps and where the provider may need additional training </w:t>
      </w:r>
      <w:r w:rsidR="00A42E8A">
        <w:t>to be adequately prepared in key areas prior to case assignment</w:t>
      </w:r>
      <w:r>
        <w:t xml:space="preserve">. </w:t>
      </w:r>
    </w:p>
    <w:p w:rsidR="008E2309" w:rsidRPr="00612784" w:rsidP="008E2309" w14:paraId="08CFB540" w14:textId="77777777"/>
    <w:p w:rsidR="008E2309" w:rsidP="008E2309" w14:paraId="236904DF" w14:textId="038DA2AC">
      <w:pPr>
        <w:pStyle w:val="Header"/>
        <w:tabs>
          <w:tab w:val="clear" w:pos="4320"/>
          <w:tab w:val="clear" w:pos="8640"/>
        </w:tabs>
      </w:pPr>
      <w:r>
        <w:t xml:space="preserve">Together these forms will </w:t>
      </w:r>
      <w:r w:rsidR="00B57C9D">
        <w:t xml:space="preserve">provide ORR’s ILSAA with information necessary to provide needed </w:t>
      </w:r>
      <w:r>
        <w:t xml:space="preserve">support </w:t>
      </w:r>
      <w:r w:rsidR="00B57C9D">
        <w:t>to</w:t>
      </w:r>
      <w:r>
        <w:t xml:space="preserve"> </w:t>
      </w:r>
      <w:r w:rsidR="003E0D1E">
        <w:t>LSPs</w:t>
      </w:r>
      <w:r>
        <w:t xml:space="preserve"> </w:t>
      </w:r>
      <w:r w:rsidR="00B57C9D">
        <w:t xml:space="preserve">to ensure EAAs have access to </w:t>
      </w:r>
      <w:r>
        <w:t>qualified</w:t>
      </w:r>
      <w:r w:rsidR="00B57C9D">
        <w:t xml:space="preserve"> providers. Specifically, ILSAA will use the information to provide</w:t>
      </w:r>
      <w:r>
        <w:t xml:space="preserve"> additional training </w:t>
      </w:r>
      <w:r w:rsidR="00FD2280">
        <w:t xml:space="preserve">that </w:t>
      </w:r>
      <w:r w:rsidR="00B57C9D">
        <w:t xml:space="preserve">providers </w:t>
      </w:r>
      <w:r>
        <w:t>need around key topics to provide high quality support to EAAs</w:t>
      </w:r>
      <w:r w:rsidR="00B57C9D">
        <w:t xml:space="preserve"> and to ensure LSPs with appropriate prior experiences are available to EAAs. </w:t>
      </w:r>
    </w:p>
    <w:p w:rsidR="00B57C9D" w:rsidP="008E2309" w14:paraId="14A06D50" w14:textId="77777777">
      <w:pPr>
        <w:pStyle w:val="Header"/>
        <w:tabs>
          <w:tab w:val="clear" w:pos="4320"/>
          <w:tab w:val="clear" w:pos="8640"/>
        </w:tabs>
      </w:pPr>
    </w:p>
    <w:p w:rsidR="00681DB6" w:rsidRPr="00003FB7" w:rsidP="00681DB6" w14:paraId="751D7F47" w14:textId="77777777">
      <w:pPr>
        <w:pStyle w:val="Heading4"/>
        <w:numPr>
          <w:ilvl w:val="3"/>
          <w:numId w:val="0"/>
        </w:numPr>
        <w:tabs>
          <w:tab w:val="num" w:pos="180"/>
        </w:tabs>
        <w:spacing w:before="60" w:line="264" w:lineRule="auto"/>
        <w:rPr>
          <w:rFonts w:ascii="Times New Roman" w:hAnsi="Times New Roman"/>
          <w:b w:val="0"/>
          <w:sz w:val="24"/>
          <w:szCs w:val="24"/>
        </w:rPr>
      </w:pPr>
      <w:r w:rsidRPr="00003FB7">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681DB6" w:rsidRPr="00B57C9D" w:rsidP="00681DB6" w14:paraId="07A8B28B" w14:textId="34DD15DB">
      <w:pPr>
        <w:pStyle w:val="ListParagraph"/>
        <w:numPr>
          <w:ilvl w:val="0"/>
          <w:numId w:val="18"/>
        </w:numPr>
        <w:ind w:left="720"/>
        <w:rPr>
          <w:sz w:val="24"/>
          <w:szCs w:val="24"/>
        </w:rPr>
      </w:pPr>
      <w:r w:rsidRPr="00B57C9D">
        <w:rPr>
          <w:sz w:val="24"/>
          <w:szCs w:val="24"/>
        </w:rPr>
        <w:t xml:space="preserve">Delivery of </w:t>
      </w:r>
      <w:r w:rsidRPr="00B57C9D">
        <w:rPr>
          <w:rFonts w:cstheme="minorHAnsi"/>
          <w:sz w:val="24"/>
          <w:szCs w:val="24"/>
        </w:rPr>
        <w:t>training or technical assistance (</w:t>
      </w:r>
      <w:r w:rsidRPr="00B57C9D">
        <w:rPr>
          <w:sz w:val="24"/>
          <w:szCs w:val="24"/>
        </w:rPr>
        <w:t xml:space="preserve">TA) related to program implementation. </w:t>
      </w:r>
    </w:p>
    <w:p w:rsidR="00681DB6" w:rsidRPr="00B57C9D" w:rsidP="00681DB6" w14:paraId="6DD639C3" w14:textId="49C18AA6">
      <w:pPr>
        <w:pStyle w:val="ListParagraph"/>
        <w:numPr>
          <w:ilvl w:val="0"/>
          <w:numId w:val="18"/>
        </w:numPr>
        <w:ind w:left="720"/>
        <w:rPr>
          <w:sz w:val="24"/>
          <w:szCs w:val="24"/>
        </w:rPr>
      </w:pPr>
      <w:r w:rsidRPr="00B57C9D">
        <w:rPr>
          <w:sz w:val="24"/>
          <w:szCs w:val="24"/>
        </w:rPr>
        <w:t>Planning for provision of programmatic T/TA.</w:t>
      </w:r>
    </w:p>
    <w:p w:rsidR="008F570D" w:rsidP="008F570D" w14:paraId="75C799A6" w14:textId="2D3D95B8">
      <w:pPr>
        <w:spacing w:after="60"/>
        <w:rPr>
          <w:b/>
          <w:i/>
        </w:rPr>
      </w:pPr>
    </w:p>
    <w:p w:rsidR="00B567A3" w:rsidP="008F570D" w14:paraId="2EA5740F" w14:textId="77777777">
      <w:pPr>
        <w:spacing w:after="60"/>
        <w:rPr>
          <w:b/>
          <w:i/>
        </w:rPr>
      </w:pPr>
    </w:p>
    <w:p w:rsidR="00984CA2" w:rsidRPr="00177982" w:rsidP="008F570D" w14:paraId="473B9418" w14:textId="38A9E22B">
      <w:pPr>
        <w:spacing w:after="60"/>
        <w:rPr>
          <w:b/>
          <w:i/>
        </w:rPr>
      </w:pPr>
      <w:r>
        <w:rPr>
          <w:b/>
          <w:i/>
        </w:rPr>
        <w:t>Process</w:t>
      </w:r>
      <w:r w:rsidR="003277CF">
        <w:rPr>
          <w:b/>
          <w:i/>
        </w:rPr>
        <w:t>es</w:t>
      </w:r>
      <w:r>
        <w:rPr>
          <w:b/>
          <w:i/>
        </w:rPr>
        <w:t xml:space="preserve"> for Information Collection </w:t>
      </w:r>
    </w:p>
    <w:p w:rsidR="00D90EF6" w:rsidP="008F570D" w14:paraId="352753BD" w14:textId="59EAD649">
      <w:r>
        <w:t xml:space="preserve">The Training Experience </w:t>
      </w:r>
      <w:r w:rsidR="00AB371C">
        <w:t>S</w:t>
      </w:r>
      <w:r>
        <w:t xml:space="preserve">urvey </w:t>
      </w:r>
      <w:r w:rsidR="007A6F03">
        <w:t xml:space="preserve">will be </w:t>
      </w:r>
      <w:r w:rsidR="00793A4F">
        <w:t xml:space="preserve">sent </w:t>
      </w:r>
      <w:r w:rsidR="00AB218C">
        <w:t xml:space="preserve">as a PDF form </w:t>
      </w:r>
      <w:r w:rsidR="00793A4F">
        <w:t>via email to</w:t>
      </w:r>
      <w:r w:rsidR="007A6F03">
        <w:t xml:space="preserve"> newly approved and vetted LSPs</w:t>
      </w:r>
      <w:r w:rsidR="00ED537D">
        <w:t xml:space="preserve">. </w:t>
      </w:r>
      <w:r w:rsidR="0098053A">
        <w:t xml:space="preserve">This will be done on a rolling basis as providers join ILSAA. </w:t>
      </w:r>
      <w:r w:rsidR="009227B4">
        <w:t xml:space="preserve">Once returned, ILSAA staff review the LSP’s prior experience and </w:t>
      </w:r>
      <w:r w:rsidR="00313DE8">
        <w:t xml:space="preserve">provide a tailored Topic-Based Assessment for areas where they have prior experience and </w:t>
      </w:r>
      <w:r w:rsidR="00136B63">
        <w:t>provide</w:t>
      </w:r>
      <w:r w:rsidR="00313DE8">
        <w:t xml:space="preserve"> training</w:t>
      </w:r>
      <w:r w:rsidR="00ED25D0">
        <w:t xml:space="preserve"> for areas where they do not have prior experience.</w:t>
      </w:r>
    </w:p>
    <w:p w:rsidR="00ED537D" w:rsidP="008F570D" w14:paraId="4F9AD447" w14:textId="6F2BE70B"/>
    <w:p w:rsidR="00ED537D" w:rsidP="008F570D" w14:paraId="2387B752" w14:textId="175EA890">
      <w:r>
        <w:t xml:space="preserve">The </w:t>
      </w:r>
      <w:r w:rsidR="004C2E4D">
        <w:t xml:space="preserve">tailored </w:t>
      </w:r>
      <w:r>
        <w:t xml:space="preserve">Topic-Based Knowledge </w:t>
      </w:r>
      <w:r w:rsidR="008120AC">
        <w:t xml:space="preserve">Assessment will be sent </w:t>
      </w:r>
      <w:r w:rsidR="00040318">
        <w:t>via</w:t>
      </w:r>
      <w:r w:rsidR="008120AC">
        <w:t xml:space="preserve"> email to LSPs after they have completed the Training Experience Survey.</w:t>
      </w:r>
      <w:r w:rsidR="004C2E4D">
        <w:t xml:space="preserve"> </w:t>
      </w:r>
      <w:r w:rsidR="00443849">
        <w:t xml:space="preserve">Once </w:t>
      </w:r>
      <w:r w:rsidR="00492E4D">
        <w:t xml:space="preserve">ILSAA’s Learning Management System (LMS) is implemented, the Topic-Based Assessment will be </w:t>
      </w:r>
      <w:r w:rsidR="00ED25D0">
        <w:t>provided</w:t>
      </w:r>
      <w:r w:rsidR="00492E4D">
        <w:t xml:space="preserve"> and completed within the LMS.</w:t>
      </w:r>
      <w:r w:rsidR="00CE4F94">
        <w:t xml:space="preserve"> If the LSP successfully completes the assessment, they </w:t>
      </w:r>
      <w:r w:rsidR="00136B63">
        <w:t>will start providing services to EAAs.</w:t>
      </w:r>
      <w:r w:rsidR="00C95A25">
        <w:t xml:space="preserve"> If they do not successfully complete the assessment, </w:t>
      </w:r>
      <w:r w:rsidR="00136B63">
        <w:t xml:space="preserve">they </w:t>
      </w:r>
      <w:r w:rsidR="00C15F59">
        <w:t xml:space="preserve">will be </w:t>
      </w:r>
      <w:r w:rsidR="00136B63">
        <w:t>provided with additional training prior to provid</w:t>
      </w:r>
      <w:r w:rsidR="00ED25D0">
        <w:t>ing</w:t>
      </w:r>
      <w:r w:rsidR="00136B63">
        <w:t xml:space="preserve"> services to EAAs on behalf of ILSAA. This is to support efforts to provide high quality services to EAAs on behalf of ILSAA.</w:t>
      </w:r>
      <w:r w:rsidR="00CE4F94">
        <w:t xml:space="preserve"> </w:t>
      </w:r>
      <w:r w:rsidR="008120AC">
        <w:t xml:space="preserve"> </w:t>
      </w:r>
    </w:p>
    <w:p w:rsidR="002338AC" w:rsidP="008F570D" w14:paraId="40C43AD9" w14:textId="7B6BBB40">
      <w:pPr>
        <w:ind w:left="180"/>
        <w:rPr>
          <w:b/>
          <w:i/>
        </w:rPr>
      </w:pPr>
    </w:p>
    <w:p w:rsidR="0098053A" w:rsidP="008F570D" w14:paraId="6EFB7C0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P="008F570D" w14:paraId="5934C206" w14:textId="5C257400">
      <w:r>
        <w:t xml:space="preserve">The Training Experience Survey and Topic-Based Knowledge Assessment will be sent through email to be electronically completed. </w:t>
      </w:r>
    </w:p>
    <w:p w:rsidR="005046F0" w:rsidP="008F570D" w14:paraId="5804584A" w14:textId="379AED60">
      <w:pPr>
        <w:ind w:left="360"/>
      </w:pPr>
    </w:p>
    <w:p w:rsidR="0098053A" w:rsidP="008F570D" w14:paraId="4D9154A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P="008F570D" w14:paraId="1E23D79E" w14:textId="2AB80DE3">
      <w:r>
        <w:t xml:space="preserve">No other data collection exists that </w:t>
      </w:r>
      <w:r w:rsidR="0098053A">
        <w:t xml:space="preserve">provides the specific information about </w:t>
      </w:r>
      <w:r>
        <w:t>LSP knowledge and experience</w:t>
      </w:r>
      <w:r w:rsidR="0098053A">
        <w:t xml:space="preserve"> needed for ILSAA to provide appropriate support</w:t>
      </w:r>
      <w:r>
        <w:t xml:space="preserve">. </w:t>
      </w:r>
    </w:p>
    <w:p w:rsidR="005046F0" w:rsidP="0098053A" w14:paraId="601390DA" w14:textId="77777777">
      <w:pPr>
        <w:ind w:left="360"/>
      </w:pPr>
    </w:p>
    <w:p w:rsidR="00436F5E" w:rsidP="007A1ECB" w14:paraId="69A8EDD5" w14:textId="77777777">
      <w:pPr>
        <w:rPr>
          <w:b/>
        </w:rPr>
      </w:pPr>
    </w:p>
    <w:p w:rsidR="00945CD6" w:rsidP="008F570D" w14:paraId="10B90123" w14:textId="77777777">
      <w:pPr>
        <w:spacing w:after="120"/>
        <w:rPr>
          <w:b/>
        </w:rPr>
      </w:pPr>
      <w:r>
        <w:rPr>
          <w:b/>
        </w:rPr>
        <w:t xml:space="preserve">A5. </w:t>
      </w:r>
      <w:r w:rsidRPr="0072204D">
        <w:rPr>
          <w:b/>
        </w:rPr>
        <w:t>Involvement of Small Organizations</w:t>
      </w:r>
    </w:p>
    <w:p w:rsidR="00EA1DEF" w:rsidRPr="00EA1DEF" w:rsidP="007A1ECB" w14:paraId="39AACA19" w14:textId="583AE9AE">
      <w:pPr>
        <w:rPr>
          <w:bCs/>
        </w:rPr>
      </w:pPr>
      <w:r>
        <w:rPr>
          <w:bCs/>
        </w:rPr>
        <w:t>LSPs may include</w:t>
      </w:r>
      <w:r w:rsidRPr="00EA1DEF">
        <w:rPr>
          <w:bCs/>
        </w:rPr>
        <w:t xml:space="preserve"> small businesses.</w:t>
      </w:r>
      <w:r w:rsidR="00864CB9">
        <w:rPr>
          <w:bCs/>
        </w:rPr>
        <w:t xml:space="preserve"> The collection is online and of minimal burden to give only the information necessary to ensure that the LSPs are qualified to provide service prior to referrals.</w:t>
      </w:r>
    </w:p>
    <w:p w:rsidR="00D90EF6" w:rsidP="008F570D" w14:paraId="12FF1FE5" w14:textId="77777777"/>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7E89940" w14:textId="25054E19">
      <w:r>
        <w:t xml:space="preserve">This is a one-time data collection. </w:t>
      </w:r>
    </w:p>
    <w:p w:rsidR="00D90EF6" w:rsidP="008F570D" w14:paraId="214C03B2" w14:textId="77777777"/>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075A7F">
        <w:rPr>
          <w:sz w:val="22"/>
          <w:szCs w:val="22"/>
        </w:rPr>
        <w:t>There are no special circumstances for the proposed data collection efforts.</w:t>
      </w:r>
    </w:p>
    <w:p w:rsidR="00BE7952" w:rsidP="008F570D" w14:paraId="08207C8B" w14:textId="77777777"/>
    <w:p w:rsidR="00D90EF6" w:rsidP="008F570D" w14:paraId="6156892E" w14:textId="6BFEAB85">
      <w:pPr>
        <w:rPr>
          <w:b/>
        </w:rPr>
      </w:pPr>
    </w:p>
    <w:p w:rsidR="00B567A3" w:rsidP="008F570D" w14:paraId="240701C2" w14:textId="3BDB2D71">
      <w:pPr>
        <w:rPr>
          <w:b/>
        </w:rPr>
      </w:pPr>
    </w:p>
    <w:p w:rsidR="00B567A3" w:rsidP="008F570D" w14:paraId="626B2A34"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6175F2D8">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98053A" w:rsidP="00204A6A" w14:paraId="04F23E56" w14:textId="77777777"/>
    <w:p w:rsidR="00B91D97" w:rsidRPr="00B91D97" w:rsidP="006E7E63"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E72E9A" w:rsidP="008F570D" w14:paraId="3262E2E8" w14:textId="4CBD658B">
      <w:pPr>
        <w:rPr>
          <w:highlight w:val="yellow"/>
        </w:rPr>
      </w:pPr>
      <w:r w:rsidRPr="00970249">
        <w:t>No consultations have taken place with experts outside of the project team.</w:t>
      </w:r>
    </w:p>
    <w:p w:rsidR="00D90EF6" w:rsidP="008F570D" w14:paraId="16A7A923" w14:textId="1FD6AE96">
      <w:pPr>
        <w:rPr>
          <w:b/>
        </w:rPr>
      </w:pPr>
    </w:p>
    <w:p w:rsidR="0098053A" w:rsidP="008F570D" w14:paraId="09F464F2"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D940F5">
        <w:t xml:space="preserve">No </w:t>
      </w:r>
      <w:r w:rsidRPr="00D940F5" w:rsidR="00542413">
        <w:t>tokens of appreciation</w:t>
      </w:r>
      <w:r w:rsidRPr="00D940F5">
        <w:t xml:space="preserve"> for</w:t>
      </w:r>
      <w:r w:rsidRPr="00D940F5" w:rsidR="00BE7952">
        <w:t xml:space="preserve"> respondents are proposed for this information collection.</w:t>
      </w:r>
    </w:p>
    <w:p w:rsidR="004222F8" w:rsidP="0098053A" w14:paraId="7605E87D" w14:textId="54187B70">
      <w:pPr>
        <w:rPr>
          <w:b/>
        </w:rPr>
      </w:pPr>
    </w:p>
    <w:p w:rsidR="0098053A" w:rsidP="006E7E63" w14:paraId="4A4455DF" w14:textId="77777777">
      <w:pPr>
        <w:rPr>
          <w:b/>
        </w:rPr>
      </w:pPr>
    </w:p>
    <w:p w:rsidR="004222F8" w:rsidRPr="0072204D" w:rsidP="008F570D" w14:paraId="5BB4F440" w14:textId="77777777">
      <w:pPr>
        <w:spacing w:after="120"/>
        <w:rPr>
          <w:b/>
        </w:rPr>
      </w:pPr>
      <w:r>
        <w:rPr>
          <w:b/>
        </w:rPr>
        <w:t>A10. Privacy</w:t>
      </w:r>
      <w:r w:rsidRPr="0072204D">
        <w:rPr>
          <w:b/>
        </w:rPr>
        <w:t xml:space="preserve"> of Respondents</w:t>
      </w:r>
    </w:p>
    <w:p w:rsidR="00C15F59" w:rsidP="00C15F59" w14:paraId="5615D236" w14:textId="257559D5">
      <w:pPr>
        <w:widowControl w:val="0"/>
        <w:autoSpaceDE w:val="0"/>
        <w:autoSpaceDN w:val="0"/>
        <w:adjustRightInd w:val="0"/>
      </w:pPr>
      <w:r>
        <w:t>LSP name, organization, email address, and phone number will be collected on the Training Experience Survey for the purpose of communicating with the LSP regarding their results and training to be provided. No additional personally identifiable information (PII) will be collected on the Topic-Based Knowledge Assessment.</w:t>
      </w:r>
    </w:p>
    <w:p w:rsidR="00C15F59" w:rsidP="00C15F59" w14:paraId="5293599C" w14:textId="77777777">
      <w:pPr>
        <w:widowControl w:val="0"/>
        <w:autoSpaceDE w:val="0"/>
        <w:autoSpaceDN w:val="0"/>
        <w:adjustRightInd w:val="0"/>
      </w:pPr>
    </w:p>
    <w:p w:rsidR="004222F8" w:rsidP="008F570D" w14:paraId="480B2A5E" w14:textId="286A922F">
      <w:pPr>
        <w:widowControl w:val="0"/>
        <w:autoSpaceDE w:val="0"/>
        <w:autoSpaceDN w:val="0"/>
        <w:adjustRightInd w:val="0"/>
      </w:pPr>
      <w:r w:rsidRPr="00436F5E">
        <w:t>Information collected will be kept private to the extent permitted by law. Respondents will be informed of all planned uses of data</w:t>
      </w:r>
      <w:r w:rsidR="002567A4">
        <w:t xml:space="preserve"> </w:t>
      </w:r>
      <w:r w:rsidR="00CD5ABE">
        <w:t xml:space="preserve">including use of data to inform assignment of cases to them for service provision based on their experience and knowledge. Any PII will be removed prior to analysis for aggregation or summary reporting. </w:t>
      </w:r>
    </w:p>
    <w:p w:rsidR="00C33244" w:rsidRPr="00436F5E" w:rsidP="008F570D" w14:paraId="3EBA46F5" w14:textId="77777777">
      <w:pPr>
        <w:widowControl w:val="0"/>
        <w:autoSpaceDE w:val="0"/>
        <w:autoSpaceDN w:val="0"/>
        <w:adjustRightInd w:val="0"/>
      </w:pP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3D385C">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P="008F570D" w14:paraId="45B923F3" w14:textId="5ECAF406">
      <w:r>
        <w:t xml:space="preserve">Burden for the Training </w:t>
      </w:r>
      <w:r w:rsidR="00C93450">
        <w:t>Experience Survey was calculated based</w:t>
      </w:r>
      <w:r w:rsidR="002B32F4">
        <w:t xml:space="preserve"> on an</w:t>
      </w:r>
      <w:r w:rsidR="00CD5ABE">
        <w:t xml:space="preserve"> </w:t>
      </w:r>
      <w:r w:rsidR="002B32F4">
        <w:t>estimate of 60 LSPs and</w:t>
      </w:r>
      <w:r w:rsidR="00C93450">
        <w:t xml:space="preserve"> the time it would take an indiv</w:t>
      </w:r>
      <w:r w:rsidR="006609BA">
        <w:t xml:space="preserve">idual LSP to take the survey and provide response. </w:t>
      </w:r>
      <w:r w:rsidR="00864CB9">
        <w:t xml:space="preserve">Each </w:t>
      </w:r>
      <w:r w:rsidR="00864CB9">
        <w:t xml:space="preserve">instrument was </w:t>
      </w:r>
      <w:r w:rsidR="00153E95">
        <w:t>completed by</w:t>
      </w:r>
      <w:r w:rsidR="00864CB9">
        <w:t xml:space="preserve"> </w:t>
      </w:r>
      <w:r w:rsidR="0098053A">
        <w:t xml:space="preserve">fewer than 10 </w:t>
      </w:r>
      <w:r w:rsidR="00864CB9">
        <w:t xml:space="preserve">ILSAA staff to </w:t>
      </w:r>
      <w:r w:rsidR="009B0D02">
        <w:t xml:space="preserve">determine </w:t>
      </w:r>
      <w:r w:rsidR="00864CB9">
        <w:t xml:space="preserve">a realistic estimate of the expected time </w:t>
      </w:r>
      <w:r w:rsidR="009B0D02">
        <w:t xml:space="preserve">for respondents </w:t>
      </w:r>
      <w:r w:rsidR="00864CB9">
        <w:t>to complete.</w:t>
      </w:r>
    </w:p>
    <w:p w:rsidR="006609BA" w:rsidP="008F570D" w14:paraId="6C9FD63B" w14:textId="77777777"/>
    <w:p w:rsidR="00864CB9" w:rsidP="00864CB9" w14:paraId="2979B88E" w14:textId="4A22A8C9">
      <w:r>
        <w:t xml:space="preserve">The burden calculation for the Topic-Based Knowledge Assessment was </w:t>
      </w:r>
      <w:r w:rsidR="00AE0FB3">
        <w:t xml:space="preserve">calculated based on </w:t>
      </w:r>
      <w:r w:rsidR="002B32F4">
        <w:t>an</w:t>
      </w:r>
      <w:r w:rsidR="00CD5ABE">
        <w:t xml:space="preserve"> </w:t>
      </w:r>
      <w:r w:rsidR="002B32F4">
        <w:t>estimate of 60 LSPs and</w:t>
      </w:r>
      <w:r w:rsidR="00AE0FB3">
        <w:t xml:space="preserve"> the time it would take one LSP to </w:t>
      </w:r>
      <w:r w:rsidR="002B32F4">
        <w:t>complete</w:t>
      </w:r>
      <w:r w:rsidR="00AE0FB3">
        <w:t xml:space="preserve"> the assessment and submit. </w:t>
      </w:r>
      <w:r>
        <w:t xml:space="preserve">Each instrument was </w:t>
      </w:r>
      <w:r w:rsidR="005D7840">
        <w:t>completed by</w:t>
      </w:r>
      <w:r>
        <w:t xml:space="preserve"> </w:t>
      </w:r>
      <w:r w:rsidR="0098053A">
        <w:t xml:space="preserve">fewer than 10 </w:t>
      </w:r>
      <w:r>
        <w:t xml:space="preserve">ILSAA staff to </w:t>
      </w:r>
      <w:r w:rsidR="009B0D02">
        <w:t xml:space="preserve">determine </w:t>
      </w:r>
      <w:r>
        <w:t xml:space="preserve">a realistic estimate of the expected time </w:t>
      </w:r>
      <w:r w:rsidR="009B0D02">
        <w:t xml:space="preserve">for respondents </w:t>
      </w:r>
      <w:r>
        <w:t>to complete.</w:t>
      </w:r>
    </w:p>
    <w:p w:rsidR="00542413" w:rsidRPr="00542413" w:rsidP="008F570D" w14:paraId="53AD5D50" w14:textId="77777777">
      <w:pPr>
        <w:rPr>
          <w:b/>
          <w:bCs/>
          <w:i/>
          <w:iCs/>
        </w:rPr>
      </w:pPr>
    </w:p>
    <w:p w:rsidR="00542413" w:rsidRPr="002F3EDE" w:rsidP="00542413" w14:paraId="6CBE253C" w14:textId="16147A58">
      <w:pPr>
        <w:spacing w:after="60"/>
        <w:rPr>
          <w:b/>
          <w:i/>
        </w:rPr>
      </w:pPr>
      <w:r w:rsidRPr="002F3EDE">
        <w:rPr>
          <w:b/>
          <w:i/>
        </w:rPr>
        <w:t>Cos</w:t>
      </w:r>
      <w:r>
        <w:rPr>
          <w:b/>
          <w:i/>
        </w:rPr>
        <w:t>t Estimates</w:t>
      </w:r>
    </w:p>
    <w:p w:rsidR="0033072C" w:rsidRPr="00EC26A5" w:rsidP="0033072C" w14:paraId="59A18AED" w14:textId="2BE07899">
      <w:r w:rsidRPr="00EC26A5">
        <w:t xml:space="preserve">The cost to respondents was calculated using the Bureau of Labor Statistics (BLS) job code for </w:t>
      </w:r>
      <w:r w:rsidR="00702DF7">
        <w:t>Lawyers</w:t>
      </w:r>
      <w:r w:rsidRPr="00EC26A5">
        <w:t xml:space="preserve"> [</w:t>
      </w:r>
      <w:r w:rsidR="00A2255B">
        <w:t>23-1011</w:t>
      </w:r>
      <w:r w:rsidRPr="00EC26A5">
        <w:t>] and wage data from May 20</w:t>
      </w:r>
      <w:r>
        <w:t>2</w:t>
      </w:r>
      <w:r w:rsidR="00366825">
        <w:t>2</w:t>
      </w:r>
      <w:r w:rsidRPr="00EC26A5">
        <w:t>, which is $</w:t>
      </w:r>
      <w:r w:rsidR="004710D3">
        <w:t>78.74</w:t>
      </w:r>
      <w:r w:rsidRPr="00EC26A5">
        <w:t xml:space="preserve"> per hour. To account for fringe benefits and overhead the rate was multiplied by </w:t>
      </w:r>
      <w:r w:rsidRPr="00EC26A5" w:rsidR="006D3853">
        <w:t>two,</w:t>
      </w:r>
      <w:r w:rsidRPr="00EC26A5">
        <w:t xml:space="preserve"> which is $</w:t>
      </w:r>
      <w:r w:rsidR="00312A06">
        <w:t>157.48</w:t>
      </w:r>
      <w:r w:rsidRPr="00EC26A5">
        <w:t xml:space="preserve">.  </w:t>
      </w:r>
    </w:p>
    <w:p w:rsidR="0033072C" w:rsidRPr="00EC26A5" w:rsidP="0033072C" w14:paraId="255B87E2" w14:textId="77777777">
      <w:pPr>
        <w:ind w:left="360"/>
        <w:rPr>
          <w:sz w:val="32"/>
        </w:rPr>
      </w:pPr>
      <w:hyperlink r:id="rId8"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1239"/>
        <w:gridCol w:w="1161"/>
        <w:gridCol w:w="1101"/>
        <w:gridCol w:w="1186"/>
        <w:gridCol w:w="894"/>
        <w:gridCol w:w="1116"/>
      </w:tblGrid>
      <w:tr w14:paraId="3DDE53E5" w14:textId="77777777" w:rsidTr="008A72BF">
        <w:tblPrEx>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07" w:type="dxa"/>
            <w:shd w:val="clear" w:color="auto" w:fill="BFBFBF"/>
            <w:vAlign w:val="center"/>
          </w:tcPr>
          <w:p w:rsidR="00542413" w:rsidRPr="005E24C5" w:rsidP="008F570D" w14:paraId="2381BB0C" w14:textId="77777777">
            <w:pPr>
              <w:jc w:val="center"/>
              <w:rPr>
                <w:sz w:val="20"/>
                <w:szCs w:val="20"/>
              </w:rPr>
            </w:pPr>
            <w:r w:rsidRPr="005E24C5">
              <w:rPr>
                <w:sz w:val="20"/>
                <w:szCs w:val="20"/>
              </w:rPr>
              <w:t>Instrument</w:t>
            </w:r>
          </w:p>
        </w:tc>
        <w:tc>
          <w:tcPr>
            <w:tcW w:w="1239" w:type="dxa"/>
            <w:shd w:val="clear" w:color="auto" w:fill="BFBFBF"/>
            <w:vAlign w:val="center"/>
          </w:tcPr>
          <w:p w:rsidR="00542413" w:rsidRPr="005E24C5" w:rsidP="008F570D" w14:paraId="42F19101" w14:textId="77777777">
            <w:pPr>
              <w:jc w:val="center"/>
              <w:rPr>
                <w:sz w:val="20"/>
                <w:szCs w:val="20"/>
              </w:rPr>
            </w:pPr>
            <w:r w:rsidRPr="005E24C5">
              <w:rPr>
                <w:sz w:val="20"/>
                <w:szCs w:val="20"/>
              </w:rPr>
              <w:t>Total Number of Respondents</w:t>
            </w:r>
          </w:p>
        </w:tc>
        <w:tc>
          <w:tcPr>
            <w:tcW w:w="1161" w:type="dxa"/>
            <w:shd w:val="clear" w:color="auto" w:fill="BFBFBF"/>
            <w:vAlign w:val="center"/>
          </w:tcPr>
          <w:p w:rsidR="00542413" w:rsidRPr="005E24C5" w:rsidP="008F570D" w14:paraId="714F2F09" w14:textId="4691739D">
            <w:pPr>
              <w:jc w:val="center"/>
              <w:rPr>
                <w:sz w:val="20"/>
                <w:szCs w:val="20"/>
              </w:rPr>
            </w:pPr>
            <w:r w:rsidRPr="005E24C5">
              <w:rPr>
                <w:sz w:val="20"/>
                <w:szCs w:val="20"/>
              </w:rPr>
              <w:t>Total Number of Responses Per Respondent</w:t>
            </w:r>
          </w:p>
        </w:tc>
        <w:tc>
          <w:tcPr>
            <w:tcW w:w="1101" w:type="dxa"/>
            <w:shd w:val="clear" w:color="auto" w:fill="BFBFBF"/>
            <w:vAlign w:val="center"/>
          </w:tcPr>
          <w:p w:rsidR="00542413" w:rsidRPr="005E24C5" w:rsidP="008F570D" w14:paraId="05CC723F" w14:textId="77777777">
            <w:pPr>
              <w:jc w:val="center"/>
              <w:rPr>
                <w:sz w:val="20"/>
                <w:szCs w:val="20"/>
              </w:rPr>
            </w:pPr>
            <w:r w:rsidRPr="005E24C5">
              <w:rPr>
                <w:sz w:val="20"/>
                <w:szCs w:val="20"/>
              </w:rPr>
              <w:t>Average Burden Hours Per Response</w:t>
            </w:r>
          </w:p>
        </w:tc>
        <w:tc>
          <w:tcPr>
            <w:tcW w:w="1186" w:type="dxa"/>
            <w:shd w:val="clear" w:color="auto" w:fill="BFBFBF"/>
            <w:vAlign w:val="center"/>
          </w:tcPr>
          <w:p w:rsidR="00542413" w:rsidRPr="005E24C5" w:rsidP="00542413" w14:paraId="110C4AE5" w14:textId="77777777">
            <w:pPr>
              <w:jc w:val="center"/>
              <w:rPr>
                <w:bCs/>
                <w:sz w:val="20"/>
                <w:szCs w:val="20"/>
              </w:rPr>
            </w:pPr>
            <w:r w:rsidRPr="005E24C5">
              <w:rPr>
                <w:bCs/>
                <w:sz w:val="20"/>
                <w:szCs w:val="20"/>
              </w:rPr>
              <w:t>Total</w:t>
            </w:r>
          </w:p>
          <w:p w:rsidR="00542413" w:rsidRPr="005E24C5" w:rsidP="00542413" w14:paraId="1F591B58" w14:textId="47332B2D">
            <w:pPr>
              <w:jc w:val="center"/>
              <w:rPr>
                <w:bCs/>
                <w:sz w:val="20"/>
                <w:szCs w:val="20"/>
              </w:rPr>
            </w:pPr>
            <w:r w:rsidRPr="005E24C5">
              <w:rPr>
                <w:bCs/>
                <w:sz w:val="20"/>
                <w:szCs w:val="20"/>
              </w:rPr>
              <w:t>Burden Hours</w:t>
            </w:r>
          </w:p>
        </w:tc>
        <w:tc>
          <w:tcPr>
            <w:tcW w:w="894" w:type="dxa"/>
            <w:shd w:val="clear" w:color="auto" w:fill="BFBFBF"/>
            <w:vAlign w:val="center"/>
          </w:tcPr>
          <w:p w:rsidR="00542413" w:rsidRPr="005E24C5" w:rsidP="008F570D" w14:paraId="45DFE675" w14:textId="77777777">
            <w:pPr>
              <w:jc w:val="center"/>
              <w:rPr>
                <w:sz w:val="20"/>
                <w:szCs w:val="20"/>
              </w:rPr>
            </w:pPr>
            <w:r w:rsidRPr="005E24C5">
              <w:rPr>
                <w:bCs/>
                <w:sz w:val="20"/>
                <w:szCs w:val="20"/>
              </w:rPr>
              <w:t>Average Hourly Wage</w:t>
            </w:r>
          </w:p>
        </w:tc>
        <w:tc>
          <w:tcPr>
            <w:tcW w:w="1116" w:type="dxa"/>
            <w:shd w:val="clear" w:color="auto" w:fill="BFBFBF"/>
            <w:vAlign w:val="center"/>
          </w:tcPr>
          <w:p w:rsidR="00542413" w:rsidRPr="005E24C5" w:rsidP="008F570D" w14:paraId="39990194" w14:textId="77777777">
            <w:pPr>
              <w:jc w:val="center"/>
              <w:rPr>
                <w:sz w:val="20"/>
                <w:szCs w:val="20"/>
              </w:rPr>
            </w:pPr>
            <w:r w:rsidRPr="005E24C5">
              <w:rPr>
                <w:bCs/>
                <w:sz w:val="20"/>
                <w:szCs w:val="20"/>
              </w:rPr>
              <w:t>Total Annual Cost</w:t>
            </w:r>
          </w:p>
        </w:tc>
      </w:tr>
      <w:tr w14:paraId="7CE63E36" w14:textId="77777777" w:rsidTr="008A72BF">
        <w:tblPrEx>
          <w:tblW w:w="9304" w:type="dxa"/>
          <w:jc w:val="center"/>
          <w:tblLook w:val="00A0"/>
        </w:tblPrEx>
        <w:trPr>
          <w:trHeight w:val="432"/>
          <w:jc w:val="center"/>
        </w:trPr>
        <w:tc>
          <w:tcPr>
            <w:tcW w:w="2607" w:type="dxa"/>
            <w:vAlign w:val="center"/>
          </w:tcPr>
          <w:p w:rsidR="00542413" w:rsidRPr="005E24C5" w:rsidP="008F570D" w14:paraId="15455CD3" w14:textId="7354E2DE">
            <w:pPr>
              <w:tabs>
                <w:tab w:val="center" w:pos="4320"/>
                <w:tab w:val="right" w:pos="8640"/>
              </w:tabs>
              <w:rPr>
                <w:sz w:val="20"/>
                <w:szCs w:val="20"/>
              </w:rPr>
            </w:pPr>
            <w:r w:rsidRPr="008A72BF">
              <w:rPr>
                <w:sz w:val="20"/>
                <w:szCs w:val="20"/>
              </w:rPr>
              <w:t>ILSAA Training Experience Survey</w:t>
            </w:r>
          </w:p>
        </w:tc>
        <w:tc>
          <w:tcPr>
            <w:tcW w:w="1239" w:type="dxa"/>
            <w:vAlign w:val="center"/>
          </w:tcPr>
          <w:p w:rsidR="00542413" w:rsidRPr="005E24C5" w:rsidP="008F570D" w14:paraId="2106BBF5" w14:textId="5E6D80AB">
            <w:pPr>
              <w:tabs>
                <w:tab w:val="center" w:pos="4320"/>
                <w:tab w:val="right" w:pos="8640"/>
              </w:tabs>
              <w:jc w:val="center"/>
              <w:rPr>
                <w:sz w:val="20"/>
                <w:szCs w:val="20"/>
                <w:highlight w:val="yellow"/>
              </w:rPr>
            </w:pPr>
            <w:r w:rsidRPr="005E24C5">
              <w:rPr>
                <w:sz w:val="20"/>
                <w:szCs w:val="20"/>
              </w:rPr>
              <w:t>60</w:t>
            </w:r>
          </w:p>
        </w:tc>
        <w:tc>
          <w:tcPr>
            <w:tcW w:w="1161" w:type="dxa"/>
            <w:vAlign w:val="center"/>
          </w:tcPr>
          <w:p w:rsidR="00542413" w:rsidRPr="005E24C5" w:rsidP="008F570D" w14:paraId="402332F4" w14:textId="376C2E20">
            <w:pPr>
              <w:tabs>
                <w:tab w:val="center" w:pos="4320"/>
                <w:tab w:val="right" w:pos="8640"/>
              </w:tabs>
              <w:jc w:val="center"/>
              <w:rPr>
                <w:sz w:val="20"/>
                <w:szCs w:val="20"/>
              </w:rPr>
            </w:pPr>
            <w:r w:rsidRPr="005E24C5">
              <w:rPr>
                <w:sz w:val="20"/>
                <w:szCs w:val="20"/>
              </w:rPr>
              <w:t>1</w:t>
            </w:r>
          </w:p>
        </w:tc>
        <w:tc>
          <w:tcPr>
            <w:tcW w:w="1101" w:type="dxa"/>
            <w:vAlign w:val="center"/>
          </w:tcPr>
          <w:p w:rsidR="00542413" w:rsidRPr="005E24C5" w:rsidP="008F570D" w14:paraId="2166A45E" w14:textId="49E6F744">
            <w:pPr>
              <w:tabs>
                <w:tab w:val="center" w:pos="4320"/>
                <w:tab w:val="right" w:pos="8640"/>
              </w:tabs>
              <w:jc w:val="center"/>
              <w:rPr>
                <w:sz w:val="20"/>
                <w:szCs w:val="20"/>
              </w:rPr>
            </w:pPr>
            <w:r w:rsidRPr="005E24C5">
              <w:rPr>
                <w:sz w:val="20"/>
                <w:szCs w:val="20"/>
              </w:rPr>
              <w:t>0.2</w:t>
            </w:r>
          </w:p>
        </w:tc>
        <w:tc>
          <w:tcPr>
            <w:tcW w:w="1186" w:type="dxa"/>
            <w:vAlign w:val="center"/>
          </w:tcPr>
          <w:p w:rsidR="00601690" w:rsidRPr="005E24C5" w:rsidP="005E24C5" w14:paraId="5A6C5F6C" w14:textId="671F574E">
            <w:pPr>
              <w:tabs>
                <w:tab w:val="center" w:pos="4320"/>
                <w:tab w:val="right" w:pos="8640"/>
              </w:tabs>
              <w:jc w:val="center"/>
              <w:rPr>
                <w:sz w:val="20"/>
                <w:szCs w:val="20"/>
              </w:rPr>
            </w:pPr>
            <w:r w:rsidRPr="005E24C5">
              <w:rPr>
                <w:sz w:val="20"/>
                <w:szCs w:val="20"/>
              </w:rPr>
              <w:t>12</w:t>
            </w:r>
          </w:p>
        </w:tc>
        <w:tc>
          <w:tcPr>
            <w:tcW w:w="894" w:type="dxa"/>
            <w:vAlign w:val="center"/>
          </w:tcPr>
          <w:p w:rsidR="00542413" w:rsidRPr="005E24C5" w:rsidP="008F570D" w14:paraId="4C12A145" w14:textId="66E1F938">
            <w:pPr>
              <w:tabs>
                <w:tab w:val="center" w:pos="4320"/>
                <w:tab w:val="right" w:pos="8640"/>
              </w:tabs>
              <w:jc w:val="center"/>
              <w:rPr>
                <w:sz w:val="20"/>
                <w:szCs w:val="20"/>
              </w:rPr>
            </w:pPr>
            <w:r w:rsidRPr="005E24C5">
              <w:rPr>
                <w:sz w:val="20"/>
                <w:szCs w:val="20"/>
              </w:rPr>
              <w:t>$</w:t>
            </w:r>
            <w:r w:rsidRPr="005E24C5" w:rsidR="00312A06">
              <w:rPr>
                <w:sz w:val="20"/>
                <w:szCs w:val="20"/>
              </w:rPr>
              <w:t>157.48</w:t>
            </w:r>
          </w:p>
        </w:tc>
        <w:tc>
          <w:tcPr>
            <w:tcW w:w="1116" w:type="dxa"/>
            <w:vAlign w:val="center"/>
          </w:tcPr>
          <w:p w:rsidR="00542413" w:rsidRPr="005E24C5" w:rsidP="008F570D" w14:paraId="01C1A511" w14:textId="0622C133">
            <w:pPr>
              <w:tabs>
                <w:tab w:val="center" w:pos="4320"/>
                <w:tab w:val="right" w:pos="8640"/>
              </w:tabs>
              <w:jc w:val="center"/>
              <w:rPr>
                <w:sz w:val="20"/>
                <w:szCs w:val="20"/>
              </w:rPr>
            </w:pPr>
            <w:r w:rsidRPr="005E24C5">
              <w:rPr>
                <w:sz w:val="20"/>
                <w:szCs w:val="20"/>
              </w:rPr>
              <w:t>$</w:t>
            </w:r>
            <w:r w:rsidRPr="005E24C5" w:rsidR="00D15D93">
              <w:rPr>
                <w:sz w:val="20"/>
                <w:szCs w:val="20"/>
              </w:rPr>
              <w:t>1,889.76</w:t>
            </w:r>
          </w:p>
        </w:tc>
      </w:tr>
      <w:tr w14:paraId="79082FA8" w14:textId="77777777" w:rsidTr="008A72BF">
        <w:tblPrEx>
          <w:tblW w:w="9304" w:type="dxa"/>
          <w:jc w:val="center"/>
          <w:tblLook w:val="00A0"/>
        </w:tblPrEx>
        <w:trPr>
          <w:trHeight w:val="432"/>
          <w:jc w:val="center"/>
        </w:trPr>
        <w:tc>
          <w:tcPr>
            <w:tcW w:w="2607" w:type="dxa"/>
            <w:vAlign w:val="center"/>
          </w:tcPr>
          <w:p w:rsidR="00542413" w:rsidRPr="005E24C5" w:rsidP="008F570D" w14:paraId="27ED90F0" w14:textId="68271695">
            <w:pPr>
              <w:tabs>
                <w:tab w:val="center" w:pos="4320"/>
                <w:tab w:val="right" w:pos="8640"/>
              </w:tabs>
              <w:rPr>
                <w:sz w:val="20"/>
                <w:szCs w:val="20"/>
              </w:rPr>
            </w:pPr>
            <w:r w:rsidRPr="008A72BF">
              <w:rPr>
                <w:sz w:val="20"/>
                <w:szCs w:val="20"/>
              </w:rPr>
              <w:t>ILSAA Topic-Based Knowledge Assessment</w:t>
            </w:r>
          </w:p>
        </w:tc>
        <w:tc>
          <w:tcPr>
            <w:tcW w:w="1239" w:type="dxa"/>
            <w:vAlign w:val="center"/>
          </w:tcPr>
          <w:p w:rsidR="00542413" w:rsidRPr="005E24C5" w:rsidP="008F570D" w14:paraId="5FDE0035" w14:textId="2C5E443A">
            <w:pPr>
              <w:tabs>
                <w:tab w:val="center" w:pos="4320"/>
                <w:tab w:val="right" w:pos="8640"/>
              </w:tabs>
              <w:jc w:val="center"/>
              <w:rPr>
                <w:sz w:val="20"/>
                <w:szCs w:val="20"/>
                <w:highlight w:val="yellow"/>
              </w:rPr>
            </w:pPr>
            <w:r w:rsidRPr="005E24C5">
              <w:rPr>
                <w:sz w:val="20"/>
                <w:szCs w:val="20"/>
              </w:rPr>
              <w:t>60</w:t>
            </w:r>
          </w:p>
        </w:tc>
        <w:tc>
          <w:tcPr>
            <w:tcW w:w="1161" w:type="dxa"/>
            <w:vAlign w:val="center"/>
          </w:tcPr>
          <w:p w:rsidR="00542413" w:rsidRPr="005E24C5" w:rsidP="008F570D" w14:paraId="345E7A43" w14:textId="4C325F49">
            <w:pPr>
              <w:tabs>
                <w:tab w:val="center" w:pos="4320"/>
                <w:tab w:val="right" w:pos="8640"/>
              </w:tabs>
              <w:jc w:val="center"/>
              <w:rPr>
                <w:sz w:val="20"/>
                <w:szCs w:val="20"/>
              </w:rPr>
            </w:pPr>
            <w:r w:rsidRPr="005E24C5">
              <w:rPr>
                <w:sz w:val="20"/>
                <w:szCs w:val="20"/>
              </w:rPr>
              <w:t>1</w:t>
            </w:r>
          </w:p>
        </w:tc>
        <w:tc>
          <w:tcPr>
            <w:tcW w:w="1101" w:type="dxa"/>
            <w:vAlign w:val="center"/>
          </w:tcPr>
          <w:p w:rsidR="00542413" w:rsidRPr="005E24C5" w:rsidP="008F570D" w14:paraId="27851FED" w14:textId="66C379F4">
            <w:pPr>
              <w:tabs>
                <w:tab w:val="center" w:pos="4320"/>
                <w:tab w:val="right" w:pos="8640"/>
              </w:tabs>
              <w:jc w:val="center"/>
              <w:rPr>
                <w:sz w:val="20"/>
                <w:szCs w:val="20"/>
              </w:rPr>
            </w:pPr>
            <w:r w:rsidRPr="005E24C5">
              <w:rPr>
                <w:sz w:val="20"/>
                <w:szCs w:val="20"/>
              </w:rPr>
              <w:t>1.083</w:t>
            </w:r>
          </w:p>
        </w:tc>
        <w:tc>
          <w:tcPr>
            <w:tcW w:w="1186" w:type="dxa"/>
            <w:vAlign w:val="center"/>
          </w:tcPr>
          <w:p w:rsidR="00601690" w:rsidRPr="005E24C5" w:rsidP="005E24C5" w14:paraId="2A6A15B1" w14:textId="1F46B35F">
            <w:pPr>
              <w:tabs>
                <w:tab w:val="center" w:pos="4320"/>
                <w:tab w:val="right" w:pos="8640"/>
              </w:tabs>
              <w:jc w:val="center"/>
              <w:rPr>
                <w:sz w:val="20"/>
                <w:szCs w:val="20"/>
              </w:rPr>
            </w:pPr>
            <w:r w:rsidRPr="005E24C5">
              <w:rPr>
                <w:sz w:val="20"/>
                <w:szCs w:val="20"/>
              </w:rPr>
              <w:t>65</w:t>
            </w:r>
          </w:p>
        </w:tc>
        <w:tc>
          <w:tcPr>
            <w:tcW w:w="894" w:type="dxa"/>
            <w:vAlign w:val="center"/>
          </w:tcPr>
          <w:p w:rsidR="00542413" w:rsidRPr="005E24C5" w:rsidP="008F570D" w14:paraId="190D3377" w14:textId="7E5A6B8F">
            <w:pPr>
              <w:tabs>
                <w:tab w:val="center" w:pos="4320"/>
                <w:tab w:val="right" w:pos="8640"/>
              </w:tabs>
              <w:jc w:val="center"/>
              <w:rPr>
                <w:sz w:val="20"/>
                <w:szCs w:val="20"/>
              </w:rPr>
            </w:pPr>
            <w:r w:rsidRPr="005E24C5">
              <w:rPr>
                <w:sz w:val="20"/>
                <w:szCs w:val="20"/>
              </w:rPr>
              <w:t>$</w:t>
            </w:r>
            <w:r w:rsidRPr="005E24C5" w:rsidR="00312A06">
              <w:rPr>
                <w:sz w:val="20"/>
                <w:szCs w:val="20"/>
              </w:rPr>
              <w:t>157.48</w:t>
            </w:r>
          </w:p>
        </w:tc>
        <w:tc>
          <w:tcPr>
            <w:tcW w:w="1116" w:type="dxa"/>
            <w:vAlign w:val="center"/>
          </w:tcPr>
          <w:p w:rsidR="00542413" w:rsidRPr="005E24C5" w:rsidP="008F570D" w14:paraId="2A7C2E47" w14:textId="6DDD4954">
            <w:pPr>
              <w:tabs>
                <w:tab w:val="center" w:pos="4320"/>
                <w:tab w:val="right" w:pos="8640"/>
              </w:tabs>
              <w:jc w:val="center"/>
              <w:rPr>
                <w:sz w:val="20"/>
                <w:szCs w:val="20"/>
              </w:rPr>
            </w:pPr>
            <w:r w:rsidRPr="005E24C5">
              <w:rPr>
                <w:sz w:val="20"/>
                <w:szCs w:val="20"/>
              </w:rPr>
              <w:t>$</w:t>
            </w:r>
            <w:r w:rsidRPr="005E24C5" w:rsidR="00FA0A3A">
              <w:rPr>
                <w:sz w:val="20"/>
                <w:szCs w:val="20"/>
              </w:rPr>
              <w:t>10,236.20</w:t>
            </w:r>
          </w:p>
        </w:tc>
      </w:tr>
      <w:tr w14:paraId="70538CFD" w14:textId="77777777" w:rsidTr="008A72BF">
        <w:tblPrEx>
          <w:tblW w:w="9304" w:type="dxa"/>
          <w:jc w:val="center"/>
          <w:tblLook w:val="00A0"/>
        </w:tblPrEx>
        <w:trPr>
          <w:trHeight w:val="432"/>
          <w:jc w:val="center"/>
        </w:trPr>
        <w:tc>
          <w:tcPr>
            <w:tcW w:w="2607" w:type="dxa"/>
            <w:vAlign w:val="center"/>
          </w:tcPr>
          <w:p w:rsidR="0098053A" w:rsidRPr="008A72BF" w:rsidP="008F570D" w14:paraId="47910FDE" w14:textId="0860F65B">
            <w:pPr>
              <w:tabs>
                <w:tab w:val="center" w:pos="4320"/>
                <w:tab w:val="right" w:pos="8640"/>
              </w:tabs>
              <w:rPr>
                <w:sz w:val="20"/>
                <w:szCs w:val="20"/>
              </w:rPr>
            </w:pPr>
            <w:r w:rsidRPr="008A72BF">
              <w:rPr>
                <w:sz w:val="20"/>
                <w:szCs w:val="20"/>
              </w:rPr>
              <w:t xml:space="preserve">Totals: </w:t>
            </w:r>
          </w:p>
        </w:tc>
        <w:tc>
          <w:tcPr>
            <w:tcW w:w="1239" w:type="dxa"/>
            <w:vAlign w:val="center"/>
          </w:tcPr>
          <w:p w:rsidR="0098053A" w:rsidRPr="005E24C5" w:rsidP="008F570D" w14:paraId="231A9144" w14:textId="57194C26">
            <w:pPr>
              <w:tabs>
                <w:tab w:val="center" w:pos="4320"/>
                <w:tab w:val="right" w:pos="8640"/>
              </w:tabs>
              <w:jc w:val="center"/>
              <w:rPr>
                <w:sz w:val="20"/>
                <w:szCs w:val="20"/>
              </w:rPr>
            </w:pPr>
            <w:r w:rsidRPr="005E24C5">
              <w:rPr>
                <w:sz w:val="20"/>
                <w:szCs w:val="20"/>
              </w:rPr>
              <w:t>60</w:t>
            </w:r>
          </w:p>
        </w:tc>
        <w:tc>
          <w:tcPr>
            <w:tcW w:w="1161" w:type="dxa"/>
            <w:vAlign w:val="center"/>
          </w:tcPr>
          <w:p w:rsidR="0098053A" w:rsidRPr="005E24C5" w:rsidP="008F570D" w14:paraId="4D439A78" w14:textId="45BE250C">
            <w:pPr>
              <w:tabs>
                <w:tab w:val="center" w:pos="4320"/>
                <w:tab w:val="right" w:pos="8640"/>
              </w:tabs>
              <w:jc w:val="center"/>
              <w:rPr>
                <w:sz w:val="20"/>
                <w:szCs w:val="20"/>
              </w:rPr>
            </w:pPr>
            <w:r w:rsidRPr="005E24C5">
              <w:rPr>
                <w:sz w:val="20"/>
                <w:szCs w:val="20"/>
              </w:rPr>
              <w:t>2</w:t>
            </w:r>
          </w:p>
        </w:tc>
        <w:tc>
          <w:tcPr>
            <w:tcW w:w="1101" w:type="dxa"/>
            <w:vAlign w:val="center"/>
          </w:tcPr>
          <w:p w:rsidR="0098053A" w:rsidRPr="005E24C5" w:rsidP="008F570D" w14:paraId="3589D359" w14:textId="69DEE720">
            <w:pPr>
              <w:tabs>
                <w:tab w:val="center" w:pos="4320"/>
                <w:tab w:val="right" w:pos="8640"/>
              </w:tabs>
              <w:jc w:val="center"/>
              <w:rPr>
                <w:sz w:val="20"/>
                <w:szCs w:val="20"/>
              </w:rPr>
            </w:pPr>
            <w:r w:rsidRPr="005E24C5">
              <w:rPr>
                <w:sz w:val="20"/>
                <w:szCs w:val="20"/>
              </w:rPr>
              <w:t>Avg: .642 per response</w:t>
            </w:r>
          </w:p>
        </w:tc>
        <w:tc>
          <w:tcPr>
            <w:tcW w:w="1186" w:type="dxa"/>
            <w:vAlign w:val="center"/>
          </w:tcPr>
          <w:p w:rsidR="0098053A" w:rsidRPr="005E24C5" w:rsidP="005E24C5" w14:paraId="037DCA70" w14:textId="36F82F7E">
            <w:pPr>
              <w:tabs>
                <w:tab w:val="center" w:pos="4320"/>
                <w:tab w:val="right" w:pos="8640"/>
              </w:tabs>
              <w:jc w:val="center"/>
              <w:rPr>
                <w:sz w:val="20"/>
                <w:szCs w:val="20"/>
              </w:rPr>
            </w:pPr>
            <w:r w:rsidRPr="005E24C5">
              <w:rPr>
                <w:sz w:val="20"/>
                <w:szCs w:val="20"/>
              </w:rPr>
              <w:t>77</w:t>
            </w:r>
          </w:p>
        </w:tc>
        <w:tc>
          <w:tcPr>
            <w:tcW w:w="894" w:type="dxa"/>
            <w:vAlign w:val="center"/>
          </w:tcPr>
          <w:p w:rsidR="0098053A" w:rsidRPr="005E24C5" w:rsidP="008F570D" w14:paraId="0BCBDAA5" w14:textId="2C893497">
            <w:pPr>
              <w:tabs>
                <w:tab w:val="center" w:pos="4320"/>
                <w:tab w:val="right" w:pos="8640"/>
              </w:tabs>
              <w:jc w:val="center"/>
              <w:rPr>
                <w:sz w:val="20"/>
                <w:szCs w:val="20"/>
              </w:rPr>
            </w:pPr>
            <w:r w:rsidRPr="005E24C5">
              <w:rPr>
                <w:sz w:val="20"/>
                <w:szCs w:val="20"/>
              </w:rPr>
              <w:t>$157.48</w:t>
            </w:r>
          </w:p>
        </w:tc>
        <w:tc>
          <w:tcPr>
            <w:tcW w:w="1116" w:type="dxa"/>
            <w:vAlign w:val="center"/>
          </w:tcPr>
          <w:p w:rsidR="0098053A" w:rsidRPr="005E24C5" w:rsidP="008F570D" w14:paraId="268FA903" w14:textId="50CBA743">
            <w:pPr>
              <w:tabs>
                <w:tab w:val="center" w:pos="4320"/>
                <w:tab w:val="right" w:pos="8640"/>
              </w:tabs>
              <w:jc w:val="center"/>
              <w:rPr>
                <w:sz w:val="20"/>
                <w:szCs w:val="20"/>
              </w:rPr>
            </w:pPr>
            <w:r w:rsidRPr="005E24C5">
              <w:rPr>
                <w:sz w:val="20"/>
                <w:szCs w:val="20"/>
              </w:rPr>
              <w:t>$12,126</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8B1829">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609DCB9B">
      <w:r w:rsidRPr="00BB2157">
        <w:t>The total cost for the</w:t>
      </w:r>
      <w:r>
        <w:t xml:space="preserve"> data collection activities under this current request </w:t>
      </w:r>
      <w:r w:rsidRPr="00BB2157">
        <w:t xml:space="preserve">will </w:t>
      </w:r>
      <w:r w:rsidRPr="001061C5">
        <w:t>be $</w:t>
      </w:r>
      <w:r w:rsidR="002D5AD2">
        <w:t>2,054.00</w:t>
      </w:r>
      <w:r>
        <w:t xml:space="preserve">. </w:t>
      </w:r>
    </w:p>
    <w:p w:rsidR="00436F5E" w:rsidP="008F570D" w14:paraId="304B1383" w14:textId="748441F1"/>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8A72BF" w:rsidP="008F570D" w14:paraId="4B05A013" w14:textId="02FAB3E5">
      <w:r w:rsidRPr="008A72BF">
        <w:t xml:space="preserve">This is for an individual information collection under the umbrella </w:t>
      </w:r>
      <w:r w:rsidRPr="008A72BF" w:rsidR="001140AB">
        <w:t>formative generic clearance for program support (0970-0531</w:t>
      </w:r>
      <w:r w:rsidRPr="008A72BF" w:rsidR="00542413">
        <w:t>).</w:t>
      </w:r>
    </w:p>
    <w:p w:rsidR="002338AC" w:rsidRPr="008A72BF" w:rsidP="008F570D" w14:paraId="31DADDE8" w14:textId="632686D3">
      <w:pPr>
        <w:ind w:left="360"/>
        <w:rPr>
          <w:sz w:val="28"/>
          <w:szCs w:val="28"/>
        </w:rPr>
      </w:pPr>
    </w:p>
    <w:p w:rsidR="0033072C" w:rsidP="008F570D" w14:paraId="580F3480" w14:textId="443F0B25">
      <w:pPr>
        <w:ind w:left="360"/>
      </w:pPr>
    </w:p>
    <w:p w:rsidR="00B567A3" w:rsidP="008F570D" w14:paraId="419B66C1" w14:textId="01C1CB91">
      <w:pPr>
        <w:ind w:left="360"/>
      </w:pPr>
    </w:p>
    <w:p w:rsidR="00B567A3" w:rsidP="008F570D" w14:paraId="02AB17CD" w14:textId="78BCC7B2">
      <w:pPr>
        <w:ind w:left="360"/>
      </w:pPr>
    </w:p>
    <w:p w:rsidR="00B567A3" w:rsidP="008F570D" w14:paraId="7D45FFA7"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5E24C5" w:rsidP="008F570D" w14:paraId="1EAF59D0" w14:textId="1609DD1F">
      <w:pPr>
        <w:rPr>
          <w:bCs/>
        </w:rPr>
      </w:pPr>
      <w:r>
        <w:rPr>
          <w:bCs/>
        </w:rPr>
        <w:t xml:space="preserve">Information will be </w:t>
      </w:r>
      <w:r>
        <w:rPr>
          <w:bCs/>
        </w:rPr>
        <w:t xml:space="preserve">collected on a rolling basis while ILSAA is providing support under contract to ACF. ILSAA and ACF will use information collected for </w:t>
      </w:r>
      <w:r>
        <w:rPr>
          <w:bCs/>
        </w:rPr>
        <w:t xml:space="preserve">planning </w:t>
      </w:r>
      <w:r>
        <w:rPr>
          <w:bCs/>
        </w:rPr>
        <w:t xml:space="preserve">purposes </w:t>
      </w:r>
      <w:r>
        <w:rPr>
          <w:bCs/>
        </w:rPr>
        <w:t xml:space="preserve">and to support improved service provision to EAAs. </w:t>
      </w:r>
    </w:p>
    <w:p w:rsidR="005E24C5" w:rsidP="008F570D" w14:paraId="39FE3669" w14:textId="77777777">
      <w:pPr>
        <w:rPr>
          <w:bCs/>
        </w:rPr>
      </w:pPr>
    </w:p>
    <w:p w:rsidR="002338AC" w:rsidRPr="00F860D3" w:rsidP="008F570D" w14:paraId="565D87F6" w14:textId="2A9FAF10">
      <w:pPr>
        <w:rPr>
          <w:bCs/>
        </w:rPr>
      </w:pPr>
      <w:r>
        <w:rPr>
          <w:bCs/>
        </w:rPr>
        <w:t xml:space="preserve">Information may be incorporated into documents that are made public, for example in </w:t>
      </w:r>
      <w:r w:rsidR="00663C6A">
        <w:rPr>
          <w:bCs/>
        </w:rPr>
        <w:t>project specific reports and infographics for the ILSAA project</w:t>
      </w:r>
      <w:r w:rsidR="00864CB9">
        <w:rPr>
          <w:bCs/>
        </w:rPr>
        <w:t xml:space="preserve"> to relevant federal leadership, staff and local implementing agencies aligned with contract reporting requirements or when needed to facilitate service provision to EAAs</w:t>
      </w:r>
      <w:r w:rsidR="007525B2">
        <w:rPr>
          <w:bCs/>
        </w:rPr>
        <w:t>.</w:t>
      </w:r>
    </w:p>
    <w:p w:rsidR="002338AC" w:rsidP="008F570D" w14:paraId="5D35D3D0" w14:textId="3A559BD1">
      <w:pPr>
        <w:rPr>
          <w:b/>
        </w:rPr>
      </w:pPr>
    </w:p>
    <w:p w:rsidR="005E24C5" w:rsidP="008F570D" w14:paraId="01478363"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B10523">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B10523">
        <w:rPr>
          <w:szCs w:val="22"/>
        </w:rPr>
        <w:t>No exceptions are necessary for this information collection.</w:t>
      </w:r>
      <w:r w:rsidR="000B5EA8">
        <w:tab/>
      </w:r>
    </w:p>
    <w:p w:rsidR="00D90EF6" w:rsidP="008F570D" w14:paraId="152B33B0" w14:textId="77777777"/>
    <w:p w:rsidR="00AA29C0" w:rsidP="008F570D" w14:paraId="356A923F" w14:textId="77777777"/>
    <w:p w:rsidR="00D06D5F" w:rsidP="008F570D" w14:paraId="54795446" w14:textId="77777777">
      <w:pPr>
        <w:tabs>
          <w:tab w:val="left" w:pos="360"/>
        </w:tabs>
      </w:pPr>
    </w:p>
    <w:p w:rsidR="00201F72" w:rsidRPr="00BB2925" w:rsidP="00201F72" w14:paraId="12DE8FF2" w14:textId="77777777">
      <w:pPr>
        <w:spacing w:after="120"/>
        <w:rPr>
          <w:b/>
        </w:rPr>
      </w:pPr>
      <w:r>
        <w:rPr>
          <w:b/>
        </w:rPr>
        <w:t>Attachments</w:t>
      </w:r>
    </w:p>
    <w:p w:rsidR="00EA4037" w:rsidRPr="007525B2" w:rsidP="00EA4037" w14:paraId="138F0583" w14:textId="77777777">
      <w:pPr>
        <w:pStyle w:val="ListParagraph"/>
        <w:numPr>
          <w:ilvl w:val="0"/>
          <w:numId w:val="25"/>
        </w:numPr>
        <w:rPr>
          <w:sz w:val="24"/>
          <w:szCs w:val="24"/>
        </w:rPr>
      </w:pPr>
      <w:r w:rsidRPr="007525B2">
        <w:rPr>
          <w:sz w:val="24"/>
          <w:szCs w:val="24"/>
        </w:rPr>
        <w:t>Information Collection: Training Experience Survey</w:t>
      </w:r>
    </w:p>
    <w:p w:rsidR="00EA4037" w:rsidRPr="007525B2" w:rsidP="00EA4037" w14:paraId="70D327C9" w14:textId="77777777">
      <w:pPr>
        <w:pStyle w:val="ListParagraph"/>
        <w:numPr>
          <w:ilvl w:val="0"/>
          <w:numId w:val="25"/>
        </w:numPr>
        <w:rPr>
          <w:sz w:val="24"/>
          <w:szCs w:val="24"/>
        </w:rPr>
      </w:pPr>
      <w:r w:rsidRPr="007525B2">
        <w:rPr>
          <w:sz w:val="24"/>
          <w:szCs w:val="24"/>
        </w:rPr>
        <w:t>Information Collection: Topic-Based Knowledge Assessment</w:t>
      </w:r>
    </w:p>
    <w:p w:rsidR="0072204D" w:rsidRPr="0072204D" w:rsidP="008F570D" w14:paraId="4DA2F605" w14:textId="77777777"/>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A211F7"/>
    <w:multiLevelType w:val="hybridMultilevel"/>
    <w:tmpl w:val="B928E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0208009">
    <w:abstractNumId w:val="4"/>
  </w:num>
  <w:num w:numId="2" w16cid:durableId="1174881976">
    <w:abstractNumId w:val="1"/>
  </w:num>
  <w:num w:numId="3" w16cid:durableId="955603928">
    <w:abstractNumId w:val="16"/>
  </w:num>
  <w:num w:numId="4" w16cid:durableId="1911229910">
    <w:abstractNumId w:val="8"/>
  </w:num>
  <w:num w:numId="5" w16cid:durableId="834340167">
    <w:abstractNumId w:val="9"/>
  </w:num>
  <w:num w:numId="6" w16cid:durableId="1797140124">
    <w:abstractNumId w:val="18"/>
  </w:num>
  <w:num w:numId="7" w16cid:durableId="1142112612">
    <w:abstractNumId w:val="17"/>
  </w:num>
  <w:num w:numId="8" w16cid:durableId="1414549942">
    <w:abstractNumId w:val="11"/>
  </w:num>
  <w:num w:numId="9" w16cid:durableId="1807966781">
    <w:abstractNumId w:val="13"/>
  </w:num>
  <w:num w:numId="10" w16cid:durableId="831525111">
    <w:abstractNumId w:val="2"/>
  </w:num>
  <w:num w:numId="11" w16cid:durableId="830298209">
    <w:abstractNumId w:val="0"/>
  </w:num>
  <w:num w:numId="12" w16cid:durableId="1430202276">
    <w:abstractNumId w:val="3"/>
  </w:num>
  <w:num w:numId="13" w16cid:durableId="403574991">
    <w:abstractNumId w:val="19"/>
  </w:num>
  <w:num w:numId="14" w16cid:durableId="749886223">
    <w:abstractNumId w:val="6"/>
  </w:num>
  <w:num w:numId="15" w16cid:durableId="1696807721">
    <w:abstractNumId w:val="7"/>
  </w:num>
  <w:num w:numId="16" w16cid:durableId="1599026524">
    <w:abstractNumId w:val="23"/>
  </w:num>
  <w:num w:numId="17" w16cid:durableId="335621367">
    <w:abstractNumId w:val="24"/>
  </w:num>
  <w:num w:numId="18" w16cid:durableId="1634558317">
    <w:abstractNumId w:val="21"/>
  </w:num>
  <w:num w:numId="19" w16cid:durableId="1071462328">
    <w:abstractNumId w:val="20"/>
  </w:num>
  <w:num w:numId="20" w16cid:durableId="1425610015">
    <w:abstractNumId w:val="14"/>
  </w:num>
  <w:num w:numId="21" w16cid:durableId="251276937">
    <w:abstractNumId w:val="22"/>
  </w:num>
  <w:num w:numId="22" w16cid:durableId="236744692">
    <w:abstractNumId w:val="12"/>
  </w:num>
  <w:num w:numId="23" w16cid:durableId="1591238938">
    <w:abstractNumId w:val="10"/>
  </w:num>
  <w:num w:numId="24" w16cid:durableId="552619215">
    <w:abstractNumId w:val="5"/>
  </w:num>
  <w:num w:numId="25" w16cid:durableId="1717192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FB7"/>
    <w:rsid w:val="00005128"/>
    <w:rsid w:val="0001298B"/>
    <w:rsid w:val="00040318"/>
    <w:rsid w:val="000431B8"/>
    <w:rsid w:val="000517EA"/>
    <w:rsid w:val="00070ECE"/>
    <w:rsid w:val="00074281"/>
    <w:rsid w:val="00075A7F"/>
    <w:rsid w:val="0008643E"/>
    <w:rsid w:val="00091C59"/>
    <w:rsid w:val="00093611"/>
    <w:rsid w:val="000964A6"/>
    <w:rsid w:val="000B5EA8"/>
    <w:rsid w:val="000B7C26"/>
    <w:rsid w:val="000D53DF"/>
    <w:rsid w:val="000D7767"/>
    <w:rsid w:val="000E1B58"/>
    <w:rsid w:val="000F7EDE"/>
    <w:rsid w:val="001061C5"/>
    <w:rsid w:val="001140AB"/>
    <w:rsid w:val="00115659"/>
    <w:rsid w:val="001176A6"/>
    <w:rsid w:val="00117F86"/>
    <w:rsid w:val="00124EBF"/>
    <w:rsid w:val="00130457"/>
    <w:rsid w:val="00136B63"/>
    <w:rsid w:val="00153E95"/>
    <w:rsid w:val="00156DAD"/>
    <w:rsid w:val="0016012E"/>
    <w:rsid w:val="00162CB2"/>
    <w:rsid w:val="00177982"/>
    <w:rsid w:val="00183C0F"/>
    <w:rsid w:val="001911A0"/>
    <w:rsid w:val="00191B78"/>
    <w:rsid w:val="001A5AF9"/>
    <w:rsid w:val="001B2649"/>
    <w:rsid w:val="001B452E"/>
    <w:rsid w:val="001C4D60"/>
    <w:rsid w:val="001C68C8"/>
    <w:rsid w:val="001E2750"/>
    <w:rsid w:val="001E72C0"/>
    <w:rsid w:val="001F0A92"/>
    <w:rsid w:val="00201F72"/>
    <w:rsid w:val="0020382F"/>
    <w:rsid w:val="00204A6A"/>
    <w:rsid w:val="00211E4E"/>
    <w:rsid w:val="00217163"/>
    <w:rsid w:val="002231FA"/>
    <w:rsid w:val="002261F8"/>
    <w:rsid w:val="002313F3"/>
    <w:rsid w:val="002338AC"/>
    <w:rsid w:val="0023470B"/>
    <w:rsid w:val="00234E8D"/>
    <w:rsid w:val="00235A6D"/>
    <w:rsid w:val="002408DE"/>
    <w:rsid w:val="00244138"/>
    <w:rsid w:val="0025173C"/>
    <w:rsid w:val="00253148"/>
    <w:rsid w:val="00253C2A"/>
    <w:rsid w:val="002567A4"/>
    <w:rsid w:val="002570CB"/>
    <w:rsid w:val="00257A93"/>
    <w:rsid w:val="00273ECC"/>
    <w:rsid w:val="00274823"/>
    <w:rsid w:val="00274EE6"/>
    <w:rsid w:val="00292B70"/>
    <w:rsid w:val="002A1F68"/>
    <w:rsid w:val="002A319B"/>
    <w:rsid w:val="002B32F4"/>
    <w:rsid w:val="002B4DBE"/>
    <w:rsid w:val="002B7BE0"/>
    <w:rsid w:val="002C4F75"/>
    <w:rsid w:val="002D4B0A"/>
    <w:rsid w:val="002D5AD2"/>
    <w:rsid w:val="002E442B"/>
    <w:rsid w:val="002F3EDE"/>
    <w:rsid w:val="002F622F"/>
    <w:rsid w:val="00307659"/>
    <w:rsid w:val="00312A06"/>
    <w:rsid w:val="00313C20"/>
    <w:rsid w:val="00313DE8"/>
    <w:rsid w:val="003168E1"/>
    <w:rsid w:val="00324336"/>
    <w:rsid w:val="003277CF"/>
    <w:rsid w:val="00327B2E"/>
    <w:rsid w:val="0033072C"/>
    <w:rsid w:val="00340705"/>
    <w:rsid w:val="0034371A"/>
    <w:rsid w:val="0036560E"/>
    <w:rsid w:val="00366825"/>
    <w:rsid w:val="00374DAB"/>
    <w:rsid w:val="00381568"/>
    <w:rsid w:val="0038291A"/>
    <w:rsid w:val="003D385C"/>
    <w:rsid w:val="003D5231"/>
    <w:rsid w:val="003E0D1E"/>
    <w:rsid w:val="003F42C7"/>
    <w:rsid w:val="003F647B"/>
    <w:rsid w:val="003F6A4D"/>
    <w:rsid w:val="00417CFC"/>
    <w:rsid w:val="004222F8"/>
    <w:rsid w:val="00422C1B"/>
    <w:rsid w:val="00423DEC"/>
    <w:rsid w:val="004278E8"/>
    <w:rsid w:val="0043291A"/>
    <w:rsid w:val="00436F5E"/>
    <w:rsid w:val="00443849"/>
    <w:rsid w:val="004522FF"/>
    <w:rsid w:val="00452F17"/>
    <w:rsid w:val="004554B1"/>
    <w:rsid w:val="00456E2F"/>
    <w:rsid w:val="004649B2"/>
    <w:rsid w:val="0046608C"/>
    <w:rsid w:val="004710D3"/>
    <w:rsid w:val="00475D38"/>
    <w:rsid w:val="00482DDE"/>
    <w:rsid w:val="00492E4D"/>
    <w:rsid w:val="004A44DD"/>
    <w:rsid w:val="004B587E"/>
    <w:rsid w:val="004B63ED"/>
    <w:rsid w:val="004C2ADD"/>
    <w:rsid w:val="004C2E4D"/>
    <w:rsid w:val="004C2EF8"/>
    <w:rsid w:val="004D6CA9"/>
    <w:rsid w:val="004E279F"/>
    <w:rsid w:val="004F4E1D"/>
    <w:rsid w:val="005046F0"/>
    <w:rsid w:val="00520737"/>
    <w:rsid w:val="005353B7"/>
    <w:rsid w:val="00541024"/>
    <w:rsid w:val="00542413"/>
    <w:rsid w:val="00563E78"/>
    <w:rsid w:val="00576636"/>
    <w:rsid w:val="0058254B"/>
    <w:rsid w:val="005A64C5"/>
    <w:rsid w:val="005B1833"/>
    <w:rsid w:val="005D4FD6"/>
    <w:rsid w:val="005D7840"/>
    <w:rsid w:val="005E0902"/>
    <w:rsid w:val="005E216C"/>
    <w:rsid w:val="005E24C5"/>
    <w:rsid w:val="005E74FA"/>
    <w:rsid w:val="005F2061"/>
    <w:rsid w:val="005F3B11"/>
    <w:rsid w:val="006010CA"/>
    <w:rsid w:val="00601690"/>
    <w:rsid w:val="00605D15"/>
    <w:rsid w:val="006066AC"/>
    <w:rsid w:val="00607351"/>
    <w:rsid w:val="00612784"/>
    <w:rsid w:val="006228E1"/>
    <w:rsid w:val="00651DBA"/>
    <w:rsid w:val="00657424"/>
    <w:rsid w:val="006577CE"/>
    <w:rsid w:val="006609BA"/>
    <w:rsid w:val="00663C6A"/>
    <w:rsid w:val="00670B7D"/>
    <w:rsid w:val="00680FFE"/>
    <w:rsid w:val="00681DB6"/>
    <w:rsid w:val="006A0658"/>
    <w:rsid w:val="006A7906"/>
    <w:rsid w:val="006A7EFA"/>
    <w:rsid w:val="006B6845"/>
    <w:rsid w:val="006C0DE9"/>
    <w:rsid w:val="006D2637"/>
    <w:rsid w:val="006D3853"/>
    <w:rsid w:val="006E260B"/>
    <w:rsid w:val="006E7E63"/>
    <w:rsid w:val="00701045"/>
    <w:rsid w:val="00702DF7"/>
    <w:rsid w:val="00711BC5"/>
    <w:rsid w:val="0072204D"/>
    <w:rsid w:val="007250A3"/>
    <w:rsid w:val="00736F1D"/>
    <w:rsid w:val="007436AA"/>
    <w:rsid w:val="0075171C"/>
    <w:rsid w:val="00751B53"/>
    <w:rsid w:val="007525B2"/>
    <w:rsid w:val="00770DC4"/>
    <w:rsid w:val="00772457"/>
    <w:rsid w:val="0077465C"/>
    <w:rsid w:val="00774AFA"/>
    <w:rsid w:val="00775903"/>
    <w:rsid w:val="00782595"/>
    <w:rsid w:val="00784137"/>
    <w:rsid w:val="00793A4F"/>
    <w:rsid w:val="007A075B"/>
    <w:rsid w:val="007A1ECB"/>
    <w:rsid w:val="007A6F03"/>
    <w:rsid w:val="007D295D"/>
    <w:rsid w:val="007E52C3"/>
    <w:rsid w:val="007F04F4"/>
    <w:rsid w:val="007F63F2"/>
    <w:rsid w:val="00801C2C"/>
    <w:rsid w:val="00806712"/>
    <w:rsid w:val="008120AC"/>
    <w:rsid w:val="0081549B"/>
    <w:rsid w:val="008178CE"/>
    <w:rsid w:val="00817C7B"/>
    <w:rsid w:val="00836761"/>
    <w:rsid w:val="00837F11"/>
    <w:rsid w:val="008418B2"/>
    <w:rsid w:val="00864B81"/>
    <w:rsid w:val="00864CB9"/>
    <w:rsid w:val="0087128A"/>
    <w:rsid w:val="0087234E"/>
    <w:rsid w:val="00877346"/>
    <w:rsid w:val="00882FA1"/>
    <w:rsid w:val="008A098F"/>
    <w:rsid w:val="008A6C94"/>
    <w:rsid w:val="008A72BF"/>
    <w:rsid w:val="008B1829"/>
    <w:rsid w:val="008B7803"/>
    <w:rsid w:val="008B7F2C"/>
    <w:rsid w:val="008C3F78"/>
    <w:rsid w:val="008C6A6B"/>
    <w:rsid w:val="008C78B4"/>
    <w:rsid w:val="008E2309"/>
    <w:rsid w:val="008F10A2"/>
    <w:rsid w:val="008F1AC9"/>
    <w:rsid w:val="008F48DE"/>
    <w:rsid w:val="008F570D"/>
    <w:rsid w:val="009227B4"/>
    <w:rsid w:val="00932D71"/>
    <w:rsid w:val="0094418C"/>
    <w:rsid w:val="00945CD6"/>
    <w:rsid w:val="00957AE3"/>
    <w:rsid w:val="009648CE"/>
    <w:rsid w:val="00970249"/>
    <w:rsid w:val="0098053A"/>
    <w:rsid w:val="00984BBF"/>
    <w:rsid w:val="00984CA2"/>
    <w:rsid w:val="009866B9"/>
    <w:rsid w:val="009B0D02"/>
    <w:rsid w:val="009B1638"/>
    <w:rsid w:val="009B270D"/>
    <w:rsid w:val="009D3C65"/>
    <w:rsid w:val="009D47D2"/>
    <w:rsid w:val="009E28C8"/>
    <w:rsid w:val="00A020E8"/>
    <w:rsid w:val="00A21C0C"/>
    <w:rsid w:val="00A2255B"/>
    <w:rsid w:val="00A35B0D"/>
    <w:rsid w:val="00A35E23"/>
    <w:rsid w:val="00A412C5"/>
    <w:rsid w:val="00A42E8A"/>
    <w:rsid w:val="00A44209"/>
    <w:rsid w:val="00A46BBA"/>
    <w:rsid w:val="00AA29C0"/>
    <w:rsid w:val="00AA2CBB"/>
    <w:rsid w:val="00AB218C"/>
    <w:rsid w:val="00AB371C"/>
    <w:rsid w:val="00AB54A5"/>
    <w:rsid w:val="00AD36C8"/>
    <w:rsid w:val="00AE0FB3"/>
    <w:rsid w:val="00AE4FCD"/>
    <w:rsid w:val="00B10523"/>
    <w:rsid w:val="00B14396"/>
    <w:rsid w:val="00B27EDF"/>
    <w:rsid w:val="00B53184"/>
    <w:rsid w:val="00B567A3"/>
    <w:rsid w:val="00B57C9D"/>
    <w:rsid w:val="00B65145"/>
    <w:rsid w:val="00B66874"/>
    <w:rsid w:val="00B73ACF"/>
    <w:rsid w:val="00B84547"/>
    <w:rsid w:val="00B908F0"/>
    <w:rsid w:val="00B91D97"/>
    <w:rsid w:val="00BB13A6"/>
    <w:rsid w:val="00BB2157"/>
    <w:rsid w:val="00BB2925"/>
    <w:rsid w:val="00BB5000"/>
    <w:rsid w:val="00BB6F07"/>
    <w:rsid w:val="00BD4CFB"/>
    <w:rsid w:val="00BE368E"/>
    <w:rsid w:val="00BE7952"/>
    <w:rsid w:val="00BF3772"/>
    <w:rsid w:val="00C12B95"/>
    <w:rsid w:val="00C15F59"/>
    <w:rsid w:val="00C1674B"/>
    <w:rsid w:val="00C2264C"/>
    <w:rsid w:val="00C22C6C"/>
    <w:rsid w:val="00C33244"/>
    <w:rsid w:val="00C438EA"/>
    <w:rsid w:val="00C56EA9"/>
    <w:rsid w:val="00C7706D"/>
    <w:rsid w:val="00C93450"/>
    <w:rsid w:val="00C95A25"/>
    <w:rsid w:val="00CA1B2A"/>
    <w:rsid w:val="00CB2ED6"/>
    <w:rsid w:val="00CC2CD1"/>
    <w:rsid w:val="00CD5ABE"/>
    <w:rsid w:val="00CE1F2D"/>
    <w:rsid w:val="00CE2173"/>
    <w:rsid w:val="00CE4F94"/>
    <w:rsid w:val="00CE6EFF"/>
    <w:rsid w:val="00CF1B98"/>
    <w:rsid w:val="00D012A6"/>
    <w:rsid w:val="00D06D5F"/>
    <w:rsid w:val="00D15D93"/>
    <w:rsid w:val="00D277B1"/>
    <w:rsid w:val="00D44EA5"/>
    <w:rsid w:val="00D519D9"/>
    <w:rsid w:val="00D6763F"/>
    <w:rsid w:val="00D70F66"/>
    <w:rsid w:val="00D72940"/>
    <w:rsid w:val="00D90EF6"/>
    <w:rsid w:val="00D940F5"/>
    <w:rsid w:val="00D964BC"/>
    <w:rsid w:val="00DB16A0"/>
    <w:rsid w:val="00DC3E82"/>
    <w:rsid w:val="00DC4DED"/>
    <w:rsid w:val="00DF4679"/>
    <w:rsid w:val="00DF478F"/>
    <w:rsid w:val="00E00860"/>
    <w:rsid w:val="00E033C7"/>
    <w:rsid w:val="00E05A0A"/>
    <w:rsid w:val="00E41D46"/>
    <w:rsid w:val="00E7008C"/>
    <w:rsid w:val="00E72E9A"/>
    <w:rsid w:val="00E86DB9"/>
    <w:rsid w:val="00EA0BF4"/>
    <w:rsid w:val="00EA12DE"/>
    <w:rsid w:val="00EA1DEF"/>
    <w:rsid w:val="00EA4037"/>
    <w:rsid w:val="00EA4CE6"/>
    <w:rsid w:val="00EB5B54"/>
    <w:rsid w:val="00EC26A5"/>
    <w:rsid w:val="00EC329F"/>
    <w:rsid w:val="00EC6F0B"/>
    <w:rsid w:val="00ED25D0"/>
    <w:rsid w:val="00ED537D"/>
    <w:rsid w:val="00EE306E"/>
    <w:rsid w:val="00F136AB"/>
    <w:rsid w:val="00F23579"/>
    <w:rsid w:val="00F35D29"/>
    <w:rsid w:val="00F4788E"/>
    <w:rsid w:val="00F514D1"/>
    <w:rsid w:val="00F554C1"/>
    <w:rsid w:val="00F73374"/>
    <w:rsid w:val="00F860D3"/>
    <w:rsid w:val="00F92638"/>
    <w:rsid w:val="00F97C94"/>
    <w:rsid w:val="00FA05FE"/>
    <w:rsid w:val="00FA0A3A"/>
    <w:rsid w:val="00FA6209"/>
    <w:rsid w:val="00FB1E6F"/>
    <w:rsid w:val="00FC04C5"/>
    <w:rsid w:val="00FC196A"/>
    <w:rsid w:val="00FC505C"/>
    <w:rsid w:val="00FD1B70"/>
    <w:rsid w:val="00FD2280"/>
    <w:rsid w:val="00FD7600"/>
    <w:rsid w:val="00FF09F1"/>
    <w:rsid w:val="00FF3048"/>
    <w:rsid w:val="107EE6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73037CDB-9122-4A36-9A81-B2620F85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4CB9"/>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970249"/>
    <w:rPr>
      <w:sz w:val="24"/>
      <w:szCs w:val="24"/>
    </w:rPr>
  </w:style>
  <w:style w:type="character" w:styleId="FollowedHyperlink">
    <w:name w:val="FollowedHyperlink"/>
    <w:basedOn w:val="DefaultParagraphFont"/>
    <w:rsid w:val="00366825"/>
    <w:rPr>
      <w:color w:val="954F72" w:themeColor="followedHyperlink"/>
      <w:u w:val="single"/>
    </w:rPr>
  </w:style>
  <w:style w:type="character" w:styleId="Mention">
    <w:name w:val="Mention"/>
    <w:basedOn w:val="DefaultParagraphFont"/>
    <w:uiPriority w:val="99"/>
    <w:unhideWhenUsed/>
    <w:rsid w:val="005B18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6" ma:contentTypeDescription="Create a new document." ma:contentTypeScope="" ma:versionID="f715e9482010fe7ab643e9c2e7d81057">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5e9a9c446fcf2b889092601c2e76c89f"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M xmlns="7bc33af3-a508-4494-93c6-f445514b0cc8">
      <UserInfo>
        <DisplayName/>
        <AccountId xsi:nil="true"/>
        <AccountType/>
      </UserInfo>
    </PM>
    <lcf76f155ced4ddcb4097134ff3c332f xmlns="7bc33af3-a508-4494-93c6-f445514b0cc8">
      <Terms xmlns="http://schemas.microsoft.com/office/infopath/2007/PartnerControls"/>
    </lcf76f155ced4ddcb4097134ff3c332f>
    <AfghanAssistanceResources xmlns="7bc33af3-a508-4494-93c6-f445514b0cc8" xsi:nil="true"/>
    <PM0 xmlns="7bc33af3-a508-4494-93c6-f445514b0cc8">
      <UserInfo>
        <DisplayName/>
        <AccountId xsi:nil="true"/>
        <AccountType/>
      </UserInfo>
    </PM0>
    <TaxCatchAll xmlns="bfe36184-d8fc-44e3-8de7-b32367b9c1f2" xsi:nil="true"/>
  </documentManagement>
</p:properti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075C6250-D0C4-4A14-9A3B-36186F70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7bc33af3-a508-4494-93c6-f445514b0cc8"/>
    <ds:schemaRef ds:uri="bfe36184-d8fc-44e3-8de7-b32367b9c1f2"/>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1412</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2</cp:revision>
  <cp:lastPrinted>2009-01-26T16:35:00Z</cp:lastPrinted>
  <dcterms:created xsi:type="dcterms:W3CDTF">2023-06-16T20:01:00Z</dcterms:created>
  <dcterms:modified xsi:type="dcterms:W3CDTF">2023-06-16T20:01:00Z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