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2B651B" w14:paraId="781830F9" w14:textId="5869517D">
      <w:pPr>
        <w:pStyle w:val="ReportCover-Title"/>
        <w:jc w:val="center"/>
        <w:rPr>
          <w:rFonts w:ascii="Arial" w:hAnsi="Arial" w:cs="Arial"/>
          <w:color w:val="auto"/>
        </w:rPr>
      </w:pPr>
      <w:bookmarkStart w:id="0" w:name="_Hlk175910753"/>
      <w:r w:rsidRPr="005A3699">
        <w:rPr>
          <w:rFonts w:ascii="Arial" w:eastAsia="Arial Unicode MS" w:hAnsi="Arial" w:cs="Arial"/>
          <w:noProof/>
          <w:color w:val="auto"/>
        </w:rPr>
        <w:t xml:space="preserve">Survey for Staff Supporting Infants and Toddlers </w:t>
      </w:r>
      <w:r w:rsidRPr="002B651B" w:rsidR="002B651B">
        <w:rPr>
          <w:rFonts w:ascii="Arial" w:eastAsia="Arial Unicode MS" w:hAnsi="Arial" w:cs="Arial"/>
          <w:noProof/>
          <w:color w:val="auto"/>
        </w:rPr>
        <w:t>for the National Center for Early Childhood Development, Teaching, and Learning’s (NCECDTL’s) Training and Technical Assistance Offerings</w:t>
      </w:r>
    </w:p>
    <w:bookmarkEnd w:id="0"/>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7C2A9438">
      <w:pPr>
        <w:pStyle w:val="ReportCover-Date"/>
        <w:jc w:val="center"/>
        <w:rPr>
          <w:rFonts w:ascii="Arial" w:hAnsi="Arial" w:cs="Arial"/>
          <w:color w:val="auto"/>
        </w:rPr>
      </w:pPr>
      <w:r>
        <w:rPr>
          <w:rFonts w:ascii="Arial" w:hAnsi="Arial" w:cs="Arial"/>
          <w:color w:val="auto"/>
        </w:rPr>
        <w:t xml:space="preserve">September </w:t>
      </w:r>
      <w:r w:rsidR="00895E2B">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44E07E7C">
      <w:pPr>
        <w:jc w:val="center"/>
        <w:rPr>
          <w:rFonts w:ascii="Arial" w:hAnsi="Arial" w:cs="Arial"/>
        </w:rPr>
      </w:pPr>
      <w:r>
        <w:rPr>
          <w:rFonts w:ascii="Arial" w:hAnsi="Arial" w:cs="Arial"/>
        </w:rPr>
        <w:t>Office of Head Start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687787" w:rsidP="008F570D" w14:paraId="63932BF7" w14:textId="3B3CEA54">
      <w:pPr>
        <w:spacing w:after="120"/>
        <w:rPr>
          <w:b/>
        </w:rPr>
      </w:pPr>
      <w:r w:rsidRPr="00687787">
        <w:rPr>
          <w:b/>
        </w:rPr>
        <w:t xml:space="preserve">A1. </w:t>
      </w:r>
      <w:r w:rsidRPr="00687787">
        <w:rPr>
          <w:b/>
        </w:rPr>
        <w:t>Necessity for the Data Collection</w:t>
      </w:r>
    </w:p>
    <w:p w:rsidR="00984BBF" w:rsidRPr="00687787" w:rsidP="00C7466B" w14:paraId="32F118BE" w14:textId="71DA3600">
      <w:r w:rsidRPr="00687787">
        <w:t xml:space="preserve">The Administration for Children and Families (ACF) at the U.S. Department of Health and Human Services (HHS) seeks approval to collect feedback </w:t>
      </w:r>
      <w:r w:rsidRPr="00687787" w:rsidR="6B137B9D">
        <w:t xml:space="preserve">on </w:t>
      </w:r>
      <w:r w:rsidRPr="00687787">
        <w:t xml:space="preserve">infant/toddler </w:t>
      </w:r>
      <w:r w:rsidRPr="00687787" w:rsidR="7FFDC2E5">
        <w:t xml:space="preserve">staff </w:t>
      </w:r>
      <w:r w:rsidRPr="00687787">
        <w:t xml:space="preserve">who attend the National Center for Early Childhood Development, Teaching, and Learning’s (NCECDTL) Training and Technical Assistance (TTA) offerings.  </w:t>
      </w:r>
    </w:p>
    <w:p w:rsidR="00961ED5" w:rsidRPr="00687787" w:rsidP="00961ED5" w14:paraId="2317DEA9" w14:textId="77777777">
      <w:pPr>
        <w:rPr>
          <w:highlight w:val="yellow"/>
        </w:rPr>
      </w:pPr>
    </w:p>
    <w:p w:rsidR="00984CA2" w:rsidRPr="00687787" w:rsidP="00BE01B6"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687787">
        <w:rPr>
          <w:rFonts w:ascii="Times New Roman" w:hAnsi="Times New Roman"/>
          <w:i/>
          <w:sz w:val="24"/>
          <w:szCs w:val="24"/>
        </w:rPr>
        <w:t xml:space="preserve">Background </w:t>
      </w:r>
    </w:p>
    <w:p w:rsidR="00D454C5" w:rsidRPr="00687787" w:rsidP="00B87986" w14:paraId="1E86EC8B" w14:textId="7E40CD50">
      <w:r w:rsidRPr="00687787">
        <w:t xml:space="preserve">The NCECDTL provides TTA to Head Start/Early Head Start grantees and Regional TTA Specialists. This professional development aims to yield improvements in program- and staff-level outcomes and lead to enhanced competencies (knowledge, skills, and practices) for TTA and grantee staff who focus on early child development and education services across the Head Start and Early Head Start program options. As part of the network of Early Childhood National Centers, NCECDTL collaborates with the ACF Office of Head Start’s Central and Regional Offices to provide a </w:t>
      </w:r>
      <w:r w:rsidRPr="00687787">
        <w:rPr>
          <w:shd w:val="clear" w:color="auto" w:fill="FFFFFF"/>
        </w:rPr>
        <w:t>range of supports designed to benefit infant/toddler educators and the managers/leaders who support them. In the coming contract year, DTL plans to deliver a multi-day event for managers in the infant/toddler space. The proposed data collection would provide NCECDTL with a deeper understanding of wh</w:t>
      </w:r>
      <w:r w:rsidRPr="00687787" w:rsidR="6C2B85C7">
        <w:rPr>
          <w:shd w:val="clear" w:color="auto" w:fill="FFFFFF"/>
        </w:rPr>
        <w:t>ich</w:t>
      </w:r>
      <w:r w:rsidRPr="00687787">
        <w:rPr>
          <w:shd w:val="clear" w:color="auto" w:fill="FFFFFF"/>
        </w:rPr>
        <w:t xml:space="preserve"> resources and supports </w:t>
      </w:r>
      <w:r w:rsidRPr="00687787" w:rsidR="7ACAD42B">
        <w:rPr>
          <w:shd w:val="clear" w:color="auto" w:fill="FFFFFF"/>
        </w:rPr>
        <w:t>are</w:t>
      </w:r>
      <w:r w:rsidRPr="00687787">
        <w:rPr>
          <w:shd w:val="clear" w:color="auto" w:fill="FFFFFF"/>
        </w:rPr>
        <w:t xml:space="preserve"> most beneficial to their ongoing work. This information is needed for the NCEDTL to provide TTA that is targeted to the needs of those receiving the support. </w:t>
      </w:r>
    </w:p>
    <w:p w:rsidR="008F570D" w:rsidRPr="00687787" w:rsidP="00C7466B"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687787" w:rsidP="00C7466B"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687787">
        <w:rPr>
          <w:rFonts w:ascii="Times New Roman" w:hAnsi="Times New Roman"/>
          <w:i/>
          <w:sz w:val="24"/>
          <w:szCs w:val="24"/>
        </w:rPr>
        <w:t xml:space="preserve">Legal or Administrative Requirements that Necessitate the Collection </w:t>
      </w:r>
    </w:p>
    <w:p w:rsidR="00EA12DE" w:rsidRPr="00687787" w:rsidP="008F570D" w14:paraId="3BDF35B0" w14:textId="77777777">
      <w:r w:rsidRPr="00687787">
        <w:t>There are no legal or administrative requirements that necessitate the collection. ACF is undertaking the collection at the discretion of the agency.</w:t>
      </w:r>
    </w:p>
    <w:p w:rsidR="0020382F" w:rsidRPr="00687787" w:rsidP="008F570D" w14:paraId="7D1B72AE" w14:textId="77777777"/>
    <w:p w:rsidR="00D90EF6" w:rsidRPr="00687787" w:rsidP="008F570D" w14:paraId="210B83EF" w14:textId="77777777"/>
    <w:p w:rsidR="00945CD6" w:rsidRPr="00687787" w:rsidP="008F570D" w14:paraId="617B0354" w14:textId="77777777">
      <w:pPr>
        <w:spacing w:after="120"/>
        <w:rPr>
          <w:b/>
        </w:rPr>
      </w:pPr>
      <w:r w:rsidRPr="00687787">
        <w:rPr>
          <w:b/>
        </w:rPr>
        <w:t xml:space="preserve">A2. </w:t>
      </w:r>
      <w:r w:rsidRPr="00687787">
        <w:rPr>
          <w:b/>
        </w:rPr>
        <w:t>Purpose of Survey and Data Collection Procedures</w:t>
      </w:r>
    </w:p>
    <w:p w:rsidR="008F570D" w:rsidRPr="00687787" w:rsidP="008F570D" w14:paraId="24636DF8" w14:textId="77777777">
      <w:pPr>
        <w:spacing w:after="60"/>
        <w:rPr>
          <w:b/>
          <w:i/>
        </w:rPr>
      </w:pPr>
      <w:r w:rsidRPr="00687787">
        <w:rPr>
          <w:b/>
          <w:i/>
        </w:rPr>
        <w:t xml:space="preserve">Overview of Purpose and </w:t>
      </w:r>
      <w:r w:rsidRPr="00687787">
        <w:rPr>
          <w:b/>
          <w:i/>
        </w:rPr>
        <w:t>Use</w:t>
      </w:r>
    </w:p>
    <w:p w:rsidR="003D63AE" w:rsidRPr="00687787" w:rsidP="00ED6613" w14:paraId="65048FA9" w14:textId="7BC0CB72">
      <w:r w:rsidRPr="00687787">
        <w:t>This Generic Information Collection (</w:t>
      </w:r>
      <w:r w:rsidRPr="00687787">
        <w:t>GenIC</w:t>
      </w:r>
      <w:r w:rsidRPr="00687787">
        <w:t>) request includes a web-based survey that will be disseminated to infant/toddler educators and staff supporting infant/toddler</w:t>
      </w:r>
      <w:r w:rsidRPr="00687787" w:rsidR="00E740A8">
        <w:t>s</w:t>
      </w:r>
      <w:r w:rsidRPr="00687787">
        <w:t xml:space="preserve">. The purpose of </w:t>
      </w:r>
      <w:r w:rsidRPr="00687787" w:rsidR="52A97B04">
        <w:t xml:space="preserve">the </w:t>
      </w:r>
      <w:r w:rsidRPr="00687787">
        <w:t>survey is to understand current and anticipated needs that DTL can address during the event for staff who support infant/toddler educators. Results from the surveys will be used to identify participant needs, design training sessions and materials that speak to those needs, and inform an event designed for the surveyed population.</w:t>
      </w:r>
    </w:p>
    <w:p w:rsidR="008F570D" w:rsidRPr="00687787" w:rsidP="00C7466B" w14:paraId="320194E8" w14:textId="5C8502C1">
      <w:pPr>
        <w:rPr>
          <w:b/>
          <w:i/>
        </w:rPr>
      </w:pPr>
    </w:p>
    <w:p w:rsidR="00D964BC" w:rsidRPr="00687787" w:rsidP="009E5641" w14:paraId="6F5CF4FF" w14:textId="77777777">
      <w:pPr>
        <w:pStyle w:val="Heading4"/>
        <w:numPr>
          <w:ilvl w:val="3"/>
          <w:numId w:val="0"/>
        </w:numPr>
        <w:tabs>
          <w:tab w:val="num" w:pos="180"/>
        </w:tabs>
        <w:spacing w:before="0" w:line="264" w:lineRule="auto"/>
        <w:rPr>
          <w:rFonts w:ascii="Times New Roman" w:hAnsi="Times New Roman"/>
          <w:b w:val="0"/>
          <w:sz w:val="24"/>
          <w:szCs w:val="24"/>
        </w:rPr>
      </w:pPr>
      <w:r w:rsidRPr="00687787">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687787" w:rsidP="00204A6A" w14:paraId="52D0F399" w14:textId="3EC72782">
      <w:pPr>
        <w:pStyle w:val="ListParagraph"/>
        <w:numPr>
          <w:ilvl w:val="0"/>
          <w:numId w:val="18"/>
        </w:numPr>
        <w:ind w:left="720"/>
        <w:rPr>
          <w:sz w:val="24"/>
          <w:szCs w:val="24"/>
        </w:rPr>
      </w:pPr>
      <w:r w:rsidRPr="00687787">
        <w:rPr>
          <w:sz w:val="24"/>
          <w:szCs w:val="24"/>
        </w:rPr>
        <w:t xml:space="preserve">Delivery of </w:t>
      </w:r>
      <w:r w:rsidRPr="00687787" w:rsidR="00B87986">
        <w:rPr>
          <w:sz w:val="24"/>
          <w:szCs w:val="24"/>
        </w:rPr>
        <w:t>T/</w:t>
      </w:r>
      <w:r w:rsidRPr="00687787">
        <w:rPr>
          <w:sz w:val="24"/>
          <w:szCs w:val="24"/>
        </w:rPr>
        <w:t xml:space="preserve">TA related to program implementation </w:t>
      </w:r>
      <w:r w:rsidRPr="00687787" w:rsidR="00B87986">
        <w:rPr>
          <w:sz w:val="24"/>
          <w:szCs w:val="24"/>
        </w:rPr>
        <w:t xml:space="preserve">and </w:t>
      </w:r>
      <w:r w:rsidRPr="00687787">
        <w:rPr>
          <w:sz w:val="24"/>
          <w:szCs w:val="24"/>
        </w:rPr>
        <w:t xml:space="preserve">the refinement of program and grantee processes. </w:t>
      </w:r>
    </w:p>
    <w:p w:rsidR="00204A6A" w:rsidRPr="00687787" w:rsidP="00204A6A" w14:paraId="351E0D4C" w14:textId="5EB57E89">
      <w:pPr>
        <w:pStyle w:val="ListParagraph"/>
        <w:numPr>
          <w:ilvl w:val="0"/>
          <w:numId w:val="18"/>
        </w:numPr>
        <w:ind w:left="720"/>
        <w:rPr>
          <w:sz w:val="24"/>
          <w:szCs w:val="24"/>
        </w:rPr>
      </w:pPr>
      <w:r w:rsidRPr="00687787">
        <w:rPr>
          <w:sz w:val="24"/>
          <w:szCs w:val="24"/>
        </w:rPr>
        <w:t>Planning for provision of programmatic T/TA.</w:t>
      </w:r>
    </w:p>
    <w:p w:rsidR="008F570D" w:rsidRPr="00687787" w:rsidP="008F570D" w14:paraId="75C799A6" w14:textId="77777777">
      <w:pPr>
        <w:spacing w:after="60"/>
        <w:rPr>
          <w:b/>
          <w:i/>
        </w:rPr>
      </w:pPr>
    </w:p>
    <w:p w:rsidR="00D1040C" w:rsidP="008F570D" w14:paraId="665C9615" w14:textId="77777777">
      <w:pPr>
        <w:spacing w:after="60"/>
        <w:rPr>
          <w:b/>
          <w:i/>
        </w:rPr>
      </w:pPr>
    </w:p>
    <w:p w:rsidR="00984CA2" w:rsidRPr="00687787" w:rsidP="008F570D" w14:paraId="473B9418" w14:textId="0026AA36">
      <w:pPr>
        <w:spacing w:after="60"/>
        <w:rPr>
          <w:b/>
          <w:i/>
        </w:rPr>
      </w:pPr>
      <w:r w:rsidRPr="00687787">
        <w:rPr>
          <w:b/>
          <w:i/>
        </w:rPr>
        <w:t>Process</w:t>
      </w:r>
      <w:r w:rsidRPr="00687787" w:rsidR="003277CF">
        <w:rPr>
          <w:b/>
          <w:i/>
        </w:rPr>
        <w:t>es</w:t>
      </w:r>
      <w:r w:rsidRPr="00687787">
        <w:rPr>
          <w:b/>
          <w:i/>
        </w:rPr>
        <w:t xml:space="preserve"> for Information Collection </w:t>
      </w:r>
    </w:p>
    <w:p w:rsidR="00B648F4" w:rsidRPr="00687787" w:rsidP="002455A5" w14:paraId="52A21186" w14:textId="1A12976A">
      <w:r w:rsidRPr="00687787">
        <w:t xml:space="preserve">Those receiving services from NCECDTL can subscribe for eblasts that are sent out regularly with information from NCECDTL. Information about the survey </w:t>
      </w:r>
      <w:r w:rsidRPr="00687787" w:rsidR="008F6E6D">
        <w:t xml:space="preserve">will be </w:t>
      </w:r>
      <w:r w:rsidRPr="00687787">
        <w:t xml:space="preserve">sent </w:t>
      </w:r>
      <w:r w:rsidRPr="00687787" w:rsidR="008F6E6D">
        <w:t xml:space="preserve">through an e-blast that includes a link to the web-based survey. </w:t>
      </w:r>
    </w:p>
    <w:p w:rsidR="00B648F4" w:rsidRPr="00687787" w:rsidP="002455A5" w14:paraId="707F6B36" w14:textId="77777777"/>
    <w:p w:rsidR="002455A5" w:rsidRPr="00687787" w:rsidP="002455A5" w14:paraId="0043E601" w14:textId="084F97CE">
      <w:r w:rsidRPr="00687787">
        <w:t>Surveys are expected to take approximately 20 minutes per respondent and include multiple choice, scale ranking, and open-ended questions to collect feedback on the current activities and needs of infant/toddler educators and those who support infant/toddler educators.</w:t>
      </w:r>
      <w:r w:rsidRPr="00687787">
        <w:t xml:space="preserve"> The web-based survey includes questions that focus on the following topics: education environments for infant/toddler educators, critical competencies for working with infants and toddlers, and professional development interests.</w:t>
      </w:r>
    </w:p>
    <w:p w:rsidR="00BE7952" w:rsidRPr="00687787" w:rsidP="008F570D" w14:paraId="53AD29BF" w14:textId="77777777"/>
    <w:p w:rsidR="00D90EF6" w:rsidRPr="00687787" w:rsidP="008F570D" w14:paraId="352753BD" w14:textId="77777777"/>
    <w:p w:rsidR="00945CD6" w:rsidRPr="00687787" w:rsidP="008F570D" w14:paraId="49EEF137" w14:textId="77777777">
      <w:pPr>
        <w:spacing w:after="120"/>
        <w:rPr>
          <w:b/>
        </w:rPr>
      </w:pPr>
      <w:r w:rsidRPr="00687787">
        <w:rPr>
          <w:b/>
        </w:rPr>
        <w:t xml:space="preserve">A3. </w:t>
      </w:r>
      <w:r w:rsidRPr="00687787">
        <w:rPr>
          <w:b/>
        </w:rPr>
        <w:t>Improved Information Technology to Reduce Burden</w:t>
      </w:r>
    </w:p>
    <w:p w:rsidR="00D90EF6" w:rsidRPr="00687787" w:rsidP="008F570D" w14:paraId="6EA8B500" w14:textId="5456B2F2">
      <w:bookmarkStart w:id="1" w:name="_Hlk175915466"/>
      <w:r w:rsidRPr="00687787">
        <w:t>The survey will be web-</w:t>
      </w:r>
      <w:r w:rsidRPr="00687787" w:rsidR="00AA3ACD">
        <w:t>based,</w:t>
      </w:r>
      <w:r w:rsidRPr="00687787">
        <w:t xml:space="preserve"> and respondents will be able to complete the survey at their convenience during a </w:t>
      </w:r>
      <w:r w:rsidRPr="00687787" w:rsidR="00B648F4">
        <w:t xml:space="preserve">period of about </w:t>
      </w:r>
      <w:r w:rsidRPr="00687787" w:rsidR="66C57A03">
        <w:t>two-week</w:t>
      </w:r>
      <w:r w:rsidRPr="00687787" w:rsidR="00B648F4">
        <w:t>s</w:t>
      </w:r>
      <w:r w:rsidRPr="00687787">
        <w:t>. NCECDTL will provide an active link to the web-based survey in the recruitment emails and e-blast.</w:t>
      </w:r>
    </w:p>
    <w:bookmarkEnd w:id="1"/>
    <w:p w:rsidR="00D90EF6" w:rsidRPr="00687787" w:rsidP="008F570D" w14:paraId="5934C206" w14:textId="77777777"/>
    <w:p w:rsidR="005046F0" w:rsidRPr="00687787" w:rsidP="008F570D" w14:paraId="5804584A" w14:textId="77777777">
      <w:pPr>
        <w:ind w:left="360"/>
      </w:pPr>
    </w:p>
    <w:p w:rsidR="00945CD6" w:rsidRPr="00687787" w:rsidP="008F570D" w14:paraId="39BBEF3E" w14:textId="77777777">
      <w:pPr>
        <w:spacing w:after="120"/>
        <w:rPr>
          <w:b/>
        </w:rPr>
      </w:pPr>
      <w:r w:rsidRPr="00687787">
        <w:rPr>
          <w:b/>
        </w:rPr>
        <w:t xml:space="preserve">A4. </w:t>
      </w:r>
      <w:r w:rsidRPr="00687787">
        <w:rPr>
          <w:b/>
        </w:rPr>
        <w:t>Efforts to Identify Duplication</w:t>
      </w:r>
    </w:p>
    <w:p w:rsidR="000100F3" w:rsidRPr="00687787" w:rsidP="00ED6613" w14:paraId="7BD1D445" w14:textId="77777777">
      <w:r w:rsidRPr="00687787">
        <w:t xml:space="preserve">This is a one-time needs assessment to inform future work of the NCECDTL. This information collection does not duplicate any other data collection efforts or request information that is currently available elsewhere. </w:t>
      </w:r>
    </w:p>
    <w:p w:rsidR="00436F5E" w:rsidRPr="00687787" w:rsidP="009E5641" w14:paraId="69A8EDD5" w14:textId="77777777">
      <w:pPr>
        <w:rPr>
          <w:b/>
        </w:rPr>
      </w:pPr>
    </w:p>
    <w:p w:rsidR="00B648F4" w:rsidRPr="00687787" w:rsidP="009E5641" w14:paraId="3B1DEB4F" w14:textId="77777777">
      <w:pPr>
        <w:rPr>
          <w:b/>
        </w:rPr>
      </w:pPr>
    </w:p>
    <w:p w:rsidR="00945CD6" w:rsidRPr="00687787" w:rsidP="008F570D" w14:paraId="10B90123" w14:textId="77777777">
      <w:pPr>
        <w:spacing w:after="120"/>
        <w:rPr>
          <w:b/>
        </w:rPr>
      </w:pPr>
      <w:r w:rsidRPr="00687787">
        <w:rPr>
          <w:b/>
        </w:rPr>
        <w:t xml:space="preserve">A5. </w:t>
      </w:r>
      <w:r w:rsidRPr="00687787">
        <w:rPr>
          <w:b/>
        </w:rPr>
        <w:t>Involvement of Small Organizations</w:t>
      </w:r>
    </w:p>
    <w:p w:rsidR="00E0301C" w:rsidRPr="00687787" w:rsidP="00E0301C" w14:paraId="566E4249" w14:textId="77777777">
      <w:r w:rsidRPr="00687787">
        <w:t>Not applicable. No impact to small organizations expected.</w:t>
      </w:r>
    </w:p>
    <w:p w:rsidR="00D90EF6" w:rsidRPr="00687787" w:rsidP="008F570D" w14:paraId="12FF1FE5" w14:textId="77777777"/>
    <w:p w:rsidR="008C78B4" w:rsidRPr="00687787" w:rsidP="008F570D" w14:paraId="6077512E" w14:textId="77777777">
      <w:pPr>
        <w:rPr>
          <w:b/>
        </w:rPr>
      </w:pPr>
    </w:p>
    <w:p w:rsidR="00945CD6" w:rsidRPr="00687787" w:rsidP="008F570D" w14:paraId="5C724C5E" w14:textId="77777777">
      <w:pPr>
        <w:spacing w:after="120"/>
        <w:rPr>
          <w:b/>
        </w:rPr>
      </w:pPr>
      <w:r w:rsidRPr="00687787">
        <w:rPr>
          <w:b/>
        </w:rPr>
        <w:t xml:space="preserve">A6. </w:t>
      </w:r>
      <w:r w:rsidRPr="00687787">
        <w:rPr>
          <w:b/>
        </w:rPr>
        <w:t>Consequences of Less Frequent Data Collection</w:t>
      </w:r>
    </w:p>
    <w:p w:rsidR="00851A97" w:rsidRPr="00687787" w:rsidP="00851A97" w14:paraId="3F94691A" w14:textId="77777777">
      <w:r w:rsidRPr="00687787">
        <w:t>Not applicable. This is a one-time data collection effort.</w:t>
      </w:r>
    </w:p>
    <w:p w:rsidR="00D90EF6" w:rsidRPr="00687787" w:rsidP="008F570D" w14:paraId="27E89940" w14:textId="77777777"/>
    <w:p w:rsidR="005046F0" w:rsidRPr="00687787" w:rsidP="008F570D" w14:paraId="7C36762A" w14:textId="77777777">
      <w:pPr>
        <w:ind w:left="360"/>
      </w:pPr>
    </w:p>
    <w:p w:rsidR="00945CD6" w:rsidRPr="00687787" w:rsidP="008F570D" w14:paraId="5060136E" w14:textId="77777777">
      <w:pPr>
        <w:spacing w:after="120"/>
        <w:rPr>
          <w:b/>
        </w:rPr>
      </w:pPr>
      <w:r w:rsidRPr="00687787">
        <w:rPr>
          <w:b/>
        </w:rPr>
        <w:t xml:space="preserve">A7. </w:t>
      </w:r>
      <w:r w:rsidRPr="00687787">
        <w:rPr>
          <w:b/>
        </w:rPr>
        <w:t>Special Circumstances</w:t>
      </w:r>
    </w:p>
    <w:p w:rsidR="0020382F" w:rsidRPr="00687787" w:rsidP="008F570D" w14:paraId="10D64BA4" w14:textId="77777777">
      <w:r w:rsidRPr="00687787">
        <w:t>There are no special circumstances for the proposed data collection efforts.</w:t>
      </w:r>
    </w:p>
    <w:p w:rsidR="00BE7952" w:rsidRPr="00687787" w:rsidP="008F570D" w14:paraId="08207C8B" w14:textId="77777777"/>
    <w:p w:rsidR="00D90EF6" w:rsidRPr="00687787" w:rsidP="008F570D" w14:paraId="6156892E" w14:textId="77777777">
      <w:pPr>
        <w:rPr>
          <w:b/>
        </w:rPr>
      </w:pPr>
    </w:p>
    <w:p w:rsidR="00D90EF6" w:rsidRPr="00687787" w:rsidP="008F570D" w14:paraId="4FD99BC0" w14:textId="77777777">
      <w:pPr>
        <w:spacing w:after="120"/>
        <w:rPr>
          <w:b/>
        </w:rPr>
      </w:pPr>
      <w:r w:rsidRPr="00687787">
        <w:rPr>
          <w:b/>
        </w:rPr>
        <w:t xml:space="preserve">A8. </w:t>
      </w:r>
      <w:r w:rsidRPr="00687787" w:rsidR="00945CD6">
        <w:rPr>
          <w:b/>
        </w:rPr>
        <w:t>Federal Register Notice and Consultation</w:t>
      </w:r>
    </w:p>
    <w:p w:rsidR="00B91D97" w:rsidRPr="00687787" w:rsidP="008F570D" w14:paraId="6A39001F" w14:textId="77777777">
      <w:pPr>
        <w:spacing w:after="60"/>
        <w:rPr>
          <w:b/>
          <w:i/>
        </w:rPr>
      </w:pPr>
      <w:r w:rsidRPr="00687787">
        <w:rPr>
          <w:b/>
          <w:i/>
        </w:rPr>
        <w:t>Federal Register Notice and Comments</w:t>
      </w:r>
    </w:p>
    <w:p w:rsidR="00204A6A" w:rsidRPr="00687787" w:rsidP="00204A6A" w14:paraId="357FFC06" w14:textId="77777777">
      <w:r w:rsidRPr="00687787">
        <w:t xml:space="preserve">In accordance with the Paperwork Reduction Act of 1995 (Pub. L. 104-13) and Office of Management and Budget (OMB) regulations at 5 CFR Part 1320 (60 FR 44978, August 29, </w:t>
      </w:r>
      <w:r w:rsidRPr="00687787">
        <w:t>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ED6613" w:rsidRPr="00687787" w:rsidP="00204A6A" w14:paraId="5E7927EE" w14:textId="77777777"/>
    <w:p w:rsidR="00B91D97" w:rsidRPr="00687787" w:rsidP="009E5641" w14:paraId="21E62C00" w14:textId="72CBF5B8">
      <w:pPr>
        <w:pStyle w:val="Heading4"/>
        <w:spacing w:before="0"/>
        <w:rPr>
          <w:rFonts w:ascii="Times New Roman" w:hAnsi="Times New Roman"/>
          <w:i/>
          <w:sz w:val="24"/>
          <w:szCs w:val="24"/>
        </w:rPr>
      </w:pPr>
      <w:r w:rsidRPr="00687787">
        <w:rPr>
          <w:rFonts w:ascii="Times New Roman" w:hAnsi="Times New Roman"/>
          <w:i/>
          <w:sz w:val="24"/>
          <w:szCs w:val="24"/>
        </w:rPr>
        <w:t xml:space="preserve">Consultation with </w:t>
      </w:r>
      <w:r w:rsidRPr="00687787" w:rsidR="008F570D">
        <w:rPr>
          <w:rFonts w:ascii="Times New Roman" w:hAnsi="Times New Roman"/>
          <w:i/>
          <w:sz w:val="24"/>
          <w:szCs w:val="24"/>
        </w:rPr>
        <w:t xml:space="preserve">Outside </w:t>
      </w:r>
      <w:r w:rsidRPr="00687787">
        <w:rPr>
          <w:rFonts w:ascii="Times New Roman" w:hAnsi="Times New Roman"/>
          <w:i/>
          <w:sz w:val="24"/>
          <w:szCs w:val="24"/>
        </w:rPr>
        <w:t>Experts</w:t>
      </w:r>
    </w:p>
    <w:p w:rsidR="008F10A2" w:rsidRPr="00687787" w:rsidP="008F570D" w14:paraId="1632B553" w14:textId="4833C18C">
      <w:pPr>
        <w:rPr>
          <w:highlight w:val="yellow"/>
        </w:rPr>
      </w:pPr>
      <w:r w:rsidRPr="00687787">
        <w:t>No consultations have taken place with experts outside of the project team.</w:t>
      </w:r>
    </w:p>
    <w:p w:rsidR="00436F5E" w:rsidRPr="00687787" w:rsidP="008F570D" w14:paraId="3262E2E8" w14:textId="77777777">
      <w:pPr>
        <w:rPr>
          <w:highlight w:val="yellow"/>
        </w:rPr>
      </w:pPr>
    </w:p>
    <w:p w:rsidR="00D90EF6" w:rsidRPr="00687787" w:rsidP="008F570D" w14:paraId="16A7A923" w14:textId="77777777">
      <w:pPr>
        <w:rPr>
          <w:b/>
        </w:rPr>
      </w:pPr>
    </w:p>
    <w:p w:rsidR="00945CD6" w:rsidRPr="00687787" w:rsidP="008F570D" w14:paraId="391068CD" w14:textId="6ECE22DD">
      <w:pPr>
        <w:spacing w:after="120"/>
        <w:rPr>
          <w:b/>
        </w:rPr>
      </w:pPr>
      <w:r w:rsidRPr="00687787">
        <w:rPr>
          <w:b/>
        </w:rPr>
        <w:t xml:space="preserve">A9. </w:t>
      </w:r>
      <w:r w:rsidRPr="00687787" w:rsidR="00542413">
        <w:rPr>
          <w:b/>
        </w:rPr>
        <w:t xml:space="preserve">Tokens of Appreciation </w:t>
      </w:r>
      <w:r w:rsidRPr="00687787" w:rsidR="00B66874">
        <w:rPr>
          <w:b/>
        </w:rPr>
        <w:t>for</w:t>
      </w:r>
      <w:r w:rsidRPr="00687787">
        <w:rPr>
          <w:b/>
        </w:rPr>
        <w:t xml:space="preserve"> Respondents</w:t>
      </w:r>
    </w:p>
    <w:p w:rsidR="00D90EF6" w:rsidRPr="00687787" w:rsidP="00ED6613" w14:paraId="45914615" w14:textId="4321F089">
      <w:pPr>
        <w:rPr>
          <w:b/>
        </w:rPr>
      </w:pPr>
      <w:r w:rsidRPr="00687787">
        <w:t xml:space="preserve">No </w:t>
      </w:r>
      <w:r w:rsidRPr="00687787" w:rsidR="00542413">
        <w:t>tokens of appreciation</w:t>
      </w:r>
      <w:r w:rsidRPr="00687787">
        <w:t xml:space="preserve"> for</w:t>
      </w:r>
      <w:r w:rsidRPr="00687787" w:rsidR="00BE7952">
        <w:t xml:space="preserve"> respondents are proposed for this information collection.</w:t>
      </w:r>
    </w:p>
    <w:p w:rsidR="00D90EF6" w:rsidRPr="00687787" w:rsidP="00ED6613" w14:paraId="713A63A6" w14:textId="77777777"/>
    <w:p w:rsidR="004222F8" w:rsidRPr="00687787" w:rsidP="009E5641" w14:paraId="7605E87D" w14:textId="77777777">
      <w:pPr>
        <w:rPr>
          <w:b/>
        </w:rPr>
      </w:pPr>
    </w:p>
    <w:p w:rsidR="004222F8" w:rsidRPr="00687787" w:rsidP="008F570D" w14:paraId="5BB4F440" w14:textId="77777777">
      <w:pPr>
        <w:spacing w:after="120"/>
        <w:rPr>
          <w:b/>
        </w:rPr>
      </w:pPr>
      <w:r w:rsidRPr="00687787">
        <w:rPr>
          <w:b/>
        </w:rPr>
        <w:t>A10. Privacy of Respondents</w:t>
      </w:r>
    </w:p>
    <w:p w:rsidR="004222F8" w:rsidRPr="00687787" w:rsidP="008F570D" w14:paraId="480B2A5E" w14:textId="754B441C">
      <w:pPr>
        <w:widowControl w:val="0"/>
        <w:autoSpaceDE w:val="0"/>
        <w:autoSpaceDN w:val="0"/>
        <w:adjustRightInd w:val="0"/>
      </w:pPr>
      <w:r w:rsidRPr="00687787">
        <w:t>Information collected will be kept private</w:t>
      </w:r>
      <w:r w:rsidRPr="00687787" w:rsidR="171CA292">
        <w:t xml:space="preserve"> to the extent permitted by law</w:t>
      </w:r>
      <w:r w:rsidRPr="00687787">
        <w:t xml:space="preserve">. Respondents will be informed of all planned uses of data, that their participation is voluntary, and that their information will be kept private. </w:t>
      </w:r>
    </w:p>
    <w:p w:rsidR="004222F8" w:rsidRPr="00687787" w:rsidP="008F570D" w14:paraId="6F65404C" w14:textId="77777777">
      <w:pPr>
        <w:widowControl w:val="0"/>
        <w:autoSpaceDE w:val="0"/>
        <w:autoSpaceDN w:val="0"/>
        <w:adjustRightInd w:val="0"/>
        <w:ind w:left="360"/>
      </w:pPr>
    </w:p>
    <w:p w:rsidR="00436F5E" w:rsidRPr="00687787" w:rsidP="008F570D" w14:paraId="0442A162" w14:textId="77777777"/>
    <w:p w:rsidR="00945CD6" w:rsidRPr="00687787" w:rsidP="008F570D" w14:paraId="0B35E015" w14:textId="77777777">
      <w:pPr>
        <w:spacing w:after="120"/>
        <w:rPr>
          <w:b/>
        </w:rPr>
      </w:pPr>
      <w:r w:rsidRPr="00687787">
        <w:rPr>
          <w:b/>
        </w:rPr>
        <w:t xml:space="preserve">A11. </w:t>
      </w:r>
      <w:r w:rsidRPr="00687787">
        <w:rPr>
          <w:b/>
        </w:rPr>
        <w:t>Sensitive Questions</w:t>
      </w:r>
    </w:p>
    <w:p w:rsidR="00D90EF6" w:rsidRPr="00687787" w:rsidP="008F570D" w14:paraId="2CE230F0" w14:textId="77777777">
      <w:r w:rsidRPr="00687787">
        <w:t>There are no sensitive questions in this data collection.</w:t>
      </w:r>
    </w:p>
    <w:p w:rsidR="00D90EF6" w:rsidRPr="00687787" w:rsidP="008F570D" w14:paraId="7C7C4093" w14:textId="77777777"/>
    <w:p w:rsidR="005046F0" w:rsidRPr="00687787" w:rsidP="008F570D" w14:paraId="45C63BFE" w14:textId="77777777">
      <w:pPr>
        <w:ind w:left="360"/>
      </w:pPr>
    </w:p>
    <w:p w:rsidR="00542413" w:rsidRPr="00687787" w:rsidP="00542413" w14:paraId="3ABF848D" w14:textId="604CE552">
      <w:pPr>
        <w:spacing w:after="120"/>
        <w:rPr>
          <w:b/>
        </w:rPr>
      </w:pPr>
      <w:r w:rsidRPr="00687787">
        <w:rPr>
          <w:b/>
        </w:rPr>
        <w:t xml:space="preserve">A12. </w:t>
      </w:r>
      <w:r w:rsidRPr="00687787" w:rsidR="00945CD6">
        <w:rPr>
          <w:b/>
        </w:rPr>
        <w:t>Estimation of Information Collection Burden</w:t>
      </w:r>
    </w:p>
    <w:p w:rsidR="00542413" w:rsidRPr="00687787" w:rsidP="00542413" w14:paraId="3786490C" w14:textId="2AA637D8">
      <w:pPr>
        <w:spacing w:after="60"/>
        <w:rPr>
          <w:b/>
          <w:bCs/>
          <w:i/>
          <w:iCs/>
        </w:rPr>
      </w:pPr>
      <w:r w:rsidRPr="00687787">
        <w:rPr>
          <w:b/>
          <w:bCs/>
          <w:i/>
          <w:iCs/>
        </w:rPr>
        <w:t>Burden Estimates</w:t>
      </w:r>
    </w:p>
    <w:p w:rsidR="00271D19" w:rsidRPr="00687787" w:rsidP="000A23E9" w14:paraId="3A1563DB" w14:textId="763222F0">
      <w:bookmarkStart w:id="2" w:name="_Hlk175913332"/>
      <w:r w:rsidRPr="00687787">
        <w:t xml:space="preserve">The NCECDTL e-blast list includes 22,694 subscribers. Based on current (2023) Program Information Report data (OMB #0970-0427), approximately 16.4% of Head Start staff are infant/toddler educators and an additional 7.6% are leaders who </w:t>
      </w:r>
      <w:bookmarkStart w:id="3" w:name="_Hlk175757080"/>
      <w:r w:rsidRPr="00687787">
        <w:t>directly support infant/toddler educators</w:t>
      </w:r>
      <w:bookmarkEnd w:id="3"/>
      <w:r w:rsidRPr="00687787">
        <w:t>. Therefore, the expected population from the e-blast list that would be eligible to complete the survey is approximately 5,446 respondents.</w:t>
      </w:r>
      <w:bookmarkEnd w:id="2"/>
      <w:r w:rsidRPr="00687787">
        <w:t xml:space="preserve"> </w:t>
      </w:r>
      <w:r w:rsidRPr="00687787" w:rsidR="00F20EB8">
        <w:t>If applicable, w</w:t>
      </w:r>
      <w:r w:rsidRPr="00687787" w:rsidR="00F8213A">
        <w:t xml:space="preserve">e plan to stop data collection once </w:t>
      </w:r>
      <w:r w:rsidRPr="00687787" w:rsidR="00676239">
        <w:t>6</w:t>
      </w:r>
      <w:r w:rsidRPr="00687787" w:rsidR="00F8213A">
        <w:t>00 responses have been received</w:t>
      </w:r>
      <w:r w:rsidRPr="00F97805" w:rsidR="00EF388B">
        <w:t xml:space="preserve">, as </w:t>
      </w:r>
      <w:r w:rsidRPr="00687787" w:rsidR="00EF388B">
        <w:t>this level of response would provide useful information to fulfill the purpose and use of this information collection without being overly burdensome</w:t>
      </w:r>
      <w:r w:rsidRPr="00687787" w:rsidR="00F8213A">
        <w:t>.</w:t>
      </w:r>
      <w:r w:rsidRPr="00687787" w:rsidR="00EF388B">
        <w:t xml:space="preserve"> See Supporting Statement B for more information. </w:t>
      </w:r>
      <w:r w:rsidRPr="00687787" w:rsidR="00F8213A">
        <w:t xml:space="preserve"> </w:t>
      </w:r>
    </w:p>
    <w:p w:rsidR="00271D19" w:rsidRPr="00687787" w:rsidP="000A23E9" w14:paraId="04F3E95A" w14:textId="77777777"/>
    <w:p w:rsidR="000A23E9" w:rsidRPr="00687787" w:rsidP="000A23E9" w14:paraId="054F281D" w14:textId="618816B7">
      <w:r w:rsidRPr="00687787">
        <w:t>The survey is estimated to take an average of 20 minutes to complete. Data collection will take place over a</w:t>
      </w:r>
      <w:r w:rsidRPr="00687787" w:rsidR="00F8213A">
        <w:t>bout</w:t>
      </w:r>
      <w:r w:rsidRPr="00687787">
        <w:t xml:space="preserve"> two-week</w:t>
      </w:r>
      <w:r w:rsidRPr="00687787" w:rsidR="00F8213A">
        <w:t>s</w:t>
      </w:r>
      <w:r w:rsidR="00D1040C">
        <w:t>.</w:t>
      </w:r>
    </w:p>
    <w:p w:rsidR="00542413" w:rsidP="008F570D" w14:paraId="53AD5D50" w14:textId="77777777">
      <w:pPr>
        <w:rPr>
          <w:b/>
          <w:bCs/>
          <w:i/>
          <w:iCs/>
        </w:rPr>
      </w:pPr>
    </w:p>
    <w:p w:rsidR="00D1040C" w:rsidP="008F570D" w14:paraId="06D721E3" w14:textId="77777777">
      <w:pPr>
        <w:rPr>
          <w:b/>
          <w:bCs/>
          <w:i/>
          <w:iCs/>
        </w:rPr>
      </w:pPr>
    </w:p>
    <w:p w:rsidR="00D1040C" w:rsidRPr="00687787" w:rsidP="008F570D" w14:paraId="4296000C" w14:textId="77777777">
      <w:pPr>
        <w:rPr>
          <w:b/>
          <w:bCs/>
          <w:i/>
          <w:iCs/>
        </w:rPr>
      </w:pPr>
    </w:p>
    <w:p w:rsidR="00542413" w:rsidRPr="00687787" w:rsidP="00542413" w14:paraId="6CBE253C" w14:textId="16147A58">
      <w:pPr>
        <w:spacing w:after="60"/>
        <w:rPr>
          <w:b/>
          <w:i/>
        </w:rPr>
      </w:pPr>
      <w:r w:rsidRPr="00687787">
        <w:rPr>
          <w:b/>
          <w:i/>
        </w:rPr>
        <w:t>Cost Estimates</w:t>
      </w:r>
    </w:p>
    <w:p w:rsidR="00D92192" w:rsidRPr="00687787" w:rsidP="0033072C" w14:paraId="69BC31C6" w14:textId="769DF88C">
      <w:r w:rsidRPr="00687787">
        <w:t xml:space="preserve">The cost to respondents was calculated using the Bureau of Labor Statistics (BLS) </w:t>
      </w:r>
      <w:r w:rsidRPr="00687787" w:rsidR="00F8213A">
        <w:t xml:space="preserve">wage data from May 2023 for the following </w:t>
      </w:r>
      <w:r w:rsidRPr="00687787">
        <w:t>job code</w:t>
      </w:r>
      <w:r w:rsidRPr="00687787">
        <w:t>s:</w:t>
      </w:r>
    </w:p>
    <w:p w:rsidR="00D92192" w:rsidRPr="00687787" w:rsidP="00D92192" w14:paraId="7A4A503D" w14:textId="31D5F7CE">
      <w:pPr>
        <w:pStyle w:val="ListParagraph"/>
        <w:numPr>
          <w:ilvl w:val="0"/>
          <w:numId w:val="26"/>
        </w:numPr>
        <w:rPr>
          <w:sz w:val="24"/>
          <w:szCs w:val="24"/>
        </w:rPr>
      </w:pPr>
      <w:r w:rsidRPr="00687787">
        <w:rPr>
          <w:sz w:val="24"/>
          <w:szCs w:val="24"/>
        </w:rPr>
        <w:t xml:space="preserve">Preschool Teachers, Except Special Education </w:t>
      </w:r>
      <w:r w:rsidRPr="00687787" w:rsidR="0033072C">
        <w:rPr>
          <w:sz w:val="24"/>
          <w:szCs w:val="24"/>
        </w:rPr>
        <w:t>[</w:t>
      </w:r>
      <w:r w:rsidRPr="00687787">
        <w:rPr>
          <w:sz w:val="24"/>
          <w:szCs w:val="24"/>
        </w:rPr>
        <w:t>25-2011</w:t>
      </w:r>
      <w:r w:rsidRPr="00687787" w:rsidR="0033072C">
        <w:rPr>
          <w:sz w:val="24"/>
          <w:szCs w:val="24"/>
        </w:rPr>
        <w:t>]</w:t>
      </w:r>
      <w:r w:rsidRPr="00687787" w:rsidR="00F8213A">
        <w:rPr>
          <w:sz w:val="24"/>
          <w:szCs w:val="24"/>
        </w:rPr>
        <w:t xml:space="preserve"> ($19.91 per hour)</w:t>
      </w:r>
    </w:p>
    <w:p w:rsidR="00D92192" w:rsidRPr="00687787" w:rsidP="00D92192" w14:paraId="68CB3236" w14:textId="5FAD0765">
      <w:pPr>
        <w:pStyle w:val="ListParagraph"/>
        <w:numPr>
          <w:ilvl w:val="0"/>
          <w:numId w:val="26"/>
        </w:numPr>
        <w:rPr>
          <w:sz w:val="24"/>
          <w:szCs w:val="24"/>
        </w:rPr>
      </w:pPr>
      <w:r w:rsidRPr="00687787">
        <w:rPr>
          <w:sz w:val="24"/>
          <w:szCs w:val="24"/>
        </w:rPr>
        <w:t>Education and Childcare Administrators, Preschool and Daycare [11-9031]</w:t>
      </w:r>
      <w:r w:rsidRPr="00687787" w:rsidR="00F8213A">
        <w:rPr>
          <w:sz w:val="24"/>
          <w:szCs w:val="24"/>
        </w:rPr>
        <w:t xml:space="preserve"> ($29.48 per hour)</w:t>
      </w:r>
    </w:p>
    <w:p w:rsidR="00F8213A" w:rsidRPr="00687787" w:rsidP="00D92192" w14:paraId="24A35386" w14:textId="2B560363"/>
    <w:p w:rsidR="0033072C" w:rsidRPr="00687787" w:rsidP="00D92192" w14:paraId="59A18AED" w14:textId="374D1ECC">
      <w:r w:rsidRPr="00687787">
        <w:t>To account for fringe benefits and overhead the rate</w:t>
      </w:r>
      <w:r w:rsidRPr="00687787" w:rsidR="00D92192">
        <w:t>s</w:t>
      </w:r>
      <w:r w:rsidRPr="00687787">
        <w:t xml:space="preserve"> </w:t>
      </w:r>
      <w:r w:rsidRPr="00687787" w:rsidR="00D92192">
        <w:t>were</w:t>
      </w:r>
      <w:r w:rsidRPr="00687787">
        <w:t xml:space="preserve"> multiplied by </w:t>
      </w:r>
      <w:r w:rsidRPr="00687787" w:rsidR="00D92192">
        <w:t>two,</w:t>
      </w:r>
      <w:r w:rsidRPr="00687787">
        <w:t xml:space="preserve"> which </w:t>
      </w:r>
      <w:r w:rsidRPr="00687787" w:rsidR="00D92192">
        <w:t xml:space="preserve">are </w:t>
      </w:r>
      <w:r w:rsidRPr="00687787" w:rsidR="007C2826">
        <w:t>$39.82</w:t>
      </w:r>
      <w:r w:rsidRPr="00687787" w:rsidR="00D92192">
        <w:t xml:space="preserve"> and </w:t>
      </w:r>
      <w:r w:rsidRPr="00687787" w:rsidR="007C2826">
        <w:t>$58.96</w:t>
      </w:r>
      <w:r w:rsidRPr="00687787" w:rsidR="00D92192">
        <w:t>, respectively</w:t>
      </w:r>
      <w:r w:rsidRPr="00687787">
        <w:t xml:space="preserve">.  </w:t>
      </w:r>
    </w:p>
    <w:p w:rsidR="0033072C" w:rsidRPr="00687787" w:rsidP="0033072C" w14:paraId="255B87E2" w14:textId="77777777">
      <w:pPr>
        <w:ind w:left="360"/>
      </w:pPr>
      <w:hyperlink r:id="rId7" w:history="1">
        <w:r w:rsidRPr="00687787">
          <w:rPr>
            <w:rStyle w:val="Hyperlink"/>
          </w:rPr>
          <w:t>https://www.bls.gov/oes/current/oes_stru.htm</w:t>
        </w:r>
      </w:hyperlink>
      <w:r w:rsidRPr="00687787">
        <w:t xml:space="preserve"> </w:t>
      </w:r>
    </w:p>
    <w:p w:rsidR="00542413" w:rsidRPr="00687787" w:rsidP="008F570D" w14:paraId="26232607" w14:textId="77777777">
      <w:pPr>
        <w:rPr>
          <w:i/>
          <w:iCs/>
        </w:rPr>
      </w:pPr>
    </w:p>
    <w:tbl>
      <w:tblPr>
        <w:tblW w:w="923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669"/>
        <w:gridCol w:w="1320"/>
        <w:gridCol w:w="1170"/>
        <w:gridCol w:w="1035"/>
        <w:gridCol w:w="1008"/>
        <w:gridCol w:w="960"/>
        <w:gridCol w:w="1074"/>
      </w:tblGrid>
      <w:tr w14:paraId="3DDE53E5" w14:textId="77777777" w:rsidTr="00BE01B6">
        <w:tblPrEx>
          <w:tblW w:w="923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2669" w:type="dxa"/>
            <w:shd w:val="clear" w:color="auto" w:fill="BFBFBF" w:themeFill="background1" w:themeFillShade="BF"/>
            <w:vAlign w:val="center"/>
          </w:tcPr>
          <w:p w:rsidR="00542413" w:rsidRPr="00687787" w:rsidP="008F570D" w14:paraId="2381BB0C" w14:textId="77777777">
            <w:pPr>
              <w:jc w:val="center"/>
              <w:rPr>
                <w:sz w:val="20"/>
                <w:szCs w:val="20"/>
              </w:rPr>
            </w:pPr>
            <w:r w:rsidRPr="00687787">
              <w:rPr>
                <w:sz w:val="20"/>
                <w:szCs w:val="20"/>
              </w:rPr>
              <w:t>Instrument</w:t>
            </w:r>
          </w:p>
        </w:tc>
        <w:tc>
          <w:tcPr>
            <w:tcW w:w="1320" w:type="dxa"/>
            <w:shd w:val="clear" w:color="auto" w:fill="BFBFBF" w:themeFill="background1" w:themeFillShade="BF"/>
            <w:vAlign w:val="center"/>
          </w:tcPr>
          <w:p w:rsidR="00542413" w:rsidRPr="00687787" w:rsidP="008F570D" w14:paraId="42F19101" w14:textId="77777777">
            <w:pPr>
              <w:jc w:val="center"/>
              <w:rPr>
                <w:sz w:val="20"/>
                <w:szCs w:val="20"/>
              </w:rPr>
            </w:pPr>
            <w:r w:rsidRPr="00687787">
              <w:rPr>
                <w:sz w:val="20"/>
                <w:szCs w:val="20"/>
              </w:rPr>
              <w:t>Total Number of Respondents</w:t>
            </w:r>
          </w:p>
        </w:tc>
        <w:tc>
          <w:tcPr>
            <w:tcW w:w="1170" w:type="dxa"/>
            <w:shd w:val="clear" w:color="auto" w:fill="BFBFBF" w:themeFill="background1" w:themeFillShade="BF"/>
            <w:vAlign w:val="center"/>
          </w:tcPr>
          <w:p w:rsidR="00542413" w:rsidRPr="00687787" w:rsidP="008F570D" w14:paraId="714F2F09" w14:textId="4691739D">
            <w:pPr>
              <w:jc w:val="center"/>
              <w:rPr>
                <w:sz w:val="20"/>
                <w:szCs w:val="20"/>
              </w:rPr>
            </w:pPr>
            <w:r w:rsidRPr="00687787">
              <w:rPr>
                <w:sz w:val="20"/>
                <w:szCs w:val="20"/>
              </w:rPr>
              <w:t>Total Number of Responses Per Respondent</w:t>
            </w:r>
          </w:p>
        </w:tc>
        <w:tc>
          <w:tcPr>
            <w:tcW w:w="1035" w:type="dxa"/>
            <w:shd w:val="clear" w:color="auto" w:fill="BFBFBF" w:themeFill="background1" w:themeFillShade="BF"/>
            <w:vAlign w:val="center"/>
          </w:tcPr>
          <w:p w:rsidR="00542413" w:rsidRPr="00687787" w:rsidP="008F570D" w14:paraId="05CC723F" w14:textId="77777777">
            <w:pPr>
              <w:jc w:val="center"/>
              <w:rPr>
                <w:sz w:val="20"/>
                <w:szCs w:val="20"/>
              </w:rPr>
            </w:pPr>
            <w:r w:rsidRPr="00687787">
              <w:rPr>
                <w:sz w:val="20"/>
                <w:szCs w:val="20"/>
              </w:rPr>
              <w:t>Average Burden Hours Per Response</w:t>
            </w:r>
          </w:p>
        </w:tc>
        <w:tc>
          <w:tcPr>
            <w:tcW w:w="1008" w:type="dxa"/>
            <w:shd w:val="clear" w:color="auto" w:fill="BFBFBF" w:themeFill="background1" w:themeFillShade="BF"/>
            <w:vAlign w:val="center"/>
          </w:tcPr>
          <w:p w:rsidR="00542413" w:rsidRPr="00687787" w:rsidP="00542413" w14:paraId="110C4AE5" w14:textId="77777777">
            <w:pPr>
              <w:jc w:val="center"/>
              <w:rPr>
                <w:bCs/>
                <w:sz w:val="20"/>
                <w:szCs w:val="20"/>
              </w:rPr>
            </w:pPr>
            <w:r w:rsidRPr="00687787">
              <w:rPr>
                <w:bCs/>
                <w:sz w:val="20"/>
                <w:szCs w:val="20"/>
              </w:rPr>
              <w:t>Total</w:t>
            </w:r>
          </w:p>
          <w:p w:rsidR="00542413" w:rsidRPr="00687787" w:rsidP="00542413" w14:paraId="1F591B58" w14:textId="47332B2D">
            <w:pPr>
              <w:jc w:val="center"/>
              <w:rPr>
                <w:bCs/>
                <w:sz w:val="20"/>
                <w:szCs w:val="20"/>
              </w:rPr>
            </w:pPr>
            <w:r w:rsidRPr="00687787">
              <w:rPr>
                <w:bCs/>
                <w:sz w:val="20"/>
                <w:szCs w:val="20"/>
              </w:rPr>
              <w:t>Burden Hours</w:t>
            </w:r>
          </w:p>
        </w:tc>
        <w:tc>
          <w:tcPr>
            <w:tcW w:w="960" w:type="dxa"/>
            <w:shd w:val="clear" w:color="auto" w:fill="BFBFBF" w:themeFill="background1" w:themeFillShade="BF"/>
            <w:vAlign w:val="center"/>
          </w:tcPr>
          <w:p w:rsidR="00542413" w:rsidRPr="00687787" w:rsidP="008F570D" w14:paraId="45DFE675" w14:textId="77777777">
            <w:pPr>
              <w:jc w:val="center"/>
              <w:rPr>
                <w:sz w:val="20"/>
                <w:szCs w:val="20"/>
              </w:rPr>
            </w:pPr>
            <w:r w:rsidRPr="00687787">
              <w:rPr>
                <w:bCs/>
                <w:sz w:val="20"/>
                <w:szCs w:val="20"/>
              </w:rPr>
              <w:t>Average Hourly Wage</w:t>
            </w:r>
          </w:p>
        </w:tc>
        <w:tc>
          <w:tcPr>
            <w:tcW w:w="1074" w:type="dxa"/>
            <w:shd w:val="clear" w:color="auto" w:fill="BFBFBF" w:themeFill="background1" w:themeFillShade="BF"/>
            <w:vAlign w:val="center"/>
          </w:tcPr>
          <w:p w:rsidR="00542413" w:rsidRPr="00687787" w:rsidP="008F570D" w14:paraId="39990194" w14:textId="77777777">
            <w:pPr>
              <w:jc w:val="center"/>
              <w:rPr>
                <w:sz w:val="20"/>
                <w:szCs w:val="20"/>
              </w:rPr>
            </w:pPr>
            <w:r w:rsidRPr="00687787">
              <w:rPr>
                <w:bCs/>
                <w:sz w:val="20"/>
                <w:szCs w:val="20"/>
              </w:rPr>
              <w:t>Total Annual Cost</w:t>
            </w:r>
          </w:p>
        </w:tc>
      </w:tr>
      <w:tr w14:paraId="7CE63E36" w14:textId="77777777" w:rsidTr="00BE01B6">
        <w:tblPrEx>
          <w:tblW w:w="9236" w:type="dxa"/>
          <w:jc w:val="center"/>
          <w:tblLook w:val="00A0"/>
        </w:tblPrEx>
        <w:trPr>
          <w:trHeight w:val="432"/>
          <w:jc w:val="center"/>
        </w:trPr>
        <w:tc>
          <w:tcPr>
            <w:tcW w:w="2669" w:type="dxa"/>
            <w:vAlign w:val="center"/>
          </w:tcPr>
          <w:p w:rsidR="00542413" w:rsidRPr="00687787" w:rsidP="008F570D" w14:paraId="15455CD3" w14:textId="192AAB7D">
            <w:pPr>
              <w:tabs>
                <w:tab w:val="center" w:pos="4320"/>
                <w:tab w:val="right" w:pos="8640"/>
              </w:tabs>
              <w:rPr>
                <w:sz w:val="20"/>
                <w:szCs w:val="20"/>
              </w:rPr>
            </w:pPr>
            <w:r w:rsidRPr="00687787">
              <w:rPr>
                <w:sz w:val="20"/>
                <w:szCs w:val="20"/>
              </w:rPr>
              <w:t>Survey for Staff Supporting Infants and Toddlers</w:t>
            </w:r>
            <w:r w:rsidRPr="00687787" w:rsidR="009A0CBD">
              <w:rPr>
                <w:sz w:val="20"/>
                <w:szCs w:val="20"/>
              </w:rPr>
              <w:t xml:space="preserve"> – Educators</w:t>
            </w:r>
          </w:p>
        </w:tc>
        <w:tc>
          <w:tcPr>
            <w:tcW w:w="1320" w:type="dxa"/>
            <w:vAlign w:val="center"/>
          </w:tcPr>
          <w:p w:rsidR="00542413" w:rsidRPr="00687787" w:rsidP="00B75118" w14:paraId="2106BBF5" w14:textId="727A15E4">
            <w:pPr>
              <w:tabs>
                <w:tab w:val="center" w:pos="4320"/>
                <w:tab w:val="right" w:pos="8640"/>
              </w:tabs>
              <w:jc w:val="center"/>
              <w:rPr>
                <w:sz w:val="20"/>
                <w:szCs w:val="20"/>
              </w:rPr>
            </w:pPr>
            <w:r w:rsidRPr="00687787">
              <w:rPr>
                <w:sz w:val="20"/>
                <w:szCs w:val="20"/>
              </w:rPr>
              <w:t>30</w:t>
            </w:r>
            <w:r w:rsidRPr="00687787" w:rsidR="003B3426">
              <w:rPr>
                <w:sz w:val="20"/>
                <w:szCs w:val="20"/>
              </w:rPr>
              <w:t>0</w:t>
            </w:r>
          </w:p>
        </w:tc>
        <w:tc>
          <w:tcPr>
            <w:tcW w:w="1170" w:type="dxa"/>
            <w:vAlign w:val="center"/>
          </w:tcPr>
          <w:p w:rsidR="00542413" w:rsidRPr="00687787" w:rsidP="00B75118" w14:paraId="402332F4" w14:textId="1DE2A2F7">
            <w:pPr>
              <w:tabs>
                <w:tab w:val="center" w:pos="4320"/>
                <w:tab w:val="right" w:pos="8640"/>
              </w:tabs>
              <w:jc w:val="center"/>
              <w:rPr>
                <w:sz w:val="20"/>
                <w:szCs w:val="20"/>
              </w:rPr>
            </w:pPr>
            <w:r w:rsidRPr="00687787">
              <w:rPr>
                <w:sz w:val="20"/>
                <w:szCs w:val="20"/>
              </w:rPr>
              <w:t>1</w:t>
            </w:r>
          </w:p>
        </w:tc>
        <w:tc>
          <w:tcPr>
            <w:tcW w:w="1035" w:type="dxa"/>
            <w:vAlign w:val="center"/>
          </w:tcPr>
          <w:p w:rsidR="00542413" w:rsidRPr="00687787" w:rsidP="00B75118" w14:paraId="2166A45E" w14:textId="3B10B850">
            <w:pPr>
              <w:tabs>
                <w:tab w:val="center" w:pos="4320"/>
                <w:tab w:val="right" w:pos="8640"/>
              </w:tabs>
              <w:jc w:val="center"/>
              <w:rPr>
                <w:sz w:val="20"/>
                <w:szCs w:val="20"/>
              </w:rPr>
            </w:pPr>
            <w:r w:rsidRPr="00687787">
              <w:rPr>
                <w:sz w:val="20"/>
                <w:szCs w:val="20"/>
              </w:rPr>
              <w:t>.33</w:t>
            </w:r>
          </w:p>
        </w:tc>
        <w:tc>
          <w:tcPr>
            <w:tcW w:w="1008" w:type="dxa"/>
            <w:vAlign w:val="center"/>
          </w:tcPr>
          <w:p w:rsidR="00542413" w:rsidRPr="00687787" w:rsidP="00B75118" w14:paraId="5A6C5F6C" w14:textId="61AD99ED">
            <w:pPr>
              <w:tabs>
                <w:tab w:val="center" w:pos="4320"/>
                <w:tab w:val="right" w:pos="8640"/>
              </w:tabs>
              <w:jc w:val="center"/>
              <w:rPr>
                <w:sz w:val="20"/>
                <w:szCs w:val="20"/>
              </w:rPr>
            </w:pPr>
            <w:r w:rsidRPr="00687787">
              <w:rPr>
                <w:sz w:val="20"/>
                <w:szCs w:val="20"/>
              </w:rPr>
              <w:t>99</w:t>
            </w:r>
          </w:p>
        </w:tc>
        <w:tc>
          <w:tcPr>
            <w:tcW w:w="960" w:type="dxa"/>
            <w:vAlign w:val="center"/>
          </w:tcPr>
          <w:p w:rsidR="00542413" w:rsidRPr="00687787" w:rsidP="00B75118" w14:paraId="4C12A145" w14:textId="73E38C43">
            <w:pPr>
              <w:tabs>
                <w:tab w:val="center" w:pos="4320"/>
                <w:tab w:val="right" w:pos="8640"/>
              </w:tabs>
              <w:jc w:val="center"/>
              <w:rPr>
                <w:sz w:val="20"/>
                <w:szCs w:val="20"/>
              </w:rPr>
            </w:pPr>
            <w:r w:rsidRPr="00687787">
              <w:rPr>
                <w:sz w:val="20"/>
                <w:szCs w:val="20"/>
              </w:rPr>
              <w:t>$</w:t>
            </w:r>
            <w:r w:rsidRPr="00687787" w:rsidR="007C2826">
              <w:rPr>
                <w:sz w:val="20"/>
                <w:szCs w:val="20"/>
              </w:rPr>
              <w:t>39.82</w:t>
            </w:r>
          </w:p>
        </w:tc>
        <w:tc>
          <w:tcPr>
            <w:tcW w:w="1074" w:type="dxa"/>
            <w:vAlign w:val="center"/>
          </w:tcPr>
          <w:p w:rsidR="00542413" w:rsidRPr="00687787" w:rsidP="00B75118" w14:paraId="01C1A511" w14:textId="60356029">
            <w:pPr>
              <w:tabs>
                <w:tab w:val="center" w:pos="4320"/>
                <w:tab w:val="right" w:pos="8640"/>
              </w:tabs>
              <w:jc w:val="center"/>
              <w:rPr>
                <w:sz w:val="20"/>
                <w:szCs w:val="20"/>
              </w:rPr>
            </w:pPr>
            <w:r w:rsidRPr="00687787">
              <w:rPr>
                <w:sz w:val="20"/>
                <w:szCs w:val="20"/>
              </w:rPr>
              <w:t>$</w:t>
            </w:r>
            <w:r w:rsidRPr="00687787" w:rsidR="00E94056">
              <w:rPr>
                <w:sz w:val="20"/>
                <w:szCs w:val="20"/>
              </w:rPr>
              <w:t>3,</w:t>
            </w:r>
            <w:r w:rsidRPr="00687787" w:rsidR="00E740A8">
              <w:rPr>
                <w:sz w:val="20"/>
                <w:szCs w:val="20"/>
              </w:rPr>
              <w:t>942.18</w:t>
            </w:r>
          </w:p>
        </w:tc>
      </w:tr>
      <w:tr w14:paraId="79082FA8" w14:textId="77777777" w:rsidTr="00BE01B6">
        <w:tblPrEx>
          <w:tblW w:w="9236" w:type="dxa"/>
          <w:jc w:val="center"/>
          <w:tblLook w:val="00A0"/>
        </w:tblPrEx>
        <w:trPr>
          <w:trHeight w:val="432"/>
          <w:jc w:val="center"/>
        </w:trPr>
        <w:tc>
          <w:tcPr>
            <w:tcW w:w="2669" w:type="dxa"/>
            <w:vAlign w:val="center"/>
          </w:tcPr>
          <w:p w:rsidR="009A0CBD" w:rsidRPr="00687787" w:rsidP="009A0CBD" w14:paraId="27ED90F0" w14:textId="6B244516">
            <w:pPr>
              <w:tabs>
                <w:tab w:val="center" w:pos="4320"/>
                <w:tab w:val="right" w:pos="8640"/>
              </w:tabs>
              <w:rPr>
                <w:sz w:val="20"/>
                <w:szCs w:val="20"/>
              </w:rPr>
            </w:pPr>
            <w:r w:rsidRPr="00687787">
              <w:rPr>
                <w:sz w:val="20"/>
                <w:szCs w:val="20"/>
              </w:rPr>
              <w:t>Survey for Staff Supporting Infants and Toddlers - Staff Supporting Educators</w:t>
            </w:r>
          </w:p>
        </w:tc>
        <w:tc>
          <w:tcPr>
            <w:tcW w:w="1320" w:type="dxa"/>
            <w:vAlign w:val="center"/>
          </w:tcPr>
          <w:p w:rsidR="009A0CBD" w:rsidRPr="00687787" w:rsidP="009A0CBD" w14:paraId="5FDE0035" w14:textId="63FEE469">
            <w:pPr>
              <w:tabs>
                <w:tab w:val="center" w:pos="4320"/>
                <w:tab w:val="right" w:pos="8640"/>
              </w:tabs>
              <w:jc w:val="center"/>
              <w:rPr>
                <w:sz w:val="20"/>
                <w:szCs w:val="20"/>
                <w:highlight w:val="yellow"/>
              </w:rPr>
            </w:pPr>
            <w:r w:rsidRPr="00687787">
              <w:rPr>
                <w:sz w:val="20"/>
                <w:szCs w:val="20"/>
              </w:rPr>
              <w:t>300</w:t>
            </w:r>
          </w:p>
        </w:tc>
        <w:tc>
          <w:tcPr>
            <w:tcW w:w="1170" w:type="dxa"/>
            <w:vAlign w:val="center"/>
          </w:tcPr>
          <w:p w:rsidR="009A0CBD" w:rsidRPr="00687787" w:rsidP="009A0CBD" w14:paraId="345E7A43" w14:textId="597C36D8">
            <w:pPr>
              <w:tabs>
                <w:tab w:val="center" w:pos="4320"/>
                <w:tab w:val="right" w:pos="8640"/>
              </w:tabs>
              <w:jc w:val="center"/>
              <w:rPr>
                <w:sz w:val="20"/>
                <w:szCs w:val="20"/>
              </w:rPr>
            </w:pPr>
            <w:r w:rsidRPr="00687787">
              <w:rPr>
                <w:sz w:val="20"/>
                <w:szCs w:val="20"/>
              </w:rPr>
              <w:t>1</w:t>
            </w:r>
          </w:p>
        </w:tc>
        <w:tc>
          <w:tcPr>
            <w:tcW w:w="1035" w:type="dxa"/>
            <w:vAlign w:val="center"/>
          </w:tcPr>
          <w:p w:rsidR="009A0CBD" w:rsidRPr="00687787" w:rsidP="009A0CBD" w14:paraId="27851FED" w14:textId="0D50D410">
            <w:pPr>
              <w:tabs>
                <w:tab w:val="center" w:pos="4320"/>
                <w:tab w:val="right" w:pos="8640"/>
              </w:tabs>
              <w:jc w:val="center"/>
              <w:rPr>
                <w:sz w:val="20"/>
                <w:szCs w:val="20"/>
              </w:rPr>
            </w:pPr>
            <w:r w:rsidRPr="00687787">
              <w:rPr>
                <w:sz w:val="20"/>
                <w:szCs w:val="20"/>
              </w:rPr>
              <w:t>.33</w:t>
            </w:r>
          </w:p>
        </w:tc>
        <w:tc>
          <w:tcPr>
            <w:tcW w:w="1008" w:type="dxa"/>
            <w:vAlign w:val="center"/>
          </w:tcPr>
          <w:p w:rsidR="009A0CBD" w:rsidRPr="00687787" w:rsidP="009A0CBD" w14:paraId="2A6A15B1" w14:textId="2BB5B2A6">
            <w:pPr>
              <w:tabs>
                <w:tab w:val="center" w:pos="4320"/>
                <w:tab w:val="right" w:pos="8640"/>
              </w:tabs>
              <w:jc w:val="center"/>
              <w:rPr>
                <w:sz w:val="20"/>
                <w:szCs w:val="20"/>
              </w:rPr>
            </w:pPr>
            <w:r w:rsidRPr="00687787">
              <w:rPr>
                <w:sz w:val="20"/>
                <w:szCs w:val="20"/>
              </w:rPr>
              <w:t>99</w:t>
            </w:r>
          </w:p>
        </w:tc>
        <w:tc>
          <w:tcPr>
            <w:tcW w:w="960" w:type="dxa"/>
            <w:vAlign w:val="center"/>
          </w:tcPr>
          <w:p w:rsidR="009A0CBD" w:rsidRPr="00687787" w:rsidP="009A0CBD" w14:paraId="190D3377" w14:textId="7C35BB2E">
            <w:pPr>
              <w:tabs>
                <w:tab w:val="center" w:pos="4320"/>
                <w:tab w:val="right" w:pos="8640"/>
              </w:tabs>
              <w:jc w:val="center"/>
              <w:rPr>
                <w:sz w:val="20"/>
                <w:szCs w:val="20"/>
              </w:rPr>
            </w:pPr>
            <w:r w:rsidRPr="00687787">
              <w:rPr>
                <w:sz w:val="20"/>
                <w:szCs w:val="20"/>
              </w:rPr>
              <w:t>$58.96</w:t>
            </w:r>
          </w:p>
        </w:tc>
        <w:tc>
          <w:tcPr>
            <w:tcW w:w="1074" w:type="dxa"/>
            <w:vAlign w:val="center"/>
          </w:tcPr>
          <w:p w:rsidR="009A0CBD" w:rsidRPr="00687787" w:rsidP="009A0CBD" w14:paraId="2A7C2E47" w14:textId="29A9D912">
            <w:pPr>
              <w:tabs>
                <w:tab w:val="center" w:pos="4320"/>
                <w:tab w:val="right" w:pos="8640"/>
              </w:tabs>
              <w:jc w:val="center"/>
              <w:rPr>
                <w:sz w:val="20"/>
                <w:szCs w:val="20"/>
              </w:rPr>
            </w:pPr>
            <w:r w:rsidRPr="00687787">
              <w:rPr>
                <w:sz w:val="20"/>
                <w:szCs w:val="20"/>
              </w:rPr>
              <w:t>$</w:t>
            </w:r>
            <w:r w:rsidRPr="00687787" w:rsidR="00E740A8">
              <w:rPr>
                <w:sz w:val="20"/>
                <w:szCs w:val="20"/>
              </w:rPr>
              <w:t>5,837.04</w:t>
            </w:r>
          </w:p>
        </w:tc>
      </w:tr>
      <w:tr w14:paraId="127D2CB7" w14:textId="77777777" w:rsidTr="00BE01B6">
        <w:tblPrEx>
          <w:tblW w:w="9236" w:type="dxa"/>
          <w:jc w:val="center"/>
          <w:tblLook w:val="00A0"/>
        </w:tblPrEx>
        <w:trPr>
          <w:trHeight w:val="432"/>
          <w:jc w:val="center"/>
        </w:trPr>
        <w:tc>
          <w:tcPr>
            <w:tcW w:w="2669" w:type="dxa"/>
            <w:vAlign w:val="center"/>
          </w:tcPr>
          <w:p w:rsidR="00D1040C" w:rsidRPr="00BE01B6" w:rsidP="00BE01B6" w14:paraId="6D0295CA" w14:textId="5124337F">
            <w:pPr>
              <w:tabs>
                <w:tab w:val="center" w:pos="4320"/>
                <w:tab w:val="right" w:pos="8640"/>
              </w:tabs>
              <w:jc w:val="right"/>
              <w:rPr>
                <w:b/>
                <w:bCs/>
                <w:sz w:val="20"/>
                <w:szCs w:val="20"/>
              </w:rPr>
            </w:pPr>
            <w:r w:rsidRPr="00BE01B6">
              <w:rPr>
                <w:b/>
                <w:bCs/>
                <w:sz w:val="20"/>
                <w:szCs w:val="20"/>
              </w:rPr>
              <w:t xml:space="preserve">Totals: </w:t>
            </w:r>
          </w:p>
        </w:tc>
        <w:tc>
          <w:tcPr>
            <w:tcW w:w="1320" w:type="dxa"/>
            <w:vAlign w:val="center"/>
          </w:tcPr>
          <w:p w:rsidR="00D1040C" w:rsidRPr="00BE01B6" w:rsidP="009A0CBD" w14:paraId="17396517" w14:textId="6B3B9972">
            <w:pPr>
              <w:tabs>
                <w:tab w:val="center" w:pos="4320"/>
                <w:tab w:val="right" w:pos="8640"/>
              </w:tabs>
              <w:jc w:val="center"/>
              <w:rPr>
                <w:b/>
                <w:bCs/>
                <w:sz w:val="20"/>
                <w:szCs w:val="20"/>
              </w:rPr>
            </w:pPr>
            <w:r>
              <w:rPr>
                <w:b/>
                <w:bCs/>
                <w:sz w:val="20"/>
                <w:szCs w:val="20"/>
              </w:rPr>
              <w:t>6</w:t>
            </w:r>
            <w:r w:rsidRPr="00BE01B6">
              <w:rPr>
                <w:b/>
                <w:bCs/>
                <w:sz w:val="20"/>
                <w:szCs w:val="20"/>
              </w:rPr>
              <w:t>00</w:t>
            </w:r>
          </w:p>
        </w:tc>
        <w:tc>
          <w:tcPr>
            <w:tcW w:w="1170" w:type="dxa"/>
            <w:vAlign w:val="center"/>
          </w:tcPr>
          <w:p w:rsidR="00D1040C" w:rsidRPr="00BE01B6" w:rsidP="009A0CBD" w14:paraId="0FE7DCD4" w14:textId="2C3CF475">
            <w:pPr>
              <w:tabs>
                <w:tab w:val="center" w:pos="4320"/>
                <w:tab w:val="right" w:pos="8640"/>
              </w:tabs>
              <w:jc w:val="center"/>
              <w:rPr>
                <w:b/>
                <w:bCs/>
                <w:sz w:val="20"/>
                <w:szCs w:val="20"/>
              </w:rPr>
            </w:pPr>
            <w:r w:rsidRPr="00BE01B6">
              <w:rPr>
                <w:b/>
                <w:bCs/>
                <w:sz w:val="20"/>
                <w:szCs w:val="20"/>
              </w:rPr>
              <w:t>1</w:t>
            </w:r>
          </w:p>
        </w:tc>
        <w:tc>
          <w:tcPr>
            <w:tcW w:w="1035" w:type="dxa"/>
            <w:vAlign w:val="center"/>
          </w:tcPr>
          <w:p w:rsidR="00D1040C" w:rsidRPr="00BE01B6" w:rsidP="009A0CBD" w14:paraId="4D0F70B4" w14:textId="0E0C1FC4">
            <w:pPr>
              <w:tabs>
                <w:tab w:val="center" w:pos="4320"/>
                <w:tab w:val="right" w:pos="8640"/>
              </w:tabs>
              <w:jc w:val="center"/>
              <w:rPr>
                <w:b/>
                <w:bCs/>
                <w:sz w:val="20"/>
                <w:szCs w:val="20"/>
              </w:rPr>
            </w:pPr>
            <w:r w:rsidRPr="00BE01B6">
              <w:rPr>
                <w:b/>
                <w:bCs/>
                <w:sz w:val="20"/>
                <w:szCs w:val="20"/>
              </w:rPr>
              <w:t>.33</w:t>
            </w:r>
          </w:p>
        </w:tc>
        <w:tc>
          <w:tcPr>
            <w:tcW w:w="1008" w:type="dxa"/>
            <w:vAlign w:val="center"/>
          </w:tcPr>
          <w:p w:rsidR="00D1040C" w:rsidRPr="00BE01B6" w:rsidP="009A0CBD" w14:paraId="6463925D" w14:textId="0948D8B0">
            <w:pPr>
              <w:tabs>
                <w:tab w:val="center" w:pos="4320"/>
                <w:tab w:val="right" w:pos="8640"/>
              </w:tabs>
              <w:jc w:val="center"/>
              <w:rPr>
                <w:b/>
                <w:bCs/>
                <w:sz w:val="20"/>
                <w:szCs w:val="20"/>
              </w:rPr>
            </w:pPr>
            <w:r w:rsidRPr="00BE01B6">
              <w:rPr>
                <w:b/>
                <w:bCs/>
                <w:sz w:val="20"/>
                <w:szCs w:val="20"/>
              </w:rPr>
              <w:t>198</w:t>
            </w:r>
          </w:p>
        </w:tc>
        <w:tc>
          <w:tcPr>
            <w:tcW w:w="960" w:type="dxa"/>
            <w:vAlign w:val="center"/>
          </w:tcPr>
          <w:p w:rsidR="00D1040C" w:rsidRPr="00BE01B6" w:rsidP="009A0CBD" w14:paraId="5AF2E5FB" w14:textId="77777777">
            <w:pPr>
              <w:tabs>
                <w:tab w:val="center" w:pos="4320"/>
                <w:tab w:val="right" w:pos="8640"/>
              </w:tabs>
              <w:jc w:val="center"/>
              <w:rPr>
                <w:b/>
                <w:bCs/>
                <w:sz w:val="20"/>
                <w:szCs w:val="20"/>
              </w:rPr>
            </w:pPr>
          </w:p>
        </w:tc>
        <w:tc>
          <w:tcPr>
            <w:tcW w:w="1074" w:type="dxa"/>
            <w:vAlign w:val="center"/>
          </w:tcPr>
          <w:p w:rsidR="00D1040C" w:rsidRPr="00BE01B6" w:rsidP="009A0CBD" w14:paraId="336DB31D" w14:textId="3607D461">
            <w:pPr>
              <w:tabs>
                <w:tab w:val="center" w:pos="4320"/>
                <w:tab w:val="right" w:pos="8640"/>
              </w:tabs>
              <w:jc w:val="center"/>
              <w:rPr>
                <w:b/>
                <w:bCs/>
                <w:sz w:val="20"/>
                <w:szCs w:val="20"/>
              </w:rPr>
            </w:pPr>
            <w:r w:rsidRPr="00BE01B6">
              <w:rPr>
                <w:b/>
                <w:bCs/>
                <w:sz w:val="20"/>
                <w:szCs w:val="20"/>
              </w:rPr>
              <w:t>$9,799.22</w:t>
            </w:r>
          </w:p>
        </w:tc>
      </w:tr>
    </w:tbl>
    <w:p w:rsidR="00436F5E" w:rsidRPr="00687787" w:rsidP="008F570D" w14:paraId="4FC5BEDE" w14:textId="77777777"/>
    <w:p w:rsidR="002338AC" w:rsidRPr="00687787" w:rsidP="008F570D" w14:paraId="3C895703" w14:textId="77777777">
      <w:pPr>
        <w:ind w:left="360"/>
      </w:pPr>
    </w:p>
    <w:p w:rsidR="00945CD6" w:rsidRPr="00687787" w:rsidP="00542413" w14:paraId="7BDBE261" w14:textId="77777777">
      <w:pPr>
        <w:spacing w:after="120"/>
        <w:rPr>
          <w:b/>
        </w:rPr>
      </w:pPr>
      <w:r w:rsidRPr="00687787">
        <w:rPr>
          <w:b/>
        </w:rPr>
        <w:t xml:space="preserve">A13. </w:t>
      </w:r>
      <w:r w:rsidRPr="00687787">
        <w:rPr>
          <w:b/>
        </w:rPr>
        <w:t>Cost Burden to Respondents or Record Keepers</w:t>
      </w:r>
    </w:p>
    <w:p w:rsidR="00D90EF6" w:rsidRPr="00BE01B6" w:rsidP="008F570D" w14:paraId="3D88B0B4" w14:textId="77777777">
      <w:r w:rsidRPr="00687787">
        <w:t>There are no additional costs to respondents.</w:t>
      </w:r>
    </w:p>
    <w:p w:rsidR="00BE7952" w:rsidRPr="00687787" w:rsidP="008F570D" w14:paraId="6BC5843E" w14:textId="77777777"/>
    <w:p w:rsidR="002338AC" w:rsidRPr="00687787" w:rsidP="008F570D" w14:paraId="136F28B3" w14:textId="77777777"/>
    <w:p w:rsidR="00945CD6" w:rsidRPr="00687787" w:rsidP="00676239" w14:paraId="2A791D57" w14:textId="77777777">
      <w:pPr>
        <w:spacing w:after="120"/>
        <w:rPr>
          <w:b/>
        </w:rPr>
      </w:pPr>
      <w:r w:rsidRPr="00687787">
        <w:rPr>
          <w:b/>
        </w:rPr>
        <w:t xml:space="preserve">A14. </w:t>
      </w:r>
      <w:r w:rsidRPr="00687787">
        <w:rPr>
          <w:b/>
        </w:rPr>
        <w:t>Estimate of Cost to the Federal Government</w:t>
      </w:r>
    </w:p>
    <w:p w:rsidR="009E5641" w:rsidRPr="00687787" w:rsidP="009E5641" w14:paraId="797FB731" w14:textId="7D6497C8">
      <w:r w:rsidRPr="00687787">
        <w:t>The total cost for the data collection activities under this current request will be $2,028.00.  Federal staff costs are estimated to be about 20 hours of the time of a staff at the GS-12 labor category to oversee the activities of this data collection.</w:t>
      </w:r>
    </w:p>
    <w:p w:rsidR="00436F5E" w:rsidRPr="00687787" w:rsidP="008F570D" w14:paraId="304B1383" w14:textId="748441F1"/>
    <w:p w:rsidR="0033072C" w:rsidRPr="00687787" w:rsidP="008F570D" w14:paraId="10E2AD7E" w14:textId="77777777"/>
    <w:p w:rsidR="00945CD6" w:rsidRPr="00687787" w:rsidP="008F570D" w14:paraId="4B385444" w14:textId="77777777">
      <w:pPr>
        <w:spacing w:after="120"/>
        <w:rPr>
          <w:b/>
        </w:rPr>
      </w:pPr>
      <w:r w:rsidRPr="00687787">
        <w:rPr>
          <w:b/>
        </w:rPr>
        <w:t xml:space="preserve">A15. </w:t>
      </w:r>
      <w:r w:rsidRPr="00687787">
        <w:rPr>
          <w:b/>
        </w:rPr>
        <w:t>Change in Burden</w:t>
      </w:r>
    </w:p>
    <w:p w:rsidR="00CB2ED6" w:rsidRPr="00687787" w:rsidP="008F570D" w14:paraId="4B05A013" w14:textId="02FAB3E5">
      <w:r w:rsidRPr="00687787">
        <w:t xml:space="preserve">This is for an individual information collection under the umbrella </w:t>
      </w:r>
      <w:r w:rsidRPr="00687787" w:rsidR="001140AB">
        <w:t>formative generic clearance for program support (0970-0531</w:t>
      </w:r>
      <w:r w:rsidRPr="00687787" w:rsidR="00542413">
        <w:t>).</w:t>
      </w:r>
    </w:p>
    <w:p w:rsidR="002338AC" w:rsidRPr="00687787" w:rsidP="008F570D" w14:paraId="31DADDE8" w14:textId="632686D3">
      <w:pPr>
        <w:ind w:left="360"/>
      </w:pPr>
    </w:p>
    <w:p w:rsidR="00D1040C" w:rsidRPr="00687787" w:rsidP="008F570D" w14:paraId="15B8C33D" w14:textId="77777777">
      <w:pPr>
        <w:ind w:left="360"/>
      </w:pPr>
    </w:p>
    <w:p w:rsidR="00D1040C" w:rsidP="008F570D" w14:paraId="0625872C" w14:textId="77777777">
      <w:pPr>
        <w:spacing w:after="60"/>
        <w:rPr>
          <w:b/>
        </w:rPr>
      </w:pPr>
    </w:p>
    <w:p w:rsidR="00D1040C" w:rsidP="008F570D" w14:paraId="77D55B5D" w14:textId="77777777">
      <w:pPr>
        <w:spacing w:after="60"/>
        <w:rPr>
          <w:b/>
        </w:rPr>
      </w:pPr>
    </w:p>
    <w:p w:rsidR="00D1040C" w:rsidP="008F570D" w14:paraId="6F897786" w14:textId="77777777">
      <w:pPr>
        <w:spacing w:after="60"/>
        <w:rPr>
          <w:b/>
        </w:rPr>
      </w:pPr>
    </w:p>
    <w:p w:rsidR="00945CD6" w:rsidRPr="00687787" w:rsidP="008F570D" w14:paraId="347FE16D" w14:textId="7DC451F7">
      <w:pPr>
        <w:spacing w:after="60"/>
        <w:rPr>
          <w:b/>
        </w:rPr>
      </w:pPr>
      <w:r w:rsidRPr="00687787">
        <w:rPr>
          <w:b/>
        </w:rPr>
        <w:t xml:space="preserve">A16. </w:t>
      </w:r>
      <w:r w:rsidRPr="00687787">
        <w:rPr>
          <w:b/>
        </w:rPr>
        <w:t>Plan and Time Schedule for Information Collection, Tabulation and Publication</w:t>
      </w:r>
    </w:p>
    <w:p w:rsidR="00295F57" w:rsidRPr="00687787" w:rsidP="00295F57" w14:paraId="5D0BB130" w14:textId="22EA4250">
      <w:r w:rsidRPr="00687787">
        <w:t xml:space="preserve">Data collection will begin following OMB approval and we anticipate keeping the survey open for about 2 weeks, or until </w:t>
      </w:r>
      <w:r w:rsidRPr="00687787" w:rsidR="00F20EB8">
        <w:t>6</w:t>
      </w:r>
      <w:r w:rsidRPr="00687787">
        <w:t xml:space="preserve">00 responses have been received. </w:t>
      </w:r>
      <w:bookmarkStart w:id="4" w:name="_Hlk175917280"/>
      <w:r w:rsidRPr="00687787">
        <w:t>The data is only intended for internal capacity building and no publications are expected as a result of this data collection.</w:t>
      </w:r>
      <w:bookmarkEnd w:id="4"/>
    </w:p>
    <w:p w:rsidR="002338AC" w:rsidRPr="00687787" w:rsidP="008F570D" w14:paraId="565D87F6" w14:textId="77777777">
      <w:pPr>
        <w:rPr>
          <w:b/>
        </w:rPr>
      </w:pPr>
    </w:p>
    <w:p w:rsidR="002338AC" w:rsidRPr="00687787" w:rsidP="008F570D" w14:paraId="5D35D3D0" w14:textId="77777777">
      <w:pPr>
        <w:rPr>
          <w:b/>
        </w:rPr>
      </w:pPr>
    </w:p>
    <w:p w:rsidR="00945CD6" w:rsidRPr="00687787" w:rsidP="008F570D" w14:paraId="750BBE88" w14:textId="77777777">
      <w:pPr>
        <w:spacing w:after="120"/>
        <w:rPr>
          <w:b/>
        </w:rPr>
      </w:pPr>
      <w:r w:rsidRPr="00687787">
        <w:rPr>
          <w:b/>
        </w:rPr>
        <w:t xml:space="preserve">A17. </w:t>
      </w:r>
      <w:r w:rsidRPr="00687787">
        <w:rPr>
          <w:b/>
        </w:rPr>
        <w:t>Reasons Not to Display OMB Expiration Date</w:t>
      </w:r>
    </w:p>
    <w:p w:rsidR="00D90EF6" w:rsidRPr="00687787" w:rsidP="008F570D" w14:paraId="5E995DCB" w14:textId="77777777">
      <w:r w:rsidRPr="00687787">
        <w:t>All instruments will display the expiration date for OMB approval.</w:t>
      </w:r>
    </w:p>
    <w:p w:rsidR="005046F0" w:rsidRPr="00687787" w:rsidP="008F570D" w14:paraId="3CB00E49" w14:textId="77777777">
      <w:pPr>
        <w:ind w:left="360"/>
      </w:pPr>
    </w:p>
    <w:p w:rsidR="002338AC" w:rsidRPr="00687787" w:rsidP="008F570D" w14:paraId="4920E2AE" w14:textId="77777777">
      <w:pPr>
        <w:ind w:left="360"/>
      </w:pPr>
    </w:p>
    <w:p w:rsidR="00945CD6" w:rsidRPr="00687787" w:rsidP="008F570D" w14:paraId="0DA51717" w14:textId="77777777">
      <w:pPr>
        <w:spacing w:after="120"/>
        <w:rPr>
          <w:b/>
        </w:rPr>
      </w:pPr>
      <w:r w:rsidRPr="00687787">
        <w:rPr>
          <w:b/>
        </w:rPr>
        <w:t>A18.</w:t>
      </w:r>
      <w:r w:rsidRPr="00687787" w:rsidR="000B5EA8">
        <w:rPr>
          <w:b/>
        </w:rPr>
        <w:t xml:space="preserve"> Exceptions to Certification for Paperwork Reduction Act Submissions</w:t>
      </w:r>
    </w:p>
    <w:p w:rsidR="00D90EF6" w:rsidRPr="00687787" w:rsidP="008F570D" w14:paraId="117373B9" w14:textId="586B3201">
      <w:r w:rsidRPr="00687787">
        <w:t xml:space="preserve">No exceptions are necessary for this information </w:t>
      </w:r>
      <w:r w:rsidRPr="00687787" w:rsidR="62BB49AC">
        <w:t>collection.</w:t>
      </w:r>
    </w:p>
    <w:p w:rsidR="00D90EF6" w:rsidRPr="00687787" w:rsidP="008F570D" w14:paraId="152B33B0" w14:textId="77777777"/>
    <w:p w:rsidR="00AA29C0" w:rsidRPr="00687787" w:rsidP="008F570D" w14:paraId="356A923F" w14:textId="77777777"/>
    <w:p w:rsidR="00D06D5F" w:rsidRPr="00687787" w:rsidP="008F570D" w14:paraId="54795446" w14:textId="77777777">
      <w:pPr>
        <w:tabs>
          <w:tab w:val="left" w:pos="360"/>
        </w:tabs>
      </w:pPr>
    </w:p>
    <w:p w:rsidR="00201F72" w:rsidRPr="00687787" w:rsidP="00201F72" w14:paraId="12DE8FF2" w14:textId="77777777">
      <w:pPr>
        <w:spacing w:after="120"/>
        <w:rPr>
          <w:b/>
        </w:rPr>
      </w:pPr>
      <w:bookmarkStart w:id="5" w:name="_Hlk176514774"/>
      <w:r w:rsidRPr="00687787">
        <w:rPr>
          <w:b/>
        </w:rPr>
        <w:t>Attachments</w:t>
      </w:r>
    </w:p>
    <w:p w:rsidR="0072204D" w:rsidRPr="00687787" w:rsidP="008F570D" w14:paraId="4DA2F605" w14:textId="4616D7A7">
      <w:r w:rsidRPr="00687787">
        <w:t>Instrument: Survey</w:t>
      </w:r>
      <w:r w:rsidRPr="00687787" w:rsidR="00F8213A">
        <w:t xml:space="preserve"> </w:t>
      </w:r>
      <w:r w:rsidRPr="00687787">
        <w:t>for</w:t>
      </w:r>
      <w:r w:rsidRPr="00687787" w:rsidR="00F8213A">
        <w:t xml:space="preserve"> </w:t>
      </w:r>
      <w:r w:rsidRPr="00687787">
        <w:t>Staff</w:t>
      </w:r>
      <w:r w:rsidRPr="00687787" w:rsidR="00F8213A">
        <w:t xml:space="preserve"> </w:t>
      </w:r>
      <w:r w:rsidRPr="00687787">
        <w:t>Supporting</w:t>
      </w:r>
      <w:r w:rsidRPr="00687787" w:rsidR="00F8213A">
        <w:t xml:space="preserve"> </w:t>
      </w:r>
      <w:r w:rsidRPr="00687787">
        <w:t>Infants</w:t>
      </w:r>
      <w:r w:rsidRPr="00687787" w:rsidR="00F8213A">
        <w:t xml:space="preserve"> </w:t>
      </w:r>
      <w:r w:rsidRPr="00687787">
        <w:t>and</w:t>
      </w:r>
      <w:r w:rsidRPr="00687787" w:rsidR="00F8213A">
        <w:t xml:space="preserve"> </w:t>
      </w:r>
      <w:r w:rsidRPr="00687787">
        <w:t>Toddlers</w:t>
      </w:r>
      <w:bookmarkEnd w:id="5"/>
    </w:p>
    <w:sectPr w:rsidSect="005D3A89">
      <w:footerReference w:type="default" r:id="rId8"/>
      <w:pgSz w:w="12240" w:h="15840"/>
      <w:pgMar w:top="216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7D83"/>
    <w:multiLevelType w:val="hybridMultilevel"/>
    <w:tmpl w:val="D49CF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D13450"/>
    <w:multiLevelType w:val="hybridMultilevel"/>
    <w:tmpl w:val="60CE2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9525500">
    <w:abstractNumId w:val="6"/>
  </w:num>
  <w:num w:numId="2" w16cid:durableId="255480345">
    <w:abstractNumId w:val="3"/>
  </w:num>
  <w:num w:numId="3" w16cid:durableId="1545756235">
    <w:abstractNumId w:val="17"/>
  </w:num>
  <w:num w:numId="4" w16cid:durableId="336227828">
    <w:abstractNumId w:val="10"/>
  </w:num>
  <w:num w:numId="5" w16cid:durableId="1242519074">
    <w:abstractNumId w:val="11"/>
  </w:num>
  <w:num w:numId="6" w16cid:durableId="357507769">
    <w:abstractNumId w:val="19"/>
  </w:num>
  <w:num w:numId="7" w16cid:durableId="244414001">
    <w:abstractNumId w:val="18"/>
  </w:num>
  <w:num w:numId="8" w16cid:durableId="108745782">
    <w:abstractNumId w:val="13"/>
  </w:num>
  <w:num w:numId="9" w16cid:durableId="458037494">
    <w:abstractNumId w:val="15"/>
  </w:num>
  <w:num w:numId="10" w16cid:durableId="1000961865">
    <w:abstractNumId w:val="4"/>
  </w:num>
  <w:num w:numId="11" w16cid:durableId="301472387">
    <w:abstractNumId w:val="2"/>
  </w:num>
  <w:num w:numId="12" w16cid:durableId="33773473">
    <w:abstractNumId w:val="5"/>
  </w:num>
  <w:num w:numId="13" w16cid:durableId="1573157243">
    <w:abstractNumId w:val="20"/>
  </w:num>
  <w:num w:numId="14" w16cid:durableId="2107068017">
    <w:abstractNumId w:val="8"/>
  </w:num>
  <w:num w:numId="15" w16cid:durableId="1295327047">
    <w:abstractNumId w:val="9"/>
  </w:num>
  <w:num w:numId="16" w16cid:durableId="881868365">
    <w:abstractNumId w:val="24"/>
  </w:num>
  <w:num w:numId="17" w16cid:durableId="1877037257">
    <w:abstractNumId w:val="25"/>
  </w:num>
  <w:num w:numId="18" w16cid:durableId="75978862">
    <w:abstractNumId w:val="22"/>
  </w:num>
  <w:num w:numId="19" w16cid:durableId="1697581576">
    <w:abstractNumId w:val="21"/>
  </w:num>
  <w:num w:numId="20" w16cid:durableId="16320551">
    <w:abstractNumId w:val="16"/>
  </w:num>
  <w:num w:numId="21" w16cid:durableId="1814563288">
    <w:abstractNumId w:val="23"/>
  </w:num>
  <w:num w:numId="22" w16cid:durableId="1565917647">
    <w:abstractNumId w:val="14"/>
  </w:num>
  <w:num w:numId="23" w16cid:durableId="1342512101">
    <w:abstractNumId w:val="12"/>
  </w:num>
  <w:num w:numId="24" w16cid:durableId="1985352462">
    <w:abstractNumId w:val="7"/>
  </w:num>
  <w:num w:numId="25" w16cid:durableId="2102409075">
    <w:abstractNumId w:val="0"/>
  </w:num>
  <w:num w:numId="26" w16cid:durableId="1327778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00F3"/>
    <w:rsid w:val="000134C1"/>
    <w:rsid w:val="000431B8"/>
    <w:rsid w:val="0008643E"/>
    <w:rsid w:val="00091C59"/>
    <w:rsid w:val="000964A6"/>
    <w:rsid w:val="000A23E9"/>
    <w:rsid w:val="000B5EA8"/>
    <w:rsid w:val="000D53DF"/>
    <w:rsid w:val="000F3740"/>
    <w:rsid w:val="001140AB"/>
    <w:rsid w:val="001176A6"/>
    <w:rsid w:val="00124EBF"/>
    <w:rsid w:val="00130457"/>
    <w:rsid w:val="0016012E"/>
    <w:rsid w:val="00183C0F"/>
    <w:rsid w:val="001A5AF9"/>
    <w:rsid w:val="001C4D60"/>
    <w:rsid w:val="001D3429"/>
    <w:rsid w:val="001E4B55"/>
    <w:rsid w:val="001F1E1E"/>
    <w:rsid w:val="00201F72"/>
    <w:rsid w:val="0020382F"/>
    <w:rsid w:val="00204A6A"/>
    <w:rsid w:val="002231FA"/>
    <w:rsid w:val="002338AC"/>
    <w:rsid w:val="00234E8D"/>
    <w:rsid w:val="00235A6D"/>
    <w:rsid w:val="002408DE"/>
    <w:rsid w:val="002455A5"/>
    <w:rsid w:val="0025173C"/>
    <w:rsid w:val="00253148"/>
    <w:rsid w:val="00271D19"/>
    <w:rsid w:val="00292B70"/>
    <w:rsid w:val="00295F57"/>
    <w:rsid w:val="002A1F68"/>
    <w:rsid w:val="002A319B"/>
    <w:rsid w:val="002B4DBE"/>
    <w:rsid w:val="002B651B"/>
    <w:rsid w:val="002C4F75"/>
    <w:rsid w:val="002D4B0A"/>
    <w:rsid w:val="0030503F"/>
    <w:rsid w:val="00323DC9"/>
    <w:rsid w:val="003277CF"/>
    <w:rsid w:val="00327B2E"/>
    <w:rsid w:val="0033072C"/>
    <w:rsid w:val="00351220"/>
    <w:rsid w:val="00374DAB"/>
    <w:rsid w:val="003814B6"/>
    <w:rsid w:val="0038291A"/>
    <w:rsid w:val="003B3426"/>
    <w:rsid w:val="003B36B1"/>
    <w:rsid w:val="003D5231"/>
    <w:rsid w:val="003D63AE"/>
    <w:rsid w:val="004222F8"/>
    <w:rsid w:val="00422C1B"/>
    <w:rsid w:val="00436F5E"/>
    <w:rsid w:val="004522FF"/>
    <w:rsid w:val="004554B1"/>
    <w:rsid w:val="00456E2F"/>
    <w:rsid w:val="00482DDE"/>
    <w:rsid w:val="004A44DD"/>
    <w:rsid w:val="004B587E"/>
    <w:rsid w:val="004C2ADD"/>
    <w:rsid w:val="004D6CA9"/>
    <w:rsid w:val="004F4E1D"/>
    <w:rsid w:val="005046F0"/>
    <w:rsid w:val="00520737"/>
    <w:rsid w:val="005353B7"/>
    <w:rsid w:val="00541024"/>
    <w:rsid w:val="00542413"/>
    <w:rsid w:val="005A3699"/>
    <w:rsid w:val="005A64C5"/>
    <w:rsid w:val="005D3A89"/>
    <w:rsid w:val="005F2061"/>
    <w:rsid w:val="00600F8B"/>
    <w:rsid w:val="006010CA"/>
    <w:rsid w:val="00605E3D"/>
    <w:rsid w:val="00607351"/>
    <w:rsid w:val="006228E1"/>
    <w:rsid w:val="00651DBA"/>
    <w:rsid w:val="00657424"/>
    <w:rsid w:val="00676239"/>
    <w:rsid w:val="00680FFE"/>
    <w:rsid w:val="00687787"/>
    <w:rsid w:val="006A7EFA"/>
    <w:rsid w:val="006B6845"/>
    <w:rsid w:val="006C0DE9"/>
    <w:rsid w:val="006D2637"/>
    <w:rsid w:val="00701045"/>
    <w:rsid w:val="00711BC5"/>
    <w:rsid w:val="0072204D"/>
    <w:rsid w:val="007250A3"/>
    <w:rsid w:val="007257BE"/>
    <w:rsid w:val="0073393F"/>
    <w:rsid w:val="00736F1D"/>
    <w:rsid w:val="007436AA"/>
    <w:rsid w:val="00772457"/>
    <w:rsid w:val="0077465C"/>
    <w:rsid w:val="00784137"/>
    <w:rsid w:val="007A075B"/>
    <w:rsid w:val="007C2826"/>
    <w:rsid w:val="007D295D"/>
    <w:rsid w:val="00802D44"/>
    <w:rsid w:val="00806712"/>
    <w:rsid w:val="00851142"/>
    <w:rsid w:val="00851A97"/>
    <w:rsid w:val="0087234E"/>
    <w:rsid w:val="00877346"/>
    <w:rsid w:val="00877736"/>
    <w:rsid w:val="00882D46"/>
    <w:rsid w:val="00895E2B"/>
    <w:rsid w:val="008B7F2C"/>
    <w:rsid w:val="008C6A6B"/>
    <w:rsid w:val="008C78B4"/>
    <w:rsid w:val="008F10A2"/>
    <w:rsid w:val="008F570D"/>
    <w:rsid w:val="008F6E6D"/>
    <w:rsid w:val="00914C56"/>
    <w:rsid w:val="00924D78"/>
    <w:rsid w:val="00932D71"/>
    <w:rsid w:val="00937749"/>
    <w:rsid w:val="00945CD6"/>
    <w:rsid w:val="00957AE3"/>
    <w:rsid w:val="00961ED5"/>
    <w:rsid w:val="009648CE"/>
    <w:rsid w:val="00984BBF"/>
    <w:rsid w:val="00984CA2"/>
    <w:rsid w:val="009A0CBD"/>
    <w:rsid w:val="009B1638"/>
    <w:rsid w:val="009D47D2"/>
    <w:rsid w:val="009E28C8"/>
    <w:rsid w:val="009E5641"/>
    <w:rsid w:val="00A020E8"/>
    <w:rsid w:val="00A35B0D"/>
    <w:rsid w:val="00A35E23"/>
    <w:rsid w:val="00A412C5"/>
    <w:rsid w:val="00A44209"/>
    <w:rsid w:val="00A93C92"/>
    <w:rsid w:val="00AA29C0"/>
    <w:rsid w:val="00AA3ACD"/>
    <w:rsid w:val="00B14396"/>
    <w:rsid w:val="00B42315"/>
    <w:rsid w:val="00B648F4"/>
    <w:rsid w:val="00B66874"/>
    <w:rsid w:val="00B73ACF"/>
    <w:rsid w:val="00B75118"/>
    <w:rsid w:val="00B84547"/>
    <w:rsid w:val="00B86D00"/>
    <w:rsid w:val="00B87986"/>
    <w:rsid w:val="00B91D97"/>
    <w:rsid w:val="00BB13A6"/>
    <w:rsid w:val="00BC7435"/>
    <w:rsid w:val="00BD4CFB"/>
    <w:rsid w:val="00BE01B6"/>
    <w:rsid w:val="00BE7952"/>
    <w:rsid w:val="00C12B95"/>
    <w:rsid w:val="00C1674B"/>
    <w:rsid w:val="00C37B82"/>
    <w:rsid w:val="00C51FCA"/>
    <w:rsid w:val="00C56EA9"/>
    <w:rsid w:val="00C7466B"/>
    <w:rsid w:val="00CB2ED6"/>
    <w:rsid w:val="00CC2CD1"/>
    <w:rsid w:val="00CD1DC3"/>
    <w:rsid w:val="00CE6EFF"/>
    <w:rsid w:val="00D012A6"/>
    <w:rsid w:val="00D068EC"/>
    <w:rsid w:val="00D06D5F"/>
    <w:rsid w:val="00D1040C"/>
    <w:rsid w:val="00D277B1"/>
    <w:rsid w:val="00D44EA5"/>
    <w:rsid w:val="00D454C5"/>
    <w:rsid w:val="00D519D9"/>
    <w:rsid w:val="00D90EF6"/>
    <w:rsid w:val="00D92192"/>
    <w:rsid w:val="00D964BC"/>
    <w:rsid w:val="00DB16A0"/>
    <w:rsid w:val="00DD2301"/>
    <w:rsid w:val="00E00860"/>
    <w:rsid w:val="00E0301C"/>
    <w:rsid w:val="00E04863"/>
    <w:rsid w:val="00E05A0A"/>
    <w:rsid w:val="00E41D46"/>
    <w:rsid w:val="00E72E9A"/>
    <w:rsid w:val="00E740A8"/>
    <w:rsid w:val="00E86DB9"/>
    <w:rsid w:val="00E94056"/>
    <w:rsid w:val="00EA12DE"/>
    <w:rsid w:val="00EB5B54"/>
    <w:rsid w:val="00EB681C"/>
    <w:rsid w:val="00EC329F"/>
    <w:rsid w:val="00ED6613"/>
    <w:rsid w:val="00EF388B"/>
    <w:rsid w:val="00F07B71"/>
    <w:rsid w:val="00F20EB8"/>
    <w:rsid w:val="00F514D1"/>
    <w:rsid w:val="00F73374"/>
    <w:rsid w:val="00F8213A"/>
    <w:rsid w:val="00F84F49"/>
    <w:rsid w:val="00F97805"/>
    <w:rsid w:val="00FA05FE"/>
    <w:rsid w:val="00FC04C5"/>
    <w:rsid w:val="00FC196A"/>
    <w:rsid w:val="00FD1B70"/>
    <w:rsid w:val="00FD7600"/>
    <w:rsid w:val="00FF3048"/>
    <w:rsid w:val="00FF3250"/>
    <w:rsid w:val="02B37170"/>
    <w:rsid w:val="0FE9E8DB"/>
    <w:rsid w:val="13B9E816"/>
    <w:rsid w:val="171CA292"/>
    <w:rsid w:val="25970950"/>
    <w:rsid w:val="2DFAF7AB"/>
    <w:rsid w:val="45D77D22"/>
    <w:rsid w:val="4FF6CEF5"/>
    <w:rsid w:val="50574840"/>
    <w:rsid w:val="52A8740F"/>
    <w:rsid w:val="52A97B04"/>
    <w:rsid w:val="62BB49AC"/>
    <w:rsid w:val="66C57A03"/>
    <w:rsid w:val="6B137B9D"/>
    <w:rsid w:val="6C2B85C7"/>
    <w:rsid w:val="7135D7F9"/>
    <w:rsid w:val="7649E698"/>
    <w:rsid w:val="784636E1"/>
    <w:rsid w:val="795EA9A5"/>
    <w:rsid w:val="7ACAD42B"/>
    <w:rsid w:val="7C3E436B"/>
    <w:rsid w:val="7FFDC2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937749"/>
    <w:rPr>
      <w:sz w:val="24"/>
      <w:szCs w:val="24"/>
    </w:rPr>
  </w:style>
  <w:style w:type="character" w:styleId="FollowedHyperlink">
    <w:name w:val="FollowedHyperlink"/>
    <w:basedOn w:val="DefaultParagraphFont"/>
    <w:rsid w:val="009E5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stru.ht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9" ma:contentTypeDescription="Create a new document." ma:contentTypeScope="" ma:versionID="50c89735abe5b6e5f93f7d5294a683a6">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a544fa0dfa46ef948ad24f31da74a8f0"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AE9DAC82-2EFA-40E1-9BEB-783BF949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1339</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2024-09-06T18:14:00Z</dcterms:created>
  <dcterms:modified xsi:type="dcterms:W3CDTF">2024-09-06T18:14:00Z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ies>
</file>