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9545B" w:rsidP="0099545B" w14:paraId="23802D07" w14:textId="33A6DFB3">
      <w:pPr>
        <w:rPr>
          <w:i/>
          <w:sz w:val="16"/>
          <w:szCs w:val="16"/>
        </w:rPr>
      </w:pPr>
      <w:r w:rsidRPr="00C636CF">
        <w:rPr>
          <w:noProof/>
        </w:rPr>
        <w:drawing>
          <wp:anchor distT="0" distB="0" distL="114300" distR="114300" simplePos="0" relativeHeight="251658240" behindDoc="0" locked="0" layoutInCell="1" allowOverlap="1">
            <wp:simplePos x="0" y="0"/>
            <wp:positionH relativeFrom="column">
              <wp:posOffset>-47625</wp:posOffset>
            </wp:positionH>
            <wp:positionV relativeFrom="paragraph">
              <wp:posOffset>-555625</wp:posOffset>
            </wp:positionV>
            <wp:extent cx="6391275" cy="1600200"/>
            <wp:effectExtent l="0" t="0" r="9525" b="0"/>
            <wp:wrapNone/>
            <wp:docPr id="4" name="Picture 4" descr="BJS-Letterh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JS-Letterhead.gif"/>
                    <pic:cNvPicPr/>
                  </pic:nvPicPr>
                  <pic:blipFill>
                    <a:blip xmlns:r="http://schemas.openxmlformats.org/officeDocument/2006/relationships" r:embed="rId6"/>
                    <a:stretch>
                      <a:fillRect/>
                    </a:stretch>
                  </pic:blipFill>
                  <pic:spPr>
                    <a:xfrm>
                      <a:off x="0" y="0"/>
                      <a:ext cx="6391275" cy="1600200"/>
                    </a:xfrm>
                    <a:prstGeom prst="rect">
                      <a:avLst/>
                    </a:prstGeom>
                  </pic:spPr>
                </pic:pic>
              </a:graphicData>
            </a:graphic>
          </wp:anchor>
        </w:drawing>
      </w:r>
    </w:p>
    <w:p w:rsidR="0099545B" w:rsidP="0099545B" w14:paraId="125F2D54" w14:textId="4CC18B28">
      <w:pPr>
        <w:rPr>
          <w:i/>
          <w:sz w:val="16"/>
          <w:szCs w:val="16"/>
        </w:rPr>
      </w:pPr>
    </w:p>
    <w:p w:rsidR="0099545B" w:rsidP="0099545B" w14:paraId="7B171A51" w14:textId="3A0D3967">
      <w:pPr>
        <w:rPr>
          <w:i/>
          <w:sz w:val="16"/>
          <w:szCs w:val="16"/>
        </w:rPr>
      </w:pPr>
    </w:p>
    <w:p w:rsidR="0099545B" w:rsidP="0099545B" w14:paraId="48244F5B" w14:textId="77777777">
      <w:pPr>
        <w:rPr>
          <w:i/>
          <w:sz w:val="16"/>
          <w:szCs w:val="16"/>
        </w:rPr>
      </w:pPr>
    </w:p>
    <w:p w:rsidR="0099545B" w:rsidP="0099545B" w14:paraId="45BDBFB8" w14:textId="7DC4E458">
      <w:pPr>
        <w:rPr>
          <w:i/>
          <w:sz w:val="16"/>
          <w:szCs w:val="16"/>
        </w:rPr>
      </w:pPr>
    </w:p>
    <w:p w:rsidR="0099545B" w:rsidP="0099545B" w14:paraId="5138659E" w14:textId="77777777">
      <w:pPr>
        <w:rPr>
          <w:i/>
          <w:sz w:val="16"/>
          <w:szCs w:val="16"/>
        </w:rPr>
      </w:pPr>
    </w:p>
    <w:p w:rsidR="0099545B" w:rsidP="0099545B" w14:paraId="26E12676" w14:textId="77777777">
      <w:pPr>
        <w:rPr>
          <w:i/>
          <w:sz w:val="16"/>
          <w:szCs w:val="16"/>
        </w:rPr>
      </w:pPr>
    </w:p>
    <w:p w:rsidR="0099545B" w:rsidP="0099545B" w14:paraId="1680B839" w14:textId="77777777">
      <w:pPr>
        <w:rPr>
          <w:i/>
          <w:sz w:val="16"/>
          <w:szCs w:val="16"/>
        </w:rPr>
      </w:pPr>
    </w:p>
    <w:p w:rsidR="0099545B" w:rsidP="0099545B" w14:paraId="1597075A" w14:textId="77777777">
      <w:pPr>
        <w:rPr>
          <w:i/>
          <w:sz w:val="16"/>
          <w:szCs w:val="16"/>
        </w:rPr>
      </w:pPr>
    </w:p>
    <w:p w:rsidR="0099545B" w:rsidP="0099545B" w14:paraId="02BE60F0" w14:textId="77777777">
      <w:pPr>
        <w:rPr>
          <w:i/>
          <w:sz w:val="16"/>
          <w:szCs w:val="16"/>
        </w:rPr>
      </w:pPr>
    </w:p>
    <w:p w:rsidR="005B37E8" w:rsidP="00E61F4E" w14:paraId="315AFCA8" w14:textId="77777777">
      <w:pPr>
        <w:pStyle w:val="NoSpacing"/>
        <w:rPr>
          <w:rFonts w:asciiTheme="majorBidi" w:hAnsiTheme="majorBidi" w:cstheme="majorBidi"/>
          <w:b/>
          <w:sz w:val="24"/>
          <w:szCs w:val="24"/>
        </w:rPr>
      </w:pPr>
      <w:r w:rsidRPr="00690BED">
        <w:rPr>
          <w:rFonts w:asciiTheme="majorBidi" w:hAnsiTheme="majorBidi" w:cstheme="majorBidi"/>
          <w:b/>
          <w:sz w:val="24"/>
          <w:szCs w:val="24"/>
        </w:rPr>
        <w:t xml:space="preserve">MEMORANDUM </w:t>
      </w:r>
    </w:p>
    <w:p w:rsidR="005B37E8" w:rsidP="00E61F4E" w14:paraId="09B250FA" w14:textId="77777777">
      <w:pPr>
        <w:pStyle w:val="NoSpacing"/>
        <w:rPr>
          <w:rFonts w:asciiTheme="majorBidi" w:hAnsiTheme="majorBidi" w:cstheme="majorBidi"/>
          <w:b/>
          <w:sz w:val="24"/>
          <w:szCs w:val="24"/>
        </w:rPr>
      </w:pPr>
    </w:p>
    <w:p w:rsidR="000B14DA" w:rsidRPr="00690BED" w:rsidP="00E61F4E" w14:paraId="341CAB95" w14:textId="1D5BD619">
      <w:pPr>
        <w:pStyle w:val="NoSpacing"/>
        <w:rPr>
          <w:rFonts w:asciiTheme="majorBidi" w:hAnsiTheme="majorBidi" w:cstheme="majorBidi"/>
          <w:sz w:val="24"/>
          <w:szCs w:val="24"/>
        </w:rPr>
      </w:pPr>
      <w:r w:rsidRPr="00690BED">
        <w:rPr>
          <w:rFonts w:asciiTheme="majorBidi" w:hAnsiTheme="majorBidi" w:cstheme="majorBidi"/>
          <w:b/>
          <w:sz w:val="24"/>
          <w:szCs w:val="24"/>
        </w:rPr>
        <w:t>TO:</w:t>
      </w:r>
      <w:r w:rsidRPr="00690BED">
        <w:rPr>
          <w:rFonts w:asciiTheme="majorBidi" w:hAnsiTheme="majorBidi" w:cstheme="majorBidi"/>
          <w:sz w:val="24"/>
          <w:szCs w:val="24"/>
        </w:rPr>
        <w:tab/>
      </w:r>
      <w:r w:rsidR="005B37E8">
        <w:rPr>
          <w:rFonts w:asciiTheme="majorBidi" w:hAnsiTheme="majorBidi" w:cstheme="majorBidi"/>
          <w:sz w:val="24"/>
          <w:szCs w:val="24"/>
        </w:rPr>
        <w:tab/>
      </w:r>
      <w:r w:rsidR="005B37E8">
        <w:rPr>
          <w:rFonts w:asciiTheme="majorBidi" w:hAnsiTheme="majorBidi" w:cstheme="majorBidi"/>
          <w:sz w:val="24"/>
          <w:szCs w:val="24"/>
        </w:rPr>
        <w:tab/>
      </w:r>
      <w:r w:rsidR="005B37E8">
        <w:rPr>
          <w:rFonts w:asciiTheme="majorBidi" w:hAnsiTheme="majorBidi" w:cstheme="majorBidi"/>
          <w:sz w:val="24"/>
          <w:szCs w:val="24"/>
        </w:rPr>
        <w:tab/>
      </w:r>
      <w:r w:rsidRPr="00B21B07" w:rsidR="00C0763B">
        <w:rPr>
          <w:rFonts w:asciiTheme="majorBidi" w:hAnsiTheme="majorBidi" w:cstheme="majorBidi"/>
          <w:sz w:val="24"/>
          <w:szCs w:val="24"/>
        </w:rPr>
        <w:t>Robert Sivinski</w:t>
      </w:r>
    </w:p>
    <w:p w:rsidR="00BC6086" w:rsidRPr="00690BED" w:rsidP="00E61F4E" w14:paraId="4AEF4447" w14:textId="1022F814">
      <w:pPr>
        <w:pStyle w:val="NoSpacing"/>
        <w:rPr>
          <w:rFonts w:asciiTheme="majorBidi" w:hAnsiTheme="majorBidi" w:cstheme="majorBidi"/>
          <w:sz w:val="24"/>
          <w:szCs w:val="24"/>
        </w:rPr>
      </w:pPr>
      <w:r w:rsidRPr="00690BED">
        <w:rPr>
          <w:rFonts w:asciiTheme="majorBidi" w:hAnsiTheme="majorBidi" w:cstheme="majorBidi"/>
          <w:sz w:val="24"/>
          <w:szCs w:val="24"/>
        </w:rPr>
        <w:tab/>
      </w:r>
      <w:r w:rsidRPr="00690BED">
        <w:rPr>
          <w:rFonts w:asciiTheme="majorBidi" w:hAnsiTheme="majorBidi" w:cstheme="majorBidi"/>
          <w:sz w:val="24"/>
          <w:szCs w:val="24"/>
        </w:rPr>
        <w:tab/>
      </w:r>
      <w:r w:rsidRPr="00690BED">
        <w:rPr>
          <w:rFonts w:asciiTheme="majorBidi" w:hAnsiTheme="majorBidi" w:cstheme="majorBidi"/>
          <w:sz w:val="24"/>
          <w:szCs w:val="24"/>
        </w:rPr>
        <w:tab/>
      </w:r>
      <w:r w:rsidRPr="00690BED">
        <w:rPr>
          <w:rFonts w:asciiTheme="majorBidi" w:hAnsiTheme="majorBidi" w:cstheme="majorBidi"/>
          <w:sz w:val="24"/>
          <w:szCs w:val="24"/>
        </w:rPr>
        <w:tab/>
        <w:t xml:space="preserve">Office of Statistical </w:t>
      </w:r>
      <w:r w:rsidR="007363D4">
        <w:rPr>
          <w:rFonts w:asciiTheme="majorBidi" w:hAnsiTheme="majorBidi" w:cstheme="majorBidi"/>
          <w:sz w:val="24"/>
          <w:szCs w:val="24"/>
        </w:rPr>
        <w:t>and Science Policy</w:t>
      </w:r>
    </w:p>
    <w:p w:rsidR="000B14DA" w:rsidRPr="00690BED" w:rsidP="00E61F4E" w14:paraId="581B26C4" w14:textId="77777777">
      <w:pPr>
        <w:pStyle w:val="NoSpacing"/>
        <w:rPr>
          <w:rFonts w:asciiTheme="majorBidi" w:hAnsiTheme="majorBidi" w:cstheme="majorBidi"/>
          <w:sz w:val="24"/>
          <w:szCs w:val="24"/>
        </w:rPr>
      </w:pPr>
      <w:r w:rsidRPr="00690BED">
        <w:rPr>
          <w:rFonts w:asciiTheme="majorBidi" w:hAnsiTheme="majorBidi" w:cstheme="majorBidi"/>
          <w:sz w:val="24"/>
          <w:szCs w:val="24"/>
        </w:rPr>
        <w:tab/>
      </w:r>
      <w:r w:rsidRPr="00690BED">
        <w:rPr>
          <w:rFonts w:asciiTheme="majorBidi" w:hAnsiTheme="majorBidi" w:cstheme="majorBidi"/>
          <w:sz w:val="24"/>
          <w:szCs w:val="24"/>
        </w:rPr>
        <w:tab/>
      </w:r>
      <w:r w:rsidRPr="00690BED">
        <w:rPr>
          <w:rFonts w:asciiTheme="majorBidi" w:hAnsiTheme="majorBidi" w:cstheme="majorBidi"/>
          <w:sz w:val="24"/>
          <w:szCs w:val="24"/>
        </w:rPr>
        <w:tab/>
      </w:r>
      <w:r w:rsidRPr="00690BED">
        <w:rPr>
          <w:rFonts w:asciiTheme="majorBidi" w:hAnsiTheme="majorBidi" w:cstheme="majorBidi"/>
          <w:sz w:val="24"/>
          <w:szCs w:val="24"/>
        </w:rPr>
        <w:tab/>
      </w:r>
      <w:r w:rsidRPr="00690BED" w:rsidR="00CC6876">
        <w:rPr>
          <w:rFonts w:asciiTheme="majorBidi" w:hAnsiTheme="majorBidi" w:cstheme="majorBidi"/>
          <w:sz w:val="24"/>
          <w:szCs w:val="24"/>
        </w:rPr>
        <w:t>Office of Management and Budget</w:t>
      </w:r>
    </w:p>
    <w:p w:rsidR="000B14DA" w:rsidRPr="00690BED" w:rsidP="00E61F4E" w14:paraId="24AB1847" w14:textId="77777777">
      <w:pPr>
        <w:pStyle w:val="NoSpacing"/>
        <w:rPr>
          <w:rFonts w:asciiTheme="majorBidi" w:hAnsiTheme="majorBidi" w:cstheme="majorBidi"/>
          <w:sz w:val="24"/>
          <w:szCs w:val="24"/>
        </w:rPr>
      </w:pPr>
    </w:p>
    <w:p w:rsidR="0071374C" w:rsidRPr="0071374C" w:rsidP="00430415" w14:paraId="6BEB1DFD" w14:textId="470685CD">
      <w:pPr>
        <w:pStyle w:val="NoSpacing"/>
        <w:rPr>
          <w:rFonts w:asciiTheme="majorBidi" w:hAnsiTheme="majorBidi" w:cstheme="majorBidi"/>
          <w:sz w:val="24"/>
          <w:szCs w:val="24"/>
        </w:rPr>
      </w:pPr>
      <w:r w:rsidRPr="00690BED">
        <w:rPr>
          <w:rFonts w:asciiTheme="majorBidi" w:hAnsiTheme="majorBidi" w:cstheme="majorBidi"/>
          <w:b/>
          <w:sz w:val="24"/>
          <w:szCs w:val="24"/>
        </w:rPr>
        <w:t>THROUGH:</w:t>
      </w:r>
      <w:r w:rsidRPr="00690BED">
        <w:rPr>
          <w:rFonts w:asciiTheme="majorBidi" w:hAnsiTheme="majorBidi" w:cstheme="majorBidi"/>
          <w:sz w:val="24"/>
          <w:szCs w:val="24"/>
        </w:rPr>
        <w:t xml:space="preserve"> </w:t>
      </w:r>
      <w:r w:rsidRPr="00690BED">
        <w:rPr>
          <w:rFonts w:asciiTheme="majorBidi" w:hAnsiTheme="majorBidi" w:cstheme="majorBidi"/>
          <w:sz w:val="24"/>
          <w:szCs w:val="24"/>
        </w:rPr>
        <w:tab/>
      </w:r>
      <w:r w:rsidRPr="00690BED">
        <w:rPr>
          <w:rFonts w:asciiTheme="majorBidi" w:hAnsiTheme="majorBidi" w:cstheme="majorBidi"/>
          <w:sz w:val="24"/>
          <w:szCs w:val="24"/>
        </w:rPr>
        <w:tab/>
      </w:r>
      <w:r w:rsidRPr="00690BED">
        <w:rPr>
          <w:rFonts w:asciiTheme="majorBidi" w:hAnsiTheme="majorBidi" w:cstheme="majorBidi"/>
          <w:sz w:val="24"/>
          <w:szCs w:val="24"/>
        </w:rPr>
        <w:tab/>
      </w:r>
      <w:r w:rsidR="00A82293">
        <w:rPr>
          <w:rFonts w:asciiTheme="majorBidi" w:hAnsiTheme="majorBidi" w:cstheme="majorBidi"/>
          <w:sz w:val="24"/>
          <w:szCs w:val="24"/>
        </w:rPr>
        <w:t>Kevin M. Scott, PhD</w:t>
      </w:r>
    </w:p>
    <w:p w:rsidR="0071374C" w:rsidRPr="0071374C" w:rsidP="0071374C" w14:paraId="35EA5212" w14:textId="10311496">
      <w:pPr>
        <w:pStyle w:val="NoSpacing"/>
        <w:ind w:left="2160" w:firstLine="720"/>
        <w:rPr>
          <w:rFonts w:asciiTheme="majorBidi" w:hAnsiTheme="majorBidi" w:cstheme="majorBidi"/>
          <w:sz w:val="24"/>
          <w:szCs w:val="24"/>
        </w:rPr>
      </w:pPr>
      <w:r>
        <w:rPr>
          <w:rFonts w:asciiTheme="majorBidi" w:hAnsiTheme="majorBidi" w:cstheme="majorBidi"/>
          <w:sz w:val="24"/>
          <w:szCs w:val="24"/>
        </w:rPr>
        <w:t>Acting</w:t>
      </w:r>
      <w:r w:rsidRPr="0071374C">
        <w:rPr>
          <w:rFonts w:asciiTheme="majorBidi" w:hAnsiTheme="majorBidi" w:cstheme="majorBidi"/>
          <w:sz w:val="24"/>
          <w:szCs w:val="24"/>
        </w:rPr>
        <w:t xml:space="preserve"> Director</w:t>
      </w:r>
    </w:p>
    <w:p w:rsidR="0071374C" w:rsidRPr="0071374C" w:rsidP="0071374C" w14:paraId="795B4A63" w14:textId="77777777">
      <w:pPr>
        <w:pStyle w:val="NoSpacing"/>
        <w:ind w:left="2160" w:firstLine="720"/>
        <w:rPr>
          <w:rFonts w:asciiTheme="majorBidi" w:hAnsiTheme="majorBidi" w:cstheme="majorBidi"/>
          <w:sz w:val="24"/>
          <w:szCs w:val="24"/>
        </w:rPr>
      </w:pPr>
      <w:r w:rsidRPr="0071374C">
        <w:rPr>
          <w:rFonts w:asciiTheme="majorBidi" w:hAnsiTheme="majorBidi" w:cstheme="majorBidi"/>
          <w:sz w:val="24"/>
          <w:szCs w:val="24"/>
        </w:rPr>
        <w:t>Bureau of Justice Statistics</w:t>
      </w:r>
    </w:p>
    <w:p w:rsidR="0071374C" w:rsidRPr="0071374C" w:rsidP="0071374C" w14:paraId="3E41AD9A" w14:textId="77777777">
      <w:pPr>
        <w:pStyle w:val="NoSpacing"/>
        <w:ind w:left="2160" w:firstLine="720"/>
        <w:rPr>
          <w:rFonts w:asciiTheme="majorBidi" w:hAnsiTheme="majorBidi" w:cstheme="majorBidi"/>
          <w:sz w:val="24"/>
          <w:szCs w:val="24"/>
        </w:rPr>
      </w:pPr>
    </w:p>
    <w:p w:rsidR="0071374C" w:rsidRPr="0071374C" w:rsidP="0071374C" w14:paraId="78ADCDAD" w14:textId="2ACB0647">
      <w:pPr>
        <w:pStyle w:val="NoSpacing"/>
        <w:ind w:left="2160" w:firstLine="720"/>
        <w:rPr>
          <w:rFonts w:asciiTheme="majorBidi" w:hAnsiTheme="majorBidi" w:cstheme="majorBidi"/>
          <w:sz w:val="24"/>
          <w:szCs w:val="24"/>
        </w:rPr>
      </w:pPr>
      <w:r w:rsidRPr="0071374C">
        <w:rPr>
          <w:rFonts w:asciiTheme="majorBidi" w:hAnsiTheme="majorBidi" w:cstheme="majorBidi"/>
          <w:sz w:val="24"/>
          <w:szCs w:val="24"/>
        </w:rPr>
        <w:t>Shelley Hyland</w:t>
      </w:r>
      <w:r w:rsidR="00A82293">
        <w:rPr>
          <w:rFonts w:asciiTheme="majorBidi" w:hAnsiTheme="majorBidi" w:cstheme="majorBidi"/>
          <w:sz w:val="24"/>
          <w:szCs w:val="24"/>
        </w:rPr>
        <w:t>, PhD</w:t>
      </w:r>
    </w:p>
    <w:p w:rsidR="0071374C" w:rsidRPr="0071374C" w:rsidP="0071374C" w14:paraId="3EB852CB" w14:textId="77777777">
      <w:pPr>
        <w:pStyle w:val="NoSpacing"/>
        <w:ind w:left="2160" w:firstLine="720"/>
        <w:rPr>
          <w:rFonts w:asciiTheme="majorBidi" w:hAnsiTheme="majorBidi" w:cstheme="majorBidi"/>
          <w:sz w:val="24"/>
          <w:szCs w:val="24"/>
        </w:rPr>
      </w:pPr>
      <w:r w:rsidRPr="0071374C">
        <w:rPr>
          <w:rFonts w:asciiTheme="majorBidi" w:hAnsiTheme="majorBidi" w:cstheme="majorBidi"/>
          <w:sz w:val="24"/>
          <w:szCs w:val="24"/>
        </w:rPr>
        <w:t>Senior Statistical Advisor</w:t>
      </w:r>
    </w:p>
    <w:p w:rsidR="0071374C" w:rsidRPr="0071374C" w:rsidP="0071374C" w14:paraId="404D13C8" w14:textId="77777777">
      <w:pPr>
        <w:pStyle w:val="NoSpacing"/>
        <w:ind w:left="2160" w:firstLine="720"/>
        <w:rPr>
          <w:rFonts w:asciiTheme="majorBidi" w:hAnsiTheme="majorBidi" w:cstheme="majorBidi"/>
          <w:sz w:val="24"/>
          <w:szCs w:val="24"/>
        </w:rPr>
      </w:pPr>
      <w:r w:rsidRPr="0071374C">
        <w:rPr>
          <w:rFonts w:asciiTheme="majorBidi" w:hAnsiTheme="majorBidi" w:cstheme="majorBidi"/>
          <w:sz w:val="24"/>
          <w:szCs w:val="24"/>
        </w:rPr>
        <w:t>Bureau of Justice Statistics</w:t>
      </w:r>
    </w:p>
    <w:p w:rsidR="0071374C" w:rsidRPr="0071374C" w:rsidP="0071374C" w14:paraId="67FCB7EB" w14:textId="77777777">
      <w:pPr>
        <w:pStyle w:val="NoSpacing"/>
        <w:ind w:left="2160" w:firstLine="720"/>
        <w:rPr>
          <w:rFonts w:asciiTheme="majorBidi" w:hAnsiTheme="majorBidi" w:cstheme="majorBidi"/>
          <w:sz w:val="24"/>
          <w:szCs w:val="24"/>
        </w:rPr>
      </w:pPr>
    </w:p>
    <w:p w:rsidR="0071374C" w:rsidRPr="0071374C" w:rsidP="0071374C" w14:paraId="6528B186" w14:textId="28406653">
      <w:pPr>
        <w:pStyle w:val="NoSpacing"/>
        <w:ind w:left="2160" w:firstLine="720"/>
        <w:rPr>
          <w:rFonts w:asciiTheme="majorBidi" w:hAnsiTheme="majorBidi" w:cstheme="majorBidi"/>
          <w:sz w:val="24"/>
          <w:szCs w:val="24"/>
        </w:rPr>
      </w:pPr>
      <w:r w:rsidRPr="0071374C">
        <w:rPr>
          <w:rFonts w:asciiTheme="majorBidi" w:hAnsiTheme="majorBidi" w:cstheme="majorBidi"/>
          <w:sz w:val="24"/>
          <w:szCs w:val="24"/>
        </w:rPr>
        <w:t>Heather Brotsos</w:t>
      </w:r>
    </w:p>
    <w:p w:rsidR="0071374C" w:rsidRPr="0071374C" w:rsidP="0071374C" w14:paraId="652F44E2" w14:textId="77777777">
      <w:pPr>
        <w:pStyle w:val="NoSpacing"/>
        <w:ind w:left="2160" w:firstLine="720"/>
        <w:rPr>
          <w:rFonts w:asciiTheme="majorBidi" w:hAnsiTheme="majorBidi" w:cstheme="majorBidi"/>
          <w:sz w:val="24"/>
          <w:szCs w:val="24"/>
        </w:rPr>
      </w:pPr>
      <w:r w:rsidRPr="0071374C">
        <w:rPr>
          <w:rFonts w:asciiTheme="majorBidi" w:hAnsiTheme="majorBidi" w:cstheme="majorBidi"/>
          <w:sz w:val="24"/>
          <w:szCs w:val="24"/>
        </w:rPr>
        <w:t>Deputy Director, Statistical Operations</w:t>
      </w:r>
    </w:p>
    <w:p w:rsidR="0099545B" w:rsidP="00E60F42" w14:paraId="31C2D4B0" w14:textId="18A5FE17">
      <w:pPr>
        <w:pStyle w:val="NoSpacing"/>
        <w:ind w:left="2160" w:firstLine="720"/>
        <w:rPr>
          <w:rFonts w:asciiTheme="majorBidi" w:hAnsiTheme="majorBidi" w:cstheme="majorBidi"/>
          <w:sz w:val="24"/>
          <w:szCs w:val="24"/>
        </w:rPr>
      </w:pPr>
      <w:r w:rsidRPr="0071374C">
        <w:rPr>
          <w:rFonts w:asciiTheme="majorBidi" w:hAnsiTheme="majorBidi" w:cstheme="majorBidi"/>
          <w:sz w:val="24"/>
          <w:szCs w:val="24"/>
        </w:rPr>
        <w:t>Bureau of Justice Statistics</w:t>
      </w:r>
    </w:p>
    <w:p w:rsidR="0099545B" w:rsidP="00E60F42" w14:paraId="6B7E7E4A" w14:textId="1E58A4F7">
      <w:pPr>
        <w:pStyle w:val="NoSpacing"/>
        <w:ind w:left="2160" w:firstLine="720"/>
        <w:rPr>
          <w:rFonts w:asciiTheme="majorBidi" w:hAnsiTheme="majorBidi" w:cstheme="majorBidi"/>
          <w:sz w:val="24"/>
          <w:szCs w:val="24"/>
        </w:rPr>
      </w:pPr>
    </w:p>
    <w:p w:rsidR="0099545B" w:rsidP="00E60F42" w14:paraId="49BD66DB" w14:textId="58225087">
      <w:pPr>
        <w:pStyle w:val="NoSpacing"/>
        <w:ind w:left="2160" w:firstLine="720"/>
        <w:rPr>
          <w:rFonts w:asciiTheme="majorBidi" w:hAnsiTheme="majorBidi" w:cstheme="majorBidi"/>
          <w:sz w:val="24"/>
          <w:szCs w:val="24"/>
        </w:rPr>
      </w:pPr>
      <w:r>
        <w:rPr>
          <w:rFonts w:asciiTheme="majorBidi" w:hAnsiTheme="majorBidi" w:cstheme="majorBidi"/>
          <w:sz w:val="24"/>
          <w:szCs w:val="24"/>
        </w:rPr>
        <w:t>Alexia Cooper, PhD</w:t>
      </w:r>
    </w:p>
    <w:p w:rsidR="0099545B" w:rsidP="00E60F42" w14:paraId="66235D9A" w14:textId="740DAE1D">
      <w:pPr>
        <w:pStyle w:val="NoSpacing"/>
        <w:ind w:left="2160" w:firstLine="720"/>
        <w:rPr>
          <w:rFonts w:asciiTheme="majorBidi" w:hAnsiTheme="majorBidi" w:cstheme="majorBidi"/>
          <w:sz w:val="24"/>
          <w:szCs w:val="24"/>
        </w:rPr>
      </w:pPr>
      <w:r>
        <w:rPr>
          <w:rFonts w:asciiTheme="majorBidi" w:hAnsiTheme="majorBidi" w:cstheme="majorBidi"/>
          <w:sz w:val="24"/>
          <w:szCs w:val="24"/>
        </w:rPr>
        <w:t>Chief, Law Enforcement Statistics Unit</w:t>
      </w:r>
    </w:p>
    <w:p w:rsidR="0071374C" w:rsidP="0071374C" w14:paraId="3F6AD527" w14:textId="77777777">
      <w:pPr>
        <w:pStyle w:val="NoSpacing"/>
        <w:ind w:left="2160" w:firstLine="720"/>
        <w:rPr>
          <w:rFonts w:asciiTheme="majorBidi" w:hAnsiTheme="majorBidi" w:cstheme="majorBidi"/>
          <w:sz w:val="24"/>
          <w:szCs w:val="24"/>
        </w:rPr>
      </w:pPr>
      <w:r w:rsidRPr="0071374C">
        <w:rPr>
          <w:rFonts w:asciiTheme="majorBidi" w:hAnsiTheme="majorBidi" w:cstheme="majorBidi"/>
          <w:sz w:val="24"/>
          <w:szCs w:val="24"/>
        </w:rPr>
        <w:t>Bureau of Justice Statistics</w:t>
      </w:r>
    </w:p>
    <w:p w:rsidR="0071374C" w:rsidP="00E60F42" w14:paraId="4BDD775C" w14:textId="77777777">
      <w:pPr>
        <w:pStyle w:val="NoSpacing"/>
        <w:ind w:left="2160" w:firstLine="720"/>
        <w:rPr>
          <w:rFonts w:asciiTheme="majorBidi" w:hAnsiTheme="majorBidi" w:cstheme="majorBidi"/>
          <w:sz w:val="24"/>
          <w:szCs w:val="24"/>
        </w:rPr>
      </w:pPr>
    </w:p>
    <w:p w:rsidR="007363D4" w:rsidP="00E60F42" w14:paraId="619849B8" w14:textId="2857BF43">
      <w:pPr>
        <w:pStyle w:val="NoSpacing"/>
        <w:rPr>
          <w:rFonts w:asciiTheme="majorBidi" w:hAnsiTheme="majorBidi" w:cstheme="majorBidi"/>
          <w:sz w:val="24"/>
          <w:szCs w:val="24"/>
        </w:rPr>
      </w:pPr>
      <w:r w:rsidRPr="00690BED">
        <w:rPr>
          <w:rFonts w:asciiTheme="majorBidi" w:hAnsiTheme="majorBidi" w:cstheme="majorBidi"/>
          <w:b/>
          <w:sz w:val="24"/>
          <w:szCs w:val="24"/>
        </w:rPr>
        <w:t>FROM:</w:t>
      </w:r>
      <w:r w:rsidRPr="00690BED">
        <w:rPr>
          <w:rFonts w:asciiTheme="majorBidi" w:hAnsiTheme="majorBidi" w:cstheme="majorBidi"/>
          <w:sz w:val="24"/>
          <w:szCs w:val="24"/>
        </w:rPr>
        <w:tab/>
      </w:r>
      <w:r w:rsidRPr="00690BED">
        <w:rPr>
          <w:rFonts w:asciiTheme="majorBidi" w:hAnsiTheme="majorBidi" w:cstheme="majorBidi"/>
          <w:sz w:val="24"/>
          <w:szCs w:val="24"/>
        </w:rPr>
        <w:tab/>
      </w:r>
      <w:r w:rsidRPr="00690BED">
        <w:rPr>
          <w:rFonts w:asciiTheme="majorBidi" w:hAnsiTheme="majorBidi" w:cstheme="majorBidi"/>
          <w:sz w:val="24"/>
          <w:szCs w:val="24"/>
        </w:rPr>
        <w:tab/>
      </w:r>
      <w:r w:rsidRPr="00690BED" w:rsidR="009644E0">
        <w:rPr>
          <w:rFonts w:asciiTheme="majorBidi" w:hAnsiTheme="majorBidi" w:cstheme="majorBidi"/>
          <w:sz w:val="24"/>
          <w:szCs w:val="24"/>
        </w:rPr>
        <w:t>Connor Brooks</w:t>
      </w:r>
    </w:p>
    <w:p w:rsidR="000B14DA" w:rsidP="00E60F42" w14:paraId="50988CEB" w14:textId="4D164D8A">
      <w:pPr>
        <w:pStyle w:val="NoSpacing"/>
        <w:ind w:left="2160" w:firstLine="720"/>
        <w:rPr>
          <w:rFonts w:asciiTheme="majorBidi" w:hAnsiTheme="majorBidi" w:cstheme="majorBidi"/>
          <w:sz w:val="24"/>
          <w:szCs w:val="24"/>
        </w:rPr>
      </w:pPr>
      <w:r w:rsidRPr="00690BED">
        <w:rPr>
          <w:rFonts w:asciiTheme="majorBidi" w:hAnsiTheme="majorBidi" w:cstheme="majorBidi"/>
          <w:sz w:val="24"/>
          <w:szCs w:val="24"/>
        </w:rPr>
        <w:t>Statistician</w:t>
      </w:r>
      <w:r w:rsidR="007363D4">
        <w:rPr>
          <w:rFonts w:asciiTheme="majorBidi" w:hAnsiTheme="majorBidi" w:cstheme="majorBidi"/>
          <w:sz w:val="24"/>
          <w:szCs w:val="24"/>
        </w:rPr>
        <w:t>, Law Enforcement Statistics Unit</w:t>
      </w:r>
    </w:p>
    <w:p w:rsidR="007363D4" w:rsidP="00E60F42" w14:paraId="5F836C10" w14:textId="4E934935">
      <w:pPr>
        <w:pStyle w:val="NoSpacing"/>
        <w:ind w:left="2160" w:firstLine="720"/>
        <w:rPr>
          <w:rFonts w:asciiTheme="majorBidi" w:hAnsiTheme="majorBidi" w:cstheme="majorBidi"/>
          <w:sz w:val="24"/>
          <w:szCs w:val="24"/>
        </w:rPr>
      </w:pPr>
      <w:r>
        <w:rPr>
          <w:rFonts w:asciiTheme="majorBidi" w:hAnsiTheme="majorBidi" w:cstheme="majorBidi"/>
          <w:sz w:val="24"/>
          <w:szCs w:val="24"/>
        </w:rPr>
        <w:t>Bureau of Justice Statistics</w:t>
      </w:r>
    </w:p>
    <w:p w:rsidR="007363D4" w:rsidRPr="00690BED" w:rsidP="00B21B07" w14:paraId="5AD604CF" w14:textId="77777777">
      <w:pPr>
        <w:pStyle w:val="NoSpacing"/>
        <w:ind w:left="2160" w:firstLine="720"/>
        <w:rPr>
          <w:rFonts w:asciiTheme="majorBidi" w:hAnsiTheme="majorBidi" w:cstheme="majorBidi"/>
          <w:sz w:val="24"/>
          <w:szCs w:val="24"/>
        </w:rPr>
      </w:pPr>
    </w:p>
    <w:p w:rsidR="007363D4" w:rsidP="00B21B07" w14:paraId="0E5CB801" w14:textId="2F0DCE56">
      <w:pPr>
        <w:pStyle w:val="NoSpacing"/>
        <w:ind w:left="2880" w:hanging="2880"/>
        <w:rPr>
          <w:rFonts w:asciiTheme="majorBidi" w:hAnsiTheme="majorBidi" w:cstheme="majorBidi"/>
          <w:sz w:val="24"/>
          <w:szCs w:val="24"/>
        </w:rPr>
      </w:pPr>
      <w:r w:rsidRPr="00690BED">
        <w:rPr>
          <w:rFonts w:asciiTheme="majorBidi" w:hAnsiTheme="majorBidi" w:cstheme="majorBidi"/>
          <w:b/>
          <w:sz w:val="24"/>
          <w:szCs w:val="24"/>
        </w:rPr>
        <w:t>DATE:</w:t>
      </w:r>
      <w:r w:rsidRPr="00690BED">
        <w:rPr>
          <w:rFonts w:asciiTheme="majorBidi" w:hAnsiTheme="majorBidi" w:cstheme="majorBidi"/>
          <w:b/>
          <w:sz w:val="24"/>
          <w:szCs w:val="24"/>
        </w:rPr>
        <w:tab/>
      </w:r>
      <w:r w:rsidR="002740D0">
        <w:rPr>
          <w:rFonts w:asciiTheme="majorBidi" w:hAnsiTheme="majorBidi" w:cstheme="majorBidi"/>
          <w:sz w:val="24"/>
          <w:szCs w:val="24"/>
        </w:rPr>
        <w:t>November</w:t>
      </w:r>
      <w:r w:rsidR="00E53606">
        <w:rPr>
          <w:rFonts w:asciiTheme="majorBidi" w:hAnsiTheme="majorBidi" w:cstheme="majorBidi"/>
          <w:sz w:val="24"/>
          <w:szCs w:val="24"/>
        </w:rPr>
        <w:t xml:space="preserve"> </w:t>
      </w:r>
      <w:r w:rsidR="0037272E">
        <w:rPr>
          <w:rFonts w:asciiTheme="majorBidi" w:hAnsiTheme="majorBidi" w:cstheme="majorBidi"/>
          <w:sz w:val="24"/>
          <w:szCs w:val="24"/>
        </w:rPr>
        <w:t>14</w:t>
      </w:r>
      <w:r w:rsidRPr="003229DB">
        <w:rPr>
          <w:rFonts w:asciiTheme="majorBidi" w:hAnsiTheme="majorBidi" w:cstheme="majorBidi"/>
          <w:sz w:val="24"/>
          <w:szCs w:val="24"/>
        </w:rPr>
        <w:t xml:space="preserve">, </w:t>
      </w:r>
      <w:r w:rsidRPr="003229DB" w:rsidR="00454751">
        <w:rPr>
          <w:rFonts w:asciiTheme="majorBidi" w:hAnsiTheme="majorBidi" w:cstheme="majorBidi"/>
          <w:sz w:val="24"/>
          <w:szCs w:val="24"/>
        </w:rPr>
        <w:t>20</w:t>
      </w:r>
      <w:r w:rsidR="00454751">
        <w:rPr>
          <w:rFonts w:asciiTheme="majorBidi" w:hAnsiTheme="majorBidi" w:cstheme="majorBidi"/>
          <w:sz w:val="24"/>
          <w:szCs w:val="24"/>
        </w:rPr>
        <w:t>23</w:t>
      </w:r>
    </w:p>
    <w:p w:rsidR="007363D4" w:rsidP="00B21B07" w14:paraId="71B2A24F" w14:textId="77777777">
      <w:pPr>
        <w:pStyle w:val="NoSpacing"/>
        <w:ind w:left="2880" w:hanging="2880"/>
        <w:rPr>
          <w:rFonts w:asciiTheme="majorBidi" w:hAnsiTheme="majorBidi" w:cstheme="majorBidi"/>
          <w:b/>
          <w:sz w:val="24"/>
          <w:szCs w:val="24"/>
        </w:rPr>
      </w:pPr>
    </w:p>
    <w:p w:rsidR="000B14DA" w:rsidRPr="00690BED" w:rsidP="0070572D" w14:paraId="0762EECA" w14:textId="11023AD9">
      <w:pPr>
        <w:pStyle w:val="NoSpacing"/>
        <w:spacing w:after="120"/>
        <w:ind w:left="2880" w:hanging="2880"/>
        <w:rPr>
          <w:rFonts w:asciiTheme="majorBidi" w:hAnsiTheme="majorBidi" w:cstheme="majorBidi"/>
          <w:sz w:val="24"/>
          <w:szCs w:val="24"/>
        </w:rPr>
      </w:pPr>
      <w:r w:rsidRPr="00690BED">
        <w:rPr>
          <w:rFonts w:asciiTheme="majorBidi" w:hAnsiTheme="majorBidi" w:cstheme="majorBidi"/>
          <w:b/>
          <w:sz w:val="24"/>
          <w:szCs w:val="24"/>
        </w:rPr>
        <w:t>SUBJECT:</w:t>
      </w:r>
      <w:r w:rsidRPr="00690BED">
        <w:rPr>
          <w:rFonts w:asciiTheme="majorBidi" w:hAnsiTheme="majorBidi" w:cstheme="majorBidi"/>
          <w:b/>
          <w:sz w:val="24"/>
          <w:szCs w:val="24"/>
        </w:rPr>
        <w:tab/>
      </w:r>
      <w:r w:rsidRPr="00690BED" w:rsidR="00FF7C83">
        <w:rPr>
          <w:rFonts w:asciiTheme="majorBidi" w:hAnsiTheme="majorBidi" w:cstheme="majorBidi"/>
          <w:sz w:val="24"/>
          <w:szCs w:val="24"/>
        </w:rPr>
        <w:t>BJS request for O</w:t>
      </w:r>
      <w:r w:rsidR="002C20A4">
        <w:rPr>
          <w:rFonts w:asciiTheme="majorBidi" w:hAnsiTheme="majorBidi" w:cstheme="majorBidi"/>
          <w:sz w:val="24"/>
          <w:szCs w:val="24"/>
        </w:rPr>
        <w:t xml:space="preserve">ffice of </w:t>
      </w:r>
      <w:r w:rsidRPr="00690BED" w:rsidR="00FF7C83">
        <w:rPr>
          <w:rFonts w:asciiTheme="majorBidi" w:hAnsiTheme="majorBidi" w:cstheme="majorBidi"/>
          <w:sz w:val="24"/>
          <w:szCs w:val="24"/>
        </w:rPr>
        <w:t>M</w:t>
      </w:r>
      <w:r w:rsidR="002C20A4">
        <w:rPr>
          <w:rFonts w:asciiTheme="majorBidi" w:hAnsiTheme="majorBidi" w:cstheme="majorBidi"/>
          <w:sz w:val="24"/>
          <w:szCs w:val="24"/>
        </w:rPr>
        <w:t xml:space="preserve">anagement and </w:t>
      </w:r>
      <w:r w:rsidRPr="00690BED" w:rsidR="00FF7C83">
        <w:rPr>
          <w:rFonts w:asciiTheme="majorBidi" w:hAnsiTheme="majorBidi" w:cstheme="majorBidi"/>
          <w:sz w:val="24"/>
          <w:szCs w:val="24"/>
        </w:rPr>
        <w:t>B</w:t>
      </w:r>
      <w:r w:rsidR="002C20A4">
        <w:rPr>
          <w:rFonts w:asciiTheme="majorBidi" w:hAnsiTheme="majorBidi" w:cstheme="majorBidi"/>
          <w:sz w:val="24"/>
          <w:szCs w:val="24"/>
        </w:rPr>
        <w:t>udget (OMB)</w:t>
      </w:r>
      <w:r w:rsidRPr="00690BED" w:rsidR="00FF7C83">
        <w:rPr>
          <w:rFonts w:asciiTheme="majorBidi" w:hAnsiTheme="majorBidi" w:cstheme="majorBidi"/>
          <w:sz w:val="24"/>
          <w:szCs w:val="24"/>
        </w:rPr>
        <w:t xml:space="preserve"> Clearance to </w:t>
      </w:r>
      <w:r w:rsidR="00F05615">
        <w:rPr>
          <w:rFonts w:asciiTheme="majorBidi" w:hAnsiTheme="majorBidi" w:cstheme="majorBidi"/>
          <w:sz w:val="24"/>
          <w:szCs w:val="24"/>
        </w:rPr>
        <w:t xml:space="preserve">conduct: </w:t>
      </w:r>
      <w:r w:rsidR="00152EB0">
        <w:rPr>
          <w:rFonts w:asciiTheme="majorBidi" w:hAnsiTheme="majorBidi" w:cstheme="majorBidi"/>
          <w:sz w:val="24"/>
          <w:szCs w:val="24"/>
        </w:rPr>
        <w:t xml:space="preserve">1) </w:t>
      </w:r>
      <w:r w:rsidRPr="00690BED" w:rsidR="007363D4">
        <w:rPr>
          <w:rFonts w:asciiTheme="majorBidi" w:hAnsiTheme="majorBidi" w:cstheme="majorBidi"/>
          <w:sz w:val="24"/>
          <w:szCs w:val="24"/>
        </w:rPr>
        <w:t xml:space="preserve">outreach to </w:t>
      </w:r>
      <w:r w:rsidR="00837448">
        <w:rPr>
          <w:rFonts w:asciiTheme="majorBidi" w:hAnsiTheme="majorBidi" w:cstheme="majorBidi"/>
          <w:sz w:val="24"/>
          <w:szCs w:val="24"/>
        </w:rPr>
        <w:t>verify</w:t>
      </w:r>
      <w:r w:rsidR="007363D4">
        <w:rPr>
          <w:rFonts w:asciiTheme="majorBidi" w:hAnsiTheme="majorBidi" w:cstheme="majorBidi"/>
          <w:sz w:val="24"/>
          <w:szCs w:val="24"/>
        </w:rPr>
        <w:t xml:space="preserve"> reporting</w:t>
      </w:r>
      <w:r w:rsidRPr="00690BED" w:rsidR="007363D4">
        <w:rPr>
          <w:rFonts w:asciiTheme="majorBidi" w:hAnsiTheme="majorBidi" w:cstheme="majorBidi"/>
          <w:sz w:val="24"/>
          <w:szCs w:val="24"/>
        </w:rPr>
        <w:t xml:space="preserve"> units</w:t>
      </w:r>
      <w:r w:rsidR="007363D4">
        <w:rPr>
          <w:rFonts w:asciiTheme="majorBidi" w:hAnsiTheme="majorBidi" w:cstheme="majorBidi"/>
          <w:sz w:val="24"/>
          <w:szCs w:val="24"/>
        </w:rPr>
        <w:t xml:space="preserve"> </w:t>
      </w:r>
      <w:r w:rsidR="00F05615">
        <w:rPr>
          <w:rFonts w:asciiTheme="majorBidi" w:hAnsiTheme="majorBidi" w:cstheme="majorBidi"/>
          <w:sz w:val="24"/>
          <w:szCs w:val="24"/>
        </w:rPr>
        <w:t>for the 20</w:t>
      </w:r>
      <w:r w:rsidR="00454751">
        <w:rPr>
          <w:rFonts w:asciiTheme="majorBidi" w:hAnsiTheme="majorBidi" w:cstheme="majorBidi"/>
          <w:sz w:val="24"/>
          <w:szCs w:val="24"/>
        </w:rPr>
        <w:t>23</w:t>
      </w:r>
      <w:r w:rsidR="00F05615">
        <w:rPr>
          <w:rFonts w:asciiTheme="majorBidi" w:hAnsiTheme="majorBidi" w:cstheme="majorBidi"/>
          <w:sz w:val="24"/>
          <w:szCs w:val="24"/>
        </w:rPr>
        <w:t xml:space="preserve"> Census of Medical Examiner and Coroner Offices</w:t>
      </w:r>
      <w:r w:rsidR="007363D4">
        <w:rPr>
          <w:rFonts w:asciiTheme="majorBidi" w:hAnsiTheme="majorBidi" w:cstheme="majorBidi"/>
          <w:sz w:val="24"/>
          <w:szCs w:val="24"/>
        </w:rPr>
        <w:t xml:space="preserve"> (CMEC) and </w:t>
      </w:r>
      <w:r w:rsidR="00152EB0">
        <w:rPr>
          <w:rFonts w:asciiTheme="majorBidi" w:hAnsiTheme="majorBidi" w:cstheme="majorBidi"/>
          <w:sz w:val="24"/>
          <w:szCs w:val="24"/>
        </w:rPr>
        <w:t xml:space="preserve">2) </w:t>
      </w:r>
      <w:r w:rsidR="007363D4">
        <w:rPr>
          <w:rFonts w:asciiTheme="majorBidi" w:hAnsiTheme="majorBidi" w:cstheme="majorBidi"/>
          <w:sz w:val="24"/>
          <w:szCs w:val="24"/>
        </w:rPr>
        <w:t xml:space="preserve">cognitive interviews to finalize </w:t>
      </w:r>
      <w:r w:rsidR="00837448">
        <w:rPr>
          <w:rFonts w:asciiTheme="majorBidi" w:hAnsiTheme="majorBidi" w:cstheme="majorBidi"/>
          <w:sz w:val="24"/>
          <w:szCs w:val="24"/>
        </w:rPr>
        <w:t xml:space="preserve">the </w:t>
      </w:r>
      <w:r w:rsidR="007363D4">
        <w:rPr>
          <w:rFonts w:asciiTheme="majorBidi" w:hAnsiTheme="majorBidi" w:cstheme="majorBidi"/>
          <w:sz w:val="24"/>
          <w:szCs w:val="24"/>
        </w:rPr>
        <w:t>CMEC survey instrument,</w:t>
      </w:r>
      <w:r w:rsidR="00F05615">
        <w:rPr>
          <w:rFonts w:asciiTheme="majorBidi" w:hAnsiTheme="majorBidi" w:cstheme="majorBidi"/>
          <w:sz w:val="24"/>
          <w:szCs w:val="24"/>
        </w:rPr>
        <w:t xml:space="preserve"> </w:t>
      </w:r>
      <w:r w:rsidRPr="00690BED" w:rsidR="00FF7C83">
        <w:rPr>
          <w:rFonts w:asciiTheme="majorBidi" w:hAnsiTheme="majorBidi" w:cstheme="majorBidi"/>
          <w:sz w:val="24"/>
          <w:szCs w:val="24"/>
        </w:rPr>
        <w:t xml:space="preserve">under </w:t>
      </w:r>
      <w:r w:rsidR="008F7163">
        <w:rPr>
          <w:rFonts w:asciiTheme="majorBidi" w:hAnsiTheme="majorBidi" w:cstheme="majorBidi"/>
          <w:sz w:val="24"/>
          <w:szCs w:val="24"/>
        </w:rPr>
        <w:t>BJS’s</w:t>
      </w:r>
      <w:r w:rsidRPr="00690BED" w:rsidR="008F7163">
        <w:rPr>
          <w:rFonts w:asciiTheme="majorBidi" w:hAnsiTheme="majorBidi" w:cstheme="majorBidi"/>
          <w:sz w:val="24"/>
          <w:szCs w:val="24"/>
        </w:rPr>
        <w:t xml:space="preserve"> </w:t>
      </w:r>
      <w:r w:rsidRPr="00690BED" w:rsidR="00FF7C83">
        <w:rPr>
          <w:rFonts w:asciiTheme="majorBidi" w:hAnsiTheme="majorBidi" w:cstheme="majorBidi"/>
          <w:sz w:val="24"/>
          <w:szCs w:val="24"/>
        </w:rPr>
        <w:t xml:space="preserve">generic clearance </w:t>
      </w:r>
      <w:r w:rsidRPr="00B21B07" w:rsidR="00FF7C83">
        <w:rPr>
          <w:rFonts w:asciiTheme="majorBidi" w:hAnsiTheme="majorBidi" w:cstheme="majorBidi"/>
          <w:sz w:val="24"/>
          <w:szCs w:val="24"/>
        </w:rPr>
        <w:t xml:space="preserve">agreement OMB </w:t>
      </w:r>
      <w:r w:rsidRPr="00B21B07" w:rsidR="009D0F03">
        <w:rPr>
          <w:rFonts w:asciiTheme="majorBidi" w:hAnsiTheme="majorBidi" w:cstheme="majorBidi"/>
          <w:sz w:val="24"/>
          <w:szCs w:val="24"/>
        </w:rPr>
        <w:t>Number 1121-</w:t>
      </w:r>
      <w:r w:rsidRPr="00B21B07" w:rsidR="002C57E4">
        <w:rPr>
          <w:rFonts w:asciiTheme="majorBidi" w:hAnsiTheme="majorBidi" w:cstheme="majorBidi"/>
          <w:sz w:val="24"/>
          <w:szCs w:val="24"/>
        </w:rPr>
        <w:t>0339</w:t>
      </w:r>
    </w:p>
    <w:p w:rsidR="004053E3" w:rsidRPr="00690BED" w:rsidP="0070572D" w14:paraId="40B259FA" w14:textId="68A7292F">
      <w:pPr>
        <w:pStyle w:val="NoSpacing"/>
        <w:pBdr>
          <w:bottom w:val="single" w:sz="12" w:space="1" w:color="auto"/>
        </w:pBdr>
        <w:spacing w:after="120"/>
        <w:rPr>
          <w:rFonts w:asciiTheme="majorBidi" w:hAnsiTheme="majorBidi" w:cstheme="majorBidi"/>
          <w:sz w:val="24"/>
          <w:szCs w:val="24"/>
        </w:rPr>
      </w:pPr>
    </w:p>
    <w:p w:rsidR="00767F64" w:rsidP="00767F64" w14:paraId="6F9BAABA" w14:textId="77777777">
      <w:pPr>
        <w:rPr>
          <w:rFonts w:asciiTheme="majorBidi" w:hAnsiTheme="majorBidi" w:cstheme="majorBidi"/>
          <w:b/>
          <w:u w:val="single"/>
        </w:rPr>
      </w:pPr>
    </w:p>
    <w:p w:rsidR="00B21B07" w14:paraId="4C6AEC0F" w14:textId="77777777">
      <w:pPr>
        <w:spacing w:after="200" w:line="276" w:lineRule="auto"/>
        <w:rPr>
          <w:rFonts w:asciiTheme="majorBidi" w:hAnsiTheme="majorBidi" w:cstheme="majorBidi"/>
          <w:b/>
          <w:u w:val="single"/>
        </w:rPr>
      </w:pPr>
      <w:r>
        <w:rPr>
          <w:rFonts w:asciiTheme="majorBidi" w:hAnsiTheme="majorBidi" w:cstheme="majorBidi"/>
          <w:b/>
          <w:u w:val="single"/>
        </w:rPr>
        <w:br w:type="page"/>
      </w:r>
    </w:p>
    <w:p w:rsidR="00FF7C83" w:rsidRPr="005E2E2A" w:rsidP="00767F64" w14:paraId="52801C46" w14:textId="4FE2D750">
      <w:pPr>
        <w:rPr>
          <w:rFonts w:asciiTheme="majorBidi" w:hAnsiTheme="majorBidi" w:cstheme="majorBidi"/>
          <w:b/>
          <w:u w:val="single"/>
        </w:rPr>
      </w:pPr>
      <w:r w:rsidRPr="005E2E2A">
        <w:rPr>
          <w:rFonts w:asciiTheme="majorBidi" w:hAnsiTheme="majorBidi" w:cstheme="majorBidi"/>
          <w:b/>
          <w:u w:val="single"/>
        </w:rPr>
        <w:t>Introduction</w:t>
      </w:r>
    </w:p>
    <w:p w:rsidR="00767F64" w:rsidP="00767F64" w14:paraId="32FE1072" w14:textId="77777777">
      <w:pPr>
        <w:pStyle w:val="BodyText"/>
        <w:spacing w:after="0"/>
        <w:rPr>
          <w:rFonts w:asciiTheme="majorBidi" w:hAnsiTheme="majorBidi" w:cstheme="majorBidi"/>
        </w:rPr>
      </w:pPr>
    </w:p>
    <w:p w:rsidR="00E17322" w:rsidP="0099545B" w14:paraId="20C86BFC" w14:textId="730289F1">
      <w:pPr>
        <w:pStyle w:val="BodyText"/>
        <w:spacing w:after="0"/>
      </w:pPr>
      <w:r>
        <w:rPr>
          <w:rFonts w:cs="Times New Roman"/>
        </w:rPr>
        <w:t>This</w:t>
      </w:r>
      <w:r w:rsidRPr="00764732">
        <w:rPr>
          <w:rFonts w:cs="Times New Roman"/>
        </w:rPr>
        <w:t xml:space="preserve"> </w:t>
      </w:r>
      <w:r>
        <w:rPr>
          <w:rFonts w:cs="Times New Roman"/>
        </w:rPr>
        <w:t xml:space="preserve">generic clearance </w:t>
      </w:r>
      <w:r w:rsidRPr="00764732">
        <w:rPr>
          <w:rFonts w:cs="Times New Roman"/>
        </w:rPr>
        <w:t xml:space="preserve">is to </w:t>
      </w:r>
      <w:r>
        <w:rPr>
          <w:rFonts w:cs="Times New Roman"/>
        </w:rPr>
        <w:t xml:space="preserve">request approval to conduct two activities in preparation for the </w:t>
      </w:r>
      <w:r w:rsidR="007B1ECF">
        <w:rPr>
          <w:rFonts w:cs="Times New Roman"/>
        </w:rPr>
        <w:t xml:space="preserve">2023 </w:t>
      </w:r>
      <w:r w:rsidR="0002247E">
        <w:rPr>
          <w:rFonts w:asciiTheme="majorBidi" w:hAnsiTheme="majorBidi" w:cstheme="majorBidi"/>
        </w:rPr>
        <w:t>Census of Medical Examiner and Coroner Offices</w:t>
      </w:r>
      <w:r w:rsidR="0002247E">
        <w:rPr>
          <w:rFonts w:cs="Times New Roman"/>
        </w:rPr>
        <w:t xml:space="preserve"> (</w:t>
      </w:r>
      <w:r>
        <w:rPr>
          <w:rFonts w:cs="Times New Roman"/>
        </w:rPr>
        <w:t>CMEC</w:t>
      </w:r>
      <w:r w:rsidR="0002247E">
        <w:rPr>
          <w:rFonts w:cs="Times New Roman"/>
        </w:rPr>
        <w:t>)</w:t>
      </w:r>
      <w:r>
        <w:rPr>
          <w:rFonts w:cs="Times New Roman"/>
        </w:rPr>
        <w:t xml:space="preserve"> </w:t>
      </w:r>
      <w:r w:rsidRPr="00764732">
        <w:rPr>
          <w:rFonts w:cs="Times New Roman"/>
        </w:rPr>
        <w:t xml:space="preserve">under </w:t>
      </w:r>
      <w:r w:rsidR="0002247E">
        <w:rPr>
          <w:rFonts w:cs="Times New Roman"/>
        </w:rPr>
        <w:t xml:space="preserve">the </w:t>
      </w:r>
      <w:r w:rsidRPr="00B21B07" w:rsidR="0002247E">
        <w:rPr>
          <w:rFonts w:asciiTheme="majorBidi" w:hAnsiTheme="majorBidi" w:cstheme="majorBidi"/>
        </w:rPr>
        <w:t>Bureau</w:t>
      </w:r>
      <w:r w:rsidR="0002247E">
        <w:rPr>
          <w:rFonts w:asciiTheme="majorBidi" w:hAnsiTheme="majorBidi" w:cstheme="majorBidi"/>
        </w:rPr>
        <w:t xml:space="preserve"> of Justice Statistics</w:t>
      </w:r>
      <w:r w:rsidR="0002247E">
        <w:rPr>
          <w:rFonts w:cs="Times New Roman"/>
        </w:rPr>
        <w:t xml:space="preserve"> (</w:t>
      </w:r>
      <w:r>
        <w:rPr>
          <w:rFonts w:cs="Times New Roman"/>
        </w:rPr>
        <w:t>BJS’s</w:t>
      </w:r>
      <w:r w:rsidR="0002247E">
        <w:rPr>
          <w:rFonts w:cs="Times New Roman"/>
        </w:rPr>
        <w:t>)</w:t>
      </w:r>
      <w:r>
        <w:rPr>
          <w:rFonts w:cs="Times New Roman"/>
        </w:rPr>
        <w:t xml:space="preserve"> </w:t>
      </w:r>
      <w:r w:rsidRPr="00764732">
        <w:rPr>
          <w:rFonts w:cs="Times New Roman"/>
        </w:rPr>
        <w:t xml:space="preserve">generic clearance </w:t>
      </w:r>
      <w:r w:rsidRPr="00B21B07">
        <w:rPr>
          <w:rFonts w:cs="Times New Roman"/>
        </w:rPr>
        <w:t>agreement (OMB Number 1121-0339)</w:t>
      </w:r>
      <w:r w:rsidRPr="00B21B07">
        <w:rPr>
          <w:rFonts w:asciiTheme="majorBidi" w:hAnsiTheme="majorBidi" w:cstheme="majorBidi"/>
        </w:rPr>
        <w:t xml:space="preserve">. </w:t>
      </w:r>
      <w:r w:rsidRPr="00B21B07" w:rsidR="002C20A4">
        <w:rPr>
          <w:rFonts w:asciiTheme="majorBidi" w:hAnsiTheme="majorBidi" w:cstheme="majorBidi"/>
        </w:rPr>
        <w:t>In 20</w:t>
      </w:r>
      <w:r w:rsidRPr="00B21B07" w:rsidR="00454751">
        <w:rPr>
          <w:rFonts w:asciiTheme="majorBidi" w:hAnsiTheme="majorBidi" w:cstheme="majorBidi"/>
        </w:rPr>
        <w:t>24</w:t>
      </w:r>
      <w:r w:rsidRPr="00B21B07" w:rsidR="002C20A4">
        <w:rPr>
          <w:rFonts w:asciiTheme="majorBidi" w:hAnsiTheme="majorBidi" w:cstheme="majorBidi"/>
        </w:rPr>
        <w:t xml:space="preserve">, </w:t>
      </w:r>
      <w:r w:rsidR="00FF1B1E">
        <w:rPr>
          <w:rFonts w:asciiTheme="majorBidi" w:hAnsiTheme="majorBidi" w:cstheme="majorBidi"/>
        </w:rPr>
        <w:t xml:space="preserve">BJS is planning to conduct </w:t>
      </w:r>
      <w:r w:rsidR="006C53FB">
        <w:rPr>
          <w:rFonts w:asciiTheme="majorBidi" w:hAnsiTheme="majorBidi" w:cstheme="majorBidi"/>
        </w:rPr>
        <w:t xml:space="preserve">the </w:t>
      </w:r>
      <w:r w:rsidR="00FF1B1E">
        <w:rPr>
          <w:rFonts w:asciiTheme="majorBidi" w:hAnsiTheme="majorBidi" w:cstheme="majorBidi"/>
        </w:rPr>
        <w:t>CMEC</w:t>
      </w:r>
      <w:r w:rsidR="006C53FB">
        <w:rPr>
          <w:rFonts w:asciiTheme="majorBidi" w:hAnsiTheme="majorBidi" w:cstheme="majorBidi"/>
        </w:rPr>
        <w:t xml:space="preserve">, which </w:t>
      </w:r>
      <w:r w:rsidR="003659A1">
        <w:rPr>
          <w:rFonts w:asciiTheme="majorBidi" w:hAnsiTheme="majorBidi" w:cstheme="majorBidi"/>
        </w:rPr>
        <w:t>was last</w:t>
      </w:r>
      <w:r w:rsidR="006C53FB">
        <w:rPr>
          <w:rFonts w:asciiTheme="majorBidi" w:hAnsiTheme="majorBidi" w:cstheme="majorBidi"/>
        </w:rPr>
        <w:t xml:space="preserve"> conducted</w:t>
      </w:r>
      <w:r w:rsidR="00AB24CB">
        <w:rPr>
          <w:rFonts w:asciiTheme="majorBidi" w:hAnsiTheme="majorBidi" w:cstheme="majorBidi"/>
        </w:rPr>
        <w:t xml:space="preserve"> </w:t>
      </w:r>
      <w:r w:rsidR="006C53FB">
        <w:rPr>
          <w:rFonts w:asciiTheme="majorBidi" w:hAnsiTheme="majorBidi" w:cstheme="majorBidi"/>
        </w:rPr>
        <w:t xml:space="preserve">in </w:t>
      </w:r>
      <w:r w:rsidR="002A5DAA">
        <w:rPr>
          <w:rFonts w:asciiTheme="majorBidi" w:hAnsiTheme="majorBidi" w:cstheme="majorBidi"/>
        </w:rPr>
        <w:t>20</w:t>
      </w:r>
      <w:r w:rsidR="00454751">
        <w:rPr>
          <w:rFonts w:asciiTheme="majorBidi" w:hAnsiTheme="majorBidi" w:cstheme="majorBidi"/>
        </w:rPr>
        <w:t>19</w:t>
      </w:r>
      <w:r w:rsidR="0083632A">
        <w:rPr>
          <w:rFonts w:asciiTheme="majorBidi" w:hAnsiTheme="majorBidi" w:cstheme="majorBidi"/>
        </w:rPr>
        <w:t xml:space="preserve"> for a 2018 reference year</w:t>
      </w:r>
      <w:r w:rsidR="002A5DAA">
        <w:rPr>
          <w:rFonts w:asciiTheme="majorBidi" w:hAnsiTheme="majorBidi" w:cstheme="majorBidi"/>
        </w:rPr>
        <w:t xml:space="preserve">. </w:t>
      </w:r>
      <w:r w:rsidR="00454751">
        <w:t>This will be the third iteration of CMEC</w:t>
      </w:r>
      <w:r w:rsidR="00837448">
        <w:t>. The</w:t>
      </w:r>
      <w:r w:rsidR="00454751">
        <w:t xml:space="preserve"> two prior reports by </w:t>
      </w:r>
      <w:r w:rsidRPr="00454751" w:rsidR="00454751">
        <w:t>BJS</w:t>
      </w:r>
      <w:r>
        <w:rPr>
          <w:rStyle w:val="FootnoteReference"/>
        </w:rPr>
        <w:footnoteReference w:id="3"/>
      </w:r>
      <w:r w:rsidRPr="001D2EF4" w:rsidR="006C53FB">
        <w:t xml:space="preserve"> remain the </w:t>
      </w:r>
      <w:r w:rsidRPr="002C20A4" w:rsidR="006C53FB">
        <w:t xml:space="preserve">only </w:t>
      </w:r>
      <w:r w:rsidRPr="001D2EF4" w:rsidR="006C53FB">
        <w:t>comprehensive source</w:t>
      </w:r>
      <w:r w:rsidR="00454751">
        <w:t>s</w:t>
      </w:r>
      <w:r w:rsidRPr="001D2EF4" w:rsidR="006C53FB">
        <w:t xml:space="preserve"> of basic data about </w:t>
      </w:r>
      <w:r w:rsidR="006C53FB">
        <w:t xml:space="preserve">the </w:t>
      </w:r>
      <w:r w:rsidRPr="001D2EF4" w:rsidR="006C53FB">
        <w:t xml:space="preserve">U.S. </w:t>
      </w:r>
      <w:r w:rsidR="006C53FB">
        <w:t>medicolegal death investigation system</w:t>
      </w:r>
      <w:r w:rsidRPr="001D2EF4" w:rsidR="006C53FB">
        <w:t xml:space="preserve">. </w:t>
      </w:r>
      <w:r w:rsidR="006C53FB">
        <w:t>BJS’</w:t>
      </w:r>
      <w:r w:rsidR="007363D4">
        <w:t>s</w:t>
      </w:r>
      <w:r w:rsidRPr="001D2EF4" w:rsidR="006C53FB">
        <w:t xml:space="preserve"> report</w:t>
      </w:r>
      <w:r w:rsidR="00454751">
        <w:t>s</w:t>
      </w:r>
      <w:r w:rsidRPr="001D2EF4" w:rsidR="006C53FB">
        <w:t xml:space="preserve"> </w:t>
      </w:r>
      <w:r w:rsidRPr="001D2EF4" w:rsidR="00901F87">
        <w:t>ma</w:t>
      </w:r>
      <w:r w:rsidR="00901F87">
        <w:t>k</w:t>
      </w:r>
      <w:r w:rsidRPr="001D2EF4" w:rsidR="00901F87">
        <w:t xml:space="preserve">e </w:t>
      </w:r>
      <w:r w:rsidRPr="001D2EF4" w:rsidR="006C53FB">
        <w:t xml:space="preserve">clear that </w:t>
      </w:r>
      <w:r w:rsidR="006C53FB">
        <w:t>medical examiners and coroners</w:t>
      </w:r>
      <w:r w:rsidR="0083632A">
        <w:t xml:space="preserve"> (MECs)</w:t>
      </w:r>
      <w:r w:rsidR="006C53FB">
        <w:t xml:space="preserve"> </w:t>
      </w:r>
      <w:r w:rsidRPr="001D2EF4" w:rsidR="006C53FB">
        <w:t>var</w:t>
      </w:r>
      <w:r w:rsidR="00837448">
        <w:t>y</w:t>
      </w:r>
      <w:r w:rsidRPr="001D2EF4" w:rsidR="006C53FB">
        <w:t xml:space="preserve"> widely across all measures (e.g., jurisdiction size and type, caseload, staffing, procedures performed, record retention, use of national databases, operation</w:t>
      </w:r>
      <w:r w:rsidR="00B21B07">
        <w:t>,</w:t>
      </w:r>
      <w:r w:rsidRPr="001D2EF4" w:rsidR="006C53FB">
        <w:t xml:space="preserve"> and budget). </w:t>
      </w:r>
    </w:p>
    <w:p w:rsidR="00E17322" w:rsidP="0099545B" w14:paraId="5774C36A" w14:textId="77777777">
      <w:pPr>
        <w:pStyle w:val="BodyText"/>
        <w:spacing w:after="0"/>
      </w:pPr>
    </w:p>
    <w:p w:rsidR="005A2ED8" w:rsidP="0099545B" w14:paraId="32128727" w14:textId="6329F917">
      <w:pPr>
        <w:pStyle w:val="BodyText"/>
        <w:spacing w:after="0"/>
        <w:rPr>
          <w:rFonts w:asciiTheme="majorBidi" w:hAnsiTheme="majorBidi" w:cstheme="majorBidi"/>
        </w:rPr>
      </w:pPr>
      <w:r w:rsidRPr="005E2E2A">
        <w:rPr>
          <w:rFonts w:asciiTheme="majorBidi" w:hAnsiTheme="majorBidi" w:cstheme="majorBidi"/>
        </w:rPr>
        <w:t xml:space="preserve">The purpose </w:t>
      </w:r>
      <w:r w:rsidR="00DA5537">
        <w:rPr>
          <w:rFonts w:asciiTheme="majorBidi" w:hAnsiTheme="majorBidi" w:cstheme="majorBidi"/>
        </w:rPr>
        <w:t xml:space="preserve">of </w:t>
      </w:r>
      <w:r w:rsidR="003659A1">
        <w:rPr>
          <w:rFonts w:asciiTheme="majorBidi" w:hAnsiTheme="majorBidi" w:cstheme="majorBidi"/>
        </w:rPr>
        <w:t xml:space="preserve">the </w:t>
      </w:r>
      <w:r w:rsidR="00640DB1">
        <w:rPr>
          <w:rFonts w:asciiTheme="majorBidi" w:hAnsiTheme="majorBidi" w:cstheme="majorBidi"/>
        </w:rPr>
        <w:t>202</w:t>
      </w:r>
      <w:r w:rsidR="00623463">
        <w:rPr>
          <w:rFonts w:asciiTheme="majorBidi" w:hAnsiTheme="majorBidi" w:cstheme="majorBidi"/>
        </w:rPr>
        <w:t>3</w:t>
      </w:r>
      <w:r w:rsidR="00640DB1">
        <w:rPr>
          <w:rFonts w:asciiTheme="majorBidi" w:hAnsiTheme="majorBidi" w:cstheme="majorBidi"/>
        </w:rPr>
        <w:t xml:space="preserve"> </w:t>
      </w:r>
      <w:r>
        <w:rPr>
          <w:rFonts w:asciiTheme="majorBidi" w:hAnsiTheme="majorBidi" w:cstheme="majorBidi"/>
        </w:rPr>
        <w:t>CMEC</w:t>
      </w:r>
      <w:r w:rsidR="00AB3DA0">
        <w:rPr>
          <w:rFonts w:asciiTheme="majorBidi" w:hAnsiTheme="majorBidi" w:cstheme="majorBidi"/>
        </w:rPr>
        <w:t xml:space="preserve"> (to be fielded in 2024</w:t>
      </w:r>
      <w:r w:rsidR="007B1ECF">
        <w:rPr>
          <w:rFonts w:asciiTheme="majorBidi" w:hAnsiTheme="majorBidi" w:cstheme="majorBidi"/>
        </w:rPr>
        <w:t>-2025</w:t>
      </w:r>
      <w:r w:rsidR="00AB3DA0">
        <w:rPr>
          <w:rFonts w:asciiTheme="majorBidi" w:hAnsiTheme="majorBidi" w:cstheme="majorBidi"/>
        </w:rPr>
        <w:t>)</w:t>
      </w:r>
      <w:r w:rsidRPr="005E2E2A">
        <w:rPr>
          <w:rFonts w:asciiTheme="majorBidi" w:hAnsiTheme="majorBidi" w:cstheme="majorBidi"/>
        </w:rPr>
        <w:t xml:space="preserve"> is to survey the universe of approximately </w:t>
      </w:r>
      <w:r w:rsidR="00A60370">
        <w:rPr>
          <w:rFonts w:asciiTheme="majorBidi" w:hAnsiTheme="majorBidi" w:cstheme="majorBidi"/>
        </w:rPr>
        <w:t>2,</w:t>
      </w:r>
      <w:r w:rsidR="00837448">
        <w:rPr>
          <w:rFonts w:asciiTheme="majorBidi" w:hAnsiTheme="majorBidi" w:cstheme="majorBidi"/>
        </w:rPr>
        <w:t>20</w:t>
      </w:r>
      <w:r w:rsidR="00A60370">
        <w:rPr>
          <w:rFonts w:asciiTheme="majorBidi" w:hAnsiTheme="majorBidi" w:cstheme="majorBidi"/>
        </w:rPr>
        <w:t>0</w:t>
      </w:r>
      <w:r w:rsidRPr="005E2E2A">
        <w:rPr>
          <w:rFonts w:asciiTheme="majorBidi" w:hAnsiTheme="majorBidi" w:cstheme="majorBidi"/>
        </w:rPr>
        <w:t xml:space="preserve"> </w:t>
      </w:r>
      <w:r w:rsidR="008C3C53">
        <w:rPr>
          <w:rFonts w:asciiTheme="majorBidi" w:hAnsiTheme="majorBidi" w:cstheme="majorBidi"/>
        </w:rPr>
        <w:t>MECs</w:t>
      </w:r>
      <w:r w:rsidR="00837448">
        <w:rPr>
          <w:rFonts w:asciiTheme="majorBidi" w:hAnsiTheme="majorBidi" w:cstheme="majorBidi"/>
        </w:rPr>
        <w:t xml:space="preserve"> that </w:t>
      </w:r>
      <w:r w:rsidR="006C53FB">
        <w:rPr>
          <w:rFonts w:asciiTheme="majorBidi" w:hAnsiTheme="majorBidi" w:cstheme="majorBidi"/>
        </w:rPr>
        <w:t>conduct medicolegal death investigations in</w:t>
      </w:r>
      <w:r w:rsidRPr="005E2E2A">
        <w:rPr>
          <w:rFonts w:asciiTheme="majorBidi" w:hAnsiTheme="majorBidi" w:cstheme="majorBidi"/>
        </w:rPr>
        <w:t xml:space="preserve"> the </w:t>
      </w:r>
      <w:r w:rsidR="00604719">
        <w:rPr>
          <w:rFonts w:asciiTheme="majorBidi" w:hAnsiTheme="majorBidi" w:cstheme="majorBidi"/>
        </w:rPr>
        <w:t>U.S</w:t>
      </w:r>
      <w:r w:rsidR="00265D83">
        <w:rPr>
          <w:rFonts w:asciiTheme="majorBidi" w:hAnsiTheme="majorBidi" w:cstheme="majorBidi"/>
        </w:rPr>
        <w:t xml:space="preserve">. </w:t>
      </w:r>
      <w:bookmarkStart w:id="0" w:name="_Hlk141163549"/>
      <w:r w:rsidRPr="00B637DB" w:rsidR="00B637DB">
        <w:rPr>
          <w:rFonts w:asciiTheme="majorBidi" w:hAnsiTheme="majorBidi" w:cstheme="majorBidi"/>
        </w:rPr>
        <w:t>The purpose of the CMEC data collection is to gather and report information on:</w:t>
      </w:r>
      <w:r w:rsidR="00B637DB">
        <w:rPr>
          <w:rFonts w:asciiTheme="majorBidi" w:hAnsiTheme="majorBidi" w:cstheme="majorBidi"/>
        </w:rPr>
        <w:t xml:space="preserve"> 1)</w:t>
      </w:r>
      <w:r w:rsidRPr="00B637DB" w:rsidR="00B637DB">
        <w:rPr>
          <w:rFonts w:asciiTheme="majorBidi" w:hAnsiTheme="majorBidi" w:cstheme="majorBidi"/>
        </w:rPr>
        <w:t xml:space="preserve"> administration of </w:t>
      </w:r>
      <w:r w:rsidR="00604719">
        <w:rPr>
          <w:rFonts w:asciiTheme="majorBidi" w:hAnsiTheme="majorBidi" w:cstheme="majorBidi"/>
        </w:rPr>
        <w:t>MEC</w:t>
      </w:r>
      <w:r w:rsidRPr="00B637DB" w:rsidR="00B637DB">
        <w:rPr>
          <w:rFonts w:asciiTheme="majorBidi" w:hAnsiTheme="majorBidi" w:cstheme="majorBidi"/>
        </w:rPr>
        <w:t xml:space="preserve"> offices, including but not limited to accreditation and budget</w:t>
      </w:r>
      <w:r w:rsidR="00B637DB">
        <w:rPr>
          <w:rFonts w:asciiTheme="majorBidi" w:hAnsiTheme="majorBidi" w:cstheme="majorBidi"/>
        </w:rPr>
        <w:t>; 2) s</w:t>
      </w:r>
      <w:r w:rsidRPr="00B637DB" w:rsidR="00B637DB">
        <w:rPr>
          <w:rFonts w:asciiTheme="majorBidi" w:hAnsiTheme="majorBidi" w:cstheme="majorBidi"/>
        </w:rPr>
        <w:t>taffing, including but not limited to employee training and certification</w:t>
      </w:r>
      <w:r w:rsidR="00B637DB">
        <w:rPr>
          <w:rFonts w:asciiTheme="majorBidi" w:hAnsiTheme="majorBidi" w:cstheme="majorBidi"/>
        </w:rPr>
        <w:t>; 3) w</w:t>
      </w:r>
      <w:r w:rsidRPr="00B637DB" w:rsidR="00B637DB">
        <w:rPr>
          <w:rFonts w:asciiTheme="majorBidi" w:hAnsiTheme="majorBidi" w:cstheme="majorBidi"/>
        </w:rPr>
        <w:t>orkload, including but not limited to referred and accepted cases, backlogs, and autopsies</w:t>
      </w:r>
      <w:r w:rsidR="00B637DB">
        <w:rPr>
          <w:rFonts w:asciiTheme="majorBidi" w:hAnsiTheme="majorBidi" w:cstheme="majorBidi"/>
        </w:rPr>
        <w:t>; and 4) p</w:t>
      </w:r>
      <w:r w:rsidRPr="00B637DB" w:rsidR="00B637DB">
        <w:rPr>
          <w:rFonts w:asciiTheme="majorBidi" w:hAnsiTheme="majorBidi" w:cstheme="majorBidi"/>
        </w:rPr>
        <w:t>olicies and procedures, including but not limited to those for disposition of remains, unidentified decedents, record keeping, and standardization of data</w:t>
      </w:r>
      <w:r w:rsidR="00492ACC">
        <w:rPr>
          <w:rFonts w:asciiTheme="majorBidi" w:hAnsiTheme="majorBidi" w:cstheme="majorBidi"/>
        </w:rPr>
        <w:t>.</w:t>
      </w:r>
      <w:bookmarkEnd w:id="0"/>
      <w:r w:rsidR="007B1ECF">
        <w:rPr>
          <w:rFonts w:asciiTheme="majorBidi" w:hAnsiTheme="majorBidi" w:cstheme="majorBidi"/>
        </w:rPr>
        <w:t xml:space="preserve"> In addition, the 2023 CMEC will include approximately </w:t>
      </w:r>
      <w:r w:rsidR="007B100A">
        <w:rPr>
          <w:rFonts w:asciiTheme="majorBidi" w:hAnsiTheme="majorBidi" w:cstheme="majorBidi"/>
        </w:rPr>
        <w:t>700</w:t>
      </w:r>
      <w:r w:rsidR="007B1ECF">
        <w:rPr>
          <w:rFonts w:asciiTheme="majorBidi" w:hAnsiTheme="majorBidi" w:cstheme="majorBidi"/>
        </w:rPr>
        <w:t xml:space="preserve"> additional Justices of the Peace (JPs) in Texas who were not included in the 2018 CMEC. The CMEC will provide these JPs with the same instrument as other MEC offices. </w:t>
      </w:r>
    </w:p>
    <w:p w:rsidR="00767F64" w:rsidP="00767F64" w14:paraId="51014921" w14:textId="77777777">
      <w:pPr>
        <w:contextualSpacing/>
        <w:rPr>
          <w:rFonts w:cs="Times New Roman"/>
        </w:rPr>
      </w:pPr>
    </w:p>
    <w:p w:rsidR="000A4F77" w:rsidP="00767F64" w14:paraId="583A8756" w14:textId="7B6FAA76">
      <w:pPr>
        <w:contextualSpacing/>
        <w:rPr>
          <w:rFonts w:asciiTheme="majorBidi" w:hAnsiTheme="majorBidi" w:cstheme="majorBidi"/>
        </w:rPr>
      </w:pPr>
      <w:r>
        <w:rPr>
          <w:rFonts w:asciiTheme="majorBidi" w:hAnsiTheme="majorBidi" w:cstheme="majorBidi"/>
        </w:rPr>
        <w:t>In preparation of the 202</w:t>
      </w:r>
      <w:r w:rsidR="00AB3DA0">
        <w:rPr>
          <w:rFonts w:asciiTheme="majorBidi" w:hAnsiTheme="majorBidi" w:cstheme="majorBidi"/>
        </w:rPr>
        <w:t>3</w:t>
      </w:r>
      <w:r>
        <w:rPr>
          <w:rFonts w:asciiTheme="majorBidi" w:hAnsiTheme="majorBidi" w:cstheme="majorBidi"/>
        </w:rPr>
        <w:t xml:space="preserve"> CMEC</w:t>
      </w:r>
      <w:r w:rsidR="00AB3DA0">
        <w:rPr>
          <w:rFonts w:asciiTheme="majorBidi" w:hAnsiTheme="majorBidi" w:cstheme="majorBidi"/>
        </w:rPr>
        <w:t xml:space="preserve">, </w:t>
      </w:r>
      <w:r>
        <w:rPr>
          <w:rFonts w:asciiTheme="majorBidi" w:hAnsiTheme="majorBidi" w:cstheme="majorBidi"/>
        </w:rPr>
        <w:t xml:space="preserve">BJS has revised the survey instrument and is seeking OMB generic </w:t>
      </w:r>
      <w:r w:rsidR="00604719">
        <w:rPr>
          <w:rFonts w:asciiTheme="majorBidi" w:hAnsiTheme="majorBidi" w:cstheme="majorBidi"/>
        </w:rPr>
        <w:t>clearance to 1) Verify</w:t>
      </w:r>
      <w:r w:rsidRPr="002C20A4" w:rsidR="0042049A">
        <w:rPr>
          <w:rFonts w:asciiTheme="majorBidi" w:hAnsiTheme="majorBidi" w:cstheme="majorBidi"/>
        </w:rPr>
        <w:t xml:space="preserve"> </w:t>
      </w:r>
      <w:r w:rsidR="00604719">
        <w:rPr>
          <w:rFonts w:asciiTheme="majorBidi" w:hAnsiTheme="majorBidi" w:cstheme="majorBidi"/>
        </w:rPr>
        <w:t>and update the</w:t>
      </w:r>
      <w:r w:rsidRPr="002C20A4" w:rsidR="0042049A">
        <w:rPr>
          <w:rFonts w:asciiTheme="majorBidi" w:hAnsiTheme="majorBidi" w:cstheme="majorBidi"/>
        </w:rPr>
        <w:t xml:space="preserve"> frame </w:t>
      </w:r>
      <w:r w:rsidR="00604719">
        <w:rPr>
          <w:rFonts w:asciiTheme="majorBidi" w:hAnsiTheme="majorBidi" w:cstheme="majorBidi"/>
        </w:rPr>
        <w:t>using</w:t>
      </w:r>
      <w:r w:rsidRPr="002C20A4" w:rsidR="00604719">
        <w:rPr>
          <w:rFonts w:asciiTheme="majorBidi" w:hAnsiTheme="majorBidi" w:cstheme="majorBidi"/>
        </w:rPr>
        <w:t xml:space="preserve"> </w:t>
      </w:r>
      <w:r w:rsidR="00357866">
        <w:rPr>
          <w:rFonts w:asciiTheme="majorBidi" w:hAnsiTheme="majorBidi" w:cstheme="majorBidi"/>
        </w:rPr>
        <w:t xml:space="preserve">email and </w:t>
      </w:r>
      <w:r w:rsidRPr="002C20A4" w:rsidR="00767F64">
        <w:rPr>
          <w:rFonts w:asciiTheme="majorBidi" w:hAnsiTheme="majorBidi" w:cstheme="majorBidi"/>
        </w:rPr>
        <w:t xml:space="preserve">telephone outreach </w:t>
      </w:r>
      <w:r w:rsidRPr="002C20A4" w:rsidR="0042049A">
        <w:rPr>
          <w:rFonts w:asciiTheme="majorBidi" w:hAnsiTheme="majorBidi" w:cstheme="majorBidi"/>
        </w:rPr>
        <w:t xml:space="preserve">to confirm or collect contact information for the </w:t>
      </w:r>
      <w:r w:rsidRPr="002C20A4" w:rsidR="00583A63">
        <w:rPr>
          <w:rFonts w:asciiTheme="majorBidi" w:hAnsiTheme="majorBidi" w:cstheme="majorBidi"/>
        </w:rPr>
        <w:t xml:space="preserve">MEC </w:t>
      </w:r>
      <w:r w:rsidRPr="002C20A4" w:rsidR="00AC2959">
        <w:rPr>
          <w:rFonts w:asciiTheme="majorBidi" w:hAnsiTheme="majorBidi" w:cstheme="majorBidi"/>
        </w:rPr>
        <w:t>frame</w:t>
      </w:r>
      <w:r w:rsidR="00604719">
        <w:rPr>
          <w:rFonts w:asciiTheme="majorBidi" w:hAnsiTheme="majorBidi" w:cstheme="majorBidi"/>
        </w:rPr>
        <w:t>, and 2)</w:t>
      </w:r>
      <w:r w:rsidR="007B1ECF">
        <w:rPr>
          <w:rFonts w:asciiTheme="majorBidi" w:hAnsiTheme="majorBidi" w:cstheme="majorBidi"/>
        </w:rPr>
        <w:t xml:space="preserve"> </w:t>
      </w:r>
      <w:r w:rsidR="00604719">
        <w:rPr>
          <w:rFonts w:asciiTheme="majorBidi" w:hAnsiTheme="majorBidi" w:cstheme="majorBidi"/>
        </w:rPr>
        <w:t>Conduct</w:t>
      </w:r>
      <w:r w:rsidRPr="002C20A4" w:rsidR="0042049A">
        <w:rPr>
          <w:rFonts w:asciiTheme="majorBidi" w:hAnsiTheme="majorBidi" w:cstheme="majorBidi"/>
        </w:rPr>
        <w:t xml:space="preserve"> </w:t>
      </w:r>
      <w:r w:rsidRPr="002C20A4" w:rsidR="00783A43">
        <w:rPr>
          <w:rFonts w:asciiTheme="majorBidi" w:hAnsiTheme="majorBidi" w:cstheme="majorBidi"/>
        </w:rPr>
        <w:t xml:space="preserve">cognitive interviews </w:t>
      </w:r>
      <w:r w:rsidR="007363D4">
        <w:rPr>
          <w:rFonts w:asciiTheme="majorBidi" w:hAnsiTheme="majorBidi" w:cstheme="majorBidi"/>
        </w:rPr>
        <w:t xml:space="preserve">to </w:t>
      </w:r>
      <w:r w:rsidRPr="002C20A4" w:rsidR="00783A43">
        <w:rPr>
          <w:rFonts w:asciiTheme="majorBidi" w:hAnsiTheme="majorBidi" w:cstheme="majorBidi"/>
        </w:rPr>
        <w:t xml:space="preserve">test the </w:t>
      </w:r>
      <w:r w:rsidR="00604719">
        <w:rPr>
          <w:rFonts w:asciiTheme="majorBidi" w:hAnsiTheme="majorBidi" w:cstheme="majorBidi"/>
        </w:rPr>
        <w:t xml:space="preserve">revised </w:t>
      </w:r>
      <w:r w:rsidRPr="002C20A4" w:rsidR="00783A43">
        <w:rPr>
          <w:rFonts w:asciiTheme="majorBidi" w:hAnsiTheme="majorBidi" w:cstheme="majorBidi"/>
        </w:rPr>
        <w:t>survey instrument for clarity</w:t>
      </w:r>
      <w:r w:rsidR="00FA6D82">
        <w:rPr>
          <w:rFonts w:asciiTheme="majorBidi" w:hAnsiTheme="majorBidi" w:cstheme="majorBidi"/>
        </w:rPr>
        <w:t xml:space="preserve"> and </w:t>
      </w:r>
      <w:r w:rsidRPr="002C20A4" w:rsidR="00783A43">
        <w:rPr>
          <w:rFonts w:asciiTheme="majorBidi" w:hAnsiTheme="majorBidi" w:cstheme="majorBidi"/>
        </w:rPr>
        <w:t>interpretation</w:t>
      </w:r>
      <w:r w:rsidR="00FA6D82">
        <w:rPr>
          <w:rFonts w:asciiTheme="majorBidi" w:hAnsiTheme="majorBidi" w:cstheme="majorBidi"/>
        </w:rPr>
        <w:t xml:space="preserve"> of the questions and answer</w:t>
      </w:r>
      <w:r w:rsidR="007363D4">
        <w:rPr>
          <w:rFonts w:asciiTheme="majorBidi" w:hAnsiTheme="majorBidi" w:cstheme="majorBidi"/>
        </w:rPr>
        <w:t xml:space="preserve"> option</w:t>
      </w:r>
      <w:r w:rsidR="00FA6D82">
        <w:rPr>
          <w:rFonts w:asciiTheme="majorBidi" w:hAnsiTheme="majorBidi" w:cstheme="majorBidi"/>
        </w:rPr>
        <w:t>s</w:t>
      </w:r>
      <w:r w:rsidRPr="002C20A4" w:rsidR="00783A43">
        <w:rPr>
          <w:rFonts w:asciiTheme="majorBidi" w:hAnsiTheme="majorBidi" w:cstheme="majorBidi"/>
        </w:rPr>
        <w:t xml:space="preserve">. </w:t>
      </w:r>
      <w:r w:rsidR="00767F64">
        <w:rPr>
          <w:rFonts w:asciiTheme="majorBidi" w:hAnsiTheme="majorBidi" w:cstheme="majorBidi"/>
        </w:rPr>
        <w:t>More details about each of these requests follow.</w:t>
      </w:r>
    </w:p>
    <w:p w:rsidR="00102E18" w:rsidP="00767F64" w14:paraId="52B33C11" w14:textId="41143A68">
      <w:pPr>
        <w:contextualSpacing/>
        <w:rPr>
          <w:rFonts w:asciiTheme="majorBidi" w:hAnsiTheme="majorBidi" w:cstheme="majorBidi"/>
        </w:rPr>
      </w:pPr>
    </w:p>
    <w:p w:rsidR="00FF7C83" w:rsidP="00767F64" w14:paraId="417A75C6" w14:textId="6561323F">
      <w:pPr>
        <w:rPr>
          <w:rFonts w:asciiTheme="majorBidi" w:hAnsiTheme="majorBidi" w:cstheme="majorBidi"/>
          <w:b/>
          <w:u w:val="single"/>
        </w:rPr>
      </w:pPr>
      <w:r>
        <w:rPr>
          <w:rFonts w:asciiTheme="majorBidi" w:hAnsiTheme="majorBidi" w:cstheme="majorBidi"/>
          <w:b/>
          <w:u w:val="single"/>
        </w:rPr>
        <w:t xml:space="preserve">Task 1: </w:t>
      </w:r>
      <w:r w:rsidRPr="005E2E2A">
        <w:rPr>
          <w:rFonts w:asciiTheme="majorBidi" w:hAnsiTheme="majorBidi" w:cstheme="majorBidi"/>
          <w:b/>
          <w:u w:val="single"/>
        </w:rPr>
        <w:t xml:space="preserve">Request for </w:t>
      </w:r>
      <w:r w:rsidR="00767F64">
        <w:rPr>
          <w:rFonts w:asciiTheme="majorBidi" w:hAnsiTheme="majorBidi" w:cstheme="majorBidi"/>
          <w:b/>
          <w:u w:val="single"/>
        </w:rPr>
        <w:t>F</w:t>
      </w:r>
      <w:r w:rsidRPr="005E2E2A" w:rsidR="00AA5402">
        <w:rPr>
          <w:rFonts w:asciiTheme="majorBidi" w:hAnsiTheme="majorBidi" w:cstheme="majorBidi"/>
          <w:b/>
          <w:u w:val="single"/>
        </w:rPr>
        <w:t xml:space="preserve">rame </w:t>
      </w:r>
      <w:r w:rsidR="00767F64">
        <w:rPr>
          <w:rFonts w:asciiTheme="majorBidi" w:hAnsiTheme="majorBidi" w:cstheme="majorBidi"/>
          <w:b/>
          <w:u w:val="single"/>
        </w:rPr>
        <w:t>V</w:t>
      </w:r>
      <w:r w:rsidRPr="005E2E2A" w:rsidR="00436114">
        <w:rPr>
          <w:rFonts w:asciiTheme="majorBidi" w:hAnsiTheme="majorBidi" w:cstheme="majorBidi"/>
          <w:b/>
          <w:u w:val="single"/>
        </w:rPr>
        <w:t>erification</w:t>
      </w:r>
      <w:r w:rsidR="00767F64">
        <w:rPr>
          <w:rFonts w:asciiTheme="majorBidi" w:hAnsiTheme="majorBidi" w:cstheme="majorBidi"/>
          <w:b/>
          <w:u w:val="single"/>
        </w:rPr>
        <w:t xml:space="preserve"> Telephone Outreach Effort</w:t>
      </w:r>
    </w:p>
    <w:p w:rsidR="00B862A6" w:rsidRPr="005E2E2A" w:rsidP="00767F64" w14:paraId="0158EA8F" w14:textId="77777777">
      <w:pPr>
        <w:rPr>
          <w:rFonts w:asciiTheme="majorBidi" w:hAnsiTheme="majorBidi" w:cstheme="majorBidi"/>
          <w:b/>
          <w:u w:val="single"/>
        </w:rPr>
      </w:pPr>
    </w:p>
    <w:p w:rsidR="00583A63" w:rsidP="00767F64" w14:paraId="52521654" w14:textId="429963E2">
      <w:pPr>
        <w:pStyle w:val="BodyText"/>
        <w:spacing w:after="0"/>
        <w:rPr>
          <w:rFonts w:asciiTheme="majorBidi" w:hAnsiTheme="majorBidi" w:cstheme="majorBidi"/>
        </w:rPr>
      </w:pPr>
      <w:r>
        <w:rPr>
          <w:rFonts w:asciiTheme="majorBidi" w:hAnsiTheme="majorBidi" w:cstheme="majorBidi"/>
        </w:rPr>
        <w:t xml:space="preserve">To construct the frame, </w:t>
      </w:r>
      <w:r w:rsidR="00640DB1">
        <w:rPr>
          <w:rFonts w:asciiTheme="majorBidi" w:hAnsiTheme="majorBidi" w:cstheme="majorBidi"/>
        </w:rPr>
        <w:t>BJS</w:t>
      </w:r>
      <w:r w:rsidR="00DA5537">
        <w:rPr>
          <w:rFonts w:asciiTheme="majorBidi" w:hAnsiTheme="majorBidi" w:cstheme="majorBidi"/>
        </w:rPr>
        <w:t>,</w:t>
      </w:r>
      <w:r w:rsidR="00640DB1">
        <w:rPr>
          <w:rFonts w:asciiTheme="majorBidi" w:hAnsiTheme="majorBidi" w:cstheme="majorBidi"/>
        </w:rPr>
        <w:t xml:space="preserve"> in partnership with </w:t>
      </w:r>
      <w:r w:rsidR="00500793">
        <w:rPr>
          <w:rFonts w:asciiTheme="majorBidi" w:hAnsiTheme="majorBidi" w:cstheme="majorBidi"/>
        </w:rPr>
        <w:t>RTI</w:t>
      </w:r>
      <w:r w:rsidR="00C84609">
        <w:rPr>
          <w:rFonts w:asciiTheme="majorBidi" w:hAnsiTheme="majorBidi" w:cstheme="majorBidi"/>
        </w:rPr>
        <w:t>,</w:t>
      </w:r>
      <w:r w:rsidR="00500793">
        <w:rPr>
          <w:rFonts w:asciiTheme="majorBidi" w:hAnsiTheme="majorBidi" w:cstheme="majorBidi"/>
        </w:rPr>
        <w:t xml:space="preserve"> </w:t>
      </w:r>
      <w:r>
        <w:rPr>
          <w:rFonts w:asciiTheme="majorBidi" w:hAnsiTheme="majorBidi" w:cstheme="majorBidi"/>
        </w:rPr>
        <w:t>will review</w:t>
      </w:r>
      <w:r w:rsidR="005117C7">
        <w:rPr>
          <w:rFonts w:asciiTheme="majorBidi" w:hAnsiTheme="majorBidi" w:cstheme="majorBidi"/>
        </w:rPr>
        <w:t xml:space="preserve"> the final </w:t>
      </w:r>
      <w:r w:rsidR="0083632A">
        <w:rPr>
          <w:rFonts w:asciiTheme="majorBidi" w:hAnsiTheme="majorBidi" w:cstheme="majorBidi"/>
        </w:rPr>
        <w:t xml:space="preserve">2018 </w:t>
      </w:r>
      <w:r w:rsidR="005117C7">
        <w:rPr>
          <w:rFonts w:asciiTheme="majorBidi" w:hAnsiTheme="majorBidi" w:cstheme="majorBidi"/>
        </w:rPr>
        <w:t xml:space="preserve">CMEC </w:t>
      </w:r>
      <w:r w:rsidR="00837448">
        <w:rPr>
          <w:rFonts w:asciiTheme="majorBidi" w:hAnsiTheme="majorBidi" w:cstheme="majorBidi"/>
        </w:rPr>
        <w:t>universe file</w:t>
      </w:r>
      <w:r w:rsidR="005117C7">
        <w:rPr>
          <w:rFonts w:asciiTheme="majorBidi" w:hAnsiTheme="majorBidi" w:cstheme="majorBidi"/>
        </w:rPr>
        <w:t xml:space="preserve"> </w:t>
      </w:r>
      <w:r w:rsidR="00640DB1">
        <w:rPr>
          <w:rFonts w:asciiTheme="majorBidi" w:hAnsiTheme="majorBidi" w:cstheme="majorBidi"/>
        </w:rPr>
        <w:t xml:space="preserve">(N = 2,200) </w:t>
      </w:r>
      <w:r w:rsidR="005117C7">
        <w:rPr>
          <w:rFonts w:asciiTheme="majorBidi" w:hAnsiTheme="majorBidi" w:cstheme="majorBidi"/>
        </w:rPr>
        <w:t>again</w:t>
      </w:r>
      <w:r>
        <w:rPr>
          <w:rFonts w:asciiTheme="majorBidi" w:hAnsiTheme="majorBidi" w:cstheme="majorBidi"/>
        </w:rPr>
        <w:t>st</w:t>
      </w:r>
      <w:r w:rsidR="005117C7">
        <w:rPr>
          <w:rFonts w:asciiTheme="majorBidi" w:hAnsiTheme="majorBidi" w:cstheme="majorBidi"/>
        </w:rPr>
        <w:t xml:space="preserve"> the National Directory of Law Enforcement Administrators (NDLEA) directory</w:t>
      </w:r>
      <w:r>
        <w:rPr>
          <w:rFonts w:asciiTheme="majorBidi" w:hAnsiTheme="majorBidi" w:cstheme="majorBidi"/>
        </w:rPr>
        <w:t>,</w:t>
      </w:r>
      <w:r>
        <w:rPr>
          <w:rStyle w:val="FootnoteReference"/>
          <w:rFonts w:asciiTheme="majorBidi" w:hAnsiTheme="majorBidi" w:cstheme="majorBidi"/>
        </w:rPr>
        <w:footnoteReference w:id="4"/>
      </w:r>
      <w:r w:rsidR="005117C7">
        <w:rPr>
          <w:rFonts w:asciiTheme="majorBidi" w:hAnsiTheme="majorBidi" w:cstheme="majorBidi"/>
        </w:rPr>
        <w:t xml:space="preserve"> which is a real-time database that include</w:t>
      </w:r>
      <w:r w:rsidR="00837448">
        <w:rPr>
          <w:rFonts w:asciiTheme="majorBidi" w:hAnsiTheme="majorBidi" w:cstheme="majorBidi"/>
        </w:rPr>
        <w:t>s</w:t>
      </w:r>
      <w:r w:rsidR="005117C7">
        <w:rPr>
          <w:rFonts w:asciiTheme="majorBidi" w:hAnsiTheme="majorBidi" w:cstheme="majorBidi"/>
        </w:rPr>
        <w:t xml:space="preserve"> </w:t>
      </w:r>
      <w:r w:rsidR="005E1487">
        <w:rPr>
          <w:rFonts w:asciiTheme="majorBidi" w:hAnsiTheme="majorBidi" w:cstheme="majorBidi"/>
        </w:rPr>
        <w:t>M</w:t>
      </w:r>
      <w:r w:rsidR="005117C7">
        <w:rPr>
          <w:rFonts w:asciiTheme="majorBidi" w:hAnsiTheme="majorBidi" w:cstheme="majorBidi"/>
        </w:rPr>
        <w:t>ECs.</w:t>
      </w:r>
      <w:r w:rsidR="00185738">
        <w:rPr>
          <w:rFonts w:asciiTheme="majorBidi" w:hAnsiTheme="majorBidi" w:cstheme="majorBidi"/>
        </w:rPr>
        <w:t xml:space="preserve"> </w:t>
      </w:r>
      <w:r>
        <w:rPr>
          <w:rFonts w:asciiTheme="majorBidi" w:hAnsiTheme="majorBidi" w:cstheme="majorBidi"/>
        </w:rPr>
        <w:t xml:space="preserve">We will merge </w:t>
      </w:r>
      <w:r w:rsidR="00504065">
        <w:rPr>
          <w:rFonts w:asciiTheme="majorBidi" w:hAnsiTheme="majorBidi" w:cstheme="majorBidi"/>
        </w:rPr>
        <w:t>both lists to ensure coverage, identify</w:t>
      </w:r>
      <w:r w:rsidR="00185738">
        <w:rPr>
          <w:rFonts w:asciiTheme="majorBidi" w:hAnsiTheme="majorBidi" w:cstheme="majorBidi"/>
        </w:rPr>
        <w:t xml:space="preserve"> any new offices,</w:t>
      </w:r>
      <w:r w:rsidR="00504065">
        <w:rPr>
          <w:rFonts w:asciiTheme="majorBidi" w:hAnsiTheme="majorBidi" w:cstheme="majorBidi"/>
        </w:rPr>
        <w:t xml:space="preserve"> remove any duplicate entries, and update any contact information in preparation for our verification calling effort.</w:t>
      </w:r>
      <w:r>
        <w:rPr>
          <w:rFonts w:asciiTheme="majorBidi" w:hAnsiTheme="majorBidi" w:cstheme="majorBidi"/>
        </w:rPr>
        <w:t xml:space="preserve"> </w:t>
      </w:r>
      <w:r w:rsidR="00504065">
        <w:rPr>
          <w:rFonts w:asciiTheme="majorBidi" w:hAnsiTheme="majorBidi" w:cstheme="majorBidi"/>
        </w:rPr>
        <w:t xml:space="preserve">It is anticipated that through this comparison, we </w:t>
      </w:r>
      <w:r w:rsidR="003E211F">
        <w:rPr>
          <w:rFonts w:asciiTheme="majorBidi" w:hAnsiTheme="majorBidi" w:cstheme="majorBidi"/>
        </w:rPr>
        <w:t xml:space="preserve">will identify </w:t>
      </w:r>
      <w:r w:rsidR="00504065">
        <w:rPr>
          <w:rFonts w:asciiTheme="majorBidi" w:hAnsiTheme="majorBidi" w:cstheme="majorBidi"/>
        </w:rPr>
        <w:t xml:space="preserve">up to </w:t>
      </w:r>
      <w:r w:rsidR="00185738">
        <w:rPr>
          <w:rFonts w:asciiTheme="majorBidi" w:hAnsiTheme="majorBidi" w:cstheme="majorBidi"/>
        </w:rPr>
        <w:t>3</w:t>
      </w:r>
      <w:r w:rsidRPr="00504065" w:rsidR="00504065">
        <w:rPr>
          <w:rFonts w:asciiTheme="majorBidi" w:hAnsiTheme="majorBidi" w:cstheme="majorBidi"/>
        </w:rPr>
        <w:t xml:space="preserve">0 new </w:t>
      </w:r>
      <w:r w:rsidR="00185738">
        <w:rPr>
          <w:rFonts w:asciiTheme="majorBidi" w:hAnsiTheme="majorBidi" w:cstheme="majorBidi"/>
        </w:rPr>
        <w:t>offices</w:t>
      </w:r>
      <w:r w:rsidR="00504065">
        <w:rPr>
          <w:rFonts w:asciiTheme="majorBidi" w:hAnsiTheme="majorBidi" w:cstheme="majorBidi"/>
        </w:rPr>
        <w:t xml:space="preserve"> to add to the frame.</w:t>
      </w:r>
      <w:r w:rsidR="00EB3B17">
        <w:rPr>
          <w:rFonts w:asciiTheme="majorBidi" w:hAnsiTheme="majorBidi" w:cstheme="majorBidi"/>
        </w:rPr>
        <w:t xml:space="preserve"> </w:t>
      </w:r>
      <w:r w:rsidR="00787A0E">
        <w:rPr>
          <w:rFonts w:asciiTheme="majorBidi" w:hAnsiTheme="majorBidi" w:cstheme="majorBidi"/>
        </w:rPr>
        <w:t xml:space="preserve">Additionally, the website </w:t>
      </w:r>
      <w:hyperlink r:id="rId7" w:history="1">
        <w:r w:rsidRPr="00653971" w:rsidR="00787A0E">
          <w:rPr>
            <w:rStyle w:val="Hyperlink"/>
            <w:rFonts w:asciiTheme="majorBidi" w:hAnsiTheme="majorBidi" w:cstheme="majorBidi"/>
          </w:rPr>
          <w:t>https://www.tjctc.org/JP-Constable-Directory.html</w:t>
        </w:r>
      </w:hyperlink>
      <w:r w:rsidR="00787A0E">
        <w:rPr>
          <w:rFonts w:asciiTheme="majorBidi" w:hAnsiTheme="majorBidi" w:cstheme="majorBidi"/>
        </w:rPr>
        <w:t xml:space="preserve"> contains a directory of all the JPs in Texas that will be included in the verification process.</w:t>
      </w:r>
    </w:p>
    <w:p w:rsidR="00767F64" w:rsidP="00767F64" w14:paraId="62BD8C02" w14:textId="77777777">
      <w:pPr>
        <w:pStyle w:val="BodyText"/>
        <w:spacing w:after="0"/>
        <w:rPr>
          <w:rFonts w:asciiTheme="majorBidi" w:hAnsiTheme="majorBidi" w:cstheme="majorBidi"/>
        </w:rPr>
      </w:pPr>
    </w:p>
    <w:p w:rsidR="007275C8" w:rsidP="00767F64" w14:paraId="6F8F1CAD" w14:textId="1EEBA31D">
      <w:pPr>
        <w:pStyle w:val="BodyText"/>
        <w:spacing w:after="0"/>
        <w:rPr>
          <w:rFonts w:asciiTheme="majorBidi" w:hAnsiTheme="majorBidi" w:cstheme="majorBidi"/>
        </w:rPr>
      </w:pPr>
      <w:r>
        <w:rPr>
          <w:rFonts w:asciiTheme="majorBidi" w:hAnsiTheme="majorBidi" w:cstheme="majorBidi"/>
        </w:rPr>
        <w:t xml:space="preserve">To that end, </w:t>
      </w:r>
      <w:r w:rsidR="00583A63">
        <w:rPr>
          <w:rFonts w:asciiTheme="majorBidi" w:hAnsiTheme="majorBidi" w:cstheme="majorBidi"/>
        </w:rPr>
        <w:t xml:space="preserve">BJS requests clearance from OMB </w:t>
      </w:r>
      <w:r w:rsidR="002C57E4">
        <w:rPr>
          <w:rFonts w:asciiTheme="majorBidi" w:hAnsiTheme="majorBidi" w:cstheme="majorBidi"/>
        </w:rPr>
        <w:t xml:space="preserve">to </w:t>
      </w:r>
      <w:r w:rsidR="00A60370">
        <w:rPr>
          <w:rFonts w:asciiTheme="majorBidi" w:hAnsiTheme="majorBidi" w:cstheme="majorBidi"/>
        </w:rPr>
        <w:t xml:space="preserve">collect </w:t>
      </w:r>
      <w:r w:rsidR="002C57E4">
        <w:rPr>
          <w:rFonts w:asciiTheme="majorBidi" w:hAnsiTheme="majorBidi" w:cstheme="majorBidi"/>
        </w:rPr>
        <w:t>or confirm contact information and addresses</w:t>
      </w:r>
      <w:r w:rsidR="00583A63">
        <w:rPr>
          <w:rFonts w:asciiTheme="majorBidi" w:hAnsiTheme="majorBidi" w:cstheme="majorBidi"/>
        </w:rPr>
        <w:t xml:space="preserve"> </w:t>
      </w:r>
      <w:r w:rsidR="00A60370">
        <w:rPr>
          <w:rFonts w:asciiTheme="majorBidi" w:hAnsiTheme="majorBidi" w:cstheme="majorBidi"/>
        </w:rPr>
        <w:t>from</w:t>
      </w:r>
      <w:r w:rsidR="00583A63">
        <w:rPr>
          <w:rFonts w:asciiTheme="majorBidi" w:hAnsiTheme="majorBidi" w:cstheme="majorBidi"/>
        </w:rPr>
        <w:t xml:space="preserve"> </w:t>
      </w:r>
      <w:r>
        <w:rPr>
          <w:rFonts w:asciiTheme="majorBidi" w:hAnsiTheme="majorBidi" w:cstheme="majorBidi"/>
        </w:rPr>
        <w:t>2,</w:t>
      </w:r>
      <w:r w:rsidR="009431FD">
        <w:rPr>
          <w:rFonts w:asciiTheme="majorBidi" w:hAnsiTheme="majorBidi" w:cstheme="majorBidi"/>
        </w:rPr>
        <w:t>2</w:t>
      </w:r>
      <w:r w:rsidR="00185738">
        <w:rPr>
          <w:rFonts w:asciiTheme="majorBidi" w:hAnsiTheme="majorBidi" w:cstheme="majorBidi"/>
        </w:rPr>
        <w:t>3</w:t>
      </w:r>
      <w:r w:rsidR="009431FD">
        <w:rPr>
          <w:rFonts w:asciiTheme="majorBidi" w:hAnsiTheme="majorBidi" w:cstheme="majorBidi"/>
        </w:rPr>
        <w:t>0</w:t>
      </w:r>
      <w:r>
        <w:rPr>
          <w:rFonts w:asciiTheme="majorBidi" w:hAnsiTheme="majorBidi" w:cstheme="majorBidi"/>
        </w:rPr>
        <w:t xml:space="preserve"> </w:t>
      </w:r>
      <w:r w:rsidR="00623463">
        <w:rPr>
          <w:rFonts w:asciiTheme="majorBidi" w:hAnsiTheme="majorBidi" w:cstheme="majorBidi"/>
        </w:rPr>
        <w:t xml:space="preserve">MEC offices </w:t>
      </w:r>
      <w:r>
        <w:rPr>
          <w:rFonts w:asciiTheme="majorBidi" w:hAnsiTheme="majorBidi" w:cstheme="majorBidi"/>
        </w:rPr>
        <w:t xml:space="preserve">through </w:t>
      </w:r>
      <w:r w:rsidR="004F4EB0">
        <w:rPr>
          <w:rFonts w:asciiTheme="majorBidi" w:hAnsiTheme="majorBidi" w:cstheme="majorBidi"/>
        </w:rPr>
        <w:t xml:space="preserve">a </w:t>
      </w:r>
      <w:r w:rsidR="00644F03">
        <w:rPr>
          <w:rFonts w:asciiTheme="majorBidi" w:hAnsiTheme="majorBidi" w:cstheme="majorBidi"/>
        </w:rPr>
        <w:t xml:space="preserve">combined </w:t>
      </w:r>
      <w:r w:rsidR="004F4EB0">
        <w:rPr>
          <w:rFonts w:asciiTheme="majorBidi" w:hAnsiTheme="majorBidi" w:cstheme="majorBidi"/>
        </w:rPr>
        <w:t>web-based collection</w:t>
      </w:r>
      <w:r w:rsidR="00357866">
        <w:rPr>
          <w:rFonts w:asciiTheme="majorBidi" w:hAnsiTheme="majorBidi" w:cstheme="majorBidi"/>
        </w:rPr>
        <w:t xml:space="preserve"> and</w:t>
      </w:r>
      <w:r>
        <w:rPr>
          <w:rFonts w:asciiTheme="majorBidi" w:hAnsiTheme="majorBidi" w:cstheme="majorBidi"/>
        </w:rPr>
        <w:t xml:space="preserve"> telephone collection</w:t>
      </w:r>
      <w:r w:rsidR="00021BCC">
        <w:rPr>
          <w:rFonts w:asciiTheme="majorBidi" w:hAnsiTheme="majorBidi" w:cstheme="majorBidi"/>
        </w:rPr>
        <w:t>,</w:t>
      </w:r>
      <w:r w:rsidR="00357866">
        <w:rPr>
          <w:rFonts w:asciiTheme="majorBidi" w:hAnsiTheme="majorBidi" w:cstheme="majorBidi"/>
        </w:rPr>
        <w:t xml:space="preserve"> and about </w:t>
      </w:r>
      <w:r w:rsidR="007B100A">
        <w:rPr>
          <w:rFonts w:asciiTheme="majorBidi" w:hAnsiTheme="majorBidi" w:cstheme="majorBidi"/>
        </w:rPr>
        <w:t>700</w:t>
      </w:r>
      <w:r w:rsidR="00357866">
        <w:rPr>
          <w:rFonts w:asciiTheme="majorBidi" w:hAnsiTheme="majorBidi" w:cstheme="majorBidi"/>
        </w:rPr>
        <w:t xml:space="preserve"> </w:t>
      </w:r>
      <w:r w:rsidR="00623463">
        <w:rPr>
          <w:rFonts w:asciiTheme="majorBidi" w:hAnsiTheme="majorBidi" w:cstheme="majorBidi"/>
        </w:rPr>
        <w:t>Justices of the Peace</w:t>
      </w:r>
      <w:r w:rsidR="00357866">
        <w:rPr>
          <w:rFonts w:asciiTheme="majorBidi" w:hAnsiTheme="majorBidi" w:cstheme="majorBidi"/>
        </w:rPr>
        <w:t xml:space="preserve"> </w:t>
      </w:r>
      <w:r w:rsidR="00297D9E">
        <w:rPr>
          <w:rFonts w:asciiTheme="majorBidi" w:hAnsiTheme="majorBidi" w:cstheme="majorBidi"/>
        </w:rPr>
        <w:t xml:space="preserve">(JPs) </w:t>
      </w:r>
      <w:r w:rsidR="00357866">
        <w:rPr>
          <w:rFonts w:asciiTheme="majorBidi" w:hAnsiTheme="majorBidi" w:cstheme="majorBidi"/>
        </w:rPr>
        <w:t>through an email</w:t>
      </w:r>
      <w:r w:rsidR="00F30C49">
        <w:rPr>
          <w:rFonts w:asciiTheme="majorBidi" w:hAnsiTheme="majorBidi" w:cstheme="majorBidi"/>
        </w:rPr>
        <w:t>-</w:t>
      </w:r>
      <w:r w:rsidR="00357866">
        <w:rPr>
          <w:rFonts w:asciiTheme="majorBidi" w:hAnsiTheme="majorBidi" w:cstheme="majorBidi"/>
        </w:rPr>
        <w:t>only collection</w:t>
      </w:r>
      <w:r>
        <w:rPr>
          <w:rFonts w:asciiTheme="majorBidi" w:hAnsiTheme="majorBidi" w:cstheme="majorBidi"/>
        </w:rPr>
        <w:t xml:space="preserve">. </w:t>
      </w:r>
      <w:r w:rsidR="00295933">
        <w:rPr>
          <w:rFonts w:asciiTheme="majorBidi" w:hAnsiTheme="majorBidi" w:cstheme="majorBidi"/>
        </w:rPr>
        <w:t xml:space="preserve">We aim to conduct this verification call effort </w:t>
      </w:r>
      <w:r w:rsidR="003E211F">
        <w:rPr>
          <w:rFonts w:asciiTheme="majorBidi" w:hAnsiTheme="majorBidi" w:cstheme="majorBidi"/>
        </w:rPr>
        <w:t xml:space="preserve">from </w:t>
      </w:r>
      <w:r w:rsidR="00295933">
        <w:rPr>
          <w:rFonts w:asciiTheme="majorBidi" w:hAnsiTheme="majorBidi" w:cstheme="majorBidi"/>
        </w:rPr>
        <w:t>February</w:t>
      </w:r>
      <w:r w:rsidR="003E211F">
        <w:rPr>
          <w:rFonts w:asciiTheme="majorBidi" w:hAnsiTheme="majorBidi" w:cstheme="majorBidi"/>
        </w:rPr>
        <w:t xml:space="preserve"> 2024</w:t>
      </w:r>
      <w:r w:rsidR="009431FD">
        <w:rPr>
          <w:rFonts w:asciiTheme="majorBidi" w:hAnsiTheme="majorBidi" w:cstheme="majorBidi"/>
        </w:rPr>
        <w:t xml:space="preserve"> through April</w:t>
      </w:r>
      <w:r w:rsidR="00295933">
        <w:rPr>
          <w:rFonts w:asciiTheme="majorBidi" w:hAnsiTheme="majorBidi" w:cstheme="majorBidi"/>
        </w:rPr>
        <w:t xml:space="preserve"> of 20</w:t>
      </w:r>
      <w:r w:rsidR="000246ED">
        <w:rPr>
          <w:rFonts w:asciiTheme="majorBidi" w:hAnsiTheme="majorBidi" w:cstheme="majorBidi"/>
        </w:rPr>
        <w:t>24</w:t>
      </w:r>
      <w:r w:rsidR="00295933">
        <w:rPr>
          <w:rFonts w:asciiTheme="majorBidi" w:hAnsiTheme="majorBidi" w:cstheme="majorBidi"/>
        </w:rPr>
        <w:t xml:space="preserve">. </w:t>
      </w:r>
    </w:p>
    <w:p w:rsidR="00767F64" w:rsidP="00767F64" w14:paraId="4FFB2C7B" w14:textId="77777777">
      <w:pPr>
        <w:pStyle w:val="BodyText"/>
        <w:spacing w:after="0"/>
        <w:rPr>
          <w:rFonts w:asciiTheme="majorBidi" w:hAnsiTheme="majorBidi" w:cstheme="majorBidi"/>
        </w:rPr>
      </w:pPr>
    </w:p>
    <w:p w:rsidR="00B45B75" w:rsidP="00767F64" w14:paraId="10F8B425" w14:textId="0A6BCA16">
      <w:pPr>
        <w:pStyle w:val="BodyText"/>
        <w:spacing w:after="0"/>
        <w:rPr>
          <w:rFonts w:asciiTheme="majorBidi" w:hAnsiTheme="majorBidi" w:cstheme="majorBidi"/>
        </w:rPr>
      </w:pPr>
      <w:r>
        <w:rPr>
          <w:rFonts w:asciiTheme="majorBidi" w:hAnsiTheme="majorBidi" w:cstheme="majorBidi"/>
        </w:rPr>
        <w:t>T</w:t>
      </w:r>
      <w:r w:rsidR="00F71996">
        <w:rPr>
          <w:rFonts w:asciiTheme="majorBidi" w:hAnsiTheme="majorBidi" w:cstheme="majorBidi"/>
        </w:rPr>
        <w:t xml:space="preserve">he verification effort will </w:t>
      </w:r>
      <w:r w:rsidR="00357866">
        <w:rPr>
          <w:rFonts w:asciiTheme="majorBidi" w:hAnsiTheme="majorBidi" w:cstheme="majorBidi"/>
        </w:rPr>
        <w:t xml:space="preserve">start with </w:t>
      </w:r>
      <w:r w:rsidR="00640DB1">
        <w:rPr>
          <w:rFonts w:asciiTheme="majorBidi" w:hAnsiTheme="majorBidi" w:cstheme="majorBidi"/>
        </w:rPr>
        <w:t xml:space="preserve">BJS and </w:t>
      </w:r>
      <w:r w:rsidR="00500793">
        <w:rPr>
          <w:rFonts w:asciiTheme="majorBidi" w:hAnsiTheme="majorBidi" w:cstheme="majorBidi"/>
        </w:rPr>
        <w:t>RTI</w:t>
      </w:r>
      <w:r w:rsidR="00357866">
        <w:rPr>
          <w:rFonts w:asciiTheme="majorBidi" w:hAnsiTheme="majorBidi" w:cstheme="majorBidi"/>
        </w:rPr>
        <w:t xml:space="preserve"> comparing email addresses that were provided in the 2018 administration with the </w:t>
      </w:r>
      <w:r w:rsidR="00640DB1">
        <w:rPr>
          <w:rFonts w:asciiTheme="majorBidi" w:hAnsiTheme="majorBidi" w:cstheme="majorBidi"/>
        </w:rPr>
        <w:t>NDLEA</w:t>
      </w:r>
      <w:r w:rsidR="00357866">
        <w:rPr>
          <w:rFonts w:asciiTheme="majorBidi" w:hAnsiTheme="majorBidi" w:cstheme="majorBidi"/>
        </w:rPr>
        <w:t xml:space="preserve"> database</w:t>
      </w:r>
      <w:r w:rsidR="00A276AE">
        <w:rPr>
          <w:rFonts w:asciiTheme="majorBidi" w:hAnsiTheme="majorBidi" w:cstheme="majorBidi"/>
        </w:rPr>
        <w:t xml:space="preserve"> with the existing CMEC frame</w:t>
      </w:r>
      <w:r w:rsidR="00357866">
        <w:rPr>
          <w:rFonts w:asciiTheme="majorBidi" w:hAnsiTheme="majorBidi" w:cstheme="majorBidi"/>
        </w:rPr>
        <w:t xml:space="preserve">. The team will send an email invitation </w:t>
      </w:r>
      <w:r>
        <w:rPr>
          <w:rFonts w:asciiTheme="majorBidi" w:hAnsiTheme="majorBidi" w:cstheme="majorBidi"/>
        </w:rPr>
        <w:t xml:space="preserve">to all 2,230 </w:t>
      </w:r>
      <w:r w:rsidR="00021BCC">
        <w:rPr>
          <w:rFonts w:asciiTheme="majorBidi" w:hAnsiTheme="majorBidi" w:cstheme="majorBidi"/>
        </w:rPr>
        <w:t xml:space="preserve">MEC </w:t>
      </w:r>
      <w:r w:rsidR="00623463">
        <w:rPr>
          <w:rFonts w:asciiTheme="majorBidi" w:hAnsiTheme="majorBidi" w:cstheme="majorBidi"/>
        </w:rPr>
        <w:t xml:space="preserve">offices </w:t>
      </w:r>
      <w:r>
        <w:rPr>
          <w:rFonts w:asciiTheme="majorBidi" w:hAnsiTheme="majorBidi" w:cstheme="majorBidi"/>
        </w:rPr>
        <w:t>with login credentials to complete the verification option online. The email will provide an overview of the CMEC and invite them to log into the portal and verify their contact information</w:t>
      </w:r>
      <w:r w:rsidR="001D4D89">
        <w:rPr>
          <w:rFonts w:asciiTheme="majorBidi" w:hAnsiTheme="majorBidi" w:cstheme="majorBidi"/>
        </w:rPr>
        <w:t xml:space="preserve"> (</w:t>
      </w:r>
      <w:r w:rsidRPr="001D4D89" w:rsidR="001D4D89">
        <w:rPr>
          <w:rFonts w:asciiTheme="majorBidi" w:hAnsiTheme="majorBidi" w:cstheme="majorBidi"/>
          <w:b/>
          <w:bCs/>
        </w:rPr>
        <w:t>Appendix A-</w:t>
      </w:r>
      <w:r w:rsidR="00021BCC">
        <w:rPr>
          <w:rFonts w:asciiTheme="majorBidi" w:hAnsiTheme="majorBidi" w:cstheme="majorBidi"/>
          <w:b/>
          <w:bCs/>
        </w:rPr>
        <w:t>1</w:t>
      </w:r>
      <w:r w:rsidR="001D4D89">
        <w:rPr>
          <w:rFonts w:asciiTheme="majorBidi" w:hAnsiTheme="majorBidi" w:cstheme="majorBidi"/>
        </w:rPr>
        <w:t>)</w:t>
      </w:r>
      <w:r>
        <w:rPr>
          <w:rFonts w:asciiTheme="majorBidi" w:hAnsiTheme="majorBidi" w:cstheme="majorBidi"/>
        </w:rPr>
        <w:t xml:space="preserve">. </w:t>
      </w:r>
      <w:r w:rsidR="00E862C1">
        <w:rPr>
          <w:rFonts w:asciiTheme="majorBidi" w:hAnsiTheme="majorBidi" w:cstheme="majorBidi"/>
        </w:rPr>
        <w:t>The email will indicate that the team will call them in two weeks to verify their contact information by telephone if they opt not to verify their information on the website. Based on previous experience, we anticipate that about one-third of units will opt for the login verification response. A separate email will be sent to the approximate</w:t>
      </w:r>
      <w:r w:rsidR="00C01040">
        <w:rPr>
          <w:rFonts w:asciiTheme="majorBidi" w:hAnsiTheme="majorBidi" w:cstheme="majorBidi"/>
        </w:rPr>
        <w:t>ly</w:t>
      </w:r>
      <w:r w:rsidR="00E862C1">
        <w:rPr>
          <w:rFonts w:asciiTheme="majorBidi" w:hAnsiTheme="majorBidi" w:cstheme="majorBidi"/>
        </w:rPr>
        <w:t xml:space="preserve"> 700 Justices of the Peace so that the team can verify their contact information, but this outreach will be done via email only (</w:t>
      </w:r>
      <w:r w:rsidRPr="001D4D89" w:rsidR="00E862C1">
        <w:rPr>
          <w:rFonts w:asciiTheme="majorBidi" w:hAnsiTheme="majorBidi" w:cstheme="majorBidi"/>
          <w:b/>
          <w:bCs/>
        </w:rPr>
        <w:t>Appendix A-</w:t>
      </w:r>
      <w:r w:rsidR="00E862C1">
        <w:rPr>
          <w:rFonts w:asciiTheme="majorBidi" w:hAnsiTheme="majorBidi" w:cstheme="majorBidi"/>
          <w:b/>
          <w:bCs/>
        </w:rPr>
        <w:t>2</w:t>
      </w:r>
      <w:r w:rsidR="00E862C1">
        <w:rPr>
          <w:rFonts w:asciiTheme="majorBidi" w:hAnsiTheme="majorBidi" w:cstheme="majorBidi"/>
        </w:rPr>
        <w:t xml:space="preserve">). </w:t>
      </w:r>
      <w:r w:rsidR="009A0B10">
        <w:rPr>
          <w:rFonts w:asciiTheme="majorBidi" w:hAnsiTheme="majorBidi" w:cstheme="majorBidi"/>
        </w:rPr>
        <w:t xml:space="preserve">The verification form will be programmed and located at the same URL for the full CMEC data collection (www.bjscmec.org). </w:t>
      </w:r>
      <w:r w:rsidRPr="00E60F42" w:rsidR="00E862C1">
        <w:rPr>
          <w:rFonts w:asciiTheme="majorBidi" w:hAnsiTheme="majorBidi" w:cstheme="majorBidi"/>
          <w:b/>
        </w:rPr>
        <w:t>Appendix A</w:t>
      </w:r>
      <w:r w:rsidR="00E862C1">
        <w:rPr>
          <w:rFonts w:asciiTheme="majorBidi" w:hAnsiTheme="majorBidi" w:cstheme="majorBidi"/>
          <w:b/>
        </w:rPr>
        <w:t>-3</w:t>
      </w:r>
      <w:r w:rsidRPr="005E2E2A" w:rsidR="00E862C1">
        <w:rPr>
          <w:rFonts w:asciiTheme="majorBidi" w:hAnsiTheme="majorBidi" w:cstheme="majorBidi"/>
        </w:rPr>
        <w:t xml:space="preserve"> provides </w:t>
      </w:r>
      <w:r w:rsidR="00E862C1">
        <w:rPr>
          <w:rFonts w:asciiTheme="majorBidi" w:hAnsiTheme="majorBidi" w:cstheme="majorBidi"/>
        </w:rPr>
        <w:t xml:space="preserve">the </w:t>
      </w:r>
      <w:r w:rsidRPr="005E2E2A" w:rsidR="00E862C1">
        <w:rPr>
          <w:rFonts w:asciiTheme="majorBidi" w:hAnsiTheme="majorBidi" w:cstheme="majorBidi"/>
        </w:rPr>
        <w:t>list of</w:t>
      </w:r>
      <w:r w:rsidR="00E862C1">
        <w:rPr>
          <w:rFonts w:asciiTheme="majorBidi" w:hAnsiTheme="majorBidi" w:cstheme="majorBidi"/>
        </w:rPr>
        <w:t xml:space="preserve"> the proposed </w:t>
      </w:r>
      <w:r w:rsidRPr="005E2E2A" w:rsidR="00E862C1">
        <w:rPr>
          <w:rFonts w:asciiTheme="majorBidi" w:hAnsiTheme="majorBidi" w:cstheme="majorBidi"/>
        </w:rPr>
        <w:t>verification questions</w:t>
      </w:r>
      <w:r w:rsidR="00E862C1">
        <w:rPr>
          <w:rFonts w:asciiTheme="majorBidi" w:hAnsiTheme="majorBidi" w:cstheme="majorBidi"/>
        </w:rPr>
        <w:t xml:space="preserve"> that will </w:t>
      </w:r>
      <w:r w:rsidR="009A0B10">
        <w:rPr>
          <w:rFonts w:asciiTheme="majorBidi" w:hAnsiTheme="majorBidi" w:cstheme="majorBidi"/>
        </w:rPr>
        <w:t>be sent to MEC offices and JPs</w:t>
      </w:r>
      <w:r w:rsidR="00E862C1">
        <w:rPr>
          <w:rFonts w:asciiTheme="majorBidi" w:hAnsiTheme="majorBidi" w:cstheme="majorBidi"/>
        </w:rPr>
        <w:t>.</w:t>
      </w:r>
      <w:r w:rsidRPr="005E2E2A" w:rsidR="00E862C1">
        <w:rPr>
          <w:rFonts w:asciiTheme="majorBidi" w:hAnsiTheme="majorBidi" w:cstheme="majorBidi"/>
        </w:rPr>
        <w:t xml:space="preserve"> </w:t>
      </w:r>
      <w:r w:rsidR="00021BCC">
        <w:rPr>
          <w:rFonts w:asciiTheme="majorBidi" w:hAnsiTheme="majorBidi" w:cstheme="majorBidi"/>
        </w:rPr>
        <w:t>If the respondent has not verified their information approximately one week after initial outreach, o</w:t>
      </w:r>
      <w:r w:rsidR="004F4EB0">
        <w:rPr>
          <w:rFonts w:asciiTheme="majorBidi" w:hAnsiTheme="majorBidi" w:cstheme="majorBidi"/>
        </w:rPr>
        <w:t>ne email reminder will be sent</w:t>
      </w:r>
      <w:r w:rsidR="00021BCC">
        <w:rPr>
          <w:rFonts w:asciiTheme="majorBidi" w:hAnsiTheme="majorBidi" w:cstheme="majorBidi"/>
        </w:rPr>
        <w:t xml:space="preserve"> </w:t>
      </w:r>
      <w:r w:rsidR="004F4EB0">
        <w:rPr>
          <w:rFonts w:asciiTheme="majorBidi" w:hAnsiTheme="majorBidi" w:cstheme="majorBidi"/>
        </w:rPr>
        <w:t xml:space="preserve">that reiterates the messaging for both the MECs and </w:t>
      </w:r>
      <w:r w:rsidR="00297D9E">
        <w:rPr>
          <w:rFonts w:asciiTheme="majorBidi" w:hAnsiTheme="majorBidi" w:cstheme="majorBidi"/>
        </w:rPr>
        <w:t xml:space="preserve">JPs </w:t>
      </w:r>
      <w:r w:rsidR="00021BCC">
        <w:rPr>
          <w:rFonts w:asciiTheme="majorBidi" w:hAnsiTheme="majorBidi" w:cstheme="majorBidi"/>
        </w:rPr>
        <w:t>(</w:t>
      </w:r>
      <w:r w:rsidRPr="00021BCC" w:rsidR="00021BCC">
        <w:rPr>
          <w:rFonts w:asciiTheme="majorBidi" w:hAnsiTheme="majorBidi" w:cstheme="majorBidi"/>
          <w:b/>
          <w:bCs/>
        </w:rPr>
        <w:t>Appendix A-</w:t>
      </w:r>
      <w:r w:rsidR="00E862C1">
        <w:rPr>
          <w:rFonts w:asciiTheme="majorBidi" w:hAnsiTheme="majorBidi" w:cstheme="majorBidi"/>
          <w:b/>
          <w:bCs/>
        </w:rPr>
        <w:t>4</w:t>
      </w:r>
      <w:r w:rsidR="00E862C1">
        <w:rPr>
          <w:rFonts w:asciiTheme="majorBidi" w:hAnsiTheme="majorBidi" w:cstheme="majorBidi"/>
        </w:rPr>
        <w:t xml:space="preserve"> </w:t>
      </w:r>
      <w:r w:rsidR="00021BCC">
        <w:rPr>
          <w:rFonts w:asciiTheme="majorBidi" w:hAnsiTheme="majorBidi" w:cstheme="majorBidi"/>
        </w:rPr>
        <w:t xml:space="preserve">and </w:t>
      </w:r>
      <w:r w:rsidRPr="00021BCC" w:rsidR="00021BCC">
        <w:rPr>
          <w:rFonts w:asciiTheme="majorBidi" w:hAnsiTheme="majorBidi" w:cstheme="majorBidi"/>
          <w:b/>
          <w:bCs/>
        </w:rPr>
        <w:t>Appendix A-</w:t>
      </w:r>
      <w:r w:rsidR="00E862C1">
        <w:rPr>
          <w:rFonts w:asciiTheme="majorBidi" w:hAnsiTheme="majorBidi" w:cstheme="majorBidi"/>
          <w:b/>
          <w:bCs/>
        </w:rPr>
        <w:t>5</w:t>
      </w:r>
      <w:r w:rsidR="00021BCC">
        <w:rPr>
          <w:rFonts w:asciiTheme="majorBidi" w:hAnsiTheme="majorBidi" w:cstheme="majorBidi"/>
        </w:rPr>
        <w:t xml:space="preserve">). </w:t>
      </w:r>
    </w:p>
    <w:p w:rsidR="00B45B75" w:rsidP="00767F64" w14:paraId="49F8D119" w14:textId="77777777">
      <w:pPr>
        <w:pStyle w:val="BodyText"/>
        <w:spacing w:after="0"/>
        <w:rPr>
          <w:rFonts w:asciiTheme="majorBidi" w:hAnsiTheme="majorBidi" w:cstheme="majorBidi"/>
        </w:rPr>
      </w:pPr>
    </w:p>
    <w:p w:rsidR="00E862C1" w:rsidP="00767F64" w14:paraId="4336AF1C" w14:textId="41FE63BB">
      <w:pPr>
        <w:pStyle w:val="BodyText"/>
        <w:spacing w:after="0"/>
        <w:rPr>
          <w:rFonts w:asciiTheme="majorBidi" w:hAnsiTheme="majorBidi" w:cstheme="majorBidi"/>
        </w:rPr>
      </w:pPr>
      <w:r w:rsidRPr="009431FD">
        <w:rPr>
          <w:rFonts w:asciiTheme="majorBidi" w:hAnsiTheme="majorBidi" w:cstheme="majorBidi"/>
        </w:rPr>
        <w:t xml:space="preserve">The project team </w:t>
      </w:r>
      <w:r>
        <w:rPr>
          <w:rFonts w:asciiTheme="majorBidi" w:hAnsiTheme="majorBidi" w:cstheme="majorBidi"/>
        </w:rPr>
        <w:t xml:space="preserve">anticipates that one third of MEC offices (approximately </w:t>
      </w:r>
      <w:r w:rsidR="00B601CD">
        <w:rPr>
          <w:rFonts w:asciiTheme="majorBidi" w:hAnsiTheme="majorBidi" w:cstheme="majorBidi"/>
        </w:rPr>
        <w:t>743</w:t>
      </w:r>
      <w:r>
        <w:rPr>
          <w:rFonts w:asciiTheme="majorBidi" w:hAnsiTheme="majorBidi" w:cstheme="majorBidi"/>
        </w:rPr>
        <w:t xml:space="preserve"> units) will respond to the email invitation to confirm their contact information using a web-based portal and about two thirds (approximately 1,4</w:t>
      </w:r>
      <w:r w:rsidR="00B601CD">
        <w:rPr>
          <w:rFonts w:asciiTheme="majorBidi" w:hAnsiTheme="majorBidi" w:cstheme="majorBidi"/>
        </w:rPr>
        <w:t>87</w:t>
      </w:r>
      <w:r w:rsidRPr="009431FD">
        <w:rPr>
          <w:rFonts w:asciiTheme="majorBidi" w:hAnsiTheme="majorBidi" w:cstheme="majorBidi"/>
        </w:rPr>
        <w:t xml:space="preserve"> MECs</w:t>
      </w:r>
      <w:r>
        <w:rPr>
          <w:rFonts w:asciiTheme="majorBidi" w:hAnsiTheme="majorBidi" w:cstheme="majorBidi"/>
        </w:rPr>
        <w:t>) will need to have their contact information verified</w:t>
      </w:r>
      <w:r w:rsidRPr="009431FD">
        <w:rPr>
          <w:rFonts w:asciiTheme="majorBidi" w:hAnsiTheme="majorBidi" w:cstheme="majorBidi"/>
        </w:rPr>
        <w:t xml:space="preserve"> via telephone. </w:t>
      </w:r>
      <w:r w:rsidR="00B45B75">
        <w:rPr>
          <w:rFonts w:asciiTheme="majorBidi" w:hAnsiTheme="majorBidi" w:cstheme="majorBidi"/>
        </w:rPr>
        <w:t xml:space="preserve">The telephone verification effort </w:t>
      </w:r>
      <w:r w:rsidR="00F30C49">
        <w:rPr>
          <w:rFonts w:asciiTheme="majorBidi" w:hAnsiTheme="majorBidi" w:cstheme="majorBidi"/>
        </w:rPr>
        <w:t xml:space="preserve">will </w:t>
      </w:r>
      <w:r w:rsidR="00F71996">
        <w:rPr>
          <w:rFonts w:asciiTheme="majorBidi" w:hAnsiTheme="majorBidi" w:cstheme="majorBidi"/>
        </w:rPr>
        <w:t>involve</w:t>
      </w:r>
      <w:r w:rsidRPr="005E2E2A" w:rsidR="008222BF">
        <w:rPr>
          <w:rFonts w:asciiTheme="majorBidi" w:hAnsiTheme="majorBidi" w:cstheme="majorBidi"/>
        </w:rPr>
        <w:t xml:space="preserve"> </w:t>
      </w:r>
      <w:r w:rsidR="00767F64">
        <w:rPr>
          <w:rFonts w:asciiTheme="majorBidi" w:hAnsiTheme="majorBidi" w:cstheme="majorBidi"/>
        </w:rPr>
        <w:t xml:space="preserve">project staff calling </w:t>
      </w:r>
      <w:r w:rsidR="009E7C5C">
        <w:rPr>
          <w:rFonts w:asciiTheme="majorBidi" w:hAnsiTheme="majorBidi" w:cstheme="majorBidi"/>
        </w:rPr>
        <w:t xml:space="preserve">each of the </w:t>
      </w:r>
      <w:r w:rsidR="00767F64">
        <w:rPr>
          <w:rFonts w:asciiTheme="majorBidi" w:hAnsiTheme="majorBidi" w:cstheme="majorBidi"/>
        </w:rPr>
        <w:t xml:space="preserve">MECs </w:t>
      </w:r>
      <w:r w:rsidR="00B45B75">
        <w:rPr>
          <w:rFonts w:asciiTheme="majorBidi" w:hAnsiTheme="majorBidi" w:cstheme="majorBidi"/>
        </w:rPr>
        <w:t xml:space="preserve">that </w:t>
      </w:r>
      <w:r w:rsidR="00F30C49">
        <w:rPr>
          <w:rFonts w:asciiTheme="majorBidi" w:hAnsiTheme="majorBidi" w:cstheme="majorBidi"/>
        </w:rPr>
        <w:t xml:space="preserve">did not </w:t>
      </w:r>
      <w:r w:rsidR="00B45B75">
        <w:rPr>
          <w:rFonts w:asciiTheme="majorBidi" w:hAnsiTheme="majorBidi" w:cstheme="majorBidi"/>
        </w:rPr>
        <w:t>confirm their contact information online</w:t>
      </w:r>
      <w:r w:rsidR="00623463">
        <w:rPr>
          <w:rFonts w:asciiTheme="majorBidi" w:hAnsiTheme="majorBidi" w:cstheme="majorBidi"/>
        </w:rPr>
        <w:t>. These calls will</w:t>
      </w:r>
      <w:r w:rsidR="00767F64">
        <w:rPr>
          <w:rFonts w:asciiTheme="majorBidi" w:hAnsiTheme="majorBidi" w:cstheme="majorBidi"/>
        </w:rPr>
        <w:t xml:space="preserve"> </w:t>
      </w:r>
      <w:r w:rsidRPr="005E2E2A" w:rsidR="008222BF">
        <w:rPr>
          <w:rFonts w:asciiTheme="majorBidi" w:hAnsiTheme="majorBidi" w:cstheme="majorBidi"/>
        </w:rPr>
        <w:t>confirm</w:t>
      </w:r>
      <w:r w:rsidRPr="005E2E2A" w:rsidR="007275C8">
        <w:rPr>
          <w:rFonts w:asciiTheme="majorBidi" w:hAnsiTheme="majorBidi" w:cstheme="majorBidi"/>
        </w:rPr>
        <w:t xml:space="preserve"> </w:t>
      </w:r>
      <w:r w:rsidR="009E7C5C">
        <w:rPr>
          <w:rFonts w:asciiTheme="majorBidi" w:hAnsiTheme="majorBidi" w:cstheme="majorBidi"/>
        </w:rPr>
        <w:t xml:space="preserve">the </w:t>
      </w:r>
      <w:r w:rsidRPr="005E2E2A" w:rsidR="007275C8">
        <w:rPr>
          <w:rFonts w:asciiTheme="majorBidi" w:hAnsiTheme="majorBidi" w:cstheme="majorBidi"/>
        </w:rPr>
        <w:t xml:space="preserve">information </w:t>
      </w:r>
      <w:r w:rsidR="009E7C5C">
        <w:rPr>
          <w:rFonts w:asciiTheme="majorBidi" w:hAnsiTheme="majorBidi" w:cstheme="majorBidi"/>
        </w:rPr>
        <w:t xml:space="preserve">we have </w:t>
      </w:r>
      <w:r w:rsidR="003311CD">
        <w:rPr>
          <w:rFonts w:asciiTheme="majorBidi" w:hAnsiTheme="majorBidi" w:cstheme="majorBidi"/>
        </w:rPr>
        <w:t>currently</w:t>
      </w:r>
      <w:r w:rsidRPr="005E2E2A" w:rsidR="007275C8">
        <w:rPr>
          <w:rFonts w:asciiTheme="majorBidi" w:hAnsiTheme="majorBidi" w:cstheme="majorBidi"/>
        </w:rPr>
        <w:t xml:space="preserve"> on record </w:t>
      </w:r>
      <w:r w:rsidR="009E7C5C">
        <w:rPr>
          <w:rFonts w:asciiTheme="majorBidi" w:hAnsiTheme="majorBidi" w:cstheme="majorBidi"/>
        </w:rPr>
        <w:t xml:space="preserve">including the </w:t>
      </w:r>
      <w:r w:rsidR="00275CAA">
        <w:rPr>
          <w:rFonts w:asciiTheme="majorBidi" w:hAnsiTheme="majorBidi" w:cstheme="majorBidi"/>
        </w:rPr>
        <w:t xml:space="preserve">MEC </w:t>
      </w:r>
      <w:r w:rsidR="00623463">
        <w:rPr>
          <w:rFonts w:asciiTheme="majorBidi" w:hAnsiTheme="majorBidi" w:cstheme="majorBidi"/>
        </w:rPr>
        <w:t xml:space="preserve">office </w:t>
      </w:r>
      <w:r w:rsidR="00275CAA">
        <w:rPr>
          <w:rFonts w:asciiTheme="majorBidi" w:hAnsiTheme="majorBidi" w:cstheme="majorBidi"/>
        </w:rPr>
        <w:t>official name,</w:t>
      </w:r>
      <w:r w:rsidRPr="005E2E2A" w:rsidR="008222BF">
        <w:rPr>
          <w:rFonts w:asciiTheme="majorBidi" w:hAnsiTheme="majorBidi" w:cstheme="majorBidi"/>
        </w:rPr>
        <w:t xml:space="preserve"> </w:t>
      </w:r>
      <w:r w:rsidR="00275CAA">
        <w:rPr>
          <w:rFonts w:asciiTheme="majorBidi" w:hAnsiTheme="majorBidi" w:cstheme="majorBidi"/>
        </w:rPr>
        <w:t xml:space="preserve">office </w:t>
      </w:r>
      <w:r w:rsidRPr="005E2E2A" w:rsidR="008222BF">
        <w:rPr>
          <w:rFonts w:asciiTheme="majorBidi" w:hAnsiTheme="majorBidi" w:cstheme="majorBidi"/>
        </w:rPr>
        <w:t xml:space="preserve">address, </w:t>
      </w:r>
      <w:r w:rsidR="00275CAA">
        <w:rPr>
          <w:rFonts w:asciiTheme="majorBidi" w:hAnsiTheme="majorBidi" w:cstheme="majorBidi"/>
        </w:rPr>
        <w:t>and the name and contact information for the coroner or medical examiner.</w:t>
      </w:r>
      <w:r>
        <w:rPr>
          <w:rFonts w:asciiTheme="majorBidi" w:hAnsiTheme="majorBidi" w:cstheme="majorBidi"/>
        </w:rPr>
        <w:t xml:space="preserve"> </w:t>
      </w:r>
      <w:r>
        <w:rPr>
          <w:rFonts w:asciiTheme="majorBidi" w:hAnsiTheme="majorBidi" w:cstheme="majorBidi"/>
          <w:b/>
          <w:bCs/>
        </w:rPr>
        <w:t>Appendix A-6</w:t>
      </w:r>
      <w:r>
        <w:rPr>
          <w:rFonts w:asciiTheme="majorBidi" w:hAnsiTheme="majorBidi" w:cstheme="majorBidi"/>
        </w:rPr>
        <w:t xml:space="preserve"> provides the verification call script. The project team will conduct only email and web verification for JPs. JPs will not receive phone call follow-ups. </w:t>
      </w:r>
    </w:p>
    <w:p w:rsidR="00E862C1" w:rsidP="00767F64" w14:paraId="46FB557B" w14:textId="77777777">
      <w:pPr>
        <w:pStyle w:val="BodyText"/>
        <w:spacing w:after="0"/>
        <w:rPr>
          <w:rFonts w:asciiTheme="majorBidi" w:hAnsiTheme="majorBidi" w:cstheme="majorBidi"/>
        </w:rPr>
      </w:pPr>
    </w:p>
    <w:p w:rsidR="008222BF" w:rsidRPr="005E2E2A" w:rsidP="00767F64" w14:paraId="3C760F9A" w14:textId="2A075533">
      <w:pPr>
        <w:pStyle w:val="BodyText"/>
        <w:spacing w:after="0"/>
        <w:rPr>
          <w:rFonts w:asciiTheme="majorBidi" w:hAnsiTheme="majorBidi" w:cstheme="majorBidi"/>
        </w:rPr>
      </w:pPr>
      <w:r>
        <w:rPr>
          <w:rFonts w:asciiTheme="majorBidi" w:hAnsiTheme="majorBidi" w:cstheme="majorBidi"/>
        </w:rPr>
        <w:t>Both online and telephone verification</w:t>
      </w:r>
      <w:r w:rsidR="00275CAA">
        <w:rPr>
          <w:rFonts w:asciiTheme="majorBidi" w:hAnsiTheme="majorBidi" w:cstheme="majorBidi"/>
        </w:rPr>
        <w:t xml:space="preserve"> effort</w:t>
      </w:r>
      <w:r>
        <w:rPr>
          <w:rFonts w:asciiTheme="majorBidi" w:hAnsiTheme="majorBidi" w:cstheme="majorBidi"/>
        </w:rPr>
        <w:t>s</w:t>
      </w:r>
      <w:r w:rsidR="00275CAA">
        <w:rPr>
          <w:rFonts w:asciiTheme="majorBidi" w:hAnsiTheme="majorBidi" w:cstheme="majorBidi"/>
        </w:rPr>
        <w:t xml:space="preserve"> will also help identify a survey </w:t>
      </w:r>
      <w:r w:rsidRPr="005E2E2A">
        <w:rPr>
          <w:rFonts w:asciiTheme="majorBidi" w:hAnsiTheme="majorBidi" w:cstheme="majorBidi"/>
        </w:rPr>
        <w:t>point of contact</w:t>
      </w:r>
      <w:r w:rsidR="00275CAA">
        <w:rPr>
          <w:rFonts w:asciiTheme="majorBidi" w:hAnsiTheme="majorBidi" w:cstheme="majorBidi"/>
        </w:rPr>
        <w:t xml:space="preserve"> </w:t>
      </w:r>
      <w:r>
        <w:rPr>
          <w:rFonts w:asciiTheme="majorBidi" w:hAnsiTheme="majorBidi" w:cstheme="majorBidi"/>
        </w:rPr>
        <w:t xml:space="preserve">most properly suited to answer </w:t>
      </w:r>
      <w:r w:rsidR="00275CAA">
        <w:rPr>
          <w:rFonts w:asciiTheme="majorBidi" w:hAnsiTheme="majorBidi" w:cstheme="majorBidi"/>
        </w:rPr>
        <w:t xml:space="preserve">the </w:t>
      </w:r>
      <w:r w:rsidR="00623463">
        <w:rPr>
          <w:rFonts w:asciiTheme="majorBidi" w:hAnsiTheme="majorBidi" w:cstheme="majorBidi"/>
        </w:rPr>
        <w:t>202</w:t>
      </w:r>
      <w:r w:rsidR="00AB3DA0">
        <w:rPr>
          <w:rFonts w:asciiTheme="majorBidi" w:hAnsiTheme="majorBidi" w:cstheme="majorBidi"/>
        </w:rPr>
        <w:t>3</w:t>
      </w:r>
      <w:r w:rsidR="00623463">
        <w:rPr>
          <w:rFonts w:asciiTheme="majorBidi" w:hAnsiTheme="majorBidi" w:cstheme="majorBidi"/>
        </w:rPr>
        <w:t xml:space="preserve"> CMEC </w:t>
      </w:r>
      <w:r w:rsidR="00275CAA">
        <w:rPr>
          <w:rFonts w:asciiTheme="majorBidi" w:hAnsiTheme="majorBidi" w:cstheme="majorBidi"/>
        </w:rPr>
        <w:t xml:space="preserve">survey </w:t>
      </w:r>
      <w:r w:rsidR="0008453C">
        <w:rPr>
          <w:rFonts w:asciiTheme="majorBidi" w:hAnsiTheme="majorBidi" w:cstheme="majorBidi"/>
        </w:rPr>
        <w:t>questions.</w:t>
      </w:r>
      <w:r w:rsidR="00275CAA">
        <w:rPr>
          <w:rFonts w:asciiTheme="majorBidi" w:hAnsiTheme="majorBidi" w:cstheme="majorBidi"/>
        </w:rPr>
        <w:t xml:space="preserve"> </w:t>
      </w:r>
      <w:r w:rsidR="009E7C5C">
        <w:rPr>
          <w:rFonts w:asciiTheme="majorBidi" w:hAnsiTheme="majorBidi" w:cstheme="majorBidi"/>
        </w:rPr>
        <w:t>In addition, t</w:t>
      </w:r>
      <w:r w:rsidR="00275CAA">
        <w:rPr>
          <w:rFonts w:asciiTheme="majorBidi" w:hAnsiTheme="majorBidi" w:cstheme="majorBidi"/>
        </w:rPr>
        <w:t xml:space="preserve">hree questions </w:t>
      </w:r>
      <w:r w:rsidR="009E7C5C">
        <w:rPr>
          <w:rFonts w:asciiTheme="majorBidi" w:hAnsiTheme="majorBidi" w:cstheme="majorBidi"/>
        </w:rPr>
        <w:t xml:space="preserve">will be used to </w:t>
      </w:r>
      <w:r w:rsidR="00275CAA">
        <w:rPr>
          <w:rFonts w:asciiTheme="majorBidi" w:hAnsiTheme="majorBidi" w:cstheme="majorBidi"/>
        </w:rPr>
        <w:t xml:space="preserve">ascertain </w:t>
      </w:r>
      <w:r w:rsidR="009E7C5C">
        <w:rPr>
          <w:rFonts w:asciiTheme="majorBidi" w:hAnsiTheme="majorBidi" w:cstheme="majorBidi"/>
        </w:rPr>
        <w:t>the MEC</w:t>
      </w:r>
      <w:r w:rsidR="00C01040">
        <w:rPr>
          <w:rFonts w:asciiTheme="majorBidi" w:hAnsiTheme="majorBidi" w:cstheme="majorBidi"/>
        </w:rPr>
        <w:t xml:space="preserve"> (or JP)</w:t>
      </w:r>
      <w:r w:rsidR="00623463">
        <w:rPr>
          <w:rFonts w:asciiTheme="majorBidi" w:hAnsiTheme="majorBidi" w:cstheme="majorBidi"/>
        </w:rPr>
        <w:t xml:space="preserve"> office’s</w:t>
      </w:r>
      <w:r w:rsidR="009E7C5C">
        <w:rPr>
          <w:rFonts w:asciiTheme="majorBidi" w:hAnsiTheme="majorBidi" w:cstheme="majorBidi"/>
        </w:rPr>
        <w:t xml:space="preserve"> </w:t>
      </w:r>
      <w:r w:rsidR="00275CAA">
        <w:rPr>
          <w:rFonts w:asciiTheme="majorBidi" w:hAnsiTheme="majorBidi" w:cstheme="majorBidi"/>
        </w:rPr>
        <w:t>eligibility</w:t>
      </w:r>
      <w:r w:rsidR="009E7C5C">
        <w:rPr>
          <w:rFonts w:asciiTheme="majorBidi" w:hAnsiTheme="majorBidi" w:cstheme="majorBidi"/>
        </w:rPr>
        <w:t xml:space="preserve"> for the study</w:t>
      </w:r>
      <w:r w:rsidR="00275CAA">
        <w:rPr>
          <w:rFonts w:asciiTheme="majorBidi" w:hAnsiTheme="majorBidi" w:cstheme="majorBidi"/>
        </w:rPr>
        <w:t>.</w:t>
      </w:r>
      <w:r w:rsidR="00812DFB">
        <w:rPr>
          <w:rFonts w:asciiTheme="majorBidi" w:hAnsiTheme="majorBidi" w:cstheme="majorBidi"/>
        </w:rPr>
        <w:t xml:space="preserve"> MEC</w:t>
      </w:r>
      <w:r w:rsidR="00623463">
        <w:rPr>
          <w:rFonts w:asciiTheme="majorBidi" w:hAnsiTheme="majorBidi" w:cstheme="majorBidi"/>
        </w:rPr>
        <w:t xml:space="preserve"> offices</w:t>
      </w:r>
      <w:r w:rsidR="00812DFB">
        <w:rPr>
          <w:rFonts w:asciiTheme="majorBidi" w:hAnsiTheme="majorBidi" w:cstheme="majorBidi"/>
        </w:rPr>
        <w:t xml:space="preserve"> that do not conduct medicolegal death investigations, sign death certificates, or determine when autopsies should be conducted are out of the scope of the 20</w:t>
      </w:r>
      <w:r w:rsidR="00714081">
        <w:rPr>
          <w:rFonts w:asciiTheme="majorBidi" w:hAnsiTheme="majorBidi" w:cstheme="majorBidi"/>
        </w:rPr>
        <w:t>23</w:t>
      </w:r>
      <w:r w:rsidR="00812DFB">
        <w:rPr>
          <w:rFonts w:asciiTheme="majorBidi" w:hAnsiTheme="majorBidi" w:cstheme="majorBidi"/>
        </w:rPr>
        <w:t xml:space="preserve"> CMEC and therefore should not be further burdened. </w:t>
      </w:r>
      <w:r w:rsidRPr="005E2E2A">
        <w:rPr>
          <w:rFonts w:asciiTheme="majorBidi" w:hAnsiTheme="majorBidi" w:cstheme="majorBidi"/>
        </w:rPr>
        <w:t xml:space="preserve">The results of these calls will be documented and uploaded into the case management system </w:t>
      </w:r>
      <w:r w:rsidR="00275CAA">
        <w:rPr>
          <w:rFonts w:asciiTheme="majorBidi" w:hAnsiTheme="majorBidi" w:cstheme="majorBidi"/>
        </w:rPr>
        <w:t>to be</w:t>
      </w:r>
      <w:r w:rsidRPr="005E2E2A">
        <w:rPr>
          <w:rFonts w:asciiTheme="majorBidi" w:hAnsiTheme="majorBidi" w:cstheme="majorBidi"/>
        </w:rPr>
        <w:t xml:space="preserve"> used for </w:t>
      </w:r>
      <w:r w:rsidRPr="005E2E2A" w:rsidR="00AD535C">
        <w:rPr>
          <w:rFonts w:asciiTheme="majorBidi" w:hAnsiTheme="majorBidi" w:cstheme="majorBidi"/>
        </w:rPr>
        <w:t xml:space="preserve">all </w:t>
      </w:r>
      <w:r w:rsidRPr="005E2E2A">
        <w:rPr>
          <w:rFonts w:asciiTheme="majorBidi" w:hAnsiTheme="majorBidi" w:cstheme="majorBidi"/>
        </w:rPr>
        <w:t xml:space="preserve">future communications with </w:t>
      </w:r>
      <w:r w:rsidR="00812DFB">
        <w:rPr>
          <w:rFonts w:asciiTheme="majorBidi" w:hAnsiTheme="majorBidi" w:cstheme="majorBidi"/>
        </w:rPr>
        <w:t>eligible</w:t>
      </w:r>
      <w:r w:rsidRPr="005E2E2A" w:rsidR="00B77AD6">
        <w:rPr>
          <w:rFonts w:asciiTheme="majorBidi" w:hAnsiTheme="majorBidi" w:cstheme="majorBidi"/>
        </w:rPr>
        <w:t xml:space="preserve"> </w:t>
      </w:r>
      <w:r w:rsidRPr="005E2E2A">
        <w:rPr>
          <w:rFonts w:asciiTheme="majorBidi" w:hAnsiTheme="majorBidi" w:cstheme="majorBidi"/>
        </w:rPr>
        <w:t xml:space="preserve">MECs. </w:t>
      </w:r>
      <w:r w:rsidR="004D5BB8">
        <w:rPr>
          <w:rFonts w:asciiTheme="majorBidi" w:hAnsiTheme="majorBidi" w:cstheme="majorBidi"/>
        </w:rPr>
        <w:t>The last question will ask what survey mode the MEC prefers so that we can tailor the subsequent mailout accordingly.</w:t>
      </w:r>
    </w:p>
    <w:p w:rsidR="00767F64" w:rsidP="00767F64" w14:paraId="69C4898B" w14:textId="77777777">
      <w:pPr>
        <w:rPr>
          <w:rFonts w:asciiTheme="majorBidi" w:hAnsiTheme="majorBidi" w:cstheme="majorBidi"/>
          <w:b/>
          <w:u w:val="single"/>
        </w:rPr>
      </w:pPr>
    </w:p>
    <w:p w:rsidR="005A7C9D" w:rsidP="00767F64" w14:paraId="793DA725" w14:textId="77777777">
      <w:pPr>
        <w:rPr>
          <w:rFonts w:asciiTheme="majorBidi" w:hAnsiTheme="majorBidi" w:cstheme="majorBidi"/>
          <w:b/>
        </w:rPr>
      </w:pPr>
    </w:p>
    <w:p w:rsidR="005A7C9D" w:rsidP="00767F64" w14:paraId="01877A7C" w14:textId="77777777">
      <w:pPr>
        <w:rPr>
          <w:rFonts w:asciiTheme="majorBidi" w:hAnsiTheme="majorBidi" w:cstheme="majorBidi"/>
          <w:b/>
        </w:rPr>
      </w:pPr>
    </w:p>
    <w:p w:rsidR="00767F64" w:rsidRPr="007B1ECF" w:rsidP="00767F64" w14:paraId="5E4191B4" w14:textId="55179696">
      <w:pPr>
        <w:rPr>
          <w:rFonts w:asciiTheme="majorBidi" w:hAnsiTheme="majorBidi" w:cstheme="majorBidi"/>
          <w:b/>
        </w:rPr>
      </w:pPr>
      <w:r w:rsidRPr="007B1ECF">
        <w:rPr>
          <w:rFonts w:asciiTheme="majorBidi" w:hAnsiTheme="majorBidi" w:cstheme="majorBidi"/>
          <w:b/>
        </w:rPr>
        <w:t xml:space="preserve">Burden Hours </w:t>
      </w:r>
      <w:r w:rsidRPr="007B1ECF">
        <w:rPr>
          <w:rFonts w:asciiTheme="majorBidi" w:hAnsiTheme="majorBidi" w:cstheme="majorBidi"/>
          <w:b/>
        </w:rPr>
        <w:t>for the Frame Verification Effort</w:t>
      </w:r>
    </w:p>
    <w:p w:rsidR="00FF7C83" w:rsidRPr="005E2E2A" w:rsidP="00767F64" w14:paraId="44D23C41" w14:textId="5621803D">
      <w:pPr>
        <w:rPr>
          <w:rFonts w:asciiTheme="majorBidi" w:hAnsiTheme="majorBidi" w:cstheme="majorBidi"/>
          <w:b/>
          <w:u w:val="single"/>
        </w:rPr>
      </w:pPr>
    </w:p>
    <w:p w:rsidR="00F71996" w:rsidP="00767F64" w14:paraId="19790B10" w14:textId="40C0B862">
      <w:pPr>
        <w:contextualSpacing/>
        <w:rPr>
          <w:rFonts w:asciiTheme="majorBidi" w:hAnsiTheme="majorBidi" w:cstheme="majorBidi"/>
        </w:rPr>
      </w:pPr>
      <w:r w:rsidRPr="005E2E2A">
        <w:rPr>
          <w:rFonts w:asciiTheme="majorBidi" w:hAnsiTheme="majorBidi" w:cstheme="majorBidi"/>
        </w:rPr>
        <w:t xml:space="preserve">Table 1 provides a </w:t>
      </w:r>
      <w:r w:rsidRPr="009431FD">
        <w:rPr>
          <w:rFonts w:asciiTheme="majorBidi" w:hAnsiTheme="majorBidi" w:cstheme="majorBidi"/>
        </w:rPr>
        <w:t xml:space="preserve">summary of the burden estimate for this effort. </w:t>
      </w:r>
      <w:r w:rsidR="001E645F">
        <w:rPr>
          <w:rFonts w:asciiTheme="majorBidi" w:hAnsiTheme="majorBidi" w:cstheme="majorBidi"/>
        </w:rPr>
        <w:t>It is expected that web respondents</w:t>
      </w:r>
      <w:r w:rsidR="005A7C9D">
        <w:rPr>
          <w:rFonts w:asciiTheme="majorBidi" w:hAnsiTheme="majorBidi" w:cstheme="majorBidi"/>
        </w:rPr>
        <w:t>, both MECs and JPs,</w:t>
      </w:r>
      <w:r w:rsidR="001E645F">
        <w:rPr>
          <w:rFonts w:asciiTheme="majorBidi" w:hAnsiTheme="majorBidi" w:cstheme="majorBidi"/>
        </w:rPr>
        <w:t xml:space="preserve"> will require about 5 minutes to confirm their contact information online using the secure portal. </w:t>
      </w:r>
      <w:r w:rsidRPr="009431FD" w:rsidR="003311CD">
        <w:rPr>
          <w:rFonts w:asciiTheme="majorBidi" w:hAnsiTheme="majorBidi" w:cstheme="majorBidi"/>
        </w:rPr>
        <w:t>It is anticipated</w:t>
      </w:r>
      <w:r w:rsidRPr="009431FD" w:rsidR="00FF7C83">
        <w:rPr>
          <w:rFonts w:asciiTheme="majorBidi" w:hAnsiTheme="majorBidi" w:cstheme="majorBidi"/>
        </w:rPr>
        <w:t xml:space="preserve"> </w:t>
      </w:r>
      <w:r w:rsidRPr="009431FD" w:rsidR="00202B5B">
        <w:rPr>
          <w:rFonts w:asciiTheme="majorBidi" w:hAnsiTheme="majorBidi" w:cstheme="majorBidi"/>
        </w:rPr>
        <w:t xml:space="preserve">that </w:t>
      </w:r>
      <w:r w:rsidR="001E645F">
        <w:rPr>
          <w:rFonts w:asciiTheme="majorBidi" w:hAnsiTheme="majorBidi" w:cstheme="majorBidi"/>
        </w:rPr>
        <w:t xml:space="preserve">the telephone </w:t>
      </w:r>
      <w:r w:rsidRPr="009431FD" w:rsidR="00792E95">
        <w:rPr>
          <w:rFonts w:asciiTheme="majorBidi" w:hAnsiTheme="majorBidi" w:cstheme="majorBidi"/>
        </w:rPr>
        <w:t xml:space="preserve">respondents will </w:t>
      </w:r>
      <w:r w:rsidRPr="009431FD" w:rsidR="00FF7C83">
        <w:rPr>
          <w:rFonts w:asciiTheme="majorBidi" w:hAnsiTheme="majorBidi" w:cstheme="majorBidi"/>
        </w:rPr>
        <w:t>need</w:t>
      </w:r>
      <w:r w:rsidRPr="009431FD" w:rsidR="003A3D09">
        <w:rPr>
          <w:rFonts w:asciiTheme="majorBidi" w:hAnsiTheme="majorBidi" w:cstheme="majorBidi"/>
        </w:rPr>
        <w:t xml:space="preserve"> an average</w:t>
      </w:r>
      <w:r w:rsidRPr="009431FD" w:rsidR="00FF7C83">
        <w:rPr>
          <w:rFonts w:asciiTheme="majorBidi" w:hAnsiTheme="majorBidi" w:cstheme="majorBidi"/>
        </w:rPr>
        <w:t xml:space="preserve"> of</w:t>
      </w:r>
      <w:r w:rsidRPr="009431FD" w:rsidR="007275C8">
        <w:rPr>
          <w:rFonts w:asciiTheme="majorBidi" w:hAnsiTheme="majorBidi" w:cstheme="majorBidi"/>
        </w:rPr>
        <w:t xml:space="preserve"> 5 minutes to identify an appro</w:t>
      </w:r>
      <w:r w:rsidRPr="005E2E2A" w:rsidR="007275C8">
        <w:rPr>
          <w:rFonts w:asciiTheme="majorBidi" w:hAnsiTheme="majorBidi" w:cstheme="majorBidi"/>
        </w:rPr>
        <w:t xml:space="preserve">priate person within the office to answer the questions </w:t>
      </w:r>
      <w:r>
        <w:rPr>
          <w:rFonts w:asciiTheme="majorBidi" w:hAnsiTheme="majorBidi" w:cstheme="majorBidi"/>
        </w:rPr>
        <w:t xml:space="preserve">if the </w:t>
      </w:r>
      <w:r w:rsidR="005C7DF2">
        <w:rPr>
          <w:rFonts w:asciiTheme="majorBidi" w:hAnsiTheme="majorBidi" w:cstheme="majorBidi"/>
        </w:rPr>
        <w:t xml:space="preserve">initial respondent </w:t>
      </w:r>
      <w:r>
        <w:rPr>
          <w:rFonts w:asciiTheme="majorBidi" w:hAnsiTheme="majorBidi" w:cstheme="majorBidi"/>
        </w:rPr>
        <w:t xml:space="preserve">is unable to answer the questions. </w:t>
      </w:r>
      <w:r w:rsidR="002613AB">
        <w:rPr>
          <w:rFonts w:asciiTheme="majorBidi" w:hAnsiTheme="majorBidi" w:cstheme="majorBidi"/>
        </w:rPr>
        <w:t xml:space="preserve">This estimate includes </w:t>
      </w:r>
      <w:r w:rsidR="005C7DF2">
        <w:rPr>
          <w:rFonts w:asciiTheme="majorBidi" w:hAnsiTheme="majorBidi" w:cstheme="majorBidi"/>
        </w:rPr>
        <w:t xml:space="preserve">the </w:t>
      </w:r>
      <w:r w:rsidR="002613AB">
        <w:rPr>
          <w:rFonts w:asciiTheme="majorBidi" w:hAnsiTheme="majorBidi" w:cstheme="majorBidi"/>
        </w:rPr>
        <w:t xml:space="preserve">time necessary to call respondents back if they indicate they are not available at the time, and we need to call back. </w:t>
      </w:r>
      <w:r>
        <w:rPr>
          <w:rFonts w:asciiTheme="majorBidi" w:hAnsiTheme="majorBidi" w:cstheme="majorBidi"/>
        </w:rPr>
        <w:t xml:space="preserve">For </w:t>
      </w:r>
      <w:r w:rsidR="005C7DF2">
        <w:rPr>
          <w:rFonts w:asciiTheme="majorBidi" w:hAnsiTheme="majorBidi" w:cstheme="majorBidi"/>
        </w:rPr>
        <w:t xml:space="preserve">respondents </w:t>
      </w:r>
      <w:r>
        <w:rPr>
          <w:rFonts w:asciiTheme="majorBidi" w:hAnsiTheme="majorBidi" w:cstheme="majorBidi"/>
        </w:rPr>
        <w:t xml:space="preserve">who </w:t>
      </w:r>
      <w:r>
        <w:rPr>
          <w:rFonts w:asciiTheme="majorBidi" w:hAnsiTheme="majorBidi" w:cstheme="majorBidi"/>
        </w:rPr>
        <w:t>are able to</w:t>
      </w:r>
      <w:r>
        <w:rPr>
          <w:rFonts w:asciiTheme="majorBidi" w:hAnsiTheme="majorBidi" w:cstheme="majorBidi"/>
        </w:rPr>
        <w:t xml:space="preserve"> answer the questions, the call </w:t>
      </w:r>
      <w:r w:rsidR="005C7DF2">
        <w:rPr>
          <w:rFonts w:asciiTheme="majorBidi" w:hAnsiTheme="majorBidi" w:cstheme="majorBidi"/>
        </w:rPr>
        <w:t xml:space="preserve">is estimated to require </w:t>
      </w:r>
      <w:r>
        <w:rPr>
          <w:rFonts w:asciiTheme="majorBidi" w:hAnsiTheme="majorBidi" w:cstheme="majorBidi"/>
        </w:rPr>
        <w:t>about</w:t>
      </w:r>
      <w:r w:rsidRPr="005E2E2A" w:rsidR="00FF7C83">
        <w:rPr>
          <w:rFonts w:asciiTheme="majorBidi" w:hAnsiTheme="majorBidi" w:cstheme="majorBidi"/>
        </w:rPr>
        <w:t xml:space="preserve"> </w:t>
      </w:r>
      <w:r w:rsidRPr="005E2E2A" w:rsidR="007275C8">
        <w:rPr>
          <w:rFonts w:asciiTheme="majorBidi" w:hAnsiTheme="majorBidi" w:cstheme="majorBidi"/>
        </w:rPr>
        <w:t>5</w:t>
      </w:r>
      <w:r w:rsidRPr="005E2E2A" w:rsidR="00FF7C83">
        <w:rPr>
          <w:rFonts w:asciiTheme="majorBidi" w:hAnsiTheme="majorBidi" w:cstheme="majorBidi"/>
        </w:rPr>
        <w:t xml:space="preserve"> minutes</w:t>
      </w:r>
      <w:r w:rsidRPr="005E2E2A" w:rsidR="00814382">
        <w:rPr>
          <w:rFonts w:asciiTheme="majorBidi" w:hAnsiTheme="majorBidi" w:cstheme="majorBidi"/>
        </w:rPr>
        <w:t>.</w:t>
      </w:r>
      <w:r w:rsidRPr="005E2E2A" w:rsidR="00690BED">
        <w:rPr>
          <w:rFonts w:asciiTheme="majorBidi" w:hAnsiTheme="majorBidi" w:cstheme="majorBidi"/>
        </w:rPr>
        <w:t xml:space="preserve"> </w:t>
      </w:r>
    </w:p>
    <w:p w:rsidR="00F71996" w:rsidP="00767F64" w14:paraId="400539F6" w14:textId="77777777">
      <w:pPr>
        <w:contextualSpacing/>
        <w:rPr>
          <w:rFonts w:asciiTheme="majorBidi" w:hAnsiTheme="majorBidi" w:cstheme="majorBidi"/>
        </w:rPr>
      </w:pPr>
    </w:p>
    <w:p w:rsidR="00FF7C83" w:rsidP="00767F64" w14:paraId="79690123" w14:textId="3C6E5C59">
      <w:pPr>
        <w:rPr>
          <w:rFonts w:asciiTheme="majorBidi" w:hAnsiTheme="majorBidi" w:cstheme="majorBidi"/>
          <w:b/>
          <w:bCs/>
        </w:rPr>
      </w:pPr>
      <w:bookmarkStart w:id="1" w:name="_Hlk513124411"/>
      <w:r w:rsidRPr="005E2E2A">
        <w:rPr>
          <w:rFonts w:asciiTheme="majorBidi" w:hAnsiTheme="majorBidi" w:cstheme="majorBidi"/>
          <w:b/>
          <w:bCs/>
        </w:rPr>
        <w:t xml:space="preserve">Table 1. Burden </w:t>
      </w:r>
      <w:r w:rsidR="000852B3">
        <w:rPr>
          <w:rFonts w:asciiTheme="majorBidi" w:hAnsiTheme="majorBidi" w:cstheme="majorBidi"/>
          <w:b/>
          <w:bCs/>
        </w:rPr>
        <w:t>E</w:t>
      </w:r>
      <w:r w:rsidRPr="005E2E2A">
        <w:rPr>
          <w:rFonts w:asciiTheme="majorBidi" w:hAnsiTheme="majorBidi" w:cstheme="majorBidi"/>
          <w:b/>
          <w:bCs/>
        </w:rPr>
        <w:t>stimate for</w:t>
      </w:r>
      <w:r w:rsidR="00B862A6">
        <w:rPr>
          <w:rFonts w:asciiTheme="majorBidi" w:hAnsiTheme="majorBidi" w:cstheme="majorBidi"/>
          <w:b/>
          <w:bCs/>
        </w:rPr>
        <w:t xml:space="preserve"> the</w:t>
      </w:r>
      <w:r w:rsidRPr="005E2E2A">
        <w:rPr>
          <w:rFonts w:asciiTheme="majorBidi" w:hAnsiTheme="majorBidi" w:cstheme="majorBidi"/>
          <w:b/>
          <w:bCs/>
        </w:rPr>
        <w:t xml:space="preserve"> </w:t>
      </w:r>
      <w:r w:rsidRPr="00B862A6" w:rsidR="00B862A6">
        <w:rPr>
          <w:rFonts w:asciiTheme="majorBidi" w:hAnsiTheme="majorBidi" w:cstheme="majorBidi"/>
          <w:b/>
          <w:bCs/>
        </w:rPr>
        <w:t>Frame Verification Effort</w:t>
      </w:r>
    </w:p>
    <w:tbl>
      <w:tblPr>
        <w:tblStyle w:val="TableGrid"/>
        <w:tblW w:w="9360" w:type="dxa"/>
        <w:tblLook w:val="04A0"/>
      </w:tblPr>
      <w:tblGrid>
        <w:gridCol w:w="3955"/>
        <w:gridCol w:w="2610"/>
        <w:gridCol w:w="2795"/>
      </w:tblGrid>
      <w:tr w14:paraId="03259F8A" w14:textId="77777777" w:rsidTr="00444637">
        <w:tblPrEx>
          <w:tblW w:w="9360" w:type="dxa"/>
          <w:tblLook w:val="04A0"/>
        </w:tblPrEx>
        <w:trPr>
          <w:trHeight w:val="557"/>
        </w:trPr>
        <w:tc>
          <w:tcPr>
            <w:tcW w:w="3955" w:type="dxa"/>
            <w:shd w:val="clear" w:color="auto" w:fill="BFBFBF" w:themeFill="background1" w:themeFillShade="BF"/>
            <w:vAlign w:val="center"/>
          </w:tcPr>
          <w:p w:rsidR="00FF7C83" w:rsidRPr="00444637" w:rsidP="00767F64" w14:paraId="3B565906" w14:textId="02487AE5">
            <w:pPr>
              <w:contextualSpacing/>
              <w:jc w:val="center"/>
              <w:rPr>
                <w:rFonts w:asciiTheme="majorBidi" w:hAnsiTheme="majorBidi" w:cstheme="majorBidi"/>
                <w:b/>
              </w:rPr>
            </w:pPr>
            <w:r w:rsidRPr="00444637">
              <w:rPr>
                <w:rFonts w:asciiTheme="majorBidi" w:hAnsiTheme="majorBidi" w:cstheme="majorBidi"/>
                <w:b/>
              </w:rPr>
              <w:t>Task</w:t>
            </w:r>
          </w:p>
        </w:tc>
        <w:tc>
          <w:tcPr>
            <w:tcW w:w="2610" w:type="dxa"/>
            <w:shd w:val="clear" w:color="auto" w:fill="BFBFBF" w:themeFill="background1" w:themeFillShade="BF"/>
            <w:vAlign w:val="center"/>
          </w:tcPr>
          <w:p w:rsidR="00FF7C83" w:rsidRPr="00444637" w:rsidP="00767F64" w14:paraId="7AA1FD43" w14:textId="18EA5E75">
            <w:pPr>
              <w:contextualSpacing/>
              <w:jc w:val="center"/>
              <w:rPr>
                <w:rFonts w:asciiTheme="majorBidi" w:hAnsiTheme="majorBidi" w:cstheme="majorBidi"/>
                <w:b/>
              </w:rPr>
            </w:pPr>
            <w:r w:rsidRPr="00444637">
              <w:rPr>
                <w:rFonts w:asciiTheme="majorBidi" w:hAnsiTheme="majorBidi" w:cstheme="majorBidi"/>
                <w:b/>
              </w:rPr>
              <w:t xml:space="preserve">Average burden per </w:t>
            </w:r>
            <w:r w:rsidRPr="00444637" w:rsidR="00BC4FE3">
              <w:rPr>
                <w:rFonts w:asciiTheme="majorBidi" w:hAnsiTheme="majorBidi" w:cstheme="majorBidi"/>
                <w:b/>
              </w:rPr>
              <w:t>MEC</w:t>
            </w:r>
          </w:p>
        </w:tc>
        <w:tc>
          <w:tcPr>
            <w:tcW w:w="2795" w:type="dxa"/>
            <w:shd w:val="clear" w:color="auto" w:fill="BFBFBF" w:themeFill="background1" w:themeFillShade="BF"/>
            <w:vAlign w:val="center"/>
          </w:tcPr>
          <w:p w:rsidR="00FF7C83" w:rsidRPr="00444637" w:rsidP="00767F64" w14:paraId="337DFB7C" w14:textId="4F7B284E">
            <w:pPr>
              <w:contextualSpacing/>
              <w:jc w:val="center"/>
              <w:rPr>
                <w:rFonts w:asciiTheme="majorBidi" w:hAnsiTheme="majorBidi" w:cstheme="majorBidi"/>
                <w:b/>
              </w:rPr>
            </w:pPr>
            <w:r w:rsidRPr="00444637">
              <w:rPr>
                <w:rFonts w:asciiTheme="majorBidi" w:hAnsiTheme="majorBidi" w:cstheme="majorBidi"/>
                <w:b/>
              </w:rPr>
              <w:t>Total estimated burden hours</w:t>
            </w:r>
          </w:p>
        </w:tc>
      </w:tr>
      <w:tr w14:paraId="1110CAED" w14:textId="77777777" w:rsidTr="0070572D">
        <w:tblPrEx>
          <w:tblW w:w="9360" w:type="dxa"/>
          <w:tblLook w:val="04A0"/>
        </w:tblPrEx>
        <w:trPr>
          <w:trHeight w:val="557"/>
        </w:trPr>
        <w:tc>
          <w:tcPr>
            <w:tcW w:w="3955" w:type="dxa"/>
            <w:vAlign w:val="center"/>
          </w:tcPr>
          <w:p w:rsidR="004F4EB0" w:rsidP="004F4EB0" w14:paraId="10AB1165" w14:textId="47411890">
            <w:pPr>
              <w:contextualSpacing/>
              <w:rPr>
                <w:rFonts w:asciiTheme="majorBidi" w:hAnsiTheme="majorBidi" w:cstheme="majorBidi"/>
              </w:rPr>
            </w:pPr>
            <w:r>
              <w:rPr>
                <w:rFonts w:asciiTheme="majorBidi" w:hAnsiTheme="majorBidi" w:cstheme="majorBidi"/>
              </w:rPr>
              <w:t xml:space="preserve">Confirm contact information via </w:t>
            </w:r>
            <w:r w:rsidR="00644F03">
              <w:rPr>
                <w:rFonts w:asciiTheme="majorBidi" w:hAnsiTheme="majorBidi" w:cstheme="majorBidi"/>
              </w:rPr>
              <w:t>web</w:t>
            </w:r>
            <w:r>
              <w:rPr>
                <w:rFonts w:asciiTheme="majorBidi" w:hAnsiTheme="majorBidi" w:cstheme="majorBidi"/>
              </w:rPr>
              <w:t xml:space="preserve"> for approximately one-third of MECs (n=</w:t>
            </w:r>
            <w:r w:rsidR="00B601CD">
              <w:rPr>
                <w:rFonts w:asciiTheme="majorBidi" w:hAnsiTheme="majorBidi" w:cstheme="majorBidi"/>
              </w:rPr>
              <w:t>743</w:t>
            </w:r>
            <w:r>
              <w:rPr>
                <w:rFonts w:asciiTheme="majorBidi" w:hAnsiTheme="majorBidi" w:cstheme="majorBidi"/>
              </w:rPr>
              <w:t xml:space="preserve"> units)</w:t>
            </w:r>
          </w:p>
        </w:tc>
        <w:tc>
          <w:tcPr>
            <w:tcW w:w="2610" w:type="dxa"/>
            <w:vAlign w:val="center"/>
          </w:tcPr>
          <w:p w:rsidR="004F4EB0" w:rsidP="004F4EB0" w14:paraId="0DC70F4F" w14:textId="6FBB559C">
            <w:pPr>
              <w:contextualSpacing/>
              <w:rPr>
                <w:rFonts w:asciiTheme="majorBidi" w:hAnsiTheme="majorBidi" w:cstheme="majorBidi"/>
              </w:rPr>
            </w:pPr>
            <w:r>
              <w:rPr>
                <w:rFonts w:asciiTheme="majorBidi" w:hAnsiTheme="majorBidi" w:cstheme="majorBidi"/>
              </w:rPr>
              <w:t>5 minutes</w:t>
            </w:r>
          </w:p>
        </w:tc>
        <w:tc>
          <w:tcPr>
            <w:tcW w:w="2795" w:type="dxa"/>
            <w:vAlign w:val="center"/>
          </w:tcPr>
          <w:p w:rsidR="004F4EB0" w:rsidP="004F4EB0" w14:paraId="28A30558" w14:textId="4BDE5750">
            <w:pPr>
              <w:contextualSpacing/>
              <w:rPr>
                <w:rFonts w:asciiTheme="majorBidi" w:hAnsiTheme="majorBidi" w:cstheme="majorBidi"/>
              </w:rPr>
            </w:pPr>
            <w:r>
              <w:rPr>
                <w:rFonts w:asciiTheme="majorBidi" w:hAnsiTheme="majorBidi" w:cstheme="majorBidi"/>
              </w:rPr>
              <w:t>743</w:t>
            </w:r>
            <w:r>
              <w:rPr>
                <w:rFonts w:asciiTheme="majorBidi" w:hAnsiTheme="majorBidi" w:cstheme="majorBidi"/>
              </w:rPr>
              <w:t xml:space="preserve"> respondents x 5 minutes = </w:t>
            </w:r>
            <w:r>
              <w:rPr>
                <w:rFonts w:asciiTheme="majorBidi" w:hAnsiTheme="majorBidi" w:cstheme="majorBidi"/>
              </w:rPr>
              <w:t>62</w:t>
            </w:r>
            <w:r>
              <w:rPr>
                <w:rFonts w:asciiTheme="majorBidi" w:hAnsiTheme="majorBidi" w:cstheme="majorBidi"/>
              </w:rPr>
              <w:t xml:space="preserve"> hours</w:t>
            </w:r>
          </w:p>
        </w:tc>
      </w:tr>
      <w:tr w14:paraId="59593F8F" w14:textId="77777777" w:rsidTr="0070572D">
        <w:tblPrEx>
          <w:tblW w:w="9360" w:type="dxa"/>
          <w:tblLook w:val="04A0"/>
        </w:tblPrEx>
        <w:trPr>
          <w:trHeight w:val="557"/>
        </w:trPr>
        <w:tc>
          <w:tcPr>
            <w:tcW w:w="3955" w:type="dxa"/>
            <w:vAlign w:val="center"/>
          </w:tcPr>
          <w:p w:rsidR="004F4EB0" w:rsidRPr="005E2E2A" w:rsidP="004F4EB0" w14:paraId="5BCC728E" w14:textId="7CB7F5B7">
            <w:pPr>
              <w:contextualSpacing/>
              <w:rPr>
                <w:rFonts w:asciiTheme="majorBidi" w:hAnsiTheme="majorBidi" w:cstheme="majorBidi"/>
              </w:rPr>
            </w:pPr>
            <w:r w:rsidRPr="005E2E2A">
              <w:rPr>
                <w:rFonts w:asciiTheme="majorBidi" w:hAnsiTheme="majorBidi" w:cstheme="majorBidi"/>
              </w:rPr>
              <w:t xml:space="preserve">Identify appropriate respondent </w:t>
            </w:r>
            <w:r w:rsidR="00317153">
              <w:rPr>
                <w:rFonts w:asciiTheme="majorBidi" w:hAnsiTheme="majorBidi" w:cstheme="majorBidi"/>
              </w:rPr>
              <w:t xml:space="preserve">and confirm information </w:t>
            </w:r>
            <w:r w:rsidRPr="005E2E2A">
              <w:rPr>
                <w:rFonts w:asciiTheme="majorBidi" w:hAnsiTheme="majorBidi" w:cstheme="majorBidi"/>
              </w:rPr>
              <w:t xml:space="preserve">for verification questions </w:t>
            </w:r>
            <w:r w:rsidR="00E734D0">
              <w:rPr>
                <w:rFonts w:asciiTheme="majorBidi" w:hAnsiTheme="majorBidi" w:cstheme="majorBidi"/>
              </w:rPr>
              <w:t xml:space="preserve">via telephone </w:t>
            </w:r>
            <w:r>
              <w:rPr>
                <w:rFonts w:asciiTheme="majorBidi" w:hAnsiTheme="majorBidi" w:cstheme="majorBidi"/>
              </w:rPr>
              <w:t>(n=1,</w:t>
            </w:r>
            <w:r w:rsidR="00B601CD">
              <w:rPr>
                <w:rFonts w:asciiTheme="majorBidi" w:hAnsiTheme="majorBidi" w:cstheme="majorBidi"/>
              </w:rPr>
              <w:t>487</w:t>
            </w:r>
            <w:r>
              <w:rPr>
                <w:rFonts w:asciiTheme="majorBidi" w:hAnsiTheme="majorBidi" w:cstheme="majorBidi"/>
              </w:rPr>
              <w:t xml:space="preserve"> units)</w:t>
            </w:r>
          </w:p>
        </w:tc>
        <w:tc>
          <w:tcPr>
            <w:tcW w:w="2610" w:type="dxa"/>
            <w:vAlign w:val="center"/>
          </w:tcPr>
          <w:p w:rsidR="004F4EB0" w:rsidRPr="005E2E2A" w:rsidP="004F4EB0" w14:paraId="4D539DDB" w14:textId="66784AE2">
            <w:pPr>
              <w:contextualSpacing/>
              <w:rPr>
                <w:rFonts w:asciiTheme="majorBidi" w:hAnsiTheme="majorBidi" w:cstheme="majorBidi"/>
              </w:rPr>
            </w:pPr>
            <w:r>
              <w:rPr>
                <w:rFonts w:asciiTheme="majorBidi" w:hAnsiTheme="majorBidi" w:cstheme="majorBidi"/>
              </w:rPr>
              <w:t>10</w:t>
            </w:r>
            <w:r w:rsidRPr="005E2E2A">
              <w:rPr>
                <w:rFonts w:asciiTheme="majorBidi" w:hAnsiTheme="majorBidi" w:cstheme="majorBidi"/>
              </w:rPr>
              <w:t xml:space="preserve"> minutes</w:t>
            </w:r>
          </w:p>
        </w:tc>
        <w:tc>
          <w:tcPr>
            <w:tcW w:w="2795" w:type="dxa"/>
            <w:vAlign w:val="center"/>
          </w:tcPr>
          <w:p w:rsidR="004F4EB0" w:rsidRPr="00185738" w:rsidP="004F4EB0" w14:paraId="1BDBC675" w14:textId="0AC98634">
            <w:pPr>
              <w:contextualSpacing/>
              <w:rPr>
                <w:rFonts w:asciiTheme="majorBidi" w:hAnsiTheme="majorBidi" w:cstheme="majorBidi"/>
              </w:rPr>
            </w:pPr>
            <w:r>
              <w:rPr>
                <w:rFonts w:asciiTheme="majorBidi" w:hAnsiTheme="majorBidi" w:cstheme="majorBidi"/>
              </w:rPr>
              <w:t>1,487</w:t>
            </w:r>
            <w:r w:rsidRPr="00185738">
              <w:rPr>
                <w:rFonts w:asciiTheme="majorBidi" w:hAnsiTheme="majorBidi" w:cstheme="majorBidi"/>
              </w:rPr>
              <w:t xml:space="preserve"> respondents x </w:t>
            </w:r>
            <w:r w:rsidR="00317153">
              <w:rPr>
                <w:rFonts w:asciiTheme="majorBidi" w:hAnsiTheme="majorBidi" w:cstheme="majorBidi"/>
              </w:rPr>
              <w:t>10</w:t>
            </w:r>
            <w:r w:rsidRPr="00185738">
              <w:rPr>
                <w:rFonts w:asciiTheme="majorBidi" w:hAnsiTheme="majorBidi" w:cstheme="majorBidi"/>
              </w:rPr>
              <w:t xml:space="preserve"> minutes = </w:t>
            </w:r>
            <w:r>
              <w:rPr>
                <w:rFonts w:asciiTheme="majorBidi" w:hAnsiTheme="majorBidi" w:cstheme="majorBidi"/>
              </w:rPr>
              <w:t>248</w:t>
            </w:r>
            <w:r w:rsidRPr="00185738">
              <w:rPr>
                <w:rFonts w:asciiTheme="majorBidi" w:hAnsiTheme="majorBidi" w:cstheme="majorBidi"/>
              </w:rPr>
              <w:t xml:space="preserve"> hours</w:t>
            </w:r>
          </w:p>
        </w:tc>
      </w:tr>
      <w:tr w14:paraId="38CFA683" w14:textId="77777777" w:rsidTr="00DB2622">
        <w:tblPrEx>
          <w:tblW w:w="9360" w:type="dxa"/>
          <w:tblLook w:val="04A0"/>
        </w:tblPrEx>
        <w:trPr>
          <w:trHeight w:val="557"/>
        </w:trPr>
        <w:tc>
          <w:tcPr>
            <w:tcW w:w="3955" w:type="dxa"/>
            <w:vAlign w:val="center"/>
          </w:tcPr>
          <w:p w:rsidR="004F4EB0" w:rsidRPr="005E2E2A" w:rsidP="00DB2622" w14:paraId="211024C1" w14:textId="7C531D17">
            <w:pPr>
              <w:contextualSpacing/>
              <w:rPr>
                <w:rFonts w:asciiTheme="majorBidi" w:hAnsiTheme="majorBidi" w:cstheme="majorBidi"/>
              </w:rPr>
            </w:pPr>
            <w:r>
              <w:rPr>
                <w:rFonts w:asciiTheme="majorBidi" w:hAnsiTheme="majorBidi" w:cstheme="majorBidi"/>
              </w:rPr>
              <w:t xml:space="preserve">Confirm contact information via </w:t>
            </w:r>
            <w:r w:rsidR="00644F03">
              <w:rPr>
                <w:rFonts w:asciiTheme="majorBidi" w:hAnsiTheme="majorBidi" w:cstheme="majorBidi"/>
              </w:rPr>
              <w:t>web</w:t>
            </w:r>
            <w:r w:rsidR="00DA5537">
              <w:rPr>
                <w:rFonts w:asciiTheme="majorBidi" w:hAnsiTheme="majorBidi" w:cstheme="majorBidi"/>
              </w:rPr>
              <w:t xml:space="preserve"> </w:t>
            </w:r>
            <w:r>
              <w:rPr>
                <w:rFonts w:asciiTheme="majorBidi" w:hAnsiTheme="majorBidi" w:cstheme="majorBidi"/>
              </w:rPr>
              <w:t xml:space="preserve">for approximately </w:t>
            </w:r>
            <w:r w:rsidR="007B100A">
              <w:rPr>
                <w:rFonts w:asciiTheme="majorBidi" w:hAnsiTheme="majorBidi" w:cstheme="majorBidi"/>
              </w:rPr>
              <w:t>700</w:t>
            </w:r>
            <w:r>
              <w:rPr>
                <w:rFonts w:asciiTheme="majorBidi" w:hAnsiTheme="majorBidi" w:cstheme="majorBidi"/>
              </w:rPr>
              <w:t xml:space="preserve"> </w:t>
            </w:r>
            <w:r w:rsidR="00297D9E">
              <w:rPr>
                <w:rFonts w:asciiTheme="majorBidi" w:hAnsiTheme="majorBidi" w:cstheme="majorBidi"/>
              </w:rPr>
              <w:t>JPs</w:t>
            </w:r>
          </w:p>
        </w:tc>
        <w:tc>
          <w:tcPr>
            <w:tcW w:w="2610" w:type="dxa"/>
            <w:vAlign w:val="center"/>
          </w:tcPr>
          <w:p w:rsidR="004F4EB0" w:rsidRPr="005E2E2A" w:rsidP="004F4EB0" w14:paraId="035EB6F7" w14:textId="13A183B8">
            <w:pPr>
              <w:contextualSpacing/>
              <w:rPr>
                <w:rFonts w:asciiTheme="majorBidi" w:hAnsiTheme="majorBidi" w:cstheme="majorBidi"/>
              </w:rPr>
            </w:pPr>
            <w:r>
              <w:rPr>
                <w:rFonts w:asciiTheme="majorBidi" w:hAnsiTheme="majorBidi" w:cstheme="majorBidi"/>
              </w:rPr>
              <w:t>5 minutes</w:t>
            </w:r>
          </w:p>
        </w:tc>
        <w:tc>
          <w:tcPr>
            <w:tcW w:w="2795" w:type="dxa"/>
            <w:vAlign w:val="center"/>
          </w:tcPr>
          <w:p w:rsidR="004F4EB0" w:rsidRPr="00185738" w:rsidP="004F4EB0" w14:paraId="639DD3B5" w14:textId="4C9E2647">
            <w:pPr>
              <w:contextualSpacing/>
              <w:rPr>
                <w:rFonts w:asciiTheme="majorBidi" w:hAnsiTheme="majorBidi" w:cstheme="majorBidi"/>
              </w:rPr>
            </w:pPr>
            <w:r>
              <w:rPr>
                <w:rFonts w:asciiTheme="majorBidi" w:hAnsiTheme="majorBidi" w:cstheme="majorBidi"/>
              </w:rPr>
              <w:t>700</w:t>
            </w:r>
            <w:r>
              <w:rPr>
                <w:rFonts w:asciiTheme="majorBidi" w:hAnsiTheme="majorBidi" w:cstheme="majorBidi"/>
              </w:rPr>
              <w:t xml:space="preserve"> respondents x 5 minutes = </w:t>
            </w:r>
            <w:r>
              <w:rPr>
                <w:rFonts w:asciiTheme="majorBidi" w:hAnsiTheme="majorBidi" w:cstheme="majorBidi"/>
              </w:rPr>
              <w:t xml:space="preserve">58 </w:t>
            </w:r>
            <w:r>
              <w:rPr>
                <w:rFonts w:asciiTheme="majorBidi" w:hAnsiTheme="majorBidi" w:cstheme="majorBidi"/>
              </w:rPr>
              <w:t>hours</w:t>
            </w:r>
          </w:p>
        </w:tc>
      </w:tr>
      <w:tr w14:paraId="3033F55D" w14:textId="77777777" w:rsidTr="00B50D87">
        <w:tblPrEx>
          <w:tblW w:w="9360" w:type="dxa"/>
          <w:tblLook w:val="04A0"/>
        </w:tblPrEx>
        <w:trPr>
          <w:trHeight w:val="467"/>
        </w:trPr>
        <w:tc>
          <w:tcPr>
            <w:tcW w:w="9360" w:type="dxa"/>
            <w:gridSpan w:val="3"/>
            <w:vAlign w:val="center"/>
          </w:tcPr>
          <w:p w:rsidR="004F4EB0" w:rsidRPr="00185738" w:rsidP="004F4EB0" w14:paraId="7A051643" w14:textId="1D1F59EB">
            <w:pPr>
              <w:contextualSpacing/>
              <w:jc w:val="center"/>
              <w:rPr>
                <w:rFonts w:asciiTheme="majorBidi" w:hAnsiTheme="majorBidi" w:cstheme="majorBidi"/>
                <w:b/>
                <w:iCs/>
              </w:rPr>
            </w:pPr>
            <w:r w:rsidRPr="00185738">
              <w:rPr>
                <w:rFonts w:asciiTheme="majorBidi" w:hAnsiTheme="majorBidi" w:cstheme="majorBidi"/>
                <w:b/>
              </w:rPr>
              <w:t xml:space="preserve">Total respondent burden for all respondents = </w:t>
            </w:r>
            <w:r w:rsidR="00B601CD">
              <w:rPr>
                <w:rFonts w:asciiTheme="majorBidi" w:hAnsiTheme="majorBidi" w:cstheme="majorBidi"/>
                <w:b/>
              </w:rPr>
              <w:t>368</w:t>
            </w:r>
            <w:r w:rsidRPr="00185738" w:rsidR="007B100A">
              <w:rPr>
                <w:rFonts w:asciiTheme="majorBidi" w:hAnsiTheme="majorBidi" w:cstheme="majorBidi"/>
                <w:b/>
              </w:rPr>
              <w:t xml:space="preserve"> </w:t>
            </w:r>
            <w:r w:rsidRPr="00185738">
              <w:rPr>
                <w:rFonts w:asciiTheme="majorBidi" w:hAnsiTheme="majorBidi" w:cstheme="majorBidi"/>
                <w:b/>
              </w:rPr>
              <w:t>hours</w:t>
            </w:r>
          </w:p>
        </w:tc>
      </w:tr>
    </w:tbl>
    <w:p w:rsidR="00844F2F" w:rsidRPr="005E2E2A" w:rsidP="00767F64" w14:paraId="317245F8" w14:textId="0498FB49">
      <w:pPr>
        <w:contextualSpacing/>
        <w:rPr>
          <w:rFonts w:asciiTheme="majorBidi" w:hAnsiTheme="majorBidi" w:cstheme="majorBidi"/>
        </w:rPr>
      </w:pPr>
    </w:p>
    <w:bookmarkEnd w:id="1"/>
    <w:p w:rsidR="00844F2F" w:rsidRPr="005E2E2A" w:rsidP="00767F64" w14:paraId="2071820B" w14:textId="28D2AA24">
      <w:pPr>
        <w:rPr>
          <w:rFonts w:eastAsia="SimSun" w:asciiTheme="majorBidi" w:hAnsiTheme="majorBidi" w:cstheme="majorBidi"/>
          <w:b/>
          <w:u w:val="single"/>
        </w:rPr>
      </w:pPr>
      <w:r>
        <w:rPr>
          <w:rFonts w:eastAsia="SimSun" w:asciiTheme="majorBidi" w:hAnsiTheme="majorBidi" w:cstheme="majorBidi"/>
          <w:b/>
          <w:u w:val="single"/>
        </w:rPr>
        <w:t xml:space="preserve">Task 2: </w:t>
      </w:r>
      <w:r w:rsidRPr="005E2E2A">
        <w:rPr>
          <w:rFonts w:eastAsia="SimSun" w:asciiTheme="majorBidi" w:hAnsiTheme="majorBidi" w:cstheme="majorBidi"/>
          <w:b/>
          <w:u w:val="single"/>
        </w:rPr>
        <w:t>Request for Cognitive Interviewing</w:t>
      </w:r>
    </w:p>
    <w:p w:rsidR="00FF5056" w:rsidP="00767F64" w14:paraId="20A28E75" w14:textId="77777777">
      <w:pPr>
        <w:rPr>
          <w:rFonts w:asciiTheme="majorBidi" w:hAnsiTheme="majorBidi" w:cstheme="majorBidi"/>
        </w:rPr>
      </w:pPr>
    </w:p>
    <w:p w:rsidR="00C0691E" w:rsidP="00767F64" w14:paraId="152D7531" w14:textId="5CDF00D2">
      <w:pPr>
        <w:rPr>
          <w:rFonts w:asciiTheme="majorBidi" w:hAnsiTheme="majorBidi" w:cstheme="majorBidi"/>
        </w:rPr>
      </w:pPr>
      <w:r>
        <w:rPr>
          <w:rFonts w:asciiTheme="majorBidi" w:hAnsiTheme="majorBidi" w:cstheme="majorBidi"/>
        </w:rPr>
        <w:t>BJS also requests clearance</w:t>
      </w:r>
      <w:r w:rsidRPr="005E2E2A">
        <w:rPr>
          <w:rFonts w:asciiTheme="majorBidi" w:hAnsiTheme="majorBidi" w:cstheme="majorBidi"/>
        </w:rPr>
        <w:t xml:space="preserve"> to conduct </w:t>
      </w:r>
      <w:r w:rsidR="00C25B3F">
        <w:rPr>
          <w:rFonts w:asciiTheme="majorBidi" w:hAnsiTheme="majorBidi" w:cstheme="majorBidi"/>
        </w:rPr>
        <w:t xml:space="preserve">up to two rounds of </w:t>
      </w:r>
      <w:r w:rsidRPr="005E2E2A">
        <w:rPr>
          <w:rFonts w:asciiTheme="majorBidi" w:hAnsiTheme="majorBidi" w:cstheme="majorBidi"/>
        </w:rPr>
        <w:t xml:space="preserve">cognitive testing </w:t>
      </w:r>
      <w:r>
        <w:rPr>
          <w:rFonts w:asciiTheme="majorBidi" w:hAnsiTheme="majorBidi" w:cstheme="majorBidi"/>
        </w:rPr>
        <w:t>of</w:t>
      </w:r>
      <w:r w:rsidRPr="005E2E2A">
        <w:rPr>
          <w:rFonts w:asciiTheme="majorBidi" w:hAnsiTheme="majorBidi" w:cstheme="majorBidi"/>
        </w:rPr>
        <w:t xml:space="preserve"> the </w:t>
      </w:r>
      <w:r>
        <w:rPr>
          <w:rFonts w:asciiTheme="majorBidi" w:hAnsiTheme="majorBidi" w:cstheme="majorBidi"/>
        </w:rPr>
        <w:t>20</w:t>
      </w:r>
      <w:r w:rsidR="00714081">
        <w:rPr>
          <w:rFonts w:asciiTheme="majorBidi" w:hAnsiTheme="majorBidi" w:cstheme="majorBidi"/>
        </w:rPr>
        <w:t>23</w:t>
      </w:r>
      <w:r>
        <w:rPr>
          <w:rFonts w:asciiTheme="majorBidi" w:hAnsiTheme="majorBidi" w:cstheme="majorBidi"/>
        </w:rPr>
        <w:t xml:space="preserve"> </w:t>
      </w:r>
      <w:r w:rsidRPr="005E2E2A">
        <w:rPr>
          <w:rFonts w:asciiTheme="majorBidi" w:hAnsiTheme="majorBidi" w:cstheme="majorBidi"/>
        </w:rPr>
        <w:t>CMEC instrument</w:t>
      </w:r>
      <w:r w:rsidR="00467EA1">
        <w:rPr>
          <w:rFonts w:asciiTheme="majorBidi" w:hAnsiTheme="majorBidi" w:cstheme="majorBidi"/>
        </w:rPr>
        <w:t xml:space="preserve"> (up to </w:t>
      </w:r>
      <w:r w:rsidR="008A2E2D">
        <w:rPr>
          <w:rFonts w:asciiTheme="majorBidi" w:hAnsiTheme="majorBidi" w:cstheme="majorBidi"/>
        </w:rPr>
        <w:t xml:space="preserve">32 </w:t>
      </w:r>
      <w:r w:rsidR="00467EA1">
        <w:rPr>
          <w:rFonts w:asciiTheme="majorBidi" w:hAnsiTheme="majorBidi" w:cstheme="majorBidi"/>
        </w:rPr>
        <w:t>cognitive interviews in total)</w:t>
      </w:r>
      <w:r w:rsidRPr="005E2E2A">
        <w:rPr>
          <w:rFonts w:asciiTheme="majorBidi" w:hAnsiTheme="majorBidi" w:cstheme="majorBidi"/>
        </w:rPr>
        <w:t>.</w:t>
      </w:r>
      <w:r>
        <w:rPr>
          <w:rFonts w:asciiTheme="majorBidi" w:hAnsiTheme="majorBidi" w:cstheme="majorBidi"/>
        </w:rPr>
        <w:t xml:space="preserve"> The project team will </w:t>
      </w:r>
      <w:r w:rsidR="00C25B3F">
        <w:rPr>
          <w:rFonts w:asciiTheme="majorBidi" w:hAnsiTheme="majorBidi" w:cstheme="majorBidi"/>
        </w:rPr>
        <w:t xml:space="preserve">initially </w:t>
      </w:r>
      <w:r>
        <w:rPr>
          <w:rFonts w:asciiTheme="majorBidi" w:hAnsiTheme="majorBidi" w:cstheme="majorBidi"/>
        </w:rPr>
        <w:t xml:space="preserve">conduct </w:t>
      </w:r>
      <w:r w:rsidR="008A2E2D">
        <w:rPr>
          <w:rFonts w:asciiTheme="majorBidi" w:hAnsiTheme="majorBidi" w:cstheme="majorBidi"/>
        </w:rPr>
        <w:t xml:space="preserve">17 </w:t>
      </w:r>
      <w:r>
        <w:rPr>
          <w:rFonts w:asciiTheme="majorBidi" w:hAnsiTheme="majorBidi" w:cstheme="majorBidi"/>
        </w:rPr>
        <w:t>cognitive interviews</w:t>
      </w:r>
      <w:r w:rsidR="005A7A4D">
        <w:rPr>
          <w:rFonts w:asciiTheme="majorBidi" w:hAnsiTheme="majorBidi" w:cstheme="majorBidi"/>
        </w:rPr>
        <w:t xml:space="preserve"> for the first round of testing.</w:t>
      </w:r>
      <w:r>
        <w:rPr>
          <w:rFonts w:asciiTheme="majorBidi" w:hAnsiTheme="majorBidi" w:cstheme="majorBidi"/>
        </w:rPr>
        <w:t xml:space="preserve"> </w:t>
      </w:r>
      <w:r w:rsidR="00321BFA">
        <w:rPr>
          <w:rFonts w:asciiTheme="majorBidi" w:hAnsiTheme="majorBidi" w:cstheme="majorBidi"/>
        </w:rPr>
        <w:t xml:space="preserve">If respondents’ feedback consistently indicate that certain questions are problematic, BJS and RTI plan to conduct an additional round of cognitive testing with the revised questions with up to </w:t>
      </w:r>
      <w:r w:rsidR="008A2E2D">
        <w:rPr>
          <w:rFonts w:asciiTheme="majorBidi" w:hAnsiTheme="majorBidi" w:cstheme="majorBidi"/>
        </w:rPr>
        <w:t xml:space="preserve">15 </w:t>
      </w:r>
      <w:r w:rsidR="00321BFA">
        <w:rPr>
          <w:rFonts w:asciiTheme="majorBidi" w:hAnsiTheme="majorBidi" w:cstheme="majorBidi"/>
        </w:rPr>
        <w:t xml:space="preserve">respondents. The second round of cognitive testing may also be considered if </w:t>
      </w:r>
      <w:r w:rsidR="004C6134">
        <w:rPr>
          <w:rFonts w:asciiTheme="majorBidi" w:hAnsiTheme="majorBidi" w:cstheme="majorBidi"/>
        </w:rPr>
        <w:t xml:space="preserve">by the end of </w:t>
      </w:r>
      <w:r w:rsidR="00321BFA">
        <w:rPr>
          <w:rFonts w:asciiTheme="majorBidi" w:hAnsiTheme="majorBidi" w:cstheme="majorBidi"/>
        </w:rPr>
        <w:t xml:space="preserve">the first round </w:t>
      </w:r>
      <w:r w:rsidR="004C6134">
        <w:rPr>
          <w:rFonts w:asciiTheme="majorBidi" w:hAnsiTheme="majorBidi" w:cstheme="majorBidi"/>
        </w:rPr>
        <w:t xml:space="preserve">of testing, participants are still raising unique issues and questions that have not been raised by other participants. </w:t>
      </w:r>
    </w:p>
    <w:p w:rsidR="00C0691E" w:rsidP="00767F64" w14:paraId="5243156F" w14:textId="77777777">
      <w:pPr>
        <w:rPr>
          <w:rFonts w:asciiTheme="majorBidi" w:hAnsiTheme="majorBidi" w:cstheme="majorBidi"/>
        </w:rPr>
      </w:pPr>
    </w:p>
    <w:p w:rsidR="00844F2F" w:rsidP="00767F64" w14:paraId="56FD1F99" w14:textId="5ABDDD9C">
      <w:pPr>
        <w:rPr>
          <w:rFonts w:asciiTheme="majorBidi" w:hAnsiTheme="majorBidi" w:cstheme="majorBidi"/>
        </w:rPr>
      </w:pPr>
      <w:r>
        <w:rPr>
          <w:rFonts w:asciiTheme="majorBidi" w:hAnsiTheme="majorBidi" w:cstheme="majorBidi"/>
        </w:rPr>
        <w:t xml:space="preserve">In </w:t>
      </w:r>
      <w:r w:rsidR="005C7DF2">
        <w:rPr>
          <w:rFonts w:asciiTheme="majorBidi" w:hAnsiTheme="majorBidi" w:cstheme="majorBidi"/>
        </w:rPr>
        <w:t xml:space="preserve">preparation for </w:t>
      </w:r>
      <w:r>
        <w:rPr>
          <w:rFonts w:asciiTheme="majorBidi" w:hAnsiTheme="majorBidi" w:cstheme="majorBidi"/>
        </w:rPr>
        <w:t xml:space="preserve">this effort, the project team reviewed the </w:t>
      </w:r>
      <w:r w:rsidRPr="005E2E2A">
        <w:rPr>
          <w:rFonts w:asciiTheme="majorBidi" w:hAnsiTheme="majorBidi" w:cstheme="majorBidi"/>
        </w:rPr>
        <w:t>20</w:t>
      </w:r>
      <w:r w:rsidR="00714081">
        <w:rPr>
          <w:rFonts w:asciiTheme="majorBidi" w:hAnsiTheme="majorBidi" w:cstheme="majorBidi"/>
        </w:rPr>
        <w:t>18</w:t>
      </w:r>
      <w:r w:rsidRPr="005E2E2A">
        <w:rPr>
          <w:rFonts w:asciiTheme="majorBidi" w:hAnsiTheme="majorBidi" w:cstheme="majorBidi"/>
        </w:rPr>
        <w:t xml:space="preserve"> CMEC instrument</w:t>
      </w:r>
      <w:r>
        <w:rPr>
          <w:rFonts w:asciiTheme="majorBidi" w:hAnsiTheme="majorBidi" w:cstheme="majorBidi"/>
        </w:rPr>
        <w:t xml:space="preserve"> </w:t>
      </w:r>
      <w:r w:rsidRPr="005E2E2A">
        <w:rPr>
          <w:rFonts w:asciiTheme="majorBidi" w:hAnsiTheme="majorBidi" w:cstheme="majorBidi"/>
        </w:rPr>
        <w:t>for completeness and clarity</w:t>
      </w:r>
      <w:r w:rsidR="00812DFB">
        <w:rPr>
          <w:rFonts w:asciiTheme="majorBidi" w:hAnsiTheme="majorBidi" w:cstheme="majorBidi"/>
        </w:rPr>
        <w:t xml:space="preserve">. The </w:t>
      </w:r>
      <w:r w:rsidR="00185738">
        <w:rPr>
          <w:rFonts w:asciiTheme="majorBidi" w:hAnsiTheme="majorBidi" w:cstheme="majorBidi"/>
        </w:rPr>
        <w:t xml:space="preserve">CMEC </w:t>
      </w:r>
      <w:r w:rsidR="00812DFB">
        <w:rPr>
          <w:rFonts w:asciiTheme="majorBidi" w:hAnsiTheme="majorBidi" w:cstheme="majorBidi"/>
        </w:rPr>
        <w:t>team also conducted</w:t>
      </w:r>
      <w:r>
        <w:rPr>
          <w:rFonts w:asciiTheme="majorBidi" w:hAnsiTheme="majorBidi" w:cstheme="majorBidi"/>
        </w:rPr>
        <w:t xml:space="preserve"> a</w:t>
      </w:r>
      <w:r w:rsidRPr="005E2E2A">
        <w:rPr>
          <w:rFonts w:asciiTheme="majorBidi" w:hAnsiTheme="majorBidi" w:cstheme="majorBidi"/>
        </w:rPr>
        <w:t xml:space="preserve"> data quality assessment </w:t>
      </w:r>
      <w:r>
        <w:rPr>
          <w:rFonts w:asciiTheme="majorBidi" w:hAnsiTheme="majorBidi" w:cstheme="majorBidi"/>
        </w:rPr>
        <w:t>with the publicly available dataset to</w:t>
      </w:r>
      <w:r w:rsidRPr="005E2E2A">
        <w:rPr>
          <w:rFonts w:asciiTheme="majorBidi" w:hAnsiTheme="majorBidi" w:cstheme="majorBidi"/>
        </w:rPr>
        <w:t xml:space="preserve"> identify potentially problematic questions</w:t>
      </w:r>
      <w:r>
        <w:rPr>
          <w:rFonts w:asciiTheme="majorBidi" w:hAnsiTheme="majorBidi" w:cstheme="majorBidi"/>
        </w:rPr>
        <w:t xml:space="preserve"> based on item response.</w:t>
      </w:r>
      <w:r w:rsidR="00812DFB">
        <w:rPr>
          <w:rFonts w:asciiTheme="majorBidi" w:hAnsiTheme="majorBidi" w:cstheme="majorBidi"/>
        </w:rPr>
        <w:t xml:space="preserve"> Questions with high item missingness were identified as candidates for deletion or revision.</w:t>
      </w:r>
      <w:r>
        <w:rPr>
          <w:rFonts w:asciiTheme="majorBidi" w:hAnsiTheme="majorBidi" w:cstheme="majorBidi"/>
        </w:rPr>
        <w:t xml:space="preserve"> </w:t>
      </w:r>
      <w:r w:rsidR="00A60370">
        <w:rPr>
          <w:rFonts w:asciiTheme="majorBidi" w:hAnsiTheme="majorBidi" w:cstheme="majorBidi"/>
        </w:rPr>
        <w:t>In addition</w:t>
      </w:r>
      <w:r>
        <w:rPr>
          <w:rFonts w:asciiTheme="majorBidi" w:hAnsiTheme="majorBidi" w:cstheme="majorBidi"/>
        </w:rPr>
        <w:t>, a</w:t>
      </w:r>
      <w:r w:rsidRPr="005E2E2A">
        <w:rPr>
          <w:rFonts w:asciiTheme="majorBidi" w:hAnsiTheme="majorBidi" w:cstheme="majorBidi"/>
        </w:rPr>
        <w:t>n expert panel provide</w:t>
      </w:r>
      <w:r>
        <w:rPr>
          <w:rFonts w:asciiTheme="majorBidi" w:hAnsiTheme="majorBidi" w:cstheme="majorBidi"/>
        </w:rPr>
        <w:t>d</w:t>
      </w:r>
      <w:r w:rsidRPr="005E2E2A">
        <w:rPr>
          <w:rFonts w:asciiTheme="majorBidi" w:hAnsiTheme="majorBidi" w:cstheme="majorBidi"/>
        </w:rPr>
        <w:t xml:space="preserve"> direction on survey </w:t>
      </w:r>
      <w:r>
        <w:rPr>
          <w:rFonts w:asciiTheme="majorBidi" w:hAnsiTheme="majorBidi" w:cstheme="majorBidi"/>
        </w:rPr>
        <w:t xml:space="preserve">revisions and </w:t>
      </w:r>
      <w:r w:rsidR="00812DFB">
        <w:rPr>
          <w:rFonts w:asciiTheme="majorBidi" w:hAnsiTheme="majorBidi" w:cstheme="majorBidi"/>
        </w:rPr>
        <w:t>provided input to make the</w:t>
      </w:r>
      <w:r w:rsidRPr="005E2E2A">
        <w:rPr>
          <w:rFonts w:asciiTheme="majorBidi" w:hAnsiTheme="majorBidi" w:cstheme="majorBidi"/>
        </w:rPr>
        <w:t xml:space="preserve"> questionnaire </w:t>
      </w:r>
      <w:r w:rsidR="00812DFB">
        <w:rPr>
          <w:rFonts w:asciiTheme="majorBidi" w:hAnsiTheme="majorBidi" w:cstheme="majorBidi"/>
        </w:rPr>
        <w:t xml:space="preserve">content </w:t>
      </w:r>
      <w:r w:rsidRPr="005E2E2A">
        <w:rPr>
          <w:rFonts w:asciiTheme="majorBidi" w:hAnsiTheme="majorBidi" w:cstheme="majorBidi"/>
        </w:rPr>
        <w:t>relevant to the 20</w:t>
      </w:r>
      <w:r w:rsidR="00714081">
        <w:rPr>
          <w:rFonts w:asciiTheme="majorBidi" w:hAnsiTheme="majorBidi" w:cstheme="majorBidi"/>
        </w:rPr>
        <w:t>23</w:t>
      </w:r>
      <w:r w:rsidRPr="005E2E2A">
        <w:rPr>
          <w:rFonts w:asciiTheme="majorBidi" w:hAnsiTheme="majorBidi" w:cstheme="majorBidi"/>
        </w:rPr>
        <w:t xml:space="preserve"> needs and demands of MEC</w:t>
      </w:r>
      <w:r w:rsidR="00500793">
        <w:rPr>
          <w:rFonts w:asciiTheme="majorBidi" w:hAnsiTheme="majorBidi" w:cstheme="majorBidi"/>
        </w:rPr>
        <w:t xml:space="preserve"> offices</w:t>
      </w:r>
      <w:r w:rsidRPr="005E2E2A">
        <w:rPr>
          <w:rFonts w:asciiTheme="majorBidi" w:hAnsiTheme="majorBidi" w:cstheme="majorBidi"/>
        </w:rPr>
        <w:t xml:space="preserve">. </w:t>
      </w:r>
      <w:r w:rsidR="00C41556">
        <w:rPr>
          <w:rFonts w:asciiTheme="majorBidi" w:hAnsiTheme="majorBidi" w:cstheme="majorBidi"/>
        </w:rPr>
        <w:t>These</w:t>
      </w:r>
      <w:r>
        <w:rPr>
          <w:rFonts w:asciiTheme="majorBidi" w:hAnsiTheme="majorBidi" w:cstheme="majorBidi"/>
        </w:rPr>
        <w:t xml:space="preserve"> efforts </w:t>
      </w:r>
      <w:r w:rsidR="00812DFB">
        <w:rPr>
          <w:rFonts w:asciiTheme="majorBidi" w:hAnsiTheme="majorBidi" w:cstheme="majorBidi"/>
        </w:rPr>
        <w:t>have</w:t>
      </w:r>
      <w:r>
        <w:rPr>
          <w:rFonts w:asciiTheme="majorBidi" w:hAnsiTheme="majorBidi" w:cstheme="majorBidi"/>
        </w:rPr>
        <w:t xml:space="preserve"> resulted in a draft 20</w:t>
      </w:r>
      <w:r w:rsidR="00714081">
        <w:rPr>
          <w:rFonts w:asciiTheme="majorBidi" w:hAnsiTheme="majorBidi" w:cstheme="majorBidi"/>
        </w:rPr>
        <w:t>23</w:t>
      </w:r>
      <w:r>
        <w:rPr>
          <w:rFonts w:asciiTheme="majorBidi" w:hAnsiTheme="majorBidi" w:cstheme="majorBidi"/>
        </w:rPr>
        <w:t xml:space="preserve"> CMEC </w:t>
      </w:r>
      <w:r w:rsidR="000852B3">
        <w:rPr>
          <w:rFonts w:asciiTheme="majorBidi" w:hAnsiTheme="majorBidi" w:cstheme="majorBidi"/>
        </w:rPr>
        <w:t xml:space="preserve">instrument </w:t>
      </w:r>
      <w:r>
        <w:rPr>
          <w:rFonts w:asciiTheme="majorBidi" w:hAnsiTheme="majorBidi" w:cstheme="majorBidi"/>
        </w:rPr>
        <w:t>that is ready for c</w:t>
      </w:r>
      <w:r w:rsidR="000852B3">
        <w:rPr>
          <w:rFonts w:asciiTheme="majorBidi" w:hAnsiTheme="majorBidi" w:cstheme="majorBidi"/>
        </w:rPr>
        <w:t>ognitive</w:t>
      </w:r>
      <w:r>
        <w:rPr>
          <w:rFonts w:asciiTheme="majorBidi" w:hAnsiTheme="majorBidi" w:cstheme="majorBidi"/>
        </w:rPr>
        <w:t xml:space="preserve"> testing</w:t>
      </w:r>
      <w:r w:rsidR="000852B3">
        <w:rPr>
          <w:rFonts w:asciiTheme="majorBidi" w:hAnsiTheme="majorBidi" w:cstheme="majorBidi"/>
        </w:rPr>
        <w:t>.</w:t>
      </w:r>
    </w:p>
    <w:p w:rsidR="00FF5056" w:rsidRPr="005E2E2A" w:rsidP="00767F64" w14:paraId="2E01998A" w14:textId="77777777">
      <w:pPr>
        <w:rPr>
          <w:rFonts w:asciiTheme="majorBidi" w:hAnsiTheme="majorBidi" w:cstheme="majorBidi"/>
        </w:rPr>
      </w:pPr>
    </w:p>
    <w:p w:rsidR="00844F2F" w:rsidP="00767F64" w14:paraId="175D1F58" w14:textId="17E07B1C">
      <w:pPr>
        <w:rPr>
          <w:rFonts w:asciiTheme="majorBidi" w:hAnsiTheme="majorBidi" w:cstheme="majorBidi"/>
        </w:rPr>
      </w:pPr>
      <w:r w:rsidRPr="005E2E2A">
        <w:rPr>
          <w:rFonts w:asciiTheme="majorBidi" w:hAnsiTheme="majorBidi" w:cstheme="majorBidi"/>
        </w:rPr>
        <w:t xml:space="preserve">The cognitive interviewing plan is designed to </w:t>
      </w:r>
      <w:r w:rsidRPr="005E2E2A" w:rsidR="007179B1">
        <w:rPr>
          <w:rFonts w:asciiTheme="majorBidi" w:hAnsiTheme="majorBidi" w:cstheme="majorBidi"/>
        </w:rPr>
        <w:t>assess the survey instrument in terms of general understanding, question and response wording, and survey design</w:t>
      </w:r>
      <w:r w:rsidR="004A4874">
        <w:rPr>
          <w:rFonts w:asciiTheme="majorBidi" w:hAnsiTheme="majorBidi" w:cstheme="majorBidi"/>
        </w:rPr>
        <w:t>, all of which will help minimize survey burden</w:t>
      </w:r>
      <w:r w:rsidRPr="005E2E2A" w:rsidR="007179B1">
        <w:rPr>
          <w:rFonts w:asciiTheme="majorBidi" w:hAnsiTheme="majorBidi" w:cstheme="majorBidi"/>
        </w:rPr>
        <w:t xml:space="preserve">. The goal of this effort </w:t>
      </w:r>
      <w:r w:rsidR="000852B3">
        <w:rPr>
          <w:rFonts w:asciiTheme="majorBidi" w:hAnsiTheme="majorBidi" w:cstheme="majorBidi"/>
        </w:rPr>
        <w:t>is</w:t>
      </w:r>
      <w:r w:rsidRPr="005E2E2A" w:rsidR="007179B1">
        <w:rPr>
          <w:rFonts w:asciiTheme="majorBidi" w:hAnsiTheme="majorBidi" w:cstheme="majorBidi"/>
        </w:rPr>
        <w:t xml:space="preserve"> to understand how well the questions work </w:t>
      </w:r>
      <w:r w:rsidRPr="005E2E2A" w:rsidR="007179B1">
        <w:rPr>
          <w:rFonts w:asciiTheme="majorBidi" w:hAnsiTheme="majorBidi" w:cstheme="majorBidi"/>
        </w:rPr>
        <w:t xml:space="preserve">when administered to </w:t>
      </w:r>
      <w:r w:rsidR="00ED4C25">
        <w:rPr>
          <w:rFonts w:asciiTheme="majorBidi" w:hAnsiTheme="majorBidi" w:cstheme="majorBidi"/>
        </w:rPr>
        <w:t xml:space="preserve">a </w:t>
      </w:r>
      <w:r w:rsidR="00AB24CB">
        <w:rPr>
          <w:rFonts w:asciiTheme="majorBidi" w:hAnsiTheme="majorBidi" w:cstheme="majorBidi"/>
        </w:rPr>
        <w:t xml:space="preserve">purposive </w:t>
      </w:r>
      <w:r w:rsidR="00ED4C25">
        <w:rPr>
          <w:rFonts w:asciiTheme="majorBidi" w:hAnsiTheme="majorBidi" w:cstheme="majorBidi"/>
        </w:rPr>
        <w:t>subset</w:t>
      </w:r>
      <w:r w:rsidRPr="005E2E2A" w:rsidR="007179B1">
        <w:rPr>
          <w:rFonts w:asciiTheme="majorBidi" w:hAnsiTheme="majorBidi" w:cstheme="majorBidi"/>
        </w:rPr>
        <w:t xml:space="preserve"> of the survey’s target population</w:t>
      </w:r>
      <w:r w:rsidR="00AB24CB">
        <w:rPr>
          <w:rFonts w:asciiTheme="majorBidi" w:hAnsiTheme="majorBidi" w:cstheme="majorBidi"/>
        </w:rPr>
        <w:t xml:space="preserve">, </w:t>
      </w:r>
      <w:r w:rsidR="00812DFB">
        <w:rPr>
          <w:rFonts w:asciiTheme="majorBidi" w:hAnsiTheme="majorBidi" w:cstheme="majorBidi"/>
        </w:rPr>
        <w:t xml:space="preserve">which will include </w:t>
      </w:r>
      <w:r w:rsidR="00AB24CB">
        <w:rPr>
          <w:rFonts w:asciiTheme="majorBidi" w:hAnsiTheme="majorBidi" w:cstheme="majorBidi"/>
        </w:rPr>
        <w:t>an even mix of coroners and medical examiners</w:t>
      </w:r>
      <w:r w:rsidR="006E144A">
        <w:rPr>
          <w:rFonts w:asciiTheme="majorBidi" w:hAnsiTheme="majorBidi" w:cstheme="majorBidi"/>
        </w:rPr>
        <w:t xml:space="preserve"> </w:t>
      </w:r>
      <w:r w:rsidR="004A4874">
        <w:rPr>
          <w:rFonts w:asciiTheme="majorBidi" w:hAnsiTheme="majorBidi" w:cstheme="majorBidi"/>
        </w:rPr>
        <w:t>with</w:t>
      </w:r>
      <w:r w:rsidR="00AB24CB">
        <w:rPr>
          <w:rFonts w:asciiTheme="majorBidi" w:hAnsiTheme="majorBidi" w:cstheme="majorBidi"/>
        </w:rPr>
        <w:t xml:space="preserve"> representation across large and small jurisdictions, </w:t>
      </w:r>
      <w:r w:rsidR="004B6146">
        <w:rPr>
          <w:rFonts w:asciiTheme="majorBidi" w:hAnsiTheme="majorBidi" w:cstheme="majorBidi"/>
        </w:rPr>
        <w:t xml:space="preserve">and across geographical regions, including </w:t>
      </w:r>
      <w:r w:rsidR="00AB24CB">
        <w:rPr>
          <w:rFonts w:asciiTheme="majorBidi" w:hAnsiTheme="majorBidi" w:cstheme="majorBidi"/>
        </w:rPr>
        <w:t>jurisdictions that border tribal areas</w:t>
      </w:r>
      <w:r w:rsidR="00FF5056">
        <w:rPr>
          <w:rFonts w:asciiTheme="majorBidi" w:hAnsiTheme="majorBidi" w:cstheme="majorBidi"/>
        </w:rPr>
        <w:t>.</w:t>
      </w:r>
      <w:r w:rsidRPr="005E2E2A" w:rsidR="007179B1">
        <w:rPr>
          <w:rFonts w:asciiTheme="majorBidi" w:hAnsiTheme="majorBidi" w:cstheme="majorBidi"/>
        </w:rPr>
        <w:t xml:space="preserve"> </w:t>
      </w:r>
    </w:p>
    <w:p w:rsidR="00B95219" w:rsidP="00767F64" w14:paraId="2F7F6C23" w14:textId="46645740">
      <w:pPr>
        <w:rPr>
          <w:rFonts w:asciiTheme="majorBidi" w:hAnsiTheme="majorBidi" w:cstheme="majorBidi"/>
        </w:rPr>
      </w:pPr>
    </w:p>
    <w:p w:rsidR="009C592E" w:rsidP="00757550" w14:paraId="380B42A7" w14:textId="722F72CB">
      <w:pPr>
        <w:rPr>
          <w:rFonts w:asciiTheme="majorBidi" w:hAnsiTheme="majorBidi" w:cstheme="majorBidi"/>
        </w:rPr>
      </w:pPr>
      <w:bookmarkStart w:id="2" w:name="_Hlk143273152"/>
      <w:r>
        <w:rPr>
          <w:rFonts w:asciiTheme="majorBidi" w:hAnsiTheme="majorBidi" w:cstheme="majorBidi"/>
        </w:rPr>
        <w:t xml:space="preserve">BJS and the project team will select </w:t>
      </w:r>
      <w:r w:rsidR="00A5747D">
        <w:rPr>
          <w:rFonts w:asciiTheme="majorBidi" w:hAnsiTheme="majorBidi" w:cstheme="majorBidi"/>
        </w:rPr>
        <w:t>eleven</w:t>
      </w:r>
      <w:r w:rsidRPr="00F357FA" w:rsidR="00A5747D">
        <w:rPr>
          <w:rFonts w:asciiTheme="majorBidi" w:hAnsiTheme="majorBidi" w:cstheme="majorBidi"/>
        </w:rPr>
        <w:t xml:space="preserve"> </w:t>
      </w:r>
      <w:r w:rsidRPr="00F357FA" w:rsidR="00F357FA">
        <w:rPr>
          <w:rFonts w:asciiTheme="majorBidi" w:hAnsiTheme="majorBidi" w:cstheme="majorBidi"/>
        </w:rPr>
        <w:t>coroners</w:t>
      </w:r>
      <w:r w:rsidR="002F31E6">
        <w:rPr>
          <w:rFonts w:asciiTheme="majorBidi" w:hAnsiTheme="majorBidi" w:cstheme="majorBidi"/>
        </w:rPr>
        <w:t xml:space="preserve">, </w:t>
      </w:r>
      <w:r w:rsidR="00A5747D">
        <w:rPr>
          <w:rFonts w:asciiTheme="majorBidi" w:hAnsiTheme="majorBidi" w:cstheme="majorBidi"/>
        </w:rPr>
        <w:t>eleven</w:t>
      </w:r>
      <w:r w:rsidRPr="00F357FA" w:rsidR="00A5747D">
        <w:rPr>
          <w:rFonts w:asciiTheme="majorBidi" w:hAnsiTheme="majorBidi" w:cstheme="majorBidi"/>
        </w:rPr>
        <w:t xml:space="preserve"> </w:t>
      </w:r>
      <w:r w:rsidRPr="00F357FA" w:rsidR="00F357FA">
        <w:rPr>
          <w:rFonts w:asciiTheme="majorBidi" w:hAnsiTheme="majorBidi" w:cstheme="majorBidi"/>
        </w:rPr>
        <w:t>medical examiner offices</w:t>
      </w:r>
      <w:r w:rsidR="007F6D7B">
        <w:rPr>
          <w:rFonts w:asciiTheme="majorBidi" w:hAnsiTheme="majorBidi" w:cstheme="majorBidi"/>
        </w:rPr>
        <w:t xml:space="preserve">, </w:t>
      </w:r>
      <w:r w:rsidR="00A5747D">
        <w:rPr>
          <w:rFonts w:asciiTheme="majorBidi" w:hAnsiTheme="majorBidi" w:cstheme="majorBidi"/>
        </w:rPr>
        <w:t>and</w:t>
      </w:r>
      <w:r w:rsidR="007F6D7B">
        <w:rPr>
          <w:rFonts w:asciiTheme="majorBidi" w:hAnsiTheme="majorBidi" w:cstheme="majorBidi"/>
        </w:rPr>
        <w:t xml:space="preserve"> </w:t>
      </w:r>
      <w:r w:rsidR="00AC285A">
        <w:rPr>
          <w:rFonts w:asciiTheme="majorBidi" w:hAnsiTheme="majorBidi" w:cstheme="majorBidi"/>
        </w:rPr>
        <w:t xml:space="preserve">ten </w:t>
      </w:r>
      <w:r w:rsidR="007F6D7B">
        <w:rPr>
          <w:rFonts w:asciiTheme="majorBidi" w:hAnsiTheme="majorBidi" w:cstheme="majorBidi"/>
        </w:rPr>
        <w:t>Justice</w:t>
      </w:r>
      <w:r w:rsidR="004C6134">
        <w:rPr>
          <w:rFonts w:asciiTheme="majorBidi" w:hAnsiTheme="majorBidi" w:cstheme="majorBidi"/>
        </w:rPr>
        <w:t>s</w:t>
      </w:r>
      <w:r w:rsidR="007F6D7B">
        <w:rPr>
          <w:rFonts w:asciiTheme="majorBidi" w:hAnsiTheme="majorBidi" w:cstheme="majorBidi"/>
        </w:rPr>
        <w:t xml:space="preserve"> of the Peace</w:t>
      </w:r>
      <w:r w:rsidR="00A5747D">
        <w:rPr>
          <w:rFonts w:asciiTheme="majorBidi" w:hAnsiTheme="majorBidi" w:cstheme="majorBidi"/>
        </w:rPr>
        <w:t xml:space="preserve"> to </w:t>
      </w:r>
      <w:r w:rsidR="00500793">
        <w:rPr>
          <w:rFonts w:asciiTheme="majorBidi" w:hAnsiTheme="majorBidi" w:cstheme="majorBidi"/>
        </w:rPr>
        <w:t>participate</w:t>
      </w:r>
      <w:r w:rsidR="00A5747D">
        <w:rPr>
          <w:rFonts w:asciiTheme="majorBidi" w:hAnsiTheme="majorBidi" w:cstheme="majorBidi"/>
        </w:rPr>
        <w:t xml:space="preserve"> in interviews across both rounds of testing. </w:t>
      </w:r>
      <w:r w:rsidR="00A82293">
        <w:rPr>
          <w:rFonts w:asciiTheme="majorBidi" w:hAnsiTheme="majorBidi" w:cstheme="majorBidi"/>
        </w:rPr>
        <w:t>We</w:t>
      </w:r>
      <w:r w:rsidRPr="009C592E">
        <w:rPr>
          <w:rFonts w:asciiTheme="majorBidi" w:hAnsiTheme="majorBidi" w:cstheme="majorBidi"/>
        </w:rPr>
        <w:t xml:space="preserve"> are including </w:t>
      </w:r>
      <w:r w:rsidR="00AC285A">
        <w:rPr>
          <w:rFonts w:asciiTheme="majorBidi" w:hAnsiTheme="majorBidi" w:cstheme="majorBidi"/>
        </w:rPr>
        <w:t>ten</w:t>
      </w:r>
      <w:r w:rsidRPr="009C592E" w:rsidR="00AC285A">
        <w:rPr>
          <w:rFonts w:asciiTheme="majorBidi" w:hAnsiTheme="majorBidi" w:cstheme="majorBidi"/>
        </w:rPr>
        <w:t xml:space="preserve"> </w:t>
      </w:r>
      <w:r w:rsidRPr="009C592E">
        <w:rPr>
          <w:rFonts w:asciiTheme="majorBidi" w:hAnsiTheme="majorBidi" w:cstheme="majorBidi"/>
        </w:rPr>
        <w:t>J</w:t>
      </w:r>
      <w:r>
        <w:rPr>
          <w:rFonts w:asciiTheme="majorBidi" w:hAnsiTheme="majorBidi" w:cstheme="majorBidi"/>
        </w:rPr>
        <w:t>ustice of the Peace</w:t>
      </w:r>
      <w:r w:rsidRPr="009C592E">
        <w:rPr>
          <w:rFonts w:asciiTheme="majorBidi" w:hAnsiTheme="majorBidi" w:cstheme="majorBidi"/>
        </w:rPr>
        <w:t xml:space="preserve"> in our cognitive interviews to inform BJS </w:t>
      </w:r>
      <w:r w:rsidR="00500793">
        <w:rPr>
          <w:rFonts w:asciiTheme="majorBidi" w:hAnsiTheme="majorBidi" w:cstheme="majorBidi"/>
        </w:rPr>
        <w:t>if they should be included in the 2023 CMEC data collection</w:t>
      </w:r>
      <w:r w:rsidRPr="009C592E">
        <w:rPr>
          <w:rFonts w:asciiTheme="majorBidi" w:hAnsiTheme="majorBidi" w:cstheme="majorBidi"/>
        </w:rPr>
        <w:t>.</w:t>
      </w:r>
      <w:r>
        <w:rPr>
          <w:rStyle w:val="FootnoteReference"/>
          <w:rFonts w:asciiTheme="majorBidi" w:hAnsiTheme="majorBidi" w:cstheme="majorBidi"/>
        </w:rPr>
        <w:footnoteReference w:id="5"/>
      </w:r>
      <w:r w:rsidRPr="009C592E">
        <w:rPr>
          <w:rFonts w:asciiTheme="majorBidi" w:hAnsiTheme="majorBidi" w:cstheme="majorBidi"/>
        </w:rPr>
        <w:t xml:space="preserve"> If the conducted cognitive interviews suggest that they can provide data, BJS will consider including them in the overall collection as part of a supplement to determine the feasibility of their inclusion in future years.</w:t>
      </w:r>
      <w:bookmarkEnd w:id="2"/>
    </w:p>
    <w:p w:rsidR="009C592E" w:rsidP="00757550" w14:paraId="276C802F" w14:textId="77777777">
      <w:pPr>
        <w:rPr>
          <w:rFonts w:asciiTheme="majorBidi" w:hAnsiTheme="majorBidi" w:cstheme="majorBidi"/>
        </w:rPr>
      </w:pPr>
    </w:p>
    <w:p w:rsidR="00757550" w:rsidP="00757550" w14:paraId="3E5562BF" w14:textId="2153D547">
      <w:pPr>
        <w:rPr>
          <w:rFonts w:asciiTheme="majorBidi" w:hAnsiTheme="majorBidi" w:cstheme="majorBidi"/>
        </w:rPr>
      </w:pPr>
      <w:r>
        <w:rPr>
          <w:rFonts w:asciiTheme="majorBidi" w:hAnsiTheme="majorBidi" w:cstheme="majorBidi"/>
        </w:rPr>
        <w:t>The cognitive testing sample will reflect a</w:t>
      </w:r>
      <w:r w:rsidR="001E398C">
        <w:rPr>
          <w:rFonts w:asciiTheme="majorBidi" w:hAnsiTheme="majorBidi" w:cstheme="majorBidi"/>
        </w:rPr>
        <w:t xml:space="preserve"> diverse set of </w:t>
      </w:r>
      <w:r w:rsidR="00297D9E">
        <w:rPr>
          <w:rFonts w:asciiTheme="majorBidi" w:hAnsiTheme="majorBidi" w:cstheme="majorBidi"/>
        </w:rPr>
        <w:t>offices based on:</w:t>
      </w:r>
      <w:r>
        <w:rPr>
          <w:rFonts w:asciiTheme="majorBidi" w:hAnsiTheme="majorBidi" w:cstheme="majorBidi"/>
        </w:rPr>
        <w:t xml:space="preserve"> 1)</w:t>
      </w:r>
      <w:r w:rsidRPr="00F357FA" w:rsidR="00F357FA">
        <w:rPr>
          <w:rFonts w:asciiTheme="majorBidi" w:hAnsiTheme="majorBidi" w:cstheme="majorBidi"/>
        </w:rPr>
        <w:t xml:space="preserve"> </w:t>
      </w:r>
      <w:r w:rsidR="00297D9E">
        <w:rPr>
          <w:rFonts w:asciiTheme="majorBidi" w:hAnsiTheme="majorBidi" w:cstheme="majorBidi"/>
        </w:rPr>
        <w:t>T</w:t>
      </w:r>
      <w:r w:rsidRPr="00F357FA" w:rsidR="00F357FA">
        <w:rPr>
          <w:rFonts w:asciiTheme="majorBidi" w:hAnsiTheme="majorBidi" w:cstheme="majorBidi"/>
        </w:rPr>
        <w:t>ype of office</w:t>
      </w:r>
      <w:r w:rsidR="00A60370">
        <w:rPr>
          <w:rFonts w:asciiTheme="majorBidi" w:hAnsiTheme="majorBidi" w:cstheme="majorBidi"/>
        </w:rPr>
        <w:t xml:space="preserve">: </w:t>
      </w:r>
      <w:r w:rsidR="00297D9E">
        <w:rPr>
          <w:rFonts w:asciiTheme="majorBidi" w:hAnsiTheme="majorBidi" w:cstheme="majorBidi"/>
        </w:rPr>
        <w:t>m</w:t>
      </w:r>
      <w:r w:rsidRPr="00F357FA" w:rsidR="00F357FA">
        <w:rPr>
          <w:rFonts w:asciiTheme="majorBidi" w:hAnsiTheme="majorBidi" w:cstheme="majorBidi"/>
        </w:rPr>
        <w:t xml:space="preserve">edical </w:t>
      </w:r>
      <w:r w:rsidR="00297D9E">
        <w:rPr>
          <w:rFonts w:asciiTheme="majorBidi" w:hAnsiTheme="majorBidi" w:cstheme="majorBidi"/>
        </w:rPr>
        <w:t>e</w:t>
      </w:r>
      <w:r w:rsidRPr="00F357FA" w:rsidR="00F357FA">
        <w:rPr>
          <w:rFonts w:asciiTheme="majorBidi" w:hAnsiTheme="majorBidi" w:cstheme="majorBidi"/>
        </w:rPr>
        <w:t>xaminer</w:t>
      </w:r>
      <w:r w:rsidR="00297D9E">
        <w:rPr>
          <w:rFonts w:asciiTheme="majorBidi" w:hAnsiTheme="majorBidi" w:cstheme="majorBidi"/>
        </w:rPr>
        <w:t>, c</w:t>
      </w:r>
      <w:r w:rsidRPr="00F357FA" w:rsidR="00F357FA">
        <w:rPr>
          <w:rFonts w:asciiTheme="majorBidi" w:hAnsiTheme="majorBidi" w:cstheme="majorBidi"/>
        </w:rPr>
        <w:t>oroner</w:t>
      </w:r>
      <w:r w:rsidR="00185738">
        <w:rPr>
          <w:rFonts w:asciiTheme="majorBidi" w:hAnsiTheme="majorBidi" w:cstheme="majorBidi"/>
        </w:rPr>
        <w:t>,</w:t>
      </w:r>
      <w:r>
        <w:rPr>
          <w:rFonts w:asciiTheme="majorBidi" w:hAnsiTheme="majorBidi" w:cstheme="majorBidi"/>
        </w:rPr>
        <w:t xml:space="preserve"> </w:t>
      </w:r>
      <w:r w:rsidR="00D72AE5">
        <w:rPr>
          <w:rFonts w:asciiTheme="majorBidi" w:hAnsiTheme="majorBidi" w:cstheme="majorBidi"/>
        </w:rPr>
        <w:t>or Justice of the Peace</w:t>
      </w:r>
      <w:r w:rsidR="00297D9E">
        <w:rPr>
          <w:rFonts w:asciiTheme="majorBidi" w:hAnsiTheme="majorBidi" w:cstheme="majorBidi"/>
        </w:rPr>
        <w:t>;</w:t>
      </w:r>
      <w:r w:rsidR="00D72AE5">
        <w:rPr>
          <w:rFonts w:asciiTheme="majorBidi" w:hAnsiTheme="majorBidi" w:cstheme="majorBidi"/>
        </w:rPr>
        <w:t xml:space="preserve"> </w:t>
      </w:r>
      <w:r>
        <w:rPr>
          <w:rFonts w:asciiTheme="majorBidi" w:hAnsiTheme="majorBidi" w:cstheme="majorBidi"/>
        </w:rPr>
        <w:t xml:space="preserve">2) </w:t>
      </w:r>
      <w:r w:rsidR="00297D9E">
        <w:rPr>
          <w:rFonts w:asciiTheme="majorBidi" w:hAnsiTheme="majorBidi" w:cstheme="majorBidi"/>
        </w:rPr>
        <w:t>J</w:t>
      </w:r>
      <w:r w:rsidRPr="00F357FA">
        <w:rPr>
          <w:rFonts w:asciiTheme="majorBidi" w:hAnsiTheme="majorBidi" w:cstheme="majorBidi"/>
        </w:rPr>
        <w:t xml:space="preserve">urisdiction </w:t>
      </w:r>
      <w:r w:rsidR="00D72AE5">
        <w:rPr>
          <w:rFonts w:asciiTheme="majorBidi" w:hAnsiTheme="majorBidi" w:cstheme="majorBidi"/>
        </w:rPr>
        <w:t>type</w:t>
      </w:r>
      <w:r w:rsidR="00A60370">
        <w:rPr>
          <w:rFonts w:asciiTheme="majorBidi" w:hAnsiTheme="majorBidi" w:cstheme="majorBidi"/>
        </w:rPr>
        <w:t>:</w:t>
      </w:r>
      <w:r w:rsidRPr="00F357FA">
        <w:rPr>
          <w:rFonts w:asciiTheme="majorBidi" w:hAnsiTheme="majorBidi" w:cstheme="majorBidi"/>
        </w:rPr>
        <w:t xml:space="preserve"> </w:t>
      </w:r>
      <w:r w:rsidR="00D72AE5">
        <w:rPr>
          <w:rFonts w:asciiTheme="majorBidi" w:hAnsiTheme="majorBidi" w:cstheme="majorBidi"/>
        </w:rPr>
        <w:t xml:space="preserve">state, county, </w:t>
      </w:r>
      <w:r w:rsidR="00297D9E">
        <w:rPr>
          <w:rFonts w:asciiTheme="majorBidi" w:hAnsiTheme="majorBidi" w:cstheme="majorBidi"/>
        </w:rPr>
        <w:t xml:space="preserve">or </w:t>
      </w:r>
      <w:r w:rsidR="00D72AE5">
        <w:rPr>
          <w:rFonts w:asciiTheme="majorBidi" w:hAnsiTheme="majorBidi" w:cstheme="majorBidi"/>
        </w:rPr>
        <w:t>regional</w:t>
      </w:r>
      <w:r w:rsidR="00297D9E">
        <w:rPr>
          <w:rFonts w:asciiTheme="majorBidi" w:hAnsiTheme="majorBidi" w:cstheme="majorBidi"/>
        </w:rPr>
        <w:t>;</w:t>
      </w:r>
      <w:r w:rsidR="00D72AE5">
        <w:rPr>
          <w:rFonts w:asciiTheme="majorBidi" w:hAnsiTheme="majorBidi" w:cstheme="majorBidi"/>
        </w:rPr>
        <w:t xml:space="preserve"> </w:t>
      </w:r>
      <w:r w:rsidR="002F31E6">
        <w:rPr>
          <w:rFonts w:asciiTheme="majorBidi" w:hAnsiTheme="majorBidi" w:cstheme="majorBidi"/>
        </w:rPr>
        <w:t>3</w:t>
      </w:r>
      <w:r w:rsidR="00D72AE5">
        <w:rPr>
          <w:rFonts w:asciiTheme="majorBidi" w:hAnsiTheme="majorBidi" w:cstheme="majorBidi"/>
        </w:rPr>
        <w:t xml:space="preserve">) </w:t>
      </w:r>
      <w:r w:rsidR="00297D9E">
        <w:rPr>
          <w:rFonts w:asciiTheme="majorBidi" w:hAnsiTheme="majorBidi" w:cstheme="majorBidi"/>
        </w:rPr>
        <w:t>P</w:t>
      </w:r>
      <w:r w:rsidR="00D72AE5">
        <w:rPr>
          <w:rFonts w:asciiTheme="majorBidi" w:hAnsiTheme="majorBidi" w:cstheme="majorBidi"/>
        </w:rPr>
        <w:t>opulation servi</w:t>
      </w:r>
      <w:r w:rsidR="006E144A">
        <w:rPr>
          <w:rFonts w:asciiTheme="majorBidi" w:hAnsiTheme="majorBidi" w:cstheme="majorBidi"/>
        </w:rPr>
        <w:t>c</w:t>
      </w:r>
      <w:r w:rsidR="00D72AE5">
        <w:rPr>
          <w:rFonts w:asciiTheme="majorBidi" w:hAnsiTheme="majorBidi" w:cstheme="majorBidi"/>
        </w:rPr>
        <w:t xml:space="preserve">ed: </w:t>
      </w:r>
      <w:r w:rsidRPr="00F357FA">
        <w:rPr>
          <w:rFonts w:asciiTheme="majorBidi" w:hAnsiTheme="majorBidi" w:cstheme="majorBidi"/>
        </w:rPr>
        <w:t>less than 25k</w:t>
      </w:r>
      <w:r w:rsidR="00295C4D">
        <w:rPr>
          <w:rFonts w:asciiTheme="majorBidi" w:hAnsiTheme="majorBidi" w:cstheme="majorBidi"/>
        </w:rPr>
        <w:t xml:space="preserve"> population served</w:t>
      </w:r>
      <w:r w:rsidRPr="00F357FA">
        <w:rPr>
          <w:rFonts w:asciiTheme="majorBidi" w:hAnsiTheme="majorBidi" w:cstheme="majorBidi"/>
        </w:rPr>
        <w:t xml:space="preserve">, 25k to &lt;250k, </w:t>
      </w:r>
      <w:r w:rsidR="00297D9E">
        <w:rPr>
          <w:rFonts w:asciiTheme="majorBidi" w:hAnsiTheme="majorBidi" w:cstheme="majorBidi"/>
        </w:rPr>
        <w:t>or</w:t>
      </w:r>
      <w:r w:rsidRPr="00F357FA" w:rsidR="00297D9E">
        <w:rPr>
          <w:rFonts w:asciiTheme="majorBidi" w:hAnsiTheme="majorBidi" w:cstheme="majorBidi"/>
        </w:rPr>
        <w:t xml:space="preserve"> </w:t>
      </w:r>
      <w:r w:rsidRPr="00F357FA">
        <w:rPr>
          <w:rFonts w:asciiTheme="majorBidi" w:hAnsiTheme="majorBidi" w:cstheme="majorBidi"/>
        </w:rPr>
        <w:t xml:space="preserve">250k or more </w:t>
      </w:r>
      <w:r w:rsidR="00297D9E">
        <w:rPr>
          <w:rFonts w:asciiTheme="majorBidi" w:hAnsiTheme="majorBidi" w:cstheme="majorBidi"/>
        </w:rPr>
        <w:t>(</w:t>
      </w:r>
      <w:r w:rsidRPr="00F357FA">
        <w:rPr>
          <w:rFonts w:asciiTheme="majorBidi" w:hAnsiTheme="majorBidi" w:cstheme="majorBidi"/>
        </w:rPr>
        <w:t>based on the</w:t>
      </w:r>
      <w:r>
        <w:rPr>
          <w:rFonts w:asciiTheme="majorBidi" w:hAnsiTheme="majorBidi" w:cstheme="majorBidi"/>
        </w:rPr>
        <w:t xml:space="preserve"> </w:t>
      </w:r>
      <w:r w:rsidR="00EB3B17">
        <w:rPr>
          <w:rFonts w:asciiTheme="majorBidi" w:hAnsiTheme="majorBidi" w:cstheme="majorBidi"/>
        </w:rPr>
        <w:t>2022</w:t>
      </w:r>
      <w:r w:rsidRPr="00F357FA">
        <w:rPr>
          <w:rFonts w:asciiTheme="majorBidi" w:hAnsiTheme="majorBidi" w:cstheme="majorBidi"/>
        </w:rPr>
        <w:t xml:space="preserve"> Census population</w:t>
      </w:r>
      <w:r w:rsidR="0033591C">
        <w:rPr>
          <w:rFonts w:asciiTheme="majorBidi" w:hAnsiTheme="majorBidi" w:cstheme="majorBidi"/>
        </w:rPr>
        <w:t xml:space="preserve"> estimate</w:t>
      </w:r>
      <w:r w:rsidR="00297D9E">
        <w:rPr>
          <w:rFonts w:asciiTheme="majorBidi" w:hAnsiTheme="majorBidi" w:cstheme="majorBidi"/>
        </w:rPr>
        <w:t>);</w:t>
      </w:r>
      <w:r w:rsidR="006112E2">
        <w:rPr>
          <w:rFonts w:asciiTheme="majorBidi" w:hAnsiTheme="majorBidi" w:cstheme="majorBidi"/>
        </w:rPr>
        <w:t xml:space="preserve"> </w:t>
      </w:r>
      <w:r w:rsidR="00477A00">
        <w:rPr>
          <w:rFonts w:asciiTheme="majorBidi" w:hAnsiTheme="majorBidi" w:cstheme="majorBidi"/>
        </w:rPr>
        <w:t xml:space="preserve">4) </w:t>
      </w:r>
      <w:r w:rsidR="00297D9E">
        <w:rPr>
          <w:rFonts w:asciiTheme="majorBidi" w:hAnsiTheme="majorBidi" w:cstheme="majorBidi"/>
        </w:rPr>
        <w:t>L</w:t>
      </w:r>
      <w:r w:rsidRPr="002F31E6" w:rsidR="00477A00">
        <w:rPr>
          <w:rFonts w:asciiTheme="majorBidi" w:hAnsiTheme="majorBidi" w:cstheme="majorBidi"/>
        </w:rPr>
        <w:t>ocation of autopsies: internally or externally conducted</w:t>
      </w:r>
      <w:r w:rsidR="00297D9E">
        <w:rPr>
          <w:rFonts w:asciiTheme="majorBidi" w:hAnsiTheme="majorBidi" w:cstheme="majorBidi"/>
        </w:rPr>
        <w:t>;</w:t>
      </w:r>
      <w:r w:rsidR="00A63280">
        <w:rPr>
          <w:rFonts w:asciiTheme="majorBidi" w:hAnsiTheme="majorBidi" w:cstheme="majorBidi"/>
        </w:rPr>
        <w:t xml:space="preserve"> and 5) </w:t>
      </w:r>
      <w:r w:rsidR="00297D9E">
        <w:rPr>
          <w:rFonts w:asciiTheme="majorBidi" w:hAnsiTheme="majorBidi" w:cstheme="majorBidi"/>
        </w:rPr>
        <w:t>O</w:t>
      </w:r>
      <w:r w:rsidRPr="002F31E6" w:rsidR="00A63280">
        <w:rPr>
          <w:rFonts w:asciiTheme="majorBidi" w:hAnsiTheme="majorBidi" w:cstheme="majorBidi"/>
        </w:rPr>
        <w:t>perating in a private setting (e.g., doctor’s office) vs. fully public</w:t>
      </w:r>
      <w:r w:rsidR="00477A00">
        <w:rPr>
          <w:rFonts w:asciiTheme="majorBidi" w:hAnsiTheme="majorBidi" w:cstheme="majorBidi"/>
        </w:rPr>
        <w:t xml:space="preserve">. </w:t>
      </w:r>
      <w:r w:rsidRPr="00686869" w:rsidR="002F31E6">
        <w:rPr>
          <w:rFonts w:asciiTheme="majorBidi" w:hAnsiTheme="majorBidi" w:cstheme="majorBidi"/>
          <w:b/>
          <w:bCs/>
        </w:rPr>
        <w:t>Table</w:t>
      </w:r>
      <w:r w:rsidR="009A0B10">
        <w:rPr>
          <w:rFonts w:asciiTheme="majorBidi" w:hAnsiTheme="majorBidi" w:cstheme="majorBidi"/>
          <w:b/>
          <w:bCs/>
        </w:rPr>
        <w:t>s</w:t>
      </w:r>
      <w:r w:rsidRPr="00686869" w:rsidR="002F31E6">
        <w:rPr>
          <w:rFonts w:asciiTheme="majorBidi" w:hAnsiTheme="majorBidi" w:cstheme="majorBidi"/>
          <w:b/>
          <w:bCs/>
        </w:rPr>
        <w:t xml:space="preserve"> 2</w:t>
      </w:r>
      <w:r w:rsidR="009A0B10">
        <w:rPr>
          <w:rFonts w:asciiTheme="majorBidi" w:hAnsiTheme="majorBidi" w:cstheme="majorBidi"/>
          <w:b/>
          <w:bCs/>
        </w:rPr>
        <w:t xml:space="preserve"> and 3</w:t>
      </w:r>
      <w:r w:rsidR="002F31E6">
        <w:rPr>
          <w:rFonts w:asciiTheme="majorBidi" w:hAnsiTheme="majorBidi" w:cstheme="majorBidi"/>
        </w:rPr>
        <w:t xml:space="preserve"> provide an overview of the proposed</w:t>
      </w:r>
      <w:r w:rsidR="00297D9E">
        <w:rPr>
          <w:rFonts w:asciiTheme="majorBidi" w:hAnsiTheme="majorBidi" w:cstheme="majorBidi"/>
        </w:rPr>
        <w:t xml:space="preserve"> cognitive testing</w:t>
      </w:r>
      <w:r w:rsidR="002F31E6">
        <w:rPr>
          <w:rFonts w:asciiTheme="majorBidi" w:hAnsiTheme="majorBidi" w:cstheme="majorBidi"/>
        </w:rPr>
        <w:t xml:space="preserve"> sample</w:t>
      </w:r>
      <w:r w:rsidR="009A0B10">
        <w:rPr>
          <w:rFonts w:asciiTheme="majorBidi" w:hAnsiTheme="majorBidi" w:cstheme="majorBidi"/>
        </w:rPr>
        <w:t xml:space="preserve"> for both rounds of testing</w:t>
      </w:r>
      <w:r>
        <w:rPr>
          <w:rFonts w:asciiTheme="majorBidi" w:hAnsiTheme="majorBidi" w:cstheme="majorBidi"/>
        </w:rPr>
        <w:t>.</w:t>
      </w:r>
      <w:r w:rsidRPr="00F357FA" w:rsidR="00F357FA">
        <w:rPr>
          <w:rFonts w:asciiTheme="majorBidi" w:hAnsiTheme="majorBidi" w:cstheme="majorBidi"/>
        </w:rPr>
        <w:t xml:space="preserve"> </w:t>
      </w:r>
      <w:r w:rsidR="001A2D2F">
        <w:rPr>
          <w:rFonts w:asciiTheme="majorBidi" w:hAnsiTheme="majorBidi" w:cstheme="majorBidi"/>
        </w:rPr>
        <w:t>Other characteristics, such as elected vs. appointed (</w:t>
      </w:r>
      <w:r w:rsidR="00297D9E">
        <w:rPr>
          <w:rFonts w:asciiTheme="majorBidi" w:hAnsiTheme="majorBidi" w:cstheme="majorBidi"/>
        </w:rPr>
        <w:t>c</w:t>
      </w:r>
      <w:r w:rsidR="001A2D2F">
        <w:rPr>
          <w:rFonts w:asciiTheme="majorBidi" w:hAnsiTheme="majorBidi" w:cstheme="majorBidi"/>
        </w:rPr>
        <w:t xml:space="preserve">oroners), and additional unique circumstances (e.g., non-traditional MEC, such as </w:t>
      </w:r>
      <w:r w:rsidR="00297D9E">
        <w:rPr>
          <w:rFonts w:asciiTheme="majorBidi" w:hAnsiTheme="majorBidi" w:cstheme="majorBidi"/>
        </w:rPr>
        <w:t>s</w:t>
      </w:r>
      <w:r w:rsidR="001A2D2F">
        <w:rPr>
          <w:rFonts w:asciiTheme="majorBidi" w:hAnsiTheme="majorBidi" w:cstheme="majorBidi"/>
        </w:rPr>
        <w:t>heriff coroners) w</w:t>
      </w:r>
      <w:r w:rsidR="00185738">
        <w:rPr>
          <w:rFonts w:asciiTheme="majorBidi" w:hAnsiTheme="majorBidi" w:cstheme="majorBidi"/>
        </w:rPr>
        <w:t xml:space="preserve">ill </w:t>
      </w:r>
      <w:r w:rsidR="00C514A6">
        <w:rPr>
          <w:rFonts w:asciiTheme="majorBidi" w:hAnsiTheme="majorBidi" w:cstheme="majorBidi"/>
        </w:rPr>
        <w:t xml:space="preserve">also </w:t>
      </w:r>
      <w:r w:rsidR="00185738">
        <w:rPr>
          <w:rFonts w:asciiTheme="majorBidi" w:hAnsiTheme="majorBidi" w:cstheme="majorBidi"/>
        </w:rPr>
        <w:t>be</w:t>
      </w:r>
      <w:r w:rsidR="001A2D2F">
        <w:rPr>
          <w:rFonts w:asciiTheme="majorBidi" w:hAnsiTheme="majorBidi" w:cstheme="majorBidi"/>
        </w:rPr>
        <w:t xml:space="preserve"> considered during selection. </w:t>
      </w:r>
    </w:p>
    <w:p w:rsidR="00DC530B" w:rsidP="00757550" w14:paraId="7B85F052" w14:textId="77777777">
      <w:pPr>
        <w:rPr>
          <w:rFonts w:ascii="Verdana" w:hAnsi="Verdana" w:cstheme="majorBidi"/>
          <w:b/>
          <w:bCs/>
          <w:i/>
          <w:iCs/>
          <w:sz w:val="20"/>
          <w:szCs w:val="20"/>
        </w:rPr>
      </w:pPr>
    </w:p>
    <w:p w:rsidR="00FD00C6" w:rsidRPr="00E734D0" w:rsidP="00757550" w14:paraId="44929283" w14:textId="3B4637D7">
      <w:pPr>
        <w:rPr>
          <w:rFonts w:cs="Times New Roman"/>
          <w:b/>
          <w:bCs/>
          <w:sz w:val="22"/>
          <w:szCs w:val="22"/>
        </w:rPr>
      </w:pPr>
      <w:r w:rsidRPr="00E734D0">
        <w:rPr>
          <w:rFonts w:cs="Times New Roman"/>
          <w:b/>
          <w:bCs/>
          <w:sz w:val="22"/>
          <w:szCs w:val="22"/>
        </w:rPr>
        <w:t xml:space="preserve">Table </w:t>
      </w:r>
      <w:r w:rsidRPr="00E734D0" w:rsidR="00792449">
        <w:rPr>
          <w:rFonts w:cs="Times New Roman"/>
          <w:b/>
          <w:bCs/>
          <w:sz w:val="22"/>
          <w:szCs w:val="22"/>
        </w:rPr>
        <w:t>2</w:t>
      </w:r>
      <w:r w:rsidRPr="00E734D0">
        <w:rPr>
          <w:rFonts w:cs="Times New Roman"/>
          <w:b/>
          <w:bCs/>
          <w:sz w:val="22"/>
          <w:szCs w:val="22"/>
        </w:rPr>
        <w:t xml:space="preserve">. </w:t>
      </w:r>
      <w:r w:rsidR="00077DE3">
        <w:rPr>
          <w:rFonts w:cs="Times New Roman"/>
          <w:b/>
          <w:bCs/>
          <w:sz w:val="22"/>
          <w:szCs w:val="22"/>
        </w:rPr>
        <w:t>Target Number of Interviews for Round 1</w:t>
      </w:r>
    </w:p>
    <w:tbl>
      <w:tblPr>
        <w:tblStyle w:val="RTITable"/>
        <w:tblW w:w="0" w:type="auto"/>
        <w:tblLook w:val="06A0"/>
      </w:tblPr>
      <w:tblGrid>
        <w:gridCol w:w="4500"/>
        <w:gridCol w:w="1021"/>
        <w:gridCol w:w="1169"/>
        <w:gridCol w:w="1320"/>
        <w:gridCol w:w="809"/>
      </w:tblGrid>
      <w:tr w14:paraId="63F7D457" w14:textId="77777777" w:rsidTr="00FD00C6">
        <w:tblPrEx>
          <w:tblW w:w="0" w:type="auto"/>
          <w:tblLook w:val="06A0"/>
        </w:tblPrEx>
        <w:tc>
          <w:tcPr>
            <w:tcW w:w="4500" w:type="dxa"/>
          </w:tcPr>
          <w:p w:rsidR="00FD00C6" w:rsidRPr="00E734D0" w:rsidP="004029CF" w14:paraId="1F789813" w14:textId="2A5A0347">
            <w:pPr>
              <w:pStyle w:val="table-headers"/>
              <w:jc w:val="left"/>
              <w:rPr>
                <w:rFonts w:ascii="Times New Roman" w:hAnsi="Times New Roman"/>
                <w:sz w:val="22"/>
              </w:rPr>
            </w:pPr>
            <w:r w:rsidRPr="00E734D0">
              <w:rPr>
                <w:rFonts w:ascii="Times New Roman" w:hAnsi="Times New Roman"/>
                <w:sz w:val="22"/>
              </w:rPr>
              <w:t xml:space="preserve">Attribute </w:t>
            </w:r>
          </w:p>
        </w:tc>
        <w:tc>
          <w:tcPr>
            <w:tcW w:w="1021" w:type="dxa"/>
          </w:tcPr>
          <w:p w:rsidR="00FD00C6" w:rsidRPr="00E734D0" w:rsidP="004029CF" w14:paraId="1F8F9BDE" w14:textId="35906068">
            <w:pPr>
              <w:pStyle w:val="table-headers"/>
              <w:jc w:val="left"/>
              <w:rPr>
                <w:rFonts w:ascii="Times New Roman" w:hAnsi="Times New Roman"/>
                <w:sz w:val="22"/>
              </w:rPr>
            </w:pPr>
            <w:r w:rsidRPr="00E734D0">
              <w:rPr>
                <w:rFonts w:ascii="Times New Roman" w:hAnsi="Times New Roman"/>
                <w:sz w:val="22"/>
              </w:rPr>
              <w:t>Coroner</w:t>
            </w:r>
          </w:p>
        </w:tc>
        <w:tc>
          <w:tcPr>
            <w:tcW w:w="1169" w:type="dxa"/>
          </w:tcPr>
          <w:p w:rsidR="00FD00C6" w:rsidRPr="00E734D0" w:rsidP="004029CF" w14:paraId="4B980027" w14:textId="32171777">
            <w:pPr>
              <w:pStyle w:val="table-headers"/>
              <w:jc w:val="left"/>
              <w:rPr>
                <w:rFonts w:ascii="Times New Roman" w:hAnsi="Times New Roman"/>
                <w:sz w:val="22"/>
              </w:rPr>
            </w:pPr>
            <w:r w:rsidRPr="00E734D0">
              <w:rPr>
                <w:rFonts w:ascii="Times New Roman" w:hAnsi="Times New Roman"/>
                <w:sz w:val="22"/>
              </w:rPr>
              <w:t>Medical Examiner</w:t>
            </w:r>
          </w:p>
        </w:tc>
        <w:tc>
          <w:tcPr>
            <w:tcW w:w="1320" w:type="dxa"/>
          </w:tcPr>
          <w:p w:rsidR="00FD00C6" w:rsidRPr="00E734D0" w:rsidP="004029CF" w14:paraId="25026FA2" w14:textId="18F8B0A5">
            <w:pPr>
              <w:pStyle w:val="table-headers"/>
              <w:jc w:val="left"/>
              <w:rPr>
                <w:rFonts w:ascii="Times New Roman" w:hAnsi="Times New Roman"/>
                <w:sz w:val="22"/>
              </w:rPr>
            </w:pPr>
            <w:r w:rsidRPr="00E734D0">
              <w:rPr>
                <w:rFonts w:ascii="Times New Roman" w:hAnsi="Times New Roman"/>
                <w:sz w:val="22"/>
              </w:rPr>
              <w:t>Justice of the Peace</w:t>
            </w:r>
          </w:p>
        </w:tc>
        <w:tc>
          <w:tcPr>
            <w:tcW w:w="809" w:type="dxa"/>
          </w:tcPr>
          <w:p w:rsidR="00FD00C6" w:rsidRPr="00E734D0" w:rsidP="004029CF" w14:paraId="706EC13A" w14:textId="7BD64EE3">
            <w:pPr>
              <w:pStyle w:val="table-headers"/>
              <w:jc w:val="left"/>
              <w:rPr>
                <w:rFonts w:ascii="Times New Roman" w:hAnsi="Times New Roman"/>
                <w:sz w:val="22"/>
              </w:rPr>
            </w:pPr>
            <w:r w:rsidRPr="00E734D0">
              <w:rPr>
                <w:rFonts w:ascii="Times New Roman" w:hAnsi="Times New Roman"/>
                <w:sz w:val="22"/>
              </w:rPr>
              <w:t xml:space="preserve">Total </w:t>
            </w:r>
            <w:r w:rsidRPr="00E734D0">
              <w:rPr>
                <w:rFonts w:ascii="Times New Roman" w:hAnsi="Times New Roman"/>
                <w:sz w:val="22"/>
              </w:rPr>
              <w:t xml:space="preserve">Count </w:t>
            </w:r>
          </w:p>
        </w:tc>
      </w:tr>
      <w:tr w14:paraId="3A025364" w14:textId="77777777" w:rsidTr="00FD00C6">
        <w:tblPrEx>
          <w:tblW w:w="0" w:type="auto"/>
          <w:tblLook w:val="06A0"/>
        </w:tblPrEx>
        <w:tc>
          <w:tcPr>
            <w:tcW w:w="4500" w:type="dxa"/>
          </w:tcPr>
          <w:p w:rsidR="00FD00C6" w:rsidRPr="00E734D0" w:rsidP="004029CF" w14:paraId="3599FAA1" w14:textId="671366D1">
            <w:pPr>
              <w:pStyle w:val="table-text"/>
              <w:rPr>
                <w:rFonts w:ascii="Times New Roman" w:hAnsi="Times New Roman"/>
                <w:b/>
                <w:bCs/>
                <w:sz w:val="22"/>
              </w:rPr>
            </w:pPr>
            <w:r w:rsidRPr="00E734D0">
              <w:rPr>
                <w:rFonts w:ascii="Times New Roman" w:hAnsi="Times New Roman"/>
                <w:b/>
                <w:bCs/>
                <w:sz w:val="22"/>
              </w:rPr>
              <w:t>Jurisdiction Type</w:t>
            </w:r>
          </w:p>
        </w:tc>
        <w:tc>
          <w:tcPr>
            <w:tcW w:w="1021" w:type="dxa"/>
          </w:tcPr>
          <w:p w:rsidR="00FD00C6" w:rsidRPr="00E734D0" w:rsidP="004029CF" w14:paraId="411D58C7" w14:textId="77777777">
            <w:pPr>
              <w:pStyle w:val="table-text"/>
              <w:jc w:val="center"/>
              <w:rPr>
                <w:rFonts w:ascii="Times New Roman" w:hAnsi="Times New Roman"/>
                <w:sz w:val="22"/>
              </w:rPr>
            </w:pPr>
          </w:p>
        </w:tc>
        <w:tc>
          <w:tcPr>
            <w:tcW w:w="1169" w:type="dxa"/>
          </w:tcPr>
          <w:p w:rsidR="00FD00C6" w:rsidRPr="00E734D0" w:rsidP="004029CF" w14:paraId="49FAA421" w14:textId="77777777">
            <w:pPr>
              <w:pStyle w:val="table-text"/>
              <w:jc w:val="center"/>
              <w:rPr>
                <w:rFonts w:ascii="Times New Roman" w:hAnsi="Times New Roman"/>
                <w:sz w:val="22"/>
              </w:rPr>
            </w:pPr>
          </w:p>
        </w:tc>
        <w:tc>
          <w:tcPr>
            <w:tcW w:w="1320" w:type="dxa"/>
          </w:tcPr>
          <w:p w:rsidR="00FD00C6" w:rsidRPr="00E734D0" w:rsidP="004029CF" w14:paraId="2185F56C" w14:textId="77777777">
            <w:pPr>
              <w:pStyle w:val="table-text"/>
              <w:jc w:val="center"/>
              <w:rPr>
                <w:rFonts w:ascii="Times New Roman" w:hAnsi="Times New Roman"/>
                <w:sz w:val="22"/>
              </w:rPr>
            </w:pPr>
          </w:p>
        </w:tc>
        <w:tc>
          <w:tcPr>
            <w:tcW w:w="809" w:type="dxa"/>
          </w:tcPr>
          <w:p w:rsidR="00FD00C6" w:rsidRPr="00E734D0" w:rsidP="004029CF" w14:paraId="6F30B0FA" w14:textId="69815425">
            <w:pPr>
              <w:pStyle w:val="table-text"/>
              <w:jc w:val="center"/>
              <w:rPr>
                <w:rFonts w:ascii="Times New Roman" w:hAnsi="Times New Roman"/>
                <w:sz w:val="22"/>
              </w:rPr>
            </w:pPr>
          </w:p>
        </w:tc>
      </w:tr>
      <w:tr w14:paraId="18D4437C" w14:textId="77777777" w:rsidTr="00FD00C6">
        <w:tblPrEx>
          <w:tblW w:w="0" w:type="auto"/>
          <w:tblLook w:val="06A0"/>
        </w:tblPrEx>
        <w:tc>
          <w:tcPr>
            <w:tcW w:w="4500" w:type="dxa"/>
          </w:tcPr>
          <w:p w:rsidR="00FD00C6" w:rsidRPr="00E734D0" w:rsidP="004029CF" w14:paraId="064604D0" w14:textId="751108E4">
            <w:pPr>
              <w:pStyle w:val="table-text"/>
              <w:ind w:left="288"/>
              <w:rPr>
                <w:rFonts w:ascii="Times New Roman" w:hAnsi="Times New Roman"/>
                <w:i/>
                <w:iCs/>
                <w:sz w:val="22"/>
              </w:rPr>
            </w:pPr>
            <w:r w:rsidRPr="00E734D0">
              <w:rPr>
                <w:rFonts w:ascii="Times New Roman" w:hAnsi="Times New Roman"/>
                <w:i/>
                <w:iCs/>
                <w:sz w:val="22"/>
              </w:rPr>
              <w:t xml:space="preserve">District/County </w:t>
            </w:r>
          </w:p>
        </w:tc>
        <w:tc>
          <w:tcPr>
            <w:tcW w:w="1021" w:type="dxa"/>
          </w:tcPr>
          <w:p w:rsidR="00FD00C6" w:rsidRPr="00E734D0" w:rsidP="004029CF" w14:paraId="41AC378F" w14:textId="1F31CB71">
            <w:pPr>
              <w:pStyle w:val="table-text"/>
              <w:jc w:val="center"/>
              <w:rPr>
                <w:rFonts w:ascii="Times New Roman" w:hAnsi="Times New Roman"/>
                <w:sz w:val="22"/>
              </w:rPr>
            </w:pPr>
            <w:r>
              <w:rPr>
                <w:rFonts w:ascii="Times New Roman" w:hAnsi="Times New Roman"/>
                <w:sz w:val="22"/>
              </w:rPr>
              <w:t>6</w:t>
            </w:r>
          </w:p>
        </w:tc>
        <w:tc>
          <w:tcPr>
            <w:tcW w:w="1169" w:type="dxa"/>
          </w:tcPr>
          <w:p w:rsidR="00FD00C6" w:rsidRPr="00E734D0" w:rsidP="004029CF" w14:paraId="14309C55" w14:textId="0DC609C2">
            <w:pPr>
              <w:pStyle w:val="table-text"/>
              <w:jc w:val="center"/>
              <w:rPr>
                <w:rFonts w:ascii="Times New Roman" w:hAnsi="Times New Roman"/>
                <w:sz w:val="22"/>
              </w:rPr>
            </w:pPr>
            <w:r>
              <w:rPr>
                <w:rFonts w:ascii="Times New Roman" w:hAnsi="Times New Roman"/>
                <w:sz w:val="22"/>
              </w:rPr>
              <w:t>4</w:t>
            </w:r>
          </w:p>
        </w:tc>
        <w:tc>
          <w:tcPr>
            <w:tcW w:w="1320" w:type="dxa"/>
          </w:tcPr>
          <w:p w:rsidR="00FD00C6" w:rsidRPr="00E734D0" w:rsidP="004029CF" w14:paraId="4279E0B1" w14:textId="3D63BF11">
            <w:pPr>
              <w:pStyle w:val="table-text"/>
              <w:jc w:val="center"/>
              <w:rPr>
                <w:rFonts w:ascii="Times New Roman" w:hAnsi="Times New Roman"/>
                <w:sz w:val="22"/>
              </w:rPr>
            </w:pPr>
            <w:r>
              <w:rPr>
                <w:rFonts w:ascii="Times New Roman" w:hAnsi="Times New Roman"/>
                <w:sz w:val="22"/>
              </w:rPr>
              <w:t>5</w:t>
            </w:r>
          </w:p>
        </w:tc>
        <w:tc>
          <w:tcPr>
            <w:tcW w:w="809" w:type="dxa"/>
          </w:tcPr>
          <w:p w:rsidR="00FD00C6" w:rsidRPr="00E734D0" w:rsidP="004029CF" w14:paraId="47335F1A" w14:textId="7B6C801D">
            <w:pPr>
              <w:pStyle w:val="table-text"/>
              <w:jc w:val="center"/>
              <w:rPr>
                <w:rFonts w:ascii="Times New Roman" w:hAnsi="Times New Roman"/>
                <w:sz w:val="22"/>
              </w:rPr>
            </w:pPr>
            <w:r>
              <w:rPr>
                <w:rFonts w:ascii="Times New Roman" w:hAnsi="Times New Roman"/>
                <w:sz w:val="22"/>
              </w:rPr>
              <w:t>15</w:t>
            </w:r>
          </w:p>
        </w:tc>
      </w:tr>
      <w:tr w14:paraId="690B9245" w14:textId="77777777" w:rsidTr="00FD00C6">
        <w:tblPrEx>
          <w:tblW w:w="0" w:type="auto"/>
          <w:tblLook w:val="06A0"/>
        </w:tblPrEx>
        <w:tc>
          <w:tcPr>
            <w:tcW w:w="4500" w:type="dxa"/>
          </w:tcPr>
          <w:p w:rsidR="00FD00C6" w:rsidRPr="00E734D0" w:rsidP="004029CF" w14:paraId="222DBA20" w14:textId="16AA072A">
            <w:pPr>
              <w:pStyle w:val="table-text"/>
              <w:ind w:left="288"/>
              <w:rPr>
                <w:rFonts w:ascii="Times New Roman" w:hAnsi="Times New Roman"/>
                <w:i/>
                <w:iCs/>
                <w:sz w:val="22"/>
              </w:rPr>
            </w:pPr>
            <w:r w:rsidRPr="00E734D0">
              <w:rPr>
                <w:rFonts w:ascii="Times New Roman" w:hAnsi="Times New Roman"/>
                <w:i/>
                <w:iCs/>
                <w:sz w:val="22"/>
              </w:rPr>
              <w:t xml:space="preserve">Regional/State </w:t>
            </w:r>
          </w:p>
        </w:tc>
        <w:tc>
          <w:tcPr>
            <w:tcW w:w="1021" w:type="dxa"/>
          </w:tcPr>
          <w:p w:rsidR="00FD00C6" w:rsidRPr="00E734D0" w:rsidP="004029CF" w14:paraId="48C7AA67" w14:textId="318A13A3">
            <w:pPr>
              <w:pStyle w:val="table-text"/>
              <w:jc w:val="center"/>
              <w:rPr>
                <w:rFonts w:ascii="Times New Roman" w:hAnsi="Times New Roman"/>
                <w:sz w:val="22"/>
              </w:rPr>
            </w:pPr>
            <w:r w:rsidRPr="00E734D0">
              <w:rPr>
                <w:rFonts w:ascii="Times New Roman" w:hAnsi="Times New Roman"/>
                <w:sz w:val="22"/>
              </w:rPr>
              <w:t>0</w:t>
            </w:r>
          </w:p>
        </w:tc>
        <w:tc>
          <w:tcPr>
            <w:tcW w:w="1169" w:type="dxa"/>
          </w:tcPr>
          <w:p w:rsidR="00FD00C6" w:rsidRPr="00E734D0" w:rsidP="004029CF" w14:paraId="5EC6D8C4" w14:textId="69B25951">
            <w:pPr>
              <w:pStyle w:val="table-text"/>
              <w:jc w:val="center"/>
              <w:rPr>
                <w:rFonts w:ascii="Times New Roman" w:hAnsi="Times New Roman"/>
                <w:sz w:val="22"/>
              </w:rPr>
            </w:pPr>
            <w:r>
              <w:rPr>
                <w:rFonts w:ascii="Times New Roman" w:hAnsi="Times New Roman"/>
                <w:sz w:val="22"/>
              </w:rPr>
              <w:t>2</w:t>
            </w:r>
          </w:p>
        </w:tc>
        <w:tc>
          <w:tcPr>
            <w:tcW w:w="1320" w:type="dxa"/>
          </w:tcPr>
          <w:p w:rsidR="00FD00C6" w:rsidRPr="00E734D0" w:rsidP="004029CF" w14:paraId="1E4C0442" w14:textId="4326BDEB">
            <w:pPr>
              <w:pStyle w:val="table-text"/>
              <w:jc w:val="center"/>
              <w:rPr>
                <w:rFonts w:ascii="Times New Roman" w:hAnsi="Times New Roman"/>
                <w:sz w:val="22"/>
              </w:rPr>
            </w:pPr>
            <w:r w:rsidRPr="00E734D0">
              <w:rPr>
                <w:rFonts w:ascii="Times New Roman" w:hAnsi="Times New Roman"/>
                <w:sz w:val="22"/>
              </w:rPr>
              <w:t>0</w:t>
            </w:r>
          </w:p>
        </w:tc>
        <w:tc>
          <w:tcPr>
            <w:tcW w:w="809" w:type="dxa"/>
          </w:tcPr>
          <w:p w:rsidR="00FD00C6" w:rsidRPr="00E734D0" w:rsidP="004029CF" w14:paraId="4F4A1B71" w14:textId="04DACC22">
            <w:pPr>
              <w:pStyle w:val="table-text"/>
              <w:jc w:val="center"/>
              <w:rPr>
                <w:rFonts w:ascii="Times New Roman" w:hAnsi="Times New Roman"/>
                <w:sz w:val="22"/>
              </w:rPr>
            </w:pPr>
            <w:r>
              <w:rPr>
                <w:rFonts w:ascii="Times New Roman" w:hAnsi="Times New Roman"/>
                <w:sz w:val="22"/>
              </w:rPr>
              <w:t>2</w:t>
            </w:r>
          </w:p>
        </w:tc>
      </w:tr>
      <w:tr w14:paraId="6A567255" w14:textId="77777777" w:rsidTr="00FD00C6">
        <w:tblPrEx>
          <w:tblW w:w="0" w:type="auto"/>
          <w:tblLook w:val="06A0"/>
        </w:tblPrEx>
        <w:tc>
          <w:tcPr>
            <w:tcW w:w="4500" w:type="dxa"/>
          </w:tcPr>
          <w:p w:rsidR="00FD00C6" w:rsidRPr="00E734D0" w:rsidP="004029CF" w14:paraId="6A4EB2E7" w14:textId="1EB216AB">
            <w:pPr>
              <w:pStyle w:val="table-text"/>
              <w:rPr>
                <w:rFonts w:ascii="Times New Roman" w:hAnsi="Times New Roman"/>
                <w:b/>
                <w:bCs/>
                <w:sz w:val="22"/>
              </w:rPr>
            </w:pPr>
            <w:r w:rsidRPr="00E734D0">
              <w:rPr>
                <w:rFonts w:ascii="Times New Roman" w:hAnsi="Times New Roman"/>
                <w:b/>
                <w:bCs/>
                <w:sz w:val="22"/>
              </w:rPr>
              <w:t xml:space="preserve">Privatized Component </w:t>
            </w:r>
          </w:p>
        </w:tc>
        <w:tc>
          <w:tcPr>
            <w:tcW w:w="1021" w:type="dxa"/>
          </w:tcPr>
          <w:p w:rsidR="00FD00C6" w:rsidRPr="00E734D0" w:rsidP="004029CF" w14:paraId="0AB8F1CF" w14:textId="77777777">
            <w:pPr>
              <w:pStyle w:val="table-text"/>
              <w:jc w:val="center"/>
              <w:rPr>
                <w:rFonts w:ascii="Times New Roman" w:hAnsi="Times New Roman"/>
                <w:sz w:val="22"/>
              </w:rPr>
            </w:pPr>
          </w:p>
        </w:tc>
        <w:tc>
          <w:tcPr>
            <w:tcW w:w="1169" w:type="dxa"/>
          </w:tcPr>
          <w:p w:rsidR="00FD00C6" w:rsidRPr="00E734D0" w:rsidP="004029CF" w14:paraId="2204B009" w14:textId="77777777">
            <w:pPr>
              <w:pStyle w:val="table-text"/>
              <w:jc w:val="center"/>
              <w:rPr>
                <w:rFonts w:ascii="Times New Roman" w:hAnsi="Times New Roman"/>
                <w:sz w:val="22"/>
              </w:rPr>
            </w:pPr>
          </w:p>
        </w:tc>
        <w:tc>
          <w:tcPr>
            <w:tcW w:w="1320" w:type="dxa"/>
          </w:tcPr>
          <w:p w:rsidR="00FD00C6" w:rsidRPr="00E734D0" w:rsidP="004029CF" w14:paraId="34FAE94D" w14:textId="77777777">
            <w:pPr>
              <w:pStyle w:val="table-text"/>
              <w:jc w:val="center"/>
              <w:rPr>
                <w:rFonts w:ascii="Times New Roman" w:hAnsi="Times New Roman"/>
                <w:sz w:val="22"/>
              </w:rPr>
            </w:pPr>
          </w:p>
        </w:tc>
        <w:tc>
          <w:tcPr>
            <w:tcW w:w="809" w:type="dxa"/>
          </w:tcPr>
          <w:p w:rsidR="00FD00C6" w:rsidRPr="00E734D0" w:rsidP="004029CF" w14:paraId="68323CE1" w14:textId="654C2381">
            <w:pPr>
              <w:pStyle w:val="table-text"/>
              <w:jc w:val="center"/>
              <w:rPr>
                <w:rFonts w:ascii="Times New Roman" w:hAnsi="Times New Roman"/>
                <w:sz w:val="22"/>
              </w:rPr>
            </w:pPr>
          </w:p>
        </w:tc>
      </w:tr>
      <w:tr w14:paraId="058777A9" w14:textId="77777777" w:rsidTr="00FD00C6">
        <w:tblPrEx>
          <w:tblW w:w="0" w:type="auto"/>
          <w:tblLook w:val="06A0"/>
        </w:tblPrEx>
        <w:tc>
          <w:tcPr>
            <w:tcW w:w="4500" w:type="dxa"/>
          </w:tcPr>
          <w:p w:rsidR="00FD00C6" w:rsidRPr="00E734D0" w:rsidP="004029CF" w14:paraId="116D049E" w14:textId="148AF2BC">
            <w:pPr>
              <w:pStyle w:val="table-text"/>
              <w:ind w:left="288"/>
              <w:rPr>
                <w:rFonts w:ascii="Times New Roman" w:hAnsi="Times New Roman"/>
                <w:i/>
                <w:iCs/>
                <w:sz w:val="22"/>
              </w:rPr>
            </w:pPr>
            <w:r w:rsidRPr="00E734D0">
              <w:rPr>
                <w:rFonts w:ascii="Times New Roman" w:hAnsi="Times New Roman"/>
                <w:i/>
                <w:iCs/>
                <w:sz w:val="22"/>
              </w:rPr>
              <w:t>Yes</w:t>
            </w:r>
          </w:p>
        </w:tc>
        <w:tc>
          <w:tcPr>
            <w:tcW w:w="1021" w:type="dxa"/>
          </w:tcPr>
          <w:p w:rsidR="00FD00C6" w:rsidRPr="00E734D0" w:rsidP="004029CF" w14:paraId="3952E85A" w14:textId="3CC80617">
            <w:pPr>
              <w:pStyle w:val="table-text"/>
              <w:jc w:val="center"/>
              <w:rPr>
                <w:rFonts w:ascii="Times New Roman" w:hAnsi="Times New Roman"/>
                <w:sz w:val="22"/>
              </w:rPr>
            </w:pPr>
            <w:r w:rsidRPr="00E734D0">
              <w:rPr>
                <w:rFonts w:ascii="Times New Roman" w:hAnsi="Times New Roman"/>
                <w:sz w:val="22"/>
              </w:rPr>
              <w:t>0</w:t>
            </w:r>
          </w:p>
        </w:tc>
        <w:tc>
          <w:tcPr>
            <w:tcW w:w="1169" w:type="dxa"/>
          </w:tcPr>
          <w:p w:rsidR="00FD00C6" w:rsidRPr="00E734D0" w:rsidP="004029CF" w14:paraId="0233CB58" w14:textId="0190770A">
            <w:pPr>
              <w:pStyle w:val="table-text"/>
              <w:jc w:val="center"/>
              <w:rPr>
                <w:rFonts w:ascii="Times New Roman" w:hAnsi="Times New Roman"/>
                <w:sz w:val="22"/>
              </w:rPr>
            </w:pPr>
            <w:r>
              <w:rPr>
                <w:rFonts w:ascii="Times New Roman" w:hAnsi="Times New Roman"/>
                <w:sz w:val="22"/>
              </w:rPr>
              <w:t>1</w:t>
            </w:r>
          </w:p>
        </w:tc>
        <w:tc>
          <w:tcPr>
            <w:tcW w:w="1320" w:type="dxa"/>
          </w:tcPr>
          <w:p w:rsidR="00FD00C6" w:rsidRPr="00E734D0" w:rsidP="004029CF" w14:paraId="3CE8A5F4" w14:textId="4938846B">
            <w:pPr>
              <w:pStyle w:val="table-text"/>
              <w:jc w:val="center"/>
              <w:rPr>
                <w:rFonts w:ascii="Times New Roman" w:hAnsi="Times New Roman"/>
                <w:sz w:val="22"/>
              </w:rPr>
            </w:pPr>
            <w:r w:rsidRPr="00E734D0">
              <w:rPr>
                <w:rFonts w:ascii="Times New Roman" w:hAnsi="Times New Roman"/>
                <w:sz w:val="22"/>
              </w:rPr>
              <w:t>0</w:t>
            </w:r>
          </w:p>
        </w:tc>
        <w:tc>
          <w:tcPr>
            <w:tcW w:w="809" w:type="dxa"/>
          </w:tcPr>
          <w:p w:rsidR="00FD00C6" w:rsidRPr="00E734D0" w:rsidP="004029CF" w14:paraId="1E56DDCB" w14:textId="59E49788">
            <w:pPr>
              <w:pStyle w:val="table-text"/>
              <w:jc w:val="center"/>
              <w:rPr>
                <w:rFonts w:ascii="Times New Roman" w:hAnsi="Times New Roman"/>
                <w:sz w:val="22"/>
              </w:rPr>
            </w:pPr>
            <w:r>
              <w:rPr>
                <w:rFonts w:ascii="Times New Roman" w:hAnsi="Times New Roman"/>
                <w:sz w:val="22"/>
              </w:rPr>
              <w:t>1</w:t>
            </w:r>
          </w:p>
        </w:tc>
      </w:tr>
      <w:tr w14:paraId="75A2567B" w14:textId="77777777" w:rsidTr="00FD00C6">
        <w:tblPrEx>
          <w:tblW w:w="0" w:type="auto"/>
          <w:tblLook w:val="06A0"/>
        </w:tblPrEx>
        <w:tc>
          <w:tcPr>
            <w:tcW w:w="4500" w:type="dxa"/>
          </w:tcPr>
          <w:p w:rsidR="00FD00C6" w:rsidRPr="00E734D0" w:rsidP="004029CF" w14:paraId="390649BD" w14:textId="155304D4">
            <w:pPr>
              <w:pStyle w:val="table-text"/>
              <w:ind w:left="288"/>
              <w:rPr>
                <w:rFonts w:ascii="Times New Roman" w:hAnsi="Times New Roman"/>
                <w:i/>
                <w:iCs/>
                <w:sz w:val="22"/>
              </w:rPr>
            </w:pPr>
            <w:r w:rsidRPr="00E734D0">
              <w:rPr>
                <w:rFonts w:ascii="Times New Roman" w:hAnsi="Times New Roman"/>
                <w:i/>
                <w:iCs/>
                <w:sz w:val="22"/>
              </w:rPr>
              <w:t xml:space="preserve">Partial (as MD) </w:t>
            </w:r>
          </w:p>
        </w:tc>
        <w:tc>
          <w:tcPr>
            <w:tcW w:w="1021" w:type="dxa"/>
          </w:tcPr>
          <w:p w:rsidR="00FD00C6" w:rsidRPr="00E734D0" w:rsidP="004029CF" w14:paraId="29A358CA" w14:textId="344FB8D9">
            <w:pPr>
              <w:pStyle w:val="table-text"/>
              <w:jc w:val="center"/>
              <w:rPr>
                <w:rFonts w:ascii="Times New Roman" w:hAnsi="Times New Roman"/>
                <w:sz w:val="22"/>
              </w:rPr>
            </w:pPr>
            <w:r w:rsidRPr="00E734D0">
              <w:rPr>
                <w:rFonts w:ascii="Times New Roman" w:hAnsi="Times New Roman"/>
                <w:sz w:val="22"/>
              </w:rPr>
              <w:t>0</w:t>
            </w:r>
          </w:p>
        </w:tc>
        <w:tc>
          <w:tcPr>
            <w:tcW w:w="1169" w:type="dxa"/>
          </w:tcPr>
          <w:p w:rsidR="00FD00C6" w:rsidRPr="00E734D0" w:rsidP="004029CF" w14:paraId="39504F1D" w14:textId="373C0C86">
            <w:pPr>
              <w:pStyle w:val="table-text"/>
              <w:jc w:val="center"/>
              <w:rPr>
                <w:rFonts w:ascii="Times New Roman" w:hAnsi="Times New Roman"/>
                <w:sz w:val="22"/>
              </w:rPr>
            </w:pPr>
            <w:r>
              <w:rPr>
                <w:rFonts w:ascii="Times New Roman" w:hAnsi="Times New Roman"/>
                <w:sz w:val="22"/>
              </w:rPr>
              <w:t>2</w:t>
            </w:r>
          </w:p>
        </w:tc>
        <w:tc>
          <w:tcPr>
            <w:tcW w:w="1320" w:type="dxa"/>
          </w:tcPr>
          <w:p w:rsidR="00FD00C6" w:rsidRPr="00E734D0" w:rsidP="004029CF" w14:paraId="023DA45E" w14:textId="08FA8DF3">
            <w:pPr>
              <w:pStyle w:val="table-text"/>
              <w:jc w:val="center"/>
              <w:rPr>
                <w:rFonts w:ascii="Times New Roman" w:hAnsi="Times New Roman"/>
                <w:sz w:val="22"/>
              </w:rPr>
            </w:pPr>
            <w:r w:rsidRPr="00E734D0">
              <w:rPr>
                <w:rFonts w:ascii="Times New Roman" w:hAnsi="Times New Roman"/>
                <w:sz w:val="22"/>
              </w:rPr>
              <w:t>0</w:t>
            </w:r>
          </w:p>
        </w:tc>
        <w:tc>
          <w:tcPr>
            <w:tcW w:w="809" w:type="dxa"/>
          </w:tcPr>
          <w:p w:rsidR="00FD00C6" w:rsidRPr="00E734D0" w:rsidP="004029CF" w14:paraId="4147AC1B" w14:textId="691EFB2E">
            <w:pPr>
              <w:pStyle w:val="table-text"/>
              <w:jc w:val="center"/>
              <w:rPr>
                <w:rFonts w:ascii="Times New Roman" w:hAnsi="Times New Roman"/>
                <w:sz w:val="22"/>
              </w:rPr>
            </w:pPr>
            <w:r>
              <w:rPr>
                <w:rFonts w:ascii="Times New Roman" w:hAnsi="Times New Roman"/>
                <w:sz w:val="22"/>
              </w:rPr>
              <w:t>2</w:t>
            </w:r>
          </w:p>
        </w:tc>
      </w:tr>
      <w:tr w14:paraId="2456D004" w14:textId="77777777" w:rsidTr="00FD00C6">
        <w:tblPrEx>
          <w:tblW w:w="0" w:type="auto"/>
          <w:tblLook w:val="06A0"/>
        </w:tblPrEx>
        <w:tc>
          <w:tcPr>
            <w:tcW w:w="4500" w:type="dxa"/>
          </w:tcPr>
          <w:p w:rsidR="00A82293" w:rsidRPr="00E734D0" w:rsidP="004029CF" w14:paraId="6279F969" w14:textId="63C61857">
            <w:pPr>
              <w:pStyle w:val="table-text"/>
              <w:ind w:left="288"/>
              <w:rPr>
                <w:rFonts w:ascii="Times New Roman" w:hAnsi="Times New Roman"/>
                <w:i/>
                <w:iCs/>
                <w:sz w:val="22"/>
              </w:rPr>
            </w:pPr>
            <w:r w:rsidRPr="00E734D0">
              <w:rPr>
                <w:rFonts w:ascii="Times New Roman" w:hAnsi="Times New Roman"/>
                <w:i/>
                <w:iCs/>
                <w:sz w:val="22"/>
              </w:rPr>
              <w:t>No</w:t>
            </w:r>
          </w:p>
        </w:tc>
        <w:tc>
          <w:tcPr>
            <w:tcW w:w="1021" w:type="dxa"/>
          </w:tcPr>
          <w:p w:rsidR="00A82293" w:rsidRPr="00E734D0" w:rsidP="004029CF" w14:paraId="7C6219BE" w14:textId="232E0A8A">
            <w:pPr>
              <w:pStyle w:val="table-text"/>
              <w:jc w:val="center"/>
              <w:rPr>
                <w:rFonts w:ascii="Times New Roman" w:hAnsi="Times New Roman"/>
                <w:sz w:val="22"/>
              </w:rPr>
            </w:pPr>
            <w:r>
              <w:rPr>
                <w:rFonts w:ascii="Times New Roman" w:hAnsi="Times New Roman"/>
                <w:sz w:val="22"/>
              </w:rPr>
              <w:t>6</w:t>
            </w:r>
          </w:p>
        </w:tc>
        <w:tc>
          <w:tcPr>
            <w:tcW w:w="1169" w:type="dxa"/>
          </w:tcPr>
          <w:p w:rsidR="00A82293" w:rsidRPr="00E734D0" w:rsidP="004029CF" w14:paraId="5A827DBD" w14:textId="01B5C326">
            <w:pPr>
              <w:pStyle w:val="table-text"/>
              <w:jc w:val="center"/>
              <w:rPr>
                <w:rFonts w:ascii="Times New Roman" w:hAnsi="Times New Roman"/>
                <w:sz w:val="22"/>
              </w:rPr>
            </w:pPr>
            <w:r>
              <w:rPr>
                <w:rFonts w:ascii="Times New Roman" w:hAnsi="Times New Roman"/>
                <w:sz w:val="22"/>
              </w:rPr>
              <w:t>3</w:t>
            </w:r>
          </w:p>
        </w:tc>
        <w:tc>
          <w:tcPr>
            <w:tcW w:w="1320" w:type="dxa"/>
          </w:tcPr>
          <w:p w:rsidR="00A82293" w:rsidRPr="00E734D0" w:rsidP="004029CF" w14:paraId="5B1EB544" w14:textId="2F214279">
            <w:pPr>
              <w:pStyle w:val="table-text"/>
              <w:jc w:val="center"/>
              <w:rPr>
                <w:rFonts w:ascii="Times New Roman" w:hAnsi="Times New Roman"/>
                <w:sz w:val="22"/>
              </w:rPr>
            </w:pPr>
            <w:r>
              <w:rPr>
                <w:rFonts w:ascii="Times New Roman" w:hAnsi="Times New Roman"/>
                <w:sz w:val="22"/>
              </w:rPr>
              <w:t>5</w:t>
            </w:r>
          </w:p>
        </w:tc>
        <w:tc>
          <w:tcPr>
            <w:tcW w:w="809" w:type="dxa"/>
          </w:tcPr>
          <w:p w:rsidR="00A82293" w:rsidRPr="00E734D0" w:rsidP="004029CF" w14:paraId="441CEA56" w14:textId="49C2F2C5">
            <w:pPr>
              <w:pStyle w:val="table-text"/>
              <w:jc w:val="center"/>
              <w:rPr>
                <w:rFonts w:ascii="Times New Roman" w:hAnsi="Times New Roman"/>
                <w:sz w:val="22"/>
              </w:rPr>
            </w:pPr>
            <w:r>
              <w:rPr>
                <w:rFonts w:ascii="Times New Roman" w:hAnsi="Times New Roman"/>
                <w:sz w:val="22"/>
              </w:rPr>
              <w:t>14</w:t>
            </w:r>
          </w:p>
        </w:tc>
      </w:tr>
      <w:tr w14:paraId="569077EB" w14:textId="77777777" w:rsidTr="00FD00C6">
        <w:tblPrEx>
          <w:tblW w:w="0" w:type="auto"/>
          <w:tblLook w:val="06A0"/>
        </w:tblPrEx>
        <w:tc>
          <w:tcPr>
            <w:tcW w:w="4500" w:type="dxa"/>
          </w:tcPr>
          <w:p w:rsidR="00FD00C6" w:rsidRPr="00E734D0" w:rsidP="00FD00C6" w14:paraId="4F938903" w14:textId="7346B92D">
            <w:pPr>
              <w:pStyle w:val="table-text"/>
              <w:rPr>
                <w:rFonts w:ascii="Times New Roman" w:hAnsi="Times New Roman"/>
                <w:b/>
                <w:bCs/>
                <w:sz w:val="22"/>
              </w:rPr>
            </w:pPr>
            <w:r w:rsidRPr="00E734D0">
              <w:rPr>
                <w:rFonts w:ascii="Times New Roman" w:hAnsi="Times New Roman"/>
                <w:b/>
                <w:bCs/>
                <w:sz w:val="22"/>
              </w:rPr>
              <w:t xml:space="preserve">Autopsy Location </w:t>
            </w:r>
          </w:p>
        </w:tc>
        <w:tc>
          <w:tcPr>
            <w:tcW w:w="1021" w:type="dxa"/>
          </w:tcPr>
          <w:p w:rsidR="00FD00C6" w:rsidRPr="00E734D0" w:rsidP="00FD00C6" w14:paraId="69FC2290" w14:textId="77777777">
            <w:pPr>
              <w:pStyle w:val="table-text"/>
              <w:jc w:val="center"/>
              <w:rPr>
                <w:rFonts w:ascii="Times New Roman" w:hAnsi="Times New Roman"/>
                <w:sz w:val="22"/>
              </w:rPr>
            </w:pPr>
          </w:p>
        </w:tc>
        <w:tc>
          <w:tcPr>
            <w:tcW w:w="1169" w:type="dxa"/>
          </w:tcPr>
          <w:p w:rsidR="00FD00C6" w:rsidRPr="00E734D0" w:rsidP="00FD00C6" w14:paraId="08C6CC6D" w14:textId="77777777">
            <w:pPr>
              <w:pStyle w:val="table-text"/>
              <w:jc w:val="center"/>
              <w:rPr>
                <w:rFonts w:ascii="Times New Roman" w:hAnsi="Times New Roman"/>
                <w:sz w:val="22"/>
              </w:rPr>
            </w:pPr>
          </w:p>
        </w:tc>
        <w:tc>
          <w:tcPr>
            <w:tcW w:w="1320" w:type="dxa"/>
          </w:tcPr>
          <w:p w:rsidR="00FD00C6" w:rsidRPr="00E734D0" w:rsidP="00FD00C6" w14:paraId="4D9D2A78" w14:textId="77777777">
            <w:pPr>
              <w:pStyle w:val="table-text"/>
              <w:jc w:val="center"/>
              <w:rPr>
                <w:rFonts w:ascii="Times New Roman" w:hAnsi="Times New Roman"/>
                <w:sz w:val="22"/>
              </w:rPr>
            </w:pPr>
          </w:p>
        </w:tc>
        <w:tc>
          <w:tcPr>
            <w:tcW w:w="809" w:type="dxa"/>
          </w:tcPr>
          <w:p w:rsidR="00FD00C6" w:rsidRPr="00E734D0" w:rsidP="00FD00C6" w14:paraId="21731244" w14:textId="77777777">
            <w:pPr>
              <w:pStyle w:val="table-text"/>
              <w:jc w:val="center"/>
              <w:rPr>
                <w:rFonts w:ascii="Times New Roman" w:hAnsi="Times New Roman"/>
                <w:sz w:val="22"/>
              </w:rPr>
            </w:pPr>
          </w:p>
        </w:tc>
      </w:tr>
      <w:tr w14:paraId="632F2605" w14:textId="77777777" w:rsidTr="00FD00C6">
        <w:tblPrEx>
          <w:tblW w:w="0" w:type="auto"/>
          <w:tblLook w:val="06A0"/>
        </w:tblPrEx>
        <w:tc>
          <w:tcPr>
            <w:tcW w:w="4500" w:type="dxa"/>
          </w:tcPr>
          <w:p w:rsidR="00FD00C6" w:rsidRPr="00E734D0" w:rsidP="00FD00C6" w14:paraId="7F555B91" w14:textId="660A1608">
            <w:pPr>
              <w:pStyle w:val="table-text"/>
              <w:ind w:left="288"/>
              <w:rPr>
                <w:rFonts w:ascii="Times New Roman" w:hAnsi="Times New Roman"/>
                <w:i/>
                <w:iCs/>
                <w:sz w:val="22"/>
              </w:rPr>
            </w:pPr>
            <w:r w:rsidRPr="00E734D0">
              <w:rPr>
                <w:rFonts w:ascii="Times New Roman" w:hAnsi="Times New Roman"/>
                <w:i/>
                <w:iCs/>
                <w:sz w:val="22"/>
              </w:rPr>
              <w:t xml:space="preserve">Internal </w:t>
            </w:r>
          </w:p>
        </w:tc>
        <w:tc>
          <w:tcPr>
            <w:tcW w:w="1021" w:type="dxa"/>
          </w:tcPr>
          <w:p w:rsidR="00FD00C6" w:rsidRPr="00E734D0" w:rsidP="00FD00C6" w14:paraId="08A6CAC8" w14:textId="2AB6510A">
            <w:pPr>
              <w:pStyle w:val="table-text"/>
              <w:jc w:val="center"/>
              <w:rPr>
                <w:rFonts w:ascii="Times New Roman" w:hAnsi="Times New Roman"/>
                <w:sz w:val="22"/>
              </w:rPr>
            </w:pPr>
            <w:r>
              <w:rPr>
                <w:rFonts w:ascii="Times New Roman" w:hAnsi="Times New Roman"/>
                <w:sz w:val="22"/>
              </w:rPr>
              <w:t>2</w:t>
            </w:r>
          </w:p>
        </w:tc>
        <w:tc>
          <w:tcPr>
            <w:tcW w:w="1169" w:type="dxa"/>
          </w:tcPr>
          <w:p w:rsidR="00FD00C6" w:rsidRPr="00E734D0" w:rsidP="00FD00C6" w14:paraId="01BE0CF0" w14:textId="545DD425">
            <w:pPr>
              <w:pStyle w:val="table-text"/>
              <w:jc w:val="center"/>
              <w:rPr>
                <w:rFonts w:ascii="Times New Roman" w:hAnsi="Times New Roman"/>
                <w:sz w:val="22"/>
              </w:rPr>
            </w:pPr>
            <w:r>
              <w:rPr>
                <w:rFonts w:ascii="Times New Roman" w:hAnsi="Times New Roman"/>
                <w:sz w:val="22"/>
              </w:rPr>
              <w:t>4</w:t>
            </w:r>
          </w:p>
        </w:tc>
        <w:tc>
          <w:tcPr>
            <w:tcW w:w="1320" w:type="dxa"/>
          </w:tcPr>
          <w:p w:rsidR="00FD00C6" w:rsidRPr="00E734D0" w:rsidP="00FD00C6" w14:paraId="73030217" w14:textId="194ABD6F">
            <w:pPr>
              <w:pStyle w:val="table-text"/>
              <w:jc w:val="center"/>
              <w:rPr>
                <w:rFonts w:ascii="Times New Roman" w:hAnsi="Times New Roman"/>
                <w:sz w:val="22"/>
              </w:rPr>
            </w:pPr>
            <w:r w:rsidRPr="00E734D0">
              <w:rPr>
                <w:rFonts w:ascii="Times New Roman" w:hAnsi="Times New Roman"/>
                <w:sz w:val="22"/>
              </w:rPr>
              <w:t>0</w:t>
            </w:r>
          </w:p>
        </w:tc>
        <w:tc>
          <w:tcPr>
            <w:tcW w:w="809" w:type="dxa"/>
          </w:tcPr>
          <w:p w:rsidR="00FD00C6" w:rsidRPr="00E734D0" w:rsidP="00FD00C6" w14:paraId="55742152" w14:textId="02AD740A">
            <w:pPr>
              <w:pStyle w:val="table-text"/>
              <w:jc w:val="center"/>
              <w:rPr>
                <w:rFonts w:ascii="Times New Roman" w:hAnsi="Times New Roman"/>
                <w:sz w:val="22"/>
              </w:rPr>
            </w:pPr>
            <w:r>
              <w:rPr>
                <w:rFonts w:ascii="Times New Roman" w:hAnsi="Times New Roman"/>
                <w:sz w:val="22"/>
              </w:rPr>
              <w:t>6</w:t>
            </w:r>
          </w:p>
        </w:tc>
      </w:tr>
      <w:tr w14:paraId="06DD8B64" w14:textId="77777777" w:rsidTr="00FD00C6">
        <w:tblPrEx>
          <w:tblW w:w="0" w:type="auto"/>
          <w:tblLook w:val="06A0"/>
        </w:tblPrEx>
        <w:tc>
          <w:tcPr>
            <w:tcW w:w="4500" w:type="dxa"/>
          </w:tcPr>
          <w:p w:rsidR="00FD00C6" w:rsidRPr="00E734D0" w:rsidP="00FD00C6" w14:paraId="22D288DA" w14:textId="4B6618F1">
            <w:pPr>
              <w:pStyle w:val="table-text"/>
              <w:ind w:left="288"/>
              <w:rPr>
                <w:rFonts w:ascii="Times New Roman" w:hAnsi="Times New Roman"/>
                <w:i/>
                <w:iCs/>
                <w:sz w:val="22"/>
              </w:rPr>
            </w:pPr>
            <w:r w:rsidRPr="00E734D0">
              <w:rPr>
                <w:rFonts w:ascii="Times New Roman" w:hAnsi="Times New Roman"/>
                <w:i/>
                <w:iCs/>
                <w:sz w:val="22"/>
              </w:rPr>
              <w:t>External</w:t>
            </w:r>
            <w:r w:rsidRPr="00E734D0" w:rsidR="00B21B07">
              <w:rPr>
                <w:rFonts w:ascii="Times New Roman" w:hAnsi="Times New Roman"/>
                <w:i/>
                <w:iCs/>
                <w:sz w:val="22"/>
              </w:rPr>
              <w:t xml:space="preserve"> </w:t>
            </w:r>
          </w:p>
        </w:tc>
        <w:tc>
          <w:tcPr>
            <w:tcW w:w="1021" w:type="dxa"/>
          </w:tcPr>
          <w:p w:rsidR="00FD00C6" w:rsidRPr="00E734D0" w:rsidP="00FD00C6" w14:paraId="01D8D06A" w14:textId="1DFA559F">
            <w:pPr>
              <w:pStyle w:val="table-text"/>
              <w:jc w:val="center"/>
              <w:rPr>
                <w:rFonts w:ascii="Times New Roman" w:hAnsi="Times New Roman"/>
                <w:sz w:val="22"/>
              </w:rPr>
            </w:pPr>
            <w:r>
              <w:rPr>
                <w:rFonts w:ascii="Times New Roman" w:hAnsi="Times New Roman"/>
                <w:sz w:val="22"/>
              </w:rPr>
              <w:t>4</w:t>
            </w:r>
          </w:p>
        </w:tc>
        <w:tc>
          <w:tcPr>
            <w:tcW w:w="1169" w:type="dxa"/>
          </w:tcPr>
          <w:p w:rsidR="00FD00C6" w:rsidRPr="00E734D0" w:rsidP="00FD00C6" w14:paraId="75C03557" w14:textId="0B358F17">
            <w:pPr>
              <w:pStyle w:val="table-text"/>
              <w:jc w:val="center"/>
              <w:rPr>
                <w:rFonts w:ascii="Times New Roman" w:hAnsi="Times New Roman"/>
                <w:sz w:val="22"/>
              </w:rPr>
            </w:pPr>
            <w:r>
              <w:rPr>
                <w:rFonts w:ascii="Times New Roman" w:hAnsi="Times New Roman"/>
                <w:sz w:val="22"/>
              </w:rPr>
              <w:t>2</w:t>
            </w:r>
          </w:p>
        </w:tc>
        <w:tc>
          <w:tcPr>
            <w:tcW w:w="1320" w:type="dxa"/>
          </w:tcPr>
          <w:p w:rsidR="00FD00C6" w:rsidRPr="00E734D0" w:rsidP="00FD00C6" w14:paraId="69CB4BB5" w14:textId="5F47E81E">
            <w:pPr>
              <w:pStyle w:val="table-text"/>
              <w:jc w:val="center"/>
              <w:rPr>
                <w:rFonts w:ascii="Times New Roman" w:hAnsi="Times New Roman"/>
                <w:sz w:val="22"/>
              </w:rPr>
            </w:pPr>
            <w:r>
              <w:rPr>
                <w:rFonts w:ascii="Times New Roman" w:hAnsi="Times New Roman"/>
                <w:sz w:val="22"/>
              </w:rPr>
              <w:t>5</w:t>
            </w:r>
          </w:p>
        </w:tc>
        <w:tc>
          <w:tcPr>
            <w:tcW w:w="809" w:type="dxa"/>
          </w:tcPr>
          <w:p w:rsidR="00FD00C6" w:rsidRPr="00E734D0" w:rsidP="00FD00C6" w14:paraId="37244E53" w14:textId="596DAB7E">
            <w:pPr>
              <w:pStyle w:val="table-text"/>
              <w:jc w:val="center"/>
              <w:rPr>
                <w:rFonts w:ascii="Times New Roman" w:hAnsi="Times New Roman"/>
                <w:sz w:val="22"/>
              </w:rPr>
            </w:pPr>
            <w:r>
              <w:rPr>
                <w:rFonts w:ascii="Times New Roman" w:hAnsi="Times New Roman"/>
                <w:sz w:val="22"/>
              </w:rPr>
              <w:t>11</w:t>
            </w:r>
          </w:p>
        </w:tc>
      </w:tr>
      <w:tr w14:paraId="570D0593" w14:textId="77777777" w:rsidTr="00430415">
        <w:tblPrEx>
          <w:tblW w:w="0" w:type="auto"/>
          <w:tblLook w:val="06A0"/>
        </w:tblPrEx>
        <w:tc>
          <w:tcPr>
            <w:tcW w:w="0" w:type="dxa"/>
          </w:tcPr>
          <w:p w:rsidR="00FD00C6" w:rsidRPr="00E734D0" w:rsidP="004029CF" w14:paraId="6FDCA23E" w14:textId="5D2EE9D3">
            <w:pPr>
              <w:pStyle w:val="table-text"/>
              <w:rPr>
                <w:rFonts w:ascii="Times New Roman" w:hAnsi="Times New Roman"/>
                <w:b/>
                <w:bCs/>
                <w:sz w:val="22"/>
              </w:rPr>
            </w:pPr>
            <w:r w:rsidRPr="00E734D0">
              <w:rPr>
                <w:rFonts w:ascii="Times New Roman" w:hAnsi="Times New Roman"/>
                <w:b/>
                <w:bCs/>
                <w:sz w:val="22"/>
              </w:rPr>
              <w:t>Size of Jurisdiction</w:t>
            </w:r>
            <w:r w:rsidR="00331E72">
              <w:rPr>
                <w:rFonts w:ascii="Times New Roman" w:hAnsi="Times New Roman"/>
                <w:b/>
                <w:bCs/>
                <w:sz w:val="22"/>
              </w:rPr>
              <w:t xml:space="preserve"> </w:t>
            </w:r>
          </w:p>
        </w:tc>
        <w:tc>
          <w:tcPr>
            <w:tcW w:w="0" w:type="dxa"/>
          </w:tcPr>
          <w:p w:rsidR="00FD00C6" w:rsidRPr="00E734D0" w:rsidP="004029CF" w14:paraId="51D0F488" w14:textId="77777777">
            <w:pPr>
              <w:pStyle w:val="table-text"/>
              <w:jc w:val="center"/>
              <w:rPr>
                <w:rFonts w:ascii="Times New Roman" w:hAnsi="Times New Roman"/>
                <w:sz w:val="22"/>
              </w:rPr>
            </w:pPr>
          </w:p>
        </w:tc>
        <w:tc>
          <w:tcPr>
            <w:tcW w:w="1169" w:type="dxa"/>
          </w:tcPr>
          <w:p w:rsidR="00FD00C6" w:rsidRPr="00E734D0" w:rsidP="004029CF" w14:paraId="372D7C4F" w14:textId="77777777">
            <w:pPr>
              <w:pStyle w:val="table-text"/>
              <w:jc w:val="center"/>
              <w:rPr>
                <w:rFonts w:ascii="Times New Roman" w:hAnsi="Times New Roman"/>
                <w:sz w:val="22"/>
              </w:rPr>
            </w:pPr>
          </w:p>
        </w:tc>
        <w:tc>
          <w:tcPr>
            <w:tcW w:w="1320" w:type="dxa"/>
          </w:tcPr>
          <w:p w:rsidR="00FD00C6" w:rsidRPr="00E734D0" w:rsidP="004029CF" w14:paraId="0D5DBE3E" w14:textId="77777777">
            <w:pPr>
              <w:pStyle w:val="table-text"/>
              <w:jc w:val="center"/>
              <w:rPr>
                <w:rFonts w:ascii="Times New Roman" w:hAnsi="Times New Roman"/>
                <w:sz w:val="22"/>
              </w:rPr>
            </w:pPr>
          </w:p>
        </w:tc>
        <w:tc>
          <w:tcPr>
            <w:tcW w:w="809" w:type="dxa"/>
          </w:tcPr>
          <w:p w:rsidR="00FD00C6" w:rsidRPr="00E734D0" w:rsidP="004029CF" w14:paraId="7E492493" w14:textId="11D75828">
            <w:pPr>
              <w:pStyle w:val="table-text"/>
              <w:jc w:val="center"/>
              <w:rPr>
                <w:rFonts w:ascii="Times New Roman" w:hAnsi="Times New Roman"/>
                <w:sz w:val="22"/>
              </w:rPr>
            </w:pPr>
          </w:p>
        </w:tc>
      </w:tr>
      <w:tr w14:paraId="70632BE7" w14:textId="77777777" w:rsidTr="00430415">
        <w:tblPrEx>
          <w:tblW w:w="0" w:type="auto"/>
          <w:tblLook w:val="06A0"/>
        </w:tblPrEx>
        <w:tc>
          <w:tcPr>
            <w:tcW w:w="0" w:type="dxa"/>
          </w:tcPr>
          <w:p w:rsidR="00FD00C6" w:rsidRPr="00E734D0" w:rsidP="004029CF" w14:paraId="299BC114" w14:textId="62FC7D3F">
            <w:pPr>
              <w:pStyle w:val="table-text"/>
              <w:ind w:left="288"/>
              <w:rPr>
                <w:rFonts w:ascii="Times New Roman" w:hAnsi="Times New Roman"/>
                <w:i/>
                <w:iCs/>
                <w:sz w:val="22"/>
              </w:rPr>
            </w:pPr>
            <w:r w:rsidRPr="00E734D0">
              <w:rPr>
                <w:rFonts w:ascii="Times New Roman" w:hAnsi="Times New Roman"/>
                <w:i/>
                <w:iCs/>
                <w:sz w:val="22"/>
              </w:rPr>
              <w:t xml:space="preserve">Less than 25,000 (small) </w:t>
            </w:r>
          </w:p>
        </w:tc>
        <w:tc>
          <w:tcPr>
            <w:tcW w:w="0" w:type="dxa"/>
          </w:tcPr>
          <w:p w:rsidR="00FD00C6" w:rsidRPr="00E734D0" w:rsidP="004029CF" w14:paraId="75B61C2C" w14:textId="72F4DA98">
            <w:pPr>
              <w:pStyle w:val="table-text"/>
              <w:jc w:val="center"/>
              <w:rPr>
                <w:rFonts w:ascii="Times New Roman" w:hAnsi="Times New Roman"/>
                <w:sz w:val="22"/>
              </w:rPr>
            </w:pPr>
            <w:r>
              <w:rPr>
                <w:rFonts w:ascii="Times New Roman" w:hAnsi="Times New Roman"/>
                <w:sz w:val="22"/>
              </w:rPr>
              <w:t>3</w:t>
            </w:r>
          </w:p>
        </w:tc>
        <w:tc>
          <w:tcPr>
            <w:tcW w:w="1169" w:type="dxa"/>
          </w:tcPr>
          <w:p w:rsidR="00FD00C6" w:rsidRPr="00E734D0" w:rsidP="004029CF" w14:paraId="07E092CB" w14:textId="7D364EA2">
            <w:pPr>
              <w:pStyle w:val="table-text"/>
              <w:jc w:val="center"/>
              <w:rPr>
                <w:rFonts w:ascii="Times New Roman" w:hAnsi="Times New Roman"/>
                <w:sz w:val="22"/>
              </w:rPr>
            </w:pPr>
            <w:r w:rsidRPr="00E734D0">
              <w:rPr>
                <w:rFonts w:ascii="Times New Roman" w:hAnsi="Times New Roman"/>
                <w:sz w:val="22"/>
              </w:rPr>
              <w:t>1</w:t>
            </w:r>
          </w:p>
        </w:tc>
        <w:tc>
          <w:tcPr>
            <w:tcW w:w="1320" w:type="dxa"/>
          </w:tcPr>
          <w:p w:rsidR="00FD00C6" w:rsidRPr="002740D0" w:rsidP="004029CF" w14:paraId="2E16A939" w14:textId="5D37061F">
            <w:pPr>
              <w:pStyle w:val="table-text"/>
              <w:jc w:val="center"/>
              <w:rPr>
                <w:rFonts w:ascii="Times New Roman" w:hAnsi="Times New Roman"/>
                <w:sz w:val="22"/>
              </w:rPr>
            </w:pPr>
            <w:r>
              <w:rPr>
                <w:rFonts w:ascii="Times New Roman" w:hAnsi="Times New Roman"/>
                <w:sz w:val="22"/>
              </w:rPr>
              <w:t>2</w:t>
            </w:r>
          </w:p>
        </w:tc>
        <w:tc>
          <w:tcPr>
            <w:tcW w:w="809" w:type="dxa"/>
          </w:tcPr>
          <w:p w:rsidR="00FD00C6" w:rsidRPr="00E734D0" w:rsidP="004029CF" w14:paraId="574AEC96" w14:textId="69284A5C">
            <w:pPr>
              <w:pStyle w:val="table-text"/>
              <w:jc w:val="center"/>
              <w:rPr>
                <w:rFonts w:ascii="Times New Roman" w:hAnsi="Times New Roman"/>
                <w:sz w:val="22"/>
              </w:rPr>
            </w:pPr>
            <w:r>
              <w:rPr>
                <w:rFonts w:ascii="Times New Roman" w:hAnsi="Times New Roman"/>
                <w:sz w:val="22"/>
              </w:rPr>
              <w:t>6</w:t>
            </w:r>
          </w:p>
        </w:tc>
      </w:tr>
      <w:tr w14:paraId="1CA6FF9F" w14:textId="77777777" w:rsidTr="00430415">
        <w:tblPrEx>
          <w:tblW w:w="0" w:type="auto"/>
          <w:tblLook w:val="06A0"/>
        </w:tblPrEx>
        <w:tc>
          <w:tcPr>
            <w:tcW w:w="0" w:type="dxa"/>
          </w:tcPr>
          <w:p w:rsidR="00FD00C6" w:rsidRPr="00E734D0" w:rsidP="004029CF" w14:paraId="27982EF6" w14:textId="37D9C4BA">
            <w:pPr>
              <w:pStyle w:val="table-text"/>
              <w:ind w:left="288"/>
              <w:rPr>
                <w:rFonts w:ascii="Times New Roman" w:hAnsi="Times New Roman"/>
                <w:i/>
                <w:iCs/>
                <w:sz w:val="22"/>
              </w:rPr>
            </w:pPr>
            <w:r w:rsidRPr="00E734D0">
              <w:rPr>
                <w:rFonts w:ascii="Times New Roman" w:hAnsi="Times New Roman"/>
                <w:i/>
                <w:iCs/>
                <w:sz w:val="22"/>
              </w:rPr>
              <w:t xml:space="preserve">Between 25,000 and 250,000 (medium) </w:t>
            </w:r>
          </w:p>
        </w:tc>
        <w:tc>
          <w:tcPr>
            <w:tcW w:w="0" w:type="dxa"/>
          </w:tcPr>
          <w:p w:rsidR="00FD00C6" w:rsidRPr="00E734D0" w:rsidP="004029CF" w14:paraId="1A3110CB" w14:textId="73FFB42B">
            <w:pPr>
              <w:pStyle w:val="table-text"/>
              <w:jc w:val="center"/>
              <w:rPr>
                <w:rFonts w:ascii="Times New Roman" w:hAnsi="Times New Roman"/>
                <w:sz w:val="22"/>
              </w:rPr>
            </w:pPr>
            <w:r>
              <w:rPr>
                <w:rFonts w:ascii="Times New Roman" w:hAnsi="Times New Roman"/>
                <w:sz w:val="22"/>
              </w:rPr>
              <w:t>2</w:t>
            </w:r>
          </w:p>
        </w:tc>
        <w:tc>
          <w:tcPr>
            <w:tcW w:w="1169" w:type="dxa"/>
          </w:tcPr>
          <w:p w:rsidR="00FD00C6" w:rsidRPr="00E734D0" w:rsidP="004029CF" w14:paraId="483FCF59" w14:textId="3BCBA9F7">
            <w:pPr>
              <w:pStyle w:val="table-text"/>
              <w:jc w:val="center"/>
              <w:rPr>
                <w:rFonts w:ascii="Times New Roman" w:hAnsi="Times New Roman"/>
                <w:sz w:val="22"/>
              </w:rPr>
            </w:pPr>
            <w:r w:rsidRPr="00E734D0">
              <w:rPr>
                <w:rFonts w:ascii="Times New Roman" w:hAnsi="Times New Roman"/>
                <w:sz w:val="22"/>
              </w:rPr>
              <w:t>1</w:t>
            </w:r>
          </w:p>
        </w:tc>
        <w:tc>
          <w:tcPr>
            <w:tcW w:w="1320" w:type="dxa"/>
          </w:tcPr>
          <w:p w:rsidR="00FD00C6" w:rsidRPr="002740D0" w:rsidP="004029CF" w14:paraId="1C9A3C36" w14:textId="14FE9F95">
            <w:pPr>
              <w:pStyle w:val="table-text"/>
              <w:jc w:val="center"/>
              <w:rPr>
                <w:rFonts w:ascii="Times New Roman" w:hAnsi="Times New Roman"/>
                <w:sz w:val="22"/>
              </w:rPr>
            </w:pPr>
            <w:r>
              <w:rPr>
                <w:rFonts w:ascii="Times New Roman" w:hAnsi="Times New Roman"/>
                <w:sz w:val="22"/>
              </w:rPr>
              <w:t>1</w:t>
            </w:r>
          </w:p>
        </w:tc>
        <w:tc>
          <w:tcPr>
            <w:tcW w:w="809" w:type="dxa"/>
          </w:tcPr>
          <w:p w:rsidR="00FD00C6" w:rsidRPr="00E734D0" w:rsidP="004029CF" w14:paraId="144E5887" w14:textId="0B7021BE">
            <w:pPr>
              <w:pStyle w:val="table-text"/>
              <w:jc w:val="center"/>
              <w:rPr>
                <w:rFonts w:ascii="Times New Roman" w:hAnsi="Times New Roman"/>
                <w:sz w:val="22"/>
              </w:rPr>
            </w:pPr>
            <w:r>
              <w:rPr>
                <w:rFonts w:ascii="Times New Roman" w:hAnsi="Times New Roman"/>
                <w:sz w:val="22"/>
              </w:rPr>
              <w:t>4</w:t>
            </w:r>
          </w:p>
        </w:tc>
      </w:tr>
      <w:tr w14:paraId="56039820" w14:textId="77777777" w:rsidTr="00430415">
        <w:tblPrEx>
          <w:tblW w:w="0" w:type="auto"/>
          <w:tblLook w:val="06A0"/>
        </w:tblPrEx>
        <w:tc>
          <w:tcPr>
            <w:tcW w:w="0" w:type="dxa"/>
          </w:tcPr>
          <w:p w:rsidR="00FD00C6" w:rsidRPr="00E734D0" w:rsidP="004029CF" w14:paraId="4DA942AA" w14:textId="2BCD0455">
            <w:pPr>
              <w:pStyle w:val="table-text"/>
              <w:ind w:left="288"/>
              <w:rPr>
                <w:rFonts w:ascii="Times New Roman" w:hAnsi="Times New Roman"/>
                <w:i/>
                <w:iCs/>
                <w:sz w:val="22"/>
              </w:rPr>
            </w:pPr>
            <w:r w:rsidRPr="00E734D0">
              <w:rPr>
                <w:rFonts w:ascii="Times New Roman" w:hAnsi="Times New Roman"/>
                <w:i/>
                <w:iCs/>
                <w:sz w:val="22"/>
              </w:rPr>
              <w:t xml:space="preserve">Over 250,000 (large) </w:t>
            </w:r>
          </w:p>
        </w:tc>
        <w:tc>
          <w:tcPr>
            <w:tcW w:w="0" w:type="dxa"/>
          </w:tcPr>
          <w:p w:rsidR="00FD00C6" w:rsidRPr="00E734D0" w:rsidP="004029CF" w14:paraId="1C35F248" w14:textId="47408C28">
            <w:pPr>
              <w:pStyle w:val="table-text"/>
              <w:jc w:val="center"/>
              <w:rPr>
                <w:rFonts w:ascii="Times New Roman" w:hAnsi="Times New Roman"/>
                <w:sz w:val="22"/>
              </w:rPr>
            </w:pPr>
            <w:r w:rsidRPr="00E734D0">
              <w:rPr>
                <w:rFonts w:ascii="Times New Roman" w:hAnsi="Times New Roman"/>
                <w:sz w:val="22"/>
              </w:rPr>
              <w:t>1</w:t>
            </w:r>
          </w:p>
        </w:tc>
        <w:tc>
          <w:tcPr>
            <w:tcW w:w="1169" w:type="dxa"/>
          </w:tcPr>
          <w:p w:rsidR="00FD00C6" w:rsidRPr="00E734D0" w:rsidP="004029CF" w14:paraId="1B47BBD1" w14:textId="79BF4770">
            <w:pPr>
              <w:pStyle w:val="table-text"/>
              <w:jc w:val="center"/>
              <w:rPr>
                <w:rFonts w:ascii="Times New Roman" w:hAnsi="Times New Roman"/>
                <w:sz w:val="22"/>
              </w:rPr>
            </w:pPr>
            <w:r>
              <w:rPr>
                <w:rFonts w:ascii="Times New Roman" w:hAnsi="Times New Roman"/>
                <w:sz w:val="22"/>
              </w:rPr>
              <w:t>4</w:t>
            </w:r>
          </w:p>
        </w:tc>
        <w:tc>
          <w:tcPr>
            <w:tcW w:w="1320" w:type="dxa"/>
          </w:tcPr>
          <w:p w:rsidR="00FD00C6" w:rsidRPr="002740D0" w:rsidP="004029CF" w14:paraId="21A9286C" w14:textId="572EBED8">
            <w:pPr>
              <w:pStyle w:val="table-text"/>
              <w:jc w:val="center"/>
              <w:rPr>
                <w:rFonts w:ascii="Times New Roman" w:hAnsi="Times New Roman"/>
                <w:sz w:val="22"/>
              </w:rPr>
            </w:pPr>
            <w:r>
              <w:rPr>
                <w:rFonts w:ascii="Times New Roman" w:hAnsi="Times New Roman"/>
                <w:sz w:val="22"/>
              </w:rPr>
              <w:t>2</w:t>
            </w:r>
          </w:p>
        </w:tc>
        <w:tc>
          <w:tcPr>
            <w:tcW w:w="809" w:type="dxa"/>
          </w:tcPr>
          <w:p w:rsidR="00FD00C6" w:rsidRPr="00E734D0" w:rsidP="004029CF" w14:paraId="716F4DAB" w14:textId="7102E16D">
            <w:pPr>
              <w:pStyle w:val="table-text"/>
              <w:jc w:val="center"/>
              <w:rPr>
                <w:rFonts w:ascii="Times New Roman" w:hAnsi="Times New Roman"/>
                <w:sz w:val="22"/>
              </w:rPr>
            </w:pPr>
            <w:r>
              <w:rPr>
                <w:rFonts w:ascii="Times New Roman" w:hAnsi="Times New Roman"/>
                <w:sz w:val="22"/>
              </w:rPr>
              <w:t>7</w:t>
            </w:r>
          </w:p>
        </w:tc>
      </w:tr>
    </w:tbl>
    <w:p w:rsidR="00077DE3" w:rsidP="00757550" w14:paraId="1B2ABCB2" w14:textId="3AA257B7">
      <w:pPr>
        <w:rPr>
          <w:rFonts w:asciiTheme="majorBidi" w:hAnsiTheme="majorBidi" w:cstheme="majorBidi"/>
        </w:rPr>
      </w:pPr>
    </w:p>
    <w:p w:rsidR="00077DE3" w14:paraId="010BCD2B" w14:textId="77777777">
      <w:pPr>
        <w:spacing w:after="200" w:line="276" w:lineRule="auto"/>
        <w:rPr>
          <w:rFonts w:asciiTheme="majorBidi" w:hAnsiTheme="majorBidi" w:cstheme="majorBidi"/>
        </w:rPr>
      </w:pPr>
      <w:r>
        <w:rPr>
          <w:rFonts w:asciiTheme="majorBidi" w:hAnsiTheme="majorBidi" w:cstheme="majorBidi"/>
        </w:rPr>
        <w:br w:type="page"/>
      </w:r>
    </w:p>
    <w:p w:rsidR="007202C0" w:rsidRPr="00077DE3" w:rsidP="00757550" w14:paraId="0F654204" w14:textId="1334CD7B">
      <w:pPr>
        <w:rPr>
          <w:rFonts w:asciiTheme="majorBidi" w:hAnsiTheme="majorBidi" w:cstheme="majorBidi"/>
          <w:b/>
          <w:bCs/>
        </w:rPr>
      </w:pPr>
      <w:r>
        <w:rPr>
          <w:rFonts w:asciiTheme="majorBidi" w:hAnsiTheme="majorBidi" w:cstheme="majorBidi"/>
          <w:b/>
          <w:bCs/>
        </w:rPr>
        <w:t>Table 3. Target Number of Interviews for Round 2</w:t>
      </w:r>
    </w:p>
    <w:tbl>
      <w:tblPr>
        <w:tblStyle w:val="RTITable"/>
        <w:tblW w:w="0" w:type="auto"/>
        <w:tblLook w:val="06A0"/>
      </w:tblPr>
      <w:tblGrid>
        <w:gridCol w:w="4500"/>
        <w:gridCol w:w="1021"/>
        <w:gridCol w:w="1169"/>
        <w:gridCol w:w="1320"/>
        <w:gridCol w:w="809"/>
      </w:tblGrid>
      <w:tr w14:paraId="37102852" w14:textId="77777777" w:rsidTr="001365EC">
        <w:tblPrEx>
          <w:tblW w:w="0" w:type="auto"/>
          <w:tblLook w:val="06A0"/>
        </w:tblPrEx>
        <w:tc>
          <w:tcPr>
            <w:tcW w:w="4500" w:type="dxa"/>
          </w:tcPr>
          <w:p w:rsidR="00077DE3" w:rsidRPr="00E734D0" w:rsidP="001365EC" w14:paraId="4911D3B7" w14:textId="77777777">
            <w:pPr>
              <w:pStyle w:val="table-headers"/>
              <w:jc w:val="left"/>
              <w:rPr>
                <w:rFonts w:ascii="Times New Roman" w:hAnsi="Times New Roman"/>
                <w:sz w:val="22"/>
              </w:rPr>
            </w:pPr>
            <w:r w:rsidRPr="00E734D0">
              <w:rPr>
                <w:rFonts w:ascii="Times New Roman" w:hAnsi="Times New Roman"/>
                <w:sz w:val="22"/>
              </w:rPr>
              <w:t xml:space="preserve">Attribute </w:t>
            </w:r>
          </w:p>
        </w:tc>
        <w:tc>
          <w:tcPr>
            <w:tcW w:w="1021" w:type="dxa"/>
          </w:tcPr>
          <w:p w:rsidR="00077DE3" w:rsidRPr="00E734D0" w:rsidP="001365EC" w14:paraId="4BF3DEA2" w14:textId="77777777">
            <w:pPr>
              <w:pStyle w:val="table-headers"/>
              <w:jc w:val="left"/>
              <w:rPr>
                <w:rFonts w:ascii="Times New Roman" w:hAnsi="Times New Roman"/>
                <w:sz w:val="22"/>
              </w:rPr>
            </w:pPr>
            <w:r w:rsidRPr="00E734D0">
              <w:rPr>
                <w:rFonts w:ascii="Times New Roman" w:hAnsi="Times New Roman"/>
                <w:sz w:val="22"/>
              </w:rPr>
              <w:t>Coroner</w:t>
            </w:r>
          </w:p>
        </w:tc>
        <w:tc>
          <w:tcPr>
            <w:tcW w:w="1169" w:type="dxa"/>
          </w:tcPr>
          <w:p w:rsidR="00077DE3" w:rsidRPr="00E734D0" w:rsidP="001365EC" w14:paraId="65B0CDCF" w14:textId="77777777">
            <w:pPr>
              <w:pStyle w:val="table-headers"/>
              <w:jc w:val="left"/>
              <w:rPr>
                <w:rFonts w:ascii="Times New Roman" w:hAnsi="Times New Roman"/>
                <w:sz w:val="22"/>
              </w:rPr>
            </w:pPr>
            <w:r w:rsidRPr="00E734D0">
              <w:rPr>
                <w:rFonts w:ascii="Times New Roman" w:hAnsi="Times New Roman"/>
                <w:sz w:val="22"/>
              </w:rPr>
              <w:t>Medical Examiner</w:t>
            </w:r>
          </w:p>
        </w:tc>
        <w:tc>
          <w:tcPr>
            <w:tcW w:w="1320" w:type="dxa"/>
          </w:tcPr>
          <w:p w:rsidR="00077DE3" w:rsidRPr="00E734D0" w:rsidP="001365EC" w14:paraId="4AD459B0" w14:textId="77777777">
            <w:pPr>
              <w:pStyle w:val="table-headers"/>
              <w:jc w:val="left"/>
              <w:rPr>
                <w:rFonts w:ascii="Times New Roman" w:hAnsi="Times New Roman"/>
                <w:sz w:val="22"/>
              </w:rPr>
            </w:pPr>
            <w:r w:rsidRPr="00E734D0">
              <w:rPr>
                <w:rFonts w:ascii="Times New Roman" w:hAnsi="Times New Roman"/>
                <w:sz w:val="22"/>
              </w:rPr>
              <w:t>Justice of the Peace</w:t>
            </w:r>
          </w:p>
        </w:tc>
        <w:tc>
          <w:tcPr>
            <w:tcW w:w="809" w:type="dxa"/>
          </w:tcPr>
          <w:p w:rsidR="00077DE3" w:rsidRPr="00E734D0" w:rsidP="001365EC" w14:paraId="4F818675" w14:textId="77777777">
            <w:pPr>
              <w:pStyle w:val="table-headers"/>
              <w:jc w:val="left"/>
              <w:rPr>
                <w:rFonts w:ascii="Times New Roman" w:hAnsi="Times New Roman"/>
                <w:sz w:val="22"/>
              </w:rPr>
            </w:pPr>
            <w:r w:rsidRPr="00E734D0">
              <w:rPr>
                <w:rFonts w:ascii="Times New Roman" w:hAnsi="Times New Roman"/>
                <w:sz w:val="22"/>
              </w:rPr>
              <w:t xml:space="preserve">Total Count </w:t>
            </w:r>
          </w:p>
        </w:tc>
      </w:tr>
      <w:tr w14:paraId="4FC54EB3" w14:textId="77777777" w:rsidTr="001365EC">
        <w:tblPrEx>
          <w:tblW w:w="0" w:type="auto"/>
          <w:tblLook w:val="06A0"/>
        </w:tblPrEx>
        <w:tc>
          <w:tcPr>
            <w:tcW w:w="4500" w:type="dxa"/>
          </w:tcPr>
          <w:p w:rsidR="00077DE3" w:rsidRPr="00E734D0" w:rsidP="001365EC" w14:paraId="01E7A843" w14:textId="77777777">
            <w:pPr>
              <w:pStyle w:val="table-text"/>
              <w:rPr>
                <w:rFonts w:ascii="Times New Roman" w:hAnsi="Times New Roman"/>
                <w:b/>
                <w:bCs/>
                <w:sz w:val="22"/>
              </w:rPr>
            </w:pPr>
            <w:r w:rsidRPr="00E734D0">
              <w:rPr>
                <w:rFonts w:ascii="Times New Roman" w:hAnsi="Times New Roman"/>
                <w:b/>
                <w:bCs/>
                <w:sz w:val="22"/>
              </w:rPr>
              <w:t>Jurisdiction Type</w:t>
            </w:r>
          </w:p>
        </w:tc>
        <w:tc>
          <w:tcPr>
            <w:tcW w:w="1021" w:type="dxa"/>
          </w:tcPr>
          <w:p w:rsidR="00077DE3" w:rsidRPr="00E734D0" w:rsidP="001365EC" w14:paraId="2F2EB6FB" w14:textId="77777777">
            <w:pPr>
              <w:pStyle w:val="table-text"/>
              <w:jc w:val="center"/>
              <w:rPr>
                <w:rFonts w:ascii="Times New Roman" w:hAnsi="Times New Roman"/>
                <w:sz w:val="22"/>
              </w:rPr>
            </w:pPr>
          </w:p>
        </w:tc>
        <w:tc>
          <w:tcPr>
            <w:tcW w:w="1169" w:type="dxa"/>
          </w:tcPr>
          <w:p w:rsidR="00077DE3" w:rsidRPr="00E734D0" w:rsidP="001365EC" w14:paraId="2E2E8E35" w14:textId="77777777">
            <w:pPr>
              <w:pStyle w:val="table-text"/>
              <w:jc w:val="center"/>
              <w:rPr>
                <w:rFonts w:ascii="Times New Roman" w:hAnsi="Times New Roman"/>
                <w:sz w:val="22"/>
              </w:rPr>
            </w:pPr>
          </w:p>
        </w:tc>
        <w:tc>
          <w:tcPr>
            <w:tcW w:w="1320" w:type="dxa"/>
          </w:tcPr>
          <w:p w:rsidR="00077DE3" w:rsidRPr="00E734D0" w:rsidP="001365EC" w14:paraId="4B125B9F" w14:textId="77777777">
            <w:pPr>
              <w:pStyle w:val="table-text"/>
              <w:jc w:val="center"/>
              <w:rPr>
                <w:rFonts w:ascii="Times New Roman" w:hAnsi="Times New Roman"/>
                <w:sz w:val="22"/>
              </w:rPr>
            </w:pPr>
          </w:p>
        </w:tc>
        <w:tc>
          <w:tcPr>
            <w:tcW w:w="809" w:type="dxa"/>
          </w:tcPr>
          <w:p w:rsidR="00077DE3" w:rsidRPr="00E734D0" w:rsidP="001365EC" w14:paraId="1A51D0D6" w14:textId="77777777">
            <w:pPr>
              <w:pStyle w:val="table-text"/>
              <w:jc w:val="center"/>
              <w:rPr>
                <w:rFonts w:ascii="Times New Roman" w:hAnsi="Times New Roman"/>
                <w:sz w:val="22"/>
              </w:rPr>
            </w:pPr>
          </w:p>
        </w:tc>
      </w:tr>
      <w:tr w14:paraId="5D608D46" w14:textId="77777777" w:rsidTr="001365EC">
        <w:tblPrEx>
          <w:tblW w:w="0" w:type="auto"/>
          <w:tblLook w:val="06A0"/>
        </w:tblPrEx>
        <w:tc>
          <w:tcPr>
            <w:tcW w:w="4500" w:type="dxa"/>
          </w:tcPr>
          <w:p w:rsidR="00077DE3" w:rsidRPr="00E734D0" w:rsidP="001365EC" w14:paraId="5F690244" w14:textId="77777777">
            <w:pPr>
              <w:pStyle w:val="table-text"/>
              <w:ind w:left="288"/>
              <w:rPr>
                <w:rFonts w:ascii="Times New Roman" w:hAnsi="Times New Roman"/>
                <w:i/>
                <w:iCs/>
                <w:sz w:val="22"/>
              </w:rPr>
            </w:pPr>
            <w:r w:rsidRPr="00E734D0">
              <w:rPr>
                <w:rFonts w:ascii="Times New Roman" w:hAnsi="Times New Roman"/>
                <w:i/>
                <w:iCs/>
                <w:sz w:val="22"/>
              </w:rPr>
              <w:t xml:space="preserve">District/County </w:t>
            </w:r>
          </w:p>
        </w:tc>
        <w:tc>
          <w:tcPr>
            <w:tcW w:w="1021" w:type="dxa"/>
          </w:tcPr>
          <w:p w:rsidR="00077DE3" w:rsidRPr="00E734D0" w:rsidP="001365EC" w14:paraId="5A88D15B" w14:textId="140B981E">
            <w:pPr>
              <w:pStyle w:val="table-text"/>
              <w:jc w:val="center"/>
              <w:rPr>
                <w:rFonts w:ascii="Times New Roman" w:hAnsi="Times New Roman"/>
                <w:sz w:val="22"/>
              </w:rPr>
            </w:pPr>
            <w:r>
              <w:rPr>
                <w:rFonts w:ascii="Times New Roman" w:hAnsi="Times New Roman"/>
                <w:sz w:val="22"/>
              </w:rPr>
              <w:t>5</w:t>
            </w:r>
          </w:p>
        </w:tc>
        <w:tc>
          <w:tcPr>
            <w:tcW w:w="1169" w:type="dxa"/>
          </w:tcPr>
          <w:p w:rsidR="00077DE3" w:rsidRPr="00E734D0" w:rsidP="001365EC" w14:paraId="4DD4640D" w14:textId="1B142E40">
            <w:pPr>
              <w:pStyle w:val="table-text"/>
              <w:jc w:val="center"/>
              <w:rPr>
                <w:rFonts w:ascii="Times New Roman" w:hAnsi="Times New Roman"/>
                <w:sz w:val="22"/>
              </w:rPr>
            </w:pPr>
            <w:r>
              <w:rPr>
                <w:rFonts w:ascii="Times New Roman" w:hAnsi="Times New Roman"/>
                <w:sz w:val="22"/>
              </w:rPr>
              <w:t>3</w:t>
            </w:r>
          </w:p>
        </w:tc>
        <w:tc>
          <w:tcPr>
            <w:tcW w:w="1320" w:type="dxa"/>
          </w:tcPr>
          <w:p w:rsidR="00077DE3" w:rsidRPr="00E734D0" w:rsidP="001365EC" w14:paraId="680F3850" w14:textId="3AEA11ED">
            <w:pPr>
              <w:pStyle w:val="table-text"/>
              <w:jc w:val="center"/>
              <w:rPr>
                <w:rFonts w:ascii="Times New Roman" w:hAnsi="Times New Roman"/>
                <w:sz w:val="22"/>
              </w:rPr>
            </w:pPr>
            <w:r>
              <w:rPr>
                <w:rFonts w:ascii="Times New Roman" w:hAnsi="Times New Roman"/>
                <w:sz w:val="22"/>
              </w:rPr>
              <w:t>5</w:t>
            </w:r>
          </w:p>
        </w:tc>
        <w:tc>
          <w:tcPr>
            <w:tcW w:w="809" w:type="dxa"/>
          </w:tcPr>
          <w:p w:rsidR="00077DE3" w:rsidRPr="00E734D0" w:rsidP="001365EC" w14:paraId="2AF03CFD" w14:textId="4109527D">
            <w:pPr>
              <w:pStyle w:val="table-text"/>
              <w:jc w:val="center"/>
              <w:rPr>
                <w:rFonts w:ascii="Times New Roman" w:hAnsi="Times New Roman"/>
                <w:sz w:val="22"/>
              </w:rPr>
            </w:pPr>
            <w:r>
              <w:rPr>
                <w:rFonts w:ascii="Times New Roman" w:hAnsi="Times New Roman"/>
                <w:sz w:val="22"/>
              </w:rPr>
              <w:t>13</w:t>
            </w:r>
          </w:p>
        </w:tc>
      </w:tr>
      <w:tr w14:paraId="10204CE7" w14:textId="77777777" w:rsidTr="001365EC">
        <w:tblPrEx>
          <w:tblW w:w="0" w:type="auto"/>
          <w:tblLook w:val="06A0"/>
        </w:tblPrEx>
        <w:tc>
          <w:tcPr>
            <w:tcW w:w="4500" w:type="dxa"/>
          </w:tcPr>
          <w:p w:rsidR="00077DE3" w:rsidRPr="00E734D0" w:rsidP="001365EC" w14:paraId="5C18AEB0" w14:textId="77777777">
            <w:pPr>
              <w:pStyle w:val="table-text"/>
              <w:ind w:left="288"/>
              <w:rPr>
                <w:rFonts w:ascii="Times New Roman" w:hAnsi="Times New Roman"/>
                <w:i/>
                <w:iCs/>
                <w:sz w:val="22"/>
              </w:rPr>
            </w:pPr>
            <w:r w:rsidRPr="00E734D0">
              <w:rPr>
                <w:rFonts w:ascii="Times New Roman" w:hAnsi="Times New Roman"/>
                <w:i/>
                <w:iCs/>
                <w:sz w:val="22"/>
              </w:rPr>
              <w:t xml:space="preserve">Regional/State </w:t>
            </w:r>
          </w:p>
        </w:tc>
        <w:tc>
          <w:tcPr>
            <w:tcW w:w="1021" w:type="dxa"/>
          </w:tcPr>
          <w:p w:rsidR="00077DE3" w:rsidRPr="00E734D0" w:rsidP="001365EC" w14:paraId="39F2843C" w14:textId="77777777">
            <w:pPr>
              <w:pStyle w:val="table-text"/>
              <w:jc w:val="center"/>
              <w:rPr>
                <w:rFonts w:ascii="Times New Roman" w:hAnsi="Times New Roman"/>
                <w:sz w:val="22"/>
              </w:rPr>
            </w:pPr>
            <w:r w:rsidRPr="00E734D0">
              <w:rPr>
                <w:rFonts w:ascii="Times New Roman" w:hAnsi="Times New Roman"/>
                <w:sz w:val="22"/>
              </w:rPr>
              <w:t>0</w:t>
            </w:r>
          </w:p>
        </w:tc>
        <w:tc>
          <w:tcPr>
            <w:tcW w:w="1169" w:type="dxa"/>
          </w:tcPr>
          <w:p w:rsidR="00077DE3" w:rsidRPr="00E734D0" w:rsidP="001365EC" w14:paraId="27C7B3A9" w14:textId="3B50D9A6">
            <w:pPr>
              <w:pStyle w:val="table-text"/>
              <w:jc w:val="center"/>
              <w:rPr>
                <w:rFonts w:ascii="Times New Roman" w:hAnsi="Times New Roman"/>
                <w:sz w:val="22"/>
              </w:rPr>
            </w:pPr>
            <w:r>
              <w:rPr>
                <w:rFonts w:ascii="Times New Roman" w:hAnsi="Times New Roman"/>
                <w:sz w:val="22"/>
              </w:rPr>
              <w:t>2</w:t>
            </w:r>
          </w:p>
        </w:tc>
        <w:tc>
          <w:tcPr>
            <w:tcW w:w="1320" w:type="dxa"/>
          </w:tcPr>
          <w:p w:rsidR="00077DE3" w:rsidRPr="00E734D0" w:rsidP="001365EC" w14:paraId="33442746" w14:textId="77777777">
            <w:pPr>
              <w:pStyle w:val="table-text"/>
              <w:jc w:val="center"/>
              <w:rPr>
                <w:rFonts w:ascii="Times New Roman" w:hAnsi="Times New Roman"/>
                <w:sz w:val="22"/>
              </w:rPr>
            </w:pPr>
            <w:r w:rsidRPr="00E734D0">
              <w:rPr>
                <w:rFonts w:ascii="Times New Roman" w:hAnsi="Times New Roman"/>
                <w:sz w:val="22"/>
              </w:rPr>
              <w:t>0</w:t>
            </w:r>
          </w:p>
        </w:tc>
        <w:tc>
          <w:tcPr>
            <w:tcW w:w="809" w:type="dxa"/>
          </w:tcPr>
          <w:p w:rsidR="00077DE3" w:rsidRPr="00E734D0" w:rsidP="001365EC" w14:paraId="58A369D7" w14:textId="47F0103F">
            <w:pPr>
              <w:pStyle w:val="table-text"/>
              <w:jc w:val="center"/>
              <w:rPr>
                <w:rFonts w:ascii="Times New Roman" w:hAnsi="Times New Roman"/>
                <w:sz w:val="22"/>
              </w:rPr>
            </w:pPr>
            <w:r>
              <w:rPr>
                <w:rFonts w:ascii="Times New Roman" w:hAnsi="Times New Roman"/>
                <w:sz w:val="22"/>
              </w:rPr>
              <w:t>2</w:t>
            </w:r>
          </w:p>
        </w:tc>
      </w:tr>
      <w:tr w14:paraId="2E16F323" w14:textId="77777777" w:rsidTr="001365EC">
        <w:tblPrEx>
          <w:tblW w:w="0" w:type="auto"/>
          <w:tblLook w:val="06A0"/>
        </w:tblPrEx>
        <w:tc>
          <w:tcPr>
            <w:tcW w:w="4500" w:type="dxa"/>
          </w:tcPr>
          <w:p w:rsidR="00077DE3" w:rsidRPr="00E734D0" w:rsidP="001365EC" w14:paraId="4232EDB2" w14:textId="77777777">
            <w:pPr>
              <w:pStyle w:val="table-text"/>
              <w:rPr>
                <w:rFonts w:ascii="Times New Roman" w:hAnsi="Times New Roman"/>
                <w:b/>
                <w:bCs/>
                <w:sz w:val="22"/>
              </w:rPr>
            </w:pPr>
            <w:r w:rsidRPr="00E734D0">
              <w:rPr>
                <w:rFonts w:ascii="Times New Roman" w:hAnsi="Times New Roman"/>
                <w:b/>
                <w:bCs/>
                <w:sz w:val="22"/>
              </w:rPr>
              <w:t xml:space="preserve">Privatized Component </w:t>
            </w:r>
          </w:p>
        </w:tc>
        <w:tc>
          <w:tcPr>
            <w:tcW w:w="1021" w:type="dxa"/>
          </w:tcPr>
          <w:p w:rsidR="00077DE3" w:rsidRPr="00E734D0" w:rsidP="001365EC" w14:paraId="36D58CD9" w14:textId="77777777">
            <w:pPr>
              <w:pStyle w:val="table-text"/>
              <w:jc w:val="center"/>
              <w:rPr>
                <w:rFonts w:ascii="Times New Roman" w:hAnsi="Times New Roman"/>
                <w:sz w:val="22"/>
              </w:rPr>
            </w:pPr>
          </w:p>
        </w:tc>
        <w:tc>
          <w:tcPr>
            <w:tcW w:w="1169" w:type="dxa"/>
          </w:tcPr>
          <w:p w:rsidR="00077DE3" w:rsidRPr="00E734D0" w:rsidP="001365EC" w14:paraId="398929BD" w14:textId="77777777">
            <w:pPr>
              <w:pStyle w:val="table-text"/>
              <w:jc w:val="center"/>
              <w:rPr>
                <w:rFonts w:ascii="Times New Roman" w:hAnsi="Times New Roman"/>
                <w:sz w:val="22"/>
              </w:rPr>
            </w:pPr>
          </w:p>
        </w:tc>
        <w:tc>
          <w:tcPr>
            <w:tcW w:w="1320" w:type="dxa"/>
          </w:tcPr>
          <w:p w:rsidR="00077DE3" w:rsidRPr="00E734D0" w:rsidP="001365EC" w14:paraId="5E130762" w14:textId="77777777">
            <w:pPr>
              <w:pStyle w:val="table-text"/>
              <w:jc w:val="center"/>
              <w:rPr>
                <w:rFonts w:ascii="Times New Roman" w:hAnsi="Times New Roman"/>
                <w:sz w:val="22"/>
              </w:rPr>
            </w:pPr>
          </w:p>
        </w:tc>
        <w:tc>
          <w:tcPr>
            <w:tcW w:w="809" w:type="dxa"/>
          </w:tcPr>
          <w:p w:rsidR="00077DE3" w:rsidRPr="00E734D0" w:rsidP="001365EC" w14:paraId="1B0F1EA2" w14:textId="77777777">
            <w:pPr>
              <w:pStyle w:val="table-text"/>
              <w:jc w:val="center"/>
              <w:rPr>
                <w:rFonts w:ascii="Times New Roman" w:hAnsi="Times New Roman"/>
                <w:sz w:val="22"/>
              </w:rPr>
            </w:pPr>
          </w:p>
        </w:tc>
      </w:tr>
      <w:tr w14:paraId="6B4F9737" w14:textId="77777777" w:rsidTr="001365EC">
        <w:tblPrEx>
          <w:tblW w:w="0" w:type="auto"/>
          <w:tblLook w:val="06A0"/>
        </w:tblPrEx>
        <w:tc>
          <w:tcPr>
            <w:tcW w:w="4500" w:type="dxa"/>
          </w:tcPr>
          <w:p w:rsidR="00077DE3" w:rsidRPr="00E734D0" w:rsidP="001365EC" w14:paraId="417A47BA" w14:textId="77777777">
            <w:pPr>
              <w:pStyle w:val="table-text"/>
              <w:ind w:left="288"/>
              <w:rPr>
                <w:rFonts w:ascii="Times New Roman" w:hAnsi="Times New Roman"/>
                <w:i/>
                <w:iCs/>
                <w:sz w:val="22"/>
              </w:rPr>
            </w:pPr>
            <w:r w:rsidRPr="00E734D0">
              <w:rPr>
                <w:rFonts w:ascii="Times New Roman" w:hAnsi="Times New Roman"/>
                <w:i/>
                <w:iCs/>
                <w:sz w:val="22"/>
              </w:rPr>
              <w:t>Yes</w:t>
            </w:r>
          </w:p>
        </w:tc>
        <w:tc>
          <w:tcPr>
            <w:tcW w:w="1021" w:type="dxa"/>
          </w:tcPr>
          <w:p w:rsidR="00077DE3" w:rsidRPr="00E734D0" w:rsidP="001365EC" w14:paraId="0B1E8563" w14:textId="77777777">
            <w:pPr>
              <w:pStyle w:val="table-text"/>
              <w:jc w:val="center"/>
              <w:rPr>
                <w:rFonts w:ascii="Times New Roman" w:hAnsi="Times New Roman"/>
                <w:sz w:val="22"/>
              </w:rPr>
            </w:pPr>
            <w:r w:rsidRPr="00E734D0">
              <w:rPr>
                <w:rFonts w:ascii="Times New Roman" w:hAnsi="Times New Roman"/>
                <w:sz w:val="22"/>
              </w:rPr>
              <w:t>0</w:t>
            </w:r>
          </w:p>
        </w:tc>
        <w:tc>
          <w:tcPr>
            <w:tcW w:w="1169" w:type="dxa"/>
          </w:tcPr>
          <w:p w:rsidR="00077DE3" w:rsidRPr="00E734D0" w:rsidP="001365EC" w14:paraId="2CEFE023" w14:textId="65F98C7B">
            <w:pPr>
              <w:pStyle w:val="table-text"/>
              <w:jc w:val="center"/>
              <w:rPr>
                <w:rFonts w:ascii="Times New Roman" w:hAnsi="Times New Roman"/>
                <w:sz w:val="22"/>
              </w:rPr>
            </w:pPr>
            <w:r>
              <w:rPr>
                <w:rFonts w:ascii="Times New Roman" w:hAnsi="Times New Roman"/>
                <w:sz w:val="22"/>
              </w:rPr>
              <w:t>1</w:t>
            </w:r>
          </w:p>
        </w:tc>
        <w:tc>
          <w:tcPr>
            <w:tcW w:w="1320" w:type="dxa"/>
          </w:tcPr>
          <w:p w:rsidR="00077DE3" w:rsidRPr="00E734D0" w:rsidP="001365EC" w14:paraId="097668E6" w14:textId="77777777">
            <w:pPr>
              <w:pStyle w:val="table-text"/>
              <w:jc w:val="center"/>
              <w:rPr>
                <w:rFonts w:ascii="Times New Roman" w:hAnsi="Times New Roman"/>
                <w:sz w:val="22"/>
              </w:rPr>
            </w:pPr>
            <w:r w:rsidRPr="00E734D0">
              <w:rPr>
                <w:rFonts w:ascii="Times New Roman" w:hAnsi="Times New Roman"/>
                <w:sz w:val="22"/>
              </w:rPr>
              <w:t>0</w:t>
            </w:r>
          </w:p>
        </w:tc>
        <w:tc>
          <w:tcPr>
            <w:tcW w:w="809" w:type="dxa"/>
          </w:tcPr>
          <w:p w:rsidR="00077DE3" w:rsidRPr="00E734D0" w:rsidP="001365EC" w14:paraId="1EA2EC4A" w14:textId="688A233D">
            <w:pPr>
              <w:pStyle w:val="table-text"/>
              <w:jc w:val="center"/>
              <w:rPr>
                <w:rFonts w:ascii="Times New Roman" w:hAnsi="Times New Roman"/>
                <w:sz w:val="22"/>
              </w:rPr>
            </w:pPr>
            <w:r>
              <w:rPr>
                <w:rFonts w:ascii="Times New Roman" w:hAnsi="Times New Roman"/>
                <w:sz w:val="22"/>
              </w:rPr>
              <w:t>1</w:t>
            </w:r>
          </w:p>
        </w:tc>
      </w:tr>
      <w:tr w14:paraId="156BA15B" w14:textId="77777777" w:rsidTr="001365EC">
        <w:tblPrEx>
          <w:tblW w:w="0" w:type="auto"/>
          <w:tblLook w:val="06A0"/>
        </w:tblPrEx>
        <w:tc>
          <w:tcPr>
            <w:tcW w:w="4500" w:type="dxa"/>
          </w:tcPr>
          <w:p w:rsidR="00077DE3" w:rsidRPr="00E734D0" w:rsidP="001365EC" w14:paraId="67690BFE" w14:textId="77777777">
            <w:pPr>
              <w:pStyle w:val="table-text"/>
              <w:ind w:left="288"/>
              <w:rPr>
                <w:rFonts w:ascii="Times New Roman" w:hAnsi="Times New Roman"/>
                <w:i/>
                <w:iCs/>
                <w:sz w:val="22"/>
              </w:rPr>
            </w:pPr>
            <w:r w:rsidRPr="00E734D0">
              <w:rPr>
                <w:rFonts w:ascii="Times New Roman" w:hAnsi="Times New Roman"/>
                <w:i/>
                <w:iCs/>
                <w:sz w:val="22"/>
              </w:rPr>
              <w:t xml:space="preserve">Partial (as MD) </w:t>
            </w:r>
          </w:p>
        </w:tc>
        <w:tc>
          <w:tcPr>
            <w:tcW w:w="1021" w:type="dxa"/>
          </w:tcPr>
          <w:p w:rsidR="00077DE3" w:rsidRPr="00E734D0" w:rsidP="001365EC" w14:paraId="43FE0895" w14:textId="77777777">
            <w:pPr>
              <w:pStyle w:val="table-text"/>
              <w:jc w:val="center"/>
              <w:rPr>
                <w:rFonts w:ascii="Times New Roman" w:hAnsi="Times New Roman"/>
                <w:sz w:val="22"/>
              </w:rPr>
            </w:pPr>
            <w:r w:rsidRPr="00E734D0">
              <w:rPr>
                <w:rFonts w:ascii="Times New Roman" w:hAnsi="Times New Roman"/>
                <w:sz w:val="22"/>
              </w:rPr>
              <w:t>0</w:t>
            </w:r>
          </w:p>
        </w:tc>
        <w:tc>
          <w:tcPr>
            <w:tcW w:w="1169" w:type="dxa"/>
          </w:tcPr>
          <w:p w:rsidR="00077DE3" w:rsidRPr="00E734D0" w:rsidP="001365EC" w14:paraId="039C18E5" w14:textId="60BFFD91">
            <w:pPr>
              <w:pStyle w:val="table-text"/>
              <w:jc w:val="center"/>
              <w:rPr>
                <w:rFonts w:ascii="Times New Roman" w:hAnsi="Times New Roman"/>
                <w:sz w:val="22"/>
              </w:rPr>
            </w:pPr>
            <w:r>
              <w:rPr>
                <w:rFonts w:ascii="Times New Roman" w:hAnsi="Times New Roman"/>
                <w:sz w:val="22"/>
              </w:rPr>
              <w:t>2</w:t>
            </w:r>
          </w:p>
        </w:tc>
        <w:tc>
          <w:tcPr>
            <w:tcW w:w="1320" w:type="dxa"/>
          </w:tcPr>
          <w:p w:rsidR="00077DE3" w:rsidRPr="00E734D0" w:rsidP="001365EC" w14:paraId="1673B7BA" w14:textId="77777777">
            <w:pPr>
              <w:pStyle w:val="table-text"/>
              <w:jc w:val="center"/>
              <w:rPr>
                <w:rFonts w:ascii="Times New Roman" w:hAnsi="Times New Roman"/>
                <w:sz w:val="22"/>
              </w:rPr>
            </w:pPr>
            <w:r w:rsidRPr="00E734D0">
              <w:rPr>
                <w:rFonts w:ascii="Times New Roman" w:hAnsi="Times New Roman"/>
                <w:sz w:val="22"/>
              </w:rPr>
              <w:t>0</w:t>
            </w:r>
          </w:p>
        </w:tc>
        <w:tc>
          <w:tcPr>
            <w:tcW w:w="809" w:type="dxa"/>
          </w:tcPr>
          <w:p w:rsidR="00077DE3" w:rsidRPr="00E734D0" w:rsidP="001365EC" w14:paraId="705C0653" w14:textId="68B9113B">
            <w:pPr>
              <w:pStyle w:val="table-text"/>
              <w:jc w:val="center"/>
              <w:rPr>
                <w:rFonts w:ascii="Times New Roman" w:hAnsi="Times New Roman"/>
                <w:sz w:val="22"/>
              </w:rPr>
            </w:pPr>
            <w:r>
              <w:rPr>
                <w:rFonts w:ascii="Times New Roman" w:hAnsi="Times New Roman"/>
                <w:sz w:val="22"/>
              </w:rPr>
              <w:t>2</w:t>
            </w:r>
          </w:p>
        </w:tc>
      </w:tr>
      <w:tr w14:paraId="00EAB84C" w14:textId="77777777" w:rsidTr="001365EC">
        <w:tblPrEx>
          <w:tblW w:w="0" w:type="auto"/>
          <w:tblLook w:val="06A0"/>
        </w:tblPrEx>
        <w:tc>
          <w:tcPr>
            <w:tcW w:w="4500" w:type="dxa"/>
          </w:tcPr>
          <w:p w:rsidR="00077DE3" w:rsidRPr="00E734D0" w:rsidP="001365EC" w14:paraId="5D19D5A2" w14:textId="77777777">
            <w:pPr>
              <w:pStyle w:val="table-text"/>
              <w:ind w:left="288"/>
              <w:rPr>
                <w:rFonts w:ascii="Times New Roman" w:hAnsi="Times New Roman"/>
                <w:i/>
                <w:iCs/>
                <w:sz w:val="22"/>
              </w:rPr>
            </w:pPr>
            <w:r w:rsidRPr="00E734D0">
              <w:rPr>
                <w:rFonts w:ascii="Times New Roman" w:hAnsi="Times New Roman"/>
                <w:i/>
                <w:iCs/>
                <w:sz w:val="22"/>
              </w:rPr>
              <w:t>No</w:t>
            </w:r>
          </w:p>
        </w:tc>
        <w:tc>
          <w:tcPr>
            <w:tcW w:w="1021" w:type="dxa"/>
          </w:tcPr>
          <w:p w:rsidR="00077DE3" w:rsidRPr="00E734D0" w:rsidP="001365EC" w14:paraId="43257CD2" w14:textId="34A53931">
            <w:pPr>
              <w:pStyle w:val="table-text"/>
              <w:jc w:val="center"/>
              <w:rPr>
                <w:rFonts w:ascii="Times New Roman" w:hAnsi="Times New Roman"/>
                <w:sz w:val="22"/>
              </w:rPr>
            </w:pPr>
            <w:r>
              <w:rPr>
                <w:rFonts w:ascii="Times New Roman" w:hAnsi="Times New Roman"/>
                <w:sz w:val="22"/>
              </w:rPr>
              <w:t>5</w:t>
            </w:r>
          </w:p>
        </w:tc>
        <w:tc>
          <w:tcPr>
            <w:tcW w:w="1169" w:type="dxa"/>
          </w:tcPr>
          <w:p w:rsidR="00077DE3" w:rsidRPr="00E734D0" w:rsidP="001365EC" w14:paraId="10325D62" w14:textId="130EE185">
            <w:pPr>
              <w:pStyle w:val="table-text"/>
              <w:jc w:val="center"/>
              <w:rPr>
                <w:rFonts w:ascii="Times New Roman" w:hAnsi="Times New Roman"/>
                <w:sz w:val="22"/>
              </w:rPr>
            </w:pPr>
            <w:r>
              <w:rPr>
                <w:rFonts w:ascii="Times New Roman" w:hAnsi="Times New Roman"/>
                <w:sz w:val="22"/>
              </w:rPr>
              <w:t>2</w:t>
            </w:r>
          </w:p>
        </w:tc>
        <w:tc>
          <w:tcPr>
            <w:tcW w:w="1320" w:type="dxa"/>
          </w:tcPr>
          <w:p w:rsidR="00077DE3" w:rsidRPr="00E734D0" w:rsidP="001365EC" w14:paraId="77352AF3" w14:textId="1E8D77D6">
            <w:pPr>
              <w:pStyle w:val="table-text"/>
              <w:jc w:val="center"/>
              <w:rPr>
                <w:rFonts w:ascii="Times New Roman" w:hAnsi="Times New Roman"/>
                <w:sz w:val="22"/>
              </w:rPr>
            </w:pPr>
            <w:r>
              <w:rPr>
                <w:rFonts w:ascii="Times New Roman" w:hAnsi="Times New Roman"/>
                <w:sz w:val="22"/>
              </w:rPr>
              <w:t>5</w:t>
            </w:r>
          </w:p>
        </w:tc>
        <w:tc>
          <w:tcPr>
            <w:tcW w:w="809" w:type="dxa"/>
          </w:tcPr>
          <w:p w:rsidR="00077DE3" w:rsidRPr="00E734D0" w:rsidP="001365EC" w14:paraId="4DBDAEE0" w14:textId="73FAC468">
            <w:pPr>
              <w:pStyle w:val="table-text"/>
              <w:jc w:val="center"/>
              <w:rPr>
                <w:rFonts w:ascii="Times New Roman" w:hAnsi="Times New Roman"/>
                <w:sz w:val="22"/>
              </w:rPr>
            </w:pPr>
            <w:r>
              <w:rPr>
                <w:rFonts w:ascii="Times New Roman" w:hAnsi="Times New Roman"/>
                <w:sz w:val="22"/>
              </w:rPr>
              <w:t>11</w:t>
            </w:r>
          </w:p>
        </w:tc>
      </w:tr>
      <w:tr w14:paraId="08DF9537" w14:textId="77777777" w:rsidTr="001365EC">
        <w:tblPrEx>
          <w:tblW w:w="0" w:type="auto"/>
          <w:tblLook w:val="06A0"/>
        </w:tblPrEx>
        <w:tc>
          <w:tcPr>
            <w:tcW w:w="4500" w:type="dxa"/>
          </w:tcPr>
          <w:p w:rsidR="00077DE3" w:rsidRPr="00E734D0" w:rsidP="001365EC" w14:paraId="47ACE4D2" w14:textId="77777777">
            <w:pPr>
              <w:pStyle w:val="table-text"/>
              <w:rPr>
                <w:rFonts w:ascii="Times New Roman" w:hAnsi="Times New Roman"/>
                <w:b/>
                <w:bCs/>
                <w:sz w:val="22"/>
              </w:rPr>
            </w:pPr>
            <w:r w:rsidRPr="00E734D0">
              <w:rPr>
                <w:rFonts w:ascii="Times New Roman" w:hAnsi="Times New Roman"/>
                <w:b/>
                <w:bCs/>
                <w:sz w:val="22"/>
              </w:rPr>
              <w:t xml:space="preserve">Autopsy Location </w:t>
            </w:r>
          </w:p>
        </w:tc>
        <w:tc>
          <w:tcPr>
            <w:tcW w:w="1021" w:type="dxa"/>
          </w:tcPr>
          <w:p w:rsidR="00077DE3" w:rsidRPr="00E734D0" w:rsidP="001365EC" w14:paraId="4ED32262" w14:textId="77777777">
            <w:pPr>
              <w:pStyle w:val="table-text"/>
              <w:jc w:val="center"/>
              <w:rPr>
                <w:rFonts w:ascii="Times New Roman" w:hAnsi="Times New Roman"/>
                <w:sz w:val="22"/>
              </w:rPr>
            </w:pPr>
          </w:p>
        </w:tc>
        <w:tc>
          <w:tcPr>
            <w:tcW w:w="1169" w:type="dxa"/>
          </w:tcPr>
          <w:p w:rsidR="00077DE3" w:rsidRPr="00E734D0" w:rsidP="001365EC" w14:paraId="14DAE398" w14:textId="77777777">
            <w:pPr>
              <w:pStyle w:val="table-text"/>
              <w:jc w:val="center"/>
              <w:rPr>
                <w:rFonts w:ascii="Times New Roman" w:hAnsi="Times New Roman"/>
                <w:sz w:val="22"/>
              </w:rPr>
            </w:pPr>
          </w:p>
        </w:tc>
        <w:tc>
          <w:tcPr>
            <w:tcW w:w="1320" w:type="dxa"/>
          </w:tcPr>
          <w:p w:rsidR="00077DE3" w:rsidRPr="00E734D0" w:rsidP="001365EC" w14:paraId="2C59F777" w14:textId="77777777">
            <w:pPr>
              <w:pStyle w:val="table-text"/>
              <w:jc w:val="center"/>
              <w:rPr>
                <w:rFonts w:ascii="Times New Roman" w:hAnsi="Times New Roman"/>
                <w:sz w:val="22"/>
              </w:rPr>
            </w:pPr>
          </w:p>
        </w:tc>
        <w:tc>
          <w:tcPr>
            <w:tcW w:w="809" w:type="dxa"/>
          </w:tcPr>
          <w:p w:rsidR="00077DE3" w:rsidRPr="00E734D0" w:rsidP="001365EC" w14:paraId="12776162" w14:textId="77777777">
            <w:pPr>
              <w:pStyle w:val="table-text"/>
              <w:jc w:val="center"/>
              <w:rPr>
                <w:rFonts w:ascii="Times New Roman" w:hAnsi="Times New Roman"/>
                <w:sz w:val="22"/>
              </w:rPr>
            </w:pPr>
          </w:p>
        </w:tc>
      </w:tr>
      <w:tr w14:paraId="1F5D13CE" w14:textId="77777777" w:rsidTr="001365EC">
        <w:tblPrEx>
          <w:tblW w:w="0" w:type="auto"/>
          <w:tblLook w:val="06A0"/>
        </w:tblPrEx>
        <w:tc>
          <w:tcPr>
            <w:tcW w:w="4500" w:type="dxa"/>
          </w:tcPr>
          <w:p w:rsidR="00077DE3" w:rsidRPr="00E734D0" w:rsidP="001365EC" w14:paraId="046C23B2" w14:textId="77777777">
            <w:pPr>
              <w:pStyle w:val="table-text"/>
              <w:ind w:left="288"/>
              <w:rPr>
                <w:rFonts w:ascii="Times New Roman" w:hAnsi="Times New Roman"/>
                <w:i/>
                <w:iCs/>
                <w:sz w:val="22"/>
              </w:rPr>
            </w:pPr>
            <w:r w:rsidRPr="00E734D0">
              <w:rPr>
                <w:rFonts w:ascii="Times New Roman" w:hAnsi="Times New Roman"/>
                <w:i/>
                <w:iCs/>
                <w:sz w:val="22"/>
              </w:rPr>
              <w:t xml:space="preserve">Internal </w:t>
            </w:r>
          </w:p>
        </w:tc>
        <w:tc>
          <w:tcPr>
            <w:tcW w:w="1021" w:type="dxa"/>
          </w:tcPr>
          <w:p w:rsidR="00077DE3" w:rsidRPr="00E734D0" w:rsidP="001365EC" w14:paraId="43A2066E" w14:textId="46486D81">
            <w:pPr>
              <w:pStyle w:val="table-text"/>
              <w:jc w:val="center"/>
              <w:rPr>
                <w:rFonts w:ascii="Times New Roman" w:hAnsi="Times New Roman"/>
                <w:sz w:val="22"/>
              </w:rPr>
            </w:pPr>
            <w:r>
              <w:rPr>
                <w:rFonts w:ascii="Times New Roman" w:hAnsi="Times New Roman"/>
                <w:sz w:val="22"/>
              </w:rPr>
              <w:t>1</w:t>
            </w:r>
          </w:p>
        </w:tc>
        <w:tc>
          <w:tcPr>
            <w:tcW w:w="1169" w:type="dxa"/>
          </w:tcPr>
          <w:p w:rsidR="00077DE3" w:rsidRPr="00E734D0" w:rsidP="001365EC" w14:paraId="39DD8E97" w14:textId="22860317">
            <w:pPr>
              <w:pStyle w:val="table-text"/>
              <w:jc w:val="center"/>
              <w:rPr>
                <w:rFonts w:ascii="Times New Roman" w:hAnsi="Times New Roman"/>
                <w:sz w:val="22"/>
              </w:rPr>
            </w:pPr>
            <w:r>
              <w:rPr>
                <w:rFonts w:ascii="Times New Roman" w:hAnsi="Times New Roman"/>
                <w:sz w:val="22"/>
              </w:rPr>
              <w:t>3</w:t>
            </w:r>
          </w:p>
        </w:tc>
        <w:tc>
          <w:tcPr>
            <w:tcW w:w="1320" w:type="dxa"/>
          </w:tcPr>
          <w:p w:rsidR="00077DE3" w:rsidRPr="00E734D0" w:rsidP="001365EC" w14:paraId="03B40E87" w14:textId="77777777">
            <w:pPr>
              <w:pStyle w:val="table-text"/>
              <w:jc w:val="center"/>
              <w:rPr>
                <w:rFonts w:ascii="Times New Roman" w:hAnsi="Times New Roman"/>
                <w:sz w:val="22"/>
              </w:rPr>
            </w:pPr>
            <w:r w:rsidRPr="00E734D0">
              <w:rPr>
                <w:rFonts w:ascii="Times New Roman" w:hAnsi="Times New Roman"/>
                <w:sz w:val="22"/>
              </w:rPr>
              <w:t>0</w:t>
            </w:r>
          </w:p>
        </w:tc>
        <w:tc>
          <w:tcPr>
            <w:tcW w:w="809" w:type="dxa"/>
          </w:tcPr>
          <w:p w:rsidR="00077DE3" w:rsidRPr="00E734D0" w:rsidP="001365EC" w14:paraId="2D9DF216" w14:textId="207E8367">
            <w:pPr>
              <w:pStyle w:val="table-text"/>
              <w:jc w:val="center"/>
              <w:rPr>
                <w:rFonts w:ascii="Times New Roman" w:hAnsi="Times New Roman"/>
                <w:sz w:val="22"/>
              </w:rPr>
            </w:pPr>
            <w:r>
              <w:rPr>
                <w:rFonts w:ascii="Times New Roman" w:hAnsi="Times New Roman"/>
                <w:sz w:val="22"/>
              </w:rPr>
              <w:t>4</w:t>
            </w:r>
          </w:p>
        </w:tc>
      </w:tr>
      <w:tr w14:paraId="3801D620" w14:textId="77777777" w:rsidTr="001365EC">
        <w:tblPrEx>
          <w:tblW w:w="0" w:type="auto"/>
          <w:tblLook w:val="06A0"/>
        </w:tblPrEx>
        <w:tc>
          <w:tcPr>
            <w:tcW w:w="4500" w:type="dxa"/>
          </w:tcPr>
          <w:p w:rsidR="00077DE3" w:rsidRPr="00E734D0" w:rsidP="001365EC" w14:paraId="50CD8932" w14:textId="77777777">
            <w:pPr>
              <w:pStyle w:val="table-text"/>
              <w:ind w:left="288"/>
              <w:rPr>
                <w:rFonts w:ascii="Times New Roman" w:hAnsi="Times New Roman"/>
                <w:i/>
                <w:iCs/>
                <w:sz w:val="22"/>
              </w:rPr>
            </w:pPr>
            <w:r w:rsidRPr="00E734D0">
              <w:rPr>
                <w:rFonts w:ascii="Times New Roman" w:hAnsi="Times New Roman"/>
                <w:i/>
                <w:iCs/>
                <w:sz w:val="22"/>
              </w:rPr>
              <w:t xml:space="preserve">External </w:t>
            </w:r>
          </w:p>
        </w:tc>
        <w:tc>
          <w:tcPr>
            <w:tcW w:w="1021" w:type="dxa"/>
          </w:tcPr>
          <w:p w:rsidR="00077DE3" w:rsidRPr="00E734D0" w:rsidP="001365EC" w14:paraId="78152850" w14:textId="35D543A5">
            <w:pPr>
              <w:pStyle w:val="table-text"/>
              <w:jc w:val="center"/>
              <w:rPr>
                <w:rFonts w:ascii="Times New Roman" w:hAnsi="Times New Roman"/>
                <w:sz w:val="22"/>
              </w:rPr>
            </w:pPr>
            <w:r>
              <w:rPr>
                <w:rFonts w:ascii="Times New Roman" w:hAnsi="Times New Roman"/>
                <w:sz w:val="22"/>
              </w:rPr>
              <w:t>4</w:t>
            </w:r>
          </w:p>
        </w:tc>
        <w:tc>
          <w:tcPr>
            <w:tcW w:w="1169" w:type="dxa"/>
          </w:tcPr>
          <w:p w:rsidR="00077DE3" w:rsidRPr="00E734D0" w:rsidP="001365EC" w14:paraId="5EB88D81" w14:textId="1EBB0042">
            <w:pPr>
              <w:pStyle w:val="table-text"/>
              <w:jc w:val="center"/>
              <w:rPr>
                <w:rFonts w:ascii="Times New Roman" w:hAnsi="Times New Roman"/>
                <w:sz w:val="22"/>
              </w:rPr>
            </w:pPr>
            <w:r>
              <w:rPr>
                <w:rFonts w:ascii="Times New Roman" w:hAnsi="Times New Roman"/>
                <w:sz w:val="22"/>
              </w:rPr>
              <w:t>2</w:t>
            </w:r>
          </w:p>
        </w:tc>
        <w:tc>
          <w:tcPr>
            <w:tcW w:w="1320" w:type="dxa"/>
          </w:tcPr>
          <w:p w:rsidR="00077DE3" w:rsidRPr="00E734D0" w:rsidP="001365EC" w14:paraId="69198539" w14:textId="67D5CE8D">
            <w:pPr>
              <w:pStyle w:val="table-text"/>
              <w:jc w:val="center"/>
              <w:rPr>
                <w:rFonts w:ascii="Times New Roman" w:hAnsi="Times New Roman"/>
                <w:sz w:val="22"/>
              </w:rPr>
            </w:pPr>
            <w:r>
              <w:rPr>
                <w:rFonts w:ascii="Times New Roman" w:hAnsi="Times New Roman"/>
                <w:sz w:val="22"/>
              </w:rPr>
              <w:t>5</w:t>
            </w:r>
          </w:p>
        </w:tc>
        <w:tc>
          <w:tcPr>
            <w:tcW w:w="809" w:type="dxa"/>
          </w:tcPr>
          <w:p w:rsidR="00077DE3" w:rsidRPr="00E734D0" w:rsidP="001365EC" w14:paraId="1318C31C" w14:textId="7745481F">
            <w:pPr>
              <w:pStyle w:val="table-text"/>
              <w:jc w:val="center"/>
              <w:rPr>
                <w:rFonts w:ascii="Times New Roman" w:hAnsi="Times New Roman"/>
                <w:sz w:val="22"/>
              </w:rPr>
            </w:pPr>
            <w:r>
              <w:rPr>
                <w:rFonts w:ascii="Times New Roman" w:hAnsi="Times New Roman"/>
                <w:sz w:val="22"/>
              </w:rPr>
              <w:t>11</w:t>
            </w:r>
          </w:p>
        </w:tc>
      </w:tr>
      <w:tr w14:paraId="4F1568D8" w14:textId="77777777" w:rsidTr="001365EC">
        <w:tblPrEx>
          <w:tblW w:w="0" w:type="auto"/>
          <w:tblLook w:val="06A0"/>
        </w:tblPrEx>
        <w:tc>
          <w:tcPr>
            <w:tcW w:w="0" w:type="dxa"/>
          </w:tcPr>
          <w:p w:rsidR="00077DE3" w:rsidRPr="00E734D0" w:rsidP="001365EC" w14:paraId="39805202" w14:textId="77777777">
            <w:pPr>
              <w:pStyle w:val="table-text"/>
              <w:rPr>
                <w:rFonts w:ascii="Times New Roman" w:hAnsi="Times New Roman"/>
                <w:b/>
                <w:bCs/>
                <w:sz w:val="22"/>
              </w:rPr>
            </w:pPr>
            <w:r w:rsidRPr="00E734D0">
              <w:rPr>
                <w:rFonts w:ascii="Times New Roman" w:hAnsi="Times New Roman"/>
                <w:b/>
                <w:bCs/>
                <w:sz w:val="22"/>
              </w:rPr>
              <w:t>Size of Jurisdiction</w:t>
            </w:r>
            <w:r>
              <w:rPr>
                <w:rFonts w:ascii="Times New Roman" w:hAnsi="Times New Roman"/>
                <w:b/>
                <w:bCs/>
                <w:sz w:val="22"/>
              </w:rPr>
              <w:t xml:space="preserve"> </w:t>
            </w:r>
          </w:p>
        </w:tc>
        <w:tc>
          <w:tcPr>
            <w:tcW w:w="0" w:type="dxa"/>
          </w:tcPr>
          <w:p w:rsidR="00077DE3" w:rsidRPr="00E734D0" w:rsidP="001365EC" w14:paraId="0AD6DC0A" w14:textId="77777777">
            <w:pPr>
              <w:pStyle w:val="table-text"/>
              <w:jc w:val="center"/>
              <w:rPr>
                <w:rFonts w:ascii="Times New Roman" w:hAnsi="Times New Roman"/>
                <w:sz w:val="22"/>
              </w:rPr>
            </w:pPr>
          </w:p>
        </w:tc>
        <w:tc>
          <w:tcPr>
            <w:tcW w:w="1169" w:type="dxa"/>
          </w:tcPr>
          <w:p w:rsidR="00077DE3" w:rsidRPr="00E734D0" w:rsidP="001365EC" w14:paraId="6FC41FC8" w14:textId="77777777">
            <w:pPr>
              <w:pStyle w:val="table-text"/>
              <w:jc w:val="center"/>
              <w:rPr>
                <w:rFonts w:ascii="Times New Roman" w:hAnsi="Times New Roman"/>
                <w:sz w:val="22"/>
              </w:rPr>
            </w:pPr>
          </w:p>
        </w:tc>
        <w:tc>
          <w:tcPr>
            <w:tcW w:w="1320" w:type="dxa"/>
          </w:tcPr>
          <w:p w:rsidR="00077DE3" w:rsidRPr="00E734D0" w:rsidP="001365EC" w14:paraId="520425AE" w14:textId="77777777">
            <w:pPr>
              <w:pStyle w:val="table-text"/>
              <w:jc w:val="center"/>
              <w:rPr>
                <w:rFonts w:ascii="Times New Roman" w:hAnsi="Times New Roman"/>
                <w:sz w:val="22"/>
              </w:rPr>
            </w:pPr>
          </w:p>
        </w:tc>
        <w:tc>
          <w:tcPr>
            <w:tcW w:w="809" w:type="dxa"/>
          </w:tcPr>
          <w:p w:rsidR="00077DE3" w:rsidRPr="00E734D0" w:rsidP="001365EC" w14:paraId="04265EF4" w14:textId="77777777">
            <w:pPr>
              <w:pStyle w:val="table-text"/>
              <w:jc w:val="center"/>
              <w:rPr>
                <w:rFonts w:ascii="Times New Roman" w:hAnsi="Times New Roman"/>
                <w:sz w:val="22"/>
              </w:rPr>
            </w:pPr>
          </w:p>
        </w:tc>
      </w:tr>
      <w:tr w14:paraId="2858028D" w14:textId="77777777" w:rsidTr="001365EC">
        <w:tblPrEx>
          <w:tblW w:w="0" w:type="auto"/>
          <w:tblLook w:val="06A0"/>
        </w:tblPrEx>
        <w:tc>
          <w:tcPr>
            <w:tcW w:w="0" w:type="dxa"/>
          </w:tcPr>
          <w:p w:rsidR="00077DE3" w:rsidRPr="00E734D0" w:rsidP="001365EC" w14:paraId="0363F4C6" w14:textId="77777777">
            <w:pPr>
              <w:pStyle w:val="table-text"/>
              <w:ind w:left="288"/>
              <w:rPr>
                <w:rFonts w:ascii="Times New Roman" w:hAnsi="Times New Roman"/>
                <w:i/>
                <w:iCs/>
                <w:sz w:val="22"/>
              </w:rPr>
            </w:pPr>
            <w:r w:rsidRPr="00E734D0">
              <w:rPr>
                <w:rFonts w:ascii="Times New Roman" w:hAnsi="Times New Roman"/>
                <w:i/>
                <w:iCs/>
                <w:sz w:val="22"/>
              </w:rPr>
              <w:t xml:space="preserve">Less than 25,000 (small) </w:t>
            </w:r>
          </w:p>
        </w:tc>
        <w:tc>
          <w:tcPr>
            <w:tcW w:w="0" w:type="dxa"/>
          </w:tcPr>
          <w:p w:rsidR="00077DE3" w:rsidRPr="00E734D0" w:rsidP="001365EC" w14:paraId="2CB1FC4A" w14:textId="3B55DCD3">
            <w:pPr>
              <w:pStyle w:val="table-text"/>
              <w:jc w:val="center"/>
              <w:rPr>
                <w:rFonts w:ascii="Times New Roman" w:hAnsi="Times New Roman"/>
                <w:sz w:val="22"/>
              </w:rPr>
            </w:pPr>
            <w:r>
              <w:rPr>
                <w:rFonts w:ascii="Times New Roman" w:hAnsi="Times New Roman"/>
                <w:sz w:val="22"/>
              </w:rPr>
              <w:t>2</w:t>
            </w:r>
          </w:p>
        </w:tc>
        <w:tc>
          <w:tcPr>
            <w:tcW w:w="1169" w:type="dxa"/>
          </w:tcPr>
          <w:p w:rsidR="00077DE3" w:rsidRPr="00E734D0" w:rsidP="001365EC" w14:paraId="43286ABD" w14:textId="77777777">
            <w:pPr>
              <w:pStyle w:val="table-text"/>
              <w:jc w:val="center"/>
              <w:rPr>
                <w:rFonts w:ascii="Times New Roman" w:hAnsi="Times New Roman"/>
                <w:sz w:val="22"/>
              </w:rPr>
            </w:pPr>
            <w:r w:rsidRPr="00E734D0">
              <w:rPr>
                <w:rFonts w:ascii="Times New Roman" w:hAnsi="Times New Roman"/>
                <w:sz w:val="22"/>
              </w:rPr>
              <w:t>1</w:t>
            </w:r>
          </w:p>
        </w:tc>
        <w:tc>
          <w:tcPr>
            <w:tcW w:w="1320" w:type="dxa"/>
          </w:tcPr>
          <w:p w:rsidR="00077DE3" w:rsidRPr="002740D0" w:rsidP="001365EC" w14:paraId="0093B5EC" w14:textId="28D78EF2">
            <w:pPr>
              <w:pStyle w:val="table-text"/>
              <w:jc w:val="center"/>
              <w:rPr>
                <w:rFonts w:ascii="Times New Roman" w:hAnsi="Times New Roman"/>
                <w:sz w:val="22"/>
              </w:rPr>
            </w:pPr>
            <w:r>
              <w:rPr>
                <w:rFonts w:ascii="Times New Roman" w:hAnsi="Times New Roman"/>
                <w:sz w:val="22"/>
              </w:rPr>
              <w:t>2</w:t>
            </w:r>
          </w:p>
        </w:tc>
        <w:tc>
          <w:tcPr>
            <w:tcW w:w="809" w:type="dxa"/>
          </w:tcPr>
          <w:p w:rsidR="00077DE3" w:rsidRPr="00E734D0" w:rsidP="001365EC" w14:paraId="3DB6C95E" w14:textId="11540E43">
            <w:pPr>
              <w:pStyle w:val="table-text"/>
              <w:jc w:val="center"/>
              <w:rPr>
                <w:rFonts w:ascii="Times New Roman" w:hAnsi="Times New Roman"/>
                <w:sz w:val="22"/>
              </w:rPr>
            </w:pPr>
            <w:r>
              <w:rPr>
                <w:rFonts w:ascii="Times New Roman" w:hAnsi="Times New Roman"/>
                <w:sz w:val="22"/>
              </w:rPr>
              <w:t>5</w:t>
            </w:r>
          </w:p>
        </w:tc>
      </w:tr>
      <w:tr w14:paraId="41B25D98" w14:textId="77777777" w:rsidTr="001365EC">
        <w:tblPrEx>
          <w:tblW w:w="0" w:type="auto"/>
          <w:tblLook w:val="06A0"/>
        </w:tblPrEx>
        <w:tc>
          <w:tcPr>
            <w:tcW w:w="0" w:type="dxa"/>
          </w:tcPr>
          <w:p w:rsidR="00077DE3" w:rsidRPr="00E734D0" w:rsidP="001365EC" w14:paraId="5366B3A3" w14:textId="77777777">
            <w:pPr>
              <w:pStyle w:val="table-text"/>
              <w:ind w:left="288"/>
              <w:rPr>
                <w:rFonts w:ascii="Times New Roman" w:hAnsi="Times New Roman"/>
                <w:i/>
                <w:iCs/>
                <w:sz w:val="22"/>
              </w:rPr>
            </w:pPr>
            <w:r w:rsidRPr="00E734D0">
              <w:rPr>
                <w:rFonts w:ascii="Times New Roman" w:hAnsi="Times New Roman"/>
                <w:i/>
                <w:iCs/>
                <w:sz w:val="22"/>
              </w:rPr>
              <w:t xml:space="preserve">Between 25,000 and 250,000 (medium) </w:t>
            </w:r>
          </w:p>
        </w:tc>
        <w:tc>
          <w:tcPr>
            <w:tcW w:w="0" w:type="dxa"/>
          </w:tcPr>
          <w:p w:rsidR="00077DE3" w:rsidRPr="00E734D0" w:rsidP="001365EC" w14:paraId="26065AF2" w14:textId="337C9578">
            <w:pPr>
              <w:pStyle w:val="table-text"/>
              <w:jc w:val="center"/>
              <w:rPr>
                <w:rFonts w:ascii="Times New Roman" w:hAnsi="Times New Roman"/>
                <w:sz w:val="22"/>
              </w:rPr>
            </w:pPr>
            <w:r>
              <w:rPr>
                <w:rFonts w:ascii="Times New Roman" w:hAnsi="Times New Roman"/>
                <w:sz w:val="22"/>
              </w:rPr>
              <w:t>2</w:t>
            </w:r>
          </w:p>
        </w:tc>
        <w:tc>
          <w:tcPr>
            <w:tcW w:w="1169" w:type="dxa"/>
          </w:tcPr>
          <w:p w:rsidR="00077DE3" w:rsidRPr="00E734D0" w:rsidP="001365EC" w14:paraId="5CDBAA83" w14:textId="77777777">
            <w:pPr>
              <w:pStyle w:val="table-text"/>
              <w:jc w:val="center"/>
              <w:rPr>
                <w:rFonts w:ascii="Times New Roman" w:hAnsi="Times New Roman"/>
                <w:sz w:val="22"/>
              </w:rPr>
            </w:pPr>
            <w:r w:rsidRPr="00E734D0">
              <w:rPr>
                <w:rFonts w:ascii="Times New Roman" w:hAnsi="Times New Roman"/>
                <w:sz w:val="22"/>
              </w:rPr>
              <w:t>1</w:t>
            </w:r>
          </w:p>
        </w:tc>
        <w:tc>
          <w:tcPr>
            <w:tcW w:w="1320" w:type="dxa"/>
          </w:tcPr>
          <w:p w:rsidR="00077DE3" w:rsidRPr="002740D0" w:rsidP="001365EC" w14:paraId="7229510F" w14:textId="6B66FBAC">
            <w:pPr>
              <w:pStyle w:val="table-text"/>
              <w:jc w:val="center"/>
              <w:rPr>
                <w:rFonts w:ascii="Times New Roman" w:hAnsi="Times New Roman"/>
                <w:sz w:val="22"/>
              </w:rPr>
            </w:pPr>
            <w:r>
              <w:rPr>
                <w:rFonts w:ascii="Times New Roman" w:hAnsi="Times New Roman"/>
                <w:sz w:val="22"/>
              </w:rPr>
              <w:t>2</w:t>
            </w:r>
          </w:p>
        </w:tc>
        <w:tc>
          <w:tcPr>
            <w:tcW w:w="809" w:type="dxa"/>
          </w:tcPr>
          <w:p w:rsidR="00077DE3" w:rsidRPr="00E734D0" w:rsidP="001365EC" w14:paraId="361794C0" w14:textId="6D50706A">
            <w:pPr>
              <w:pStyle w:val="table-text"/>
              <w:jc w:val="center"/>
              <w:rPr>
                <w:rFonts w:ascii="Times New Roman" w:hAnsi="Times New Roman"/>
                <w:sz w:val="22"/>
              </w:rPr>
            </w:pPr>
            <w:r>
              <w:rPr>
                <w:rFonts w:ascii="Times New Roman" w:hAnsi="Times New Roman"/>
                <w:sz w:val="22"/>
              </w:rPr>
              <w:t>5</w:t>
            </w:r>
          </w:p>
        </w:tc>
      </w:tr>
      <w:tr w14:paraId="256CB5D7" w14:textId="77777777" w:rsidTr="001365EC">
        <w:tblPrEx>
          <w:tblW w:w="0" w:type="auto"/>
          <w:tblLook w:val="06A0"/>
        </w:tblPrEx>
        <w:tc>
          <w:tcPr>
            <w:tcW w:w="0" w:type="dxa"/>
          </w:tcPr>
          <w:p w:rsidR="00077DE3" w:rsidRPr="00E734D0" w:rsidP="001365EC" w14:paraId="72BD73DF" w14:textId="77777777">
            <w:pPr>
              <w:pStyle w:val="table-text"/>
              <w:ind w:left="288"/>
              <w:rPr>
                <w:rFonts w:ascii="Times New Roman" w:hAnsi="Times New Roman"/>
                <w:i/>
                <w:iCs/>
                <w:sz w:val="22"/>
              </w:rPr>
            </w:pPr>
            <w:r w:rsidRPr="00E734D0">
              <w:rPr>
                <w:rFonts w:ascii="Times New Roman" w:hAnsi="Times New Roman"/>
                <w:i/>
                <w:iCs/>
                <w:sz w:val="22"/>
              </w:rPr>
              <w:t xml:space="preserve">Over 250,000 (large) </w:t>
            </w:r>
          </w:p>
        </w:tc>
        <w:tc>
          <w:tcPr>
            <w:tcW w:w="0" w:type="dxa"/>
          </w:tcPr>
          <w:p w:rsidR="00077DE3" w:rsidRPr="00E734D0" w:rsidP="001365EC" w14:paraId="6913222D" w14:textId="77777777">
            <w:pPr>
              <w:pStyle w:val="table-text"/>
              <w:jc w:val="center"/>
              <w:rPr>
                <w:rFonts w:ascii="Times New Roman" w:hAnsi="Times New Roman"/>
                <w:sz w:val="22"/>
              </w:rPr>
            </w:pPr>
            <w:r w:rsidRPr="00E734D0">
              <w:rPr>
                <w:rFonts w:ascii="Times New Roman" w:hAnsi="Times New Roman"/>
                <w:sz w:val="22"/>
              </w:rPr>
              <w:t>1</w:t>
            </w:r>
          </w:p>
        </w:tc>
        <w:tc>
          <w:tcPr>
            <w:tcW w:w="1169" w:type="dxa"/>
          </w:tcPr>
          <w:p w:rsidR="00077DE3" w:rsidRPr="00E734D0" w:rsidP="001365EC" w14:paraId="1E131568" w14:textId="007E218D">
            <w:pPr>
              <w:pStyle w:val="table-text"/>
              <w:jc w:val="center"/>
              <w:rPr>
                <w:rFonts w:ascii="Times New Roman" w:hAnsi="Times New Roman"/>
                <w:sz w:val="22"/>
              </w:rPr>
            </w:pPr>
            <w:r>
              <w:rPr>
                <w:rFonts w:ascii="Times New Roman" w:hAnsi="Times New Roman"/>
                <w:sz w:val="22"/>
              </w:rPr>
              <w:t>3</w:t>
            </w:r>
          </w:p>
        </w:tc>
        <w:tc>
          <w:tcPr>
            <w:tcW w:w="1320" w:type="dxa"/>
          </w:tcPr>
          <w:p w:rsidR="00077DE3" w:rsidRPr="002740D0" w:rsidP="001365EC" w14:paraId="5D28F053" w14:textId="59D0F26D">
            <w:pPr>
              <w:pStyle w:val="table-text"/>
              <w:jc w:val="center"/>
              <w:rPr>
                <w:rFonts w:ascii="Times New Roman" w:hAnsi="Times New Roman"/>
                <w:sz w:val="22"/>
              </w:rPr>
            </w:pPr>
            <w:r>
              <w:rPr>
                <w:rFonts w:ascii="Times New Roman" w:hAnsi="Times New Roman"/>
                <w:sz w:val="22"/>
              </w:rPr>
              <w:t>1</w:t>
            </w:r>
          </w:p>
        </w:tc>
        <w:tc>
          <w:tcPr>
            <w:tcW w:w="809" w:type="dxa"/>
          </w:tcPr>
          <w:p w:rsidR="00077DE3" w:rsidRPr="00E734D0" w:rsidP="001365EC" w14:paraId="06988D2D" w14:textId="04048D90">
            <w:pPr>
              <w:pStyle w:val="table-text"/>
              <w:jc w:val="center"/>
              <w:rPr>
                <w:rFonts w:ascii="Times New Roman" w:hAnsi="Times New Roman"/>
                <w:sz w:val="22"/>
              </w:rPr>
            </w:pPr>
            <w:r>
              <w:rPr>
                <w:rFonts w:ascii="Times New Roman" w:hAnsi="Times New Roman"/>
                <w:sz w:val="22"/>
              </w:rPr>
              <w:t>5</w:t>
            </w:r>
          </w:p>
        </w:tc>
      </w:tr>
    </w:tbl>
    <w:p w:rsidR="00FD00C6" w:rsidP="00757550" w14:paraId="151A947F" w14:textId="602907AF">
      <w:pPr>
        <w:rPr>
          <w:rFonts w:asciiTheme="majorBidi" w:hAnsiTheme="majorBidi" w:cstheme="majorBidi"/>
        </w:rPr>
      </w:pPr>
    </w:p>
    <w:p w:rsidR="00077DE3" w:rsidP="00757550" w14:paraId="2118A229" w14:textId="77777777">
      <w:pPr>
        <w:rPr>
          <w:rFonts w:asciiTheme="majorBidi" w:hAnsiTheme="majorBidi" w:cstheme="majorBidi"/>
        </w:rPr>
      </w:pPr>
    </w:p>
    <w:p w:rsidR="00F357FA" w:rsidRPr="00F357FA" w:rsidP="00757550" w14:paraId="535E4E0E" w14:textId="1FD456D4">
      <w:pPr>
        <w:rPr>
          <w:rFonts w:asciiTheme="majorBidi" w:hAnsiTheme="majorBidi" w:cstheme="majorBidi"/>
        </w:rPr>
      </w:pPr>
      <w:r>
        <w:rPr>
          <w:rFonts w:asciiTheme="majorBidi" w:hAnsiTheme="majorBidi" w:cstheme="majorBidi"/>
        </w:rPr>
        <w:t xml:space="preserve">Each of these characteristics </w:t>
      </w:r>
      <w:r w:rsidR="00F84926">
        <w:rPr>
          <w:rFonts w:asciiTheme="majorBidi" w:hAnsiTheme="majorBidi" w:cstheme="majorBidi"/>
        </w:rPr>
        <w:t>is</w:t>
      </w:r>
      <w:r>
        <w:rPr>
          <w:rFonts w:asciiTheme="majorBidi" w:hAnsiTheme="majorBidi" w:cstheme="majorBidi"/>
        </w:rPr>
        <w:t xml:space="preserve"> important to be represented among the cognitive testing panel because they re</w:t>
      </w:r>
      <w:r w:rsidR="00F84926">
        <w:rPr>
          <w:rFonts w:asciiTheme="majorBidi" w:hAnsiTheme="majorBidi" w:cstheme="majorBidi"/>
        </w:rPr>
        <w:t>flect</w:t>
      </w:r>
      <w:r>
        <w:rPr>
          <w:rFonts w:asciiTheme="majorBidi" w:hAnsiTheme="majorBidi" w:cstheme="majorBidi"/>
        </w:rPr>
        <w:t xml:space="preserve"> the diverse perspectives </w:t>
      </w:r>
      <w:r w:rsidR="00F84926">
        <w:rPr>
          <w:rFonts w:asciiTheme="majorBidi" w:hAnsiTheme="majorBidi" w:cstheme="majorBidi"/>
        </w:rPr>
        <w:t>needed</w:t>
      </w:r>
      <w:r>
        <w:rPr>
          <w:rFonts w:asciiTheme="majorBidi" w:hAnsiTheme="majorBidi" w:cstheme="majorBidi"/>
        </w:rPr>
        <w:t xml:space="preserve"> to ensu</w:t>
      </w:r>
      <w:r w:rsidR="00240409">
        <w:rPr>
          <w:rFonts w:asciiTheme="majorBidi" w:hAnsiTheme="majorBidi" w:cstheme="majorBidi"/>
        </w:rPr>
        <w:t xml:space="preserve">re that the survey will resonate with and be understood by a diverse field </w:t>
      </w:r>
      <w:r w:rsidR="00757550">
        <w:rPr>
          <w:rFonts w:asciiTheme="majorBidi" w:hAnsiTheme="majorBidi" w:cstheme="majorBidi"/>
        </w:rPr>
        <w:t>and capture the intended data</w:t>
      </w:r>
      <w:r>
        <w:rPr>
          <w:rFonts w:asciiTheme="majorBidi" w:hAnsiTheme="majorBidi" w:cstheme="majorBidi"/>
        </w:rPr>
        <w:t xml:space="preserve">. If the project team encounters any refusals among the initial purposive sample, a substitute cognitive interview respondent will be identified that fits the </w:t>
      </w:r>
      <w:r w:rsidR="00757550">
        <w:rPr>
          <w:rFonts w:asciiTheme="majorBidi" w:hAnsiTheme="majorBidi" w:cstheme="majorBidi"/>
        </w:rPr>
        <w:t xml:space="preserve">general </w:t>
      </w:r>
      <w:r>
        <w:rPr>
          <w:rFonts w:asciiTheme="majorBidi" w:hAnsiTheme="majorBidi" w:cstheme="majorBidi"/>
        </w:rPr>
        <w:t>profile of the refusal</w:t>
      </w:r>
      <w:r w:rsidR="00757550">
        <w:rPr>
          <w:rFonts w:asciiTheme="majorBidi" w:hAnsiTheme="majorBidi" w:cstheme="majorBidi"/>
        </w:rPr>
        <w:t xml:space="preserve"> across the primary </w:t>
      </w:r>
      <w:r w:rsidR="00297D9E">
        <w:rPr>
          <w:rFonts w:asciiTheme="majorBidi" w:hAnsiTheme="majorBidi" w:cstheme="majorBidi"/>
        </w:rPr>
        <w:t>office</w:t>
      </w:r>
      <w:r w:rsidR="00757550">
        <w:rPr>
          <w:rFonts w:asciiTheme="majorBidi" w:hAnsiTheme="majorBidi" w:cstheme="majorBidi"/>
        </w:rPr>
        <w:t xml:space="preserve"> characteristics</w:t>
      </w:r>
      <w:r>
        <w:rPr>
          <w:rFonts w:asciiTheme="majorBidi" w:hAnsiTheme="majorBidi" w:cstheme="majorBidi"/>
        </w:rPr>
        <w:t xml:space="preserve"> (e.g., a </w:t>
      </w:r>
      <w:r w:rsidR="00757550">
        <w:rPr>
          <w:rFonts w:asciiTheme="majorBidi" w:hAnsiTheme="majorBidi" w:cstheme="majorBidi"/>
        </w:rPr>
        <w:t xml:space="preserve">refusal </w:t>
      </w:r>
      <w:r>
        <w:rPr>
          <w:rFonts w:asciiTheme="majorBidi" w:hAnsiTheme="majorBidi" w:cstheme="majorBidi"/>
        </w:rPr>
        <w:t>coroner from the Midwe</w:t>
      </w:r>
      <w:r w:rsidR="00757550">
        <w:rPr>
          <w:rFonts w:asciiTheme="majorBidi" w:hAnsiTheme="majorBidi" w:cstheme="majorBidi"/>
        </w:rPr>
        <w:t xml:space="preserve">st representing a medium-sized city/county would be </w:t>
      </w:r>
      <w:r w:rsidR="004B6146">
        <w:rPr>
          <w:rFonts w:asciiTheme="majorBidi" w:hAnsiTheme="majorBidi" w:cstheme="majorBidi"/>
        </w:rPr>
        <w:t>replaced</w:t>
      </w:r>
      <w:r w:rsidR="00757550">
        <w:rPr>
          <w:rFonts w:asciiTheme="majorBidi" w:hAnsiTheme="majorBidi" w:cstheme="majorBidi"/>
        </w:rPr>
        <w:t xml:space="preserve"> </w:t>
      </w:r>
      <w:r w:rsidR="004B6146">
        <w:rPr>
          <w:rFonts w:asciiTheme="majorBidi" w:hAnsiTheme="majorBidi" w:cstheme="majorBidi"/>
        </w:rPr>
        <w:t xml:space="preserve">by a respondent </w:t>
      </w:r>
      <w:r w:rsidR="00757550">
        <w:rPr>
          <w:rFonts w:asciiTheme="majorBidi" w:hAnsiTheme="majorBidi" w:cstheme="majorBidi"/>
        </w:rPr>
        <w:t>with the same characteristics).</w:t>
      </w:r>
      <w:r w:rsidR="00E95D7A">
        <w:rPr>
          <w:rFonts w:asciiTheme="majorBidi" w:hAnsiTheme="majorBidi" w:cstheme="majorBidi"/>
        </w:rPr>
        <w:t xml:space="preserve"> To secure enough participants, the project team will initially select a primary sample of 32 coroners, medical examiner offices, and Justices of the Peace and a replacement sample of 32 of these offices. </w:t>
      </w:r>
      <w:r w:rsidR="00E2220C">
        <w:rPr>
          <w:rFonts w:asciiTheme="majorBidi" w:hAnsiTheme="majorBidi" w:cstheme="majorBidi"/>
        </w:rPr>
        <w:t xml:space="preserve">Both the primary and replacement samples will include 17 potential respondents for the first round of cognitive testing and 15 for the second round. </w:t>
      </w:r>
      <w:r w:rsidR="00E95D7A">
        <w:rPr>
          <w:rFonts w:asciiTheme="majorBidi" w:hAnsiTheme="majorBidi" w:cstheme="majorBidi"/>
        </w:rPr>
        <w:t>These offices will</w:t>
      </w:r>
      <w:r w:rsidR="00E2220C">
        <w:rPr>
          <w:rFonts w:asciiTheme="majorBidi" w:hAnsiTheme="majorBidi" w:cstheme="majorBidi"/>
        </w:rPr>
        <w:t xml:space="preserve"> be selected to</w:t>
      </w:r>
      <w:r w:rsidR="00E95D7A">
        <w:rPr>
          <w:rFonts w:asciiTheme="majorBidi" w:hAnsiTheme="majorBidi" w:cstheme="majorBidi"/>
        </w:rPr>
        <w:t xml:space="preserve"> reflect the characteristics described in table 2. </w:t>
      </w:r>
    </w:p>
    <w:p w:rsidR="00CA28E3" w:rsidRPr="005E2E2A" w:rsidP="00767F64" w14:paraId="76AF60BD" w14:textId="77777777">
      <w:pPr>
        <w:rPr>
          <w:rFonts w:asciiTheme="majorBidi" w:hAnsiTheme="majorBidi" w:cstheme="majorBidi"/>
        </w:rPr>
      </w:pPr>
    </w:p>
    <w:p w:rsidR="000246ED" w:rsidP="00AE50D0" w14:paraId="6D625822" w14:textId="28CECEBE">
      <w:pPr>
        <w:rPr>
          <w:rFonts w:asciiTheme="majorBidi" w:hAnsiTheme="majorBidi" w:cstheme="majorBidi"/>
        </w:rPr>
      </w:pPr>
      <w:r>
        <w:rPr>
          <w:rFonts w:asciiTheme="majorBidi" w:hAnsiTheme="majorBidi" w:cstheme="majorBidi"/>
        </w:rPr>
        <w:t>U</w:t>
      </w:r>
      <w:r w:rsidRPr="005E2E2A">
        <w:rPr>
          <w:rFonts w:asciiTheme="majorBidi" w:hAnsiTheme="majorBidi" w:cstheme="majorBidi"/>
        </w:rPr>
        <w:t xml:space="preserve">sing the </w:t>
      </w:r>
      <w:r w:rsidR="000B070B">
        <w:rPr>
          <w:rFonts w:asciiTheme="majorBidi" w:hAnsiTheme="majorBidi" w:cstheme="majorBidi"/>
        </w:rPr>
        <w:t>scripts</w:t>
      </w:r>
      <w:r w:rsidRPr="005E2E2A" w:rsidR="000B070B">
        <w:rPr>
          <w:rFonts w:asciiTheme="majorBidi" w:hAnsiTheme="majorBidi" w:cstheme="majorBidi"/>
        </w:rPr>
        <w:t xml:space="preserve"> </w:t>
      </w:r>
      <w:r w:rsidRPr="005E2E2A">
        <w:rPr>
          <w:rFonts w:asciiTheme="majorBidi" w:hAnsiTheme="majorBidi" w:cstheme="majorBidi"/>
        </w:rPr>
        <w:t>in</w:t>
      </w:r>
      <w:r>
        <w:rPr>
          <w:rFonts w:asciiTheme="majorBidi" w:hAnsiTheme="majorBidi" w:cstheme="majorBidi"/>
        </w:rPr>
        <w:t>cluded in</w:t>
      </w:r>
      <w:r w:rsidRPr="005E2E2A">
        <w:rPr>
          <w:rFonts w:asciiTheme="majorBidi" w:hAnsiTheme="majorBidi" w:cstheme="majorBidi"/>
        </w:rPr>
        <w:t xml:space="preserve"> </w:t>
      </w:r>
      <w:r w:rsidRPr="00F24E30">
        <w:rPr>
          <w:rFonts w:asciiTheme="majorBidi" w:hAnsiTheme="majorBidi" w:cstheme="majorBidi"/>
          <w:b/>
        </w:rPr>
        <w:t>Appendix B</w:t>
      </w:r>
      <w:r w:rsidRPr="005E2E2A">
        <w:rPr>
          <w:rFonts w:asciiTheme="majorBidi" w:hAnsiTheme="majorBidi" w:cstheme="majorBidi"/>
        </w:rPr>
        <w:t xml:space="preserve">, </w:t>
      </w:r>
      <w:r>
        <w:rPr>
          <w:rFonts w:asciiTheme="majorBidi" w:hAnsiTheme="majorBidi" w:cstheme="majorBidi"/>
        </w:rPr>
        <w:t>t</w:t>
      </w:r>
      <w:r w:rsidR="00C00F00">
        <w:rPr>
          <w:rFonts w:asciiTheme="majorBidi" w:hAnsiTheme="majorBidi" w:cstheme="majorBidi"/>
        </w:rPr>
        <w:t xml:space="preserve">he project team </w:t>
      </w:r>
      <w:r w:rsidRPr="005E2E2A" w:rsidR="007179B1">
        <w:rPr>
          <w:rFonts w:asciiTheme="majorBidi" w:hAnsiTheme="majorBidi" w:cstheme="majorBidi"/>
        </w:rPr>
        <w:t xml:space="preserve">will contact the </w:t>
      </w:r>
      <w:r>
        <w:rPr>
          <w:rFonts w:asciiTheme="majorBidi" w:hAnsiTheme="majorBidi" w:cstheme="majorBidi"/>
        </w:rPr>
        <w:t xml:space="preserve">prospective </w:t>
      </w:r>
      <w:r w:rsidRPr="005E2E2A" w:rsidR="007179B1">
        <w:rPr>
          <w:rFonts w:asciiTheme="majorBidi" w:hAnsiTheme="majorBidi" w:cstheme="majorBidi"/>
        </w:rPr>
        <w:t>MEC</w:t>
      </w:r>
      <w:r>
        <w:rPr>
          <w:rFonts w:asciiTheme="majorBidi" w:hAnsiTheme="majorBidi" w:cstheme="majorBidi"/>
        </w:rPr>
        <w:t xml:space="preserve"> </w:t>
      </w:r>
      <w:r w:rsidR="00297D9E">
        <w:rPr>
          <w:rFonts w:asciiTheme="majorBidi" w:hAnsiTheme="majorBidi" w:cstheme="majorBidi"/>
        </w:rPr>
        <w:t xml:space="preserve">or JP </w:t>
      </w:r>
      <w:r>
        <w:rPr>
          <w:rFonts w:asciiTheme="majorBidi" w:hAnsiTheme="majorBidi" w:cstheme="majorBidi"/>
        </w:rPr>
        <w:t>cognitive interview respondents</w:t>
      </w:r>
      <w:r w:rsidRPr="005E2E2A" w:rsidR="0089142E">
        <w:rPr>
          <w:rFonts w:asciiTheme="majorBidi" w:hAnsiTheme="majorBidi" w:cstheme="majorBidi"/>
        </w:rPr>
        <w:t xml:space="preserve"> </w:t>
      </w:r>
      <w:r w:rsidRPr="005E2E2A" w:rsidR="007179B1">
        <w:rPr>
          <w:rFonts w:asciiTheme="majorBidi" w:hAnsiTheme="majorBidi" w:cstheme="majorBidi"/>
        </w:rPr>
        <w:t>to</w:t>
      </w:r>
      <w:r w:rsidR="003B7815">
        <w:rPr>
          <w:rFonts w:asciiTheme="majorBidi" w:hAnsiTheme="majorBidi" w:cstheme="majorBidi"/>
        </w:rPr>
        <w:t xml:space="preserve"> invite </w:t>
      </w:r>
      <w:r>
        <w:rPr>
          <w:rFonts w:asciiTheme="majorBidi" w:hAnsiTheme="majorBidi" w:cstheme="majorBidi"/>
        </w:rPr>
        <w:t>them</w:t>
      </w:r>
      <w:r w:rsidR="003B7815">
        <w:rPr>
          <w:rFonts w:asciiTheme="majorBidi" w:hAnsiTheme="majorBidi" w:cstheme="majorBidi"/>
        </w:rPr>
        <w:t xml:space="preserve"> to participate in </w:t>
      </w:r>
      <w:r w:rsidR="00943823">
        <w:rPr>
          <w:rFonts w:asciiTheme="majorBidi" w:hAnsiTheme="majorBidi" w:cstheme="majorBidi"/>
        </w:rPr>
        <w:t>6</w:t>
      </w:r>
      <w:r w:rsidR="00ED4C25">
        <w:rPr>
          <w:rFonts w:asciiTheme="majorBidi" w:hAnsiTheme="majorBidi" w:cstheme="majorBidi"/>
        </w:rPr>
        <w:t>0-minute telephone</w:t>
      </w:r>
      <w:r w:rsidR="004629C5">
        <w:rPr>
          <w:rFonts w:asciiTheme="majorBidi" w:hAnsiTheme="majorBidi" w:cstheme="majorBidi"/>
        </w:rPr>
        <w:t>/videoconference</w:t>
      </w:r>
      <w:r w:rsidR="00ED4C25">
        <w:rPr>
          <w:rFonts w:asciiTheme="majorBidi" w:hAnsiTheme="majorBidi" w:cstheme="majorBidi"/>
        </w:rPr>
        <w:t xml:space="preserve"> </w:t>
      </w:r>
      <w:r w:rsidR="003B7815">
        <w:rPr>
          <w:rFonts w:asciiTheme="majorBidi" w:hAnsiTheme="majorBidi" w:cstheme="majorBidi"/>
        </w:rPr>
        <w:t>cognitive interviews</w:t>
      </w:r>
      <w:r w:rsidR="00C0691E">
        <w:rPr>
          <w:rFonts w:asciiTheme="majorBidi" w:hAnsiTheme="majorBidi" w:cstheme="majorBidi"/>
        </w:rPr>
        <w:t xml:space="preserve"> via Teams or Zoom through video or audio only (at the request of the participant)</w:t>
      </w:r>
      <w:r w:rsidR="00103A29">
        <w:rPr>
          <w:rFonts w:asciiTheme="majorBidi" w:hAnsiTheme="majorBidi" w:cstheme="majorBidi"/>
        </w:rPr>
        <w:t xml:space="preserve">. </w:t>
      </w:r>
      <w:r w:rsidR="00C350BC">
        <w:rPr>
          <w:rFonts w:asciiTheme="majorBidi" w:hAnsiTheme="majorBidi" w:cstheme="majorBidi"/>
        </w:rPr>
        <w:t>All</w:t>
      </w:r>
      <w:r w:rsidR="00103A29">
        <w:rPr>
          <w:rFonts w:asciiTheme="majorBidi" w:hAnsiTheme="majorBidi" w:cstheme="majorBidi"/>
        </w:rPr>
        <w:t xml:space="preserve"> the invitations will be delivered via email</w:t>
      </w:r>
      <w:r w:rsidR="003B7815">
        <w:rPr>
          <w:rFonts w:asciiTheme="majorBidi" w:hAnsiTheme="majorBidi" w:cstheme="majorBidi"/>
        </w:rPr>
        <w:t xml:space="preserve"> (</w:t>
      </w:r>
      <w:r w:rsidR="00103A29">
        <w:rPr>
          <w:rFonts w:asciiTheme="majorBidi" w:hAnsiTheme="majorBidi" w:cstheme="majorBidi"/>
        </w:rPr>
        <w:t xml:space="preserve">see email template in </w:t>
      </w:r>
      <w:r w:rsidRPr="00F24E30" w:rsidR="003B7815">
        <w:rPr>
          <w:rFonts w:asciiTheme="majorBidi" w:hAnsiTheme="majorBidi" w:cstheme="majorBidi"/>
          <w:b/>
        </w:rPr>
        <w:t xml:space="preserve">Appendix </w:t>
      </w:r>
      <w:r w:rsidRPr="00F24E30" w:rsidR="007E0EC6">
        <w:rPr>
          <w:rFonts w:asciiTheme="majorBidi" w:hAnsiTheme="majorBidi" w:cstheme="majorBidi"/>
          <w:b/>
        </w:rPr>
        <w:t>B</w:t>
      </w:r>
      <w:r w:rsidRPr="00F24E30" w:rsidR="003B7815">
        <w:rPr>
          <w:rFonts w:asciiTheme="majorBidi" w:hAnsiTheme="majorBidi" w:cstheme="majorBidi"/>
          <w:b/>
        </w:rPr>
        <w:t>-1</w:t>
      </w:r>
      <w:r w:rsidR="00103A29">
        <w:rPr>
          <w:rFonts w:asciiTheme="majorBidi" w:hAnsiTheme="majorBidi" w:cstheme="majorBidi"/>
        </w:rPr>
        <w:t>)</w:t>
      </w:r>
      <w:r w:rsidR="001A2D2F">
        <w:rPr>
          <w:rFonts w:asciiTheme="majorBidi" w:hAnsiTheme="majorBidi" w:cstheme="majorBidi"/>
        </w:rPr>
        <w:t>.</w:t>
      </w:r>
      <w:r w:rsidR="00103A29">
        <w:rPr>
          <w:rFonts w:asciiTheme="majorBidi" w:hAnsiTheme="majorBidi" w:cstheme="majorBidi"/>
        </w:rPr>
        <w:t xml:space="preserve"> Once these invitations are sent, </w:t>
      </w:r>
      <w:r w:rsidR="001A2D2F">
        <w:rPr>
          <w:rFonts w:asciiTheme="majorBidi" w:hAnsiTheme="majorBidi" w:cstheme="majorBidi"/>
        </w:rPr>
        <w:t xml:space="preserve">if the project team does not receive a response to the initial outreach within approximately one week, </w:t>
      </w:r>
      <w:r w:rsidR="00C00F00">
        <w:rPr>
          <w:rFonts w:asciiTheme="majorBidi" w:hAnsiTheme="majorBidi" w:cstheme="majorBidi"/>
        </w:rPr>
        <w:t xml:space="preserve">the project team </w:t>
      </w:r>
      <w:r w:rsidR="00103A29">
        <w:rPr>
          <w:rFonts w:asciiTheme="majorBidi" w:hAnsiTheme="majorBidi" w:cstheme="majorBidi"/>
        </w:rPr>
        <w:t>will</w:t>
      </w:r>
      <w:r w:rsidR="00ED4C25">
        <w:rPr>
          <w:rFonts w:asciiTheme="majorBidi" w:hAnsiTheme="majorBidi" w:cstheme="majorBidi"/>
        </w:rPr>
        <w:t xml:space="preserve"> follow</w:t>
      </w:r>
      <w:r w:rsidR="008458C4">
        <w:rPr>
          <w:rFonts w:asciiTheme="majorBidi" w:hAnsiTheme="majorBidi" w:cstheme="majorBidi"/>
        </w:rPr>
        <w:t xml:space="preserve"> </w:t>
      </w:r>
      <w:r w:rsidR="00ED4C25">
        <w:rPr>
          <w:rFonts w:asciiTheme="majorBidi" w:hAnsiTheme="majorBidi" w:cstheme="majorBidi"/>
        </w:rPr>
        <w:t xml:space="preserve">up by </w:t>
      </w:r>
      <w:r w:rsidR="001A2D2F">
        <w:rPr>
          <w:rFonts w:asciiTheme="majorBidi" w:hAnsiTheme="majorBidi" w:cstheme="majorBidi"/>
        </w:rPr>
        <w:t>email</w:t>
      </w:r>
      <w:r w:rsidRPr="005E2E2A" w:rsidR="0089142E">
        <w:rPr>
          <w:rFonts w:asciiTheme="majorBidi" w:hAnsiTheme="majorBidi" w:cstheme="majorBidi"/>
        </w:rPr>
        <w:t xml:space="preserve"> </w:t>
      </w:r>
      <w:r w:rsidRPr="005E2E2A" w:rsidR="007179B1">
        <w:rPr>
          <w:rFonts w:asciiTheme="majorBidi" w:hAnsiTheme="majorBidi" w:cstheme="majorBidi"/>
        </w:rPr>
        <w:t>to confirm willingness to participate and</w:t>
      </w:r>
      <w:r w:rsidRPr="005E2E2A" w:rsidR="00844F2F">
        <w:rPr>
          <w:rFonts w:asciiTheme="majorBidi" w:hAnsiTheme="majorBidi" w:cstheme="majorBidi"/>
        </w:rPr>
        <w:t xml:space="preserve"> schedule </w:t>
      </w:r>
      <w:r w:rsidRPr="005E2E2A" w:rsidR="007179B1">
        <w:rPr>
          <w:rFonts w:asciiTheme="majorBidi" w:hAnsiTheme="majorBidi" w:cstheme="majorBidi"/>
        </w:rPr>
        <w:t>the</w:t>
      </w:r>
      <w:r w:rsidRPr="005E2E2A" w:rsidR="00844F2F">
        <w:rPr>
          <w:rFonts w:asciiTheme="majorBidi" w:hAnsiTheme="majorBidi" w:cstheme="majorBidi"/>
        </w:rPr>
        <w:t xml:space="preserve"> cognitive interview </w:t>
      </w:r>
      <w:r w:rsidR="003B7815">
        <w:rPr>
          <w:rFonts w:asciiTheme="majorBidi" w:hAnsiTheme="majorBidi" w:cstheme="majorBidi"/>
        </w:rPr>
        <w:t>(</w:t>
      </w:r>
      <w:r w:rsidR="00103A29">
        <w:rPr>
          <w:rFonts w:asciiTheme="majorBidi" w:hAnsiTheme="majorBidi" w:cstheme="majorBidi"/>
        </w:rPr>
        <w:t xml:space="preserve">see </w:t>
      </w:r>
      <w:r w:rsidR="001A2D2F">
        <w:rPr>
          <w:rFonts w:asciiTheme="majorBidi" w:hAnsiTheme="majorBidi" w:cstheme="majorBidi"/>
        </w:rPr>
        <w:t>email template</w:t>
      </w:r>
      <w:r w:rsidR="00103A29">
        <w:rPr>
          <w:rFonts w:asciiTheme="majorBidi" w:hAnsiTheme="majorBidi" w:cstheme="majorBidi"/>
        </w:rPr>
        <w:t xml:space="preserve"> in </w:t>
      </w:r>
      <w:r w:rsidRPr="00F24E30" w:rsidR="003B7815">
        <w:rPr>
          <w:rFonts w:asciiTheme="majorBidi" w:hAnsiTheme="majorBidi" w:cstheme="majorBidi"/>
          <w:b/>
        </w:rPr>
        <w:t xml:space="preserve">Appendix </w:t>
      </w:r>
      <w:r w:rsidRPr="00F24E30" w:rsidR="007E0EC6">
        <w:rPr>
          <w:rFonts w:asciiTheme="majorBidi" w:hAnsiTheme="majorBidi" w:cstheme="majorBidi"/>
          <w:b/>
        </w:rPr>
        <w:t>B</w:t>
      </w:r>
      <w:r w:rsidRPr="00F24E30" w:rsidR="003B7815">
        <w:rPr>
          <w:rFonts w:asciiTheme="majorBidi" w:hAnsiTheme="majorBidi" w:cstheme="majorBidi"/>
          <w:b/>
        </w:rPr>
        <w:t>-</w:t>
      </w:r>
      <w:r w:rsidR="001A2D2F">
        <w:rPr>
          <w:rFonts w:asciiTheme="majorBidi" w:hAnsiTheme="majorBidi" w:cstheme="majorBidi"/>
          <w:b/>
        </w:rPr>
        <w:t>2</w:t>
      </w:r>
      <w:r w:rsidR="003B7815">
        <w:rPr>
          <w:rFonts w:asciiTheme="majorBidi" w:hAnsiTheme="majorBidi" w:cstheme="majorBidi"/>
        </w:rPr>
        <w:t>)</w:t>
      </w:r>
      <w:r w:rsidRPr="005E2E2A" w:rsidR="00393D08">
        <w:rPr>
          <w:rFonts w:asciiTheme="majorBidi" w:hAnsiTheme="majorBidi" w:cstheme="majorBidi"/>
        </w:rPr>
        <w:t xml:space="preserve">. </w:t>
      </w:r>
      <w:r>
        <w:rPr>
          <w:rFonts w:asciiTheme="majorBidi" w:hAnsiTheme="majorBidi" w:cstheme="majorBidi"/>
        </w:rPr>
        <w:t>A final outreach attempt will be made via phone if no response is received after the email follow-up (</w:t>
      </w:r>
      <w:r w:rsidRPr="009431FD">
        <w:rPr>
          <w:rFonts w:asciiTheme="majorBidi" w:hAnsiTheme="majorBidi" w:cstheme="majorBidi"/>
          <w:b/>
          <w:bCs/>
        </w:rPr>
        <w:t>Appendix B-3</w:t>
      </w:r>
      <w:r>
        <w:rPr>
          <w:rFonts w:asciiTheme="majorBidi" w:hAnsiTheme="majorBidi" w:cstheme="majorBidi"/>
        </w:rPr>
        <w:t>).</w:t>
      </w:r>
    </w:p>
    <w:p w:rsidR="000246ED" w:rsidP="00AE50D0" w14:paraId="23E8694F" w14:textId="77777777">
      <w:pPr>
        <w:rPr>
          <w:rFonts w:asciiTheme="majorBidi" w:hAnsiTheme="majorBidi" w:cstheme="majorBidi"/>
        </w:rPr>
      </w:pPr>
    </w:p>
    <w:p w:rsidR="00AE50D0" w:rsidP="00AE50D0" w14:paraId="4F82ACBD" w14:textId="724F3A2B">
      <w:pPr>
        <w:rPr>
          <w:rFonts w:asciiTheme="majorBidi" w:hAnsiTheme="majorBidi" w:cstheme="majorBidi"/>
        </w:rPr>
      </w:pPr>
      <w:r>
        <w:rPr>
          <w:rFonts w:asciiTheme="majorBidi" w:hAnsiTheme="majorBidi" w:cstheme="majorBidi"/>
        </w:rPr>
        <w:t xml:space="preserve">Upon receiving confirmation of the office’s willingness to participate in the cognitive testing, we will </w:t>
      </w:r>
      <w:r w:rsidR="000246ED">
        <w:rPr>
          <w:rFonts w:asciiTheme="majorBidi" w:hAnsiTheme="majorBidi" w:cstheme="majorBidi"/>
        </w:rPr>
        <w:t xml:space="preserve">send a follow-up </w:t>
      </w:r>
      <w:r>
        <w:rPr>
          <w:rFonts w:asciiTheme="majorBidi" w:hAnsiTheme="majorBidi" w:cstheme="majorBidi"/>
        </w:rPr>
        <w:t xml:space="preserve">email </w:t>
      </w:r>
      <w:r w:rsidR="000246ED">
        <w:rPr>
          <w:rFonts w:asciiTheme="majorBidi" w:hAnsiTheme="majorBidi" w:cstheme="majorBidi"/>
        </w:rPr>
        <w:t>that proposes dates/times for the interview if/as needed (</w:t>
      </w:r>
      <w:r w:rsidRPr="009431FD" w:rsidR="000246ED">
        <w:rPr>
          <w:rFonts w:asciiTheme="majorBidi" w:hAnsiTheme="majorBidi" w:cstheme="majorBidi"/>
          <w:b/>
          <w:bCs/>
        </w:rPr>
        <w:t>Appendix B-4</w:t>
      </w:r>
      <w:r w:rsidR="000246ED">
        <w:rPr>
          <w:rFonts w:asciiTheme="majorBidi" w:hAnsiTheme="majorBidi" w:cstheme="majorBidi"/>
        </w:rPr>
        <w:t xml:space="preserve">). RTI recruiters will send a final confirmation email with agreed upon dates/times </w:t>
      </w:r>
      <w:r w:rsidR="000246ED">
        <w:rPr>
          <w:rFonts w:asciiTheme="majorBidi" w:hAnsiTheme="majorBidi" w:cstheme="majorBidi"/>
        </w:rPr>
        <w:t>(</w:t>
      </w:r>
      <w:r w:rsidRPr="009431FD" w:rsidR="000246ED">
        <w:rPr>
          <w:rFonts w:asciiTheme="majorBidi" w:hAnsiTheme="majorBidi" w:cstheme="majorBidi"/>
          <w:b/>
          <w:bCs/>
        </w:rPr>
        <w:t>Appendix B-5</w:t>
      </w:r>
      <w:r w:rsidR="000246ED">
        <w:rPr>
          <w:rFonts w:asciiTheme="majorBidi" w:hAnsiTheme="majorBidi" w:cstheme="majorBidi"/>
        </w:rPr>
        <w:t>), as well as</w:t>
      </w:r>
      <w:r>
        <w:rPr>
          <w:rFonts w:asciiTheme="majorBidi" w:hAnsiTheme="majorBidi" w:cstheme="majorBidi"/>
        </w:rPr>
        <w:t xml:space="preserve"> the consent form (</w:t>
      </w:r>
      <w:r>
        <w:rPr>
          <w:rFonts w:asciiTheme="majorBidi" w:hAnsiTheme="majorBidi" w:cstheme="majorBidi"/>
          <w:b/>
        </w:rPr>
        <w:t>Appendix C</w:t>
      </w:r>
      <w:r>
        <w:rPr>
          <w:rFonts w:asciiTheme="majorBidi" w:hAnsiTheme="majorBidi" w:cstheme="majorBidi"/>
        </w:rPr>
        <w:t>) and</w:t>
      </w:r>
      <w:r>
        <w:rPr>
          <w:rFonts w:asciiTheme="majorBidi" w:hAnsiTheme="majorBidi" w:cstheme="majorBidi"/>
        </w:rPr>
        <w:t xml:space="preserve"> the census </w:t>
      </w:r>
      <w:r w:rsidR="00145EC0">
        <w:rPr>
          <w:rFonts w:asciiTheme="majorBidi" w:hAnsiTheme="majorBidi" w:cstheme="majorBidi"/>
        </w:rPr>
        <w:t xml:space="preserve">questionnaire </w:t>
      </w:r>
      <w:r>
        <w:rPr>
          <w:rFonts w:asciiTheme="majorBidi" w:hAnsiTheme="majorBidi" w:cstheme="majorBidi"/>
          <w:b/>
        </w:rPr>
        <w:t>(Appendix D)</w:t>
      </w:r>
      <w:r>
        <w:rPr>
          <w:rFonts w:asciiTheme="majorBidi" w:hAnsiTheme="majorBidi" w:cstheme="majorBidi"/>
        </w:rPr>
        <w:t>.</w:t>
      </w:r>
      <w:r w:rsidRPr="00AE50D0">
        <w:rPr>
          <w:rFonts w:asciiTheme="majorBidi" w:hAnsiTheme="majorBidi" w:cstheme="majorBidi"/>
        </w:rPr>
        <w:t xml:space="preserve"> </w:t>
      </w:r>
      <w:r>
        <w:rPr>
          <w:rFonts w:asciiTheme="majorBidi" w:hAnsiTheme="majorBidi" w:cstheme="majorBidi"/>
        </w:rPr>
        <w:t xml:space="preserve">Because we are interested in how respondents understand and interpret questions rather than the actual answers to the questions, respondents will not </w:t>
      </w:r>
      <w:r w:rsidR="00684357">
        <w:rPr>
          <w:rFonts w:asciiTheme="majorBidi" w:hAnsiTheme="majorBidi" w:cstheme="majorBidi"/>
        </w:rPr>
        <w:t xml:space="preserve">be asked </w:t>
      </w:r>
      <w:r>
        <w:rPr>
          <w:rFonts w:asciiTheme="majorBidi" w:hAnsiTheme="majorBidi" w:cstheme="majorBidi"/>
        </w:rPr>
        <w:t>to complete the questionnaire and return it</w:t>
      </w:r>
      <w:r w:rsidR="00684357">
        <w:rPr>
          <w:rFonts w:asciiTheme="majorBidi" w:hAnsiTheme="majorBidi" w:cstheme="majorBidi"/>
        </w:rPr>
        <w:t xml:space="preserve"> prior to the cognitive interview</w:t>
      </w:r>
      <w:r>
        <w:rPr>
          <w:rFonts w:asciiTheme="majorBidi" w:hAnsiTheme="majorBidi" w:cstheme="majorBidi"/>
        </w:rPr>
        <w:t xml:space="preserve">. </w:t>
      </w:r>
    </w:p>
    <w:p w:rsidR="00CA28E3" w:rsidRPr="005E2E2A" w:rsidP="00767F64" w14:paraId="653F9669" w14:textId="77777777">
      <w:pPr>
        <w:rPr>
          <w:rFonts w:asciiTheme="majorBidi" w:hAnsiTheme="majorBidi" w:cstheme="majorBidi"/>
        </w:rPr>
      </w:pPr>
    </w:p>
    <w:p w:rsidR="00CA28E3" w:rsidP="00CA28E3" w14:paraId="567D3689" w14:textId="53E17740">
      <w:pPr>
        <w:rPr>
          <w:rFonts w:asciiTheme="majorBidi" w:hAnsiTheme="majorBidi" w:cstheme="majorBidi"/>
        </w:rPr>
      </w:pPr>
      <w:r w:rsidRPr="005E2E2A">
        <w:rPr>
          <w:rFonts w:asciiTheme="majorBidi" w:hAnsiTheme="majorBidi" w:cstheme="majorBidi"/>
        </w:rPr>
        <w:t xml:space="preserve">Participation in the cognitive test will be completely voluntary. All participants will be 18 </w:t>
      </w:r>
      <w:r w:rsidR="004A4874">
        <w:rPr>
          <w:rFonts w:asciiTheme="majorBidi" w:hAnsiTheme="majorBidi" w:cstheme="majorBidi"/>
        </w:rPr>
        <w:t xml:space="preserve">years of age </w:t>
      </w:r>
      <w:r w:rsidRPr="005E2E2A">
        <w:rPr>
          <w:rFonts w:asciiTheme="majorBidi" w:hAnsiTheme="majorBidi" w:cstheme="majorBidi"/>
        </w:rPr>
        <w:t xml:space="preserve">or older. </w:t>
      </w:r>
      <w:r w:rsidR="00EE5DE2">
        <w:rPr>
          <w:rFonts w:asciiTheme="majorBidi" w:hAnsiTheme="majorBidi" w:cstheme="majorBidi"/>
        </w:rPr>
        <w:t>Prior to the scheduled interview</w:t>
      </w:r>
      <w:r w:rsidRPr="005E2E2A" w:rsidR="00812DFB">
        <w:rPr>
          <w:rFonts w:asciiTheme="majorBidi" w:hAnsiTheme="majorBidi" w:cstheme="majorBidi"/>
        </w:rPr>
        <w:t xml:space="preserve">, </w:t>
      </w:r>
      <w:r w:rsidR="00812DFB">
        <w:rPr>
          <w:rFonts w:asciiTheme="majorBidi" w:hAnsiTheme="majorBidi" w:cstheme="majorBidi"/>
        </w:rPr>
        <w:t xml:space="preserve">the participants </w:t>
      </w:r>
      <w:r w:rsidRPr="005E2E2A" w:rsidR="00812DFB">
        <w:rPr>
          <w:rFonts w:asciiTheme="majorBidi" w:hAnsiTheme="majorBidi" w:cstheme="majorBidi"/>
        </w:rPr>
        <w:t xml:space="preserve">will be provided information that describes the interview, why they were chosen, what will happen during the discussion, the risks and benefits of participation, and details ensuring confidentiality (see </w:t>
      </w:r>
      <w:r w:rsidRPr="00F24E30" w:rsidR="00812DFB">
        <w:rPr>
          <w:rFonts w:asciiTheme="majorBidi" w:hAnsiTheme="majorBidi" w:cstheme="majorBidi"/>
          <w:b/>
        </w:rPr>
        <w:t>Appendix C</w:t>
      </w:r>
      <w:r w:rsidR="000306D0">
        <w:rPr>
          <w:rFonts w:asciiTheme="majorBidi" w:hAnsiTheme="majorBidi" w:cstheme="majorBidi"/>
          <w:b/>
        </w:rPr>
        <w:t>-1</w:t>
      </w:r>
      <w:r w:rsidRPr="005E2E2A" w:rsidR="00812DFB">
        <w:rPr>
          <w:rFonts w:asciiTheme="majorBidi" w:hAnsiTheme="majorBidi" w:cstheme="majorBidi"/>
        </w:rPr>
        <w:t xml:space="preserve">). </w:t>
      </w:r>
      <w:r w:rsidR="00EE5DE2">
        <w:rPr>
          <w:rFonts w:asciiTheme="majorBidi" w:hAnsiTheme="majorBidi" w:cstheme="majorBidi"/>
        </w:rPr>
        <w:t xml:space="preserve">At the time of the scheduled interview, staff will review these materials, including the consent form with the respondents. </w:t>
      </w:r>
      <w:r w:rsidR="00812DFB">
        <w:rPr>
          <w:rFonts w:asciiTheme="majorBidi" w:hAnsiTheme="majorBidi" w:cstheme="majorBidi"/>
        </w:rPr>
        <w:t xml:space="preserve">They will be </w:t>
      </w:r>
      <w:r w:rsidRPr="005E2E2A">
        <w:rPr>
          <w:rFonts w:asciiTheme="majorBidi" w:hAnsiTheme="majorBidi" w:cstheme="majorBidi"/>
        </w:rPr>
        <w:t xml:space="preserve">given the option to refuse </w:t>
      </w:r>
      <w:r w:rsidR="00812DFB">
        <w:rPr>
          <w:rFonts w:asciiTheme="majorBidi" w:hAnsiTheme="majorBidi" w:cstheme="majorBidi"/>
        </w:rPr>
        <w:t xml:space="preserve">to answer a question </w:t>
      </w:r>
      <w:r w:rsidRPr="005E2E2A">
        <w:rPr>
          <w:rFonts w:asciiTheme="majorBidi" w:hAnsiTheme="majorBidi" w:cstheme="majorBidi"/>
        </w:rPr>
        <w:t xml:space="preserve">at any time during </w:t>
      </w:r>
      <w:r w:rsidR="00812DFB">
        <w:rPr>
          <w:rFonts w:asciiTheme="majorBidi" w:hAnsiTheme="majorBidi" w:cstheme="majorBidi"/>
        </w:rPr>
        <w:t>interview</w:t>
      </w:r>
      <w:r w:rsidRPr="005E2E2A">
        <w:rPr>
          <w:rFonts w:asciiTheme="majorBidi" w:hAnsiTheme="majorBidi" w:cstheme="majorBidi"/>
        </w:rPr>
        <w:t xml:space="preserve">. </w:t>
      </w:r>
      <w:r w:rsidR="00ED4C25">
        <w:rPr>
          <w:rFonts w:asciiTheme="majorBidi" w:hAnsiTheme="majorBidi" w:cstheme="majorBidi"/>
        </w:rPr>
        <w:t>Since these are</w:t>
      </w:r>
      <w:r w:rsidRPr="005E2E2A" w:rsidR="00514C6B">
        <w:rPr>
          <w:rFonts w:asciiTheme="majorBidi" w:hAnsiTheme="majorBidi" w:cstheme="majorBidi"/>
        </w:rPr>
        <w:t xml:space="preserve"> telephone</w:t>
      </w:r>
      <w:r w:rsidR="00C350BC">
        <w:rPr>
          <w:rFonts w:asciiTheme="majorBidi" w:hAnsiTheme="majorBidi" w:cstheme="majorBidi"/>
        </w:rPr>
        <w:t>/video</w:t>
      </w:r>
      <w:r w:rsidR="00C41556">
        <w:rPr>
          <w:rFonts w:asciiTheme="majorBidi" w:hAnsiTheme="majorBidi" w:cstheme="majorBidi"/>
        </w:rPr>
        <w:t>conference</w:t>
      </w:r>
      <w:r w:rsidRPr="005E2E2A" w:rsidR="00514C6B">
        <w:rPr>
          <w:rFonts w:asciiTheme="majorBidi" w:hAnsiTheme="majorBidi" w:cstheme="majorBidi"/>
        </w:rPr>
        <w:t xml:space="preserve"> interviews, the interviewer will read the consent form to the participant and obtain verbal consent. After receiving verbal consent, the interviewer will check and sign the hard copy informed consent</w:t>
      </w:r>
      <w:r w:rsidR="00ED4C25">
        <w:rPr>
          <w:rFonts w:asciiTheme="majorBidi" w:hAnsiTheme="majorBidi" w:cstheme="majorBidi"/>
        </w:rPr>
        <w:t xml:space="preserve"> to have on record</w:t>
      </w:r>
      <w:r w:rsidR="000306D0">
        <w:rPr>
          <w:rFonts w:asciiTheme="majorBidi" w:hAnsiTheme="majorBidi" w:cstheme="majorBidi"/>
        </w:rPr>
        <w:t xml:space="preserve">, certifying they have obtained the participant’s permission to continue with the interview (see </w:t>
      </w:r>
      <w:r w:rsidR="000306D0">
        <w:rPr>
          <w:rFonts w:asciiTheme="majorBidi" w:hAnsiTheme="majorBidi" w:cstheme="majorBidi"/>
          <w:b/>
        </w:rPr>
        <w:t>Appendix C-2</w:t>
      </w:r>
      <w:r w:rsidR="000306D0">
        <w:rPr>
          <w:rFonts w:asciiTheme="majorBidi" w:hAnsiTheme="majorBidi" w:cstheme="majorBidi"/>
        </w:rPr>
        <w:t>)</w:t>
      </w:r>
      <w:r w:rsidRPr="005E2E2A" w:rsidR="00514C6B">
        <w:rPr>
          <w:rFonts w:asciiTheme="majorBidi" w:hAnsiTheme="majorBidi" w:cstheme="majorBidi"/>
        </w:rPr>
        <w:t>.</w:t>
      </w:r>
      <w:r w:rsidRPr="005E2E2A">
        <w:rPr>
          <w:rFonts w:asciiTheme="majorBidi" w:hAnsiTheme="majorBidi" w:cstheme="majorBidi"/>
        </w:rPr>
        <w:t xml:space="preserve"> Interviews will only be conducted if consent is obtained. </w:t>
      </w:r>
      <w:r w:rsidR="004A4874">
        <w:rPr>
          <w:rFonts w:asciiTheme="majorBidi" w:hAnsiTheme="majorBidi" w:cstheme="majorBidi"/>
        </w:rPr>
        <w:t>If a participant refuses, they will be thanked for their time</w:t>
      </w:r>
      <w:r w:rsidR="00B604F3">
        <w:rPr>
          <w:rFonts w:asciiTheme="majorBidi" w:hAnsiTheme="majorBidi" w:cstheme="majorBidi"/>
        </w:rPr>
        <w:t xml:space="preserve"> and consideration</w:t>
      </w:r>
      <w:r w:rsidR="004A4874">
        <w:rPr>
          <w:rFonts w:asciiTheme="majorBidi" w:hAnsiTheme="majorBidi" w:cstheme="majorBidi"/>
        </w:rPr>
        <w:t>.</w:t>
      </w:r>
    </w:p>
    <w:p w:rsidR="00CA28E3" w:rsidP="00CA28E3" w14:paraId="0F33A5B3" w14:textId="77777777">
      <w:pPr>
        <w:rPr>
          <w:rFonts w:asciiTheme="majorBidi" w:hAnsiTheme="majorBidi" w:cstheme="majorBidi"/>
        </w:rPr>
      </w:pPr>
    </w:p>
    <w:p w:rsidR="00AD535C" w:rsidRPr="005E2E2A" w:rsidP="00CA28E3" w14:paraId="2C7775FC" w14:textId="0BA8A8DF">
      <w:pPr>
        <w:rPr>
          <w:rFonts w:asciiTheme="majorBidi" w:hAnsiTheme="majorBidi" w:cstheme="majorBidi"/>
        </w:rPr>
      </w:pPr>
      <w:r w:rsidRPr="005E2E2A">
        <w:rPr>
          <w:rFonts w:asciiTheme="majorBidi" w:hAnsiTheme="majorBidi" w:cstheme="majorBidi"/>
        </w:rPr>
        <w:t>If the participant consents to audio recording, t</w:t>
      </w:r>
      <w:r w:rsidRPr="005E2E2A">
        <w:rPr>
          <w:rFonts w:asciiTheme="majorBidi" w:hAnsiTheme="majorBidi" w:cstheme="majorBidi"/>
        </w:rPr>
        <w:t xml:space="preserve">he interviews will be recorded </w:t>
      </w:r>
      <w:r w:rsidRPr="005E2E2A">
        <w:rPr>
          <w:rFonts w:asciiTheme="majorBidi" w:hAnsiTheme="majorBidi" w:cstheme="majorBidi"/>
        </w:rPr>
        <w:t>to allow for accurate capture of responses and account of answers during the analysis stage.</w:t>
      </w:r>
      <w:r w:rsidR="00C44514">
        <w:rPr>
          <w:rFonts w:asciiTheme="majorBidi" w:hAnsiTheme="majorBidi" w:cstheme="majorBidi"/>
        </w:rPr>
        <w:t xml:space="preserve"> Audio recordings will be saved on </w:t>
      </w:r>
      <w:r w:rsidR="004A4874">
        <w:rPr>
          <w:rFonts w:asciiTheme="majorBidi" w:hAnsiTheme="majorBidi" w:cstheme="majorBidi"/>
        </w:rPr>
        <w:t>the project team’s secured project</w:t>
      </w:r>
      <w:r w:rsidR="00C44514">
        <w:rPr>
          <w:rFonts w:asciiTheme="majorBidi" w:hAnsiTheme="majorBidi" w:cstheme="majorBidi"/>
        </w:rPr>
        <w:t xml:space="preserve"> share and will be deleted once the survey is finalized.</w:t>
      </w:r>
      <w:r w:rsidR="00B37C11">
        <w:rPr>
          <w:rFonts w:asciiTheme="majorBidi" w:hAnsiTheme="majorBidi" w:cstheme="majorBidi"/>
        </w:rPr>
        <w:t xml:space="preserve"> </w:t>
      </w:r>
      <w:r w:rsidR="00C44514">
        <w:rPr>
          <w:rFonts w:asciiTheme="majorBidi" w:hAnsiTheme="majorBidi" w:cstheme="majorBidi"/>
        </w:rPr>
        <w:t>Audio recordings will not be sent electronically or transferred outside of RTI</w:t>
      </w:r>
      <w:r w:rsidR="00CA28E3">
        <w:rPr>
          <w:rFonts w:asciiTheme="majorBidi" w:hAnsiTheme="majorBidi" w:cstheme="majorBidi"/>
        </w:rPr>
        <w:t xml:space="preserve"> to reduce the risk </w:t>
      </w:r>
      <w:r w:rsidR="00C44514">
        <w:rPr>
          <w:rFonts w:asciiTheme="majorBidi" w:hAnsiTheme="majorBidi" w:cstheme="majorBidi"/>
        </w:rPr>
        <w:t xml:space="preserve">of an unauthorized party intercepting the recordings. </w:t>
      </w:r>
      <w:r w:rsidR="00B37C11">
        <w:rPr>
          <w:rFonts w:asciiTheme="majorBidi" w:hAnsiTheme="majorBidi" w:cstheme="majorBidi"/>
        </w:rPr>
        <w:t xml:space="preserve">A thank you </w:t>
      </w:r>
      <w:r w:rsidR="001A2D2F">
        <w:rPr>
          <w:rFonts w:asciiTheme="majorBidi" w:hAnsiTheme="majorBidi" w:cstheme="majorBidi"/>
        </w:rPr>
        <w:t>email</w:t>
      </w:r>
      <w:r w:rsidR="00B37C11">
        <w:rPr>
          <w:rFonts w:asciiTheme="majorBidi" w:hAnsiTheme="majorBidi" w:cstheme="majorBidi"/>
        </w:rPr>
        <w:t xml:space="preserve"> will be sent to participants within 48 hours of the completion of the cognitive interview (see </w:t>
      </w:r>
      <w:r w:rsidRPr="00B6469B" w:rsidR="00B37C11">
        <w:rPr>
          <w:rFonts w:asciiTheme="majorBidi" w:hAnsiTheme="majorBidi" w:cstheme="majorBidi"/>
          <w:b/>
        </w:rPr>
        <w:t xml:space="preserve">Appendix </w:t>
      </w:r>
      <w:r w:rsidRPr="00B6469B" w:rsidR="007E0EC6">
        <w:rPr>
          <w:rFonts w:asciiTheme="majorBidi" w:hAnsiTheme="majorBidi" w:cstheme="majorBidi"/>
          <w:b/>
        </w:rPr>
        <w:t>B</w:t>
      </w:r>
      <w:r w:rsidRPr="00B6469B" w:rsidR="00266CFF">
        <w:rPr>
          <w:rFonts w:asciiTheme="majorBidi" w:hAnsiTheme="majorBidi" w:cstheme="majorBidi"/>
          <w:b/>
        </w:rPr>
        <w:t>-</w:t>
      </w:r>
      <w:r w:rsidR="000246ED">
        <w:rPr>
          <w:rFonts w:asciiTheme="majorBidi" w:hAnsiTheme="majorBidi" w:cstheme="majorBidi"/>
          <w:b/>
        </w:rPr>
        <w:t>6</w:t>
      </w:r>
      <w:r w:rsidR="00B37C11">
        <w:rPr>
          <w:rFonts w:asciiTheme="majorBidi" w:hAnsiTheme="majorBidi" w:cstheme="majorBidi"/>
        </w:rPr>
        <w:t>).</w:t>
      </w:r>
    </w:p>
    <w:p w:rsidR="00CA28E3" w:rsidP="00767F64" w14:paraId="745C719E" w14:textId="77777777">
      <w:pPr>
        <w:rPr>
          <w:rFonts w:asciiTheme="majorBidi" w:hAnsiTheme="majorBidi" w:cstheme="majorBidi"/>
          <w:color w:val="000000" w:themeColor="text1"/>
        </w:rPr>
      </w:pPr>
    </w:p>
    <w:p w:rsidR="00CE48E0" w:rsidP="00CE48E0" w14:paraId="018C4A83" w14:textId="17E67241">
      <w:pPr>
        <w:rPr>
          <w:rFonts w:asciiTheme="majorBidi" w:hAnsiTheme="majorBidi" w:cstheme="majorBidi"/>
        </w:rPr>
      </w:pPr>
      <w:r w:rsidRPr="005E2E2A">
        <w:rPr>
          <w:rFonts w:asciiTheme="majorBidi" w:hAnsiTheme="majorBidi" w:cstheme="majorBidi"/>
        </w:rPr>
        <w:t>The survey topics in the questionnaire include:</w:t>
      </w:r>
    </w:p>
    <w:p w:rsidR="00CE48E0" w:rsidRPr="005E2E2A" w:rsidP="00CE48E0" w14:paraId="7E1345E6" w14:textId="77777777">
      <w:pPr>
        <w:rPr>
          <w:rFonts w:asciiTheme="majorBidi" w:hAnsiTheme="majorBidi" w:cstheme="majorBidi"/>
        </w:rPr>
      </w:pPr>
    </w:p>
    <w:p w:rsidR="00CE48E0" w:rsidRPr="005E2E2A" w:rsidP="00CE48E0" w14:paraId="446D7F3E" w14:textId="35EE8415">
      <w:pPr>
        <w:pStyle w:val="ListParagraph"/>
        <w:numPr>
          <w:ilvl w:val="0"/>
          <w:numId w:val="12"/>
        </w:numPr>
        <w:rPr>
          <w:rFonts w:eastAsia="Times New Roman" w:asciiTheme="majorBidi" w:hAnsiTheme="majorBidi" w:cstheme="majorBidi"/>
          <w:sz w:val="24"/>
          <w:szCs w:val="24"/>
        </w:rPr>
      </w:pPr>
      <w:r>
        <w:rPr>
          <w:rFonts w:eastAsia="Times New Roman" w:asciiTheme="majorBidi" w:hAnsiTheme="majorBidi" w:cstheme="majorBidi"/>
          <w:b/>
          <w:sz w:val="24"/>
          <w:szCs w:val="24"/>
        </w:rPr>
        <w:t xml:space="preserve">Section A: </w:t>
      </w:r>
      <w:r w:rsidRPr="005E2E2A">
        <w:rPr>
          <w:rFonts w:eastAsia="Times New Roman" w:asciiTheme="majorBidi" w:hAnsiTheme="majorBidi" w:cstheme="majorBidi"/>
          <w:b/>
          <w:sz w:val="24"/>
          <w:szCs w:val="24"/>
        </w:rPr>
        <w:t>Administrative</w:t>
      </w:r>
      <w:r w:rsidRPr="005E2E2A">
        <w:rPr>
          <w:rFonts w:eastAsia="Times New Roman" w:asciiTheme="majorBidi" w:hAnsiTheme="majorBidi" w:cstheme="majorBidi"/>
          <w:sz w:val="24"/>
          <w:szCs w:val="24"/>
        </w:rPr>
        <w:t xml:space="preserve"> including type of office, jurisdiction served, </w:t>
      </w:r>
      <w:r w:rsidR="00B21B07">
        <w:rPr>
          <w:rFonts w:eastAsia="Times New Roman" w:asciiTheme="majorBidi" w:hAnsiTheme="majorBidi" w:cstheme="majorBidi"/>
          <w:sz w:val="24"/>
          <w:szCs w:val="24"/>
        </w:rPr>
        <w:t xml:space="preserve">and </w:t>
      </w:r>
      <w:r w:rsidR="00B21B07">
        <w:rPr>
          <w:rFonts w:eastAsia="Times New Roman" w:asciiTheme="majorBidi" w:hAnsiTheme="majorBidi" w:cstheme="majorBidi"/>
          <w:sz w:val="24"/>
          <w:szCs w:val="24"/>
        </w:rPr>
        <w:t>personnel</w:t>
      </w:r>
      <w:r w:rsidR="00B21B07">
        <w:rPr>
          <w:rFonts w:eastAsia="Times New Roman" w:asciiTheme="majorBidi" w:hAnsiTheme="majorBidi" w:cstheme="majorBidi"/>
          <w:sz w:val="24"/>
          <w:szCs w:val="24"/>
        </w:rPr>
        <w:t xml:space="preserve"> </w:t>
      </w:r>
    </w:p>
    <w:p w:rsidR="00CE48E0" w:rsidRPr="005E2E2A" w:rsidP="00CE48E0" w14:paraId="37B7481D" w14:textId="1FFD4799">
      <w:pPr>
        <w:pStyle w:val="ListParagraph"/>
        <w:numPr>
          <w:ilvl w:val="0"/>
          <w:numId w:val="12"/>
        </w:numPr>
        <w:rPr>
          <w:rFonts w:eastAsia="Times New Roman" w:asciiTheme="majorBidi" w:hAnsiTheme="majorBidi" w:cstheme="majorBidi"/>
          <w:sz w:val="24"/>
          <w:szCs w:val="24"/>
        </w:rPr>
      </w:pPr>
      <w:r>
        <w:rPr>
          <w:rFonts w:eastAsia="Times New Roman" w:asciiTheme="majorBidi" w:hAnsiTheme="majorBidi" w:cstheme="majorBidi"/>
          <w:b/>
          <w:sz w:val="24"/>
          <w:szCs w:val="24"/>
        </w:rPr>
        <w:t xml:space="preserve">Section B: </w:t>
      </w:r>
      <w:r w:rsidR="005645E3">
        <w:rPr>
          <w:rFonts w:eastAsia="Times New Roman" w:asciiTheme="majorBidi" w:hAnsiTheme="majorBidi" w:cstheme="majorBidi"/>
          <w:b/>
          <w:sz w:val="24"/>
          <w:szCs w:val="24"/>
        </w:rPr>
        <w:t>Expenditures and funds</w:t>
      </w:r>
      <w:r w:rsidRPr="005E2E2A">
        <w:rPr>
          <w:rFonts w:eastAsia="Times New Roman" w:asciiTheme="majorBidi" w:hAnsiTheme="majorBidi" w:cstheme="majorBidi"/>
          <w:sz w:val="24"/>
          <w:szCs w:val="24"/>
        </w:rPr>
        <w:t xml:space="preserve"> including annual </w:t>
      </w:r>
      <w:r w:rsidR="00B21B07">
        <w:rPr>
          <w:rFonts w:eastAsia="Times New Roman" w:asciiTheme="majorBidi" w:hAnsiTheme="majorBidi" w:cstheme="majorBidi"/>
          <w:sz w:val="24"/>
          <w:szCs w:val="24"/>
        </w:rPr>
        <w:t>expenditures</w:t>
      </w:r>
      <w:r w:rsidRPr="005E2E2A">
        <w:rPr>
          <w:rFonts w:eastAsia="Times New Roman" w:asciiTheme="majorBidi" w:hAnsiTheme="majorBidi" w:cstheme="majorBidi"/>
          <w:sz w:val="24"/>
          <w:szCs w:val="24"/>
        </w:rPr>
        <w:t xml:space="preserve">, </w:t>
      </w:r>
      <w:r w:rsidR="00B21B07">
        <w:rPr>
          <w:rFonts w:eastAsia="Times New Roman" w:asciiTheme="majorBidi" w:hAnsiTheme="majorBidi" w:cstheme="majorBidi"/>
          <w:sz w:val="24"/>
          <w:szCs w:val="24"/>
        </w:rPr>
        <w:t>expenditure</w:t>
      </w:r>
      <w:r w:rsidRPr="005E2E2A">
        <w:rPr>
          <w:rFonts w:eastAsia="Times New Roman" w:asciiTheme="majorBidi" w:hAnsiTheme="majorBidi" w:cstheme="majorBidi"/>
          <w:sz w:val="24"/>
          <w:szCs w:val="24"/>
        </w:rPr>
        <w:t xml:space="preserve"> categories, </w:t>
      </w:r>
      <w:r w:rsidR="00A60370">
        <w:rPr>
          <w:rFonts w:eastAsia="Times New Roman" w:asciiTheme="majorBidi" w:hAnsiTheme="majorBidi" w:cstheme="majorBidi"/>
          <w:sz w:val="24"/>
          <w:szCs w:val="24"/>
        </w:rPr>
        <w:t xml:space="preserve">and </w:t>
      </w:r>
      <w:r w:rsidRPr="005E2E2A">
        <w:rPr>
          <w:rFonts w:eastAsia="Times New Roman" w:asciiTheme="majorBidi" w:hAnsiTheme="majorBidi" w:cstheme="majorBidi"/>
          <w:sz w:val="24"/>
          <w:szCs w:val="24"/>
        </w:rPr>
        <w:t xml:space="preserve">funding </w:t>
      </w:r>
      <w:r w:rsidRPr="005E2E2A">
        <w:rPr>
          <w:rFonts w:eastAsia="Times New Roman" w:asciiTheme="majorBidi" w:hAnsiTheme="majorBidi" w:cstheme="majorBidi"/>
          <w:sz w:val="24"/>
          <w:szCs w:val="24"/>
        </w:rPr>
        <w:t>sources</w:t>
      </w:r>
    </w:p>
    <w:p w:rsidR="00CE48E0" w:rsidRPr="005E2E2A" w:rsidP="00CE48E0" w14:paraId="0D564B2B" w14:textId="3382BF1D">
      <w:pPr>
        <w:pStyle w:val="ListParagraph"/>
        <w:numPr>
          <w:ilvl w:val="0"/>
          <w:numId w:val="12"/>
        </w:numPr>
        <w:rPr>
          <w:rFonts w:eastAsia="Times New Roman" w:asciiTheme="majorBidi" w:hAnsiTheme="majorBidi" w:cstheme="majorBidi"/>
          <w:sz w:val="24"/>
          <w:szCs w:val="24"/>
        </w:rPr>
      </w:pPr>
      <w:r>
        <w:rPr>
          <w:rFonts w:eastAsia="Times New Roman" w:asciiTheme="majorBidi" w:hAnsiTheme="majorBidi" w:cstheme="majorBidi"/>
          <w:b/>
          <w:sz w:val="24"/>
          <w:szCs w:val="24"/>
        </w:rPr>
        <w:t xml:space="preserve">Section C: </w:t>
      </w:r>
      <w:r w:rsidRPr="005E2E2A">
        <w:rPr>
          <w:rFonts w:eastAsia="Times New Roman" w:asciiTheme="majorBidi" w:hAnsiTheme="majorBidi" w:cstheme="majorBidi"/>
          <w:b/>
          <w:sz w:val="24"/>
          <w:szCs w:val="24"/>
        </w:rPr>
        <w:t xml:space="preserve">Workload </w:t>
      </w:r>
      <w:r w:rsidR="002F46C1">
        <w:rPr>
          <w:rFonts w:eastAsia="Times New Roman" w:asciiTheme="majorBidi" w:hAnsiTheme="majorBidi" w:cstheme="majorBidi"/>
          <w:b/>
          <w:sz w:val="24"/>
          <w:szCs w:val="24"/>
        </w:rPr>
        <w:t>(</w:t>
      </w:r>
      <w:r w:rsidR="006E144A">
        <w:rPr>
          <w:rFonts w:eastAsia="Times New Roman" w:asciiTheme="majorBidi" w:hAnsiTheme="majorBidi" w:cstheme="majorBidi"/>
          <w:b/>
          <w:sz w:val="24"/>
          <w:szCs w:val="24"/>
        </w:rPr>
        <w:t xml:space="preserve">i.e., cases and number of </w:t>
      </w:r>
      <w:r w:rsidR="002F46C1">
        <w:rPr>
          <w:rFonts w:eastAsia="Times New Roman" w:asciiTheme="majorBidi" w:hAnsiTheme="majorBidi" w:cstheme="majorBidi"/>
          <w:b/>
          <w:sz w:val="24"/>
          <w:szCs w:val="24"/>
        </w:rPr>
        <w:t>death investigations)</w:t>
      </w:r>
      <w:r w:rsidRPr="005E2E2A">
        <w:rPr>
          <w:rFonts w:eastAsia="Times New Roman" w:asciiTheme="majorBidi" w:hAnsiTheme="majorBidi" w:cstheme="majorBidi"/>
          <w:sz w:val="24"/>
          <w:szCs w:val="24"/>
        </w:rPr>
        <w:t xml:space="preserve"> including number of referrals, </w:t>
      </w:r>
      <w:r w:rsidR="00A60370">
        <w:rPr>
          <w:rFonts w:eastAsia="Times New Roman" w:asciiTheme="majorBidi" w:hAnsiTheme="majorBidi" w:cstheme="majorBidi"/>
          <w:sz w:val="24"/>
          <w:szCs w:val="24"/>
        </w:rPr>
        <w:t xml:space="preserve">and </w:t>
      </w:r>
      <w:r w:rsidRPr="005E2E2A">
        <w:rPr>
          <w:rFonts w:eastAsia="Times New Roman" w:asciiTheme="majorBidi" w:hAnsiTheme="majorBidi" w:cstheme="majorBidi"/>
          <w:sz w:val="24"/>
          <w:szCs w:val="24"/>
        </w:rPr>
        <w:t xml:space="preserve">accepted </w:t>
      </w:r>
      <w:r w:rsidRPr="005E2E2A">
        <w:rPr>
          <w:rFonts w:eastAsia="Times New Roman" w:asciiTheme="majorBidi" w:hAnsiTheme="majorBidi" w:cstheme="majorBidi"/>
          <w:sz w:val="24"/>
          <w:szCs w:val="24"/>
        </w:rPr>
        <w:t>cases</w:t>
      </w:r>
    </w:p>
    <w:p w:rsidR="00CE48E0" w:rsidRPr="005E2E2A" w:rsidP="00CE48E0" w14:paraId="428E60CD" w14:textId="78B3047C">
      <w:pPr>
        <w:pStyle w:val="ListParagraph"/>
        <w:numPr>
          <w:ilvl w:val="0"/>
          <w:numId w:val="12"/>
        </w:numPr>
        <w:rPr>
          <w:rFonts w:eastAsia="Times New Roman" w:asciiTheme="majorBidi" w:hAnsiTheme="majorBidi" w:cstheme="majorBidi"/>
          <w:sz w:val="24"/>
          <w:szCs w:val="24"/>
        </w:rPr>
      </w:pPr>
      <w:r>
        <w:rPr>
          <w:rFonts w:eastAsia="Times New Roman" w:asciiTheme="majorBidi" w:hAnsiTheme="majorBidi" w:cstheme="majorBidi"/>
          <w:b/>
          <w:sz w:val="24"/>
          <w:szCs w:val="24"/>
        </w:rPr>
        <w:t xml:space="preserve">Section D: </w:t>
      </w:r>
      <w:r w:rsidRPr="005E2E2A">
        <w:rPr>
          <w:rFonts w:eastAsia="Times New Roman" w:asciiTheme="majorBidi" w:hAnsiTheme="majorBidi" w:cstheme="majorBidi"/>
          <w:b/>
          <w:sz w:val="24"/>
          <w:szCs w:val="24"/>
        </w:rPr>
        <w:t xml:space="preserve">Specialized death investigations </w:t>
      </w:r>
      <w:r w:rsidRPr="005E2E2A">
        <w:rPr>
          <w:rFonts w:eastAsia="Times New Roman" w:asciiTheme="majorBidi" w:hAnsiTheme="majorBidi" w:cstheme="majorBidi"/>
          <w:sz w:val="24"/>
          <w:szCs w:val="24"/>
        </w:rPr>
        <w:t>including procedures for unidentified remains</w:t>
      </w:r>
      <w:r w:rsidR="00B21B07">
        <w:rPr>
          <w:rFonts w:eastAsia="Times New Roman" w:asciiTheme="majorBidi" w:hAnsiTheme="majorBidi" w:cstheme="majorBidi"/>
          <w:sz w:val="24"/>
          <w:szCs w:val="24"/>
        </w:rPr>
        <w:t xml:space="preserve"> and </w:t>
      </w:r>
      <w:r w:rsidR="00B21B07">
        <w:rPr>
          <w:rFonts w:eastAsia="Times New Roman" w:asciiTheme="majorBidi" w:hAnsiTheme="majorBidi" w:cstheme="majorBidi"/>
          <w:sz w:val="24"/>
          <w:szCs w:val="24"/>
        </w:rPr>
        <w:t>overdoses</w:t>
      </w:r>
    </w:p>
    <w:p w:rsidR="00CE48E0" w:rsidRPr="00CE48E0" w:rsidP="00CE48E0" w14:paraId="6B246A71" w14:textId="55840061">
      <w:pPr>
        <w:pStyle w:val="ListParagraph"/>
        <w:numPr>
          <w:ilvl w:val="0"/>
          <w:numId w:val="12"/>
        </w:numPr>
        <w:rPr>
          <w:rFonts w:eastAsia="Times New Roman" w:asciiTheme="majorBidi" w:hAnsiTheme="majorBidi" w:cstheme="majorBidi"/>
          <w:sz w:val="24"/>
          <w:szCs w:val="24"/>
        </w:rPr>
      </w:pPr>
      <w:r>
        <w:rPr>
          <w:rFonts w:eastAsia="Times New Roman" w:asciiTheme="majorBidi" w:hAnsiTheme="majorBidi" w:cstheme="majorBidi"/>
          <w:b/>
          <w:sz w:val="24"/>
          <w:szCs w:val="24"/>
        </w:rPr>
        <w:t>Section E:</w:t>
      </w:r>
      <w:r>
        <w:rPr>
          <w:rFonts w:eastAsia="Times New Roman" w:asciiTheme="majorBidi" w:hAnsiTheme="majorBidi" w:cstheme="majorBidi"/>
          <w:sz w:val="24"/>
          <w:szCs w:val="24"/>
        </w:rPr>
        <w:t xml:space="preserve"> </w:t>
      </w:r>
      <w:r w:rsidRPr="00CE48E0">
        <w:rPr>
          <w:rFonts w:eastAsia="Times New Roman" w:asciiTheme="majorBidi" w:hAnsiTheme="majorBidi" w:cstheme="majorBidi"/>
          <w:b/>
          <w:sz w:val="24"/>
          <w:szCs w:val="24"/>
        </w:rPr>
        <w:t>Records and evidence retention</w:t>
      </w:r>
      <w:r w:rsidRPr="00CE48E0">
        <w:rPr>
          <w:rFonts w:eastAsia="Times New Roman" w:asciiTheme="majorBidi" w:hAnsiTheme="majorBidi" w:cstheme="majorBidi"/>
          <w:sz w:val="24"/>
          <w:szCs w:val="24"/>
        </w:rPr>
        <w:t xml:space="preserve"> including computer records systems and </w:t>
      </w:r>
      <w:r w:rsidRPr="00CE48E0">
        <w:rPr>
          <w:rFonts w:eastAsia="Times New Roman" w:asciiTheme="majorBidi" w:hAnsiTheme="majorBidi" w:cstheme="majorBidi"/>
          <w:sz w:val="24"/>
          <w:szCs w:val="24"/>
        </w:rPr>
        <w:t>archiving</w:t>
      </w:r>
    </w:p>
    <w:p w:rsidR="00CE48E0" w:rsidP="00CE48E0" w14:paraId="6F146650" w14:textId="68B67BC2">
      <w:pPr>
        <w:pStyle w:val="ListParagraph"/>
        <w:numPr>
          <w:ilvl w:val="0"/>
          <w:numId w:val="12"/>
        </w:numPr>
        <w:rPr>
          <w:rFonts w:eastAsia="Times New Roman" w:asciiTheme="majorBidi" w:hAnsiTheme="majorBidi" w:cstheme="majorBidi"/>
          <w:sz w:val="24"/>
          <w:szCs w:val="24"/>
        </w:rPr>
      </w:pPr>
      <w:r>
        <w:rPr>
          <w:rFonts w:eastAsia="Times New Roman" w:asciiTheme="majorBidi" w:hAnsiTheme="majorBidi" w:cstheme="majorBidi"/>
          <w:b/>
          <w:sz w:val="24"/>
          <w:szCs w:val="24"/>
        </w:rPr>
        <w:t xml:space="preserve">Section F: </w:t>
      </w:r>
      <w:r w:rsidRPr="005E2E2A">
        <w:rPr>
          <w:rFonts w:eastAsia="Times New Roman" w:asciiTheme="majorBidi" w:hAnsiTheme="majorBidi" w:cstheme="majorBidi"/>
          <w:b/>
          <w:sz w:val="24"/>
          <w:szCs w:val="24"/>
        </w:rPr>
        <w:t xml:space="preserve">Resources </w:t>
      </w:r>
      <w:r w:rsidRPr="005E2E2A">
        <w:rPr>
          <w:rFonts w:eastAsia="Times New Roman" w:asciiTheme="majorBidi" w:hAnsiTheme="majorBidi" w:cstheme="majorBidi"/>
          <w:sz w:val="24"/>
          <w:szCs w:val="24"/>
        </w:rPr>
        <w:t xml:space="preserve">including internet access, access to databases, training resources, </w:t>
      </w:r>
      <w:r w:rsidR="00A60370">
        <w:rPr>
          <w:rFonts w:eastAsia="Times New Roman" w:asciiTheme="majorBidi" w:hAnsiTheme="majorBidi" w:cstheme="majorBidi"/>
          <w:sz w:val="24"/>
          <w:szCs w:val="24"/>
        </w:rPr>
        <w:t xml:space="preserve">and </w:t>
      </w:r>
      <w:r w:rsidRPr="005E2E2A">
        <w:rPr>
          <w:rFonts w:eastAsia="Times New Roman" w:asciiTheme="majorBidi" w:hAnsiTheme="majorBidi" w:cstheme="majorBidi"/>
          <w:sz w:val="24"/>
          <w:szCs w:val="24"/>
        </w:rPr>
        <w:t>technologies</w:t>
      </w:r>
      <w:r w:rsidRPr="00DF7F01">
        <w:rPr>
          <w:rFonts w:asciiTheme="majorBidi" w:hAnsiTheme="majorBidi" w:cstheme="majorBidi"/>
          <w:color w:val="000000" w:themeColor="text1"/>
        </w:rPr>
        <w:t xml:space="preserve"> </w:t>
      </w:r>
    </w:p>
    <w:p w:rsidR="00CE48E0" w:rsidP="00767F64" w14:paraId="04D7F1D2" w14:textId="77777777">
      <w:pPr>
        <w:rPr>
          <w:rFonts w:asciiTheme="majorBidi" w:hAnsiTheme="majorBidi" w:cstheme="majorBidi"/>
          <w:color w:val="000000" w:themeColor="text1"/>
        </w:rPr>
      </w:pPr>
    </w:p>
    <w:p w:rsidR="00D22AD4" w:rsidP="00767F64" w14:paraId="2F218EA1" w14:textId="340E1755">
      <w:pPr>
        <w:rPr>
          <w:rFonts w:asciiTheme="majorBidi" w:hAnsiTheme="majorBidi" w:cstheme="majorBidi"/>
        </w:rPr>
      </w:pPr>
      <w:r w:rsidRPr="005E2E2A">
        <w:rPr>
          <w:rFonts w:asciiTheme="majorBidi" w:hAnsiTheme="majorBidi" w:cstheme="majorBidi"/>
          <w:color w:val="000000" w:themeColor="text1"/>
        </w:rPr>
        <w:t xml:space="preserve">The testing protocol and example probes are presented in </w:t>
      </w:r>
      <w:r w:rsidRPr="00F24E30">
        <w:rPr>
          <w:rFonts w:asciiTheme="majorBidi" w:hAnsiTheme="majorBidi" w:cstheme="majorBidi"/>
          <w:b/>
          <w:color w:val="000000" w:themeColor="text1"/>
        </w:rPr>
        <w:t xml:space="preserve">Appendix </w:t>
      </w:r>
      <w:r w:rsidR="00236956">
        <w:rPr>
          <w:rFonts w:asciiTheme="majorBidi" w:hAnsiTheme="majorBidi" w:cstheme="majorBidi"/>
          <w:b/>
          <w:color w:val="000000" w:themeColor="text1"/>
        </w:rPr>
        <w:t>E</w:t>
      </w:r>
      <w:r w:rsidR="00A60370">
        <w:rPr>
          <w:rFonts w:asciiTheme="majorBidi" w:hAnsiTheme="majorBidi" w:cstheme="majorBidi"/>
          <w:color w:val="000000" w:themeColor="text1"/>
        </w:rPr>
        <w:t xml:space="preserve">. </w:t>
      </w:r>
      <w:r w:rsidR="004C182E">
        <w:rPr>
          <w:rFonts w:asciiTheme="majorBidi" w:hAnsiTheme="majorBidi" w:cstheme="majorBidi"/>
          <w:color w:val="000000" w:themeColor="text1"/>
        </w:rPr>
        <w:t>The respondents will see only the formatted survey and not the probing questions.</w:t>
      </w:r>
      <w:r>
        <w:rPr>
          <w:rFonts w:asciiTheme="majorBidi" w:hAnsiTheme="majorBidi" w:cstheme="majorBidi"/>
          <w:color w:val="000000" w:themeColor="text1"/>
        </w:rPr>
        <w:t xml:space="preserve"> </w:t>
      </w:r>
      <w:r w:rsidR="00B604F3">
        <w:rPr>
          <w:rFonts w:asciiTheme="majorBidi" w:hAnsiTheme="majorBidi" w:cstheme="majorBidi"/>
          <w:color w:val="000000" w:themeColor="text1"/>
        </w:rPr>
        <w:t>E</w:t>
      </w:r>
      <w:r w:rsidRPr="005E2E2A" w:rsidR="00AD535C">
        <w:rPr>
          <w:rFonts w:asciiTheme="majorBidi" w:hAnsiTheme="majorBidi" w:cstheme="majorBidi"/>
          <w:color w:val="000000" w:themeColor="text1"/>
        </w:rPr>
        <w:t xml:space="preserve">ach cognitive interview, including probes, will take </w:t>
      </w:r>
      <w:r w:rsidRPr="005E2E2A" w:rsidR="003E17FA">
        <w:rPr>
          <w:rFonts w:asciiTheme="majorBidi" w:hAnsiTheme="majorBidi" w:cstheme="majorBidi"/>
          <w:color w:val="000000" w:themeColor="text1"/>
        </w:rPr>
        <w:t xml:space="preserve">a maximum of </w:t>
      </w:r>
      <w:r w:rsidR="00185738">
        <w:rPr>
          <w:rFonts w:asciiTheme="majorBidi" w:hAnsiTheme="majorBidi" w:cstheme="majorBidi"/>
          <w:color w:val="000000" w:themeColor="text1"/>
        </w:rPr>
        <w:t>6</w:t>
      </w:r>
      <w:r w:rsidRPr="006226A2" w:rsidR="003E17FA">
        <w:rPr>
          <w:rFonts w:asciiTheme="majorBidi" w:hAnsiTheme="majorBidi" w:cstheme="majorBidi"/>
          <w:color w:val="000000" w:themeColor="text1"/>
        </w:rPr>
        <w:t>0</w:t>
      </w:r>
      <w:r w:rsidRPr="005E2E2A" w:rsidR="003E17FA">
        <w:rPr>
          <w:rFonts w:asciiTheme="majorBidi" w:hAnsiTheme="majorBidi" w:cstheme="majorBidi"/>
          <w:color w:val="000000" w:themeColor="text1"/>
        </w:rPr>
        <w:t xml:space="preserve"> minutes. </w:t>
      </w:r>
      <w:r w:rsidRPr="005E2E2A" w:rsidR="001A2610">
        <w:rPr>
          <w:rFonts w:asciiTheme="majorBidi" w:hAnsiTheme="majorBidi" w:cstheme="majorBidi"/>
        </w:rPr>
        <w:t>The</w:t>
      </w:r>
      <w:r w:rsidRPr="005E2E2A" w:rsidR="00455856">
        <w:rPr>
          <w:rFonts w:asciiTheme="majorBidi" w:hAnsiTheme="majorBidi" w:cstheme="majorBidi"/>
        </w:rPr>
        <w:t xml:space="preserve"> cognitive testing protocol </w:t>
      </w:r>
      <w:r w:rsidRPr="005E2E2A" w:rsidR="001A2610">
        <w:rPr>
          <w:rFonts w:asciiTheme="majorBidi" w:hAnsiTheme="majorBidi" w:cstheme="majorBidi"/>
        </w:rPr>
        <w:t xml:space="preserve">will </w:t>
      </w:r>
      <w:r>
        <w:rPr>
          <w:rFonts w:asciiTheme="majorBidi" w:hAnsiTheme="majorBidi" w:cstheme="majorBidi"/>
        </w:rPr>
        <w:t>introduce the participants to BJS’</w:t>
      </w:r>
      <w:r w:rsidR="007363D4">
        <w:rPr>
          <w:rFonts w:asciiTheme="majorBidi" w:hAnsiTheme="majorBidi" w:cstheme="majorBidi"/>
        </w:rPr>
        <w:t>s</w:t>
      </w:r>
      <w:r>
        <w:rPr>
          <w:rFonts w:asciiTheme="majorBidi" w:hAnsiTheme="majorBidi" w:cstheme="majorBidi"/>
        </w:rPr>
        <w:t xml:space="preserve"> 20</w:t>
      </w:r>
      <w:r w:rsidR="00714081">
        <w:rPr>
          <w:rFonts w:asciiTheme="majorBidi" w:hAnsiTheme="majorBidi" w:cstheme="majorBidi"/>
        </w:rPr>
        <w:t>23</w:t>
      </w:r>
      <w:r>
        <w:rPr>
          <w:rFonts w:asciiTheme="majorBidi" w:hAnsiTheme="majorBidi" w:cstheme="majorBidi"/>
        </w:rPr>
        <w:t xml:space="preserve"> CMEC goals (see </w:t>
      </w:r>
      <w:r w:rsidRPr="00B6469B">
        <w:rPr>
          <w:rFonts w:asciiTheme="majorBidi" w:hAnsiTheme="majorBidi" w:cstheme="majorBidi"/>
          <w:b/>
        </w:rPr>
        <w:t xml:space="preserve">Appendix </w:t>
      </w:r>
      <w:r w:rsidR="002F46C1">
        <w:rPr>
          <w:rFonts w:asciiTheme="majorBidi" w:hAnsiTheme="majorBidi" w:cstheme="majorBidi"/>
          <w:b/>
        </w:rPr>
        <w:t>F</w:t>
      </w:r>
      <w:r w:rsidR="005365EB">
        <w:rPr>
          <w:rFonts w:asciiTheme="majorBidi" w:hAnsiTheme="majorBidi" w:cstheme="majorBidi"/>
        </w:rPr>
        <w:t xml:space="preserve"> </w:t>
      </w:r>
      <w:r>
        <w:rPr>
          <w:rFonts w:asciiTheme="majorBidi" w:hAnsiTheme="majorBidi" w:cstheme="majorBidi"/>
        </w:rPr>
        <w:t>for the study show card),</w:t>
      </w:r>
      <w:r w:rsidRPr="005E2E2A" w:rsidR="001A2610">
        <w:rPr>
          <w:rFonts w:asciiTheme="majorBidi" w:hAnsiTheme="majorBidi" w:cstheme="majorBidi"/>
        </w:rPr>
        <w:t xml:space="preserve"> </w:t>
      </w:r>
      <w:r w:rsidR="004F025B">
        <w:rPr>
          <w:rFonts w:asciiTheme="majorBidi" w:hAnsiTheme="majorBidi" w:cstheme="majorBidi"/>
        </w:rPr>
        <w:t>and guide</w:t>
      </w:r>
      <w:r w:rsidRPr="005E2E2A" w:rsidR="001A2610">
        <w:rPr>
          <w:rFonts w:asciiTheme="majorBidi" w:hAnsiTheme="majorBidi" w:cstheme="majorBidi"/>
        </w:rPr>
        <w:t xml:space="preserve"> participants through the questionnaire</w:t>
      </w:r>
      <w:r w:rsidR="004F025B">
        <w:rPr>
          <w:rFonts w:asciiTheme="majorBidi" w:hAnsiTheme="majorBidi" w:cstheme="majorBidi"/>
        </w:rPr>
        <w:t>.</w:t>
      </w:r>
      <w:r w:rsidRPr="005E2E2A" w:rsidR="001A2610">
        <w:rPr>
          <w:rFonts w:asciiTheme="majorBidi" w:hAnsiTheme="majorBidi" w:cstheme="majorBidi"/>
        </w:rPr>
        <w:t xml:space="preserve"> </w:t>
      </w:r>
    </w:p>
    <w:p w:rsidR="00D22AD4" w:rsidP="00767F64" w14:paraId="292C3157" w14:textId="77777777">
      <w:pPr>
        <w:rPr>
          <w:rFonts w:asciiTheme="majorBidi" w:hAnsiTheme="majorBidi" w:cstheme="majorBidi"/>
        </w:rPr>
      </w:pPr>
    </w:p>
    <w:p w:rsidR="009C68BF" w:rsidP="00767F64" w14:paraId="4DC830A4" w14:textId="45A5426F">
      <w:pPr>
        <w:rPr>
          <w:rFonts w:asciiTheme="majorBidi" w:hAnsiTheme="majorBidi" w:cstheme="majorBidi"/>
        </w:rPr>
      </w:pPr>
      <w:r>
        <w:rPr>
          <w:rFonts w:asciiTheme="majorBidi" w:hAnsiTheme="majorBidi" w:cstheme="majorBidi"/>
        </w:rPr>
        <w:t>A</w:t>
      </w:r>
      <w:r w:rsidRPr="005E2E2A" w:rsidR="001A2610">
        <w:rPr>
          <w:rFonts w:asciiTheme="majorBidi" w:hAnsiTheme="majorBidi" w:cstheme="majorBidi"/>
        </w:rPr>
        <w:t xml:space="preserve">s </w:t>
      </w:r>
      <w:r>
        <w:rPr>
          <w:rFonts w:asciiTheme="majorBidi" w:hAnsiTheme="majorBidi" w:cstheme="majorBidi"/>
        </w:rPr>
        <w:t>respondents</w:t>
      </w:r>
      <w:r w:rsidRPr="005E2E2A" w:rsidR="001A2610">
        <w:rPr>
          <w:rFonts w:asciiTheme="majorBidi" w:hAnsiTheme="majorBidi" w:cstheme="majorBidi"/>
        </w:rPr>
        <w:t xml:space="preserve"> answer the questions, the interviewers will </w:t>
      </w:r>
      <w:r w:rsidRPr="005E2E2A" w:rsidR="00594EFD">
        <w:rPr>
          <w:rFonts w:asciiTheme="majorBidi" w:hAnsiTheme="majorBidi" w:cstheme="majorBidi"/>
        </w:rPr>
        <w:t>ask p</w:t>
      </w:r>
      <w:r w:rsidRPr="005E2E2A" w:rsidR="00844F2F">
        <w:rPr>
          <w:rFonts w:asciiTheme="majorBidi" w:hAnsiTheme="majorBidi" w:cstheme="majorBidi"/>
        </w:rPr>
        <w:t xml:space="preserve">articipants to </w:t>
      </w:r>
      <w:r w:rsidRPr="005E2E2A" w:rsidR="001A2610">
        <w:rPr>
          <w:rFonts w:asciiTheme="majorBidi" w:hAnsiTheme="majorBidi" w:cstheme="majorBidi"/>
        </w:rPr>
        <w:t xml:space="preserve">note </w:t>
      </w:r>
      <w:r w:rsidRPr="005E2E2A" w:rsidR="00844F2F">
        <w:rPr>
          <w:rFonts w:asciiTheme="majorBidi" w:hAnsiTheme="majorBidi" w:cstheme="majorBidi"/>
        </w:rPr>
        <w:t>any aspects of the instrumen</w:t>
      </w:r>
      <w:r w:rsidRPr="005E2E2A" w:rsidR="001A2610">
        <w:rPr>
          <w:rFonts w:asciiTheme="majorBidi" w:hAnsiTheme="majorBidi" w:cstheme="majorBidi"/>
        </w:rPr>
        <w:t xml:space="preserve">ts </w:t>
      </w:r>
      <w:r w:rsidR="00BA1240">
        <w:rPr>
          <w:rFonts w:asciiTheme="majorBidi" w:hAnsiTheme="majorBidi" w:cstheme="majorBidi"/>
        </w:rPr>
        <w:t>that are</w:t>
      </w:r>
      <w:r w:rsidRPr="005E2E2A" w:rsidR="00844F2F">
        <w:rPr>
          <w:rFonts w:asciiTheme="majorBidi" w:hAnsiTheme="majorBidi" w:cstheme="majorBidi"/>
        </w:rPr>
        <w:t xml:space="preserve"> unclea</w:t>
      </w:r>
      <w:r w:rsidRPr="005E2E2A" w:rsidR="001A2610">
        <w:rPr>
          <w:rFonts w:asciiTheme="majorBidi" w:hAnsiTheme="majorBidi" w:cstheme="majorBidi"/>
        </w:rPr>
        <w:t xml:space="preserve">r, any questions or topics </w:t>
      </w:r>
      <w:r w:rsidRPr="005E2E2A" w:rsidR="00844F2F">
        <w:rPr>
          <w:rFonts w:asciiTheme="majorBidi" w:hAnsiTheme="majorBidi" w:cstheme="majorBidi"/>
        </w:rPr>
        <w:t>omitted, or any answer choices or response categories missing or insufficient</w:t>
      </w:r>
      <w:r w:rsidRPr="005E2E2A" w:rsidR="00AD535C">
        <w:rPr>
          <w:rFonts w:asciiTheme="majorBidi" w:hAnsiTheme="majorBidi" w:cstheme="majorBidi"/>
        </w:rPr>
        <w:t xml:space="preserve">, or questions that should be </w:t>
      </w:r>
      <w:r w:rsidR="00B604F3">
        <w:rPr>
          <w:rFonts w:asciiTheme="majorBidi" w:hAnsiTheme="majorBidi" w:cstheme="majorBidi"/>
        </w:rPr>
        <w:t>struck or revised</w:t>
      </w:r>
      <w:r w:rsidRPr="005E2E2A" w:rsidR="00844F2F">
        <w:rPr>
          <w:rFonts w:asciiTheme="majorBidi" w:hAnsiTheme="majorBidi" w:cstheme="majorBidi"/>
        </w:rPr>
        <w:t xml:space="preserve">. </w:t>
      </w:r>
      <w:r>
        <w:rPr>
          <w:rFonts w:asciiTheme="majorBidi" w:hAnsiTheme="majorBidi" w:cstheme="majorBidi"/>
        </w:rPr>
        <w:t xml:space="preserve">Interviewers will also ask questions to check respondents’ understanding of the questions. </w:t>
      </w:r>
      <w:r w:rsidR="00A56763">
        <w:rPr>
          <w:rFonts w:asciiTheme="majorBidi" w:hAnsiTheme="majorBidi" w:cstheme="majorBidi"/>
        </w:rPr>
        <w:t>During this cognitive testing phase, we will instruct participants to answer only those questions which they can readily answer; participants are not expected to conduct research to answer any questions. For those questions that are not readily answered without researching information, we will ask participants how they would find the information necessary to answer the question</w:t>
      </w:r>
      <w:r w:rsidR="00E55907">
        <w:rPr>
          <w:rFonts w:asciiTheme="majorBidi" w:hAnsiTheme="majorBidi" w:cstheme="majorBidi"/>
        </w:rPr>
        <w:t xml:space="preserve"> and</w:t>
      </w:r>
      <w:r w:rsidR="008C5171">
        <w:rPr>
          <w:rFonts w:asciiTheme="majorBidi" w:hAnsiTheme="majorBidi" w:cstheme="majorBidi"/>
        </w:rPr>
        <w:t xml:space="preserve"> who would be the person best suited</w:t>
      </w:r>
      <w:r w:rsidR="00E55907">
        <w:rPr>
          <w:rFonts w:asciiTheme="majorBidi" w:hAnsiTheme="majorBidi" w:cstheme="majorBidi"/>
        </w:rPr>
        <w:t xml:space="preserve"> to answer the question</w:t>
      </w:r>
      <w:r w:rsidR="00A56763">
        <w:rPr>
          <w:rFonts w:asciiTheme="majorBidi" w:hAnsiTheme="majorBidi" w:cstheme="majorBidi"/>
        </w:rPr>
        <w:t xml:space="preserve">. </w:t>
      </w:r>
      <w:r w:rsidR="00DF3453">
        <w:rPr>
          <w:rFonts w:asciiTheme="majorBidi" w:hAnsiTheme="majorBidi" w:cstheme="majorBidi"/>
        </w:rPr>
        <w:t>To gauge burden, w</w:t>
      </w:r>
      <w:r w:rsidR="00AD045F">
        <w:rPr>
          <w:rFonts w:asciiTheme="majorBidi" w:hAnsiTheme="majorBidi" w:cstheme="majorBidi"/>
        </w:rPr>
        <w:t xml:space="preserve">e will also ask </w:t>
      </w:r>
      <w:r w:rsidR="00866AEE">
        <w:rPr>
          <w:rFonts w:asciiTheme="majorBidi" w:hAnsiTheme="majorBidi" w:cstheme="majorBidi"/>
        </w:rPr>
        <w:t xml:space="preserve">participants how long they think it would take them to complete the </w:t>
      </w:r>
      <w:r w:rsidR="00DF3453">
        <w:rPr>
          <w:rFonts w:asciiTheme="majorBidi" w:hAnsiTheme="majorBidi" w:cstheme="majorBidi"/>
        </w:rPr>
        <w:t>form</w:t>
      </w:r>
      <w:r w:rsidR="00E55907">
        <w:rPr>
          <w:rFonts w:asciiTheme="majorBidi" w:hAnsiTheme="majorBidi" w:cstheme="majorBidi"/>
        </w:rPr>
        <w:t xml:space="preserve"> on their own, including any time necessary for research or involving other staff members.</w:t>
      </w:r>
      <w:r w:rsidR="00866AEE">
        <w:rPr>
          <w:rFonts w:asciiTheme="majorBidi" w:hAnsiTheme="majorBidi" w:cstheme="majorBidi"/>
        </w:rPr>
        <w:t xml:space="preserve"> </w:t>
      </w:r>
    </w:p>
    <w:p w:rsidR="009C68BF" w:rsidP="00767F64" w14:paraId="633612BD" w14:textId="77777777">
      <w:pPr>
        <w:rPr>
          <w:rFonts w:asciiTheme="majorBidi" w:hAnsiTheme="majorBidi" w:cstheme="majorBidi"/>
        </w:rPr>
      </w:pPr>
    </w:p>
    <w:p w:rsidR="00844F2F" w:rsidP="00767F64" w14:paraId="50991E1E" w14:textId="37CCC3CA">
      <w:pPr>
        <w:rPr>
          <w:rFonts w:asciiTheme="majorBidi" w:hAnsiTheme="majorBidi" w:cstheme="majorBidi"/>
        </w:rPr>
      </w:pPr>
      <w:r w:rsidRPr="005E2E2A">
        <w:rPr>
          <w:rFonts w:asciiTheme="majorBidi" w:hAnsiTheme="majorBidi" w:cstheme="majorBidi"/>
        </w:rPr>
        <w:t xml:space="preserve">Participants will not receive any compensation for the </w:t>
      </w:r>
      <w:r w:rsidRPr="005E2E2A" w:rsidR="0008453C">
        <w:rPr>
          <w:rFonts w:asciiTheme="majorBidi" w:hAnsiTheme="majorBidi" w:cstheme="majorBidi"/>
        </w:rPr>
        <w:t>interview but</w:t>
      </w:r>
      <w:r w:rsidRPr="005E2E2A" w:rsidR="00AD535C">
        <w:rPr>
          <w:rFonts w:asciiTheme="majorBidi" w:hAnsiTheme="majorBidi" w:cstheme="majorBidi"/>
        </w:rPr>
        <w:t xml:space="preserve"> will be thanked for their time</w:t>
      </w:r>
      <w:r w:rsidR="00CE48E0">
        <w:rPr>
          <w:rFonts w:asciiTheme="majorBidi" w:hAnsiTheme="majorBidi" w:cstheme="majorBidi"/>
        </w:rPr>
        <w:t xml:space="preserve"> and insights</w:t>
      </w:r>
      <w:r w:rsidRPr="005E2E2A">
        <w:rPr>
          <w:rFonts w:asciiTheme="majorBidi" w:hAnsiTheme="majorBidi" w:cstheme="majorBidi"/>
        </w:rPr>
        <w:t xml:space="preserve">. The project team will review the feedback from the cognitive interviews and revise the survey instruments as necessary. </w:t>
      </w:r>
    </w:p>
    <w:p w:rsidR="00CE48E0" w:rsidRPr="005E2E2A" w:rsidP="00767F64" w14:paraId="746587F7" w14:textId="77777777">
      <w:pPr>
        <w:rPr>
          <w:rFonts w:asciiTheme="majorBidi" w:hAnsiTheme="majorBidi" w:cstheme="majorBidi"/>
          <w:highlight w:val="yellow"/>
        </w:rPr>
      </w:pPr>
    </w:p>
    <w:p w:rsidR="00844F2F" w:rsidP="00B604F3" w14:paraId="3712B5A2" w14:textId="1BA1E19C">
      <w:pPr>
        <w:rPr>
          <w:rFonts w:asciiTheme="majorBidi" w:hAnsiTheme="majorBidi" w:cstheme="majorBidi"/>
        </w:rPr>
      </w:pPr>
      <w:r w:rsidRPr="00DF7F01">
        <w:rPr>
          <w:rFonts w:asciiTheme="majorBidi" w:hAnsiTheme="majorBidi" w:cstheme="majorBidi"/>
          <w:color w:val="000000" w:themeColor="text1"/>
        </w:rPr>
        <w:t xml:space="preserve">The full </w:t>
      </w:r>
      <w:r>
        <w:rPr>
          <w:rFonts w:asciiTheme="majorBidi" w:hAnsiTheme="majorBidi" w:cstheme="majorBidi"/>
          <w:color w:val="000000" w:themeColor="text1"/>
        </w:rPr>
        <w:t xml:space="preserve">draft </w:t>
      </w:r>
      <w:r w:rsidR="00DE09FA">
        <w:rPr>
          <w:rFonts w:asciiTheme="majorBidi" w:hAnsiTheme="majorBidi" w:cstheme="majorBidi"/>
          <w:color w:val="000000" w:themeColor="text1"/>
        </w:rPr>
        <w:t xml:space="preserve">2023 </w:t>
      </w:r>
      <w:r>
        <w:rPr>
          <w:rFonts w:asciiTheme="majorBidi" w:hAnsiTheme="majorBidi" w:cstheme="majorBidi"/>
          <w:color w:val="000000" w:themeColor="text1"/>
        </w:rPr>
        <w:t>CMEC instrument</w:t>
      </w:r>
      <w:r w:rsidRPr="00DF7F01">
        <w:rPr>
          <w:rFonts w:asciiTheme="majorBidi" w:hAnsiTheme="majorBidi" w:cstheme="majorBidi"/>
          <w:color w:val="000000" w:themeColor="text1"/>
        </w:rPr>
        <w:t xml:space="preserve"> is provided in </w:t>
      </w:r>
      <w:r w:rsidRPr="006226A2">
        <w:rPr>
          <w:rFonts w:asciiTheme="majorBidi" w:hAnsiTheme="majorBidi" w:cstheme="majorBidi"/>
          <w:b/>
          <w:color w:val="000000" w:themeColor="text1"/>
        </w:rPr>
        <w:t xml:space="preserve">Appendix </w:t>
      </w:r>
      <w:r w:rsidR="00236956">
        <w:rPr>
          <w:rFonts w:asciiTheme="majorBidi" w:hAnsiTheme="majorBidi" w:cstheme="majorBidi"/>
          <w:b/>
          <w:color w:val="000000" w:themeColor="text1"/>
        </w:rPr>
        <w:t>D</w:t>
      </w:r>
      <w:r w:rsidRPr="00DF7F01">
        <w:rPr>
          <w:rFonts w:asciiTheme="majorBidi" w:hAnsiTheme="majorBidi" w:cstheme="majorBidi"/>
          <w:color w:val="000000" w:themeColor="text1"/>
        </w:rPr>
        <w:t>.</w:t>
      </w:r>
      <w:r w:rsidR="004B55A4">
        <w:rPr>
          <w:rFonts w:asciiTheme="majorBidi" w:hAnsiTheme="majorBidi" w:cstheme="majorBidi"/>
          <w:color w:val="000000" w:themeColor="text1"/>
        </w:rPr>
        <w:t xml:space="preserve"> </w:t>
      </w:r>
      <w:r w:rsidR="00B604F3">
        <w:rPr>
          <w:rFonts w:asciiTheme="majorBidi" w:hAnsiTheme="majorBidi" w:cstheme="majorBidi"/>
          <w:color w:val="000000" w:themeColor="text1"/>
        </w:rPr>
        <w:t xml:space="preserve">Cognitive interviews will take place </w:t>
      </w:r>
      <w:r w:rsidR="001370B7">
        <w:rPr>
          <w:rFonts w:asciiTheme="majorBidi" w:hAnsiTheme="majorBidi" w:cstheme="majorBidi"/>
          <w:color w:val="000000" w:themeColor="text1"/>
        </w:rPr>
        <w:t xml:space="preserve">in </w:t>
      </w:r>
      <w:r w:rsidR="00B604F3">
        <w:rPr>
          <w:rFonts w:asciiTheme="majorBidi" w:hAnsiTheme="majorBidi" w:cstheme="majorBidi"/>
          <w:color w:val="000000" w:themeColor="text1"/>
        </w:rPr>
        <w:t xml:space="preserve">September </w:t>
      </w:r>
      <w:r w:rsidR="00185738">
        <w:rPr>
          <w:rFonts w:asciiTheme="majorBidi" w:hAnsiTheme="majorBidi" w:cstheme="majorBidi"/>
          <w:color w:val="000000" w:themeColor="text1"/>
        </w:rPr>
        <w:t xml:space="preserve">and October </w:t>
      </w:r>
      <w:r w:rsidR="00B604F3">
        <w:rPr>
          <w:rFonts w:asciiTheme="majorBidi" w:hAnsiTheme="majorBidi" w:cstheme="majorBidi"/>
          <w:color w:val="000000" w:themeColor="text1"/>
        </w:rPr>
        <w:t>20</w:t>
      </w:r>
      <w:r w:rsidR="00714081">
        <w:rPr>
          <w:rFonts w:asciiTheme="majorBidi" w:hAnsiTheme="majorBidi" w:cstheme="majorBidi"/>
          <w:color w:val="000000" w:themeColor="text1"/>
        </w:rPr>
        <w:t>23</w:t>
      </w:r>
      <w:r w:rsidR="00B604F3">
        <w:rPr>
          <w:rFonts w:asciiTheme="majorBidi" w:hAnsiTheme="majorBidi" w:cstheme="majorBidi"/>
          <w:color w:val="000000" w:themeColor="text1"/>
        </w:rPr>
        <w:t xml:space="preserve">. </w:t>
      </w:r>
      <w:r w:rsidRPr="005E2E2A">
        <w:rPr>
          <w:rFonts w:asciiTheme="majorBidi" w:hAnsiTheme="majorBidi" w:cstheme="majorBidi"/>
        </w:rPr>
        <w:t xml:space="preserve">All information gathered from the </w:t>
      </w:r>
      <w:r w:rsidRPr="005E2E2A" w:rsidR="00594EFD">
        <w:rPr>
          <w:rFonts w:asciiTheme="majorBidi" w:hAnsiTheme="majorBidi" w:cstheme="majorBidi"/>
        </w:rPr>
        <w:t>CMEC</w:t>
      </w:r>
      <w:r w:rsidR="00767F64">
        <w:rPr>
          <w:rFonts w:asciiTheme="majorBidi" w:hAnsiTheme="majorBidi" w:cstheme="majorBidi"/>
        </w:rPr>
        <w:t xml:space="preserve"> cognitive</w:t>
      </w:r>
      <w:r w:rsidRPr="005E2E2A">
        <w:rPr>
          <w:rFonts w:asciiTheme="majorBidi" w:hAnsiTheme="majorBidi" w:cstheme="majorBidi"/>
        </w:rPr>
        <w:t xml:space="preserve"> testing efforts will be integrated into the full information clearance package that is exp</w:t>
      </w:r>
      <w:r w:rsidR="00CE48E0">
        <w:rPr>
          <w:rFonts w:asciiTheme="majorBidi" w:hAnsiTheme="majorBidi" w:cstheme="majorBidi"/>
        </w:rPr>
        <w:t xml:space="preserve">ected to be submitted to OMB in </w:t>
      </w:r>
      <w:r w:rsidR="00185738">
        <w:rPr>
          <w:rFonts w:asciiTheme="majorBidi" w:hAnsiTheme="majorBidi" w:cstheme="majorBidi"/>
        </w:rPr>
        <w:t>February</w:t>
      </w:r>
      <w:r w:rsidR="00CE48E0">
        <w:rPr>
          <w:rFonts w:asciiTheme="majorBidi" w:hAnsiTheme="majorBidi" w:cstheme="majorBidi"/>
        </w:rPr>
        <w:t xml:space="preserve"> </w:t>
      </w:r>
      <w:r w:rsidRPr="005E2E2A" w:rsidR="00594EFD">
        <w:rPr>
          <w:rFonts w:asciiTheme="majorBidi" w:hAnsiTheme="majorBidi" w:cstheme="majorBidi"/>
        </w:rPr>
        <w:t>20</w:t>
      </w:r>
      <w:r w:rsidR="00714081">
        <w:rPr>
          <w:rFonts w:asciiTheme="majorBidi" w:hAnsiTheme="majorBidi" w:cstheme="majorBidi"/>
        </w:rPr>
        <w:t>2</w:t>
      </w:r>
      <w:r w:rsidR="00185738">
        <w:rPr>
          <w:rFonts w:asciiTheme="majorBidi" w:hAnsiTheme="majorBidi" w:cstheme="majorBidi"/>
        </w:rPr>
        <w:t>4</w:t>
      </w:r>
      <w:r w:rsidRPr="005E2E2A">
        <w:rPr>
          <w:rFonts w:asciiTheme="majorBidi" w:hAnsiTheme="majorBidi" w:cstheme="majorBidi"/>
        </w:rPr>
        <w:t xml:space="preserve">. </w:t>
      </w:r>
    </w:p>
    <w:p w:rsidR="00866AEE" w:rsidP="00B604F3" w14:paraId="64FCC6CC" w14:textId="76F0654E">
      <w:pPr>
        <w:rPr>
          <w:rFonts w:asciiTheme="majorBidi" w:hAnsiTheme="majorBidi" w:cstheme="majorBidi"/>
        </w:rPr>
      </w:pPr>
    </w:p>
    <w:p w:rsidR="00BB31C5" w:rsidP="00B604F3" w14:paraId="7F6B461C" w14:textId="6664F291">
      <w:pPr>
        <w:rPr>
          <w:rFonts w:asciiTheme="majorBidi" w:hAnsiTheme="majorBidi" w:cstheme="majorBidi"/>
        </w:rPr>
      </w:pPr>
      <w:r w:rsidRPr="000472B6">
        <w:rPr>
          <w:rFonts w:asciiTheme="majorBidi" w:hAnsiTheme="majorBidi" w:cstheme="majorBidi"/>
        </w:rPr>
        <w:t>As a member of the Office of Justice Programs/Centers for Disease Control Federal Medicolegal Death Investigation Interagency Working Group (MDI-IWG), BJS received feedback from the group on proposed changes to the instrument</w:t>
      </w:r>
      <w:r w:rsidRPr="000472B6" w:rsidR="000C6D8E">
        <w:rPr>
          <w:rFonts w:asciiTheme="majorBidi" w:hAnsiTheme="majorBidi" w:cstheme="majorBidi"/>
        </w:rPr>
        <w:t xml:space="preserve">. The group was concerned about removing certain items proposed for removal by the expert panel. As such, </w:t>
      </w:r>
      <w:r w:rsidRPr="000472B6">
        <w:rPr>
          <w:rFonts w:asciiTheme="majorBidi" w:hAnsiTheme="majorBidi" w:cstheme="majorBidi"/>
        </w:rPr>
        <w:t xml:space="preserve">BJS proposes asking </w:t>
      </w:r>
      <w:r w:rsidRPr="000472B6" w:rsidR="000C6D8E">
        <w:rPr>
          <w:rFonts w:asciiTheme="majorBidi" w:hAnsiTheme="majorBidi" w:cstheme="majorBidi"/>
        </w:rPr>
        <w:t xml:space="preserve">about these items during </w:t>
      </w:r>
      <w:r w:rsidRPr="000472B6">
        <w:rPr>
          <w:rFonts w:asciiTheme="majorBidi" w:hAnsiTheme="majorBidi" w:cstheme="majorBidi"/>
        </w:rPr>
        <w:t xml:space="preserve">cognitive interviewing </w:t>
      </w:r>
      <w:r w:rsidRPr="000472B6" w:rsidR="000C6D8E">
        <w:rPr>
          <w:rFonts w:asciiTheme="majorBidi" w:hAnsiTheme="majorBidi" w:cstheme="majorBidi"/>
        </w:rPr>
        <w:t xml:space="preserve">(see </w:t>
      </w:r>
      <w:r w:rsidRPr="000472B6">
        <w:rPr>
          <w:rFonts w:asciiTheme="majorBidi" w:hAnsiTheme="majorBidi" w:cstheme="majorBidi"/>
          <w:b/>
          <w:bCs/>
        </w:rPr>
        <w:t xml:space="preserve">Appendix </w:t>
      </w:r>
      <w:r w:rsidRPr="000472B6" w:rsidR="00D77DF1">
        <w:rPr>
          <w:rFonts w:asciiTheme="majorBidi" w:hAnsiTheme="majorBidi" w:cstheme="majorBidi"/>
          <w:b/>
          <w:bCs/>
        </w:rPr>
        <w:t>H</w:t>
      </w:r>
      <w:r w:rsidRPr="000472B6" w:rsidR="000C6D8E">
        <w:rPr>
          <w:rFonts w:asciiTheme="majorBidi" w:hAnsiTheme="majorBidi" w:cstheme="majorBidi"/>
          <w:b/>
          <w:bCs/>
        </w:rPr>
        <w:t>)</w:t>
      </w:r>
      <w:r w:rsidRPr="000472B6" w:rsidR="000C6D8E">
        <w:rPr>
          <w:rFonts w:asciiTheme="majorBidi" w:hAnsiTheme="majorBidi" w:cstheme="majorBidi"/>
        </w:rPr>
        <w:t xml:space="preserve"> to determine if they should be added back into the 2023 CMEC instrument</w:t>
      </w:r>
      <w:r w:rsidRPr="000472B6" w:rsidR="00D77DF1">
        <w:rPr>
          <w:rFonts w:asciiTheme="majorBidi" w:hAnsiTheme="majorBidi" w:cstheme="majorBidi"/>
          <w:b/>
          <w:bCs/>
        </w:rPr>
        <w:t>.</w:t>
      </w:r>
      <w:r w:rsidR="00D77DF1">
        <w:rPr>
          <w:rFonts w:asciiTheme="majorBidi" w:hAnsiTheme="majorBidi" w:cstheme="majorBidi"/>
        </w:rPr>
        <w:t xml:space="preserve"> </w:t>
      </w:r>
    </w:p>
    <w:p w:rsidR="00BB31C5" w:rsidP="00B604F3" w14:paraId="6C5E40FF" w14:textId="77777777">
      <w:pPr>
        <w:rPr>
          <w:rFonts w:asciiTheme="majorBidi" w:hAnsiTheme="majorBidi" w:cstheme="majorBidi"/>
        </w:rPr>
      </w:pPr>
    </w:p>
    <w:p w:rsidR="00844F2F" w:rsidRPr="005E2E2A" w:rsidP="00767F64" w14:paraId="10DACA51" w14:textId="70FB39B0">
      <w:pPr>
        <w:rPr>
          <w:rFonts w:asciiTheme="majorBidi" w:hAnsiTheme="majorBidi" w:cstheme="majorBidi"/>
          <w:b/>
          <w:u w:val="single"/>
        </w:rPr>
      </w:pPr>
      <w:r w:rsidRPr="005E2E2A">
        <w:rPr>
          <w:rFonts w:asciiTheme="majorBidi" w:hAnsiTheme="majorBidi" w:cstheme="majorBidi"/>
          <w:b/>
          <w:u w:val="single"/>
        </w:rPr>
        <w:t xml:space="preserve">Burden </w:t>
      </w:r>
      <w:r w:rsidR="00767F64">
        <w:rPr>
          <w:rFonts w:asciiTheme="majorBidi" w:hAnsiTheme="majorBidi" w:cstheme="majorBidi"/>
          <w:b/>
          <w:u w:val="single"/>
        </w:rPr>
        <w:t>H</w:t>
      </w:r>
      <w:r w:rsidRPr="005E2E2A">
        <w:rPr>
          <w:rFonts w:asciiTheme="majorBidi" w:hAnsiTheme="majorBidi" w:cstheme="majorBidi"/>
          <w:b/>
          <w:u w:val="single"/>
        </w:rPr>
        <w:t>ours</w:t>
      </w:r>
      <w:r w:rsidRPr="005E2E2A">
        <w:rPr>
          <w:rFonts w:asciiTheme="majorBidi" w:hAnsiTheme="majorBidi" w:cstheme="majorBidi"/>
          <w:b/>
          <w:u w:val="single"/>
        </w:rPr>
        <w:t xml:space="preserve"> </w:t>
      </w:r>
      <w:r w:rsidR="00767F64">
        <w:rPr>
          <w:rFonts w:asciiTheme="majorBidi" w:hAnsiTheme="majorBidi" w:cstheme="majorBidi"/>
          <w:b/>
          <w:u w:val="single"/>
        </w:rPr>
        <w:t>for the C</w:t>
      </w:r>
      <w:r w:rsidRPr="005E2E2A">
        <w:rPr>
          <w:rFonts w:asciiTheme="majorBidi" w:hAnsiTheme="majorBidi" w:cstheme="majorBidi"/>
          <w:b/>
          <w:u w:val="single"/>
        </w:rPr>
        <w:t xml:space="preserve">ognitive </w:t>
      </w:r>
      <w:r w:rsidR="00767F64">
        <w:rPr>
          <w:rFonts w:asciiTheme="majorBidi" w:hAnsiTheme="majorBidi" w:cstheme="majorBidi"/>
          <w:b/>
          <w:u w:val="single"/>
        </w:rPr>
        <w:t>I</w:t>
      </w:r>
      <w:r w:rsidRPr="005E2E2A">
        <w:rPr>
          <w:rFonts w:asciiTheme="majorBidi" w:hAnsiTheme="majorBidi" w:cstheme="majorBidi"/>
          <w:b/>
          <w:u w:val="single"/>
        </w:rPr>
        <w:t>nterviews</w:t>
      </w:r>
      <w:r w:rsidRPr="005E2E2A">
        <w:rPr>
          <w:rFonts w:asciiTheme="majorBidi" w:hAnsiTheme="majorBidi" w:cstheme="majorBidi"/>
          <w:b/>
          <w:u w:val="single"/>
        </w:rPr>
        <w:t xml:space="preserve"> </w:t>
      </w:r>
    </w:p>
    <w:p w:rsidR="00690BED" w:rsidRPr="005E2E2A" w:rsidP="00767F64" w14:paraId="6C28A361" w14:textId="77777777">
      <w:pPr>
        <w:rPr>
          <w:rFonts w:asciiTheme="majorBidi" w:hAnsiTheme="majorBidi" w:cstheme="majorBidi"/>
        </w:rPr>
      </w:pPr>
    </w:p>
    <w:p w:rsidR="00844F2F" w:rsidP="00767F64" w14:paraId="1A3D3A9A" w14:textId="0C4C4ACC">
      <w:pPr>
        <w:rPr>
          <w:rFonts w:asciiTheme="majorBidi" w:hAnsiTheme="majorBidi" w:cstheme="majorBidi"/>
        </w:rPr>
      </w:pPr>
      <w:r w:rsidRPr="005E2E2A">
        <w:rPr>
          <w:rFonts w:asciiTheme="majorBidi" w:hAnsiTheme="majorBidi" w:cstheme="majorBidi"/>
        </w:rPr>
        <w:t>The burden hour estimates are provided in the following table</w:t>
      </w:r>
      <w:r w:rsidR="00734465">
        <w:rPr>
          <w:rFonts w:asciiTheme="majorBidi" w:hAnsiTheme="majorBidi" w:cstheme="majorBidi"/>
        </w:rPr>
        <w:t>s</w:t>
      </w:r>
      <w:r w:rsidRPr="005E2E2A">
        <w:rPr>
          <w:rFonts w:asciiTheme="majorBidi" w:hAnsiTheme="majorBidi" w:cstheme="majorBidi"/>
        </w:rPr>
        <w:t>.</w:t>
      </w:r>
      <w:r w:rsidR="005447AA">
        <w:rPr>
          <w:rFonts w:asciiTheme="majorBidi" w:hAnsiTheme="majorBidi" w:cstheme="majorBidi"/>
        </w:rPr>
        <w:t xml:space="preserve"> </w:t>
      </w:r>
      <w:r w:rsidR="00B44473">
        <w:rPr>
          <w:rFonts w:asciiTheme="majorBidi" w:hAnsiTheme="majorBidi" w:cstheme="majorBidi"/>
        </w:rPr>
        <w:t>While up to 64 total offices may be contacted to secure the desired number of participants, only a total of 3</w:t>
      </w:r>
      <w:r w:rsidR="00C01040">
        <w:rPr>
          <w:rFonts w:asciiTheme="majorBidi" w:hAnsiTheme="majorBidi" w:cstheme="majorBidi"/>
        </w:rPr>
        <w:t>2</w:t>
      </w:r>
      <w:r w:rsidR="00B44473">
        <w:rPr>
          <w:rFonts w:asciiTheme="majorBidi" w:hAnsiTheme="majorBidi" w:cstheme="majorBidi"/>
        </w:rPr>
        <w:t xml:space="preserve"> will be asked to </w:t>
      </w:r>
      <w:r w:rsidR="00B44473">
        <w:rPr>
          <w:rFonts w:asciiTheme="majorBidi" w:hAnsiTheme="majorBidi" w:cstheme="majorBidi"/>
        </w:rPr>
        <w:t>actually participate</w:t>
      </w:r>
      <w:r w:rsidR="00B44473">
        <w:rPr>
          <w:rFonts w:asciiTheme="majorBidi" w:hAnsiTheme="majorBidi" w:cstheme="majorBidi"/>
        </w:rPr>
        <w:t xml:space="preserve"> in the cognitive interviews. Thus, the initial contact and scheduling allows for up to 64 respondents, the first round of testing for 17 respondents, and the second round for 15 respondents. </w:t>
      </w:r>
      <w:r w:rsidR="005447AA">
        <w:rPr>
          <w:rFonts w:asciiTheme="majorBidi" w:hAnsiTheme="majorBidi" w:cstheme="majorBidi"/>
        </w:rPr>
        <w:t xml:space="preserve">The total burden </w:t>
      </w:r>
      <w:r w:rsidR="00B44473">
        <w:rPr>
          <w:rFonts w:asciiTheme="majorBidi" w:hAnsiTheme="majorBidi" w:cstheme="majorBidi"/>
        </w:rPr>
        <w:t xml:space="preserve">estimate is 42.7 hours. </w:t>
      </w:r>
    </w:p>
    <w:p w:rsidR="00AD6FB5" w:rsidRPr="005E2E2A" w:rsidP="00767F64" w14:paraId="700B72DE" w14:textId="77777777">
      <w:pPr>
        <w:rPr>
          <w:rFonts w:asciiTheme="majorBidi" w:hAnsiTheme="majorBidi" w:cstheme="majorBidi"/>
        </w:rPr>
      </w:pPr>
    </w:p>
    <w:p w:rsidR="009A0B10" w14:paraId="34489D42" w14:textId="77777777">
      <w:pPr>
        <w:spacing w:after="200" w:line="276" w:lineRule="auto"/>
        <w:rPr>
          <w:rFonts w:asciiTheme="majorBidi" w:hAnsiTheme="majorBidi" w:cstheme="majorBidi"/>
          <w:b/>
          <w:bCs/>
        </w:rPr>
      </w:pPr>
      <w:r>
        <w:rPr>
          <w:rFonts w:asciiTheme="majorBidi" w:hAnsiTheme="majorBidi" w:cstheme="majorBidi"/>
          <w:b/>
          <w:bCs/>
        </w:rPr>
        <w:br w:type="page"/>
      </w:r>
    </w:p>
    <w:p w:rsidR="00690BED" w:rsidP="00767F64" w14:paraId="4B81CAE6" w14:textId="56C58CCE">
      <w:pPr>
        <w:rPr>
          <w:rFonts w:asciiTheme="majorBidi" w:hAnsiTheme="majorBidi" w:cstheme="majorBidi"/>
          <w:b/>
          <w:bCs/>
        </w:rPr>
      </w:pPr>
      <w:r w:rsidRPr="005E2E2A">
        <w:rPr>
          <w:rFonts w:asciiTheme="majorBidi" w:hAnsiTheme="majorBidi" w:cstheme="majorBidi"/>
          <w:b/>
          <w:bCs/>
        </w:rPr>
        <w:t xml:space="preserve">Table </w:t>
      </w:r>
      <w:r w:rsidR="009A0B10">
        <w:rPr>
          <w:rFonts w:asciiTheme="majorBidi" w:hAnsiTheme="majorBidi" w:cstheme="majorBidi"/>
          <w:b/>
          <w:bCs/>
        </w:rPr>
        <w:t>4</w:t>
      </w:r>
      <w:r w:rsidRPr="005E2E2A">
        <w:rPr>
          <w:rFonts w:asciiTheme="majorBidi" w:hAnsiTheme="majorBidi" w:cstheme="majorBidi"/>
          <w:b/>
          <w:bCs/>
        </w:rPr>
        <w:t xml:space="preserve">. Burden </w:t>
      </w:r>
      <w:r w:rsidR="001370B7">
        <w:rPr>
          <w:rFonts w:asciiTheme="majorBidi" w:hAnsiTheme="majorBidi" w:cstheme="majorBidi"/>
          <w:b/>
          <w:bCs/>
        </w:rPr>
        <w:t>E</w:t>
      </w:r>
      <w:r w:rsidRPr="005E2E2A">
        <w:rPr>
          <w:rFonts w:asciiTheme="majorBidi" w:hAnsiTheme="majorBidi" w:cstheme="majorBidi"/>
          <w:b/>
          <w:bCs/>
        </w:rPr>
        <w:t xml:space="preserve">stimate for </w:t>
      </w:r>
      <w:r w:rsidR="00B862A6">
        <w:rPr>
          <w:rFonts w:asciiTheme="majorBidi" w:hAnsiTheme="majorBidi" w:cstheme="majorBidi"/>
          <w:b/>
          <w:bCs/>
        </w:rPr>
        <w:t>C</w:t>
      </w:r>
      <w:r w:rsidRPr="005E2E2A">
        <w:rPr>
          <w:rFonts w:asciiTheme="majorBidi" w:hAnsiTheme="majorBidi" w:cstheme="majorBidi"/>
          <w:b/>
          <w:bCs/>
        </w:rPr>
        <w:t xml:space="preserve">ognitive </w:t>
      </w:r>
      <w:r w:rsidR="00B862A6">
        <w:rPr>
          <w:rFonts w:asciiTheme="majorBidi" w:hAnsiTheme="majorBidi" w:cstheme="majorBidi"/>
          <w:b/>
          <w:bCs/>
        </w:rPr>
        <w:t>I</w:t>
      </w:r>
      <w:r w:rsidRPr="005E2E2A">
        <w:rPr>
          <w:rFonts w:asciiTheme="majorBidi" w:hAnsiTheme="majorBidi" w:cstheme="majorBidi"/>
          <w:b/>
          <w:bCs/>
        </w:rPr>
        <w:t>nterviews</w:t>
      </w:r>
    </w:p>
    <w:tbl>
      <w:tblPr>
        <w:tblStyle w:val="TableGrid"/>
        <w:tblW w:w="9355" w:type="dxa"/>
        <w:tblLayout w:type="fixed"/>
        <w:tblLook w:val="04A0"/>
      </w:tblPr>
      <w:tblGrid>
        <w:gridCol w:w="3955"/>
        <w:gridCol w:w="1620"/>
        <w:gridCol w:w="1530"/>
        <w:gridCol w:w="2250"/>
      </w:tblGrid>
      <w:tr w14:paraId="02592976" w14:textId="77777777" w:rsidTr="00E2220C">
        <w:tblPrEx>
          <w:tblW w:w="9355" w:type="dxa"/>
          <w:tblLayout w:type="fixed"/>
          <w:tblLook w:val="04A0"/>
        </w:tblPrEx>
        <w:trPr>
          <w:trHeight w:val="557"/>
        </w:trPr>
        <w:tc>
          <w:tcPr>
            <w:tcW w:w="3955" w:type="dxa"/>
            <w:shd w:val="clear" w:color="auto" w:fill="BFBFBF" w:themeFill="background1" w:themeFillShade="BF"/>
            <w:vAlign w:val="center"/>
          </w:tcPr>
          <w:p w:rsidR="00E95D7A" w:rsidRPr="00444637" w:rsidP="00767F64" w14:paraId="621B445A" w14:textId="77777777">
            <w:pPr>
              <w:contextualSpacing/>
              <w:jc w:val="center"/>
              <w:rPr>
                <w:rFonts w:asciiTheme="majorBidi" w:hAnsiTheme="majorBidi" w:cstheme="majorBidi"/>
                <w:b/>
              </w:rPr>
            </w:pPr>
            <w:r w:rsidRPr="00444637">
              <w:rPr>
                <w:rFonts w:asciiTheme="majorBidi" w:hAnsiTheme="majorBidi" w:cstheme="majorBidi"/>
                <w:b/>
              </w:rPr>
              <w:t>Task</w:t>
            </w:r>
          </w:p>
        </w:tc>
        <w:tc>
          <w:tcPr>
            <w:tcW w:w="1620" w:type="dxa"/>
            <w:shd w:val="clear" w:color="auto" w:fill="BFBFBF" w:themeFill="background1" w:themeFillShade="BF"/>
          </w:tcPr>
          <w:p w:rsidR="00E95D7A" w:rsidRPr="00444637" w:rsidP="00767F64" w14:paraId="20B043C3" w14:textId="57AEC89D">
            <w:pPr>
              <w:contextualSpacing/>
              <w:jc w:val="center"/>
              <w:rPr>
                <w:rFonts w:asciiTheme="majorBidi" w:hAnsiTheme="majorBidi" w:cstheme="majorBidi"/>
                <w:b/>
              </w:rPr>
            </w:pPr>
            <w:r>
              <w:rPr>
                <w:rFonts w:asciiTheme="majorBidi" w:hAnsiTheme="majorBidi" w:cstheme="majorBidi"/>
                <w:b/>
              </w:rPr>
              <w:t>Average burden per respondent</w:t>
            </w:r>
          </w:p>
        </w:tc>
        <w:tc>
          <w:tcPr>
            <w:tcW w:w="1530" w:type="dxa"/>
            <w:shd w:val="clear" w:color="auto" w:fill="BFBFBF" w:themeFill="background1" w:themeFillShade="BF"/>
            <w:vAlign w:val="center"/>
          </w:tcPr>
          <w:p w:rsidR="00E95D7A" w:rsidRPr="00444637" w:rsidP="00767F64" w14:paraId="4B1A1001" w14:textId="09CAC983">
            <w:pPr>
              <w:contextualSpacing/>
              <w:jc w:val="center"/>
              <w:rPr>
                <w:rFonts w:asciiTheme="majorBidi" w:hAnsiTheme="majorBidi" w:cstheme="majorBidi"/>
                <w:b/>
              </w:rPr>
            </w:pPr>
            <w:r>
              <w:rPr>
                <w:rFonts w:asciiTheme="majorBidi" w:hAnsiTheme="majorBidi" w:cstheme="majorBidi"/>
                <w:b/>
              </w:rPr>
              <w:t>Total maximum respondents</w:t>
            </w:r>
          </w:p>
        </w:tc>
        <w:tc>
          <w:tcPr>
            <w:tcW w:w="2250" w:type="dxa"/>
            <w:shd w:val="clear" w:color="auto" w:fill="BFBFBF" w:themeFill="background1" w:themeFillShade="BF"/>
            <w:vAlign w:val="center"/>
          </w:tcPr>
          <w:p w:rsidR="00E95D7A" w:rsidRPr="00444637" w:rsidP="00767F64" w14:paraId="41E4D200" w14:textId="77777777">
            <w:pPr>
              <w:contextualSpacing/>
              <w:jc w:val="center"/>
              <w:rPr>
                <w:rFonts w:asciiTheme="majorBidi" w:hAnsiTheme="majorBidi" w:cstheme="majorBidi"/>
                <w:b/>
              </w:rPr>
            </w:pPr>
            <w:r w:rsidRPr="00444637">
              <w:rPr>
                <w:rFonts w:asciiTheme="majorBidi" w:hAnsiTheme="majorBidi" w:cstheme="majorBidi"/>
                <w:b/>
              </w:rPr>
              <w:t>Total estimated burden hours</w:t>
            </w:r>
          </w:p>
        </w:tc>
      </w:tr>
      <w:tr w14:paraId="6B77A332" w14:textId="77777777" w:rsidTr="00E2220C">
        <w:tblPrEx>
          <w:tblW w:w="9355" w:type="dxa"/>
          <w:tblLayout w:type="fixed"/>
          <w:tblLook w:val="04A0"/>
        </w:tblPrEx>
        <w:trPr>
          <w:trHeight w:val="557"/>
        </w:trPr>
        <w:tc>
          <w:tcPr>
            <w:tcW w:w="3955" w:type="dxa"/>
            <w:vAlign w:val="center"/>
          </w:tcPr>
          <w:p w:rsidR="00E95D7A" w:rsidRPr="005E2E2A" w:rsidP="00E2220C" w14:paraId="31985714" w14:textId="1897F29A">
            <w:pPr>
              <w:contextualSpacing/>
              <w:rPr>
                <w:rFonts w:asciiTheme="majorBidi" w:hAnsiTheme="majorBidi" w:cstheme="majorBidi"/>
              </w:rPr>
            </w:pPr>
            <w:r w:rsidRPr="00D74DCF">
              <w:t>Initial contact and scheduling</w:t>
            </w:r>
          </w:p>
        </w:tc>
        <w:tc>
          <w:tcPr>
            <w:tcW w:w="1620" w:type="dxa"/>
            <w:vAlign w:val="center"/>
          </w:tcPr>
          <w:p w:rsidR="00E95D7A" w:rsidP="00E2220C" w14:paraId="7D50D3E9" w14:textId="7D89CD30">
            <w:pPr>
              <w:contextualSpacing/>
              <w:rPr>
                <w:rFonts w:asciiTheme="majorBidi" w:hAnsiTheme="majorBidi" w:cstheme="majorBidi"/>
              </w:rPr>
            </w:pPr>
            <w:r>
              <w:rPr>
                <w:rFonts w:asciiTheme="majorBidi" w:hAnsiTheme="majorBidi" w:cstheme="majorBidi"/>
              </w:rPr>
              <w:t>10 minutes</w:t>
            </w:r>
          </w:p>
        </w:tc>
        <w:tc>
          <w:tcPr>
            <w:tcW w:w="1530" w:type="dxa"/>
            <w:vAlign w:val="center"/>
          </w:tcPr>
          <w:p w:rsidR="00E95D7A" w:rsidRPr="005E2E2A" w:rsidP="00E2220C" w14:paraId="3C51717C" w14:textId="50A3D5E9">
            <w:pPr>
              <w:contextualSpacing/>
              <w:rPr>
                <w:rFonts w:asciiTheme="majorBidi" w:hAnsiTheme="majorBidi" w:cstheme="majorBidi"/>
              </w:rPr>
            </w:pPr>
            <w:r>
              <w:rPr>
                <w:rFonts w:asciiTheme="majorBidi" w:hAnsiTheme="majorBidi" w:cstheme="majorBidi"/>
              </w:rPr>
              <w:t>64</w:t>
            </w:r>
          </w:p>
        </w:tc>
        <w:tc>
          <w:tcPr>
            <w:tcW w:w="2250" w:type="dxa"/>
            <w:vAlign w:val="center"/>
          </w:tcPr>
          <w:p w:rsidR="00E95D7A" w:rsidRPr="005E2E2A" w:rsidP="00E2220C" w14:paraId="1B7B7D03" w14:textId="5531F2CF">
            <w:pPr>
              <w:contextualSpacing/>
              <w:rPr>
                <w:rFonts w:asciiTheme="majorBidi" w:hAnsiTheme="majorBidi" w:cstheme="majorBidi"/>
              </w:rPr>
            </w:pPr>
            <w:r>
              <w:rPr>
                <w:rFonts w:asciiTheme="majorBidi" w:hAnsiTheme="majorBidi" w:cstheme="majorBidi"/>
              </w:rPr>
              <w:t>10.7</w:t>
            </w:r>
            <w:r w:rsidR="00E2220C">
              <w:rPr>
                <w:rFonts w:asciiTheme="majorBidi" w:hAnsiTheme="majorBidi" w:cstheme="majorBidi"/>
              </w:rPr>
              <w:t xml:space="preserve"> hours</w:t>
            </w:r>
          </w:p>
        </w:tc>
      </w:tr>
      <w:tr w14:paraId="12F045C2" w14:textId="77777777" w:rsidTr="00E2220C">
        <w:tblPrEx>
          <w:tblW w:w="9355" w:type="dxa"/>
          <w:tblLayout w:type="fixed"/>
          <w:tblLook w:val="04A0"/>
        </w:tblPrEx>
        <w:trPr>
          <w:trHeight w:val="557"/>
        </w:trPr>
        <w:tc>
          <w:tcPr>
            <w:tcW w:w="3955" w:type="dxa"/>
            <w:vAlign w:val="center"/>
          </w:tcPr>
          <w:p w:rsidR="00E95D7A" w:rsidRPr="005E2E2A" w:rsidP="00E2220C" w14:paraId="67BC9D76" w14:textId="765E4ABF">
            <w:pPr>
              <w:contextualSpacing/>
              <w:rPr>
                <w:rFonts w:asciiTheme="majorBidi" w:hAnsiTheme="majorBidi" w:cstheme="majorBidi"/>
              </w:rPr>
            </w:pPr>
            <w:r w:rsidRPr="00D74DCF">
              <w:t>Complete cognitive interview including questionnaire completion</w:t>
            </w:r>
            <w:r w:rsidR="00B44473">
              <w:t>, first round</w:t>
            </w:r>
          </w:p>
        </w:tc>
        <w:tc>
          <w:tcPr>
            <w:tcW w:w="1620" w:type="dxa"/>
            <w:vAlign w:val="center"/>
          </w:tcPr>
          <w:p w:rsidR="00E95D7A" w:rsidP="00E2220C" w14:paraId="14FB6A1A" w14:textId="6C7F3177">
            <w:pPr>
              <w:contextualSpacing/>
              <w:rPr>
                <w:rFonts w:asciiTheme="majorBidi" w:hAnsiTheme="majorBidi" w:cstheme="majorBidi"/>
              </w:rPr>
            </w:pPr>
            <w:r>
              <w:rPr>
                <w:rFonts w:asciiTheme="majorBidi" w:hAnsiTheme="majorBidi" w:cstheme="majorBidi"/>
              </w:rPr>
              <w:t>60 minutes</w:t>
            </w:r>
          </w:p>
        </w:tc>
        <w:tc>
          <w:tcPr>
            <w:tcW w:w="1530" w:type="dxa"/>
            <w:vAlign w:val="center"/>
          </w:tcPr>
          <w:p w:rsidR="00E95D7A" w:rsidRPr="005E2E2A" w:rsidP="00E2220C" w14:paraId="49F1B213" w14:textId="6A98CD03">
            <w:pPr>
              <w:contextualSpacing/>
              <w:rPr>
                <w:rFonts w:asciiTheme="majorBidi" w:hAnsiTheme="majorBidi" w:cstheme="majorBidi"/>
              </w:rPr>
            </w:pPr>
            <w:r>
              <w:rPr>
                <w:rFonts w:asciiTheme="majorBidi" w:hAnsiTheme="majorBidi" w:cstheme="majorBidi"/>
              </w:rPr>
              <w:t>17</w:t>
            </w:r>
          </w:p>
        </w:tc>
        <w:tc>
          <w:tcPr>
            <w:tcW w:w="2250" w:type="dxa"/>
            <w:vAlign w:val="center"/>
          </w:tcPr>
          <w:p w:rsidR="00E95D7A" w:rsidRPr="005E2E2A" w:rsidP="00E2220C" w14:paraId="5849668E" w14:textId="78FED895">
            <w:pPr>
              <w:contextualSpacing/>
              <w:rPr>
                <w:rFonts w:asciiTheme="majorBidi" w:hAnsiTheme="majorBidi" w:cstheme="majorBidi"/>
              </w:rPr>
            </w:pPr>
            <w:r>
              <w:rPr>
                <w:rFonts w:asciiTheme="majorBidi" w:hAnsiTheme="majorBidi" w:cstheme="majorBidi"/>
              </w:rPr>
              <w:t>17 hours</w:t>
            </w:r>
          </w:p>
        </w:tc>
      </w:tr>
      <w:tr w14:paraId="1BD54AED" w14:textId="77777777" w:rsidTr="00E2220C">
        <w:tblPrEx>
          <w:tblW w:w="9355" w:type="dxa"/>
          <w:tblLayout w:type="fixed"/>
          <w:tblLook w:val="04A0"/>
        </w:tblPrEx>
        <w:trPr>
          <w:trHeight w:val="557"/>
        </w:trPr>
        <w:tc>
          <w:tcPr>
            <w:tcW w:w="3955" w:type="dxa"/>
            <w:vAlign w:val="center"/>
          </w:tcPr>
          <w:p w:rsidR="00B44473" w:rsidRPr="00D74DCF" w:rsidP="00E2220C" w14:paraId="4061065A" w14:textId="23573334">
            <w:pPr>
              <w:contextualSpacing/>
            </w:pPr>
            <w:r w:rsidRPr="00D74DCF">
              <w:t>Complete cognitive interview including questionnaire completion</w:t>
            </w:r>
            <w:r>
              <w:t>, second round if needed</w:t>
            </w:r>
          </w:p>
        </w:tc>
        <w:tc>
          <w:tcPr>
            <w:tcW w:w="1620" w:type="dxa"/>
            <w:vAlign w:val="center"/>
          </w:tcPr>
          <w:p w:rsidR="00B44473" w:rsidP="00E2220C" w14:paraId="653D9099" w14:textId="66B88D9A">
            <w:pPr>
              <w:contextualSpacing/>
              <w:rPr>
                <w:rFonts w:asciiTheme="majorBidi" w:hAnsiTheme="majorBidi" w:cstheme="majorBidi"/>
              </w:rPr>
            </w:pPr>
            <w:r>
              <w:rPr>
                <w:rFonts w:asciiTheme="majorBidi" w:hAnsiTheme="majorBidi" w:cstheme="majorBidi"/>
              </w:rPr>
              <w:t>60 minutes</w:t>
            </w:r>
          </w:p>
        </w:tc>
        <w:tc>
          <w:tcPr>
            <w:tcW w:w="1530" w:type="dxa"/>
            <w:vAlign w:val="center"/>
          </w:tcPr>
          <w:p w:rsidR="00B44473" w:rsidP="00E2220C" w14:paraId="05E118A0" w14:textId="671DB66A">
            <w:pPr>
              <w:contextualSpacing/>
              <w:rPr>
                <w:rFonts w:asciiTheme="majorBidi" w:hAnsiTheme="majorBidi" w:cstheme="majorBidi"/>
              </w:rPr>
            </w:pPr>
            <w:r>
              <w:rPr>
                <w:rFonts w:asciiTheme="majorBidi" w:hAnsiTheme="majorBidi" w:cstheme="majorBidi"/>
              </w:rPr>
              <w:t>15</w:t>
            </w:r>
          </w:p>
        </w:tc>
        <w:tc>
          <w:tcPr>
            <w:tcW w:w="2250" w:type="dxa"/>
            <w:vAlign w:val="center"/>
          </w:tcPr>
          <w:p w:rsidR="00B44473" w:rsidP="00E2220C" w14:paraId="277A59D7" w14:textId="11B7BB40">
            <w:pPr>
              <w:contextualSpacing/>
              <w:rPr>
                <w:rFonts w:asciiTheme="majorBidi" w:hAnsiTheme="majorBidi" w:cstheme="majorBidi"/>
              </w:rPr>
            </w:pPr>
            <w:r>
              <w:rPr>
                <w:rFonts w:asciiTheme="majorBidi" w:hAnsiTheme="majorBidi" w:cstheme="majorBidi"/>
              </w:rPr>
              <w:t>15 hours</w:t>
            </w:r>
          </w:p>
        </w:tc>
      </w:tr>
      <w:tr w14:paraId="68B785DF" w14:textId="77777777" w:rsidTr="00734465">
        <w:tblPrEx>
          <w:tblW w:w="9355" w:type="dxa"/>
          <w:tblLayout w:type="fixed"/>
          <w:tblLook w:val="04A0"/>
        </w:tblPrEx>
        <w:trPr>
          <w:trHeight w:val="467"/>
        </w:trPr>
        <w:tc>
          <w:tcPr>
            <w:tcW w:w="9355" w:type="dxa"/>
            <w:gridSpan w:val="4"/>
            <w:vAlign w:val="center"/>
          </w:tcPr>
          <w:p w:rsidR="00E2220C" w:rsidRPr="005E2E2A" w:rsidP="00734465" w14:paraId="26B0D3BB" w14:textId="0FA27420">
            <w:pPr>
              <w:contextualSpacing/>
              <w:jc w:val="center"/>
              <w:rPr>
                <w:rFonts w:asciiTheme="majorBidi" w:hAnsiTheme="majorBidi" w:cstheme="majorBidi"/>
                <w:b/>
                <w:iCs/>
              </w:rPr>
            </w:pPr>
            <w:r w:rsidRPr="005E2E2A">
              <w:rPr>
                <w:rFonts w:asciiTheme="majorBidi" w:hAnsiTheme="majorBidi" w:cstheme="majorBidi"/>
                <w:b/>
              </w:rPr>
              <w:t xml:space="preserve">Total respondent burden for all respondents = </w:t>
            </w:r>
            <w:r w:rsidR="00B44473">
              <w:rPr>
                <w:rFonts w:asciiTheme="majorBidi" w:hAnsiTheme="majorBidi" w:cstheme="majorBidi"/>
                <w:b/>
              </w:rPr>
              <w:t>42</w:t>
            </w:r>
            <w:r>
              <w:rPr>
                <w:rFonts w:asciiTheme="majorBidi" w:hAnsiTheme="majorBidi" w:cstheme="majorBidi"/>
                <w:b/>
              </w:rPr>
              <w:t xml:space="preserve">.7 </w:t>
            </w:r>
            <w:r w:rsidRPr="005E2E2A">
              <w:rPr>
                <w:rFonts w:asciiTheme="majorBidi" w:hAnsiTheme="majorBidi" w:cstheme="majorBidi"/>
                <w:b/>
              </w:rPr>
              <w:t>hours</w:t>
            </w:r>
          </w:p>
        </w:tc>
      </w:tr>
    </w:tbl>
    <w:p w:rsidR="00EF40EA" w:rsidP="00767F64" w14:paraId="08B35046" w14:textId="77777777">
      <w:pPr>
        <w:rPr>
          <w:rFonts w:asciiTheme="majorBidi" w:hAnsiTheme="majorBidi" w:cstheme="majorBidi"/>
          <w:b/>
          <w:u w:val="single"/>
        </w:rPr>
      </w:pPr>
    </w:p>
    <w:p w:rsidR="00600083" w:rsidP="009D66F7" w14:paraId="07BC9A48" w14:textId="610681C1">
      <w:pPr>
        <w:rPr>
          <w:b/>
          <w:bCs/>
          <w:u w:val="single"/>
        </w:rPr>
      </w:pPr>
      <w:r>
        <w:rPr>
          <w:b/>
          <w:bCs/>
          <w:u w:val="single"/>
        </w:rPr>
        <w:t>Timeline</w:t>
      </w:r>
    </w:p>
    <w:p w:rsidR="00703396" w:rsidP="009D66F7" w14:paraId="51ACB17D" w14:textId="6921E339">
      <w:pPr>
        <w:rPr>
          <w:b/>
          <w:bCs/>
          <w:u w:val="single"/>
        </w:rPr>
      </w:pPr>
    </w:p>
    <w:p w:rsidR="00703396" w:rsidP="009D66F7" w14:paraId="5416E13D" w14:textId="16A2C870">
      <w:pPr>
        <w:rPr>
          <w:b/>
          <w:bCs/>
        </w:rPr>
      </w:pPr>
      <w:r w:rsidRPr="00703396">
        <w:rPr>
          <w:b/>
          <w:bCs/>
        </w:rPr>
        <w:t xml:space="preserve">Table </w:t>
      </w:r>
      <w:r w:rsidR="009A0B10">
        <w:rPr>
          <w:b/>
          <w:bCs/>
        </w:rPr>
        <w:t>5</w:t>
      </w:r>
      <w:r w:rsidRPr="00703396">
        <w:rPr>
          <w:b/>
          <w:bCs/>
        </w:rPr>
        <w:t>. Timeline</w:t>
      </w:r>
    </w:p>
    <w:tbl>
      <w:tblPr>
        <w:tblW w:w="9355" w:type="dxa"/>
        <w:tblLook w:val="04A0"/>
      </w:tblPr>
      <w:tblGrid>
        <w:gridCol w:w="5749"/>
        <w:gridCol w:w="1923"/>
        <w:gridCol w:w="1683"/>
      </w:tblGrid>
      <w:tr w14:paraId="1BCD03D9" w14:textId="77777777" w:rsidTr="009A0B10">
        <w:tblPrEx>
          <w:tblW w:w="9355" w:type="dxa"/>
          <w:tblLook w:val="04A0"/>
        </w:tblPrEx>
        <w:trPr>
          <w:trHeight w:val="268"/>
        </w:trPr>
        <w:tc>
          <w:tcPr>
            <w:tcW w:w="5749" w:type="dxa"/>
            <w:tcBorders>
              <w:top w:val="single" w:sz="4" w:space="0" w:color="auto"/>
              <w:left w:val="single" w:sz="4" w:space="0" w:color="auto"/>
              <w:bottom w:val="single" w:sz="4" w:space="0" w:color="auto"/>
              <w:right w:val="single" w:sz="4" w:space="0" w:color="auto"/>
            </w:tcBorders>
            <w:shd w:val="clear" w:color="auto" w:fill="D0CECE"/>
            <w:hideMark/>
          </w:tcPr>
          <w:p w:rsidR="00703396" w:rsidRPr="00E22C53" w:rsidP="00C007CE" w14:paraId="2421B40D" w14:textId="77777777">
            <w:pPr>
              <w:rPr>
                <w:rFonts w:cs="Times New Roman"/>
                <w:b/>
                <w:iCs/>
              </w:rPr>
            </w:pPr>
            <w:bookmarkStart w:id="3" w:name="_Hlk147828579"/>
            <w:r w:rsidRPr="00E22C53">
              <w:rPr>
                <w:rFonts w:cs="Times New Roman"/>
                <w:b/>
                <w:iCs/>
              </w:rPr>
              <w:t>Milestone</w:t>
            </w:r>
          </w:p>
        </w:tc>
        <w:tc>
          <w:tcPr>
            <w:tcW w:w="1923"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703396" w:rsidRPr="00E22C53" w:rsidP="00C007CE" w14:paraId="3C051537" w14:textId="77777777">
            <w:pPr>
              <w:rPr>
                <w:rFonts w:cs="Times New Roman"/>
                <w:b/>
                <w:iCs/>
              </w:rPr>
            </w:pPr>
            <w:r w:rsidRPr="00E22C53">
              <w:rPr>
                <w:rFonts w:cs="Times New Roman"/>
                <w:b/>
                <w:iCs/>
              </w:rPr>
              <w:t>Start Date</w:t>
            </w:r>
          </w:p>
        </w:tc>
        <w:tc>
          <w:tcPr>
            <w:tcW w:w="1683" w:type="dxa"/>
            <w:tcBorders>
              <w:top w:val="single" w:sz="4" w:space="0" w:color="auto"/>
              <w:left w:val="single" w:sz="4" w:space="0" w:color="auto"/>
              <w:bottom w:val="single" w:sz="4" w:space="0" w:color="auto"/>
              <w:right w:val="single" w:sz="4" w:space="0" w:color="auto"/>
            </w:tcBorders>
            <w:shd w:val="clear" w:color="auto" w:fill="D0CECE"/>
            <w:hideMark/>
          </w:tcPr>
          <w:p w:rsidR="00703396" w:rsidRPr="00E22C53" w:rsidP="00C007CE" w14:paraId="2A0BA531" w14:textId="77777777">
            <w:pPr>
              <w:rPr>
                <w:rFonts w:cs="Times New Roman"/>
                <w:b/>
                <w:iCs/>
              </w:rPr>
            </w:pPr>
            <w:r w:rsidRPr="00E22C53">
              <w:rPr>
                <w:rFonts w:cs="Times New Roman"/>
                <w:b/>
                <w:iCs/>
              </w:rPr>
              <w:t>End Date</w:t>
            </w:r>
          </w:p>
        </w:tc>
      </w:tr>
      <w:tr w14:paraId="3E03CDEF" w14:textId="77777777" w:rsidTr="009A0B10">
        <w:tblPrEx>
          <w:tblW w:w="9355" w:type="dxa"/>
          <w:tblLook w:val="04A0"/>
        </w:tblPrEx>
        <w:trPr>
          <w:trHeight w:val="268"/>
        </w:trPr>
        <w:tc>
          <w:tcPr>
            <w:tcW w:w="5749" w:type="dxa"/>
            <w:tcBorders>
              <w:top w:val="single" w:sz="4" w:space="0" w:color="auto"/>
              <w:left w:val="single" w:sz="4" w:space="0" w:color="auto"/>
              <w:bottom w:val="single" w:sz="4" w:space="0" w:color="auto"/>
              <w:right w:val="single" w:sz="4" w:space="0" w:color="auto"/>
            </w:tcBorders>
            <w:vAlign w:val="bottom"/>
            <w:hideMark/>
          </w:tcPr>
          <w:p w:rsidR="00703396" w:rsidRPr="00685FCD" w:rsidP="00C007CE" w14:paraId="23195468" w14:textId="77777777">
            <w:pPr>
              <w:rPr>
                <w:rFonts w:cs="Times New Roman"/>
                <w:bCs/>
                <w:iCs/>
              </w:rPr>
            </w:pPr>
            <w:r w:rsidRPr="00685FCD">
              <w:rPr>
                <w:rFonts w:cs="Times New Roman"/>
                <w:bCs/>
                <w:iCs/>
              </w:rPr>
              <w:t>Obtain OMB generic clearance</w:t>
            </w:r>
          </w:p>
        </w:tc>
        <w:tc>
          <w:tcPr>
            <w:tcW w:w="1923" w:type="dxa"/>
            <w:tcBorders>
              <w:top w:val="single" w:sz="4" w:space="0" w:color="auto"/>
              <w:left w:val="single" w:sz="4" w:space="0" w:color="auto"/>
              <w:bottom w:val="single" w:sz="4" w:space="0" w:color="auto"/>
              <w:right w:val="single" w:sz="4" w:space="0" w:color="auto"/>
            </w:tcBorders>
            <w:vAlign w:val="center"/>
            <w:hideMark/>
          </w:tcPr>
          <w:p w:rsidR="00703396" w:rsidRPr="00685FCD" w:rsidP="00C007CE" w14:paraId="1DC7D294" w14:textId="7462AF26">
            <w:pPr>
              <w:rPr>
                <w:rFonts w:cs="Times New Roman"/>
                <w:bCs/>
                <w:iCs/>
              </w:rPr>
            </w:pPr>
            <w:r>
              <w:rPr>
                <w:rFonts w:cs="Times New Roman"/>
                <w:bCs/>
                <w:iCs/>
              </w:rPr>
              <w:t>11/</w:t>
            </w:r>
            <w:r w:rsidR="009A0B10">
              <w:rPr>
                <w:rFonts w:cs="Times New Roman"/>
                <w:bCs/>
                <w:iCs/>
              </w:rPr>
              <w:t>13</w:t>
            </w:r>
            <w:r>
              <w:rPr>
                <w:rFonts w:cs="Times New Roman"/>
                <w:bCs/>
                <w:iCs/>
              </w:rPr>
              <w:t>/23</w:t>
            </w:r>
            <w:r w:rsidRPr="00685FCD">
              <w:rPr>
                <w:rFonts w:cs="Times New Roman"/>
                <w:bCs/>
                <w:iCs/>
              </w:rPr>
              <w:t xml:space="preserve"> </w:t>
            </w:r>
          </w:p>
        </w:tc>
        <w:tc>
          <w:tcPr>
            <w:tcW w:w="1683" w:type="dxa"/>
            <w:tcBorders>
              <w:top w:val="single" w:sz="4" w:space="0" w:color="auto"/>
              <w:left w:val="single" w:sz="4" w:space="0" w:color="auto"/>
              <w:bottom w:val="single" w:sz="4" w:space="0" w:color="auto"/>
              <w:right w:val="single" w:sz="4" w:space="0" w:color="auto"/>
            </w:tcBorders>
            <w:hideMark/>
          </w:tcPr>
          <w:p w:rsidR="00703396" w:rsidRPr="00685FCD" w:rsidP="00C007CE" w14:paraId="15E64578" w14:textId="0B417F03">
            <w:pPr>
              <w:rPr>
                <w:rFonts w:cs="Times New Roman"/>
                <w:bCs/>
                <w:iCs/>
              </w:rPr>
            </w:pPr>
            <w:r>
              <w:rPr>
                <w:rFonts w:cs="Times New Roman"/>
                <w:bCs/>
                <w:iCs/>
              </w:rPr>
              <w:t>12/4/23</w:t>
            </w:r>
          </w:p>
        </w:tc>
      </w:tr>
      <w:tr w14:paraId="4926FEA8" w14:textId="77777777" w:rsidTr="009A0B10">
        <w:tblPrEx>
          <w:tblW w:w="9355" w:type="dxa"/>
          <w:tblLook w:val="04A0"/>
        </w:tblPrEx>
        <w:trPr>
          <w:trHeight w:val="268"/>
        </w:trPr>
        <w:tc>
          <w:tcPr>
            <w:tcW w:w="5749" w:type="dxa"/>
            <w:tcBorders>
              <w:top w:val="single" w:sz="4" w:space="0" w:color="auto"/>
              <w:left w:val="single" w:sz="4" w:space="0" w:color="auto"/>
              <w:bottom w:val="single" w:sz="4" w:space="0" w:color="auto"/>
              <w:right w:val="single" w:sz="4" w:space="0" w:color="auto"/>
            </w:tcBorders>
            <w:vAlign w:val="bottom"/>
            <w:hideMark/>
          </w:tcPr>
          <w:p w:rsidR="00703396" w:rsidRPr="00685FCD" w:rsidP="00C007CE" w14:paraId="33000C49" w14:textId="77777777">
            <w:pPr>
              <w:rPr>
                <w:rFonts w:cs="Times New Roman"/>
                <w:bCs/>
                <w:iCs/>
              </w:rPr>
            </w:pPr>
            <w:r w:rsidRPr="00685FCD">
              <w:rPr>
                <w:rFonts w:cs="Times New Roman"/>
                <w:bCs/>
                <w:iCs/>
              </w:rPr>
              <w:t xml:space="preserve">Recruitment and testing period </w:t>
            </w:r>
          </w:p>
        </w:tc>
        <w:tc>
          <w:tcPr>
            <w:tcW w:w="1923" w:type="dxa"/>
            <w:tcBorders>
              <w:top w:val="single" w:sz="4" w:space="0" w:color="auto"/>
              <w:left w:val="single" w:sz="4" w:space="0" w:color="auto"/>
              <w:bottom w:val="single" w:sz="4" w:space="0" w:color="auto"/>
              <w:right w:val="single" w:sz="4" w:space="0" w:color="auto"/>
            </w:tcBorders>
            <w:vAlign w:val="center"/>
            <w:hideMark/>
          </w:tcPr>
          <w:p w:rsidR="00703396" w:rsidRPr="00685FCD" w:rsidP="00C007CE" w14:paraId="23E42AC8" w14:textId="1829C852">
            <w:pPr>
              <w:rPr>
                <w:rFonts w:cs="Times New Roman"/>
                <w:bCs/>
                <w:iCs/>
              </w:rPr>
            </w:pPr>
            <w:r>
              <w:rPr>
                <w:rFonts w:cs="Times New Roman"/>
                <w:bCs/>
                <w:iCs/>
              </w:rPr>
              <w:t>12/4</w:t>
            </w:r>
            <w:r w:rsidRPr="00685FCD">
              <w:rPr>
                <w:rFonts w:cs="Times New Roman"/>
                <w:bCs/>
                <w:iCs/>
              </w:rPr>
              <w:t xml:space="preserve">/23 </w:t>
            </w:r>
          </w:p>
        </w:tc>
        <w:tc>
          <w:tcPr>
            <w:tcW w:w="1683" w:type="dxa"/>
            <w:tcBorders>
              <w:top w:val="single" w:sz="4" w:space="0" w:color="auto"/>
              <w:left w:val="single" w:sz="4" w:space="0" w:color="auto"/>
              <w:bottom w:val="single" w:sz="4" w:space="0" w:color="auto"/>
              <w:right w:val="single" w:sz="4" w:space="0" w:color="auto"/>
            </w:tcBorders>
            <w:hideMark/>
          </w:tcPr>
          <w:p w:rsidR="00703396" w:rsidRPr="00685FCD" w:rsidP="00C007CE" w14:paraId="034A0178" w14:textId="11781D62">
            <w:pPr>
              <w:rPr>
                <w:rFonts w:cs="Times New Roman"/>
                <w:bCs/>
                <w:iCs/>
              </w:rPr>
            </w:pPr>
            <w:r w:rsidRPr="00685FCD">
              <w:rPr>
                <w:rFonts w:cs="Times New Roman"/>
                <w:bCs/>
                <w:iCs/>
              </w:rPr>
              <w:t>03/4/24</w:t>
            </w:r>
          </w:p>
        </w:tc>
      </w:tr>
      <w:tr w14:paraId="664DACA5" w14:textId="77777777" w:rsidTr="009A0B10">
        <w:tblPrEx>
          <w:tblW w:w="9355" w:type="dxa"/>
          <w:tblLook w:val="04A0"/>
        </w:tblPrEx>
        <w:trPr>
          <w:trHeight w:val="268"/>
        </w:trPr>
        <w:tc>
          <w:tcPr>
            <w:tcW w:w="5749" w:type="dxa"/>
            <w:tcBorders>
              <w:top w:val="single" w:sz="4" w:space="0" w:color="auto"/>
              <w:left w:val="single" w:sz="4" w:space="0" w:color="auto"/>
              <w:bottom w:val="single" w:sz="4" w:space="0" w:color="auto"/>
              <w:right w:val="single" w:sz="4" w:space="0" w:color="auto"/>
            </w:tcBorders>
            <w:vAlign w:val="bottom"/>
            <w:hideMark/>
          </w:tcPr>
          <w:p w:rsidR="00703396" w:rsidRPr="00685FCD" w:rsidP="00C007CE" w14:paraId="7804575C" w14:textId="77777777">
            <w:pPr>
              <w:rPr>
                <w:rFonts w:cs="Times New Roman"/>
                <w:bCs/>
                <w:iCs/>
              </w:rPr>
            </w:pPr>
            <w:r w:rsidRPr="00685FCD">
              <w:rPr>
                <w:rFonts w:cs="Times New Roman"/>
                <w:bCs/>
                <w:iCs/>
              </w:rPr>
              <w:t>Analyze data and develop instrument recommendations</w:t>
            </w:r>
          </w:p>
        </w:tc>
        <w:tc>
          <w:tcPr>
            <w:tcW w:w="1923" w:type="dxa"/>
            <w:tcBorders>
              <w:top w:val="single" w:sz="4" w:space="0" w:color="auto"/>
              <w:left w:val="single" w:sz="4" w:space="0" w:color="auto"/>
              <w:bottom w:val="single" w:sz="4" w:space="0" w:color="auto"/>
              <w:right w:val="single" w:sz="4" w:space="0" w:color="auto"/>
            </w:tcBorders>
            <w:vAlign w:val="center"/>
            <w:hideMark/>
          </w:tcPr>
          <w:p w:rsidR="00703396" w:rsidRPr="00685FCD" w:rsidP="00C007CE" w14:paraId="59985D94" w14:textId="3FA87990">
            <w:pPr>
              <w:rPr>
                <w:rFonts w:cs="Times New Roman"/>
                <w:bCs/>
                <w:iCs/>
              </w:rPr>
            </w:pPr>
            <w:r w:rsidRPr="00685FCD">
              <w:rPr>
                <w:rFonts w:cs="Times New Roman"/>
                <w:bCs/>
                <w:iCs/>
              </w:rPr>
              <w:t xml:space="preserve">03/05/24 </w:t>
            </w:r>
          </w:p>
        </w:tc>
        <w:tc>
          <w:tcPr>
            <w:tcW w:w="1683" w:type="dxa"/>
            <w:tcBorders>
              <w:top w:val="single" w:sz="4" w:space="0" w:color="auto"/>
              <w:left w:val="single" w:sz="4" w:space="0" w:color="auto"/>
              <w:bottom w:val="single" w:sz="4" w:space="0" w:color="auto"/>
              <w:right w:val="single" w:sz="4" w:space="0" w:color="auto"/>
            </w:tcBorders>
            <w:hideMark/>
          </w:tcPr>
          <w:p w:rsidR="00703396" w:rsidRPr="00685FCD" w:rsidP="00C007CE" w14:paraId="454AEC07" w14:textId="55716585">
            <w:pPr>
              <w:rPr>
                <w:rFonts w:cs="Times New Roman"/>
                <w:bCs/>
                <w:iCs/>
              </w:rPr>
            </w:pPr>
            <w:r w:rsidRPr="00685FCD">
              <w:rPr>
                <w:rFonts w:cs="Times New Roman"/>
                <w:bCs/>
                <w:iCs/>
              </w:rPr>
              <w:t>04/05/24</w:t>
            </w:r>
          </w:p>
        </w:tc>
      </w:tr>
      <w:tr w14:paraId="1B5E9043" w14:textId="77777777" w:rsidTr="009A0B10">
        <w:tblPrEx>
          <w:tblW w:w="9355" w:type="dxa"/>
          <w:tblLook w:val="04A0"/>
        </w:tblPrEx>
        <w:trPr>
          <w:trHeight w:val="268"/>
        </w:trPr>
        <w:tc>
          <w:tcPr>
            <w:tcW w:w="5749" w:type="dxa"/>
            <w:tcBorders>
              <w:top w:val="single" w:sz="4" w:space="0" w:color="auto"/>
              <w:left w:val="single" w:sz="4" w:space="0" w:color="auto"/>
              <w:bottom w:val="single" w:sz="4" w:space="0" w:color="auto"/>
              <w:right w:val="single" w:sz="4" w:space="0" w:color="auto"/>
            </w:tcBorders>
            <w:vAlign w:val="bottom"/>
            <w:hideMark/>
          </w:tcPr>
          <w:p w:rsidR="00703396" w:rsidRPr="00685FCD" w:rsidP="00C007CE" w14:paraId="4CE5298E" w14:textId="77777777">
            <w:pPr>
              <w:rPr>
                <w:rFonts w:cs="Times New Roman"/>
                <w:bCs/>
                <w:iCs/>
              </w:rPr>
            </w:pPr>
            <w:r w:rsidRPr="00685FCD">
              <w:rPr>
                <w:rFonts w:cs="Times New Roman"/>
                <w:bCs/>
                <w:iCs/>
              </w:rPr>
              <w:t xml:space="preserve">Draft final report </w:t>
            </w:r>
          </w:p>
        </w:tc>
        <w:tc>
          <w:tcPr>
            <w:tcW w:w="1923" w:type="dxa"/>
            <w:tcBorders>
              <w:top w:val="single" w:sz="4" w:space="0" w:color="auto"/>
              <w:left w:val="single" w:sz="4" w:space="0" w:color="auto"/>
              <w:bottom w:val="single" w:sz="4" w:space="0" w:color="auto"/>
              <w:right w:val="single" w:sz="4" w:space="0" w:color="auto"/>
            </w:tcBorders>
            <w:vAlign w:val="center"/>
            <w:hideMark/>
          </w:tcPr>
          <w:p w:rsidR="00703396" w:rsidRPr="00685FCD" w:rsidP="00C007CE" w14:paraId="0E7810D8" w14:textId="455AA454">
            <w:pPr>
              <w:rPr>
                <w:rFonts w:cs="Times New Roman"/>
                <w:bCs/>
                <w:iCs/>
              </w:rPr>
            </w:pPr>
            <w:r w:rsidRPr="00685FCD">
              <w:rPr>
                <w:rFonts w:cs="Times New Roman"/>
                <w:bCs/>
                <w:iCs/>
              </w:rPr>
              <w:t xml:space="preserve">04/05/24 </w:t>
            </w:r>
          </w:p>
        </w:tc>
        <w:tc>
          <w:tcPr>
            <w:tcW w:w="1683" w:type="dxa"/>
            <w:tcBorders>
              <w:top w:val="single" w:sz="4" w:space="0" w:color="auto"/>
              <w:left w:val="single" w:sz="4" w:space="0" w:color="auto"/>
              <w:bottom w:val="single" w:sz="4" w:space="0" w:color="auto"/>
              <w:right w:val="single" w:sz="4" w:space="0" w:color="auto"/>
            </w:tcBorders>
            <w:hideMark/>
          </w:tcPr>
          <w:p w:rsidR="00703396" w:rsidRPr="00685FCD" w:rsidP="00C007CE" w14:paraId="2F2AE34B" w14:textId="36D92FD2">
            <w:pPr>
              <w:rPr>
                <w:rFonts w:cs="Times New Roman"/>
                <w:bCs/>
                <w:iCs/>
              </w:rPr>
            </w:pPr>
            <w:r w:rsidRPr="00685FCD">
              <w:rPr>
                <w:rFonts w:cs="Times New Roman"/>
                <w:bCs/>
                <w:iCs/>
              </w:rPr>
              <w:t>04/</w:t>
            </w:r>
            <w:r w:rsidRPr="00685FCD" w:rsidR="00061D91">
              <w:rPr>
                <w:rFonts w:cs="Times New Roman"/>
                <w:bCs/>
                <w:iCs/>
              </w:rPr>
              <w:t>19/24</w:t>
            </w:r>
          </w:p>
        </w:tc>
      </w:tr>
      <w:tr w14:paraId="75F3D536" w14:textId="77777777" w:rsidTr="009A0B10">
        <w:tblPrEx>
          <w:tblW w:w="9355" w:type="dxa"/>
          <w:tblLook w:val="04A0"/>
        </w:tblPrEx>
        <w:trPr>
          <w:trHeight w:val="268"/>
        </w:trPr>
        <w:tc>
          <w:tcPr>
            <w:tcW w:w="5749" w:type="dxa"/>
            <w:tcBorders>
              <w:top w:val="single" w:sz="4" w:space="0" w:color="auto"/>
              <w:left w:val="single" w:sz="4" w:space="0" w:color="auto"/>
              <w:bottom w:val="single" w:sz="4" w:space="0" w:color="auto"/>
              <w:right w:val="single" w:sz="4" w:space="0" w:color="auto"/>
            </w:tcBorders>
            <w:vAlign w:val="bottom"/>
          </w:tcPr>
          <w:p w:rsidR="00685FCD" w:rsidRPr="00685FCD" w:rsidP="00C007CE" w14:paraId="18A1967D" w14:textId="77777777">
            <w:pPr>
              <w:rPr>
                <w:rFonts w:cs="Times New Roman"/>
                <w:bCs/>
                <w:iCs/>
              </w:rPr>
            </w:pPr>
            <w:r>
              <w:rPr>
                <w:rFonts w:cs="Times New Roman"/>
                <w:bCs/>
                <w:iCs/>
              </w:rPr>
              <w:t>Verification effort</w:t>
            </w:r>
          </w:p>
        </w:tc>
        <w:tc>
          <w:tcPr>
            <w:tcW w:w="1923" w:type="dxa"/>
            <w:tcBorders>
              <w:top w:val="single" w:sz="4" w:space="0" w:color="auto"/>
              <w:left w:val="single" w:sz="4" w:space="0" w:color="auto"/>
              <w:bottom w:val="single" w:sz="4" w:space="0" w:color="auto"/>
              <w:right w:val="single" w:sz="4" w:space="0" w:color="auto"/>
            </w:tcBorders>
            <w:vAlign w:val="center"/>
          </w:tcPr>
          <w:p w:rsidR="00685FCD" w:rsidRPr="00685FCD" w:rsidP="00C007CE" w14:paraId="0A1708EA" w14:textId="77777777">
            <w:pPr>
              <w:rPr>
                <w:rFonts w:cs="Times New Roman"/>
                <w:bCs/>
                <w:iCs/>
              </w:rPr>
            </w:pPr>
            <w:r>
              <w:rPr>
                <w:rFonts w:cs="Times New Roman"/>
                <w:bCs/>
                <w:iCs/>
              </w:rPr>
              <w:t>04/01/24</w:t>
            </w:r>
          </w:p>
        </w:tc>
        <w:tc>
          <w:tcPr>
            <w:tcW w:w="1683" w:type="dxa"/>
            <w:tcBorders>
              <w:top w:val="single" w:sz="4" w:space="0" w:color="auto"/>
              <w:left w:val="single" w:sz="4" w:space="0" w:color="auto"/>
              <w:bottom w:val="single" w:sz="4" w:space="0" w:color="auto"/>
              <w:right w:val="single" w:sz="4" w:space="0" w:color="auto"/>
            </w:tcBorders>
          </w:tcPr>
          <w:p w:rsidR="00685FCD" w:rsidRPr="00685FCD" w:rsidP="00C007CE" w14:paraId="30BDA1C5" w14:textId="77777777">
            <w:pPr>
              <w:rPr>
                <w:rFonts w:cs="Times New Roman"/>
                <w:bCs/>
                <w:iCs/>
              </w:rPr>
            </w:pPr>
            <w:r>
              <w:rPr>
                <w:rFonts w:cs="Times New Roman"/>
                <w:bCs/>
                <w:iCs/>
              </w:rPr>
              <w:t>07/31/24</w:t>
            </w:r>
          </w:p>
        </w:tc>
      </w:tr>
      <w:bookmarkEnd w:id="3"/>
    </w:tbl>
    <w:p w:rsidR="00600083" w:rsidRPr="00600083" w:rsidP="009D66F7" w14:paraId="76E4FFD3" w14:textId="77777777"/>
    <w:p w:rsidR="009D66F7" w:rsidRPr="009D66F7" w:rsidP="009D66F7" w14:paraId="048BB4C5" w14:textId="69777CF8">
      <w:pPr>
        <w:rPr>
          <w:b/>
          <w:bCs/>
          <w:u w:val="single"/>
        </w:rPr>
      </w:pPr>
      <w:r w:rsidRPr="009D66F7">
        <w:rPr>
          <w:b/>
          <w:bCs/>
          <w:u w:val="single"/>
        </w:rPr>
        <w:t>Informed consent</w:t>
      </w:r>
    </w:p>
    <w:p w:rsidR="009D66F7" w:rsidP="009D66F7" w14:paraId="5ACC99AD" w14:textId="77777777">
      <w:pPr>
        <w:rPr>
          <w:rFonts w:cs="Times New Roman"/>
          <w:iCs/>
        </w:rPr>
      </w:pPr>
    </w:p>
    <w:p w:rsidR="00600083" w:rsidP="00600083" w14:paraId="1E9F3286" w14:textId="5C1AE69C">
      <w:pPr>
        <w:rPr>
          <w:rFonts w:asciiTheme="majorBidi" w:hAnsiTheme="majorBidi" w:cstheme="majorBidi"/>
        </w:rPr>
      </w:pPr>
      <w:r>
        <w:rPr>
          <w:rFonts w:cs="Times New Roman"/>
          <w:iCs/>
        </w:rPr>
        <w:t xml:space="preserve">Participants will be provided information describing the project, the purpose and process of the interview, why they were chosen to participate, and details ensuring confidentiality (see </w:t>
      </w:r>
      <w:r>
        <w:rPr>
          <w:rFonts w:cs="Times New Roman"/>
          <w:b/>
          <w:bCs/>
          <w:iCs/>
        </w:rPr>
        <w:t>Appendix C-1)</w:t>
      </w:r>
      <w:r w:rsidR="00D63736">
        <w:rPr>
          <w:rFonts w:cs="Times New Roman"/>
          <w:b/>
          <w:bCs/>
          <w:iCs/>
        </w:rPr>
        <w:t xml:space="preserve"> </w:t>
      </w:r>
      <w:r w:rsidRPr="007E55B4" w:rsidR="00D63736">
        <w:rPr>
          <w:rFonts w:cs="Times New Roman"/>
          <w:iCs/>
        </w:rPr>
        <w:t>prior to the start of the interview</w:t>
      </w:r>
      <w:r>
        <w:rPr>
          <w:rFonts w:cs="Times New Roman"/>
          <w:iCs/>
        </w:rPr>
        <w:t>.</w:t>
      </w:r>
      <w:r>
        <w:rPr>
          <w:rFonts w:cs="Times New Roman"/>
          <w:iCs/>
        </w:rPr>
        <w:t xml:space="preserve"> At the beginning of the interview, staff will review these materials with participants</w:t>
      </w:r>
      <w:bookmarkStart w:id="4" w:name="_Hlk118993170"/>
      <w:r w:rsidRPr="00E22C53">
        <w:rPr>
          <w:rFonts w:cs="Times New Roman"/>
          <w:iCs/>
        </w:rPr>
        <w:t>.</w:t>
      </w:r>
      <w:r>
        <w:rPr>
          <w:rFonts w:cs="Times New Roman"/>
          <w:iCs/>
        </w:rPr>
        <w:t xml:space="preserve"> The informed consent script</w:t>
      </w:r>
      <w:r w:rsidRPr="00E22C53">
        <w:rPr>
          <w:rFonts w:cs="Times New Roman"/>
          <w:iCs/>
        </w:rPr>
        <w:t xml:space="preserve"> will announce the estimated length of the interview in advance, allowing the participant an opportunity to decline if the burden would be unacceptable. </w:t>
      </w:r>
      <w:bookmarkEnd w:id="4"/>
      <w:r w:rsidRPr="00E22C53">
        <w:rPr>
          <w:rFonts w:cs="Times New Roman"/>
          <w:iCs/>
        </w:rPr>
        <w:t>Cognitive interviewees will be asked their permission to record the interview.</w:t>
      </w:r>
      <w:r>
        <w:rPr>
          <w:rFonts w:cs="Times New Roman"/>
          <w:iCs/>
        </w:rPr>
        <w:t xml:space="preserve"> </w:t>
      </w:r>
      <w:r>
        <w:rPr>
          <w:rFonts w:asciiTheme="majorBidi" w:hAnsiTheme="majorBidi" w:cstheme="majorBidi"/>
        </w:rPr>
        <w:t>The</w:t>
      </w:r>
      <w:r w:rsidRPr="005E2E2A">
        <w:rPr>
          <w:rFonts w:asciiTheme="majorBidi" w:hAnsiTheme="majorBidi" w:cstheme="majorBidi"/>
        </w:rPr>
        <w:t xml:space="preserve"> interviewer will read the consent form to the participant </w:t>
      </w:r>
      <w:r>
        <w:rPr>
          <w:rFonts w:asciiTheme="majorBidi" w:hAnsiTheme="majorBidi" w:cstheme="majorBidi"/>
        </w:rPr>
        <w:t>to</w:t>
      </w:r>
      <w:r w:rsidRPr="005E2E2A">
        <w:rPr>
          <w:rFonts w:asciiTheme="majorBidi" w:hAnsiTheme="majorBidi" w:cstheme="majorBidi"/>
        </w:rPr>
        <w:t xml:space="preserve"> obtain verbal consent</w:t>
      </w:r>
      <w:r w:rsidR="00D87952">
        <w:rPr>
          <w:rFonts w:asciiTheme="majorBidi" w:hAnsiTheme="majorBidi" w:cstheme="majorBidi"/>
        </w:rPr>
        <w:t xml:space="preserve"> to participate and record the interview</w:t>
      </w:r>
      <w:r w:rsidRPr="005E2E2A">
        <w:rPr>
          <w:rFonts w:asciiTheme="majorBidi" w:hAnsiTheme="majorBidi" w:cstheme="majorBidi"/>
        </w:rPr>
        <w:t>. After receiving verbal consent, the interviewer will check and sign the hard copy informed consent</w:t>
      </w:r>
      <w:r>
        <w:rPr>
          <w:rFonts w:asciiTheme="majorBidi" w:hAnsiTheme="majorBidi" w:cstheme="majorBidi"/>
        </w:rPr>
        <w:t xml:space="preserve"> to have on record, certifying they have obtained the participant’s permission to continue with the interview (see </w:t>
      </w:r>
      <w:r>
        <w:rPr>
          <w:rFonts w:asciiTheme="majorBidi" w:hAnsiTheme="majorBidi" w:cstheme="majorBidi"/>
          <w:b/>
        </w:rPr>
        <w:t>Appendix C-2</w:t>
      </w:r>
      <w:r>
        <w:rPr>
          <w:rFonts w:asciiTheme="majorBidi" w:hAnsiTheme="majorBidi" w:cstheme="majorBidi"/>
        </w:rPr>
        <w:t>)</w:t>
      </w:r>
      <w:r w:rsidRPr="005E2E2A">
        <w:rPr>
          <w:rFonts w:asciiTheme="majorBidi" w:hAnsiTheme="majorBidi" w:cstheme="majorBidi"/>
        </w:rPr>
        <w:t xml:space="preserve">. Interviews will only be conducted if consent is obtained. </w:t>
      </w:r>
    </w:p>
    <w:p w:rsidR="00600083" w:rsidP="00600083" w14:paraId="0DF680BD" w14:textId="44B57953">
      <w:pPr>
        <w:rPr>
          <w:rFonts w:asciiTheme="majorBidi" w:hAnsiTheme="majorBidi" w:cstheme="majorBidi"/>
        </w:rPr>
      </w:pPr>
    </w:p>
    <w:p w:rsidR="00600083" w:rsidRPr="00600083" w:rsidP="00600083" w14:paraId="12C70841" w14:textId="77777777">
      <w:pPr>
        <w:rPr>
          <w:b/>
          <w:bCs/>
          <w:u w:val="single"/>
        </w:rPr>
      </w:pPr>
      <w:r w:rsidRPr="00600083">
        <w:rPr>
          <w:b/>
          <w:bCs/>
          <w:u w:val="single"/>
        </w:rPr>
        <w:t xml:space="preserve">Data confidentiality and security  </w:t>
      </w:r>
    </w:p>
    <w:p w:rsidR="00600083" w:rsidP="00600083" w14:paraId="6760BDB8" w14:textId="77777777">
      <w:pPr>
        <w:rPr>
          <w:rFonts w:cs="Times New Roman"/>
          <w:iCs/>
        </w:rPr>
      </w:pPr>
    </w:p>
    <w:p w:rsidR="00600083" w:rsidP="00600083" w14:paraId="78945C9C" w14:textId="2926E20D">
      <w:pPr>
        <w:rPr>
          <w:rFonts w:cs="Times New Roman"/>
          <w:iCs/>
        </w:rPr>
      </w:pPr>
      <w:r w:rsidRPr="00600083">
        <w:rPr>
          <w:rFonts w:cs="Times New Roman"/>
          <w:iCs/>
        </w:rPr>
        <w:t xml:space="preserve">BJS is authorized to conduct this data collection under 34 U.S.C. § 10132. </w:t>
      </w:r>
      <w:r w:rsidR="00D87952">
        <w:rPr>
          <w:rFonts w:cs="Times New Roman"/>
          <w:iCs/>
        </w:rPr>
        <w:t>During</w:t>
      </w:r>
      <w:r w:rsidRPr="00600083">
        <w:rPr>
          <w:rFonts w:cs="Times New Roman"/>
          <w:iCs/>
        </w:rPr>
        <w:t xml:space="preserve"> testing identifying information including the participant’s name, the office for which they work, address, email, and telephone number</w:t>
      </w:r>
      <w:r w:rsidR="00D87952">
        <w:rPr>
          <w:rFonts w:cs="Times New Roman"/>
          <w:iCs/>
        </w:rPr>
        <w:t xml:space="preserve"> will be collected</w:t>
      </w:r>
      <w:r w:rsidRPr="00600083">
        <w:rPr>
          <w:rFonts w:cs="Times New Roman"/>
          <w:iCs/>
        </w:rPr>
        <w:t xml:space="preserve">. All information related to the cognitive interviews, including the recordings of interviews, will be stored on a secure drive at RTI with restricted access to those staff members who are directly involved in testing. To protect the </w:t>
      </w:r>
      <w:r w:rsidRPr="00600083">
        <w:rPr>
          <w:rFonts w:cs="Times New Roman"/>
          <w:iCs/>
        </w:rPr>
        <w:t xml:space="preserve">identities of the respondents, no identifying information will be kept in the final data file. In addition, the recorded conversations of the interviews will be erased upon completion of the cognitive testing report. We estimate this to be one month after the pretest has ended. Once the instrument is revised and the summary report completed, all copies of the cognitive interview data will be destroyed. </w:t>
      </w:r>
    </w:p>
    <w:p w:rsidR="00D214CA" w:rsidRPr="00600083" w:rsidP="00600083" w14:paraId="4BE42014" w14:textId="77777777">
      <w:pPr>
        <w:rPr>
          <w:rFonts w:cs="Times New Roman"/>
          <w:iCs/>
        </w:rPr>
      </w:pPr>
    </w:p>
    <w:p w:rsidR="00600083" w:rsidRPr="00E22C53" w:rsidP="00600083" w14:paraId="6EB1B2F2" w14:textId="119ABF06">
      <w:pPr>
        <w:rPr>
          <w:rFonts w:cs="Times New Roman"/>
          <w:iCs/>
        </w:rPr>
      </w:pPr>
      <w:r w:rsidRPr="00600083">
        <w:rPr>
          <w:rFonts w:cs="Times New Roman"/>
          <w:iCs/>
        </w:rPr>
        <w:t>All project staff are required to sign a pledge of confidentiality and privacy certificate which confirms the maintaining of data and following the procedures outlined above. Furthermore, all cognitive interviews will be conducted by project staff at RTI, who must complete official security training.</w:t>
      </w:r>
      <w:r w:rsidRPr="00E22C53">
        <w:rPr>
          <w:rFonts w:cs="Times New Roman"/>
          <w:iCs/>
        </w:rPr>
        <w:t xml:space="preserve"> </w:t>
      </w:r>
    </w:p>
    <w:p w:rsidR="00600083" w:rsidP="00600083" w14:paraId="00FC3481" w14:textId="77777777">
      <w:pPr>
        <w:rPr>
          <w:rFonts w:asciiTheme="majorBidi" w:hAnsiTheme="majorBidi" w:cstheme="majorBidi"/>
        </w:rPr>
      </w:pPr>
    </w:p>
    <w:p w:rsidR="00844F2F" w:rsidP="00767F64" w14:paraId="6E54798A" w14:textId="0BF737D5">
      <w:pPr>
        <w:rPr>
          <w:rFonts w:asciiTheme="majorBidi" w:hAnsiTheme="majorBidi" w:cstheme="majorBidi"/>
          <w:b/>
          <w:u w:val="single"/>
        </w:rPr>
      </w:pPr>
      <w:r w:rsidRPr="00690BED">
        <w:rPr>
          <w:rFonts w:asciiTheme="majorBidi" w:hAnsiTheme="majorBidi" w:cstheme="majorBidi"/>
          <w:b/>
          <w:u w:val="single"/>
        </w:rPr>
        <w:t>Institutional Review Board</w:t>
      </w:r>
    </w:p>
    <w:p w:rsidR="00E22053" w:rsidRPr="00690BED" w:rsidP="00767F64" w14:paraId="235062E7" w14:textId="77777777">
      <w:pPr>
        <w:rPr>
          <w:rFonts w:asciiTheme="majorBidi" w:hAnsiTheme="majorBidi" w:cstheme="majorBidi"/>
          <w:b/>
          <w:u w:val="single"/>
        </w:rPr>
      </w:pPr>
    </w:p>
    <w:p w:rsidR="00844F2F" w:rsidP="00B862A6" w14:paraId="3B89E3B6" w14:textId="0FA6AC30">
      <w:pPr>
        <w:rPr>
          <w:rFonts w:asciiTheme="majorBidi" w:hAnsiTheme="majorBidi" w:cstheme="majorBidi"/>
        </w:rPr>
      </w:pPr>
      <w:r>
        <w:rPr>
          <w:sz w:val="23"/>
          <w:szCs w:val="23"/>
        </w:rPr>
        <w:t xml:space="preserve">The project team </w:t>
      </w:r>
      <w:r w:rsidR="00E5793F">
        <w:rPr>
          <w:sz w:val="23"/>
          <w:szCs w:val="23"/>
        </w:rPr>
        <w:t>has obtained</w:t>
      </w:r>
      <w:r>
        <w:rPr>
          <w:sz w:val="23"/>
          <w:szCs w:val="23"/>
        </w:rPr>
        <w:t xml:space="preserve"> approval from RTI’s IRB to ensure the testing protocols are compliant with informed consent and data confidentiality standards (</w:t>
      </w:r>
      <w:r w:rsidRPr="0082731A">
        <w:rPr>
          <w:b/>
          <w:sz w:val="23"/>
          <w:szCs w:val="23"/>
        </w:rPr>
        <w:t xml:space="preserve">Appendix </w:t>
      </w:r>
      <w:r w:rsidR="009356D9">
        <w:rPr>
          <w:b/>
          <w:sz w:val="23"/>
          <w:szCs w:val="23"/>
        </w:rPr>
        <w:t>G</w:t>
      </w:r>
      <w:r>
        <w:rPr>
          <w:sz w:val="23"/>
          <w:szCs w:val="23"/>
        </w:rPr>
        <w:t>).</w:t>
      </w:r>
      <w:r w:rsidR="00B21B07">
        <w:rPr>
          <w:sz w:val="23"/>
          <w:szCs w:val="23"/>
        </w:rPr>
        <w:t xml:space="preserve"> </w:t>
      </w:r>
    </w:p>
    <w:p w:rsidR="00FB4970" w:rsidP="00767F64" w14:paraId="51792CFC" w14:textId="77777777">
      <w:pPr>
        <w:contextualSpacing/>
        <w:rPr>
          <w:rFonts w:asciiTheme="majorBidi" w:hAnsiTheme="majorBidi" w:cstheme="majorBidi"/>
          <w:b/>
          <w:u w:val="single"/>
        </w:rPr>
      </w:pPr>
    </w:p>
    <w:p w:rsidR="00FF7C83" w:rsidP="00767F64" w14:paraId="495CFAB2" w14:textId="16614277">
      <w:pPr>
        <w:contextualSpacing/>
        <w:rPr>
          <w:rFonts w:asciiTheme="majorBidi" w:hAnsiTheme="majorBidi" w:cstheme="majorBidi"/>
          <w:b/>
          <w:u w:val="single"/>
        </w:rPr>
      </w:pPr>
      <w:r w:rsidRPr="00690BED">
        <w:rPr>
          <w:rFonts w:asciiTheme="majorBidi" w:hAnsiTheme="majorBidi" w:cstheme="majorBidi"/>
          <w:b/>
          <w:u w:val="single"/>
        </w:rPr>
        <w:t>Contact Information</w:t>
      </w:r>
    </w:p>
    <w:p w:rsidR="00B862A6" w:rsidRPr="00690BED" w:rsidP="00767F64" w14:paraId="1A20F398" w14:textId="77777777">
      <w:pPr>
        <w:contextualSpacing/>
        <w:rPr>
          <w:rFonts w:asciiTheme="majorBidi" w:hAnsiTheme="majorBidi" w:cstheme="majorBidi"/>
          <w:b/>
          <w:u w:val="single"/>
        </w:rPr>
      </w:pPr>
    </w:p>
    <w:p w:rsidR="00FF7C83" w:rsidRPr="00690BED" w:rsidP="00767F64" w14:paraId="1CA42B02" w14:textId="6F465FE4">
      <w:pPr>
        <w:contextualSpacing/>
        <w:rPr>
          <w:rFonts w:asciiTheme="majorBidi" w:hAnsiTheme="majorBidi" w:cstheme="majorBidi"/>
        </w:rPr>
      </w:pPr>
      <w:r w:rsidRPr="00690BED">
        <w:rPr>
          <w:rFonts w:asciiTheme="majorBidi" w:hAnsiTheme="majorBidi" w:cstheme="majorBidi"/>
        </w:rPr>
        <w:t>Questions regarding any aspect of t</w:t>
      </w:r>
      <w:r w:rsidRPr="00690BED" w:rsidR="00D80C2A">
        <w:rPr>
          <w:rFonts w:asciiTheme="majorBidi" w:hAnsiTheme="majorBidi" w:cstheme="majorBidi"/>
        </w:rPr>
        <w:t>his project can be directed to:</w:t>
      </w:r>
    </w:p>
    <w:p w:rsidR="00B37C11" w:rsidRPr="00690BED" w:rsidP="00767F64" w14:paraId="1045A7D3" w14:textId="77777777">
      <w:pPr>
        <w:contextualSpacing/>
        <w:rPr>
          <w:rFonts w:asciiTheme="majorBidi" w:hAnsiTheme="majorBidi" w:cstheme="majorBidi"/>
        </w:rPr>
      </w:pPr>
    </w:p>
    <w:p w:rsidR="00FF7C83" w:rsidRPr="00690BED" w:rsidP="00767F64" w14:paraId="6112BCA6" w14:textId="2ECFBA49">
      <w:pPr>
        <w:ind w:left="720"/>
        <w:contextualSpacing/>
        <w:rPr>
          <w:rFonts w:asciiTheme="majorBidi" w:hAnsiTheme="majorBidi" w:cstheme="majorBidi"/>
        </w:rPr>
      </w:pPr>
      <w:r w:rsidRPr="00690BED">
        <w:rPr>
          <w:rFonts w:asciiTheme="majorBidi" w:hAnsiTheme="majorBidi" w:cstheme="majorBidi"/>
        </w:rPr>
        <w:t>Connor Brooks</w:t>
      </w:r>
    </w:p>
    <w:p w:rsidR="00103A29" w:rsidP="00767F64" w14:paraId="1B3F84B7" w14:textId="0544FEA0">
      <w:pPr>
        <w:ind w:left="720"/>
        <w:contextualSpacing/>
        <w:rPr>
          <w:rFonts w:asciiTheme="majorBidi" w:hAnsiTheme="majorBidi" w:cstheme="majorBidi"/>
        </w:rPr>
      </w:pPr>
      <w:r w:rsidRPr="00D5484F">
        <w:rPr>
          <w:rFonts w:asciiTheme="majorBidi" w:hAnsiTheme="majorBidi" w:cstheme="majorBidi"/>
        </w:rPr>
        <w:t>CMEC</w:t>
      </w:r>
      <w:r w:rsidRPr="00D5484F" w:rsidR="002B3DE5">
        <w:rPr>
          <w:rFonts w:asciiTheme="majorBidi" w:hAnsiTheme="majorBidi" w:cstheme="majorBidi"/>
        </w:rPr>
        <w:t xml:space="preserve"> </w:t>
      </w:r>
      <w:r w:rsidRPr="00D5484F" w:rsidR="00FF7C83">
        <w:rPr>
          <w:rFonts w:asciiTheme="majorBidi" w:hAnsiTheme="majorBidi" w:cstheme="majorBidi"/>
        </w:rPr>
        <w:t>Program Manager</w:t>
      </w:r>
    </w:p>
    <w:p w:rsidR="00FF7C83" w:rsidRPr="00690BED" w:rsidP="00767F64" w14:paraId="13826571" w14:textId="132B427C">
      <w:pPr>
        <w:ind w:left="720"/>
        <w:contextualSpacing/>
        <w:rPr>
          <w:rFonts w:asciiTheme="majorBidi" w:hAnsiTheme="majorBidi" w:cstheme="majorBidi"/>
        </w:rPr>
      </w:pPr>
      <w:r w:rsidRPr="00D5484F">
        <w:rPr>
          <w:rFonts w:asciiTheme="majorBidi" w:hAnsiTheme="majorBidi" w:cstheme="majorBidi"/>
        </w:rPr>
        <w:t>Bureau of Justice Statistics</w:t>
      </w:r>
    </w:p>
    <w:p w:rsidR="00FF7C83" w:rsidRPr="00D5484F" w:rsidP="00767F64" w14:paraId="26DC0CBD" w14:textId="6E08938F">
      <w:pPr>
        <w:ind w:left="720"/>
        <w:contextualSpacing/>
        <w:rPr>
          <w:rFonts w:asciiTheme="majorBidi" w:hAnsiTheme="majorBidi" w:cstheme="majorBidi"/>
        </w:rPr>
      </w:pPr>
      <w:r w:rsidRPr="00D5484F">
        <w:rPr>
          <w:rFonts w:asciiTheme="majorBidi" w:hAnsiTheme="majorBidi" w:cstheme="majorBidi"/>
        </w:rPr>
        <w:t>Office of Justice Programs</w:t>
      </w:r>
    </w:p>
    <w:p w:rsidR="00FF7C83" w:rsidRPr="00690BED" w:rsidP="00767F64" w14:paraId="7FEE174D" w14:textId="77777777">
      <w:pPr>
        <w:ind w:left="720"/>
        <w:contextualSpacing/>
        <w:rPr>
          <w:rFonts w:asciiTheme="majorBidi" w:hAnsiTheme="majorBidi" w:cstheme="majorBidi"/>
        </w:rPr>
      </w:pPr>
      <w:r w:rsidRPr="00690BED">
        <w:rPr>
          <w:rFonts w:asciiTheme="majorBidi" w:hAnsiTheme="majorBidi" w:cstheme="majorBidi"/>
        </w:rPr>
        <w:t>U.S. Department of Justice</w:t>
      </w:r>
    </w:p>
    <w:p w:rsidR="00FF7C83" w:rsidRPr="00690BED" w:rsidP="00767F64" w14:paraId="6C00D42A" w14:textId="77777777">
      <w:pPr>
        <w:ind w:left="720"/>
        <w:contextualSpacing/>
        <w:rPr>
          <w:rFonts w:asciiTheme="majorBidi" w:hAnsiTheme="majorBidi" w:cstheme="majorBidi"/>
        </w:rPr>
      </w:pPr>
      <w:r w:rsidRPr="00690BED">
        <w:rPr>
          <w:rFonts w:asciiTheme="majorBidi" w:hAnsiTheme="majorBidi" w:cstheme="majorBidi"/>
        </w:rPr>
        <w:t>810 7th Street NW</w:t>
      </w:r>
    </w:p>
    <w:p w:rsidR="00FF7C83" w:rsidRPr="00690BED" w:rsidP="00767F64" w14:paraId="76D83E60" w14:textId="77777777">
      <w:pPr>
        <w:ind w:left="720"/>
        <w:contextualSpacing/>
        <w:rPr>
          <w:rFonts w:asciiTheme="majorBidi" w:hAnsiTheme="majorBidi" w:cstheme="majorBidi"/>
        </w:rPr>
      </w:pPr>
      <w:r w:rsidRPr="00690BED">
        <w:rPr>
          <w:rFonts w:asciiTheme="majorBidi" w:hAnsiTheme="majorBidi" w:cstheme="majorBidi"/>
        </w:rPr>
        <w:t>Washington, DC 20531</w:t>
      </w:r>
    </w:p>
    <w:p w:rsidR="00FF7C83" w:rsidRPr="00690BED" w:rsidP="00767F64" w14:paraId="60DDD119" w14:textId="61D00868">
      <w:pPr>
        <w:ind w:left="720"/>
        <w:contextualSpacing/>
        <w:rPr>
          <w:rFonts w:asciiTheme="majorBidi" w:hAnsiTheme="majorBidi" w:cstheme="majorBidi"/>
        </w:rPr>
      </w:pPr>
      <w:r w:rsidRPr="00690BED">
        <w:rPr>
          <w:rFonts w:asciiTheme="majorBidi" w:hAnsiTheme="majorBidi" w:cstheme="majorBidi"/>
        </w:rPr>
        <w:t>Office Phone: 202-</w:t>
      </w:r>
      <w:r w:rsidR="00833E8B">
        <w:rPr>
          <w:rFonts w:asciiTheme="majorBidi" w:hAnsiTheme="majorBidi" w:cstheme="majorBidi"/>
        </w:rPr>
        <w:t>598</w:t>
      </w:r>
      <w:r w:rsidRPr="00690BED" w:rsidR="009644E0">
        <w:rPr>
          <w:rFonts w:asciiTheme="majorBidi" w:hAnsiTheme="majorBidi" w:cstheme="majorBidi"/>
        </w:rPr>
        <w:t>-</w:t>
      </w:r>
      <w:r w:rsidR="00833E8B">
        <w:rPr>
          <w:rFonts w:asciiTheme="majorBidi" w:hAnsiTheme="majorBidi" w:cstheme="majorBidi"/>
        </w:rPr>
        <w:t>1864</w:t>
      </w:r>
    </w:p>
    <w:p w:rsidR="00FF7C83" w:rsidP="00767F64" w14:paraId="2B0ED470" w14:textId="0839D13E">
      <w:pPr>
        <w:ind w:left="720"/>
        <w:contextualSpacing/>
        <w:rPr>
          <w:rFonts w:asciiTheme="majorBidi" w:hAnsiTheme="majorBidi" w:cstheme="majorBidi"/>
        </w:rPr>
      </w:pPr>
      <w:r w:rsidRPr="00690BED">
        <w:rPr>
          <w:rFonts w:asciiTheme="majorBidi" w:hAnsiTheme="majorBidi" w:cstheme="majorBidi"/>
        </w:rPr>
        <w:t xml:space="preserve">E-Mail: </w:t>
      </w:r>
      <w:r w:rsidRPr="00690BED" w:rsidR="008073B3">
        <w:rPr>
          <w:rFonts w:asciiTheme="majorBidi" w:hAnsiTheme="majorBidi" w:cstheme="majorBidi"/>
        </w:rPr>
        <w:t>Connor.Brooks@</w:t>
      </w:r>
      <w:r w:rsidRPr="00690BED">
        <w:rPr>
          <w:rFonts w:asciiTheme="majorBidi" w:hAnsiTheme="majorBidi" w:cstheme="majorBidi"/>
        </w:rPr>
        <w:t xml:space="preserve">usdoj.gov </w:t>
      </w:r>
    </w:p>
    <w:p w:rsidR="009523E2" w:rsidRPr="00690BED" w:rsidP="00767F64" w14:paraId="1EAC2DB4" w14:textId="77777777">
      <w:pPr>
        <w:ind w:left="720"/>
        <w:contextualSpacing/>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5"/>
        <w:gridCol w:w="7645"/>
      </w:tblGrid>
      <w:tr w14:paraId="2131AC1C" w14:textId="77777777" w:rsidTr="002C57E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705" w:type="dxa"/>
          </w:tcPr>
          <w:p w:rsidR="005E2E2A" w:rsidRPr="002C57E4" w:rsidP="00B00038" w14:paraId="11E6C13E" w14:textId="66761E93">
            <w:pPr>
              <w:spacing w:after="240"/>
              <w:contextualSpacing/>
              <w:rPr>
                <w:rFonts w:asciiTheme="majorBidi" w:hAnsiTheme="majorBidi" w:cstheme="majorBidi"/>
                <w:bCs/>
              </w:rPr>
            </w:pPr>
            <w:r w:rsidRPr="002C57E4">
              <w:rPr>
                <w:rFonts w:asciiTheme="majorBidi" w:hAnsiTheme="majorBidi" w:cstheme="majorBidi"/>
                <w:bCs/>
              </w:rPr>
              <w:t xml:space="preserve">Appendix </w:t>
            </w:r>
            <w:r w:rsidR="00AC2959">
              <w:rPr>
                <w:rFonts w:asciiTheme="majorBidi" w:hAnsiTheme="majorBidi" w:cstheme="majorBidi"/>
                <w:bCs/>
              </w:rPr>
              <w:t>A</w:t>
            </w:r>
            <w:r w:rsidR="007E0EC6">
              <w:rPr>
                <w:rFonts w:asciiTheme="majorBidi" w:hAnsiTheme="majorBidi" w:cstheme="majorBidi"/>
                <w:bCs/>
              </w:rPr>
              <w:t>:</w:t>
            </w:r>
          </w:p>
        </w:tc>
        <w:tc>
          <w:tcPr>
            <w:tcW w:w="7645" w:type="dxa"/>
          </w:tcPr>
          <w:p w:rsidR="005E2E2A" w:rsidRPr="002C57E4" w:rsidP="005E2E2A" w14:paraId="5C9026E9" w14:textId="673D5AFE">
            <w:pPr>
              <w:spacing w:after="240"/>
              <w:contextualSpacing/>
              <w:rPr>
                <w:rFonts w:asciiTheme="majorBidi" w:hAnsiTheme="majorBidi" w:cstheme="majorBidi"/>
                <w:bCs/>
              </w:rPr>
            </w:pPr>
            <w:r w:rsidRPr="002C57E4">
              <w:rPr>
                <w:rFonts w:asciiTheme="majorBidi" w:hAnsiTheme="majorBidi" w:cstheme="majorBidi"/>
                <w:bCs/>
              </w:rPr>
              <w:t>20</w:t>
            </w:r>
            <w:r w:rsidR="00714081">
              <w:rPr>
                <w:rFonts w:asciiTheme="majorBidi" w:hAnsiTheme="majorBidi" w:cstheme="majorBidi"/>
                <w:bCs/>
              </w:rPr>
              <w:t>23</w:t>
            </w:r>
            <w:r w:rsidRPr="002C57E4">
              <w:rPr>
                <w:rFonts w:asciiTheme="majorBidi" w:hAnsiTheme="majorBidi" w:cstheme="majorBidi"/>
                <w:bCs/>
              </w:rPr>
              <w:t xml:space="preserve"> Census of Medical Examiner and Coroner</w:t>
            </w:r>
            <w:r w:rsidRPr="002C57E4" w:rsidR="00103A29">
              <w:rPr>
                <w:rFonts w:asciiTheme="majorBidi" w:hAnsiTheme="majorBidi" w:cstheme="majorBidi"/>
                <w:bCs/>
              </w:rPr>
              <w:t xml:space="preserve"> </w:t>
            </w:r>
            <w:r w:rsidR="00103A29">
              <w:rPr>
                <w:rFonts w:asciiTheme="majorBidi" w:hAnsiTheme="majorBidi" w:cstheme="majorBidi"/>
                <w:bCs/>
              </w:rPr>
              <w:t>Offices</w:t>
            </w:r>
            <w:r w:rsidRPr="002C57E4">
              <w:rPr>
                <w:rFonts w:asciiTheme="majorBidi" w:hAnsiTheme="majorBidi" w:cstheme="majorBidi"/>
                <w:bCs/>
              </w:rPr>
              <w:t xml:space="preserve"> Verification </w:t>
            </w:r>
            <w:r w:rsidR="001D4D89">
              <w:rPr>
                <w:rFonts w:asciiTheme="majorBidi" w:hAnsiTheme="majorBidi" w:cstheme="majorBidi"/>
                <w:bCs/>
              </w:rPr>
              <w:t>Materials</w:t>
            </w:r>
          </w:p>
        </w:tc>
      </w:tr>
      <w:tr w14:paraId="2ABD1D5F" w14:textId="77777777" w:rsidTr="002C57E4">
        <w:tblPrEx>
          <w:tblW w:w="0" w:type="auto"/>
          <w:tblLook w:val="04A0"/>
        </w:tblPrEx>
        <w:tc>
          <w:tcPr>
            <w:tcW w:w="1705" w:type="dxa"/>
          </w:tcPr>
          <w:p w:rsidR="005E2E2A" w:rsidRPr="002C57E4" w:rsidP="00B00038" w14:paraId="09A4847E" w14:textId="56289137">
            <w:pPr>
              <w:spacing w:after="240"/>
              <w:contextualSpacing/>
              <w:rPr>
                <w:rFonts w:asciiTheme="majorBidi" w:hAnsiTheme="majorBidi" w:cstheme="majorBidi"/>
                <w:bCs/>
              </w:rPr>
            </w:pPr>
            <w:r w:rsidRPr="002C57E4">
              <w:rPr>
                <w:rFonts w:asciiTheme="majorBidi" w:hAnsiTheme="majorBidi" w:cstheme="majorBidi"/>
                <w:bCs/>
              </w:rPr>
              <w:t xml:space="preserve">Appendix </w:t>
            </w:r>
            <w:r w:rsidR="00AC2959">
              <w:rPr>
                <w:rFonts w:asciiTheme="majorBidi" w:hAnsiTheme="majorBidi" w:cstheme="majorBidi"/>
                <w:bCs/>
              </w:rPr>
              <w:t>B</w:t>
            </w:r>
            <w:r w:rsidRPr="002C57E4">
              <w:rPr>
                <w:rFonts w:asciiTheme="majorBidi" w:hAnsiTheme="majorBidi" w:cstheme="majorBidi"/>
                <w:bCs/>
              </w:rPr>
              <w:t>:</w:t>
            </w:r>
          </w:p>
        </w:tc>
        <w:tc>
          <w:tcPr>
            <w:tcW w:w="7645" w:type="dxa"/>
          </w:tcPr>
          <w:p w:rsidR="005E2E2A" w:rsidRPr="002C57E4" w:rsidP="002C57E4" w14:paraId="077B92D8" w14:textId="2F07BF0C">
            <w:pPr>
              <w:spacing w:after="240"/>
              <w:contextualSpacing/>
              <w:rPr>
                <w:rFonts w:asciiTheme="majorBidi" w:hAnsiTheme="majorBidi" w:cstheme="majorBidi"/>
                <w:bCs/>
              </w:rPr>
            </w:pPr>
            <w:bookmarkStart w:id="5" w:name="_Hlk514931987"/>
            <w:r w:rsidRPr="002C57E4">
              <w:rPr>
                <w:rFonts w:asciiTheme="majorBidi" w:hAnsiTheme="majorBidi" w:cstheme="majorBidi"/>
                <w:bCs/>
              </w:rPr>
              <w:t>20</w:t>
            </w:r>
            <w:r w:rsidR="00714081">
              <w:rPr>
                <w:rFonts w:asciiTheme="majorBidi" w:hAnsiTheme="majorBidi" w:cstheme="majorBidi"/>
                <w:bCs/>
              </w:rPr>
              <w:t>23</w:t>
            </w:r>
            <w:r w:rsidRPr="002C57E4">
              <w:rPr>
                <w:rFonts w:asciiTheme="majorBidi" w:hAnsiTheme="majorBidi" w:cstheme="majorBidi"/>
                <w:bCs/>
              </w:rPr>
              <w:t xml:space="preserve"> Census of Medical Examiner and Coroner</w:t>
            </w:r>
            <w:r w:rsidRPr="002C57E4" w:rsidR="00103A29">
              <w:rPr>
                <w:rFonts w:asciiTheme="majorBidi" w:hAnsiTheme="majorBidi" w:cstheme="majorBidi"/>
                <w:bCs/>
              </w:rPr>
              <w:t xml:space="preserve"> </w:t>
            </w:r>
            <w:r w:rsidR="00103A29">
              <w:rPr>
                <w:rFonts w:asciiTheme="majorBidi" w:hAnsiTheme="majorBidi" w:cstheme="majorBidi"/>
                <w:bCs/>
              </w:rPr>
              <w:t>Offices</w:t>
            </w:r>
            <w:r w:rsidRPr="002C57E4">
              <w:rPr>
                <w:rFonts w:asciiTheme="majorBidi" w:hAnsiTheme="majorBidi" w:cstheme="majorBidi"/>
                <w:bCs/>
              </w:rPr>
              <w:t xml:space="preserve"> Cognitive Testing </w:t>
            </w:r>
            <w:r w:rsidR="00DF7F01">
              <w:rPr>
                <w:rFonts w:asciiTheme="majorBidi" w:hAnsiTheme="majorBidi" w:cstheme="majorBidi"/>
                <w:bCs/>
              </w:rPr>
              <w:t>Recruitment Materials</w:t>
            </w:r>
            <w:bookmarkEnd w:id="5"/>
          </w:p>
        </w:tc>
      </w:tr>
      <w:tr w14:paraId="7E43A5CF" w14:textId="77777777" w:rsidTr="002C57E4">
        <w:tblPrEx>
          <w:tblW w:w="0" w:type="auto"/>
          <w:tblLook w:val="04A0"/>
        </w:tblPrEx>
        <w:tc>
          <w:tcPr>
            <w:tcW w:w="1705" w:type="dxa"/>
          </w:tcPr>
          <w:p w:rsidR="005E2E2A" w:rsidRPr="002C57E4" w:rsidP="00B00038" w14:paraId="40267948" w14:textId="28BFA0CB">
            <w:pPr>
              <w:spacing w:after="240"/>
              <w:contextualSpacing/>
              <w:rPr>
                <w:rFonts w:asciiTheme="majorBidi" w:hAnsiTheme="majorBidi" w:cstheme="majorBidi"/>
                <w:bCs/>
              </w:rPr>
            </w:pPr>
            <w:r w:rsidRPr="002C57E4">
              <w:rPr>
                <w:rFonts w:asciiTheme="majorBidi" w:hAnsiTheme="majorBidi" w:cstheme="majorBidi"/>
                <w:bCs/>
              </w:rPr>
              <w:t xml:space="preserve">Appendix </w:t>
            </w:r>
            <w:r w:rsidR="00AC2959">
              <w:rPr>
                <w:rFonts w:asciiTheme="majorBidi" w:hAnsiTheme="majorBidi" w:cstheme="majorBidi"/>
                <w:bCs/>
              </w:rPr>
              <w:t>C</w:t>
            </w:r>
            <w:r w:rsidRPr="002C57E4">
              <w:rPr>
                <w:rFonts w:asciiTheme="majorBidi" w:hAnsiTheme="majorBidi" w:cstheme="majorBidi"/>
                <w:bCs/>
              </w:rPr>
              <w:t>:</w:t>
            </w:r>
          </w:p>
        </w:tc>
        <w:tc>
          <w:tcPr>
            <w:tcW w:w="7645" w:type="dxa"/>
          </w:tcPr>
          <w:p w:rsidR="005E2E2A" w:rsidRPr="002C57E4" w:rsidP="00B00038" w14:paraId="1F078345" w14:textId="14599FC9">
            <w:pPr>
              <w:spacing w:after="240"/>
              <w:contextualSpacing/>
              <w:rPr>
                <w:rFonts w:asciiTheme="majorBidi" w:hAnsiTheme="majorBidi" w:cstheme="majorBidi"/>
                <w:bCs/>
              </w:rPr>
            </w:pPr>
            <w:bookmarkStart w:id="6" w:name="_Hlk514932324"/>
            <w:r w:rsidRPr="002C57E4">
              <w:rPr>
                <w:rFonts w:asciiTheme="majorBidi" w:hAnsiTheme="majorBidi" w:cstheme="majorBidi"/>
                <w:bCs/>
              </w:rPr>
              <w:t>20</w:t>
            </w:r>
            <w:r w:rsidR="00714081">
              <w:rPr>
                <w:rFonts w:asciiTheme="majorBidi" w:hAnsiTheme="majorBidi" w:cstheme="majorBidi"/>
                <w:bCs/>
              </w:rPr>
              <w:t>23</w:t>
            </w:r>
            <w:r w:rsidRPr="002C57E4">
              <w:rPr>
                <w:rFonts w:asciiTheme="majorBidi" w:hAnsiTheme="majorBidi" w:cstheme="majorBidi"/>
                <w:bCs/>
              </w:rPr>
              <w:t xml:space="preserve"> Census of Medical Examiner and Coroner</w:t>
            </w:r>
            <w:r w:rsidRPr="002C57E4" w:rsidR="00103A29">
              <w:rPr>
                <w:rFonts w:asciiTheme="majorBidi" w:hAnsiTheme="majorBidi" w:cstheme="majorBidi"/>
                <w:bCs/>
              </w:rPr>
              <w:t xml:space="preserve"> </w:t>
            </w:r>
            <w:r w:rsidR="00103A29">
              <w:rPr>
                <w:rFonts w:asciiTheme="majorBidi" w:hAnsiTheme="majorBidi" w:cstheme="majorBidi"/>
                <w:bCs/>
              </w:rPr>
              <w:t>Offices</w:t>
            </w:r>
            <w:r w:rsidRPr="002C57E4">
              <w:rPr>
                <w:rFonts w:asciiTheme="majorBidi" w:hAnsiTheme="majorBidi" w:cstheme="majorBidi"/>
                <w:bCs/>
              </w:rPr>
              <w:t xml:space="preserve"> Cognitive Testing Informed Consent</w:t>
            </w:r>
            <w:bookmarkEnd w:id="6"/>
          </w:p>
        </w:tc>
      </w:tr>
      <w:tr w14:paraId="5376204A" w14:textId="77777777" w:rsidTr="002C57E4">
        <w:tblPrEx>
          <w:tblW w:w="0" w:type="auto"/>
          <w:tblLook w:val="04A0"/>
        </w:tblPrEx>
        <w:tc>
          <w:tcPr>
            <w:tcW w:w="1705" w:type="dxa"/>
          </w:tcPr>
          <w:p w:rsidR="00236956" w:rsidRPr="002C57E4" w:rsidP="00236956" w14:paraId="22B2B487" w14:textId="3BEAE2EF">
            <w:pPr>
              <w:spacing w:after="240"/>
              <w:contextualSpacing/>
              <w:rPr>
                <w:rFonts w:asciiTheme="majorBidi" w:hAnsiTheme="majorBidi" w:cstheme="majorBidi"/>
                <w:bCs/>
              </w:rPr>
            </w:pPr>
            <w:bookmarkStart w:id="7" w:name="_Hlk522724515"/>
            <w:r>
              <w:rPr>
                <w:rFonts w:asciiTheme="majorBidi" w:hAnsiTheme="majorBidi" w:cstheme="majorBidi"/>
                <w:bCs/>
              </w:rPr>
              <w:t>Appendix D:</w:t>
            </w:r>
          </w:p>
        </w:tc>
        <w:tc>
          <w:tcPr>
            <w:tcW w:w="7645" w:type="dxa"/>
          </w:tcPr>
          <w:p w:rsidR="00236956" w:rsidRPr="002C57E4" w:rsidP="00236956" w14:paraId="3CC45824" w14:textId="1A2294E5">
            <w:pPr>
              <w:spacing w:after="240"/>
              <w:contextualSpacing/>
              <w:rPr>
                <w:rFonts w:asciiTheme="majorBidi" w:hAnsiTheme="majorBidi" w:cstheme="majorBidi"/>
                <w:bCs/>
              </w:rPr>
            </w:pPr>
            <w:r>
              <w:rPr>
                <w:rFonts w:asciiTheme="majorBidi" w:hAnsiTheme="majorBidi" w:cstheme="majorBidi"/>
                <w:bCs/>
              </w:rPr>
              <w:t>20</w:t>
            </w:r>
            <w:r w:rsidR="00714081">
              <w:rPr>
                <w:rFonts w:asciiTheme="majorBidi" w:hAnsiTheme="majorBidi" w:cstheme="majorBidi"/>
                <w:bCs/>
              </w:rPr>
              <w:t>23</w:t>
            </w:r>
            <w:r>
              <w:rPr>
                <w:rFonts w:asciiTheme="majorBidi" w:hAnsiTheme="majorBidi" w:cstheme="majorBidi"/>
                <w:bCs/>
              </w:rPr>
              <w:t xml:space="preserve"> </w:t>
            </w:r>
            <w:r w:rsidRPr="002C57E4">
              <w:rPr>
                <w:rFonts w:asciiTheme="majorBidi" w:hAnsiTheme="majorBidi" w:cstheme="majorBidi"/>
                <w:bCs/>
              </w:rPr>
              <w:t>Census of Medical Examiner and Coroner</w:t>
            </w:r>
            <w:r>
              <w:rPr>
                <w:rFonts w:asciiTheme="majorBidi" w:hAnsiTheme="majorBidi" w:cstheme="majorBidi"/>
                <w:bCs/>
              </w:rPr>
              <w:t xml:space="preserve"> Offices Instrument</w:t>
            </w:r>
          </w:p>
        </w:tc>
      </w:tr>
      <w:bookmarkEnd w:id="7"/>
      <w:tr w14:paraId="0945B6BF" w14:textId="77777777" w:rsidTr="004B55A4">
        <w:tblPrEx>
          <w:tblW w:w="0" w:type="auto"/>
          <w:tblLook w:val="04A0"/>
        </w:tblPrEx>
        <w:trPr>
          <w:trHeight w:val="432"/>
        </w:trPr>
        <w:tc>
          <w:tcPr>
            <w:tcW w:w="1705" w:type="dxa"/>
          </w:tcPr>
          <w:p w:rsidR="005E2E2A" w:rsidRPr="002C57E4" w:rsidP="00236956" w14:paraId="043CFBCD" w14:textId="33FF0A0F">
            <w:pPr>
              <w:spacing w:after="240"/>
              <w:contextualSpacing/>
              <w:rPr>
                <w:rFonts w:asciiTheme="majorBidi" w:hAnsiTheme="majorBidi" w:cstheme="majorBidi"/>
                <w:bCs/>
              </w:rPr>
            </w:pPr>
            <w:r w:rsidRPr="002C57E4">
              <w:rPr>
                <w:rFonts w:asciiTheme="majorBidi" w:hAnsiTheme="majorBidi" w:cstheme="majorBidi"/>
                <w:bCs/>
              </w:rPr>
              <w:t xml:space="preserve">Appendix </w:t>
            </w:r>
            <w:r w:rsidR="00236956">
              <w:rPr>
                <w:rFonts w:asciiTheme="majorBidi" w:hAnsiTheme="majorBidi" w:cstheme="majorBidi"/>
                <w:bCs/>
              </w:rPr>
              <w:t>E</w:t>
            </w:r>
            <w:r w:rsidRPr="002C57E4">
              <w:rPr>
                <w:rFonts w:asciiTheme="majorBidi" w:hAnsiTheme="majorBidi" w:cstheme="majorBidi"/>
                <w:bCs/>
              </w:rPr>
              <w:t>:</w:t>
            </w:r>
          </w:p>
        </w:tc>
        <w:tc>
          <w:tcPr>
            <w:tcW w:w="7645" w:type="dxa"/>
          </w:tcPr>
          <w:p w:rsidR="005E2E2A" w:rsidRPr="002C57E4" w:rsidP="002C57E4" w14:paraId="329495DB" w14:textId="5B1872C1">
            <w:pPr>
              <w:spacing w:after="240"/>
              <w:contextualSpacing/>
              <w:rPr>
                <w:rFonts w:asciiTheme="majorBidi" w:hAnsiTheme="majorBidi" w:cstheme="majorBidi"/>
                <w:bCs/>
              </w:rPr>
            </w:pPr>
            <w:bookmarkStart w:id="8" w:name="_Hlk514932606"/>
            <w:r w:rsidRPr="002C57E4">
              <w:rPr>
                <w:rFonts w:asciiTheme="majorBidi" w:hAnsiTheme="majorBidi" w:cstheme="majorBidi"/>
                <w:bCs/>
              </w:rPr>
              <w:t>20</w:t>
            </w:r>
            <w:r w:rsidR="00714081">
              <w:rPr>
                <w:rFonts w:asciiTheme="majorBidi" w:hAnsiTheme="majorBidi" w:cstheme="majorBidi"/>
                <w:bCs/>
              </w:rPr>
              <w:t>23</w:t>
            </w:r>
            <w:r w:rsidRPr="002C57E4">
              <w:rPr>
                <w:rFonts w:asciiTheme="majorBidi" w:hAnsiTheme="majorBidi" w:cstheme="majorBidi"/>
                <w:bCs/>
              </w:rPr>
              <w:t xml:space="preserve"> Census of Medical Examiner and </w:t>
            </w:r>
            <w:r w:rsidRPr="00FC558B" w:rsidR="00FC558B">
              <w:rPr>
                <w:rFonts w:asciiTheme="majorBidi" w:hAnsiTheme="majorBidi" w:cstheme="majorBidi"/>
                <w:bCs/>
              </w:rPr>
              <w:t>Coroner Offices</w:t>
            </w:r>
            <w:r w:rsidRPr="002C57E4">
              <w:rPr>
                <w:rFonts w:asciiTheme="majorBidi" w:hAnsiTheme="majorBidi" w:cstheme="majorBidi"/>
                <w:bCs/>
              </w:rPr>
              <w:t xml:space="preserve"> Cognitive Interviewing Protocol</w:t>
            </w:r>
            <w:bookmarkEnd w:id="8"/>
            <w:r w:rsidRPr="002C57E4">
              <w:rPr>
                <w:rFonts w:asciiTheme="majorBidi" w:hAnsiTheme="majorBidi" w:cstheme="majorBidi"/>
                <w:bCs/>
              </w:rPr>
              <w:t xml:space="preserve"> </w:t>
            </w:r>
          </w:p>
        </w:tc>
      </w:tr>
      <w:tr w14:paraId="6D62F00E" w14:textId="77777777" w:rsidTr="004A4874">
        <w:tblPrEx>
          <w:tblW w:w="0" w:type="auto"/>
          <w:tblLook w:val="04A0"/>
        </w:tblPrEx>
        <w:trPr>
          <w:trHeight w:val="432"/>
        </w:trPr>
        <w:tc>
          <w:tcPr>
            <w:tcW w:w="1705" w:type="dxa"/>
          </w:tcPr>
          <w:p w:rsidR="00C03C13" w:rsidP="009356D9" w14:paraId="54CA1697" w14:textId="0947BB2E">
            <w:pPr>
              <w:contextualSpacing/>
              <w:rPr>
                <w:rFonts w:asciiTheme="majorBidi" w:hAnsiTheme="majorBidi" w:cstheme="majorBidi"/>
                <w:bCs/>
              </w:rPr>
            </w:pPr>
            <w:bookmarkStart w:id="9" w:name="_Hlk141163384"/>
            <w:r>
              <w:rPr>
                <w:rFonts w:asciiTheme="majorBidi" w:hAnsiTheme="majorBidi" w:cstheme="majorBidi"/>
                <w:bCs/>
              </w:rPr>
              <w:t xml:space="preserve">Appendix </w:t>
            </w:r>
            <w:r w:rsidR="00866AEE">
              <w:rPr>
                <w:rFonts w:asciiTheme="majorBidi" w:hAnsiTheme="majorBidi" w:cstheme="majorBidi"/>
                <w:bCs/>
              </w:rPr>
              <w:t>F</w:t>
            </w:r>
            <w:r>
              <w:rPr>
                <w:rFonts w:asciiTheme="majorBidi" w:hAnsiTheme="majorBidi" w:cstheme="majorBidi"/>
                <w:bCs/>
              </w:rPr>
              <w:t>:</w:t>
            </w:r>
          </w:p>
        </w:tc>
        <w:tc>
          <w:tcPr>
            <w:tcW w:w="7645" w:type="dxa"/>
          </w:tcPr>
          <w:p w:rsidR="00C03C13" w:rsidRPr="002C57E4" w:rsidP="002F46C1" w14:paraId="67D18EDF" w14:textId="35528E4C">
            <w:pPr>
              <w:rPr>
                <w:rFonts w:asciiTheme="majorBidi" w:hAnsiTheme="majorBidi" w:cstheme="majorBidi"/>
                <w:bCs/>
              </w:rPr>
            </w:pPr>
            <w:r w:rsidRPr="002F46C1">
              <w:rPr>
                <w:rFonts w:asciiTheme="majorBidi" w:hAnsiTheme="majorBidi" w:cstheme="majorBidi"/>
              </w:rPr>
              <w:t>BJS’s 20</w:t>
            </w:r>
            <w:r w:rsidR="00714081">
              <w:rPr>
                <w:rFonts w:asciiTheme="majorBidi" w:hAnsiTheme="majorBidi" w:cstheme="majorBidi"/>
              </w:rPr>
              <w:t>23</w:t>
            </w:r>
            <w:r w:rsidRPr="002F46C1">
              <w:rPr>
                <w:rFonts w:asciiTheme="majorBidi" w:hAnsiTheme="majorBidi" w:cstheme="majorBidi"/>
              </w:rPr>
              <w:t xml:space="preserve"> Census of Medical Examiner and Coroner Offices Goals Showcard</w:t>
            </w:r>
          </w:p>
        </w:tc>
      </w:tr>
      <w:bookmarkEnd w:id="9"/>
      <w:tr w14:paraId="048E6B19" w14:textId="77777777" w:rsidTr="004A4874">
        <w:tblPrEx>
          <w:tblW w:w="0" w:type="auto"/>
          <w:tblLook w:val="04A0"/>
        </w:tblPrEx>
        <w:trPr>
          <w:trHeight w:val="432"/>
        </w:trPr>
        <w:tc>
          <w:tcPr>
            <w:tcW w:w="1705" w:type="dxa"/>
          </w:tcPr>
          <w:p w:rsidR="009356D9" w:rsidP="009356D9" w14:paraId="69497384" w14:textId="334B8A11">
            <w:pPr>
              <w:contextualSpacing/>
              <w:rPr>
                <w:rFonts w:asciiTheme="majorBidi" w:hAnsiTheme="majorBidi" w:cstheme="majorBidi"/>
                <w:bCs/>
              </w:rPr>
            </w:pPr>
            <w:r>
              <w:rPr>
                <w:rFonts w:asciiTheme="majorBidi" w:hAnsiTheme="majorBidi" w:cstheme="majorBidi"/>
                <w:bCs/>
              </w:rPr>
              <w:t>Appendix G:</w:t>
            </w:r>
          </w:p>
        </w:tc>
        <w:tc>
          <w:tcPr>
            <w:tcW w:w="7645" w:type="dxa"/>
          </w:tcPr>
          <w:p w:rsidR="009356D9" w:rsidP="009356D9" w14:paraId="41E18A96" w14:textId="5E5A7122">
            <w:pPr>
              <w:rPr>
                <w:rFonts w:asciiTheme="majorBidi" w:hAnsiTheme="majorBidi" w:cstheme="majorBidi"/>
                <w:bCs/>
              </w:rPr>
            </w:pPr>
            <w:r>
              <w:rPr>
                <w:rFonts w:asciiTheme="majorBidi" w:hAnsiTheme="majorBidi" w:cstheme="majorBidi"/>
                <w:bCs/>
              </w:rPr>
              <w:t>IRB Submission Confirmation</w:t>
            </w:r>
          </w:p>
        </w:tc>
      </w:tr>
      <w:tr w14:paraId="2AEC1E9C" w14:textId="77777777" w:rsidTr="004A4874">
        <w:tblPrEx>
          <w:tblW w:w="0" w:type="auto"/>
          <w:tblLook w:val="04A0"/>
        </w:tblPrEx>
        <w:trPr>
          <w:trHeight w:val="432"/>
        </w:trPr>
        <w:tc>
          <w:tcPr>
            <w:tcW w:w="1705" w:type="dxa"/>
          </w:tcPr>
          <w:p w:rsidR="00D77DF1" w:rsidP="009356D9" w14:paraId="268702DB" w14:textId="499ADEB2">
            <w:pPr>
              <w:contextualSpacing/>
              <w:rPr>
                <w:rFonts w:asciiTheme="majorBidi" w:hAnsiTheme="majorBidi" w:cstheme="majorBidi"/>
                <w:bCs/>
              </w:rPr>
            </w:pPr>
            <w:r>
              <w:rPr>
                <w:rFonts w:asciiTheme="majorBidi" w:hAnsiTheme="majorBidi" w:cstheme="majorBidi"/>
                <w:bCs/>
              </w:rPr>
              <w:t>Appendix H:</w:t>
            </w:r>
          </w:p>
        </w:tc>
        <w:tc>
          <w:tcPr>
            <w:tcW w:w="7645" w:type="dxa"/>
          </w:tcPr>
          <w:p w:rsidR="00D77DF1" w:rsidP="009356D9" w14:paraId="24855A76" w14:textId="13AAAC96">
            <w:pPr>
              <w:rPr>
                <w:rFonts w:asciiTheme="majorBidi" w:hAnsiTheme="majorBidi" w:cstheme="majorBidi"/>
                <w:bCs/>
              </w:rPr>
            </w:pPr>
            <w:r>
              <w:rPr>
                <w:rFonts w:asciiTheme="majorBidi" w:hAnsiTheme="majorBidi" w:cstheme="majorBidi"/>
                <w:bCs/>
              </w:rPr>
              <w:t xml:space="preserve">2023 Census of Medical Examiner and Coroner Offices Appendix </w:t>
            </w:r>
            <w:r w:rsidR="00AD6FB5">
              <w:rPr>
                <w:rFonts w:asciiTheme="majorBidi" w:hAnsiTheme="majorBidi" w:cstheme="majorBidi"/>
                <w:bCs/>
              </w:rPr>
              <w:t xml:space="preserve">Dropped </w:t>
            </w:r>
            <w:r>
              <w:rPr>
                <w:rFonts w:asciiTheme="majorBidi" w:hAnsiTheme="majorBidi" w:cstheme="majorBidi"/>
                <w:bCs/>
              </w:rPr>
              <w:t>Questions</w:t>
            </w:r>
          </w:p>
        </w:tc>
      </w:tr>
    </w:tbl>
    <w:p w:rsidR="005E2E2A" w:rsidRPr="00690BED" w:rsidP="009A0B10" w14:paraId="0768CA3C" w14:textId="732BA737">
      <w:pPr>
        <w:spacing w:after="240"/>
        <w:contextualSpacing/>
        <w:rPr>
          <w:rFonts w:asciiTheme="majorBidi" w:hAnsiTheme="majorBidi" w:cstheme="majorBidi"/>
          <w:b/>
        </w:rPr>
      </w:pPr>
    </w:p>
    <w:sectPr w:rsidSect="00E708EC">
      <w:footerReference w:type="default" r:id="rId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67016116"/>
      <w:docPartObj>
        <w:docPartGallery w:val="Page Numbers (Bottom of Page)"/>
        <w:docPartUnique/>
      </w:docPartObj>
    </w:sdtPr>
    <w:sdtEndPr>
      <w:rPr>
        <w:noProof/>
      </w:rPr>
    </w:sdtEndPr>
    <w:sdtContent>
      <w:p w:rsidR="0082731A" w14:paraId="24B8694A" w14:textId="76E1C3DC">
        <w:pPr>
          <w:pStyle w:val="Footer"/>
          <w:jc w:val="right"/>
        </w:pPr>
        <w:r>
          <w:fldChar w:fldCharType="begin"/>
        </w:r>
        <w:r>
          <w:instrText xml:space="preserve"> PAGE   \* MERGEFORMAT </w:instrText>
        </w:r>
        <w:r>
          <w:fldChar w:fldCharType="separate"/>
        </w:r>
        <w:r w:rsidR="000306D0">
          <w:rPr>
            <w:noProof/>
          </w:rPr>
          <w:t>7</w:t>
        </w:r>
        <w:r>
          <w:rPr>
            <w:noProof/>
          </w:rPr>
          <w:fldChar w:fldCharType="end"/>
        </w:r>
      </w:p>
    </w:sdtContent>
  </w:sdt>
  <w:p w:rsidR="0082731A" w14:paraId="51ABFCB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718FD" w:rsidP="00ED6ADB" w14:paraId="57CB19C5" w14:textId="77777777">
      <w:r>
        <w:separator/>
      </w:r>
    </w:p>
  </w:footnote>
  <w:footnote w:type="continuationSeparator" w:id="1">
    <w:p w:rsidR="00D718FD" w:rsidP="00ED6ADB" w14:paraId="4A6F8C7D" w14:textId="77777777">
      <w:r>
        <w:continuationSeparator/>
      </w:r>
    </w:p>
  </w:footnote>
  <w:footnote w:type="continuationNotice" w:id="2">
    <w:p w:rsidR="00D718FD" w14:paraId="64BE4002" w14:textId="77777777"/>
  </w:footnote>
  <w:footnote w:id="3">
    <w:p w:rsidR="0082731A" w14:paraId="1F4202DA" w14:textId="7E045CDA">
      <w:pPr>
        <w:pStyle w:val="FootnoteText"/>
      </w:pPr>
      <w:r>
        <w:rPr>
          <w:rStyle w:val="FootnoteReference"/>
        </w:rPr>
        <w:footnoteRef/>
      </w:r>
      <w:r>
        <w:t xml:space="preserve"> </w:t>
      </w:r>
      <w:r w:rsidRPr="006C53FB">
        <w:t xml:space="preserve">Hickman, M. J., Hughes, K. A., Strom, K. J., &amp; Ropero-Miller, J. D. (2007). </w:t>
      </w:r>
      <w:r w:rsidRPr="00AB24CB">
        <w:rPr>
          <w:i/>
          <w:iCs/>
        </w:rPr>
        <w:t>Medical examiners and coroners’ offices, 2004</w:t>
      </w:r>
      <w:r w:rsidRPr="006C53FB">
        <w:t>. Bureau of Justice Statistics, Office of Justice Programs, U.S. Department of Justice, Washington, DC.</w:t>
      </w:r>
    </w:p>
    <w:p w:rsidR="009431FD" w:rsidP="00D544C6" w14:paraId="65D50617" w14:textId="77777777">
      <w:pPr>
        <w:rPr>
          <w:sz w:val="20"/>
          <w:szCs w:val="20"/>
        </w:rPr>
      </w:pPr>
    </w:p>
    <w:p w:rsidR="00D544C6" w:rsidP="00D544C6" w14:paraId="574860FD" w14:textId="051A87B6">
      <w:r>
        <w:rPr>
          <w:sz w:val="20"/>
          <w:szCs w:val="20"/>
        </w:rPr>
        <w:t xml:space="preserve">Brooks, C. (2021, November). Medical Examiner and Coroner Offices, 2018 (NCJ 302051). Washington, DC: Bureau of Justice Statistics, Office of Justice Programs, U.S. Department of Justice. </w:t>
      </w:r>
      <w:hyperlink r:id="rId1" w:history="1">
        <w:r w:rsidRPr="00C61884">
          <w:rPr>
            <w:rStyle w:val="Hyperlink"/>
            <w:sz w:val="20"/>
            <w:szCs w:val="20"/>
          </w:rPr>
          <w:t>https://bjs.ojp.gov/content/pub/pdf/meco18.pdf</w:t>
        </w:r>
      </w:hyperlink>
      <w:r>
        <w:rPr>
          <w:sz w:val="20"/>
          <w:szCs w:val="20"/>
        </w:rPr>
        <w:t xml:space="preserve"> </w:t>
      </w:r>
    </w:p>
    <w:p w:rsidR="005A2ED8" w14:paraId="5157E22A" w14:textId="77777777">
      <w:pPr>
        <w:pStyle w:val="FootnoteText"/>
      </w:pPr>
    </w:p>
  </w:footnote>
  <w:footnote w:id="4">
    <w:p w:rsidR="00901F87" w14:paraId="37AEAD95" w14:textId="46BE0BE8">
      <w:pPr>
        <w:pStyle w:val="FootnoteText"/>
      </w:pPr>
      <w:r>
        <w:rPr>
          <w:rStyle w:val="FootnoteReference"/>
        </w:rPr>
        <w:footnoteRef/>
      </w:r>
      <w:r>
        <w:t xml:space="preserve"> </w:t>
      </w:r>
      <w:r w:rsidRPr="00686869">
        <w:t xml:space="preserve">National Public Safety Information Bureau. Directories and data for public safety professionals. </w:t>
      </w:r>
      <w:hyperlink r:id="rId2" w:history="1">
        <w:r w:rsidRPr="00901F87">
          <w:rPr>
            <w:rStyle w:val="cf01"/>
            <w:rFonts w:ascii="Times New Roman" w:hAnsi="Times New Roman" w:cs="Times New Roman"/>
            <w:color w:val="0000FF"/>
            <w:u w:val="single"/>
          </w:rPr>
          <w:t>https://www.safetysource.com/index.cfm</w:t>
        </w:r>
      </w:hyperlink>
    </w:p>
  </w:footnote>
  <w:footnote w:id="5">
    <w:p w:rsidR="00A82293" w14:paraId="0FAA93A4" w14:textId="6A01CAAE">
      <w:pPr>
        <w:pStyle w:val="FootnoteText"/>
      </w:pPr>
      <w:r>
        <w:rPr>
          <w:rStyle w:val="FootnoteReference"/>
        </w:rPr>
        <w:footnoteRef/>
      </w:r>
      <w:r>
        <w:t xml:space="preserve"> Justices of the Peace (JPs) have been excluded from previous CMEC data collections because in most states they are not responsible for medicolegal death investigation (MDI) functions. This CMEC intends to assess the viability of including JPs in those states where they do have MDI functions.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B083D"/>
    <w:multiLevelType w:val="hybridMultilevel"/>
    <w:tmpl w:val="F6EA30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76343F"/>
    <w:multiLevelType w:val="hybridMultilevel"/>
    <w:tmpl w:val="48FED0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4C263B4"/>
    <w:multiLevelType w:val="multilevel"/>
    <w:tmpl w:val="E2A8DD8E"/>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3">
    <w:nsid w:val="29E043D9"/>
    <w:multiLevelType w:val="hybridMultilevel"/>
    <w:tmpl w:val="552E532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4">
    <w:nsid w:val="315D0AC4"/>
    <w:multiLevelType w:val="multilevel"/>
    <w:tmpl w:val="58DEA696"/>
    <w:lvl w:ilvl="0">
      <w:start w:val="1"/>
      <w:numFmt w:val="bullet"/>
      <w:pStyle w:val="table-bulletind"/>
      <w:lvlText w:val="■"/>
      <w:lvlJc w:val="left"/>
      <w:pPr>
        <w:ind w:left="432" w:hanging="216"/>
      </w:pPr>
      <w:rPr>
        <w:rFonts w:ascii="Arial" w:hAnsi="Arial" w:hint="default"/>
        <w:sz w:val="14"/>
      </w:rPr>
    </w:lvl>
    <w:lvl w:ilvl="1">
      <w:start w:val="1"/>
      <w:numFmt w:val="bullet"/>
      <w:pStyle w:val="table-bullet2nd"/>
      <w:lvlText w:val="–"/>
      <w:lvlJc w:val="left"/>
      <w:pPr>
        <w:ind w:left="648" w:hanging="216"/>
      </w:pPr>
      <w:rPr>
        <w:rFonts w:ascii="Times New Roman" w:hAnsi="Times New Roman" w:cs="Times New Roman"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nsid w:val="35333116"/>
    <w:multiLevelType w:val="hybridMultilevel"/>
    <w:tmpl w:val="B2AE74A8"/>
    <w:lvl w:ilvl="0">
      <w:start w:val="1"/>
      <w:numFmt w:val="decimal"/>
      <w:pStyle w:val="Reference"/>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E405B09"/>
    <w:multiLevelType w:val="hybridMultilevel"/>
    <w:tmpl w:val="5EC64D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1B60264"/>
    <w:multiLevelType w:val="hybridMultilevel"/>
    <w:tmpl w:val="7C9E3954"/>
    <w:lvl w:ilvl="0">
      <w:start w:val="1"/>
      <w:numFmt w:val="decimal"/>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8">
    <w:nsid w:val="545D2DA6"/>
    <w:multiLevelType w:val="hybridMultilevel"/>
    <w:tmpl w:val="C7E0699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54B86A31"/>
    <w:multiLevelType w:val="hybridMultilevel"/>
    <w:tmpl w:val="DD70B80C"/>
    <w:lvl w:ilvl="0">
      <w:start w:val="5"/>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75209EB"/>
    <w:multiLevelType w:val="hybridMultilevel"/>
    <w:tmpl w:val="BBCE7B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BBF5D80"/>
    <w:multiLevelType w:val="hybridMultilevel"/>
    <w:tmpl w:val="910637FA"/>
    <w:lvl w:ilvl="0">
      <w:start w:val="0"/>
      <w:numFmt w:val="bullet"/>
      <w:lvlText w:val="-"/>
      <w:lvlJc w:val="left"/>
      <w:pPr>
        <w:ind w:left="720" w:hanging="360"/>
      </w:pPr>
      <w:rPr>
        <w:rFonts w:ascii="Calibri" w:hAnsi="Calibri" w:eastAsiaTheme="minorEastAsia"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0AA7708"/>
    <w:multiLevelType w:val="hybridMultilevel"/>
    <w:tmpl w:val="8EE6B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3">
    <w:nsid w:val="7EDF768F"/>
    <w:multiLevelType w:val="hybridMultilevel"/>
    <w:tmpl w:val="270C67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22035902">
    <w:abstractNumId w:val="12"/>
  </w:num>
  <w:num w:numId="2" w16cid:durableId="1903368235">
    <w:abstractNumId w:val="6"/>
  </w:num>
  <w:num w:numId="3" w16cid:durableId="1730838217">
    <w:abstractNumId w:val="8"/>
  </w:num>
  <w:num w:numId="4" w16cid:durableId="8249325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1230711">
    <w:abstractNumId w:val="0"/>
  </w:num>
  <w:num w:numId="6" w16cid:durableId="755126535">
    <w:abstractNumId w:val="11"/>
  </w:num>
  <w:num w:numId="7" w16cid:durableId="2129858557">
    <w:abstractNumId w:val="13"/>
  </w:num>
  <w:num w:numId="8" w16cid:durableId="2090761131">
    <w:abstractNumId w:val="1"/>
  </w:num>
  <w:num w:numId="9" w16cid:durableId="1111045090">
    <w:abstractNumId w:val="3"/>
  </w:num>
  <w:num w:numId="10" w16cid:durableId="663356858">
    <w:abstractNumId w:val="7"/>
  </w:num>
  <w:num w:numId="11" w16cid:durableId="833834037">
    <w:abstractNumId w:val="10"/>
  </w:num>
  <w:num w:numId="12" w16cid:durableId="515506375">
    <w:abstractNumId w:val="9"/>
  </w:num>
  <w:num w:numId="13" w16cid:durableId="658731429">
    <w:abstractNumId w:val="4"/>
  </w:num>
  <w:num w:numId="14" w16cid:durableId="1140195649">
    <w:abstractNumId w:val="5"/>
  </w:num>
  <w:num w:numId="15" w16cid:durableId="454645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69"/>
    <w:rsid w:val="0000308D"/>
    <w:rsid w:val="00014EA3"/>
    <w:rsid w:val="0001760F"/>
    <w:rsid w:val="00021BCC"/>
    <w:rsid w:val="0002247E"/>
    <w:rsid w:val="00023A45"/>
    <w:rsid w:val="000246ED"/>
    <w:rsid w:val="00024ED7"/>
    <w:rsid w:val="0002759A"/>
    <w:rsid w:val="000306D0"/>
    <w:rsid w:val="00032F3B"/>
    <w:rsid w:val="00033F75"/>
    <w:rsid w:val="00034136"/>
    <w:rsid w:val="00034DD7"/>
    <w:rsid w:val="000436F9"/>
    <w:rsid w:val="000472B6"/>
    <w:rsid w:val="0004799A"/>
    <w:rsid w:val="00057ECB"/>
    <w:rsid w:val="00061D91"/>
    <w:rsid w:val="0007208A"/>
    <w:rsid w:val="00077DE3"/>
    <w:rsid w:val="00082CC6"/>
    <w:rsid w:val="00083849"/>
    <w:rsid w:val="0008453C"/>
    <w:rsid w:val="00085156"/>
    <w:rsid w:val="000852B3"/>
    <w:rsid w:val="00085E9A"/>
    <w:rsid w:val="00090437"/>
    <w:rsid w:val="00092999"/>
    <w:rsid w:val="00092D3C"/>
    <w:rsid w:val="000951E0"/>
    <w:rsid w:val="000A223C"/>
    <w:rsid w:val="000A3160"/>
    <w:rsid w:val="000A4F77"/>
    <w:rsid w:val="000A7536"/>
    <w:rsid w:val="000B070B"/>
    <w:rsid w:val="000B14DA"/>
    <w:rsid w:val="000C5095"/>
    <w:rsid w:val="000C6D8E"/>
    <w:rsid w:val="000C6F05"/>
    <w:rsid w:val="000D2171"/>
    <w:rsid w:val="000F02FF"/>
    <w:rsid w:val="000F0EB0"/>
    <w:rsid w:val="000F4BBA"/>
    <w:rsid w:val="000F77E2"/>
    <w:rsid w:val="000F7E3E"/>
    <w:rsid w:val="00101715"/>
    <w:rsid w:val="00102E18"/>
    <w:rsid w:val="00103A29"/>
    <w:rsid w:val="0010771F"/>
    <w:rsid w:val="001077EB"/>
    <w:rsid w:val="001153DB"/>
    <w:rsid w:val="001210A7"/>
    <w:rsid w:val="001216D8"/>
    <w:rsid w:val="001331C2"/>
    <w:rsid w:val="001340D5"/>
    <w:rsid w:val="001365EC"/>
    <w:rsid w:val="001370B7"/>
    <w:rsid w:val="00141D24"/>
    <w:rsid w:val="00144972"/>
    <w:rsid w:val="00145EC0"/>
    <w:rsid w:val="0014704D"/>
    <w:rsid w:val="001475C2"/>
    <w:rsid w:val="00150310"/>
    <w:rsid w:val="00152EB0"/>
    <w:rsid w:val="0015700F"/>
    <w:rsid w:val="00161539"/>
    <w:rsid w:val="00165743"/>
    <w:rsid w:val="00172E56"/>
    <w:rsid w:val="00175A5C"/>
    <w:rsid w:val="00175F7E"/>
    <w:rsid w:val="001803A7"/>
    <w:rsid w:val="00183A38"/>
    <w:rsid w:val="00185738"/>
    <w:rsid w:val="00185DBC"/>
    <w:rsid w:val="00187AF8"/>
    <w:rsid w:val="00190992"/>
    <w:rsid w:val="00191631"/>
    <w:rsid w:val="001924FB"/>
    <w:rsid w:val="0019485B"/>
    <w:rsid w:val="00195AA2"/>
    <w:rsid w:val="00197403"/>
    <w:rsid w:val="0019740B"/>
    <w:rsid w:val="001A0626"/>
    <w:rsid w:val="001A2610"/>
    <w:rsid w:val="001A2D2F"/>
    <w:rsid w:val="001A7F26"/>
    <w:rsid w:val="001B166B"/>
    <w:rsid w:val="001D2EF4"/>
    <w:rsid w:val="001D4D89"/>
    <w:rsid w:val="001E2702"/>
    <w:rsid w:val="001E398C"/>
    <w:rsid w:val="001E645F"/>
    <w:rsid w:val="001E7CCE"/>
    <w:rsid w:val="001F13B9"/>
    <w:rsid w:val="001F485C"/>
    <w:rsid w:val="0020061D"/>
    <w:rsid w:val="00202B5B"/>
    <w:rsid w:val="00211CC7"/>
    <w:rsid w:val="00216A43"/>
    <w:rsid w:val="00230748"/>
    <w:rsid w:val="00232525"/>
    <w:rsid w:val="00236956"/>
    <w:rsid w:val="00240409"/>
    <w:rsid w:val="002477BB"/>
    <w:rsid w:val="00252CC2"/>
    <w:rsid w:val="0025329F"/>
    <w:rsid w:val="00253984"/>
    <w:rsid w:val="00256C69"/>
    <w:rsid w:val="002613AB"/>
    <w:rsid w:val="00265D83"/>
    <w:rsid w:val="00266B2D"/>
    <w:rsid w:val="00266CFF"/>
    <w:rsid w:val="002740D0"/>
    <w:rsid w:val="00275CAA"/>
    <w:rsid w:val="00283410"/>
    <w:rsid w:val="00283F95"/>
    <w:rsid w:val="00284043"/>
    <w:rsid w:val="00284690"/>
    <w:rsid w:val="00287A4E"/>
    <w:rsid w:val="00295933"/>
    <w:rsid w:val="00295C4D"/>
    <w:rsid w:val="00297D9E"/>
    <w:rsid w:val="002A5DAA"/>
    <w:rsid w:val="002B1F5B"/>
    <w:rsid w:val="002B3DE5"/>
    <w:rsid w:val="002B764E"/>
    <w:rsid w:val="002B7EDC"/>
    <w:rsid w:val="002C20A4"/>
    <w:rsid w:val="002C4331"/>
    <w:rsid w:val="002C57E4"/>
    <w:rsid w:val="002D305F"/>
    <w:rsid w:val="002E0FA9"/>
    <w:rsid w:val="002E154E"/>
    <w:rsid w:val="002E2DFB"/>
    <w:rsid w:val="002E31AC"/>
    <w:rsid w:val="002E34C2"/>
    <w:rsid w:val="002E453B"/>
    <w:rsid w:val="002E739A"/>
    <w:rsid w:val="002F31E6"/>
    <w:rsid w:val="002F46C1"/>
    <w:rsid w:val="002F71D0"/>
    <w:rsid w:val="002F7D16"/>
    <w:rsid w:val="00300831"/>
    <w:rsid w:val="00311BE5"/>
    <w:rsid w:val="0031622F"/>
    <w:rsid w:val="00317153"/>
    <w:rsid w:val="00321BFA"/>
    <w:rsid w:val="003229DB"/>
    <w:rsid w:val="0032434B"/>
    <w:rsid w:val="003258F7"/>
    <w:rsid w:val="003311CD"/>
    <w:rsid w:val="00331601"/>
    <w:rsid w:val="00331E72"/>
    <w:rsid w:val="0033591C"/>
    <w:rsid w:val="00346422"/>
    <w:rsid w:val="0034780D"/>
    <w:rsid w:val="003528EE"/>
    <w:rsid w:val="00357866"/>
    <w:rsid w:val="0036069C"/>
    <w:rsid w:val="00361BB2"/>
    <w:rsid w:val="00361F87"/>
    <w:rsid w:val="003659A1"/>
    <w:rsid w:val="00367583"/>
    <w:rsid w:val="0037272E"/>
    <w:rsid w:val="00382559"/>
    <w:rsid w:val="003825CD"/>
    <w:rsid w:val="00383F20"/>
    <w:rsid w:val="00386CC2"/>
    <w:rsid w:val="00390849"/>
    <w:rsid w:val="00392294"/>
    <w:rsid w:val="003936C9"/>
    <w:rsid w:val="00393D08"/>
    <w:rsid w:val="00395E28"/>
    <w:rsid w:val="003A3D09"/>
    <w:rsid w:val="003B0E81"/>
    <w:rsid w:val="003B226D"/>
    <w:rsid w:val="003B323E"/>
    <w:rsid w:val="003B7815"/>
    <w:rsid w:val="003C7FCE"/>
    <w:rsid w:val="003D0647"/>
    <w:rsid w:val="003D1CAE"/>
    <w:rsid w:val="003D35B5"/>
    <w:rsid w:val="003E17FA"/>
    <w:rsid w:val="003E211F"/>
    <w:rsid w:val="003F3957"/>
    <w:rsid w:val="003F4DC7"/>
    <w:rsid w:val="00401170"/>
    <w:rsid w:val="004013EF"/>
    <w:rsid w:val="00401BD8"/>
    <w:rsid w:val="004029CF"/>
    <w:rsid w:val="004053E3"/>
    <w:rsid w:val="00412E4D"/>
    <w:rsid w:val="004154B1"/>
    <w:rsid w:val="00415B52"/>
    <w:rsid w:val="0042049A"/>
    <w:rsid w:val="00421613"/>
    <w:rsid w:val="00422712"/>
    <w:rsid w:val="00422B58"/>
    <w:rsid w:val="00423D09"/>
    <w:rsid w:val="004249CF"/>
    <w:rsid w:val="00424FC3"/>
    <w:rsid w:val="0042517A"/>
    <w:rsid w:val="004273A0"/>
    <w:rsid w:val="00430415"/>
    <w:rsid w:val="0043087F"/>
    <w:rsid w:val="00430B45"/>
    <w:rsid w:val="00432181"/>
    <w:rsid w:val="00436114"/>
    <w:rsid w:val="00440905"/>
    <w:rsid w:val="00444637"/>
    <w:rsid w:val="00451470"/>
    <w:rsid w:val="00454751"/>
    <w:rsid w:val="00455856"/>
    <w:rsid w:val="004559F5"/>
    <w:rsid w:val="00457F24"/>
    <w:rsid w:val="004629C5"/>
    <w:rsid w:val="00463D54"/>
    <w:rsid w:val="00467EA1"/>
    <w:rsid w:val="00477A00"/>
    <w:rsid w:val="00483747"/>
    <w:rsid w:val="00483EA4"/>
    <w:rsid w:val="0049299E"/>
    <w:rsid w:val="00492ACC"/>
    <w:rsid w:val="0049325B"/>
    <w:rsid w:val="00496D49"/>
    <w:rsid w:val="004976F8"/>
    <w:rsid w:val="004A1172"/>
    <w:rsid w:val="004A1DD0"/>
    <w:rsid w:val="004A4874"/>
    <w:rsid w:val="004A5338"/>
    <w:rsid w:val="004B309D"/>
    <w:rsid w:val="004B55A4"/>
    <w:rsid w:val="004B6146"/>
    <w:rsid w:val="004C182E"/>
    <w:rsid w:val="004C1CA5"/>
    <w:rsid w:val="004C4F8F"/>
    <w:rsid w:val="004C6134"/>
    <w:rsid w:val="004D5BB8"/>
    <w:rsid w:val="004E0EC2"/>
    <w:rsid w:val="004E1E76"/>
    <w:rsid w:val="004E2F3E"/>
    <w:rsid w:val="004E4EAE"/>
    <w:rsid w:val="004F025B"/>
    <w:rsid w:val="004F0643"/>
    <w:rsid w:val="004F48DB"/>
    <w:rsid w:val="004F4EB0"/>
    <w:rsid w:val="004F4ED4"/>
    <w:rsid w:val="004F5ABF"/>
    <w:rsid w:val="004F5AFA"/>
    <w:rsid w:val="004F6AC9"/>
    <w:rsid w:val="00500793"/>
    <w:rsid w:val="00501ACD"/>
    <w:rsid w:val="00504065"/>
    <w:rsid w:val="005117C7"/>
    <w:rsid w:val="00514C6B"/>
    <w:rsid w:val="0052564A"/>
    <w:rsid w:val="00525B37"/>
    <w:rsid w:val="0053109A"/>
    <w:rsid w:val="00533D1B"/>
    <w:rsid w:val="005365EB"/>
    <w:rsid w:val="00536DB5"/>
    <w:rsid w:val="00536E82"/>
    <w:rsid w:val="00543629"/>
    <w:rsid w:val="005447AA"/>
    <w:rsid w:val="00545B04"/>
    <w:rsid w:val="0055104B"/>
    <w:rsid w:val="005579C9"/>
    <w:rsid w:val="00562776"/>
    <w:rsid w:val="0056371B"/>
    <w:rsid w:val="00563F43"/>
    <w:rsid w:val="005645E3"/>
    <w:rsid w:val="00564FAA"/>
    <w:rsid w:val="00565CD2"/>
    <w:rsid w:val="00580FB0"/>
    <w:rsid w:val="0058118C"/>
    <w:rsid w:val="00583A63"/>
    <w:rsid w:val="00584D59"/>
    <w:rsid w:val="00585812"/>
    <w:rsid w:val="00590636"/>
    <w:rsid w:val="00591285"/>
    <w:rsid w:val="00592A5E"/>
    <w:rsid w:val="00594EFD"/>
    <w:rsid w:val="005A2ED8"/>
    <w:rsid w:val="005A7A4D"/>
    <w:rsid w:val="005A7C9D"/>
    <w:rsid w:val="005B00DD"/>
    <w:rsid w:val="005B21EF"/>
    <w:rsid w:val="005B325C"/>
    <w:rsid w:val="005B37E8"/>
    <w:rsid w:val="005B47C9"/>
    <w:rsid w:val="005B506B"/>
    <w:rsid w:val="005C4387"/>
    <w:rsid w:val="005C7DF2"/>
    <w:rsid w:val="005E1487"/>
    <w:rsid w:val="005E2E2A"/>
    <w:rsid w:val="005E3C6A"/>
    <w:rsid w:val="005E55D7"/>
    <w:rsid w:val="00600083"/>
    <w:rsid w:val="00601A0B"/>
    <w:rsid w:val="00604719"/>
    <w:rsid w:val="0060611F"/>
    <w:rsid w:val="00610565"/>
    <w:rsid w:val="006112E2"/>
    <w:rsid w:val="0062166A"/>
    <w:rsid w:val="006226A2"/>
    <w:rsid w:val="00623463"/>
    <w:rsid w:val="00623841"/>
    <w:rsid w:val="00627CD7"/>
    <w:rsid w:val="00631355"/>
    <w:rsid w:val="006316B2"/>
    <w:rsid w:val="00635F94"/>
    <w:rsid w:val="00640DB1"/>
    <w:rsid w:val="0064439E"/>
    <w:rsid w:val="00644F03"/>
    <w:rsid w:val="0064635B"/>
    <w:rsid w:val="00647CBE"/>
    <w:rsid w:val="00650AE4"/>
    <w:rsid w:val="00653971"/>
    <w:rsid w:val="00660649"/>
    <w:rsid w:val="00663025"/>
    <w:rsid w:val="00672461"/>
    <w:rsid w:val="006734F3"/>
    <w:rsid w:val="0067550C"/>
    <w:rsid w:val="00676821"/>
    <w:rsid w:val="00680518"/>
    <w:rsid w:val="00682C19"/>
    <w:rsid w:val="0068309C"/>
    <w:rsid w:val="00684357"/>
    <w:rsid w:val="00685363"/>
    <w:rsid w:val="00685FCD"/>
    <w:rsid w:val="00686341"/>
    <w:rsid w:val="00686869"/>
    <w:rsid w:val="00690BED"/>
    <w:rsid w:val="00690D7A"/>
    <w:rsid w:val="0069218A"/>
    <w:rsid w:val="00692B25"/>
    <w:rsid w:val="00693B6D"/>
    <w:rsid w:val="00697195"/>
    <w:rsid w:val="006A0E35"/>
    <w:rsid w:val="006A6D12"/>
    <w:rsid w:val="006B6D3C"/>
    <w:rsid w:val="006C4B1C"/>
    <w:rsid w:val="006C53FB"/>
    <w:rsid w:val="006D0389"/>
    <w:rsid w:val="006D1ACE"/>
    <w:rsid w:val="006D29F1"/>
    <w:rsid w:val="006D4F34"/>
    <w:rsid w:val="006D5D3E"/>
    <w:rsid w:val="006D63DC"/>
    <w:rsid w:val="006D6CC0"/>
    <w:rsid w:val="006E0C5B"/>
    <w:rsid w:val="006E144A"/>
    <w:rsid w:val="006E1493"/>
    <w:rsid w:val="006E4A53"/>
    <w:rsid w:val="006F044D"/>
    <w:rsid w:val="00703396"/>
    <w:rsid w:val="0070572D"/>
    <w:rsid w:val="007112F7"/>
    <w:rsid w:val="0071264C"/>
    <w:rsid w:val="0071374C"/>
    <w:rsid w:val="00714081"/>
    <w:rsid w:val="0071644B"/>
    <w:rsid w:val="0071681B"/>
    <w:rsid w:val="007179B1"/>
    <w:rsid w:val="007202C0"/>
    <w:rsid w:val="007259ED"/>
    <w:rsid w:val="0072726C"/>
    <w:rsid w:val="007275C8"/>
    <w:rsid w:val="007343CC"/>
    <w:rsid w:val="00734465"/>
    <w:rsid w:val="00734BF1"/>
    <w:rsid w:val="007363D4"/>
    <w:rsid w:val="00737915"/>
    <w:rsid w:val="00737B8A"/>
    <w:rsid w:val="0074692D"/>
    <w:rsid w:val="0074788A"/>
    <w:rsid w:val="007544B0"/>
    <w:rsid w:val="0075687D"/>
    <w:rsid w:val="00757550"/>
    <w:rsid w:val="00764732"/>
    <w:rsid w:val="00765842"/>
    <w:rsid w:val="00767F64"/>
    <w:rsid w:val="00770509"/>
    <w:rsid w:val="00773C47"/>
    <w:rsid w:val="00777B44"/>
    <w:rsid w:val="007830B5"/>
    <w:rsid w:val="0078317D"/>
    <w:rsid w:val="00783A43"/>
    <w:rsid w:val="00786D10"/>
    <w:rsid w:val="00786E0F"/>
    <w:rsid w:val="0078769E"/>
    <w:rsid w:val="00787A0E"/>
    <w:rsid w:val="00787E31"/>
    <w:rsid w:val="007923F2"/>
    <w:rsid w:val="00792449"/>
    <w:rsid w:val="00792975"/>
    <w:rsid w:val="00792E95"/>
    <w:rsid w:val="007944BD"/>
    <w:rsid w:val="007A3426"/>
    <w:rsid w:val="007A510E"/>
    <w:rsid w:val="007A7C84"/>
    <w:rsid w:val="007B100A"/>
    <w:rsid w:val="007B110F"/>
    <w:rsid w:val="007B1ECF"/>
    <w:rsid w:val="007B31F2"/>
    <w:rsid w:val="007B55B8"/>
    <w:rsid w:val="007C027A"/>
    <w:rsid w:val="007C06B9"/>
    <w:rsid w:val="007C0D8C"/>
    <w:rsid w:val="007C2666"/>
    <w:rsid w:val="007C2680"/>
    <w:rsid w:val="007C2F37"/>
    <w:rsid w:val="007D261A"/>
    <w:rsid w:val="007D2F36"/>
    <w:rsid w:val="007D3D45"/>
    <w:rsid w:val="007E0EC6"/>
    <w:rsid w:val="007E4709"/>
    <w:rsid w:val="007E55B4"/>
    <w:rsid w:val="007F0748"/>
    <w:rsid w:val="007F09C0"/>
    <w:rsid w:val="007F0F61"/>
    <w:rsid w:val="007F2D39"/>
    <w:rsid w:val="007F589F"/>
    <w:rsid w:val="007F5CB8"/>
    <w:rsid w:val="007F6D7B"/>
    <w:rsid w:val="008044C3"/>
    <w:rsid w:val="008055B2"/>
    <w:rsid w:val="008073B3"/>
    <w:rsid w:val="0081125D"/>
    <w:rsid w:val="00812DFB"/>
    <w:rsid w:val="00814382"/>
    <w:rsid w:val="0081481B"/>
    <w:rsid w:val="00816FE1"/>
    <w:rsid w:val="00817448"/>
    <w:rsid w:val="008222BF"/>
    <w:rsid w:val="00824644"/>
    <w:rsid w:val="0082731A"/>
    <w:rsid w:val="008333D5"/>
    <w:rsid w:val="00833E8B"/>
    <w:rsid w:val="0083632A"/>
    <w:rsid w:val="008366D6"/>
    <w:rsid w:val="00837448"/>
    <w:rsid w:val="00844F2F"/>
    <w:rsid w:val="008458C4"/>
    <w:rsid w:val="00851F80"/>
    <w:rsid w:val="008522DF"/>
    <w:rsid w:val="00857D1D"/>
    <w:rsid w:val="00866AEE"/>
    <w:rsid w:val="008679D9"/>
    <w:rsid w:val="0089142E"/>
    <w:rsid w:val="00896882"/>
    <w:rsid w:val="00896EF5"/>
    <w:rsid w:val="008A2E2D"/>
    <w:rsid w:val="008B1242"/>
    <w:rsid w:val="008B1768"/>
    <w:rsid w:val="008C17BE"/>
    <w:rsid w:val="008C3C53"/>
    <w:rsid w:val="008C3FBD"/>
    <w:rsid w:val="008C5171"/>
    <w:rsid w:val="008C545D"/>
    <w:rsid w:val="008C5C40"/>
    <w:rsid w:val="008E33B8"/>
    <w:rsid w:val="008E383F"/>
    <w:rsid w:val="008F022D"/>
    <w:rsid w:val="008F0EAF"/>
    <w:rsid w:val="008F671F"/>
    <w:rsid w:val="008F7163"/>
    <w:rsid w:val="00901F87"/>
    <w:rsid w:val="009047C0"/>
    <w:rsid w:val="00904C02"/>
    <w:rsid w:val="00910B44"/>
    <w:rsid w:val="009248F8"/>
    <w:rsid w:val="00925CC1"/>
    <w:rsid w:val="00930015"/>
    <w:rsid w:val="00931196"/>
    <w:rsid w:val="00935063"/>
    <w:rsid w:val="009356D9"/>
    <w:rsid w:val="009431FD"/>
    <w:rsid w:val="0094325D"/>
    <w:rsid w:val="00943823"/>
    <w:rsid w:val="009450D1"/>
    <w:rsid w:val="009451ED"/>
    <w:rsid w:val="00950FB5"/>
    <w:rsid w:val="009523E2"/>
    <w:rsid w:val="00955FB2"/>
    <w:rsid w:val="00960D89"/>
    <w:rsid w:val="00962B53"/>
    <w:rsid w:val="009638E0"/>
    <w:rsid w:val="009644E0"/>
    <w:rsid w:val="009666F6"/>
    <w:rsid w:val="00971AC2"/>
    <w:rsid w:val="00972615"/>
    <w:rsid w:val="00987D41"/>
    <w:rsid w:val="00987DD5"/>
    <w:rsid w:val="0099545B"/>
    <w:rsid w:val="009A08EE"/>
    <w:rsid w:val="009A0B10"/>
    <w:rsid w:val="009A59B6"/>
    <w:rsid w:val="009B7194"/>
    <w:rsid w:val="009C2E42"/>
    <w:rsid w:val="009C592E"/>
    <w:rsid w:val="009C68BF"/>
    <w:rsid w:val="009C6ABC"/>
    <w:rsid w:val="009D0AA2"/>
    <w:rsid w:val="009D0F03"/>
    <w:rsid w:val="009D66F7"/>
    <w:rsid w:val="009E08DE"/>
    <w:rsid w:val="009E26B4"/>
    <w:rsid w:val="009E30FA"/>
    <w:rsid w:val="009E34E4"/>
    <w:rsid w:val="009E5304"/>
    <w:rsid w:val="009E6BE8"/>
    <w:rsid w:val="009E7C5C"/>
    <w:rsid w:val="009F0643"/>
    <w:rsid w:val="009F463E"/>
    <w:rsid w:val="00A02163"/>
    <w:rsid w:val="00A0352E"/>
    <w:rsid w:val="00A052CE"/>
    <w:rsid w:val="00A05DD1"/>
    <w:rsid w:val="00A1534A"/>
    <w:rsid w:val="00A229E7"/>
    <w:rsid w:val="00A24048"/>
    <w:rsid w:val="00A25740"/>
    <w:rsid w:val="00A26C95"/>
    <w:rsid w:val="00A276AE"/>
    <w:rsid w:val="00A30B4D"/>
    <w:rsid w:val="00A33867"/>
    <w:rsid w:val="00A33EE0"/>
    <w:rsid w:val="00A33F85"/>
    <w:rsid w:val="00A36F88"/>
    <w:rsid w:val="00A41BC2"/>
    <w:rsid w:val="00A41EB6"/>
    <w:rsid w:val="00A43D37"/>
    <w:rsid w:val="00A46B84"/>
    <w:rsid w:val="00A55C47"/>
    <w:rsid w:val="00A566F8"/>
    <w:rsid w:val="00A56763"/>
    <w:rsid w:val="00A5747D"/>
    <w:rsid w:val="00A57AB2"/>
    <w:rsid w:val="00A60370"/>
    <w:rsid w:val="00A63280"/>
    <w:rsid w:val="00A64669"/>
    <w:rsid w:val="00A663DB"/>
    <w:rsid w:val="00A74F57"/>
    <w:rsid w:val="00A80926"/>
    <w:rsid w:val="00A82293"/>
    <w:rsid w:val="00A82CF1"/>
    <w:rsid w:val="00A82F55"/>
    <w:rsid w:val="00A90576"/>
    <w:rsid w:val="00A90ED5"/>
    <w:rsid w:val="00A948EB"/>
    <w:rsid w:val="00A9764E"/>
    <w:rsid w:val="00A9789F"/>
    <w:rsid w:val="00AA33A7"/>
    <w:rsid w:val="00AA4C24"/>
    <w:rsid w:val="00AA5402"/>
    <w:rsid w:val="00AA5E59"/>
    <w:rsid w:val="00AB1771"/>
    <w:rsid w:val="00AB1A39"/>
    <w:rsid w:val="00AB24CB"/>
    <w:rsid w:val="00AB3DA0"/>
    <w:rsid w:val="00AC0B69"/>
    <w:rsid w:val="00AC1095"/>
    <w:rsid w:val="00AC285A"/>
    <w:rsid w:val="00AC2959"/>
    <w:rsid w:val="00AC69BF"/>
    <w:rsid w:val="00AD045F"/>
    <w:rsid w:val="00AD535C"/>
    <w:rsid w:val="00AD6FB5"/>
    <w:rsid w:val="00AD7C68"/>
    <w:rsid w:val="00AE0BA0"/>
    <w:rsid w:val="00AE164C"/>
    <w:rsid w:val="00AE50D0"/>
    <w:rsid w:val="00B00038"/>
    <w:rsid w:val="00B03D2B"/>
    <w:rsid w:val="00B073CA"/>
    <w:rsid w:val="00B214C0"/>
    <w:rsid w:val="00B218F1"/>
    <w:rsid w:val="00B21B07"/>
    <w:rsid w:val="00B22646"/>
    <w:rsid w:val="00B23048"/>
    <w:rsid w:val="00B2778B"/>
    <w:rsid w:val="00B35BB7"/>
    <w:rsid w:val="00B37C11"/>
    <w:rsid w:val="00B44473"/>
    <w:rsid w:val="00B45B75"/>
    <w:rsid w:val="00B501BD"/>
    <w:rsid w:val="00B50D87"/>
    <w:rsid w:val="00B56388"/>
    <w:rsid w:val="00B601CD"/>
    <w:rsid w:val="00B604F3"/>
    <w:rsid w:val="00B61352"/>
    <w:rsid w:val="00B63547"/>
    <w:rsid w:val="00B637DB"/>
    <w:rsid w:val="00B6469B"/>
    <w:rsid w:val="00B73372"/>
    <w:rsid w:val="00B73449"/>
    <w:rsid w:val="00B7695A"/>
    <w:rsid w:val="00B77AD6"/>
    <w:rsid w:val="00B77E9C"/>
    <w:rsid w:val="00B80352"/>
    <w:rsid w:val="00B80B22"/>
    <w:rsid w:val="00B813E0"/>
    <w:rsid w:val="00B815D7"/>
    <w:rsid w:val="00B8202A"/>
    <w:rsid w:val="00B862A6"/>
    <w:rsid w:val="00B90305"/>
    <w:rsid w:val="00B90D24"/>
    <w:rsid w:val="00B95219"/>
    <w:rsid w:val="00B962E7"/>
    <w:rsid w:val="00BA07B0"/>
    <w:rsid w:val="00BA1070"/>
    <w:rsid w:val="00BA109F"/>
    <w:rsid w:val="00BA1240"/>
    <w:rsid w:val="00BA2960"/>
    <w:rsid w:val="00BA29C0"/>
    <w:rsid w:val="00BA4A60"/>
    <w:rsid w:val="00BB31C5"/>
    <w:rsid w:val="00BB60BF"/>
    <w:rsid w:val="00BB6536"/>
    <w:rsid w:val="00BB7291"/>
    <w:rsid w:val="00BC1AEF"/>
    <w:rsid w:val="00BC1F8A"/>
    <w:rsid w:val="00BC4754"/>
    <w:rsid w:val="00BC4782"/>
    <w:rsid w:val="00BC4F0E"/>
    <w:rsid w:val="00BC4FE3"/>
    <w:rsid w:val="00BC6086"/>
    <w:rsid w:val="00BC7969"/>
    <w:rsid w:val="00BD1911"/>
    <w:rsid w:val="00BD6637"/>
    <w:rsid w:val="00BD6782"/>
    <w:rsid w:val="00BE28B0"/>
    <w:rsid w:val="00BE7364"/>
    <w:rsid w:val="00BE74AA"/>
    <w:rsid w:val="00BF17F1"/>
    <w:rsid w:val="00BF56CF"/>
    <w:rsid w:val="00C007CE"/>
    <w:rsid w:val="00C00F00"/>
    <w:rsid w:val="00C01040"/>
    <w:rsid w:val="00C03C13"/>
    <w:rsid w:val="00C062FE"/>
    <w:rsid w:val="00C0691E"/>
    <w:rsid w:val="00C0763B"/>
    <w:rsid w:val="00C107A0"/>
    <w:rsid w:val="00C11D19"/>
    <w:rsid w:val="00C25B3F"/>
    <w:rsid w:val="00C302D4"/>
    <w:rsid w:val="00C350BC"/>
    <w:rsid w:val="00C41556"/>
    <w:rsid w:val="00C444CC"/>
    <w:rsid w:val="00C44514"/>
    <w:rsid w:val="00C514A6"/>
    <w:rsid w:val="00C54A3E"/>
    <w:rsid w:val="00C6125A"/>
    <w:rsid w:val="00C61884"/>
    <w:rsid w:val="00C65649"/>
    <w:rsid w:val="00C66AA3"/>
    <w:rsid w:val="00C67E02"/>
    <w:rsid w:val="00C7177D"/>
    <w:rsid w:val="00C763B4"/>
    <w:rsid w:val="00C81FF2"/>
    <w:rsid w:val="00C84609"/>
    <w:rsid w:val="00C84A2C"/>
    <w:rsid w:val="00C946DF"/>
    <w:rsid w:val="00CA13D2"/>
    <w:rsid w:val="00CA28E3"/>
    <w:rsid w:val="00CA2E39"/>
    <w:rsid w:val="00CA6575"/>
    <w:rsid w:val="00CA7685"/>
    <w:rsid w:val="00CB6A76"/>
    <w:rsid w:val="00CC1D51"/>
    <w:rsid w:val="00CC5003"/>
    <w:rsid w:val="00CC6876"/>
    <w:rsid w:val="00CC7C82"/>
    <w:rsid w:val="00CD367F"/>
    <w:rsid w:val="00CE2756"/>
    <w:rsid w:val="00CE30D5"/>
    <w:rsid w:val="00CE48E0"/>
    <w:rsid w:val="00CF30A9"/>
    <w:rsid w:val="00CF6FE5"/>
    <w:rsid w:val="00D065FE"/>
    <w:rsid w:val="00D06CA6"/>
    <w:rsid w:val="00D214CA"/>
    <w:rsid w:val="00D22890"/>
    <w:rsid w:val="00D22AD4"/>
    <w:rsid w:val="00D2561B"/>
    <w:rsid w:val="00D25B6D"/>
    <w:rsid w:val="00D30136"/>
    <w:rsid w:val="00D33583"/>
    <w:rsid w:val="00D3572B"/>
    <w:rsid w:val="00D369E9"/>
    <w:rsid w:val="00D40B26"/>
    <w:rsid w:val="00D42CBD"/>
    <w:rsid w:val="00D433CE"/>
    <w:rsid w:val="00D438EE"/>
    <w:rsid w:val="00D455FD"/>
    <w:rsid w:val="00D544C6"/>
    <w:rsid w:val="00D5484F"/>
    <w:rsid w:val="00D63736"/>
    <w:rsid w:val="00D67E4C"/>
    <w:rsid w:val="00D718FD"/>
    <w:rsid w:val="00D72AE5"/>
    <w:rsid w:val="00D74DCF"/>
    <w:rsid w:val="00D77DF1"/>
    <w:rsid w:val="00D80C2A"/>
    <w:rsid w:val="00D81401"/>
    <w:rsid w:val="00D817C7"/>
    <w:rsid w:val="00D83DD0"/>
    <w:rsid w:val="00D85D46"/>
    <w:rsid w:val="00D85F01"/>
    <w:rsid w:val="00D86529"/>
    <w:rsid w:val="00D872DD"/>
    <w:rsid w:val="00D87952"/>
    <w:rsid w:val="00D93DB4"/>
    <w:rsid w:val="00D93E5B"/>
    <w:rsid w:val="00D97C87"/>
    <w:rsid w:val="00DA5537"/>
    <w:rsid w:val="00DA6DBB"/>
    <w:rsid w:val="00DB0D41"/>
    <w:rsid w:val="00DB2622"/>
    <w:rsid w:val="00DB53F0"/>
    <w:rsid w:val="00DC530B"/>
    <w:rsid w:val="00DC7D57"/>
    <w:rsid w:val="00DD0239"/>
    <w:rsid w:val="00DD077B"/>
    <w:rsid w:val="00DD2212"/>
    <w:rsid w:val="00DD2537"/>
    <w:rsid w:val="00DD55DE"/>
    <w:rsid w:val="00DE059E"/>
    <w:rsid w:val="00DE09FA"/>
    <w:rsid w:val="00DE156B"/>
    <w:rsid w:val="00DE32B9"/>
    <w:rsid w:val="00DF08EC"/>
    <w:rsid w:val="00DF1A4F"/>
    <w:rsid w:val="00DF3453"/>
    <w:rsid w:val="00DF728A"/>
    <w:rsid w:val="00DF7F01"/>
    <w:rsid w:val="00E05023"/>
    <w:rsid w:val="00E10FE7"/>
    <w:rsid w:val="00E17322"/>
    <w:rsid w:val="00E22053"/>
    <w:rsid w:val="00E2220C"/>
    <w:rsid w:val="00E22C53"/>
    <w:rsid w:val="00E25C86"/>
    <w:rsid w:val="00E319B8"/>
    <w:rsid w:val="00E36B40"/>
    <w:rsid w:val="00E47F46"/>
    <w:rsid w:val="00E50154"/>
    <w:rsid w:val="00E519B9"/>
    <w:rsid w:val="00E53606"/>
    <w:rsid w:val="00E55907"/>
    <w:rsid w:val="00E5645F"/>
    <w:rsid w:val="00E5793F"/>
    <w:rsid w:val="00E57A07"/>
    <w:rsid w:val="00E60F42"/>
    <w:rsid w:val="00E61F4E"/>
    <w:rsid w:val="00E664FD"/>
    <w:rsid w:val="00E708EC"/>
    <w:rsid w:val="00E734D0"/>
    <w:rsid w:val="00E8294A"/>
    <w:rsid w:val="00E84F48"/>
    <w:rsid w:val="00E85B33"/>
    <w:rsid w:val="00E862C1"/>
    <w:rsid w:val="00E873DE"/>
    <w:rsid w:val="00E90557"/>
    <w:rsid w:val="00E908F3"/>
    <w:rsid w:val="00E94154"/>
    <w:rsid w:val="00E94B88"/>
    <w:rsid w:val="00E95D7A"/>
    <w:rsid w:val="00E97B84"/>
    <w:rsid w:val="00EA620A"/>
    <w:rsid w:val="00EA7273"/>
    <w:rsid w:val="00EB02A8"/>
    <w:rsid w:val="00EB3499"/>
    <w:rsid w:val="00EB3B17"/>
    <w:rsid w:val="00EB5C05"/>
    <w:rsid w:val="00EB5D36"/>
    <w:rsid w:val="00EC032C"/>
    <w:rsid w:val="00EC17DF"/>
    <w:rsid w:val="00EC2BC0"/>
    <w:rsid w:val="00EC6408"/>
    <w:rsid w:val="00EC7415"/>
    <w:rsid w:val="00ED252F"/>
    <w:rsid w:val="00ED330A"/>
    <w:rsid w:val="00ED4C25"/>
    <w:rsid w:val="00ED509A"/>
    <w:rsid w:val="00ED64DE"/>
    <w:rsid w:val="00ED6ADB"/>
    <w:rsid w:val="00ED6C1B"/>
    <w:rsid w:val="00ED74AF"/>
    <w:rsid w:val="00EE0EFF"/>
    <w:rsid w:val="00EE15C9"/>
    <w:rsid w:val="00EE5652"/>
    <w:rsid w:val="00EE5DE2"/>
    <w:rsid w:val="00EF40EA"/>
    <w:rsid w:val="00EF5F72"/>
    <w:rsid w:val="00F00AD9"/>
    <w:rsid w:val="00F03ACD"/>
    <w:rsid w:val="00F05615"/>
    <w:rsid w:val="00F05A8E"/>
    <w:rsid w:val="00F07D4B"/>
    <w:rsid w:val="00F10CDC"/>
    <w:rsid w:val="00F232AF"/>
    <w:rsid w:val="00F24E30"/>
    <w:rsid w:val="00F2602C"/>
    <w:rsid w:val="00F2641F"/>
    <w:rsid w:val="00F30C49"/>
    <w:rsid w:val="00F357FA"/>
    <w:rsid w:val="00F44875"/>
    <w:rsid w:val="00F533A7"/>
    <w:rsid w:val="00F5459A"/>
    <w:rsid w:val="00F60347"/>
    <w:rsid w:val="00F60B39"/>
    <w:rsid w:val="00F61581"/>
    <w:rsid w:val="00F627DE"/>
    <w:rsid w:val="00F633FD"/>
    <w:rsid w:val="00F64EC3"/>
    <w:rsid w:val="00F708DF"/>
    <w:rsid w:val="00F71996"/>
    <w:rsid w:val="00F71F1A"/>
    <w:rsid w:val="00F80952"/>
    <w:rsid w:val="00F83AE6"/>
    <w:rsid w:val="00F84926"/>
    <w:rsid w:val="00F90D4C"/>
    <w:rsid w:val="00FA12A6"/>
    <w:rsid w:val="00FA6D82"/>
    <w:rsid w:val="00FB4970"/>
    <w:rsid w:val="00FB4C10"/>
    <w:rsid w:val="00FB6F04"/>
    <w:rsid w:val="00FB7C4B"/>
    <w:rsid w:val="00FC21CF"/>
    <w:rsid w:val="00FC2CE6"/>
    <w:rsid w:val="00FC558B"/>
    <w:rsid w:val="00FC64FE"/>
    <w:rsid w:val="00FC6930"/>
    <w:rsid w:val="00FC75A7"/>
    <w:rsid w:val="00FD00C6"/>
    <w:rsid w:val="00FD249D"/>
    <w:rsid w:val="00FD3E1A"/>
    <w:rsid w:val="00FD72D5"/>
    <w:rsid w:val="00FE481D"/>
    <w:rsid w:val="00FE582E"/>
    <w:rsid w:val="00FF0374"/>
    <w:rsid w:val="00FF1B1E"/>
    <w:rsid w:val="00FF2ECE"/>
    <w:rsid w:val="00FF5056"/>
    <w:rsid w:val="00FF5AEC"/>
    <w:rsid w:val="00FF7C83"/>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35F76409"/>
  <w15:docId w15:val="{8241602C-6675-42F6-B7E6-FB7CADC6A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7DE3"/>
    <w:pPr>
      <w:spacing w:after="0" w:line="240" w:lineRule="auto"/>
    </w:pPr>
    <w:rPr>
      <w:rFonts w:ascii="Times New Roman" w:eastAsia="Times New Roman" w:hAnsi="Times New Roman" w:cs="Arial"/>
      <w:sz w:val="24"/>
      <w:szCs w:val="24"/>
    </w:rPr>
  </w:style>
  <w:style w:type="paragraph" w:styleId="Heading1">
    <w:name w:val="heading 1"/>
    <w:basedOn w:val="Normal"/>
    <w:next w:val="Normal"/>
    <w:link w:val="Heading1Char"/>
    <w:uiPriority w:val="9"/>
    <w:qFormat/>
    <w:rsid w:val="009D66F7"/>
    <w:pPr>
      <w:spacing w:after="200"/>
      <w:outlineLvl w:val="0"/>
    </w:pPr>
    <w:rPr>
      <w:rFonts w:eastAsiaTheme="minorEastAsia" w:cs="Times New Roman"/>
      <w:b/>
      <w:bCs/>
      <w:iCs/>
    </w:rPr>
  </w:style>
  <w:style w:type="paragraph" w:styleId="Heading2">
    <w:name w:val="heading 2"/>
    <w:basedOn w:val="Normal"/>
    <w:next w:val="Normal"/>
    <w:link w:val="Heading2Char"/>
    <w:uiPriority w:val="9"/>
    <w:unhideWhenUsed/>
    <w:qFormat/>
    <w:rsid w:val="00D369E9"/>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C0B69"/>
    <w:rPr>
      <w:color w:val="0000FF"/>
      <w:u w:val="single"/>
    </w:rPr>
  </w:style>
  <w:style w:type="paragraph" w:styleId="BalloonText">
    <w:name w:val="Balloon Text"/>
    <w:basedOn w:val="Normal"/>
    <w:link w:val="BalloonTextChar"/>
    <w:uiPriority w:val="99"/>
    <w:semiHidden/>
    <w:unhideWhenUsed/>
    <w:rsid w:val="00AC0B69"/>
    <w:rPr>
      <w:rFonts w:ascii="Tahoma" w:hAnsi="Tahoma" w:cs="Tahoma"/>
      <w:sz w:val="16"/>
      <w:szCs w:val="16"/>
    </w:rPr>
  </w:style>
  <w:style w:type="character" w:customStyle="1" w:styleId="BalloonTextChar">
    <w:name w:val="Balloon Text Char"/>
    <w:basedOn w:val="DefaultParagraphFont"/>
    <w:link w:val="BalloonText"/>
    <w:uiPriority w:val="99"/>
    <w:semiHidden/>
    <w:rsid w:val="00AC0B69"/>
    <w:rPr>
      <w:rFonts w:ascii="Tahoma" w:eastAsia="Times New Roman" w:hAnsi="Tahoma" w:cs="Tahoma"/>
      <w:sz w:val="16"/>
      <w:szCs w:val="16"/>
    </w:rPr>
  </w:style>
  <w:style w:type="paragraph" w:styleId="NoSpacing">
    <w:name w:val="No Spacing"/>
    <w:uiPriority w:val="1"/>
    <w:qFormat/>
    <w:rsid w:val="00423D09"/>
    <w:pPr>
      <w:spacing w:after="0" w:line="240" w:lineRule="auto"/>
    </w:pPr>
  </w:style>
  <w:style w:type="paragraph" w:styleId="ListParagraph">
    <w:name w:val="List Paragraph"/>
    <w:basedOn w:val="Normal"/>
    <w:uiPriority w:val="34"/>
    <w:qFormat/>
    <w:rsid w:val="00423D09"/>
    <w:pPr>
      <w:ind w:left="720"/>
    </w:pPr>
    <w:rPr>
      <w:rFonts w:ascii="Calibri" w:hAnsi="Calibri" w:eastAsiaTheme="minorHAnsi" w:cs="Times New Roman"/>
      <w:sz w:val="22"/>
      <w:szCs w:val="22"/>
    </w:rPr>
  </w:style>
  <w:style w:type="character" w:styleId="CommentReference">
    <w:name w:val="annotation reference"/>
    <w:basedOn w:val="DefaultParagraphFont"/>
    <w:uiPriority w:val="99"/>
    <w:unhideWhenUsed/>
    <w:rsid w:val="00C66AA3"/>
    <w:rPr>
      <w:sz w:val="16"/>
      <w:szCs w:val="16"/>
    </w:rPr>
  </w:style>
  <w:style w:type="paragraph" w:styleId="CommentText">
    <w:name w:val="annotation text"/>
    <w:basedOn w:val="Normal"/>
    <w:link w:val="CommentTextChar"/>
    <w:uiPriority w:val="99"/>
    <w:unhideWhenUsed/>
    <w:rsid w:val="00C66AA3"/>
    <w:rPr>
      <w:sz w:val="20"/>
      <w:szCs w:val="20"/>
    </w:rPr>
  </w:style>
  <w:style w:type="character" w:customStyle="1" w:styleId="CommentTextChar">
    <w:name w:val="Comment Text Char"/>
    <w:basedOn w:val="DefaultParagraphFont"/>
    <w:link w:val="CommentText"/>
    <w:uiPriority w:val="99"/>
    <w:rsid w:val="00C66AA3"/>
    <w:rPr>
      <w:rFonts w:ascii="Times New Roman" w:eastAsia="Times New Roman" w:hAnsi="Times New Roman" w:cs="Arial"/>
      <w:sz w:val="20"/>
      <w:szCs w:val="20"/>
    </w:rPr>
  </w:style>
  <w:style w:type="paragraph" w:styleId="CommentSubject">
    <w:name w:val="annotation subject"/>
    <w:basedOn w:val="CommentText"/>
    <w:next w:val="CommentText"/>
    <w:link w:val="CommentSubjectChar"/>
    <w:uiPriority w:val="99"/>
    <w:semiHidden/>
    <w:unhideWhenUsed/>
    <w:rsid w:val="00C66AA3"/>
    <w:rPr>
      <w:b/>
      <w:bCs/>
    </w:rPr>
  </w:style>
  <w:style w:type="character" w:customStyle="1" w:styleId="CommentSubjectChar">
    <w:name w:val="Comment Subject Char"/>
    <w:basedOn w:val="CommentTextChar"/>
    <w:link w:val="CommentSubject"/>
    <w:uiPriority w:val="99"/>
    <w:semiHidden/>
    <w:rsid w:val="00C66AA3"/>
    <w:rPr>
      <w:rFonts w:ascii="Times New Roman" w:eastAsia="Times New Roman" w:hAnsi="Times New Roman" w:cs="Arial"/>
      <w:b/>
      <w:bCs/>
      <w:sz w:val="20"/>
      <w:szCs w:val="20"/>
    </w:rPr>
  </w:style>
  <w:style w:type="character" w:styleId="FollowedHyperlink">
    <w:name w:val="FollowedHyperlink"/>
    <w:basedOn w:val="DefaultParagraphFont"/>
    <w:uiPriority w:val="99"/>
    <w:semiHidden/>
    <w:unhideWhenUsed/>
    <w:rsid w:val="00F633FD"/>
    <w:rPr>
      <w:color w:val="800080" w:themeColor="followedHyperlink"/>
      <w:u w:val="single"/>
    </w:rPr>
  </w:style>
  <w:style w:type="table" w:styleId="TableGrid">
    <w:name w:val="Table Grid"/>
    <w:basedOn w:val="TableNormal"/>
    <w:uiPriority w:val="59"/>
    <w:rsid w:val="00FF7C83"/>
    <w:pPr>
      <w:spacing w:after="0" w:line="240" w:lineRule="auto"/>
    </w:pPr>
    <w:rPr>
      <w:rFonts w:eastAsia="Times New Roman" w:cstheme="minorHAns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D6ADB"/>
    <w:rPr>
      <w:sz w:val="20"/>
      <w:szCs w:val="20"/>
    </w:rPr>
  </w:style>
  <w:style w:type="character" w:customStyle="1" w:styleId="FootnoteTextChar">
    <w:name w:val="Footnote Text Char"/>
    <w:basedOn w:val="DefaultParagraphFont"/>
    <w:link w:val="FootnoteText"/>
    <w:uiPriority w:val="99"/>
    <w:semiHidden/>
    <w:rsid w:val="00ED6ADB"/>
    <w:rPr>
      <w:rFonts w:ascii="Times New Roman" w:eastAsia="Times New Roman" w:hAnsi="Times New Roman" w:cs="Arial"/>
      <w:sz w:val="20"/>
      <w:szCs w:val="20"/>
    </w:rPr>
  </w:style>
  <w:style w:type="character" w:styleId="FootnoteReference">
    <w:name w:val="footnote reference"/>
    <w:basedOn w:val="DefaultParagraphFont"/>
    <w:uiPriority w:val="99"/>
    <w:semiHidden/>
    <w:unhideWhenUsed/>
    <w:rsid w:val="00ED6ADB"/>
    <w:rPr>
      <w:vertAlign w:val="superscript"/>
    </w:rPr>
  </w:style>
  <w:style w:type="paragraph" w:styleId="Header">
    <w:name w:val="header"/>
    <w:basedOn w:val="Normal"/>
    <w:link w:val="HeaderChar"/>
    <w:uiPriority w:val="99"/>
    <w:unhideWhenUsed/>
    <w:rsid w:val="008F0EAF"/>
    <w:pPr>
      <w:tabs>
        <w:tab w:val="center" w:pos="4680"/>
        <w:tab w:val="right" w:pos="9360"/>
      </w:tabs>
    </w:pPr>
  </w:style>
  <w:style w:type="character" w:customStyle="1" w:styleId="HeaderChar">
    <w:name w:val="Header Char"/>
    <w:basedOn w:val="DefaultParagraphFont"/>
    <w:link w:val="Header"/>
    <w:uiPriority w:val="99"/>
    <w:rsid w:val="008F0EAF"/>
    <w:rPr>
      <w:rFonts w:ascii="Times New Roman" w:eastAsia="Times New Roman" w:hAnsi="Times New Roman" w:cs="Arial"/>
      <w:sz w:val="24"/>
      <w:szCs w:val="24"/>
    </w:rPr>
  </w:style>
  <w:style w:type="paragraph" w:styleId="Footer">
    <w:name w:val="footer"/>
    <w:basedOn w:val="Normal"/>
    <w:link w:val="FooterChar"/>
    <w:uiPriority w:val="99"/>
    <w:unhideWhenUsed/>
    <w:rsid w:val="008F0EAF"/>
    <w:pPr>
      <w:tabs>
        <w:tab w:val="center" w:pos="4680"/>
        <w:tab w:val="right" w:pos="9360"/>
      </w:tabs>
    </w:pPr>
  </w:style>
  <w:style w:type="character" w:customStyle="1" w:styleId="FooterChar">
    <w:name w:val="Footer Char"/>
    <w:basedOn w:val="DefaultParagraphFont"/>
    <w:link w:val="Footer"/>
    <w:uiPriority w:val="99"/>
    <w:rsid w:val="008F0EAF"/>
    <w:rPr>
      <w:rFonts w:ascii="Times New Roman" w:eastAsia="Times New Roman" w:hAnsi="Times New Roman" w:cs="Arial"/>
      <w:sz w:val="24"/>
      <w:szCs w:val="24"/>
    </w:rPr>
  </w:style>
  <w:style w:type="character" w:customStyle="1" w:styleId="Heading2Char">
    <w:name w:val="Heading 2 Char"/>
    <w:basedOn w:val="DefaultParagraphFont"/>
    <w:link w:val="Heading2"/>
    <w:uiPriority w:val="9"/>
    <w:rsid w:val="00D369E9"/>
    <w:rPr>
      <w:rFonts w:asciiTheme="majorHAnsi" w:eastAsiaTheme="majorEastAsia" w:hAnsiTheme="majorHAnsi" w:cstheme="majorBidi"/>
      <w:color w:val="365F91" w:themeColor="accent1" w:themeShade="BF"/>
      <w:sz w:val="26"/>
      <w:szCs w:val="26"/>
    </w:rPr>
  </w:style>
  <w:style w:type="paragraph" w:customStyle="1" w:styleId="BodyTextaft-12">
    <w:name w:val="Body Text_aft-12"/>
    <w:basedOn w:val="BodyText"/>
    <w:next w:val="BodyText"/>
    <w:qFormat/>
    <w:rsid w:val="00773C47"/>
    <w:pPr>
      <w:spacing w:before="240" w:after="240" w:line="360" w:lineRule="auto"/>
    </w:pPr>
    <w:rPr>
      <w:rFonts w:cs="Times New Roman"/>
      <w:szCs w:val="20"/>
    </w:rPr>
  </w:style>
  <w:style w:type="paragraph" w:styleId="BodyText">
    <w:name w:val="Body Text"/>
    <w:basedOn w:val="Normal"/>
    <w:link w:val="BodyTextChar"/>
    <w:uiPriority w:val="99"/>
    <w:unhideWhenUsed/>
    <w:rsid w:val="00773C47"/>
    <w:pPr>
      <w:spacing w:after="120"/>
    </w:pPr>
  </w:style>
  <w:style w:type="character" w:customStyle="1" w:styleId="BodyTextChar">
    <w:name w:val="Body Text Char"/>
    <w:basedOn w:val="DefaultParagraphFont"/>
    <w:link w:val="BodyText"/>
    <w:uiPriority w:val="99"/>
    <w:rsid w:val="00773C47"/>
    <w:rPr>
      <w:rFonts w:ascii="Times New Roman" w:eastAsia="Times New Roman" w:hAnsi="Times New Roman" w:cs="Arial"/>
      <w:sz w:val="24"/>
      <w:szCs w:val="24"/>
    </w:rPr>
  </w:style>
  <w:style w:type="table" w:customStyle="1" w:styleId="BlueTable">
    <w:name w:val="Blue Table"/>
    <w:basedOn w:val="TableNormal"/>
    <w:uiPriority w:val="99"/>
    <w:rsid w:val="00594EFD"/>
    <w:pPr>
      <w:spacing w:after="0" w:line="240" w:lineRule="auto"/>
    </w:pPr>
    <w:rPr>
      <w:rFonts w:ascii="Arial" w:eastAsia="Times New Roman" w:hAnsi="Arial" w:cs="Times New Roman"/>
      <w:sz w:val="20"/>
      <w:szCs w:val="20"/>
    </w:rPr>
    <w:tblPr>
      <w:tblStyleRowBandSize w:val="1"/>
      <w:tblBorders>
        <w:bottom w:val="single" w:sz="4" w:space="0" w:color="0A357E"/>
        <w:insideV w:val="single" w:sz="4" w:space="0" w:color="D9D9D9"/>
      </w:tblBorders>
    </w:tblPr>
    <w:tcPr>
      <w:shd w:val="clear" w:color="auto" w:fill="auto"/>
    </w:tcPr>
    <w:tblStylePr w:type="firstRow">
      <w:tblPr/>
      <w:tcPr>
        <w:tcBorders>
          <w:top w:val="single" w:sz="4" w:space="0" w:color="0A357E"/>
          <w:left w:val="nil"/>
          <w:bottom w:val="nil"/>
          <w:right w:val="nil"/>
          <w:insideH w:val="nil"/>
          <w:insideV w:val="nil"/>
          <w:tl2br w:val="nil"/>
          <w:tr2bl w:val="nil"/>
        </w:tcBorders>
        <w:shd w:val="clear" w:color="auto" w:fill="0A357E"/>
      </w:tcPr>
    </w:tblStylePr>
    <w:tblStylePr w:type="band2Horz">
      <w:tblPr/>
      <w:tcPr>
        <w:tcBorders>
          <w:top w:val="nil"/>
          <w:left w:val="nil"/>
          <w:bottom w:val="nil"/>
          <w:right w:val="nil"/>
          <w:insideH w:val="nil"/>
          <w:insideV w:val="nil"/>
          <w:tl2br w:val="nil"/>
          <w:tr2bl w:val="nil"/>
        </w:tcBorders>
        <w:shd w:val="clear" w:color="auto" w:fill="D5E3FB"/>
      </w:tcPr>
    </w:tblStylePr>
  </w:style>
  <w:style w:type="paragraph" w:customStyle="1" w:styleId="table-bullet2nd">
    <w:name w:val="table-bullet_2nd"/>
    <w:basedOn w:val="Normal"/>
    <w:qFormat/>
    <w:rsid w:val="00594EFD"/>
    <w:pPr>
      <w:numPr>
        <w:ilvl w:val="1"/>
        <w:numId w:val="13"/>
      </w:numPr>
      <w:spacing w:before="40" w:after="40"/>
    </w:pPr>
    <w:rPr>
      <w:rFonts w:ascii="Arial" w:eastAsia="SimSun" w:hAnsi="Arial" w:cs="Times New Roman"/>
      <w:sz w:val="18"/>
      <w:szCs w:val="22"/>
      <w:lang w:eastAsia="zh-CN"/>
    </w:rPr>
  </w:style>
  <w:style w:type="paragraph" w:customStyle="1" w:styleId="table-bulletind">
    <w:name w:val="table-bullet_ind"/>
    <w:basedOn w:val="Normal"/>
    <w:rsid w:val="00594EFD"/>
    <w:pPr>
      <w:numPr>
        <w:numId w:val="13"/>
      </w:numPr>
      <w:spacing w:before="40" w:after="40"/>
    </w:pPr>
    <w:rPr>
      <w:rFonts w:ascii="Arial" w:eastAsia="SimSun" w:hAnsi="Arial" w:cs="Times New Roman"/>
      <w:sz w:val="20"/>
      <w:szCs w:val="22"/>
      <w:lang w:eastAsia="zh-CN"/>
    </w:rPr>
  </w:style>
  <w:style w:type="paragraph" w:customStyle="1" w:styleId="table-text">
    <w:name w:val="table-text"/>
    <w:basedOn w:val="Normal"/>
    <w:qFormat/>
    <w:rsid w:val="00594EFD"/>
    <w:pPr>
      <w:spacing w:before="20" w:after="20"/>
    </w:pPr>
    <w:rPr>
      <w:rFonts w:ascii="Arial" w:eastAsia="SimSun" w:hAnsi="Arial" w:cs="Times New Roman"/>
      <w:sz w:val="18"/>
      <w:szCs w:val="22"/>
      <w:lang w:eastAsia="zh-CN"/>
    </w:rPr>
  </w:style>
  <w:style w:type="paragraph" w:customStyle="1" w:styleId="table-notealt-2">
    <w:name w:val="table-note_alt-2"/>
    <w:basedOn w:val="Normal"/>
    <w:rsid w:val="00594EFD"/>
    <w:pPr>
      <w:keepLines/>
      <w:spacing w:before="60" w:after="240"/>
      <w:ind w:left="187" w:hanging="187"/>
    </w:pPr>
    <w:rPr>
      <w:rFonts w:ascii="Arial" w:eastAsia="SimSun" w:hAnsi="Arial" w:cs="Times New Roman"/>
      <w:sz w:val="18"/>
      <w:szCs w:val="22"/>
      <w:lang w:eastAsia="zh-CN"/>
    </w:rPr>
  </w:style>
  <w:style w:type="paragraph" w:customStyle="1" w:styleId="ExhibitTitle">
    <w:name w:val="Exhibit Title"/>
    <w:rsid w:val="00594EFD"/>
    <w:pPr>
      <w:keepNext/>
      <w:keepLines/>
      <w:spacing w:after="60" w:line="240" w:lineRule="auto"/>
      <w:ind w:left="1440" w:hanging="1440"/>
    </w:pPr>
    <w:rPr>
      <w:rFonts w:ascii="Arial Black" w:eastAsia="Times New Roman" w:hAnsi="Arial Black" w:cs="Times New Roman"/>
      <w:b/>
      <w:snapToGrid w:val="0"/>
      <w:color w:val="0A357E"/>
      <w:sz w:val="24"/>
      <w:szCs w:val="20"/>
    </w:rPr>
  </w:style>
  <w:style w:type="paragraph" w:styleId="Revision">
    <w:name w:val="Revision"/>
    <w:hidden/>
    <w:uiPriority w:val="99"/>
    <w:semiHidden/>
    <w:rsid w:val="007E0EC6"/>
    <w:pPr>
      <w:spacing w:after="0" w:line="240" w:lineRule="auto"/>
    </w:pPr>
    <w:rPr>
      <w:rFonts w:ascii="Times New Roman" w:eastAsia="Times New Roman" w:hAnsi="Times New Roman" w:cs="Arial"/>
      <w:sz w:val="24"/>
      <w:szCs w:val="24"/>
    </w:rPr>
  </w:style>
  <w:style w:type="paragraph" w:styleId="PlainText">
    <w:name w:val="Plain Text"/>
    <w:basedOn w:val="Normal"/>
    <w:link w:val="PlainTextChar"/>
    <w:uiPriority w:val="99"/>
    <w:semiHidden/>
    <w:unhideWhenUsed/>
    <w:rsid w:val="00492ACC"/>
    <w:rPr>
      <w:rFonts w:ascii="Consolas" w:hAnsi="Consolas" w:cs="Consolas"/>
      <w:sz w:val="21"/>
      <w:szCs w:val="21"/>
    </w:rPr>
  </w:style>
  <w:style w:type="character" w:customStyle="1" w:styleId="PlainTextChar">
    <w:name w:val="Plain Text Char"/>
    <w:basedOn w:val="DefaultParagraphFont"/>
    <w:link w:val="PlainText"/>
    <w:uiPriority w:val="99"/>
    <w:semiHidden/>
    <w:rsid w:val="00492ACC"/>
    <w:rPr>
      <w:rFonts w:ascii="Consolas" w:eastAsia="Times New Roman" w:hAnsi="Consolas" w:cs="Consolas"/>
      <w:sz w:val="21"/>
      <w:szCs w:val="21"/>
    </w:rPr>
  </w:style>
  <w:style w:type="paragraph" w:customStyle="1" w:styleId="Reference">
    <w:name w:val="Reference"/>
    <w:basedOn w:val="Normal"/>
    <w:qFormat/>
    <w:rsid w:val="005A2ED8"/>
    <w:pPr>
      <w:numPr>
        <w:numId w:val="14"/>
      </w:numPr>
      <w:tabs>
        <w:tab w:val="left" w:pos="360"/>
      </w:tabs>
      <w:autoSpaceDE w:val="0"/>
      <w:autoSpaceDN w:val="0"/>
      <w:adjustRightInd w:val="0"/>
      <w:spacing w:after="120"/>
      <w:ind w:hanging="720"/>
    </w:pPr>
    <w:rPr>
      <w:rFonts w:eastAsiaTheme="minorHAnsi" w:cs="Times New Roman"/>
      <w:color w:val="000000"/>
    </w:rPr>
  </w:style>
  <w:style w:type="character" w:styleId="UnresolvedMention">
    <w:name w:val="Unresolved Mention"/>
    <w:basedOn w:val="DefaultParagraphFont"/>
    <w:uiPriority w:val="99"/>
    <w:semiHidden/>
    <w:unhideWhenUsed/>
    <w:rsid w:val="005A2ED8"/>
    <w:rPr>
      <w:color w:val="605E5C"/>
      <w:shd w:val="clear" w:color="auto" w:fill="E1DFDD"/>
    </w:rPr>
  </w:style>
  <w:style w:type="character" w:customStyle="1" w:styleId="cf01">
    <w:name w:val="cf01"/>
    <w:basedOn w:val="DefaultParagraphFont"/>
    <w:rsid w:val="00901F87"/>
    <w:rPr>
      <w:rFonts w:ascii="Segoe UI" w:hAnsi="Segoe UI" w:cs="Segoe UI" w:hint="default"/>
      <w:sz w:val="18"/>
      <w:szCs w:val="18"/>
    </w:rPr>
  </w:style>
  <w:style w:type="paragraph" w:customStyle="1" w:styleId="table-headers">
    <w:name w:val="table-headers"/>
    <w:basedOn w:val="Normal"/>
    <w:rsid w:val="007202C0"/>
    <w:pPr>
      <w:spacing w:before="80" w:after="80"/>
      <w:jc w:val="center"/>
    </w:pPr>
    <w:rPr>
      <w:rFonts w:ascii="Verdana" w:eastAsia="SimSun" w:hAnsi="Verdana" w:cs="Times New Roman"/>
      <w:b/>
      <w:sz w:val="18"/>
      <w:szCs w:val="22"/>
      <w:lang w:eastAsia="zh-CN"/>
    </w:rPr>
  </w:style>
  <w:style w:type="table" w:customStyle="1" w:styleId="RTITable">
    <w:name w:val="RTI_Table"/>
    <w:basedOn w:val="TableNormal"/>
    <w:uiPriority w:val="99"/>
    <w:rsid w:val="007202C0"/>
    <w:pPr>
      <w:spacing w:after="0" w:line="240" w:lineRule="auto"/>
    </w:pPr>
    <w:rPr>
      <w:rFonts w:ascii="Verdana" w:eastAsia="SimSun" w:hAnsi="Verdana" w:cs="Times New Roman"/>
      <w:sz w:val="20"/>
      <w:szCs w:val="20"/>
      <w:lang w:eastAsia="zh-CN"/>
    </w:rPr>
    <w:tblPr>
      <w:tblBorders>
        <w:top w:val="single" w:sz="12" w:space="0" w:color="auto"/>
        <w:bottom w:val="single" w:sz="12" w:space="0" w:color="auto"/>
      </w:tblBorders>
    </w:tblPr>
    <w:trPr>
      <w:cantSplit/>
    </w:trPr>
    <w:tblStylePr w:type="firstRow">
      <w:tblPr/>
      <w:tcPr>
        <w:tcBorders>
          <w:bottom w:val="single" w:sz="4" w:space="0" w:color="auto"/>
        </w:tcBorders>
      </w:tcPr>
    </w:tblStylePr>
  </w:style>
  <w:style w:type="paragraph" w:styleId="Caption">
    <w:name w:val="caption"/>
    <w:basedOn w:val="Normal"/>
    <w:next w:val="Normal"/>
    <w:uiPriority w:val="35"/>
    <w:unhideWhenUsed/>
    <w:qFormat/>
    <w:rsid w:val="007202C0"/>
    <w:pPr>
      <w:spacing w:after="200"/>
    </w:pPr>
    <w:rPr>
      <w:rFonts w:ascii="Verdana" w:eastAsia="SimSun" w:hAnsi="Verdana" w:cs="Times New Roman"/>
      <w:i/>
      <w:iCs/>
      <w:color w:val="1F497D" w:themeColor="text2"/>
      <w:sz w:val="18"/>
      <w:szCs w:val="18"/>
      <w:lang w:eastAsia="zh-CN"/>
    </w:rPr>
  </w:style>
  <w:style w:type="paragraph" w:styleId="EndnoteText">
    <w:name w:val="endnote text"/>
    <w:basedOn w:val="Normal"/>
    <w:link w:val="EndnoteTextChar"/>
    <w:uiPriority w:val="99"/>
    <w:semiHidden/>
    <w:unhideWhenUsed/>
    <w:rsid w:val="00A82293"/>
    <w:rPr>
      <w:sz w:val="20"/>
      <w:szCs w:val="20"/>
    </w:rPr>
  </w:style>
  <w:style w:type="character" w:customStyle="1" w:styleId="EndnoteTextChar">
    <w:name w:val="Endnote Text Char"/>
    <w:basedOn w:val="DefaultParagraphFont"/>
    <w:link w:val="EndnoteText"/>
    <w:uiPriority w:val="99"/>
    <w:semiHidden/>
    <w:rsid w:val="00A82293"/>
    <w:rPr>
      <w:rFonts w:ascii="Times New Roman" w:eastAsia="Times New Roman" w:hAnsi="Times New Roman" w:cs="Arial"/>
      <w:sz w:val="20"/>
      <w:szCs w:val="20"/>
    </w:rPr>
  </w:style>
  <w:style w:type="character" w:styleId="EndnoteReference">
    <w:name w:val="endnote reference"/>
    <w:basedOn w:val="DefaultParagraphFont"/>
    <w:uiPriority w:val="99"/>
    <w:semiHidden/>
    <w:unhideWhenUsed/>
    <w:rsid w:val="00A82293"/>
    <w:rPr>
      <w:vertAlign w:val="superscript"/>
    </w:rPr>
  </w:style>
  <w:style w:type="character" w:customStyle="1" w:styleId="Heading1Char">
    <w:name w:val="Heading 1 Char"/>
    <w:basedOn w:val="DefaultParagraphFont"/>
    <w:link w:val="Heading1"/>
    <w:uiPriority w:val="9"/>
    <w:rsid w:val="009D66F7"/>
    <w:rPr>
      <w:rFonts w:ascii="Times New Roman" w:hAnsi="Times New Roman" w:eastAsiaTheme="minorEastAsia" w:cs="Times New Roman"/>
      <w:b/>
      <w:bCs/>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gif" /><Relationship Id="rId7" Type="http://schemas.openxmlformats.org/officeDocument/2006/relationships/hyperlink" Target="https://www.tjctc.org/JP-Constable-Directory.html" TargetMode="External" /><Relationship Id="rId8" Type="http://schemas.openxmlformats.org/officeDocument/2006/relationships/footer" Target="footer1.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bjs.ojp.gov/content/pub/pdf/meco18.pdf" TargetMode="External" /><Relationship Id="rId2" Type="http://schemas.openxmlformats.org/officeDocument/2006/relationships/hyperlink" Target="https://www.safetysource.com/index.cf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28A29-91C8-4E99-A92E-8E31112C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3697</Words>
  <Characters>21073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24721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BJS</cp:lastModifiedBy>
  <cp:revision>2</cp:revision>
  <cp:lastPrinted>2018-07-17T18:39:00Z</cp:lastPrinted>
  <dcterms:created xsi:type="dcterms:W3CDTF">2023-11-14T15:00:00Z</dcterms:created>
  <dcterms:modified xsi:type="dcterms:W3CDTF">2023-11-14T15:00:00Z</dcterms:modified>
</cp:coreProperties>
</file>