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384CA400"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6F3C5A48"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79606487" w14:textId="1EFEF147">
      <w:pPr>
        <w:rPr>
          <w:b/>
        </w:rPr>
      </w:pPr>
      <w:r w:rsidRPr="00D22933">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DE1431" w:rsidR="005E714A">
        <w:t xml:space="preserve"> </w:t>
      </w:r>
      <w:r w:rsidRPr="59981813" w:rsidR="00B43FFB">
        <w:t>Census of State and Federal Adult Correctional Facilities</w:t>
      </w:r>
    </w:p>
    <w:p w:rsidR="005E714A" w:rsidRPr="00DE1431" w14:paraId="01FD904C" w14:textId="77777777"/>
    <w:p w:rsidR="00996C3B" w:rsidP="00996C3B" w14:paraId="779573D2" w14:textId="77777777">
      <w:pPr>
        <w:pStyle w:val="Default"/>
        <w:rPr>
          <w:rFonts w:ascii="Times New Roman" w:hAnsi="Times New Roman" w:cs="Times New Roman"/>
          <w:b/>
        </w:rPr>
      </w:pPr>
      <w:r w:rsidRPr="00D22933">
        <w:rPr>
          <w:rFonts w:ascii="Times New Roman" w:hAnsi="Times New Roman" w:cs="Times New Roman"/>
          <w:b/>
        </w:rPr>
        <w:t>PURPOSE:</w:t>
      </w:r>
      <w:r w:rsidRPr="00DE1431" w:rsidR="00C14CC4">
        <w:rPr>
          <w:rFonts w:ascii="Times New Roman" w:hAnsi="Times New Roman" w:cs="Times New Roman"/>
          <w:b/>
        </w:rPr>
        <w:t xml:space="preserve">  </w:t>
      </w:r>
    </w:p>
    <w:p w:rsidR="00244355" w:rsidRPr="00244355" w:rsidP="00996C3B" w14:paraId="3B8932AE" w14:textId="77777777">
      <w:pPr>
        <w:pStyle w:val="Default"/>
        <w:rPr>
          <w:rFonts w:ascii="Times New Roman" w:hAnsi="Times New Roman" w:cs="Times New Roman"/>
          <w:bCs/>
        </w:rPr>
      </w:pPr>
      <w:r>
        <w:rPr>
          <w:rFonts w:ascii="Times New Roman" w:hAnsi="Times New Roman" w:cs="Times New Roman"/>
          <w:bCs/>
        </w:rPr>
        <w:t xml:space="preserve">The purpose of this generic request </w:t>
      </w:r>
      <w:r w:rsidR="00485AD3">
        <w:rPr>
          <w:rFonts w:ascii="Times New Roman" w:hAnsi="Times New Roman" w:cs="Times New Roman"/>
          <w:bCs/>
        </w:rPr>
        <w:t xml:space="preserve">is to </w:t>
      </w:r>
      <w:r w:rsidR="00B43FFB">
        <w:rPr>
          <w:rFonts w:ascii="Times New Roman" w:hAnsi="Times New Roman" w:cs="Times New Roman"/>
        </w:rPr>
        <w:t xml:space="preserve">update the frame of </w:t>
      </w:r>
      <w:r w:rsidRPr="59981813" w:rsidR="00B43FFB">
        <w:rPr>
          <w:rFonts w:ascii="Times New Roman" w:hAnsi="Times New Roman" w:cs="Times New Roman"/>
        </w:rPr>
        <w:t xml:space="preserve">adult correctional facilities </w:t>
      </w:r>
      <w:r w:rsidR="00B43FFB">
        <w:rPr>
          <w:rFonts w:ascii="Times New Roman" w:hAnsi="Times New Roman" w:cs="Times New Roman"/>
        </w:rPr>
        <w:t>for</w:t>
      </w:r>
      <w:r w:rsidRPr="59981813" w:rsidR="00B43FFB">
        <w:rPr>
          <w:rFonts w:ascii="Times New Roman" w:hAnsi="Times New Roman" w:cs="Times New Roman"/>
        </w:rPr>
        <w:t xml:space="preserve"> the </w:t>
      </w:r>
      <w:r w:rsidR="00B43FFB">
        <w:rPr>
          <w:rFonts w:ascii="Times New Roman" w:hAnsi="Times New Roman" w:cs="Times New Roman"/>
        </w:rPr>
        <w:t xml:space="preserve">2024 </w:t>
      </w:r>
      <w:r w:rsidRPr="59981813" w:rsidR="00B43FFB">
        <w:rPr>
          <w:rFonts w:ascii="Times New Roman" w:hAnsi="Times New Roman" w:cs="Times New Roman"/>
        </w:rPr>
        <w:t>Census of State and Federal Adult Correctional Facilities</w:t>
      </w:r>
      <w:r w:rsidR="00B43FFB">
        <w:rPr>
          <w:rFonts w:ascii="Times New Roman" w:hAnsi="Times New Roman" w:cs="Times New Roman"/>
        </w:rPr>
        <w:t xml:space="preserve"> (CCF)</w:t>
      </w:r>
      <w:r w:rsidR="003C45A8">
        <w:rPr>
          <w:rFonts w:ascii="Times New Roman" w:hAnsi="Times New Roman" w:cs="Times New Roman"/>
          <w:bCs/>
        </w:rPr>
        <w:t>.</w:t>
      </w:r>
      <w:r w:rsidR="00485AD3">
        <w:rPr>
          <w:rFonts w:ascii="Times New Roman" w:hAnsi="Times New Roman" w:cs="Times New Roman"/>
          <w:bCs/>
        </w:rPr>
        <w:t xml:space="preserve"> </w:t>
      </w:r>
    </w:p>
    <w:p w:rsidR="001B0AAA" w:rsidRPr="00DE1431" w:rsidP="00434E33" w14:paraId="196A23A4" w14:textId="77777777">
      <w:pPr>
        <w:pStyle w:val="Header"/>
        <w:tabs>
          <w:tab w:val="clear" w:pos="4320"/>
          <w:tab w:val="clear" w:pos="8640"/>
        </w:tabs>
        <w:rPr>
          <w:b/>
        </w:rPr>
      </w:pPr>
    </w:p>
    <w:p w:rsidR="00996C3B" w:rsidP="00996C3B" w14:paraId="17E609AC"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244355" w:rsidRPr="00DE1431" w:rsidP="00996C3B" w14:paraId="6F0DBCB6" w14:textId="77777777">
      <w:pPr>
        <w:pStyle w:val="Default"/>
        <w:rPr>
          <w:rFonts w:ascii="Times New Roman" w:hAnsi="Times New Roman" w:cs="Times New Roman"/>
        </w:rPr>
      </w:pPr>
      <w:r>
        <w:rPr>
          <w:rFonts w:ascii="Times New Roman" w:hAnsi="Times New Roman" w:cs="Times New Roman"/>
        </w:rPr>
        <w:t xml:space="preserve">State and county level public defender </w:t>
      </w:r>
      <w:r w:rsidR="00A7412D">
        <w:rPr>
          <w:rFonts w:ascii="Times New Roman" w:hAnsi="Times New Roman" w:cs="Times New Roman"/>
        </w:rPr>
        <w:t>office leaders</w:t>
      </w:r>
    </w:p>
    <w:p w:rsidR="00906B5E" w:rsidRPr="00DE1431" w:rsidP="00996C3B" w14:paraId="7D0D78EA" w14:textId="77777777">
      <w:pPr>
        <w:pStyle w:val="Default"/>
        <w:rPr>
          <w:rFonts w:ascii="Times New Roman" w:hAnsi="Times New Roman" w:cs="Times New Roman"/>
        </w:rPr>
      </w:pPr>
    </w:p>
    <w:p w:rsidR="00F06866" w:rsidRPr="00DE1431" w14:paraId="08E4B14E" w14:textId="77777777">
      <w:pPr>
        <w:rPr>
          <w:b/>
        </w:rPr>
      </w:pPr>
      <w:r w:rsidRPr="003F393F">
        <w:rPr>
          <w:b/>
        </w:rPr>
        <w:t>TYPE OF COLLECTION:</w:t>
      </w:r>
      <w:r w:rsidRPr="00DE1431">
        <w:t xml:space="preserve"> (Check one)</w:t>
      </w:r>
    </w:p>
    <w:p w:rsidR="00441434" w:rsidRPr="00DE1431" w:rsidP="0096108F" w14:paraId="4872C066" w14:textId="77777777">
      <w:pPr>
        <w:pStyle w:val="BodyTextIndent"/>
        <w:tabs>
          <w:tab w:val="left" w:pos="360"/>
        </w:tabs>
        <w:ind w:left="0"/>
        <w:rPr>
          <w:bCs/>
          <w:sz w:val="24"/>
          <w:szCs w:val="24"/>
        </w:rPr>
      </w:pPr>
    </w:p>
    <w:p w:rsidR="00F06866" w:rsidRPr="00DE1431" w:rsidP="0096108F" w14:paraId="754BD255" w14:textId="77777777">
      <w:pPr>
        <w:pStyle w:val="BodyTextIndent"/>
        <w:tabs>
          <w:tab w:val="left" w:pos="360"/>
        </w:tabs>
        <w:ind w:left="0"/>
        <w:rPr>
          <w:bCs/>
          <w:sz w:val="24"/>
          <w:szCs w:val="24"/>
        </w:rPr>
      </w:pPr>
      <w:r w:rsidRPr="00DE1431">
        <w:rPr>
          <w:bCs/>
          <w:sz w:val="24"/>
          <w:szCs w:val="24"/>
        </w:rPr>
        <w:t xml:space="preserve">[ ]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78D0F971" w14:textId="77777777">
      <w:pPr>
        <w:pStyle w:val="BodyTextIndent"/>
        <w:tabs>
          <w:tab w:val="left" w:pos="360"/>
        </w:tabs>
        <w:ind w:left="0"/>
        <w:rPr>
          <w:bCs/>
          <w:sz w:val="24"/>
          <w:szCs w:val="24"/>
        </w:rPr>
      </w:pPr>
      <w:r w:rsidRPr="00DE1431">
        <w:rPr>
          <w:bCs/>
          <w:sz w:val="24"/>
          <w:szCs w:val="24"/>
        </w:rPr>
        <w:t xml:space="preserve">[ ]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42553" w14:paraId="03FE59EB" w14:textId="77777777">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Pr="00DE1431" w:rsidR="00AB5B0F">
        <w:rPr>
          <w:bCs/>
          <w:sz w:val="24"/>
          <w:szCs w:val="24"/>
        </w:rPr>
        <w:t xml:space="preserve"> </w:t>
      </w:r>
      <w:r w:rsidR="00660F98">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00B43FFB">
        <w:rPr>
          <w:bCs/>
          <w:sz w:val="24"/>
          <w:szCs w:val="24"/>
          <w:u w:val="single"/>
        </w:rPr>
        <w:t xml:space="preserve"> Frame update</w:t>
      </w:r>
    </w:p>
    <w:p w:rsidR="00342553" w:rsidRPr="00DE1431" w:rsidP="00342553" w14:paraId="4FCC3535" w14:textId="77777777">
      <w:pPr>
        <w:pStyle w:val="BodyTextIndent"/>
        <w:tabs>
          <w:tab w:val="left" w:pos="360"/>
        </w:tabs>
        <w:ind w:left="0"/>
        <w:rPr>
          <w:bCs/>
          <w:sz w:val="24"/>
          <w:szCs w:val="24"/>
          <w:u w:val="single"/>
        </w:rPr>
      </w:pPr>
    </w:p>
    <w:p w:rsidR="00CA2650" w:rsidRPr="00DE1431" w:rsidP="00342553" w14:paraId="68220BDE" w14:textId="77777777">
      <w:pPr>
        <w:pStyle w:val="BodyTextIndent"/>
        <w:tabs>
          <w:tab w:val="left" w:pos="360"/>
        </w:tabs>
        <w:ind w:left="0"/>
        <w:rPr>
          <w:b/>
          <w:sz w:val="24"/>
          <w:szCs w:val="24"/>
        </w:rPr>
      </w:pPr>
      <w:r w:rsidRPr="006C5610">
        <w:rPr>
          <w:b/>
          <w:sz w:val="24"/>
          <w:szCs w:val="24"/>
        </w:rPr>
        <w:t>C</w:t>
      </w:r>
      <w:r w:rsidRPr="006C5610" w:rsidR="009C13B9">
        <w:rPr>
          <w:b/>
          <w:sz w:val="24"/>
          <w:szCs w:val="24"/>
        </w:rPr>
        <w:t>ERTIFICATION:</w:t>
      </w:r>
    </w:p>
    <w:p w:rsidR="00441434" w:rsidRPr="00DE1431" w14:paraId="7D2E26C6" w14:textId="77777777"/>
    <w:p w:rsidR="008101A5" w:rsidRPr="00DE1431" w:rsidP="008101A5" w14:paraId="6E92860B" w14:textId="77777777">
      <w:r w:rsidRPr="00DE1431">
        <w:t xml:space="preserve">I certify the following to be true: </w:t>
      </w:r>
    </w:p>
    <w:p w:rsidR="008101A5" w:rsidRPr="00DE1431" w:rsidP="008101A5" w14:paraId="062D479D" w14:textId="77777777">
      <w:pPr>
        <w:pStyle w:val="ListParagraph"/>
        <w:numPr>
          <w:ilvl w:val="0"/>
          <w:numId w:val="14"/>
        </w:numPr>
      </w:pPr>
      <w:r w:rsidRPr="00DE1431">
        <w:t xml:space="preserve">The collection is voluntary. </w:t>
      </w:r>
    </w:p>
    <w:p w:rsidR="008101A5" w:rsidRPr="00DE1431" w:rsidP="008101A5" w14:paraId="12211001" w14:textId="77777777">
      <w:pPr>
        <w:pStyle w:val="ListParagraph"/>
        <w:numPr>
          <w:ilvl w:val="0"/>
          <w:numId w:val="14"/>
        </w:numPr>
      </w:pPr>
      <w:r w:rsidRPr="00DE1431">
        <w:t>The collection is low-burden for respondents and low-cost for the Federal Government.</w:t>
      </w:r>
    </w:p>
    <w:p w:rsidR="008101A5" w:rsidRPr="00DE1431" w:rsidP="008101A5" w14:paraId="196FB229"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6D12806B"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79D58B8B"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10574B4F"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7FF0DA41" w14:textId="77777777"/>
    <w:p w:rsidR="009C13B9" w:rsidRPr="00DE1431" w:rsidP="009C13B9" w14:paraId="55F1F788" w14:textId="77777777">
      <w:r w:rsidRPr="00DE1431">
        <w:t>Name</w:t>
      </w:r>
      <w:r w:rsidRPr="00DE1431" w:rsidR="00DF5E90">
        <w:rPr>
          <w:u w:val="single"/>
        </w:rPr>
        <w:t xml:space="preserve">: </w:t>
      </w:r>
      <w:r w:rsidR="00296338">
        <w:rPr>
          <w:u w:val="single"/>
        </w:rPr>
        <w:t>Devon Adams</w:t>
      </w:r>
    </w:p>
    <w:p w:rsidR="00C57479" w:rsidRPr="00DE1431" w:rsidP="009C13B9" w14:paraId="3EB2096D" w14:textId="77777777">
      <w:pPr>
        <w:pStyle w:val="ListParagraph"/>
        <w:ind w:left="360"/>
      </w:pPr>
      <w:r w:rsidRPr="00DE1431">
        <w:t xml:space="preserve">       </w:t>
      </w:r>
    </w:p>
    <w:p w:rsidR="009C13B9" w:rsidRPr="00DE1431" w:rsidP="009C13B9" w14:paraId="4F207F73" w14:textId="77777777">
      <w:r w:rsidRPr="00DE1431">
        <w:t>To assist review, please provide answers to the following question:</w:t>
      </w:r>
    </w:p>
    <w:p w:rsidR="009C13B9" w:rsidRPr="00DE1431" w:rsidP="009C13B9" w14:paraId="2CC64B5A" w14:textId="77777777">
      <w:pPr>
        <w:pStyle w:val="ListParagraph"/>
        <w:ind w:left="360"/>
      </w:pPr>
    </w:p>
    <w:p w:rsidR="009C13B9" w:rsidRPr="00DE1431" w:rsidP="00C86E91" w14:paraId="4E4576BD" w14:textId="77777777">
      <w:pPr>
        <w:rPr>
          <w:b/>
        </w:rPr>
      </w:pPr>
      <w:r w:rsidRPr="006C5610">
        <w:rPr>
          <w:b/>
        </w:rPr>
        <w:t>Personally Identifiable Information:</w:t>
      </w:r>
    </w:p>
    <w:p w:rsidR="00C86E91" w:rsidRPr="00DE1431" w:rsidP="00C86E91" w14:paraId="59E90F98" w14:textId="7777777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 Yes  [</w:t>
      </w:r>
      <w:r w:rsidR="00485AD3">
        <w:t>X</w:t>
      </w:r>
      <w:r w:rsidRPr="00DE1431" w:rsidR="009239AA">
        <w:t xml:space="preserve">]  No </w:t>
      </w:r>
    </w:p>
    <w:p w:rsidR="00C86E91" w:rsidRPr="00DE1431" w:rsidP="00C86E91" w14:paraId="5D081960" w14:textId="77777777">
      <w:pPr>
        <w:pStyle w:val="ListParagraph"/>
        <w:numPr>
          <w:ilvl w:val="0"/>
          <w:numId w:val="18"/>
        </w:numPr>
      </w:pPr>
      <w:r w:rsidRPr="00DE1431">
        <w:t xml:space="preserve">If </w:t>
      </w:r>
      <w:r w:rsidRPr="00DE1431" w:rsidR="009239AA">
        <w:t>Yes,</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  ] Yes [</w:t>
      </w:r>
      <w:r w:rsidRPr="00DE1431" w:rsidR="0023025C">
        <w:t xml:space="preserve"> </w:t>
      </w:r>
      <w:r w:rsidRPr="00DE1431" w:rsidR="009239AA">
        <w:t>] No</w:t>
      </w:r>
      <w:r w:rsidRPr="00DE1431">
        <w:t xml:space="preserve">   </w:t>
      </w:r>
    </w:p>
    <w:p w:rsidR="00C86E91" w:rsidRPr="00DE1431" w:rsidP="00C86E91" w14:paraId="1AC26BF1"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  ] Yes  [</w:t>
      </w:r>
      <w:r w:rsidRPr="00DE1431" w:rsidR="00AB5B0F">
        <w:t xml:space="preserve"> </w:t>
      </w:r>
      <w:r w:rsidRPr="00DE1431">
        <w:t>] No</w:t>
      </w:r>
    </w:p>
    <w:p w:rsidR="00996C3B" w:rsidRPr="00DE1431" w:rsidP="00996C3B" w14:paraId="2FB3BDE4"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1D88964B" w14:textId="77777777">
      <w:pPr>
        <w:pStyle w:val="ListParagraph"/>
        <w:ind w:left="0"/>
      </w:pPr>
    </w:p>
    <w:p w:rsidR="00CF6542" w:rsidRPr="00DE1431" w:rsidP="00C86E91" w14:paraId="1BFA7325" w14:textId="77777777">
      <w:pPr>
        <w:pStyle w:val="ListParagraph"/>
        <w:ind w:left="0"/>
        <w:rPr>
          <w:b/>
        </w:rPr>
      </w:pPr>
    </w:p>
    <w:p w:rsidR="00C86E91" w:rsidRPr="00DE1431" w:rsidP="00C86E91" w14:paraId="7220193F" w14:textId="77777777">
      <w:pPr>
        <w:pStyle w:val="ListParagraph"/>
        <w:ind w:left="0"/>
        <w:rPr>
          <w:b/>
        </w:rPr>
      </w:pPr>
      <w:r w:rsidRPr="006C5610">
        <w:rPr>
          <w:b/>
        </w:rPr>
        <w:t>Gifts or Payments</w:t>
      </w:r>
      <w:r w:rsidRPr="006C5610">
        <w:rPr>
          <w:b/>
        </w:rPr>
        <w:t>:</w:t>
      </w:r>
    </w:p>
    <w:p w:rsidR="00C86E91" w:rsidRPr="00DE1431" w:rsidP="00C86E91" w14:paraId="547578AD" w14:textId="77777777">
      <w:r w:rsidRPr="00DE1431">
        <w:t>Is an incentive (e.g., money or reimbursement of expenses, token of appreciation) provided to participants?  [  ] Yes [</w:t>
      </w:r>
      <w:r w:rsidR="00485AD3">
        <w:t>X</w:t>
      </w:r>
      <w:r w:rsidRPr="00DE1431">
        <w:t xml:space="preserve">] No  </w:t>
      </w:r>
    </w:p>
    <w:p w:rsidR="00996C3B" w:rsidRPr="00DE1431" w:rsidP="00996C3B" w14:paraId="39A3692D" w14:textId="77777777">
      <w:pPr>
        <w:pStyle w:val="Default"/>
        <w:rPr>
          <w:rFonts w:ascii="Times New Roman" w:hAnsi="Times New Roman" w:cs="Times New Roman"/>
        </w:rPr>
      </w:pPr>
    </w:p>
    <w:p w:rsidR="00996C3B" w:rsidRPr="00DE1431" w:rsidP="00996C3B" w14:paraId="4D06C581"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17D3BDC2" w14:textId="77777777"/>
    <w:p w:rsidR="004D6E14" w:rsidRPr="00DE1431" w14:paraId="3123716D" w14:textId="77777777">
      <w:pPr>
        <w:rPr>
          <w:b/>
        </w:rPr>
      </w:pPr>
    </w:p>
    <w:p w:rsidR="00996C3B" w:rsidRPr="00DE1431" w:rsidP="00996C3B" w14:paraId="37C3340C"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56B074D8"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4A7F5D0F"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1321D315"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13AB7CD0"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34DFE32C"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0C1ADDE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7DBF0B34"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251DBD82"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00FBE232"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5A2153F5"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4B9EB5E5" w14:textId="77777777">
      <w:pPr>
        <w:rPr>
          <w:i/>
        </w:rPr>
      </w:pPr>
    </w:p>
    <w:p w:rsidR="006832D9" w:rsidRPr="00DE1431" w:rsidP="00F3170F" w14:paraId="22B4F9F8" w14:textId="77777777">
      <w:pPr>
        <w:keepNext/>
        <w:keepLines/>
        <w:rPr>
          <w:b/>
        </w:rPr>
      </w:pPr>
      <w:r w:rsidRPr="006C5610">
        <w:rPr>
          <w:b/>
        </w:rPr>
        <w:t>Burden Table</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7"/>
        <w:gridCol w:w="1531"/>
        <w:gridCol w:w="3240"/>
        <w:gridCol w:w="1840"/>
      </w:tblGrid>
      <w:tr w14:paraId="5D01A5D5" w14:textId="77777777" w:rsidTr="00F92FD4">
        <w:tblPrEx>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3"/>
        </w:trPr>
        <w:tc>
          <w:tcPr>
            <w:tcW w:w="3707" w:type="dxa"/>
            <w:shd w:val="clear" w:color="auto" w:fill="auto"/>
            <w:vAlign w:val="center"/>
          </w:tcPr>
          <w:p w:rsidR="007D1F87" w:rsidRPr="00F92FD4" w:rsidP="007D1F87" w14:paraId="13E66887" w14:textId="77777777">
            <w:pPr>
              <w:contextualSpacing/>
              <w:rPr>
                <w:b/>
                <w:bCs/>
              </w:rPr>
            </w:pPr>
          </w:p>
          <w:p w:rsidR="007D1F87" w:rsidRPr="00F92FD4" w:rsidP="007D1F87" w14:paraId="0944B6D2" w14:textId="77777777">
            <w:pPr>
              <w:contextualSpacing/>
              <w:rPr>
                <w:b/>
                <w:bCs/>
              </w:rPr>
            </w:pPr>
            <w:r w:rsidRPr="00F92FD4">
              <w:rPr>
                <w:b/>
                <w:bCs/>
              </w:rPr>
              <w:t>Category of Respondent</w:t>
            </w:r>
          </w:p>
        </w:tc>
        <w:tc>
          <w:tcPr>
            <w:tcW w:w="1531" w:type="dxa"/>
            <w:shd w:val="clear" w:color="auto" w:fill="auto"/>
            <w:vAlign w:val="center"/>
          </w:tcPr>
          <w:p w:rsidR="007D1F87" w:rsidRPr="00F92FD4" w:rsidP="007D1F87" w14:paraId="2C265D79" w14:textId="77777777">
            <w:pPr>
              <w:contextualSpacing/>
              <w:rPr>
                <w:b/>
                <w:bCs/>
              </w:rPr>
            </w:pPr>
            <w:r w:rsidRPr="00F92FD4">
              <w:rPr>
                <w:b/>
                <w:bCs/>
              </w:rPr>
              <w:t>Number of Respondents</w:t>
            </w:r>
          </w:p>
        </w:tc>
        <w:tc>
          <w:tcPr>
            <w:tcW w:w="3240" w:type="dxa"/>
            <w:shd w:val="clear" w:color="auto" w:fill="auto"/>
            <w:vAlign w:val="center"/>
          </w:tcPr>
          <w:p w:rsidR="007D1F87" w:rsidRPr="00F92FD4" w:rsidP="007D1F87" w14:paraId="56DCB3DC" w14:textId="77777777">
            <w:pPr>
              <w:contextualSpacing/>
              <w:rPr>
                <w:b/>
                <w:bCs/>
              </w:rPr>
            </w:pPr>
            <w:r w:rsidRPr="00F92FD4">
              <w:rPr>
                <w:b/>
                <w:bCs/>
              </w:rPr>
              <w:t>Participation time to update frame information including any necessary follow-up</w:t>
            </w:r>
          </w:p>
        </w:tc>
        <w:tc>
          <w:tcPr>
            <w:tcW w:w="1840" w:type="dxa"/>
            <w:shd w:val="clear" w:color="auto" w:fill="auto"/>
            <w:vAlign w:val="center"/>
          </w:tcPr>
          <w:p w:rsidR="007D1F87" w:rsidRPr="00F92FD4" w:rsidP="007D1F87" w14:paraId="6BECF502" w14:textId="77777777">
            <w:pPr>
              <w:contextualSpacing/>
              <w:rPr>
                <w:b/>
                <w:bCs/>
              </w:rPr>
            </w:pPr>
          </w:p>
          <w:p w:rsidR="007D1F87" w:rsidRPr="00F92FD4" w:rsidP="007D1F87" w14:paraId="7C8031C1" w14:textId="77777777">
            <w:pPr>
              <w:contextualSpacing/>
              <w:rPr>
                <w:b/>
                <w:bCs/>
              </w:rPr>
            </w:pPr>
            <w:r w:rsidRPr="00F92FD4">
              <w:rPr>
                <w:b/>
                <w:bCs/>
              </w:rPr>
              <w:t>Burden</w:t>
            </w:r>
          </w:p>
        </w:tc>
      </w:tr>
      <w:tr w14:paraId="2FFCC939" w14:textId="77777777" w:rsidTr="00F92FD4">
        <w:tblPrEx>
          <w:tblW w:w="10318" w:type="dxa"/>
          <w:tblLook w:val="04A0"/>
        </w:tblPrEx>
        <w:trPr>
          <w:trHeight w:val="323"/>
        </w:trPr>
        <w:tc>
          <w:tcPr>
            <w:tcW w:w="3707" w:type="dxa"/>
            <w:shd w:val="clear" w:color="auto" w:fill="auto"/>
            <w:vAlign w:val="center"/>
          </w:tcPr>
          <w:p w:rsidR="007D1F87" w:rsidP="007D1F87" w14:paraId="2343CBCD" w14:textId="77777777">
            <w:pPr>
              <w:contextualSpacing/>
            </w:pPr>
            <w:r>
              <w:t>(State, Local or Tribal Governments) updating community-based facilities</w:t>
            </w:r>
          </w:p>
        </w:tc>
        <w:tc>
          <w:tcPr>
            <w:tcW w:w="1531" w:type="dxa"/>
            <w:shd w:val="clear" w:color="auto" w:fill="auto"/>
            <w:vAlign w:val="center"/>
          </w:tcPr>
          <w:p w:rsidR="007D1F87" w:rsidP="007D1F87" w14:paraId="7AEE2EC4" w14:textId="77777777">
            <w:pPr>
              <w:contextualSpacing/>
            </w:pPr>
          </w:p>
          <w:p w:rsidR="007D1F87" w:rsidP="007D1F87" w14:paraId="1E85175B" w14:textId="77777777">
            <w:pPr>
              <w:contextualSpacing/>
            </w:pPr>
            <w:r>
              <w:t>50</w:t>
            </w:r>
          </w:p>
        </w:tc>
        <w:tc>
          <w:tcPr>
            <w:tcW w:w="3240" w:type="dxa"/>
            <w:shd w:val="clear" w:color="auto" w:fill="auto"/>
            <w:vAlign w:val="center"/>
          </w:tcPr>
          <w:p w:rsidR="007D1F87" w:rsidP="007D1F87" w14:paraId="72DDC52A" w14:textId="77777777">
            <w:pPr>
              <w:contextualSpacing/>
            </w:pPr>
          </w:p>
          <w:p w:rsidR="007D1F87" w:rsidP="007D1F87" w14:paraId="40E1C48F" w14:textId="77777777">
            <w:pPr>
              <w:contextualSpacing/>
            </w:pPr>
            <w:r>
              <w:t>3</w:t>
            </w:r>
            <w:r w:rsidR="0085445C">
              <w:t>0</w:t>
            </w:r>
            <w:r>
              <w:t xml:space="preserve"> minutes</w:t>
            </w:r>
          </w:p>
        </w:tc>
        <w:tc>
          <w:tcPr>
            <w:tcW w:w="1840" w:type="dxa"/>
            <w:shd w:val="clear" w:color="auto" w:fill="auto"/>
            <w:vAlign w:val="center"/>
          </w:tcPr>
          <w:p w:rsidR="007D1F87" w:rsidP="007D1F87" w14:paraId="303E75CC" w14:textId="77777777">
            <w:pPr>
              <w:contextualSpacing/>
            </w:pPr>
          </w:p>
          <w:p w:rsidR="007D1F87" w:rsidP="007D1F87" w14:paraId="6739D066" w14:textId="77777777">
            <w:pPr>
              <w:contextualSpacing/>
            </w:pPr>
            <w:r>
              <w:t>2</w:t>
            </w:r>
            <w:r w:rsidR="0085445C">
              <w:t>5</w:t>
            </w:r>
            <w:r>
              <w:t xml:space="preserve"> hours</w:t>
            </w:r>
          </w:p>
        </w:tc>
      </w:tr>
      <w:tr w14:paraId="615DA120" w14:textId="77777777" w:rsidTr="00F92FD4">
        <w:tblPrEx>
          <w:tblW w:w="10318" w:type="dxa"/>
          <w:tblLook w:val="04A0"/>
        </w:tblPrEx>
        <w:trPr>
          <w:trHeight w:val="233"/>
        </w:trPr>
        <w:tc>
          <w:tcPr>
            <w:tcW w:w="3707" w:type="dxa"/>
            <w:shd w:val="clear" w:color="auto" w:fill="auto"/>
            <w:vAlign w:val="center"/>
          </w:tcPr>
          <w:p w:rsidR="007D1F87" w:rsidRPr="009A6ECE" w:rsidP="007D1F87" w14:paraId="0FC06654" w14:textId="77777777">
            <w:pPr>
              <w:contextualSpacing/>
            </w:pPr>
            <w:r>
              <w:t>(State, Local or Tribal Governments) updating confinement facilities</w:t>
            </w:r>
          </w:p>
        </w:tc>
        <w:tc>
          <w:tcPr>
            <w:tcW w:w="1531" w:type="dxa"/>
            <w:shd w:val="clear" w:color="auto" w:fill="auto"/>
            <w:vAlign w:val="center"/>
          </w:tcPr>
          <w:p w:rsidR="007D1F87" w:rsidP="007D1F87" w14:paraId="63225717" w14:textId="77777777">
            <w:pPr>
              <w:contextualSpacing/>
            </w:pPr>
            <w:r>
              <w:t>50</w:t>
            </w:r>
          </w:p>
        </w:tc>
        <w:tc>
          <w:tcPr>
            <w:tcW w:w="3240" w:type="dxa"/>
            <w:shd w:val="clear" w:color="auto" w:fill="auto"/>
            <w:vAlign w:val="center"/>
          </w:tcPr>
          <w:p w:rsidR="007D1F87" w:rsidP="007D1F87" w14:paraId="3773FE7F" w14:textId="77777777">
            <w:pPr>
              <w:contextualSpacing/>
            </w:pPr>
            <w:r>
              <w:t>2</w:t>
            </w:r>
            <w:r w:rsidR="0085445C">
              <w:t>0</w:t>
            </w:r>
            <w:r>
              <w:t xml:space="preserve"> minutes</w:t>
            </w:r>
          </w:p>
        </w:tc>
        <w:tc>
          <w:tcPr>
            <w:tcW w:w="1840" w:type="dxa"/>
            <w:shd w:val="clear" w:color="auto" w:fill="auto"/>
            <w:vAlign w:val="center"/>
          </w:tcPr>
          <w:p w:rsidR="007D1F87" w:rsidP="007D1F87" w14:paraId="77F7329D" w14:textId="77777777">
            <w:pPr>
              <w:contextualSpacing/>
            </w:pPr>
            <w:r>
              <w:t>17</w:t>
            </w:r>
            <w:r>
              <w:t xml:space="preserve"> hours</w:t>
            </w:r>
          </w:p>
        </w:tc>
      </w:tr>
      <w:tr w14:paraId="75D5A597" w14:textId="77777777" w:rsidTr="00F92FD4">
        <w:tblPrEx>
          <w:tblW w:w="10318" w:type="dxa"/>
          <w:tblLook w:val="04A0"/>
        </w:tblPrEx>
        <w:trPr>
          <w:trHeight w:val="233"/>
        </w:trPr>
        <w:tc>
          <w:tcPr>
            <w:tcW w:w="3707" w:type="dxa"/>
            <w:shd w:val="clear" w:color="auto" w:fill="auto"/>
            <w:vAlign w:val="center"/>
          </w:tcPr>
          <w:p w:rsidR="0085445C" w:rsidP="0085445C" w14:paraId="5FFB3EA3" w14:textId="77777777">
            <w:pPr>
              <w:contextualSpacing/>
            </w:pPr>
            <w:r>
              <w:t>(State, Local or Tribal Governments) follow-up to obtain missing information</w:t>
            </w:r>
          </w:p>
        </w:tc>
        <w:tc>
          <w:tcPr>
            <w:tcW w:w="1531" w:type="dxa"/>
            <w:shd w:val="clear" w:color="auto" w:fill="auto"/>
            <w:vAlign w:val="center"/>
          </w:tcPr>
          <w:p w:rsidR="0085445C" w:rsidP="0085445C" w14:paraId="449ED047" w14:textId="77777777">
            <w:pPr>
              <w:contextualSpacing/>
            </w:pPr>
            <w:r>
              <w:t>50</w:t>
            </w:r>
          </w:p>
        </w:tc>
        <w:tc>
          <w:tcPr>
            <w:tcW w:w="3240" w:type="dxa"/>
            <w:shd w:val="clear" w:color="auto" w:fill="auto"/>
            <w:vAlign w:val="center"/>
          </w:tcPr>
          <w:p w:rsidR="0085445C" w:rsidP="0085445C" w14:paraId="1BA8FE33" w14:textId="77777777">
            <w:pPr>
              <w:contextualSpacing/>
            </w:pPr>
            <w:r>
              <w:t>10 minutes</w:t>
            </w:r>
          </w:p>
        </w:tc>
        <w:tc>
          <w:tcPr>
            <w:tcW w:w="1840" w:type="dxa"/>
            <w:shd w:val="clear" w:color="auto" w:fill="auto"/>
            <w:vAlign w:val="center"/>
          </w:tcPr>
          <w:p w:rsidR="0085445C" w:rsidP="0085445C" w14:paraId="3D2CAC2A" w14:textId="77777777">
            <w:pPr>
              <w:contextualSpacing/>
            </w:pPr>
            <w:r>
              <w:t>8 hours</w:t>
            </w:r>
          </w:p>
        </w:tc>
      </w:tr>
      <w:tr w14:paraId="2CFEC3F1" w14:textId="77777777" w:rsidTr="00F92FD4">
        <w:tblPrEx>
          <w:tblW w:w="10318" w:type="dxa"/>
          <w:tblLook w:val="04A0"/>
        </w:tblPrEx>
        <w:trPr>
          <w:trHeight w:val="233"/>
        </w:trPr>
        <w:tc>
          <w:tcPr>
            <w:tcW w:w="3707" w:type="dxa"/>
            <w:shd w:val="clear" w:color="auto" w:fill="auto"/>
            <w:vAlign w:val="center"/>
          </w:tcPr>
          <w:p w:rsidR="0085445C" w:rsidP="0085445C" w14:paraId="203E85FF" w14:textId="77777777">
            <w:pPr>
              <w:contextualSpacing/>
            </w:pPr>
          </w:p>
        </w:tc>
        <w:tc>
          <w:tcPr>
            <w:tcW w:w="1531" w:type="dxa"/>
            <w:shd w:val="clear" w:color="auto" w:fill="auto"/>
            <w:vAlign w:val="center"/>
          </w:tcPr>
          <w:p w:rsidR="0085445C" w:rsidP="0085445C" w14:paraId="19A75018" w14:textId="77777777">
            <w:pPr>
              <w:contextualSpacing/>
            </w:pPr>
          </w:p>
        </w:tc>
        <w:tc>
          <w:tcPr>
            <w:tcW w:w="3240" w:type="dxa"/>
            <w:shd w:val="clear" w:color="auto" w:fill="auto"/>
            <w:vAlign w:val="center"/>
          </w:tcPr>
          <w:p w:rsidR="0085445C" w:rsidP="0085445C" w14:paraId="42B874FF" w14:textId="77777777">
            <w:pPr>
              <w:contextualSpacing/>
            </w:pPr>
          </w:p>
        </w:tc>
        <w:tc>
          <w:tcPr>
            <w:tcW w:w="1840" w:type="dxa"/>
            <w:shd w:val="clear" w:color="auto" w:fill="auto"/>
            <w:vAlign w:val="center"/>
          </w:tcPr>
          <w:p w:rsidR="0085445C" w:rsidP="0085445C" w14:paraId="396D3108" w14:textId="77777777">
            <w:pPr>
              <w:contextualSpacing/>
            </w:pPr>
          </w:p>
        </w:tc>
      </w:tr>
      <w:tr w14:paraId="5FC7C10E" w14:textId="77777777" w:rsidTr="00F92FD4">
        <w:tblPrEx>
          <w:tblW w:w="10318" w:type="dxa"/>
          <w:tblLook w:val="04A0"/>
        </w:tblPrEx>
        <w:trPr>
          <w:trHeight w:val="233"/>
        </w:trPr>
        <w:tc>
          <w:tcPr>
            <w:tcW w:w="3707" w:type="dxa"/>
            <w:shd w:val="clear" w:color="auto" w:fill="auto"/>
            <w:vAlign w:val="center"/>
          </w:tcPr>
          <w:p w:rsidR="0085445C" w:rsidRPr="00F92FD4" w:rsidP="0085445C" w14:paraId="44AFCBB1" w14:textId="77777777">
            <w:pPr>
              <w:contextualSpacing/>
              <w:rPr>
                <w:b/>
                <w:bCs/>
              </w:rPr>
            </w:pPr>
            <w:r w:rsidRPr="00F92FD4">
              <w:rPr>
                <w:b/>
                <w:bCs/>
              </w:rPr>
              <w:t>Total</w:t>
            </w:r>
          </w:p>
        </w:tc>
        <w:tc>
          <w:tcPr>
            <w:tcW w:w="1531" w:type="dxa"/>
            <w:shd w:val="clear" w:color="auto" w:fill="auto"/>
            <w:vAlign w:val="center"/>
          </w:tcPr>
          <w:p w:rsidR="0085445C" w:rsidRPr="00F92FD4" w:rsidP="0085445C" w14:paraId="272628A8" w14:textId="77777777">
            <w:pPr>
              <w:contextualSpacing/>
              <w:rPr>
                <w:b/>
                <w:bCs/>
              </w:rPr>
            </w:pPr>
          </w:p>
        </w:tc>
        <w:tc>
          <w:tcPr>
            <w:tcW w:w="3240" w:type="dxa"/>
            <w:shd w:val="clear" w:color="auto" w:fill="auto"/>
            <w:vAlign w:val="center"/>
          </w:tcPr>
          <w:p w:rsidR="0085445C" w:rsidRPr="00F92FD4" w:rsidP="0085445C" w14:paraId="7DF28952" w14:textId="77777777">
            <w:pPr>
              <w:contextualSpacing/>
              <w:rPr>
                <w:b/>
                <w:bCs/>
              </w:rPr>
            </w:pPr>
          </w:p>
        </w:tc>
        <w:tc>
          <w:tcPr>
            <w:tcW w:w="1840" w:type="dxa"/>
            <w:shd w:val="clear" w:color="auto" w:fill="auto"/>
            <w:vAlign w:val="center"/>
          </w:tcPr>
          <w:p w:rsidR="0085445C" w:rsidRPr="00F92FD4" w:rsidP="0085445C" w14:paraId="5C8B1C41" w14:textId="77777777">
            <w:pPr>
              <w:contextualSpacing/>
              <w:rPr>
                <w:b/>
                <w:bCs/>
              </w:rPr>
            </w:pPr>
            <w:r w:rsidRPr="00F92FD4">
              <w:rPr>
                <w:b/>
                <w:bCs/>
              </w:rPr>
              <w:t>50 hours</w:t>
            </w:r>
          </w:p>
        </w:tc>
      </w:tr>
    </w:tbl>
    <w:p w:rsidR="002F13A7" w:rsidP="00F3170F" w14:paraId="0D460EF4" w14:textId="77777777"/>
    <w:p w:rsidR="006C5610" w:rsidRPr="00A13B3A" w:rsidP="006C5610" w14:paraId="53B86A73" w14:textId="77777777">
      <w:pPr>
        <w:pStyle w:val="BodyTextFirstIndent"/>
        <w:spacing w:after="0"/>
        <w:ind w:firstLine="0"/>
        <w:rPr>
          <w:b/>
          <w:bCs/>
        </w:rPr>
      </w:pPr>
      <w:r w:rsidRPr="006C5610">
        <w:rPr>
          <w:b/>
        </w:rPr>
        <w:t xml:space="preserve">FEDERAL </w:t>
      </w:r>
      <w:r w:rsidRPr="006C5610" w:rsidR="009F5923">
        <w:rPr>
          <w:b/>
        </w:rPr>
        <w:t>COST</w:t>
      </w:r>
      <w:r w:rsidRPr="00DE1431" w:rsidR="00F06866">
        <w:rPr>
          <w:b/>
        </w:rPr>
        <w:t>:</w:t>
      </w:r>
      <w:r w:rsidRPr="00DE1431" w:rsidR="00895229">
        <w:rPr>
          <w:b/>
        </w:rPr>
        <w:t xml:space="preserve"> </w:t>
      </w:r>
      <w:r w:rsidRPr="00DE1431" w:rsidR="00C86E91">
        <w:rPr>
          <w:b/>
        </w:rPr>
        <w:t xml:space="preserve"> </w:t>
      </w:r>
      <w:r w:rsidRPr="004C7EBC">
        <w:t>The estimated cost to the Federal government is $</w:t>
      </w:r>
      <w:r>
        <w:t>102,113</w:t>
      </w:r>
      <w:r w:rsidRPr="004C7EBC">
        <w:t xml:space="preserve"> for </w:t>
      </w:r>
      <w:r>
        <w:t>the RTI</w:t>
      </w:r>
      <w:r w:rsidRPr="004C7EBC">
        <w:t xml:space="preserve"> portion of the work and an estimated $</w:t>
      </w:r>
      <w:r>
        <w:t xml:space="preserve">4,709 </w:t>
      </w:r>
      <w:r w:rsidRPr="004C7EBC">
        <w:t xml:space="preserve">for </w:t>
      </w:r>
      <w:r>
        <w:t>60</w:t>
      </w:r>
      <w:r w:rsidRPr="004C7EBC">
        <w:t xml:space="preserve"> hours of the GS-1</w:t>
      </w:r>
      <w:r>
        <w:t>4</w:t>
      </w:r>
      <w:r w:rsidRPr="004C7EBC">
        <w:t xml:space="preserve"> project manager’s work for a total of $</w:t>
      </w:r>
      <w:r>
        <w:t>106,822.</w:t>
      </w:r>
    </w:p>
    <w:p w:rsidR="005E714A" w:rsidRPr="00A879E7" w14:paraId="64D8A660" w14:textId="77777777">
      <w:pPr>
        <w:rPr>
          <w:b/>
        </w:rPr>
      </w:pPr>
    </w:p>
    <w:p w:rsidR="00C57479" w:rsidRPr="00DE1431" w14:paraId="6673A097" w14:textId="77777777">
      <w:pPr>
        <w:rPr>
          <w:bCs/>
        </w:rPr>
      </w:pPr>
    </w:p>
    <w:p w:rsidR="0069403B" w:rsidRPr="00DE1431" w:rsidP="00F06866" w14:paraId="7CE4BA63"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6DCF59A1" w14:textId="77777777">
      <w:pPr>
        <w:rPr>
          <w:b/>
        </w:rPr>
      </w:pPr>
    </w:p>
    <w:p w:rsidR="00F06866" w:rsidRPr="00DE1431" w:rsidP="00F06866" w14:paraId="46AE6475"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2B50B6CB" w14:textId="77777777">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FC65EF">
        <w:t>X</w:t>
      </w:r>
      <w:r w:rsidRPr="00DE1431" w:rsidR="00DE1431">
        <w:t xml:space="preserve"> </w:t>
      </w:r>
      <w:r w:rsidRPr="00DE1431">
        <w:t>] Yes</w:t>
      </w:r>
      <w:r w:rsidRPr="00DE1431">
        <w:tab/>
        <w:t>[] No</w:t>
      </w:r>
    </w:p>
    <w:p w:rsidR="00636621" w:rsidP="001B0AAA" w14:paraId="52815EDD"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A879E7" w:rsidRPr="00DE1431" w:rsidP="001B0AAA" w14:paraId="48212B50" w14:textId="77777777"/>
    <w:p w:rsidR="00906B5E" w:rsidRPr="00DE1431" w:rsidP="008E03C3" w14:paraId="3B876C89" w14:textId="77777777">
      <w:pPr>
        <w:ind w:left="360"/>
      </w:pPr>
      <w:r>
        <w:t xml:space="preserve">The </w:t>
      </w:r>
      <w:r w:rsidR="00392922">
        <w:t xml:space="preserve">universe for the CCF-frame </w:t>
      </w:r>
      <w:r w:rsidR="0023534D">
        <w:t xml:space="preserve">update </w:t>
      </w:r>
      <w:r w:rsidR="00392922">
        <w:t xml:space="preserve">effort includes each of the 50 state respondents to BJS’s National Prisoners Statistics program (NPS-1B). Respondents are typically researcher or data analysts from the 50 state Department of Corrections (DOCs). Each respondent, as well as the Agency Head will receive a letter requesting participation in this collection. </w:t>
      </w:r>
    </w:p>
    <w:p w:rsidR="004D6E14" w:rsidRPr="00DE1431" w:rsidP="00A403BB" w14:paraId="555BA0C1" w14:textId="77777777">
      <w:pPr>
        <w:rPr>
          <w:b/>
        </w:rPr>
      </w:pPr>
    </w:p>
    <w:p w:rsidR="00A403BB" w:rsidRPr="00DE1431" w:rsidP="00A403BB" w14:paraId="3732F5EA" w14:textId="77777777">
      <w:pPr>
        <w:rPr>
          <w:b/>
        </w:rPr>
      </w:pPr>
      <w:r w:rsidRPr="00DE1431">
        <w:rPr>
          <w:b/>
        </w:rPr>
        <w:t>Administration of the Instrument</w:t>
      </w:r>
    </w:p>
    <w:p w:rsidR="00A403BB" w:rsidRPr="00DE1431" w:rsidP="00A403BB" w14:paraId="3910D7C4" w14:textId="77777777">
      <w:pPr>
        <w:pStyle w:val="ListParagraph"/>
        <w:numPr>
          <w:ilvl w:val="0"/>
          <w:numId w:val="17"/>
        </w:numPr>
      </w:pPr>
      <w:r w:rsidRPr="00DE1431">
        <w:t>H</w:t>
      </w:r>
      <w:r w:rsidRPr="00DE1431">
        <w:t>ow will you collect the information? (Check all that apply)</w:t>
      </w:r>
    </w:p>
    <w:p w:rsidR="001B0AAA" w:rsidRPr="00DE1431" w:rsidP="001B0AAA" w14:paraId="5632582A" w14:textId="77777777">
      <w:pPr>
        <w:ind w:left="720"/>
      </w:pPr>
      <w:r w:rsidRPr="00DE1431">
        <w:t>[</w:t>
      </w:r>
      <w:r w:rsidR="004459A3">
        <w:t>X</w:t>
      </w:r>
      <w:r w:rsidRPr="00DE1431">
        <w:t>] Web-based</w:t>
      </w:r>
      <w:r w:rsidRPr="00DE1431">
        <w:t xml:space="preserve"> or other forms of Social Media </w:t>
      </w:r>
    </w:p>
    <w:p w:rsidR="001B0AAA" w:rsidRPr="00DE1431" w:rsidP="001B0AAA" w14:paraId="646D148E" w14:textId="77777777">
      <w:pPr>
        <w:ind w:left="720"/>
      </w:pPr>
      <w:r w:rsidRPr="00DE1431">
        <w:t>[</w:t>
      </w:r>
      <w:r w:rsidR="004459A3">
        <w:t>X</w:t>
      </w:r>
      <w:r w:rsidRPr="00DE1431">
        <w:t>] Telephone</w:t>
      </w:r>
      <w:r w:rsidRPr="00DE1431">
        <w:tab/>
      </w:r>
    </w:p>
    <w:p w:rsidR="001B0AAA" w:rsidRPr="00DE1431" w:rsidP="001B0AAA" w14:paraId="47BA687F" w14:textId="77777777">
      <w:pPr>
        <w:ind w:left="720"/>
      </w:pPr>
      <w:r w:rsidRPr="00DE1431">
        <w:t>[</w:t>
      </w:r>
      <w:r w:rsidRPr="00DE1431">
        <w:t xml:space="preserve"> </w:t>
      </w:r>
      <w:r w:rsidR="00392922">
        <w:t xml:space="preserve"> </w:t>
      </w:r>
      <w:r w:rsidRPr="00DE1431">
        <w:t xml:space="preserve"> ] In-person</w:t>
      </w:r>
      <w:r w:rsidRPr="00DE1431">
        <w:tab/>
      </w:r>
    </w:p>
    <w:p w:rsidR="001B0AAA" w:rsidRPr="00DE1431" w:rsidP="001B0AAA" w14:paraId="5547B2F7" w14:textId="77777777">
      <w:pPr>
        <w:ind w:left="720"/>
      </w:pPr>
      <w:r w:rsidRPr="00DE1431">
        <w:t>[</w:t>
      </w:r>
      <w:r w:rsidR="00FC65EF">
        <w:t>X</w:t>
      </w:r>
      <w:r w:rsidRPr="00DE1431">
        <w:t>] Mail</w:t>
      </w:r>
      <w:r w:rsidRPr="00DE1431">
        <w:t xml:space="preserve"> </w:t>
      </w:r>
      <w:r w:rsidR="00FC65EF">
        <w:t>(if email is not available)</w:t>
      </w:r>
    </w:p>
    <w:p w:rsidR="001B0AAA" w:rsidRPr="00DE1431" w:rsidP="001B0AAA" w14:paraId="3AA99DF9" w14:textId="77777777">
      <w:pPr>
        <w:ind w:left="720"/>
      </w:pPr>
      <w:r w:rsidRPr="00DE1431">
        <w:t>[</w:t>
      </w:r>
      <w:r w:rsidR="00392922">
        <w:t xml:space="preserve">   </w:t>
      </w:r>
      <w:r w:rsidRPr="00DE1431">
        <w:t>] Other, Explain</w:t>
      </w:r>
      <w:r w:rsidR="004459A3">
        <w:t>: Email</w:t>
      </w:r>
    </w:p>
    <w:p w:rsidR="00F24CFC" w:rsidRPr="00DE1431" w:rsidP="00F24CFC" w14:paraId="181E370C" w14:textId="77777777">
      <w:pPr>
        <w:pStyle w:val="ListParagraph"/>
        <w:numPr>
          <w:ilvl w:val="0"/>
          <w:numId w:val="17"/>
        </w:numPr>
      </w:pPr>
      <w:r w:rsidRPr="00DE1431">
        <w:t>Will interviewers or facilitators be used?  [  ] Yes [</w:t>
      </w:r>
      <w:r w:rsidR="00392922">
        <w:t>X</w:t>
      </w:r>
      <w:r w:rsidRPr="00DE1431">
        <w:t>] No</w:t>
      </w:r>
    </w:p>
    <w:p w:rsidR="00F24CFC" w:rsidRPr="00DE1431" w:rsidP="00F24CFC" w14:paraId="5A3275D0" w14:textId="77777777">
      <w:pPr>
        <w:pStyle w:val="ListParagraph"/>
        <w:ind w:left="360"/>
      </w:pPr>
      <w:r w:rsidRPr="00DE1431">
        <w:t xml:space="preserve"> </w:t>
      </w:r>
    </w:p>
    <w:p w:rsidR="00F24CFC" w:rsidRPr="00DE1431" w:rsidP="00F24CFC" w14:paraId="5CDE9E14" w14:textId="77777777">
      <w:pPr>
        <w:pStyle w:val="ListParagraph"/>
        <w:ind w:left="360"/>
      </w:pPr>
    </w:p>
    <w:p w:rsidR="005E714A" w:rsidRPr="00DE1431" w:rsidP="008228C3" w14:paraId="63634639"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7289D431"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670ED9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46541502">
    <w:abstractNumId w:val="11"/>
  </w:num>
  <w:num w:numId="2" w16cid:durableId="1701390652">
    <w:abstractNumId w:val="18"/>
  </w:num>
  <w:num w:numId="3" w16cid:durableId="586427159">
    <w:abstractNumId w:val="17"/>
  </w:num>
  <w:num w:numId="4" w16cid:durableId="1276400491">
    <w:abstractNumId w:val="20"/>
  </w:num>
  <w:num w:numId="5" w16cid:durableId="1777214993">
    <w:abstractNumId w:val="4"/>
  </w:num>
  <w:num w:numId="6" w16cid:durableId="210269887">
    <w:abstractNumId w:val="1"/>
  </w:num>
  <w:num w:numId="7" w16cid:durableId="1270359053">
    <w:abstractNumId w:val="9"/>
  </w:num>
  <w:num w:numId="8" w16cid:durableId="817843301">
    <w:abstractNumId w:val="15"/>
  </w:num>
  <w:num w:numId="9" w16cid:durableId="2129814217">
    <w:abstractNumId w:val="10"/>
  </w:num>
  <w:num w:numId="10" w16cid:durableId="1942714208">
    <w:abstractNumId w:val="2"/>
  </w:num>
  <w:num w:numId="11" w16cid:durableId="1556235508">
    <w:abstractNumId w:val="7"/>
  </w:num>
  <w:num w:numId="12" w16cid:durableId="1994292773">
    <w:abstractNumId w:val="8"/>
  </w:num>
  <w:num w:numId="13" w16cid:durableId="321540904">
    <w:abstractNumId w:val="0"/>
  </w:num>
  <w:num w:numId="14" w16cid:durableId="1885558426">
    <w:abstractNumId w:val="16"/>
  </w:num>
  <w:num w:numId="15" w16cid:durableId="225799621">
    <w:abstractNumId w:val="14"/>
  </w:num>
  <w:num w:numId="16" w16cid:durableId="2136023144">
    <w:abstractNumId w:val="13"/>
  </w:num>
  <w:num w:numId="17" w16cid:durableId="1740590495">
    <w:abstractNumId w:val="5"/>
  </w:num>
  <w:num w:numId="18" w16cid:durableId="151794500">
    <w:abstractNumId w:val="6"/>
  </w:num>
  <w:num w:numId="19" w16cid:durableId="2055158605">
    <w:abstractNumId w:val="3"/>
  </w:num>
  <w:num w:numId="20" w16cid:durableId="1257443980">
    <w:abstractNumId w:val="12"/>
  </w:num>
  <w:num w:numId="21" w16cid:durableId="8238176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348"/>
    <w:rsid w:val="000058D3"/>
    <w:rsid w:val="0001027E"/>
    <w:rsid w:val="00023A57"/>
    <w:rsid w:val="000479B2"/>
    <w:rsid w:val="00047A64"/>
    <w:rsid w:val="00067329"/>
    <w:rsid w:val="00086C7E"/>
    <w:rsid w:val="00093D40"/>
    <w:rsid w:val="000A7DA4"/>
    <w:rsid w:val="000B2838"/>
    <w:rsid w:val="000B3D29"/>
    <w:rsid w:val="000B44E6"/>
    <w:rsid w:val="000C4D31"/>
    <w:rsid w:val="000C6A89"/>
    <w:rsid w:val="000C79D1"/>
    <w:rsid w:val="000D44CA"/>
    <w:rsid w:val="000E1ACB"/>
    <w:rsid w:val="000E200B"/>
    <w:rsid w:val="000F68BE"/>
    <w:rsid w:val="0010488D"/>
    <w:rsid w:val="00112D6B"/>
    <w:rsid w:val="00135B4C"/>
    <w:rsid w:val="0017640C"/>
    <w:rsid w:val="00181401"/>
    <w:rsid w:val="00183F0D"/>
    <w:rsid w:val="00191B02"/>
    <w:rsid w:val="001927A4"/>
    <w:rsid w:val="00194AC6"/>
    <w:rsid w:val="001A23B0"/>
    <w:rsid w:val="001A25CC"/>
    <w:rsid w:val="001B0AAA"/>
    <w:rsid w:val="001C39F7"/>
    <w:rsid w:val="001D2716"/>
    <w:rsid w:val="001F39E4"/>
    <w:rsid w:val="00220747"/>
    <w:rsid w:val="0023025C"/>
    <w:rsid w:val="0023534D"/>
    <w:rsid w:val="00237B48"/>
    <w:rsid w:val="00244355"/>
    <w:rsid w:val="0024521E"/>
    <w:rsid w:val="0025468A"/>
    <w:rsid w:val="00263C3D"/>
    <w:rsid w:val="00274D0B"/>
    <w:rsid w:val="00286B21"/>
    <w:rsid w:val="00292D34"/>
    <w:rsid w:val="00296338"/>
    <w:rsid w:val="002A2D98"/>
    <w:rsid w:val="002B052D"/>
    <w:rsid w:val="002B34CD"/>
    <w:rsid w:val="002B3C95"/>
    <w:rsid w:val="002D0B92"/>
    <w:rsid w:val="002F13A7"/>
    <w:rsid w:val="003072A8"/>
    <w:rsid w:val="003275A9"/>
    <w:rsid w:val="00335D7B"/>
    <w:rsid w:val="00342553"/>
    <w:rsid w:val="00373799"/>
    <w:rsid w:val="00392922"/>
    <w:rsid w:val="003B5E21"/>
    <w:rsid w:val="003C45A8"/>
    <w:rsid w:val="003D5BBE"/>
    <w:rsid w:val="003E20E9"/>
    <w:rsid w:val="003E3C61"/>
    <w:rsid w:val="003F1C5B"/>
    <w:rsid w:val="003F393F"/>
    <w:rsid w:val="0041242E"/>
    <w:rsid w:val="00427DE9"/>
    <w:rsid w:val="00434E33"/>
    <w:rsid w:val="00441434"/>
    <w:rsid w:val="004459A3"/>
    <w:rsid w:val="0045264C"/>
    <w:rsid w:val="00462E26"/>
    <w:rsid w:val="00484CC5"/>
    <w:rsid w:val="00485AD3"/>
    <w:rsid w:val="004876EC"/>
    <w:rsid w:val="00491E4B"/>
    <w:rsid w:val="00495028"/>
    <w:rsid w:val="00495E1F"/>
    <w:rsid w:val="004C7EBC"/>
    <w:rsid w:val="004D6E14"/>
    <w:rsid w:val="004E2162"/>
    <w:rsid w:val="004E5A48"/>
    <w:rsid w:val="005009B0"/>
    <w:rsid w:val="00511CA6"/>
    <w:rsid w:val="0052005B"/>
    <w:rsid w:val="005236BD"/>
    <w:rsid w:val="00581956"/>
    <w:rsid w:val="005A1006"/>
    <w:rsid w:val="005C2A31"/>
    <w:rsid w:val="005D5192"/>
    <w:rsid w:val="005E4CBE"/>
    <w:rsid w:val="005E714A"/>
    <w:rsid w:val="005F693D"/>
    <w:rsid w:val="006140A0"/>
    <w:rsid w:val="00626A11"/>
    <w:rsid w:val="00636621"/>
    <w:rsid w:val="00642B49"/>
    <w:rsid w:val="00652515"/>
    <w:rsid w:val="006559C9"/>
    <w:rsid w:val="00660F98"/>
    <w:rsid w:val="00667FC8"/>
    <w:rsid w:val="006753BD"/>
    <w:rsid w:val="006832D9"/>
    <w:rsid w:val="00690752"/>
    <w:rsid w:val="0069403B"/>
    <w:rsid w:val="006A1518"/>
    <w:rsid w:val="006A7783"/>
    <w:rsid w:val="006C524E"/>
    <w:rsid w:val="006C5610"/>
    <w:rsid w:val="006D1FA8"/>
    <w:rsid w:val="006F3DDE"/>
    <w:rsid w:val="00704678"/>
    <w:rsid w:val="00730611"/>
    <w:rsid w:val="007425E7"/>
    <w:rsid w:val="00771B6F"/>
    <w:rsid w:val="007B0AA6"/>
    <w:rsid w:val="007D1F87"/>
    <w:rsid w:val="007D2DB2"/>
    <w:rsid w:val="007E05D6"/>
    <w:rsid w:val="007F7080"/>
    <w:rsid w:val="00802607"/>
    <w:rsid w:val="008101A5"/>
    <w:rsid w:val="00822664"/>
    <w:rsid w:val="008228C3"/>
    <w:rsid w:val="00833228"/>
    <w:rsid w:val="008353E6"/>
    <w:rsid w:val="00843796"/>
    <w:rsid w:val="0084667E"/>
    <w:rsid w:val="00846A23"/>
    <w:rsid w:val="0085445C"/>
    <w:rsid w:val="008669EE"/>
    <w:rsid w:val="00895229"/>
    <w:rsid w:val="008B049B"/>
    <w:rsid w:val="008B2EB3"/>
    <w:rsid w:val="008D3945"/>
    <w:rsid w:val="008E03C3"/>
    <w:rsid w:val="008F0203"/>
    <w:rsid w:val="008F50D4"/>
    <w:rsid w:val="008F63B5"/>
    <w:rsid w:val="00906B5E"/>
    <w:rsid w:val="00906BBF"/>
    <w:rsid w:val="00914643"/>
    <w:rsid w:val="009206F2"/>
    <w:rsid w:val="009239AA"/>
    <w:rsid w:val="00923B6E"/>
    <w:rsid w:val="00935ADA"/>
    <w:rsid w:val="00946B6C"/>
    <w:rsid w:val="00955A71"/>
    <w:rsid w:val="0096108F"/>
    <w:rsid w:val="0098404E"/>
    <w:rsid w:val="00996C3B"/>
    <w:rsid w:val="009A6ECE"/>
    <w:rsid w:val="009B7DA5"/>
    <w:rsid w:val="009C13B9"/>
    <w:rsid w:val="009D01A2"/>
    <w:rsid w:val="009E4C15"/>
    <w:rsid w:val="009F5923"/>
    <w:rsid w:val="009F6006"/>
    <w:rsid w:val="00A05814"/>
    <w:rsid w:val="00A13B3A"/>
    <w:rsid w:val="00A403BB"/>
    <w:rsid w:val="00A427DE"/>
    <w:rsid w:val="00A56AA1"/>
    <w:rsid w:val="00A674DF"/>
    <w:rsid w:val="00A7412D"/>
    <w:rsid w:val="00A83AA6"/>
    <w:rsid w:val="00A879E7"/>
    <w:rsid w:val="00A934D6"/>
    <w:rsid w:val="00A9717E"/>
    <w:rsid w:val="00AA1710"/>
    <w:rsid w:val="00AB49BA"/>
    <w:rsid w:val="00AB5B0F"/>
    <w:rsid w:val="00AE1809"/>
    <w:rsid w:val="00AF2F5A"/>
    <w:rsid w:val="00B30429"/>
    <w:rsid w:val="00B34C70"/>
    <w:rsid w:val="00B41076"/>
    <w:rsid w:val="00B41988"/>
    <w:rsid w:val="00B42B14"/>
    <w:rsid w:val="00B43FFB"/>
    <w:rsid w:val="00B76591"/>
    <w:rsid w:val="00B80D76"/>
    <w:rsid w:val="00B824F4"/>
    <w:rsid w:val="00BA2105"/>
    <w:rsid w:val="00BA7E06"/>
    <w:rsid w:val="00BB43B5"/>
    <w:rsid w:val="00BB6219"/>
    <w:rsid w:val="00BD290F"/>
    <w:rsid w:val="00BD78CA"/>
    <w:rsid w:val="00C021F8"/>
    <w:rsid w:val="00C14CC4"/>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37388"/>
    <w:rsid w:val="00D37444"/>
    <w:rsid w:val="00D41BA6"/>
    <w:rsid w:val="00D428A1"/>
    <w:rsid w:val="00D57300"/>
    <w:rsid w:val="00D6383F"/>
    <w:rsid w:val="00D86DC0"/>
    <w:rsid w:val="00DB59D0"/>
    <w:rsid w:val="00DC33D3"/>
    <w:rsid w:val="00DE1431"/>
    <w:rsid w:val="00DE36F7"/>
    <w:rsid w:val="00DF5E90"/>
    <w:rsid w:val="00E02473"/>
    <w:rsid w:val="00E12D78"/>
    <w:rsid w:val="00E15C2A"/>
    <w:rsid w:val="00E22707"/>
    <w:rsid w:val="00E26329"/>
    <w:rsid w:val="00E264E0"/>
    <w:rsid w:val="00E40B50"/>
    <w:rsid w:val="00E50293"/>
    <w:rsid w:val="00E53B05"/>
    <w:rsid w:val="00E624FB"/>
    <w:rsid w:val="00E63AE6"/>
    <w:rsid w:val="00E65FFC"/>
    <w:rsid w:val="00E744EA"/>
    <w:rsid w:val="00E80951"/>
    <w:rsid w:val="00E85C46"/>
    <w:rsid w:val="00E86CC6"/>
    <w:rsid w:val="00E93FF3"/>
    <w:rsid w:val="00EA0B6D"/>
    <w:rsid w:val="00EB56B3"/>
    <w:rsid w:val="00EC3AF2"/>
    <w:rsid w:val="00ED4F60"/>
    <w:rsid w:val="00ED6492"/>
    <w:rsid w:val="00EE049B"/>
    <w:rsid w:val="00EF2095"/>
    <w:rsid w:val="00F06866"/>
    <w:rsid w:val="00F15956"/>
    <w:rsid w:val="00F24CFC"/>
    <w:rsid w:val="00F3170F"/>
    <w:rsid w:val="00F514E9"/>
    <w:rsid w:val="00F51AC7"/>
    <w:rsid w:val="00F7764F"/>
    <w:rsid w:val="00F92FD4"/>
    <w:rsid w:val="00F976B0"/>
    <w:rsid w:val="00FA6DE7"/>
    <w:rsid w:val="00FC0A8E"/>
    <w:rsid w:val="00FC65EF"/>
    <w:rsid w:val="00FE0D9B"/>
    <w:rsid w:val="00FE2FA6"/>
    <w:rsid w:val="00FE3DF2"/>
    <w:rsid w:val="599818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F466AA"/>
  <w15:docId w15:val="{0BF07805-E469-49E1-8B36-7B2E1D14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link w:val="BodyTextChar"/>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paragraph" w:styleId="BodyTextFirstIndent">
    <w:name w:val="Body Text First Indent"/>
    <w:basedOn w:val="BodyText"/>
    <w:link w:val="BodyTextFirstIndentChar"/>
    <w:rsid w:val="006C5610"/>
    <w:pPr>
      <w:widowControl/>
      <w:spacing w:after="120"/>
      <w:ind w:firstLine="210"/>
    </w:pPr>
    <w:rPr>
      <w:i w:val="0"/>
      <w:iCs w:val="0"/>
      <w:snapToGrid/>
      <w:sz w:val="24"/>
      <w:szCs w:val="24"/>
    </w:rPr>
  </w:style>
  <w:style w:type="character" w:customStyle="1" w:styleId="BodyTextChar">
    <w:name w:val="Body Text Char"/>
    <w:link w:val="BodyText"/>
    <w:rsid w:val="006C5610"/>
    <w:rPr>
      <w:i/>
      <w:iCs/>
      <w:snapToGrid w:val="0"/>
    </w:rPr>
  </w:style>
  <w:style w:type="character" w:customStyle="1" w:styleId="BodyTextFirstIndentChar">
    <w:name w:val="Body Text First Indent Char"/>
    <w:link w:val="BodyTextFirstIndent"/>
    <w:rsid w:val="006C5610"/>
    <w:rPr>
      <w:i w:val="0"/>
      <w:iCs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Adams, Devon (OJP)</cp:lastModifiedBy>
  <cp:revision>2</cp:revision>
  <cp:lastPrinted>2019-10-28T14:28:00Z</cp:lastPrinted>
  <dcterms:created xsi:type="dcterms:W3CDTF">2024-01-03T14:52:00Z</dcterms:created>
  <dcterms:modified xsi:type="dcterms:W3CDTF">2024-01-03T14:52:00Z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