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54DA" w:rsidRPr="00041787" w:rsidP="000254DA" w14:paraId="703A3067" w14:textId="77777777">
      <w:pPr>
        <w:jc w:val="center"/>
        <w:rPr>
          <w:b/>
        </w:rPr>
      </w:pPr>
      <w:r w:rsidRPr="00041787">
        <w:rPr>
          <w:b/>
        </w:rPr>
        <w:t>SUPPORTING STATEMENT</w:t>
      </w:r>
    </w:p>
    <w:p w:rsidR="000254DA" w:rsidRPr="00FE1CBD" w:rsidP="70CF2201" w14:paraId="4AF63BB6" w14:textId="485A027C">
      <w:pPr>
        <w:pBdr>
          <w:bottom w:val="single" w:sz="12" w:space="1" w:color="auto"/>
        </w:pBdr>
        <w:autoSpaceDE w:val="0"/>
        <w:autoSpaceDN w:val="0"/>
        <w:adjustRightInd w:val="0"/>
        <w:jc w:val="center"/>
        <w:rPr>
          <w:b/>
          <w:bCs/>
          <w:color w:val="FF0000"/>
          <w:sz w:val="22"/>
          <w:szCs w:val="22"/>
        </w:rPr>
      </w:pPr>
      <w:r w:rsidRPr="225D2E6A">
        <w:rPr>
          <w:b/>
          <w:bCs/>
          <w:sz w:val="22"/>
          <w:szCs w:val="22"/>
        </w:rPr>
        <w:t>Criteria and Non-Criteria Agricultural Clearance Order Forms</w:t>
      </w:r>
      <w:r w:rsidR="004A41D0">
        <w:rPr>
          <w:b/>
          <w:bCs/>
          <w:sz w:val="22"/>
          <w:szCs w:val="22"/>
        </w:rPr>
        <w:t xml:space="preserve"> and H-2A Application for </w:t>
      </w:r>
      <w:r w:rsidR="00BC5580">
        <w:rPr>
          <w:b/>
          <w:bCs/>
          <w:sz w:val="22"/>
          <w:szCs w:val="22"/>
        </w:rPr>
        <w:t>Temporary Employment Certification</w:t>
      </w:r>
      <w:r w:rsidRPr="225D2E6A">
        <w:rPr>
          <w:b/>
          <w:bCs/>
          <w:sz w:val="22"/>
          <w:szCs w:val="22"/>
        </w:rPr>
        <w:t xml:space="preserve"> </w:t>
      </w:r>
      <w:r w:rsidRPr="6881E252" w:rsidR="0CE4C033">
        <w:rPr>
          <w:b/>
          <w:bCs/>
          <w:sz w:val="22"/>
          <w:szCs w:val="22"/>
        </w:rPr>
        <w:t xml:space="preserve">in </w:t>
      </w:r>
      <w:r w:rsidRPr="225D2E6A">
        <w:rPr>
          <w:b/>
          <w:bCs/>
          <w:sz w:val="22"/>
          <w:szCs w:val="22"/>
        </w:rPr>
        <w:t xml:space="preserve">States </w:t>
      </w:r>
      <w:r w:rsidRPr="42255752" w:rsidR="55712D02">
        <w:rPr>
          <w:b/>
          <w:bCs/>
          <w:sz w:val="22"/>
          <w:szCs w:val="22"/>
        </w:rPr>
        <w:t xml:space="preserve">and by </w:t>
      </w:r>
      <w:r w:rsidRPr="6CD3BEC5" w:rsidR="55712D02">
        <w:rPr>
          <w:b/>
          <w:bCs/>
          <w:sz w:val="22"/>
          <w:szCs w:val="22"/>
        </w:rPr>
        <w:t xml:space="preserve">Employers </w:t>
      </w:r>
      <w:r w:rsidRPr="0EC319A0" w:rsidR="76454C71">
        <w:rPr>
          <w:b/>
          <w:bCs/>
          <w:sz w:val="22"/>
          <w:szCs w:val="22"/>
        </w:rPr>
        <w:t xml:space="preserve">Covered </w:t>
      </w:r>
      <w:r w:rsidRPr="0B9BA0DB" w:rsidR="76454C71">
        <w:rPr>
          <w:b/>
          <w:bCs/>
          <w:sz w:val="22"/>
          <w:szCs w:val="22"/>
        </w:rPr>
        <w:t>by</w:t>
      </w:r>
      <w:r w:rsidRPr="6E505912" w:rsidR="00F2D053">
        <w:rPr>
          <w:b/>
          <w:bCs/>
          <w:sz w:val="22"/>
          <w:szCs w:val="22"/>
        </w:rPr>
        <w:t xml:space="preserve"> </w:t>
      </w:r>
      <w:r w:rsidRPr="722AD2BF" w:rsidR="00F2D053">
        <w:rPr>
          <w:b/>
          <w:bCs/>
          <w:sz w:val="22"/>
          <w:szCs w:val="22"/>
        </w:rPr>
        <w:t>Injunction of</w:t>
      </w:r>
      <w:r w:rsidRPr="225D2E6A">
        <w:rPr>
          <w:b/>
          <w:bCs/>
          <w:sz w:val="22"/>
          <w:szCs w:val="22"/>
        </w:rPr>
        <w:t xml:space="preserve"> the Farmworker Protection Final Rule </w:t>
      </w:r>
      <w:r w:rsidRPr="225D2E6A" w:rsidR="140A6865">
        <w:rPr>
          <w:b/>
          <w:bCs/>
          <w:sz w:val="22"/>
          <w:szCs w:val="22"/>
        </w:rPr>
        <w:t>(</w:t>
      </w:r>
      <w:r w:rsidRPr="225D2E6A" w:rsidR="5AADBB2E">
        <w:rPr>
          <w:b/>
          <w:bCs/>
          <w:sz w:val="22"/>
          <w:szCs w:val="22"/>
        </w:rPr>
        <w:t>ICR Number</w:t>
      </w:r>
      <w:r w:rsidRPr="225D2E6A" w:rsidR="140A6865">
        <w:rPr>
          <w:b/>
          <w:bCs/>
          <w:sz w:val="22"/>
          <w:szCs w:val="22"/>
        </w:rPr>
        <w:t xml:space="preserve"> </w:t>
      </w:r>
      <w:r w:rsidRPr="225D2E6A" w:rsidR="5AADBB2E">
        <w:rPr>
          <w:b/>
          <w:bCs/>
          <w:sz w:val="22"/>
          <w:szCs w:val="22"/>
        </w:rPr>
        <w:t>1205-</w:t>
      </w:r>
      <w:r w:rsidRPr="225D2E6A" w:rsidR="140A6865">
        <w:rPr>
          <w:b/>
          <w:bCs/>
          <w:sz w:val="22"/>
          <w:szCs w:val="22"/>
        </w:rPr>
        <w:t>0</w:t>
      </w:r>
      <w:r w:rsidRPr="225D2E6A" w:rsidR="3012D7E5">
        <w:rPr>
          <w:b/>
          <w:bCs/>
          <w:sz w:val="22"/>
          <w:szCs w:val="22"/>
        </w:rPr>
        <w:t>NEW</w:t>
      </w:r>
      <w:r w:rsidRPr="225D2E6A" w:rsidR="140A6865">
        <w:rPr>
          <w:b/>
          <w:bCs/>
          <w:sz w:val="22"/>
          <w:szCs w:val="22"/>
        </w:rPr>
        <w:t xml:space="preserve">) </w:t>
      </w:r>
    </w:p>
    <w:p w:rsidR="0051754C" w:rsidRPr="00FE1CBD" w:rsidP="0051754C" w14:paraId="037E8AC0" w14:textId="1A4C6725">
      <w:pPr>
        <w:autoSpaceDE w:val="0"/>
        <w:autoSpaceDN w:val="0"/>
        <w:adjustRightInd w:val="0"/>
        <w:jc w:val="center"/>
        <w:rPr>
          <w:b/>
          <w:sz w:val="22"/>
          <w:szCs w:val="22"/>
        </w:rPr>
      </w:pPr>
      <w:r>
        <w:rPr>
          <w:b/>
          <w:sz w:val="22"/>
          <w:szCs w:val="22"/>
        </w:rPr>
        <w:softHyphen/>
      </w:r>
      <w:r>
        <w:rPr>
          <w:b/>
          <w:sz w:val="22"/>
          <w:szCs w:val="22"/>
        </w:rPr>
        <w:softHyphen/>
      </w:r>
      <w:r>
        <w:rPr>
          <w:b/>
          <w:sz w:val="22"/>
          <w:szCs w:val="22"/>
        </w:rPr>
        <w:softHyphen/>
      </w:r>
      <w:r>
        <w:rPr>
          <w:b/>
          <w:sz w:val="22"/>
          <w:szCs w:val="22"/>
        </w:rPr>
        <w:softHyphen/>
      </w:r>
      <w:r>
        <w:rPr>
          <w:b/>
          <w:sz w:val="22"/>
          <w:szCs w:val="22"/>
        </w:rPr>
        <w:softHyphen/>
      </w:r>
      <w:r>
        <w:rPr>
          <w:b/>
          <w:sz w:val="22"/>
          <w:szCs w:val="22"/>
        </w:rPr>
        <w:softHyphen/>
      </w:r>
    </w:p>
    <w:p w:rsidR="000254DA" w:rsidP="225D2E6A" w14:paraId="09BDBF79" w14:textId="12B52CBA">
      <w:pPr>
        <w:autoSpaceDE w:val="0"/>
        <w:autoSpaceDN w:val="0"/>
        <w:adjustRightInd w:val="0"/>
        <w:rPr>
          <w:i/>
          <w:iCs/>
        </w:rPr>
      </w:pPr>
      <w:r w:rsidRPr="225D2E6A">
        <w:rPr>
          <w:b/>
          <w:bCs/>
          <w:u w:val="single"/>
        </w:rPr>
        <w:t>Introduction:</w:t>
      </w:r>
      <w:r>
        <w:t xml:space="preserve">  </w:t>
      </w:r>
      <w:r w:rsidRPr="225D2E6A">
        <w:rPr>
          <w:i/>
          <w:iCs/>
        </w:rPr>
        <w:t xml:space="preserve">This information collection request (ICR) seeks to </w:t>
      </w:r>
      <w:r w:rsidRPr="225D2E6A" w:rsidR="20D64905">
        <w:rPr>
          <w:i/>
          <w:iCs/>
        </w:rPr>
        <w:t xml:space="preserve">establish a new information collection to </w:t>
      </w:r>
      <w:r w:rsidRPr="225D2E6A">
        <w:rPr>
          <w:i/>
          <w:iCs/>
        </w:rPr>
        <w:t xml:space="preserve">reinstate </w:t>
      </w:r>
      <w:r w:rsidRPr="225D2E6A" w:rsidR="41DB2364">
        <w:rPr>
          <w:i/>
          <w:iCs/>
        </w:rPr>
        <w:t>Forms</w:t>
      </w:r>
      <w:r w:rsidR="00E00B23">
        <w:rPr>
          <w:i/>
          <w:iCs/>
        </w:rPr>
        <w:t xml:space="preserve"> ETA-9142A</w:t>
      </w:r>
      <w:r w:rsidR="00934C3C">
        <w:rPr>
          <w:i/>
          <w:iCs/>
        </w:rPr>
        <w:t>,</w:t>
      </w:r>
      <w:r w:rsidRPr="225D2E6A" w:rsidR="41DB2364">
        <w:rPr>
          <w:i/>
          <w:iCs/>
        </w:rPr>
        <w:t xml:space="preserve"> ETA-790, ETA-790A, and ETA-790B, only to be used by </w:t>
      </w:r>
      <w:r w:rsidRPr="225D2E6A" w:rsidR="6CA048F5">
        <w:rPr>
          <w:i/>
          <w:iCs/>
        </w:rPr>
        <w:t>the</w:t>
      </w:r>
      <w:r w:rsidR="000F0454">
        <w:rPr>
          <w:i/>
          <w:iCs/>
        </w:rPr>
        <w:t xml:space="preserve"> plaintiffs who were </w:t>
      </w:r>
      <w:r w:rsidR="004E1276">
        <w:rPr>
          <w:i/>
          <w:iCs/>
        </w:rPr>
        <w:t>granted</w:t>
      </w:r>
      <w:r w:rsidR="000F0454">
        <w:rPr>
          <w:i/>
          <w:iCs/>
        </w:rPr>
        <w:t xml:space="preserve"> an injunction</w:t>
      </w:r>
      <w:r w:rsidR="005B6248">
        <w:rPr>
          <w:i/>
          <w:iCs/>
        </w:rPr>
        <w:t xml:space="preserve"> by the U.S. District Court</w:t>
      </w:r>
      <w:r w:rsidR="009C5961">
        <w:rPr>
          <w:i/>
          <w:iCs/>
        </w:rPr>
        <w:t xml:space="preserve"> for the Southern District of Georgia</w:t>
      </w:r>
      <w:r w:rsidR="000F0454">
        <w:rPr>
          <w:i/>
          <w:iCs/>
        </w:rPr>
        <w:t xml:space="preserve"> </w:t>
      </w:r>
      <w:r w:rsidR="00B57034">
        <w:rPr>
          <w:i/>
          <w:iCs/>
        </w:rPr>
        <w:t xml:space="preserve">against the </w:t>
      </w:r>
      <w:r w:rsidR="009C5961">
        <w:rPr>
          <w:i/>
          <w:iCs/>
        </w:rPr>
        <w:t>enforcement</w:t>
      </w:r>
      <w:r w:rsidR="00B57034">
        <w:rPr>
          <w:i/>
          <w:iCs/>
        </w:rPr>
        <w:t xml:space="preserve"> of </w:t>
      </w:r>
      <w:r w:rsidR="004E1276">
        <w:rPr>
          <w:i/>
          <w:iCs/>
        </w:rPr>
        <w:t>the final rule “</w:t>
      </w:r>
      <w:r w:rsidRPr="005A289C" w:rsidR="005A289C">
        <w:rPr>
          <w:i/>
          <w:iCs/>
        </w:rPr>
        <w:t>Improving Protections for Workers in Temporary Agricultural Employment in the United States</w:t>
      </w:r>
      <w:r w:rsidR="004E1276">
        <w:rPr>
          <w:i/>
          <w:iCs/>
        </w:rPr>
        <w:t xml:space="preserve">” </w:t>
      </w:r>
      <w:r w:rsidR="00B27C1E">
        <w:rPr>
          <w:i/>
          <w:iCs/>
        </w:rPr>
        <w:t xml:space="preserve">(Farmworker Protection Rule) </w:t>
      </w:r>
      <w:r w:rsidR="00C753C9">
        <w:rPr>
          <w:i/>
          <w:iCs/>
        </w:rPr>
        <w:t xml:space="preserve">in </w:t>
      </w:r>
      <w:r w:rsidRPr="00A55258" w:rsidR="00C753C9">
        <w:t>Kansas</w:t>
      </w:r>
      <w:r w:rsidRPr="00A55258" w:rsidR="00C86771">
        <w:t>, et al. v. U.S. Department of Labor</w:t>
      </w:r>
      <w:r w:rsidR="0038730C">
        <w:t xml:space="preserve"> (Kansas)</w:t>
      </w:r>
      <w:r w:rsidR="00C86771">
        <w:rPr>
          <w:i/>
          <w:iCs/>
        </w:rPr>
        <w:t>.</w:t>
      </w:r>
      <w:r w:rsidRPr="225D2E6A" w:rsidR="6CA048F5">
        <w:rPr>
          <w:i/>
          <w:iCs/>
        </w:rPr>
        <w:t xml:space="preserve"> </w:t>
      </w:r>
      <w:r w:rsidR="00C86771">
        <w:rPr>
          <w:i/>
          <w:iCs/>
        </w:rPr>
        <w:t>The plaint</w:t>
      </w:r>
      <w:r w:rsidR="00A51A3C">
        <w:rPr>
          <w:i/>
          <w:iCs/>
        </w:rPr>
        <w:t xml:space="preserve">iffs include the following </w:t>
      </w:r>
      <w:r w:rsidRPr="225D2E6A" w:rsidR="6C9A313B">
        <w:rPr>
          <w:i/>
          <w:iCs/>
        </w:rPr>
        <w:t xml:space="preserve">17 </w:t>
      </w:r>
      <w:r w:rsidRPr="225D2E6A" w:rsidR="6CA048F5">
        <w:rPr>
          <w:i/>
          <w:iCs/>
        </w:rPr>
        <w:t>states</w:t>
      </w:r>
      <w:r w:rsidR="00A51A3C">
        <w:rPr>
          <w:i/>
          <w:iCs/>
        </w:rPr>
        <w:t>:</w:t>
      </w:r>
      <w:r w:rsidRPr="225D2E6A" w:rsidR="6CA048F5">
        <w:rPr>
          <w:i/>
          <w:iCs/>
        </w:rPr>
        <w:t xml:space="preserve"> Kansas, Georgia, South Carolina, Arkansas, Florida, Idaho, Indiana, Iowa, Louisian</w:t>
      </w:r>
      <w:r w:rsidRPr="225D2E6A" w:rsidR="1F889845">
        <w:rPr>
          <w:i/>
          <w:iCs/>
        </w:rPr>
        <w:t>a</w:t>
      </w:r>
      <w:r w:rsidRPr="225D2E6A" w:rsidR="6CA048F5">
        <w:rPr>
          <w:i/>
          <w:iCs/>
        </w:rPr>
        <w:t xml:space="preserve">, </w:t>
      </w:r>
      <w:r w:rsidRPr="225D2E6A" w:rsidR="2D146159">
        <w:rPr>
          <w:i/>
          <w:iCs/>
        </w:rPr>
        <w:t>Missouri, Montana</w:t>
      </w:r>
      <w:r w:rsidRPr="225D2E6A" w:rsidR="6CA048F5">
        <w:rPr>
          <w:i/>
          <w:iCs/>
        </w:rPr>
        <w:t xml:space="preserve">, </w:t>
      </w:r>
      <w:r w:rsidRPr="225D2E6A" w:rsidR="02C4C557">
        <w:rPr>
          <w:i/>
          <w:iCs/>
        </w:rPr>
        <w:t>Nebraska</w:t>
      </w:r>
      <w:r w:rsidRPr="225D2E6A" w:rsidR="6CA048F5">
        <w:rPr>
          <w:i/>
          <w:iCs/>
        </w:rPr>
        <w:t xml:space="preserve">, </w:t>
      </w:r>
      <w:r w:rsidRPr="225D2E6A" w:rsidR="5B278C49">
        <w:rPr>
          <w:i/>
          <w:iCs/>
        </w:rPr>
        <w:t>North Dakota</w:t>
      </w:r>
      <w:r w:rsidRPr="225D2E6A" w:rsidR="6CA048F5">
        <w:rPr>
          <w:i/>
          <w:iCs/>
        </w:rPr>
        <w:t xml:space="preserve">, </w:t>
      </w:r>
      <w:r w:rsidRPr="225D2E6A" w:rsidR="4A1E7979">
        <w:rPr>
          <w:i/>
          <w:iCs/>
        </w:rPr>
        <w:t>Oklahoma</w:t>
      </w:r>
      <w:r w:rsidRPr="225D2E6A" w:rsidR="6CA048F5">
        <w:rPr>
          <w:i/>
          <w:iCs/>
        </w:rPr>
        <w:t xml:space="preserve">, </w:t>
      </w:r>
      <w:r w:rsidRPr="225D2E6A" w:rsidR="53B2229B">
        <w:rPr>
          <w:i/>
          <w:iCs/>
        </w:rPr>
        <w:t>Tennessee</w:t>
      </w:r>
      <w:r w:rsidRPr="225D2E6A" w:rsidR="6CA048F5">
        <w:rPr>
          <w:i/>
          <w:iCs/>
        </w:rPr>
        <w:t xml:space="preserve">, </w:t>
      </w:r>
      <w:r w:rsidRPr="225D2E6A" w:rsidR="5DDCAD53">
        <w:rPr>
          <w:i/>
          <w:iCs/>
        </w:rPr>
        <w:t>Texas</w:t>
      </w:r>
      <w:r w:rsidRPr="225D2E6A" w:rsidR="6CA048F5">
        <w:rPr>
          <w:i/>
          <w:iCs/>
        </w:rPr>
        <w:t xml:space="preserve">, </w:t>
      </w:r>
      <w:r w:rsidRPr="225D2E6A" w:rsidR="3FF7F205">
        <w:rPr>
          <w:i/>
          <w:iCs/>
        </w:rPr>
        <w:t>Virginia</w:t>
      </w:r>
      <w:r w:rsidR="00A51A3C">
        <w:rPr>
          <w:i/>
          <w:iCs/>
        </w:rPr>
        <w:t>;</w:t>
      </w:r>
      <w:r w:rsidRPr="225D2E6A" w:rsidR="6CA048F5">
        <w:rPr>
          <w:i/>
          <w:iCs/>
        </w:rPr>
        <w:t xml:space="preserve"> </w:t>
      </w:r>
      <w:r w:rsidRPr="225D2E6A" w:rsidR="1F23F62F">
        <w:rPr>
          <w:i/>
          <w:iCs/>
        </w:rPr>
        <w:t>as well as Miles Berry Farm and Georgia Fruit and Vegetable Growers Association</w:t>
      </w:r>
      <w:r w:rsidRPr="1E7116DB" w:rsidR="60566235">
        <w:rPr>
          <w:i/>
          <w:iCs/>
        </w:rPr>
        <w:t xml:space="preserve"> </w:t>
      </w:r>
      <w:r w:rsidRPr="63326357" w:rsidR="60566235">
        <w:rPr>
          <w:i/>
          <w:iCs/>
        </w:rPr>
        <w:t>(“the parties</w:t>
      </w:r>
      <w:r w:rsidRPr="5C9A7B72" w:rsidR="60566235">
        <w:rPr>
          <w:i/>
          <w:iCs/>
        </w:rPr>
        <w:t>”)</w:t>
      </w:r>
      <w:r w:rsidRPr="5C9A7B72" w:rsidR="1F23F62F">
        <w:rPr>
          <w:i/>
          <w:iCs/>
        </w:rPr>
        <w:t>.</w:t>
      </w:r>
      <w:r w:rsidRPr="225D2E6A" w:rsidR="210E03F0">
        <w:rPr>
          <w:i/>
          <w:iCs/>
        </w:rPr>
        <w:t xml:space="preserve"> </w:t>
      </w:r>
      <w:r w:rsidRPr="00D43529" w:rsidR="00D43529">
        <w:rPr>
          <w:i/>
          <w:iCs/>
        </w:rPr>
        <w:t>The remainder of the states and territories not subject to the injunction will continue to use the forms established through Office of Management and Budget (OMB) Control Numbers 1205-0466 and 1205-0134 prior to April 29, 2024</w:t>
      </w:r>
      <w:r w:rsidRPr="225D2E6A" w:rsidR="1867DFDE">
        <w:rPr>
          <w:i/>
          <w:iCs/>
        </w:rPr>
        <w:t>.</w:t>
      </w:r>
      <w:r w:rsidR="006E2C95">
        <w:rPr>
          <w:i/>
          <w:iCs/>
        </w:rPr>
        <w:t xml:space="preserve"> The reinstatement of the forms which were approved and in use prior to the </w:t>
      </w:r>
      <w:r w:rsidR="005B6248">
        <w:rPr>
          <w:i/>
          <w:iCs/>
        </w:rPr>
        <w:t xml:space="preserve">implementation of the Farmworker </w:t>
      </w:r>
      <w:r w:rsidR="00FA270B">
        <w:rPr>
          <w:i/>
          <w:iCs/>
        </w:rPr>
        <w:t>P</w:t>
      </w:r>
      <w:r w:rsidR="005B6248">
        <w:rPr>
          <w:i/>
          <w:iCs/>
        </w:rPr>
        <w:t xml:space="preserve">rotection </w:t>
      </w:r>
      <w:r w:rsidR="00FA270B">
        <w:rPr>
          <w:i/>
          <w:iCs/>
        </w:rPr>
        <w:t>R</w:t>
      </w:r>
      <w:r w:rsidR="005B6248">
        <w:rPr>
          <w:i/>
          <w:iCs/>
        </w:rPr>
        <w:t xml:space="preserve">ule is the only effective way to implement the </w:t>
      </w:r>
      <w:r w:rsidR="009C5961">
        <w:rPr>
          <w:i/>
          <w:iCs/>
        </w:rPr>
        <w:t xml:space="preserve">injunction while </w:t>
      </w:r>
      <w:r w:rsidR="00725A80">
        <w:rPr>
          <w:i/>
          <w:iCs/>
        </w:rPr>
        <w:t>both allowing employers in the enjoined states to continue to submit H-2A applications and implement and enforce the Farmworker Protect</w:t>
      </w:r>
      <w:r w:rsidR="00CE60A2">
        <w:rPr>
          <w:i/>
          <w:iCs/>
        </w:rPr>
        <w:t xml:space="preserve">ion Rule in the rest of the country.  </w:t>
      </w:r>
    </w:p>
    <w:p w:rsidR="00716509" w:rsidP="225D2E6A" w14:paraId="69CD270C" w14:textId="77777777">
      <w:pPr>
        <w:autoSpaceDE w:val="0"/>
        <w:autoSpaceDN w:val="0"/>
        <w:adjustRightInd w:val="0"/>
        <w:rPr>
          <w:i/>
          <w:iCs/>
        </w:rPr>
      </w:pPr>
    </w:p>
    <w:p w:rsidR="00716509" w:rsidRPr="00716509" w:rsidP="225D2E6A" w14:paraId="09D67B8B" w14:textId="50C434A4">
      <w:pPr>
        <w:autoSpaceDE w:val="0"/>
        <w:autoSpaceDN w:val="0"/>
        <w:adjustRightInd w:val="0"/>
        <w:rPr>
          <w:i/>
          <w:iCs/>
        </w:rPr>
      </w:pPr>
      <w:r>
        <w:rPr>
          <w:b/>
          <w:bCs/>
          <w:i/>
          <w:iCs/>
        </w:rPr>
        <w:t>Please Note:</w:t>
      </w:r>
      <w:r>
        <w:rPr>
          <w:i/>
          <w:iCs/>
        </w:rPr>
        <w:t xml:space="preserve"> While the Department is seeking a new OMB control number for</w:t>
      </w:r>
      <w:r w:rsidR="006C69F2">
        <w:rPr>
          <w:i/>
          <w:iCs/>
        </w:rPr>
        <w:t xml:space="preserve"> </w:t>
      </w:r>
      <w:r>
        <w:rPr>
          <w:i/>
          <w:iCs/>
        </w:rPr>
        <w:t>forms</w:t>
      </w:r>
      <w:r w:rsidR="00F62E44">
        <w:rPr>
          <w:i/>
          <w:iCs/>
        </w:rPr>
        <w:t xml:space="preserve"> associated with 1205-0466 prior to </w:t>
      </w:r>
      <w:r w:rsidR="00267F2F">
        <w:rPr>
          <w:i/>
          <w:iCs/>
        </w:rPr>
        <w:t>April 29, 2024</w:t>
      </w:r>
      <w:r w:rsidR="00A371CA">
        <w:rPr>
          <w:i/>
          <w:iCs/>
        </w:rPr>
        <w:t xml:space="preserve">, </w:t>
      </w:r>
      <w:r w:rsidR="00C460E1">
        <w:rPr>
          <w:i/>
          <w:iCs/>
        </w:rPr>
        <w:t xml:space="preserve">the </w:t>
      </w:r>
      <w:r w:rsidR="00A371CA">
        <w:rPr>
          <w:i/>
          <w:iCs/>
        </w:rPr>
        <w:t xml:space="preserve">date the Farmworker Protection Rule </w:t>
      </w:r>
      <w:r w:rsidR="0003010B">
        <w:rPr>
          <w:i/>
          <w:iCs/>
        </w:rPr>
        <w:t>was published</w:t>
      </w:r>
      <w:r>
        <w:rPr>
          <w:i/>
          <w:iCs/>
        </w:rPr>
        <w:t>, OFLC will not be able to</w:t>
      </w:r>
      <w:r w:rsidR="00D83BF6">
        <w:rPr>
          <w:i/>
          <w:iCs/>
        </w:rPr>
        <w:t xml:space="preserve"> immediately replace the current OMB control number (1205-0466) currently listed on the forms in its Foreign Labor Access Gateway (FLAG) case processing system. </w:t>
      </w:r>
      <w:r w:rsidRPr="008942D2" w:rsidR="004A71DE">
        <w:rPr>
          <w:i/>
          <w:iCs/>
        </w:rPr>
        <w:t>Waiting for OMB to assign a different number</w:t>
      </w:r>
      <w:r w:rsidRPr="009268C9" w:rsidR="004A71DE">
        <w:rPr>
          <w:i/>
          <w:iCs/>
        </w:rPr>
        <w:t xml:space="preserve"> to</w:t>
      </w:r>
      <w:r w:rsidRPr="004A71DE" w:rsidR="004A71DE">
        <w:rPr>
          <w:i/>
          <w:iCs/>
        </w:rPr>
        <w:t xml:space="preserve"> the version of the forms used prior to the Farmworker Protection Rule would effectively </w:t>
      </w:r>
      <w:r w:rsidR="00D83BF6">
        <w:rPr>
          <w:i/>
          <w:iCs/>
        </w:rPr>
        <w:t xml:space="preserve">prohibit the plaintiffs from filing H-2A applications for several weeks while the change is implemented. </w:t>
      </w:r>
      <w:r w:rsidR="00FF34F4">
        <w:rPr>
          <w:i/>
          <w:iCs/>
        </w:rPr>
        <w:t>Following the approval of this emergency request and w</w:t>
      </w:r>
      <w:r w:rsidRPr="00FF34F4" w:rsidR="00FF34F4">
        <w:rPr>
          <w:i/>
          <w:iCs/>
        </w:rPr>
        <w:t xml:space="preserve">ithin the 6-month period following emergency approval, </w:t>
      </w:r>
      <w:r w:rsidR="00FF34F4">
        <w:rPr>
          <w:i/>
          <w:iCs/>
        </w:rPr>
        <w:t>the Department</w:t>
      </w:r>
      <w:r w:rsidRPr="00FF34F4" w:rsidR="00FF34F4">
        <w:rPr>
          <w:i/>
          <w:iCs/>
        </w:rPr>
        <w:t xml:space="preserve"> will seek public comment on the information collection package as provided under 5 CFR part 1320 and the Paperwork Reduction Act</w:t>
      </w:r>
      <w:r w:rsidR="00D83BF6">
        <w:rPr>
          <w:i/>
          <w:iCs/>
        </w:rPr>
        <w:t xml:space="preserve"> and at that point will be able to update the forms in FLAG with the new OMB control number.  </w:t>
      </w:r>
    </w:p>
    <w:p w:rsidR="000254DA" w:rsidP="225D2E6A" w14:paraId="7FA4EA9E" w14:textId="29F6EEE0">
      <w:pPr>
        <w:autoSpaceDE w:val="0"/>
        <w:autoSpaceDN w:val="0"/>
        <w:adjustRightInd w:val="0"/>
        <w:rPr>
          <w:i/>
          <w:iCs/>
        </w:rPr>
      </w:pPr>
    </w:p>
    <w:p w:rsidR="009D7CCB" w:rsidP="009D7CCB" w14:paraId="0C45C97E" w14:textId="1224480E">
      <w:pPr>
        <w:autoSpaceDE w:val="0"/>
        <w:autoSpaceDN w:val="0"/>
        <w:adjustRightInd w:val="0"/>
        <w:rPr>
          <w:i/>
          <w:iCs/>
        </w:rPr>
      </w:pPr>
      <w:r w:rsidRPr="009D7CCB">
        <w:rPr>
          <w:i/>
          <w:iCs/>
        </w:rPr>
        <w:t xml:space="preserve">On April 29, 2024, the Department of Labor (Department) published the </w:t>
      </w:r>
      <w:r w:rsidR="00CE60A2">
        <w:rPr>
          <w:i/>
          <w:iCs/>
        </w:rPr>
        <w:t>Farmworker Prot</w:t>
      </w:r>
      <w:r w:rsidR="001C3981">
        <w:rPr>
          <w:i/>
          <w:iCs/>
        </w:rPr>
        <w:t>ection Rule</w:t>
      </w:r>
      <w:r w:rsidRPr="009D7CCB">
        <w:rPr>
          <w:i/>
          <w:iCs/>
        </w:rPr>
        <w:t xml:space="preserve"> with an effective date of June 28, 2024. As a result of the rulemaking, the Department updated the H-2A temporary agricultural labor certification program information collection tools to reflect the final revisions to the information collection (IC) activities under the H-2A Foreign Labor Certification Program, covered under Office of Management and Budget (OMB) Control Number 1205-0466 (OMB 1205-0466), Application for Temporary Employment Certification, Form ETA 9142A, and H-2A Agricultural Clearance Order, Form ETA-790/790A. Prior to the publication of the rule, IC 1205-0466 would have expired on November 30, 2025. The current expiration on the approved IC 1205-0466 is July 31, 2027.</w:t>
      </w:r>
    </w:p>
    <w:p w:rsidR="009D7CCB" w:rsidRPr="009D7CCB" w:rsidP="009D7CCB" w14:paraId="2DA3F6B4" w14:textId="77777777">
      <w:pPr>
        <w:autoSpaceDE w:val="0"/>
        <w:autoSpaceDN w:val="0"/>
        <w:adjustRightInd w:val="0"/>
        <w:rPr>
          <w:i/>
          <w:iCs/>
        </w:rPr>
      </w:pPr>
    </w:p>
    <w:p w:rsidR="00270670" w:rsidP="009D7CCB" w14:paraId="4C7694F2" w14:textId="77777777">
      <w:pPr>
        <w:autoSpaceDE w:val="0"/>
        <w:autoSpaceDN w:val="0"/>
        <w:adjustRightInd w:val="0"/>
        <w:rPr>
          <w:i/>
          <w:iCs/>
        </w:rPr>
      </w:pPr>
      <w:r w:rsidRPr="009D7CCB">
        <w:rPr>
          <w:i/>
          <w:iCs/>
        </w:rPr>
        <w:t>For employers seeking to employ H-2A workers, the Department subsequently announced that it would process clearance orders (ETA 790A) and associated H-2A applications (ETA 9142A) filed before 7:00 PM Eastern Daylight Time on August 28, 2024, in accordance with 20 CFR part 655, subpart B in effect as of June 27, 2024, and that applications submitted on or after 12:00 AM Eastern Daylight Time on August 29, 2024 would be processed in accordance with the provisions of the Farmworker Protection Rule tied directly to a temporary labor certification.</w:t>
      </w:r>
      <w:r>
        <w:rPr>
          <w:i/>
          <w:iCs/>
        </w:rPr>
        <w:t xml:space="preserve">  </w:t>
      </w:r>
    </w:p>
    <w:p w:rsidR="00270670" w:rsidP="009D7CCB" w14:paraId="660DB4D8" w14:textId="77777777">
      <w:pPr>
        <w:autoSpaceDE w:val="0"/>
        <w:autoSpaceDN w:val="0"/>
        <w:adjustRightInd w:val="0"/>
        <w:rPr>
          <w:i/>
          <w:iCs/>
        </w:rPr>
      </w:pPr>
    </w:p>
    <w:p w:rsidR="009D7CCB" w:rsidRPr="009D7CCB" w:rsidP="3312F509" w14:paraId="4835F462" w14:textId="7BA0EDFA">
      <w:pPr>
        <w:autoSpaceDE w:val="0"/>
        <w:autoSpaceDN w:val="0"/>
        <w:adjustRightInd w:val="0"/>
        <w:rPr>
          <w:i/>
          <w:iCs/>
        </w:rPr>
      </w:pPr>
      <w:r w:rsidRPr="3312F509">
        <w:rPr>
          <w:i/>
          <w:iCs/>
        </w:rPr>
        <w:t xml:space="preserve">For employers seeking to employ U.S. workers through the </w:t>
      </w:r>
      <w:r w:rsidRPr="3312F509" w:rsidR="6C9C4868">
        <w:rPr>
          <w:i/>
          <w:iCs/>
        </w:rPr>
        <w:t>A</w:t>
      </w:r>
      <w:r w:rsidRPr="3312F509">
        <w:rPr>
          <w:i/>
          <w:iCs/>
        </w:rPr>
        <w:t xml:space="preserve">gricultural </w:t>
      </w:r>
      <w:r w:rsidRPr="3312F509" w:rsidR="5842FB83">
        <w:rPr>
          <w:i/>
          <w:iCs/>
        </w:rPr>
        <w:t>R</w:t>
      </w:r>
      <w:r w:rsidRPr="3312F509">
        <w:rPr>
          <w:i/>
          <w:iCs/>
        </w:rPr>
        <w:t xml:space="preserve">ecruitment </w:t>
      </w:r>
      <w:r w:rsidRPr="3312F509" w:rsidR="71EB6504">
        <w:rPr>
          <w:i/>
          <w:iCs/>
        </w:rPr>
        <w:t>S</w:t>
      </w:r>
      <w:r w:rsidRPr="3312F509">
        <w:rPr>
          <w:i/>
          <w:iCs/>
        </w:rPr>
        <w:t>ystem, the Department instructed state workforce agencies to use the new OMB 1205-0134 Agricultural Recruitment System Forms Affecting Migratory Farm Workers, Agricultural Clearance Form (ETA Form 790B), which is the form associated with ICR Reference No: 202404-1205-006.</w:t>
      </w:r>
    </w:p>
    <w:p w:rsidR="009D7CCB" w:rsidP="000254DA" w14:paraId="3E03760F" w14:textId="77777777">
      <w:pPr>
        <w:autoSpaceDE w:val="0"/>
        <w:autoSpaceDN w:val="0"/>
        <w:adjustRightInd w:val="0"/>
        <w:rPr>
          <w:i/>
          <w:iCs/>
        </w:rPr>
      </w:pPr>
    </w:p>
    <w:p w:rsidR="00167C50" w:rsidP="000254DA" w14:paraId="57E1EAFA" w14:textId="0D20AEAD">
      <w:pPr>
        <w:autoSpaceDE w:val="0"/>
        <w:autoSpaceDN w:val="0"/>
        <w:adjustRightInd w:val="0"/>
        <w:rPr>
          <w:i/>
          <w:iCs/>
        </w:rPr>
      </w:pPr>
      <w:r w:rsidRPr="00167C50">
        <w:rPr>
          <w:i/>
          <w:iCs/>
        </w:rPr>
        <w:t xml:space="preserve">On August 26, 2024, the United States District Court for the Southern District of Georgia issued a preliminary injunction in the </w:t>
      </w:r>
      <w:r w:rsidRPr="00A55258">
        <w:t>Kansas</w:t>
      </w:r>
      <w:r w:rsidR="00A55258">
        <w:rPr>
          <w:i/>
          <w:iCs/>
        </w:rPr>
        <w:t xml:space="preserve"> case</w:t>
      </w:r>
      <w:r w:rsidRPr="00167C50">
        <w:rPr>
          <w:i/>
          <w:iCs/>
        </w:rPr>
        <w:t xml:space="preserve"> prohibiting DOL from enforcing the Farmworker Protection Rule in certain states and with respect to certain </w:t>
      </w:r>
      <w:r w:rsidRPr="00167C50">
        <w:rPr>
          <w:i/>
          <w:iCs/>
        </w:rPr>
        <w:t>entities</w:t>
      </w:r>
      <w:r w:rsidR="00C11F6A">
        <w:rPr>
          <w:i/>
          <w:iCs/>
        </w:rPr>
        <w:t xml:space="preserve">  </w:t>
      </w:r>
      <w:r w:rsidRPr="00167C50">
        <w:rPr>
          <w:i/>
          <w:iCs/>
        </w:rPr>
        <w:t>Accordingly</w:t>
      </w:r>
      <w:r w:rsidRPr="00167C50">
        <w:rPr>
          <w:i/>
          <w:iCs/>
        </w:rPr>
        <w:t xml:space="preserve">, consistent with the </w:t>
      </w:r>
      <w:r w:rsidRPr="008942D2">
        <w:t xml:space="preserve">Kansas </w:t>
      </w:r>
      <w:r w:rsidRPr="00167C50">
        <w:rPr>
          <w:i/>
          <w:iCs/>
        </w:rPr>
        <w:t xml:space="preserve">Order, the Department will not </w:t>
      </w:r>
      <w:r w:rsidR="00474673">
        <w:rPr>
          <w:i/>
          <w:iCs/>
        </w:rPr>
        <w:t>enforce</w:t>
      </w:r>
      <w:r w:rsidRPr="00167C50">
        <w:rPr>
          <w:i/>
          <w:iCs/>
        </w:rPr>
        <w:t xml:space="preserve"> the Final Rule in these states or with respect to these entities while the Order remains in effect.</w:t>
      </w:r>
    </w:p>
    <w:p w:rsidR="000254DA" w:rsidP="000254DA" w14:paraId="718A0CE5" w14:textId="77777777">
      <w:pPr>
        <w:autoSpaceDE w:val="0"/>
        <w:autoSpaceDN w:val="0"/>
        <w:adjustRightInd w:val="0"/>
        <w:rPr>
          <w:i/>
          <w:iCs/>
        </w:rPr>
      </w:pPr>
    </w:p>
    <w:p w:rsidR="009D7CCB" w:rsidP="009D7CCB" w14:paraId="7887205A" w14:textId="5CC4F3B2">
      <w:pPr>
        <w:autoSpaceDE w:val="0"/>
        <w:autoSpaceDN w:val="0"/>
        <w:adjustRightInd w:val="0"/>
        <w:rPr>
          <w:i/>
        </w:rPr>
      </w:pPr>
      <w:r w:rsidRPr="009D7CCB">
        <w:rPr>
          <w:i/>
        </w:rPr>
        <w:t xml:space="preserve">For IC 1205-0466, the Department is requesting OMB authority to simultaneously implement IC1205-0466 that would have expired on November 30, 2025, and the currently approved IC 1205-0466 which expires on July 31, </w:t>
      </w:r>
      <w:r w:rsidRPr="009D7CCB" w:rsidR="00D87841">
        <w:rPr>
          <w:i/>
        </w:rPr>
        <w:t>2027,</w:t>
      </w:r>
      <w:r w:rsidRPr="009D7CCB">
        <w:rPr>
          <w:i/>
        </w:rPr>
        <w:t xml:space="preserve"> under</w:t>
      </w:r>
      <w:r w:rsidR="00837C9F">
        <w:rPr>
          <w:i/>
        </w:rPr>
        <w:t xml:space="preserve"> </w:t>
      </w:r>
      <w:r w:rsidR="00AF730A">
        <w:rPr>
          <w:i/>
        </w:rPr>
        <w:t>the</w:t>
      </w:r>
      <w:r w:rsidRPr="009D7CCB">
        <w:rPr>
          <w:i/>
        </w:rPr>
        <w:t xml:space="preserve"> FLAG System at https://flag.dol.gov/. Under the H-2A program, 100 percent of H-2A applications are filed electronically by employers. Once an employer </w:t>
      </w:r>
      <w:r w:rsidRPr="009D7CCB">
        <w:rPr>
          <w:i/>
        </w:rPr>
        <w:t>enters into</w:t>
      </w:r>
      <w:r w:rsidRPr="009D7CCB">
        <w:rPr>
          <w:i/>
        </w:rPr>
        <w:t xml:space="preserve"> the FLAG System, the filer would be asked to respond to the following question:</w:t>
      </w:r>
    </w:p>
    <w:p w:rsidR="00246631" w:rsidRPr="009D7CCB" w:rsidP="009D7CCB" w14:paraId="2DF5B978" w14:textId="77777777">
      <w:pPr>
        <w:autoSpaceDE w:val="0"/>
        <w:autoSpaceDN w:val="0"/>
        <w:adjustRightInd w:val="0"/>
        <w:rPr>
          <w:i/>
        </w:rPr>
      </w:pPr>
    </w:p>
    <w:p w:rsidR="009D7CCB" w:rsidP="009D7CCB" w14:paraId="72F11554" w14:textId="77777777">
      <w:pPr>
        <w:autoSpaceDE w:val="0"/>
        <w:autoSpaceDN w:val="0"/>
        <w:adjustRightInd w:val="0"/>
        <w:rPr>
          <w:i/>
        </w:rPr>
      </w:pPr>
      <w:r w:rsidRPr="009D7CCB">
        <w:rPr>
          <w:i/>
        </w:rPr>
        <w:t>§ Are you seeking to submit an H-2A Application under any of the following conditions?</w:t>
      </w:r>
    </w:p>
    <w:p w:rsidR="00246631" w:rsidRPr="009D7CCB" w:rsidP="009D7CCB" w14:paraId="0F656519" w14:textId="77777777">
      <w:pPr>
        <w:autoSpaceDE w:val="0"/>
        <w:autoSpaceDN w:val="0"/>
        <w:adjustRightInd w:val="0"/>
        <w:rPr>
          <w:i/>
        </w:rPr>
      </w:pPr>
    </w:p>
    <w:p w:rsidR="009D7CCB" w:rsidRPr="009D7CCB" w:rsidP="009D7CCB" w14:paraId="25CC2271" w14:textId="77777777">
      <w:pPr>
        <w:autoSpaceDE w:val="0"/>
        <w:autoSpaceDN w:val="0"/>
        <w:adjustRightInd w:val="0"/>
        <w:rPr>
          <w:i/>
        </w:rPr>
      </w:pPr>
      <w:r w:rsidRPr="009D7CCB">
        <w:rPr>
          <w:i/>
        </w:rPr>
        <w:t xml:space="preserve">· All places of employment where work will be performed under the Form ETA-790/790A </w:t>
      </w:r>
      <w:r w:rsidRPr="009D7CCB">
        <w:rPr>
          <w:i/>
        </w:rPr>
        <w:t>are located in</w:t>
      </w:r>
      <w:r w:rsidRPr="009D7CCB">
        <w:rPr>
          <w:i/>
        </w:rPr>
        <w:t xml:space="preserve"> one or more of the following states:</w:t>
      </w:r>
    </w:p>
    <w:p w:rsidR="009D7CCB" w:rsidRPr="009D7CCB" w:rsidP="00FE1CBD" w14:paraId="23520452" w14:textId="77777777">
      <w:pPr>
        <w:autoSpaceDE w:val="0"/>
        <w:autoSpaceDN w:val="0"/>
        <w:adjustRightInd w:val="0"/>
        <w:ind w:left="810" w:right="720" w:hanging="90"/>
        <w:rPr>
          <w:i/>
        </w:rPr>
      </w:pPr>
      <w:r w:rsidRPr="009D7CCB">
        <w:rPr>
          <w:i/>
        </w:rPr>
        <w:t xml:space="preserve">o Arkansas, Florida, Georgia, Idaho, Indiana, Iowa, Kansas, Louisiana, Missouri, Montana, Nebraska, North Dakota, Oklahoma, South Carolina, Tennessee, Texas, or </w:t>
      </w:r>
      <w:r w:rsidRPr="009D7CCB">
        <w:rPr>
          <w:i/>
        </w:rPr>
        <w:t>Virginia;</w:t>
      </w:r>
    </w:p>
    <w:p w:rsidR="009D7CCB" w:rsidRPr="009D7CCB" w:rsidP="00834692" w14:paraId="1C7C8B44" w14:textId="77777777">
      <w:pPr>
        <w:autoSpaceDE w:val="0"/>
        <w:autoSpaceDN w:val="0"/>
        <w:adjustRightInd w:val="0"/>
        <w:ind w:left="810" w:right="720" w:hanging="90"/>
        <w:jc w:val="center"/>
        <w:rPr>
          <w:i/>
        </w:rPr>
      </w:pPr>
      <w:r w:rsidRPr="009D7CCB">
        <w:rPr>
          <w:i/>
        </w:rPr>
        <w:t>OR</w:t>
      </w:r>
    </w:p>
    <w:p w:rsidR="009D7CCB" w:rsidRPr="009D7CCB" w:rsidP="00FE1CBD" w14:paraId="70F7827F" w14:textId="77777777">
      <w:pPr>
        <w:autoSpaceDE w:val="0"/>
        <w:autoSpaceDN w:val="0"/>
        <w:adjustRightInd w:val="0"/>
        <w:ind w:left="810" w:right="720" w:hanging="90"/>
        <w:rPr>
          <w:i/>
        </w:rPr>
      </w:pPr>
      <w:r w:rsidRPr="009D7CCB">
        <w:rPr>
          <w:i/>
        </w:rPr>
        <w:t xml:space="preserve">o </w:t>
      </w:r>
      <w:r w:rsidRPr="009D7CCB">
        <w:rPr>
          <w:i/>
        </w:rPr>
        <w:t>The</w:t>
      </w:r>
      <w:r w:rsidRPr="009D7CCB">
        <w:rPr>
          <w:i/>
        </w:rPr>
        <w:t xml:space="preserve"> legal business name of the employer identified on the Form ETA-790/790A seeking to employ or jointly employ H-2A workers is “Miles Berry Farm;”</w:t>
      </w:r>
    </w:p>
    <w:p w:rsidR="009D7CCB" w:rsidRPr="009D7CCB" w:rsidP="00834692" w14:paraId="62563753" w14:textId="77777777">
      <w:pPr>
        <w:autoSpaceDE w:val="0"/>
        <w:autoSpaceDN w:val="0"/>
        <w:adjustRightInd w:val="0"/>
        <w:ind w:left="810" w:right="720" w:hanging="90"/>
        <w:jc w:val="center"/>
        <w:rPr>
          <w:i/>
        </w:rPr>
      </w:pPr>
      <w:r w:rsidRPr="009D7CCB">
        <w:rPr>
          <w:i/>
        </w:rPr>
        <w:t>OR</w:t>
      </w:r>
    </w:p>
    <w:p w:rsidR="009D7CCB" w:rsidRPr="009D7CCB" w:rsidP="00FE1CBD" w14:paraId="2095484A" w14:textId="77777777">
      <w:pPr>
        <w:autoSpaceDE w:val="0"/>
        <w:autoSpaceDN w:val="0"/>
        <w:adjustRightInd w:val="0"/>
        <w:ind w:left="810" w:right="720" w:hanging="90"/>
        <w:rPr>
          <w:i/>
        </w:rPr>
      </w:pPr>
      <w:r w:rsidRPr="009D7CCB">
        <w:rPr>
          <w:i/>
        </w:rPr>
        <w:t xml:space="preserve">o </w:t>
      </w:r>
      <w:r w:rsidRPr="009D7CCB">
        <w:rPr>
          <w:i/>
        </w:rPr>
        <w:t>The</w:t>
      </w:r>
      <w:r w:rsidRPr="009D7CCB">
        <w:rPr>
          <w:i/>
        </w:rPr>
        <w:t xml:space="preserve"> legal business name of the employer identified on the Form ETA-790/790A seeking to employ or jointly employ H-2A workers is a member of the “Georgia Fruit and Vegetable Growers Association” as of August 26, 2024.</w:t>
      </w:r>
    </w:p>
    <w:p w:rsidR="00B24408" w:rsidRPr="009D7CCB" w:rsidP="00FE1CBD" w14:paraId="149A4EC7" w14:textId="77777777">
      <w:pPr>
        <w:autoSpaceDE w:val="0"/>
        <w:autoSpaceDN w:val="0"/>
        <w:adjustRightInd w:val="0"/>
        <w:ind w:left="810" w:right="720" w:hanging="90"/>
        <w:rPr>
          <w:i/>
        </w:rPr>
      </w:pPr>
    </w:p>
    <w:p w:rsidR="009D7CCB" w:rsidRPr="009D7CCB" w:rsidP="00246631" w14:paraId="6D75CD7B" w14:textId="14ECF7B6">
      <w:pPr>
        <w:autoSpaceDE w:val="0"/>
        <w:autoSpaceDN w:val="0"/>
        <w:adjustRightInd w:val="0"/>
        <w:ind w:right="720"/>
        <w:rPr>
          <w:i/>
        </w:rPr>
      </w:pPr>
      <w:r w:rsidRPr="009D7CCB">
        <w:rPr>
          <w:i/>
        </w:rPr>
        <w:t>If the filer answers “yes” to the question, they will be directed to the version of the clearance order (ETA 790A) and associated H-2A application (ETA 9142A) associated with the version of 20 CFR part 655, subpart B in effect as of June 27, 2024.</w:t>
      </w:r>
      <w:r w:rsidR="00246631">
        <w:rPr>
          <w:i/>
        </w:rPr>
        <w:t xml:space="preserve"> </w:t>
      </w:r>
      <w:r w:rsidRPr="009D7CCB">
        <w:rPr>
          <w:i/>
        </w:rPr>
        <w:t xml:space="preserve">If the filer answers “no” to the question, they will be directed to the version of the clearance order (ETA 790A) and associated H-2A application (ETA 9142A) associated with the version of </w:t>
      </w:r>
      <w:r w:rsidRPr="009D7CCB">
        <w:rPr>
          <w:i/>
        </w:rPr>
        <w:t>20 CFR part 655, subpart B associated with the Farmworker Protection Rule and in effect as of June 28, 2024.</w:t>
      </w:r>
      <w:r w:rsidR="00246631">
        <w:rPr>
          <w:i/>
        </w:rPr>
        <w:t xml:space="preserve">  </w:t>
      </w:r>
      <w:r w:rsidRPr="009D7CCB">
        <w:rPr>
          <w:i/>
        </w:rPr>
        <w:t xml:space="preserve">For IC 1205-0466, the Department is requesting a Temporary Emergency Approval for </w:t>
      </w:r>
      <w:r w:rsidR="00DA0152">
        <w:rPr>
          <w:i/>
        </w:rPr>
        <w:t>six</w:t>
      </w:r>
      <w:r w:rsidRPr="009D7CCB" w:rsidR="00DA0152">
        <w:rPr>
          <w:i/>
        </w:rPr>
        <w:t xml:space="preserve"> </w:t>
      </w:r>
      <w:r w:rsidRPr="009D7CCB">
        <w:rPr>
          <w:i/>
        </w:rPr>
        <w:t>months.</w:t>
      </w:r>
    </w:p>
    <w:p w:rsidR="000254DA" w:rsidRPr="00CE3C52" w:rsidP="000254DA" w14:paraId="65293709" w14:textId="77777777">
      <w:pPr>
        <w:autoSpaceDE w:val="0"/>
        <w:autoSpaceDN w:val="0"/>
        <w:adjustRightInd w:val="0"/>
      </w:pPr>
    </w:p>
    <w:p w:rsidR="000254DA" w:rsidRPr="00CE3C52" w:rsidP="000254DA" w14:paraId="79313ED0" w14:textId="77777777">
      <w:pPr>
        <w:tabs>
          <w:tab w:val="left" w:pos="540"/>
        </w:tabs>
        <w:autoSpaceDE w:val="0"/>
        <w:autoSpaceDN w:val="0"/>
        <w:adjustRightInd w:val="0"/>
        <w:rPr>
          <w:b/>
        </w:rPr>
      </w:pPr>
      <w:r w:rsidRPr="00CE3C52">
        <w:rPr>
          <w:b/>
        </w:rPr>
        <w:t xml:space="preserve">A. </w:t>
      </w:r>
      <w:r>
        <w:rPr>
          <w:b/>
        </w:rPr>
        <w:tab/>
      </w:r>
      <w:r w:rsidRPr="00465648">
        <w:rPr>
          <w:b/>
          <w:u w:val="single"/>
        </w:rPr>
        <w:t>Justification</w:t>
      </w:r>
      <w:r>
        <w:rPr>
          <w:b/>
          <w:u w:val="single"/>
        </w:rPr>
        <w:t>.</w:t>
      </w:r>
    </w:p>
    <w:p w:rsidR="000254DA" w:rsidRPr="00CE3C52" w:rsidP="000254DA" w14:paraId="7143BD00" w14:textId="77777777">
      <w:pPr>
        <w:autoSpaceDE w:val="0"/>
        <w:autoSpaceDN w:val="0"/>
        <w:adjustRightInd w:val="0"/>
      </w:pPr>
    </w:p>
    <w:p w:rsidR="000254DA" w:rsidRPr="00B10FD7" w:rsidP="000254DA" w14:paraId="4EB6AA8D" w14:textId="77777777">
      <w:pPr>
        <w:tabs>
          <w:tab w:val="right" w:pos="360"/>
        </w:tabs>
        <w:autoSpaceDE w:val="0"/>
        <w:autoSpaceDN w:val="0"/>
        <w:adjustRightInd w:val="0"/>
        <w:ind w:left="540" w:hanging="540"/>
        <w:rPr>
          <w:i/>
        </w:rPr>
      </w:pPr>
      <w:r w:rsidRPr="00B10FD7">
        <w:rPr>
          <w:i/>
        </w:rPr>
        <w:tab/>
      </w:r>
      <w:r>
        <w:rPr>
          <w:i/>
        </w:rPr>
        <w:t>A</w:t>
      </w:r>
      <w:r w:rsidRPr="00B10FD7">
        <w:rPr>
          <w:i/>
        </w:rPr>
        <w:t>1.</w:t>
      </w:r>
      <w:r w:rsidRPr="00B10FD7">
        <w:rPr>
          <w:i/>
        </w:rPr>
        <w:tab/>
        <w:t xml:space="preserve">Explain the circumstances that make the collection of information necessary.  Identify any legal or administrative requirements that necessitate the collection. </w:t>
      </w:r>
      <w:r>
        <w:rPr>
          <w:i/>
        </w:rPr>
        <w:t xml:space="preserve"> </w:t>
      </w:r>
      <w:r w:rsidRPr="00B10FD7">
        <w:rPr>
          <w:i/>
        </w:rPr>
        <w:t>Attach a copy of the appropriate section of each statute and regulation mandating or authorizing the collection of information.</w:t>
      </w:r>
    </w:p>
    <w:p w:rsidR="000254DA" w:rsidP="000254DA" w14:paraId="50B9BF4F" w14:textId="77777777">
      <w:pPr>
        <w:autoSpaceDE w:val="0"/>
        <w:autoSpaceDN w:val="0"/>
        <w:adjustRightInd w:val="0"/>
      </w:pPr>
    </w:p>
    <w:p w:rsidR="000254DA" w:rsidRPr="00673715" w:rsidP="000254DA" w14:paraId="00ED1C9C" w14:textId="136C4159">
      <w:pPr>
        <w:autoSpaceDE w:val="0"/>
        <w:autoSpaceDN w:val="0"/>
        <w:adjustRightInd w:val="0"/>
      </w:pPr>
      <w:r w:rsidRPr="00673715">
        <w:t xml:space="preserve">The Immigration and Nationality Act (INA) establishes the H-2A nonimmigrant visa classification for a worker “having a residence in a foreign country which he has no intention of abandoning who is coming temporarily to the United States to perform agricultural labor or services…of a temporary or seasonal nature.”  </w:t>
      </w:r>
      <w:hyperlink r:id="rId9" w:tgtFrame="_blank" w:history="1">
        <w:r w:rsidRPr="00673715">
          <w:rPr>
            <w:rStyle w:val="Hyperlink"/>
            <w:rFonts w:eastAsiaTheme="majorEastAsia"/>
          </w:rPr>
          <w:t>8 U.S.C.</w:t>
        </w:r>
        <w:r>
          <w:rPr>
            <w:rStyle w:val="Hyperlink"/>
            <w:rFonts w:eastAsiaTheme="majorEastAsia"/>
          </w:rPr>
          <w:t xml:space="preserve"> </w:t>
        </w:r>
        <w:r w:rsidRPr="00673715">
          <w:rPr>
            <w:rStyle w:val="Hyperlink"/>
            <w:rFonts w:eastAsiaTheme="majorEastAsia"/>
          </w:rPr>
          <w:t>1101</w:t>
        </w:r>
      </w:hyperlink>
      <w:r w:rsidRPr="00673715">
        <w:t xml:space="preserve">(a)(15)(H)(ii)(a). Employers must petition the </w:t>
      </w:r>
      <w:r w:rsidR="00C1779E">
        <w:t>Department of Homeland Security (</w:t>
      </w:r>
      <w:r w:rsidRPr="00673715">
        <w:t>DHS</w:t>
      </w:r>
      <w:r w:rsidR="00C1779E">
        <w:t>)</w:t>
      </w:r>
      <w:r w:rsidRPr="00673715">
        <w:t xml:space="preserve"> </w:t>
      </w:r>
      <w:r>
        <w:t>to import</w:t>
      </w:r>
      <w:r w:rsidRPr="00673715">
        <w:t xml:space="preserve"> temporary workers as H-2A nonimmigrants.  </w:t>
      </w:r>
      <w:r>
        <w:rPr>
          <w:i/>
          <w:iCs/>
        </w:rPr>
        <w:t xml:space="preserve">See </w:t>
      </w:r>
      <w:hyperlink r:id="rId10" w:tgtFrame="_blank" w:history="1">
        <w:r w:rsidRPr="00673715">
          <w:rPr>
            <w:rStyle w:val="Hyperlink"/>
            <w:rFonts w:eastAsiaTheme="majorEastAsia"/>
          </w:rPr>
          <w:t>8 U.S.C. 1184</w:t>
        </w:r>
      </w:hyperlink>
      <w:r w:rsidRPr="00673715">
        <w:t xml:space="preserve">(c)(1). The INA authorizes DHS to permit employers to import nonimmigrant workers to perform agricultural labor or services of a temporary or seasonal nature under the H-2A visa classification </w:t>
      </w:r>
      <w:r>
        <w:t xml:space="preserve">only after the employer has applied to </w:t>
      </w:r>
      <w:r w:rsidRPr="00673715">
        <w:t xml:space="preserve">the Department </w:t>
      </w:r>
      <w:r>
        <w:t xml:space="preserve">for a certification </w:t>
      </w:r>
      <w:r w:rsidRPr="00673715">
        <w:t>that:</w:t>
      </w:r>
    </w:p>
    <w:p w:rsidR="000254DA" w:rsidRPr="00673715" w:rsidP="000254DA" w14:paraId="236F3729" w14:textId="77777777">
      <w:pPr>
        <w:autoSpaceDE w:val="0"/>
        <w:autoSpaceDN w:val="0"/>
        <w:adjustRightInd w:val="0"/>
      </w:pPr>
    </w:p>
    <w:p w:rsidR="000254DA" w:rsidRPr="00673715" w:rsidP="000254DA" w14:paraId="7CA3D2FE" w14:textId="77777777">
      <w:pPr>
        <w:numPr>
          <w:ilvl w:val="0"/>
          <w:numId w:val="3"/>
        </w:numPr>
        <w:autoSpaceDE w:val="0"/>
        <w:autoSpaceDN w:val="0"/>
        <w:adjustRightInd w:val="0"/>
      </w:pPr>
      <w:r w:rsidRPr="00673715">
        <w:t>There are not sufficient U.S. workers who are able, willing, and qualified, and who will be available at the time and place needed to perform the labor or services involved in the petition; and</w:t>
      </w:r>
    </w:p>
    <w:p w:rsidR="000254DA" w:rsidP="000254DA" w14:paraId="0EBCD046" w14:textId="77777777">
      <w:pPr>
        <w:numPr>
          <w:ilvl w:val="0"/>
          <w:numId w:val="3"/>
        </w:numPr>
        <w:autoSpaceDE w:val="0"/>
        <w:autoSpaceDN w:val="0"/>
        <w:adjustRightInd w:val="0"/>
      </w:pPr>
      <w:r w:rsidRPr="00673715">
        <w:t xml:space="preserve">The employment of the alien in such labor or services will not adversely affect the wages and working conditions of workers in the United States similarly employed. </w:t>
      </w:r>
    </w:p>
    <w:p w:rsidR="000254DA" w:rsidP="000254DA" w14:paraId="7C8ED176" w14:textId="77777777">
      <w:pPr>
        <w:pStyle w:val="ListParagraph"/>
      </w:pPr>
    </w:p>
    <w:p w:rsidR="000254DA" w:rsidRPr="00673715" w:rsidP="000254DA" w14:paraId="0E069960" w14:textId="3B13AAEE">
      <w:pPr>
        <w:autoSpaceDE w:val="0"/>
        <w:autoSpaceDN w:val="0"/>
        <w:adjustRightInd w:val="0"/>
      </w:pPr>
      <w:r w:rsidRPr="00673715">
        <w:t>8 U.S.C.</w:t>
      </w:r>
      <w:r>
        <w:t xml:space="preserve"> </w:t>
      </w:r>
      <w:r w:rsidRPr="00673715">
        <w:t>1188(a)(1).</w:t>
      </w:r>
      <w:r>
        <w:t xml:space="preserve"> Under the INA, DOL is also authorized to enforce “employer compliance with terms and conditions of employment” in the H-2A program.  8 U.S.C. 1188(g)(2).</w:t>
      </w:r>
      <w:r w:rsidRPr="00673715">
        <w:t xml:space="preserve"> </w:t>
      </w:r>
    </w:p>
    <w:p w:rsidR="000254DA" w:rsidRPr="00673715" w:rsidP="000254DA" w14:paraId="2E36B4F1" w14:textId="77777777">
      <w:pPr>
        <w:autoSpaceDE w:val="0"/>
        <w:autoSpaceDN w:val="0"/>
        <w:adjustRightInd w:val="0"/>
      </w:pPr>
    </w:p>
    <w:p w:rsidR="000254DA" w:rsidP="000254DA" w14:paraId="03C85CD1" w14:textId="596B0C10">
      <w:pPr>
        <w:autoSpaceDE w:val="0"/>
        <w:autoSpaceDN w:val="0"/>
        <w:adjustRightInd w:val="0"/>
      </w:pPr>
      <w:r w:rsidRPr="00673715">
        <w:t>The Secretary of Labor</w:t>
      </w:r>
      <w:r>
        <w:t xml:space="preserve"> (Secretary)</w:t>
      </w:r>
      <w:r w:rsidRPr="00673715">
        <w:t xml:space="preserve"> has delegated the responsibility of issuing temporary labor certifications, through the Assistant Secretary, Employment and Training Administration (ETA), to ETA’s OFLC.</w:t>
      </w:r>
      <w:r>
        <w:t xml:space="preserve"> </w:t>
      </w:r>
      <w:r w:rsidRPr="00795257">
        <w:rPr>
          <w:i/>
        </w:rPr>
        <w:t>See</w:t>
      </w:r>
      <w:r>
        <w:t xml:space="preserve"> </w:t>
      </w:r>
      <w:hyperlink r:id="rId11" w:history="1">
        <w:r w:rsidRPr="000F6E63">
          <w:rPr>
            <w:rStyle w:val="Hyperlink"/>
            <w:rFonts w:eastAsiaTheme="majorEastAsia"/>
          </w:rPr>
          <w:t>Secretary’s Order 06-2010</w:t>
        </w:r>
      </w:hyperlink>
      <w:r>
        <w:t xml:space="preserve">. </w:t>
      </w:r>
      <w:r w:rsidRPr="00673715">
        <w:t xml:space="preserve">The Secretary has also delegated responsibility for enforcement of the worker protections to the Administrator of the Wage and Hour Division (WHD). </w:t>
      </w:r>
      <w:r w:rsidRPr="00795257">
        <w:rPr>
          <w:i/>
        </w:rPr>
        <w:t xml:space="preserve">See </w:t>
      </w:r>
      <w:hyperlink r:id="rId12" w:history="1">
        <w:r w:rsidRPr="00795257">
          <w:rPr>
            <w:rStyle w:val="Hyperlink"/>
            <w:rFonts w:eastAsiaTheme="majorEastAsia"/>
          </w:rPr>
          <w:t>Secretary’s Order 01-2014</w:t>
        </w:r>
      </w:hyperlink>
      <w:r>
        <w:t xml:space="preserve">. </w:t>
      </w:r>
      <w:r w:rsidRPr="00673715" w:rsidR="004D1743">
        <w:t>OMB 1205-0466</w:t>
      </w:r>
      <w:r w:rsidRPr="00673715">
        <w:t xml:space="preserve"> includes the collection of information related to an employer’s request for nonimmigrant workers</w:t>
      </w:r>
      <w:r>
        <w:t>,</w:t>
      </w:r>
      <w:r w:rsidRPr="00673715">
        <w:t xml:space="preserve"> as well as the material terms, wages</w:t>
      </w:r>
      <w:r>
        <w:t>,</w:t>
      </w:r>
      <w:r w:rsidRPr="00673715">
        <w:t xml:space="preserve"> and conditions of employment that facilitate the recruitment of U.S. workers and issuance of temporary labor certifications in the H-2A program. </w:t>
      </w:r>
    </w:p>
    <w:p w:rsidR="000254DA" w:rsidRPr="00673715" w:rsidP="000254DA" w14:paraId="389D7A8B" w14:textId="77777777">
      <w:pPr>
        <w:autoSpaceDE w:val="0"/>
        <w:autoSpaceDN w:val="0"/>
        <w:adjustRightInd w:val="0"/>
      </w:pPr>
    </w:p>
    <w:p w:rsidR="000254DA" w:rsidRPr="00673715" w:rsidP="000254DA" w14:paraId="0C72FE51" w14:textId="7ABAA65D">
      <w:pPr>
        <w:autoSpaceDE w:val="0"/>
        <w:autoSpaceDN w:val="0"/>
        <w:adjustRightInd w:val="0"/>
      </w:pPr>
      <w:r w:rsidRPr="00673715">
        <w:t xml:space="preserve">As provided in the Department’s regulations at 20 </w:t>
      </w:r>
      <w:r>
        <w:t>CFR</w:t>
      </w:r>
      <w:r w:rsidRPr="00673715">
        <w:t xml:space="preserve"> </w:t>
      </w:r>
      <w:r>
        <w:t xml:space="preserve">part </w:t>
      </w:r>
      <w:r w:rsidRPr="00673715">
        <w:t xml:space="preserve">655, </w:t>
      </w:r>
      <w:r>
        <w:t>subpart</w:t>
      </w:r>
      <w:r w:rsidRPr="00673715">
        <w:t xml:space="preserve"> B, the information </w:t>
      </w:r>
      <w:r>
        <w:t>collected through</w:t>
      </w:r>
      <w:r w:rsidRPr="00673715">
        <w:t xml:space="preserve"> Form ETA-9142A, </w:t>
      </w:r>
      <w:r w:rsidRPr="00673715">
        <w:rPr>
          <w:i/>
        </w:rPr>
        <w:t>H-2A Application for Temporary Employment Certification</w:t>
      </w:r>
      <w:r>
        <w:rPr>
          <w:i/>
        </w:rPr>
        <w:t xml:space="preserve"> </w:t>
      </w:r>
      <w:r>
        <w:t>(H-2A Application)</w:t>
      </w:r>
      <w:r w:rsidR="0083470E">
        <w:t xml:space="preserve"> and Form ETA-790A, </w:t>
      </w:r>
      <w:r w:rsidR="007362E8">
        <w:t>Agricultural Clearance Order</w:t>
      </w:r>
      <w:r>
        <w:t>,</w:t>
      </w:r>
      <w:r w:rsidRPr="00673715">
        <w:rPr>
          <w:i/>
        </w:rPr>
        <w:t xml:space="preserve"> </w:t>
      </w:r>
      <w:r w:rsidRPr="00673715">
        <w:t>and all</w:t>
      </w:r>
      <w:r>
        <w:t xml:space="preserve"> required</w:t>
      </w:r>
      <w:r w:rsidRPr="00673715">
        <w:t xml:space="preserve"> supporting documentation, constitute</w:t>
      </w:r>
      <w:r>
        <w:t>s</w:t>
      </w:r>
      <w:r w:rsidRPr="00673715">
        <w:t xml:space="preserve"> the basis for DOL’s determination that an insufficient number of qualified U.S. workers are available to fill the employer’s job opportunity and</w:t>
      </w:r>
      <w:r>
        <w:t xml:space="preserve"> that</w:t>
      </w:r>
      <w:r w:rsidRPr="00673715">
        <w:t xml:space="preserve"> the wages and working conditions of similarly employed  workers </w:t>
      </w:r>
      <w:r w:rsidR="0BB739B8">
        <w:t xml:space="preserve">in the U.S. </w:t>
      </w:r>
      <w:r w:rsidRPr="00673715">
        <w:t xml:space="preserve">will not be adversely </w:t>
      </w:r>
      <w:r w:rsidRPr="00673715">
        <w:t>affected by the employment of H-2A workers</w:t>
      </w:r>
      <w:r>
        <w:t>. This determination is required</w:t>
      </w:r>
      <w:r w:rsidRPr="00673715">
        <w:t xml:space="preserve"> before a petition can be </w:t>
      </w:r>
      <w:r>
        <w:t xml:space="preserve">filed with and </w:t>
      </w:r>
      <w:r w:rsidRPr="00673715">
        <w:t xml:space="preserve">approved by DHS.  </w:t>
      </w:r>
    </w:p>
    <w:p w:rsidR="000254DA" w:rsidP="000254DA" w14:paraId="32931868" w14:textId="77777777">
      <w:pPr>
        <w:autoSpaceDE w:val="0"/>
        <w:autoSpaceDN w:val="0"/>
        <w:adjustRightInd w:val="0"/>
      </w:pPr>
      <w:bookmarkStart w:id="0" w:name="0-0-0-681"/>
      <w:bookmarkEnd w:id="0"/>
    </w:p>
    <w:p w:rsidR="000254DA" w:rsidP="000254DA" w14:paraId="501C2359" w14:textId="7BB56ABA">
      <w:pPr>
        <w:autoSpaceDE w:val="0"/>
        <w:autoSpaceDN w:val="0"/>
        <w:adjustRightInd w:val="0"/>
      </w:pPr>
      <w:r>
        <w:t xml:space="preserve">As required by the INA, the Department may not issue a temporary labor certification unless the employer has conducted required recruitment “in addition to, and…within the same time period as, the circulation through the interstate employment service system of the employer’s job offer.”  8 U.S.C. 1188(b)(4). In accordance with the Wagner-Peyser Act of 1933, as amended by Title III of the Workforce Innovation and Opportunity Act, Pub. L. 113-128 (Jul. 22, 2014), the Department has established regulatory standards and procedures governing the Agricultural Recruitment System (ARS), which is administered by </w:t>
      </w:r>
      <w:r w:rsidR="00565DCA">
        <w:t>State W</w:t>
      </w:r>
      <w:r w:rsidR="00736AD4">
        <w:t>o</w:t>
      </w:r>
      <w:r w:rsidR="00565DCA">
        <w:t>rk</w:t>
      </w:r>
      <w:r w:rsidR="00736AD4">
        <w:t>force Agencies (</w:t>
      </w:r>
      <w:r>
        <w:t>SWAs</w:t>
      </w:r>
      <w:r w:rsidR="00736AD4">
        <w:t>)</w:t>
      </w:r>
      <w:r>
        <w:t xml:space="preserve"> facilitating the intrastate and interstate clearance recruitment of U.S. workers for temporary agricultural employment. 20 CFR part 653, subpart</w:t>
      </w:r>
      <w:r w:rsidR="5D439AAE">
        <w:t xml:space="preserve"> </w:t>
      </w:r>
      <w:r>
        <w:t>F. To access the ARS, the employer must prepare and submit a job order (Form ETA-790/790A)</w:t>
      </w:r>
      <w:r w:rsidR="009D7CCB">
        <w:t xml:space="preserve"> </w:t>
      </w:r>
      <w:r>
        <w:t>to the SWA serving the area of intended employment describing all the material terms and conditions of employment, including those relating to wages, working conditions, and other benefits that will be offered to prospective workers.</w:t>
      </w:r>
    </w:p>
    <w:p w:rsidR="009D7CCB" w:rsidP="000254DA" w14:paraId="7B5B3BA3" w14:textId="77777777">
      <w:pPr>
        <w:autoSpaceDE w:val="0"/>
        <w:autoSpaceDN w:val="0"/>
        <w:adjustRightInd w:val="0"/>
      </w:pPr>
    </w:p>
    <w:p w:rsidR="34F91096" w14:paraId="614A4747" w14:textId="10F3FF44">
      <w:r w:rsidRPr="3862BEEC">
        <w:rPr>
          <w:color w:val="000000" w:themeColor="text1"/>
        </w:rPr>
        <w:t xml:space="preserve">The ARS prescribes requirements that Employment Service (ES) offices and SWAs must follow when placing intrastate and interstate job clearance orders seeking U.S. workers to perform agricultural labor on a temporary, less than year-round basis. 20 CFR 653.500. It is governed by the regulations </w:t>
      </w:r>
      <w:r w:rsidRPr="3862BEEC">
        <w:t xml:space="preserve">set forth at 20 CFR part 653, subpart F. </w:t>
      </w:r>
      <w:r w:rsidRPr="3862BEEC">
        <w:rPr>
          <w:color w:val="000000" w:themeColor="text1"/>
        </w:rPr>
        <w:t xml:space="preserve">ETA has promulgated regulations that require ES offices and SWAs to post agricultural clearance orders on the Form ETA-790 (or a subsequently issued form) and ensure that this form and any required attachments are complete. </w:t>
      </w:r>
      <w:r w:rsidRPr="3862BEEC">
        <w:rPr>
          <w:i/>
          <w:iCs/>
          <w:color w:val="000000" w:themeColor="text1"/>
        </w:rPr>
        <w:t xml:space="preserve">See </w:t>
      </w:r>
      <w:r w:rsidRPr="3862BEEC">
        <w:rPr>
          <w:color w:val="000000" w:themeColor="text1"/>
        </w:rPr>
        <w:t xml:space="preserve">20 CFR 653.501(b)(1). </w:t>
      </w:r>
      <w:r w:rsidRPr="3862BEEC">
        <w:t xml:space="preserve">The required contents of these orders are set forth in the regulations at 20 CFR 653.501.  </w:t>
      </w:r>
    </w:p>
    <w:p w:rsidR="34F91096" w:rsidP="00834692" w14:paraId="00E227CD" w14:textId="4844C7DF">
      <w:pPr>
        <w:ind w:left="360"/>
      </w:pPr>
      <w:r w:rsidRPr="3862BEEC">
        <w:t xml:space="preserve"> </w:t>
      </w:r>
    </w:p>
    <w:p w:rsidR="34F91096" w14:paraId="1C94EB82" w14:textId="3A9053AD">
      <w:r w:rsidRPr="3862BEEC">
        <w:t xml:space="preserve">Agricultural clearance orders placed in connection with </w:t>
      </w:r>
      <w:r w:rsidRPr="3862BEEC">
        <w:rPr>
          <w:sz w:val="23"/>
          <w:szCs w:val="23"/>
        </w:rPr>
        <w:t xml:space="preserve">H-2A </w:t>
      </w:r>
      <w:r w:rsidRPr="3862BEEC">
        <w:rPr>
          <w:i/>
          <w:iCs/>
          <w:sz w:val="23"/>
          <w:szCs w:val="23"/>
        </w:rPr>
        <w:t>Applications for Temporary Employment Certification</w:t>
      </w:r>
      <w:r w:rsidRPr="3862BEEC">
        <w:t xml:space="preserve"> are subject to both the requirements of the ARS and the requirements governing H-2A temporary labor </w:t>
      </w:r>
      <w:r w:rsidRPr="3862BEEC" w:rsidR="00C73710">
        <w:t>certification</w:t>
      </w:r>
      <w:r w:rsidR="00C73710">
        <w:t>s</w:t>
      </w:r>
      <w:r w:rsidRPr="3862BEEC" w:rsidR="00C73710">
        <w:t xml:space="preserve"> and</w:t>
      </w:r>
      <w:r w:rsidRPr="3862BEEC">
        <w:t xml:space="preserve"> are known as “criteria” clearance orders. By contrast, agricultural clearance orders that are </w:t>
      </w:r>
      <w:r w:rsidRPr="3862BEEC">
        <w:rPr>
          <w:i/>
          <w:iCs/>
        </w:rPr>
        <w:t>not</w:t>
      </w:r>
      <w:r w:rsidRPr="3862BEEC">
        <w:t xml:space="preserve"> placed in connection with an H-2A </w:t>
      </w:r>
      <w:r w:rsidRPr="3862BEEC">
        <w:rPr>
          <w:i/>
          <w:iCs/>
        </w:rPr>
        <w:t>Application for Temporary Employment Certification</w:t>
      </w:r>
      <w:r w:rsidRPr="3862BEEC">
        <w:t xml:space="preserve"> are known as “non-criteria” clearance orders.  </w:t>
      </w:r>
    </w:p>
    <w:p w:rsidR="3862BEEC" w:rsidP="3862BEEC" w14:paraId="3E65B851" w14:textId="471D6322">
      <w:pPr>
        <w:rPr>
          <w:color w:val="000000" w:themeColor="text1"/>
        </w:rPr>
      </w:pPr>
    </w:p>
    <w:p w:rsidR="072A0A2C" w:rsidP="3862BEEC" w14:paraId="764E972E" w14:textId="13D5820D">
      <w:r w:rsidRPr="3862BEEC">
        <w:rPr>
          <w:color w:val="000000" w:themeColor="text1"/>
        </w:rPr>
        <w:t xml:space="preserve">Form ETA-790B is only used by employers who submit non-criteria clearance orders requesting U.S. workers for temporary agricultural jobs. </w:t>
      </w:r>
      <w:r w:rsidRPr="3862BEEC">
        <w:t>If an employer seeks to use the ARS to recruit U.S. workers to perform farmwork on a temporary, less than year-round basis</w:t>
      </w:r>
      <w:r w:rsidRPr="3862BEEC" w:rsidR="7CE382A7">
        <w:t xml:space="preserve"> (non-criteria clearance order)</w:t>
      </w:r>
      <w:r w:rsidRPr="3862BEEC">
        <w:t xml:space="preserve">, it must: 1) complete the Form ETA-790; 2) complete the Form ETA-790B, including its attachments; and 3) submit both forms to the SWA serving the area of intended employment.  </w:t>
      </w:r>
    </w:p>
    <w:p w:rsidR="009D7CCB" w:rsidP="000254DA" w14:paraId="3F58BEB9" w14:textId="77777777">
      <w:pPr>
        <w:autoSpaceDE w:val="0"/>
        <w:autoSpaceDN w:val="0"/>
        <w:adjustRightInd w:val="0"/>
      </w:pPr>
    </w:p>
    <w:p w:rsidR="00B24408" w:rsidP="000254DA" w14:paraId="5D10718C" w14:textId="77777777">
      <w:pPr>
        <w:autoSpaceDE w:val="0"/>
        <w:autoSpaceDN w:val="0"/>
        <w:adjustRightInd w:val="0"/>
      </w:pPr>
      <w:r w:rsidRPr="00673715">
        <w:rPr>
          <w:b/>
        </w:rPr>
        <w:t>Statutory Authority</w:t>
      </w:r>
      <w:r w:rsidRPr="00673715">
        <w:t>:</w:t>
      </w:r>
      <w:r w:rsidRPr="00673715">
        <w:tab/>
      </w:r>
      <w:r w:rsidRPr="40FFA049" w:rsidR="2BCD12FB">
        <w:t xml:space="preserve">Wagner-Peyser Act of 1933, </w:t>
      </w:r>
      <w:hyperlink w:history="1">
        <w:hyperlink r:id="rId13" w:history="1">
          <w:r w:rsidRPr="40FFA049" w:rsidR="2BCD12FB">
            <w:rPr>
              <w:rStyle w:val="Hyperlink"/>
            </w:rPr>
            <w:t>29 U.S.C. 49</w:t>
          </w:r>
        </w:hyperlink>
      </w:hyperlink>
      <w:r w:rsidRPr="40FFA049" w:rsidR="2BCD12FB">
        <w:t xml:space="preserve"> </w:t>
      </w:r>
      <w:r w:rsidRPr="40FFA049" w:rsidR="2BCD12FB">
        <w:rPr>
          <w:i/>
          <w:iCs/>
        </w:rPr>
        <w:t>et seq</w:t>
      </w:r>
      <w:r w:rsidRPr="52F12A00" w:rsidR="2BCD12FB">
        <w:rPr>
          <w:i/>
          <w:iCs/>
        </w:rPr>
        <w:t>.;</w:t>
      </w:r>
      <w:r w:rsidRPr="682B0D49" w:rsidR="2BCD12FB">
        <w:rPr>
          <w:i/>
        </w:rPr>
        <w:t xml:space="preserve"> </w:t>
      </w:r>
      <w:r w:rsidRPr="00C94497">
        <w:t xml:space="preserve">Immigration and Nationality Act section </w:t>
      </w:r>
      <w:r w:rsidRPr="00673715">
        <w:t xml:space="preserve">101(a)(15)(H)(ii)(a), </w:t>
      </w:r>
      <w:hyperlink r:id="rId9">
        <w:r w:rsidRPr="49A8066B">
          <w:rPr>
            <w:rStyle w:val="Hyperlink"/>
            <w:rFonts w:eastAsiaTheme="majorEastAsia"/>
          </w:rPr>
          <w:t>8 U.S.C. 1101</w:t>
        </w:r>
      </w:hyperlink>
      <w:r w:rsidRPr="00673715">
        <w:t xml:space="preserve">(a)(15)(H)(ii)(a), 1184(c), and 1188 </w:t>
      </w:r>
    </w:p>
    <w:p w:rsidR="000254DA" w:rsidRPr="00673715" w:rsidP="000254DA" w14:paraId="0CD1AC7A" w14:textId="13FC9C9A">
      <w:pPr>
        <w:autoSpaceDE w:val="0"/>
        <w:autoSpaceDN w:val="0"/>
        <w:adjustRightInd w:val="0"/>
      </w:pPr>
      <w:r>
        <w:t xml:space="preserve"> </w:t>
      </w:r>
    </w:p>
    <w:p w:rsidR="000254DA" w:rsidRPr="00673715" w:rsidP="000254DA" w14:paraId="62D28189" w14:textId="33C75150">
      <w:pPr>
        <w:autoSpaceDE w:val="0"/>
        <w:autoSpaceDN w:val="0"/>
        <w:adjustRightInd w:val="0"/>
      </w:pPr>
      <w:r w:rsidRPr="00897F4F">
        <w:rPr>
          <w:b/>
        </w:rPr>
        <w:t>Regulatory Authority</w:t>
      </w:r>
      <w:r w:rsidRPr="00897F4F">
        <w:t xml:space="preserve">: 20 </w:t>
      </w:r>
      <w:r>
        <w:t>CFR</w:t>
      </w:r>
      <w:r w:rsidRPr="00897F4F">
        <w:t xml:space="preserve"> </w:t>
      </w:r>
      <w:r>
        <w:t xml:space="preserve">part </w:t>
      </w:r>
      <w:r w:rsidRPr="00897F4F">
        <w:t>65</w:t>
      </w:r>
      <w:r>
        <w:t>3, subpart</w:t>
      </w:r>
      <w:r w:rsidR="00B24408">
        <w:t xml:space="preserve"> </w:t>
      </w:r>
      <w:r>
        <w:t>F, and 20 CFR part 65</w:t>
      </w:r>
      <w:r w:rsidRPr="00897F4F">
        <w:t xml:space="preserve">5, </w:t>
      </w:r>
      <w:r>
        <w:t>subpart</w:t>
      </w:r>
      <w:r w:rsidRPr="00897F4F">
        <w:t xml:space="preserve"> B</w:t>
      </w:r>
    </w:p>
    <w:p w:rsidR="000254DA" w:rsidP="000254DA" w14:paraId="40C04DF8" w14:textId="77777777">
      <w:pPr>
        <w:autoSpaceDE w:val="0"/>
        <w:autoSpaceDN w:val="0"/>
        <w:adjustRightInd w:val="0"/>
      </w:pPr>
    </w:p>
    <w:p w:rsidR="000254DA" w:rsidP="000254DA" w14:paraId="2C7BFDD5" w14:textId="77777777">
      <w:pPr>
        <w:tabs>
          <w:tab w:val="right" w:pos="360"/>
        </w:tabs>
        <w:autoSpaceDE w:val="0"/>
        <w:autoSpaceDN w:val="0"/>
        <w:adjustRightInd w:val="0"/>
        <w:ind w:left="540" w:hanging="540"/>
        <w:rPr>
          <w:i/>
        </w:rPr>
      </w:pPr>
    </w:p>
    <w:p w:rsidR="000254DA" w:rsidRPr="00B10FD7" w:rsidP="000254DA" w14:paraId="2BC5ACF2" w14:textId="77777777">
      <w:pPr>
        <w:tabs>
          <w:tab w:val="right" w:pos="360"/>
        </w:tabs>
        <w:autoSpaceDE w:val="0"/>
        <w:autoSpaceDN w:val="0"/>
        <w:adjustRightInd w:val="0"/>
        <w:ind w:left="540" w:hanging="540"/>
        <w:rPr>
          <w:i/>
        </w:rPr>
      </w:pPr>
      <w:r>
        <w:rPr>
          <w:i/>
        </w:rPr>
        <w:t>A</w:t>
      </w:r>
      <w:r w:rsidRPr="00B10FD7">
        <w:rPr>
          <w:i/>
        </w:rPr>
        <w:t xml:space="preserve">2. </w:t>
      </w:r>
      <w:r w:rsidRPr="00B10FD7">
        <w:rPr>
          <w:i/>
        </w:rPr>
        <w:tab/>
        <w:t>Indicate how, by whom, and for what purpose the information is to be used.  Except for a new collection, indicate the actual use the agency has made of the information received from the current collection.</w:t>
      </w:r>
    </w:p>
    <w:p w:rsidR="000254DA" w:rsidP="000254DA" w14:paraId="59888E37" w14:textId="77777777">
      <w:pPr>
        <w:autoSpaceDE w:val="0"/>
        <w:autoSpaceDN w:val="0"/>
        <w:adjustRightInd w:val="0"/>
      </w:pPr>
    </w:p>
    <w:p w:rsidR="000254DA" w:rsidRPr="00F77510" w:rsidP="3312F509" w14:paraId="66C4A6B3" w14:textId="79CC4AB1">
      <w:r>
        <w:t>Under the H-2A program, an</w:t>
      </w:r>
      <w:r>
        <w:t xml:space="preserve"> employer seeking to employ H-2A workers must file a completed Form ETA-9142A (including all supporting documentation) and a job order (also known as the agricultural clearance order, Form ETA-790/790A) for circulation in </w:t>
      </w:r>
      <w:r w:rsidR="06CBA4A0">
        <w:t xml:space="preserve">the </w:t>
      </w:r>
      <w:r>
        <w:t xml:space="preserve">ARS by the SWA serving the area of intended employment and the SWAs in other states, as appropriate to recruit for the job opportunity. These forms and all supporting documentation constitute the H-2A application.  </w:t>
      </w:r>
    </w:p>
    <w:p w:rsidR="00516710" w:rsidP="000254DA" w14:paraId="556FB3CF" w14:textId="77777777">
      <w:pPr>
        <w:tabs>
          <w:tab w:val="left" w:pos="-1440"/>
        </w:tabs>
      </w:pPr>
    </w:p>
    <w:p w:rsidR="00516710" w:rsidRPr="00F77510" w14:paraId="49F4524E" w14:textId="2D5A6283">
      <w:r>
        <w:t xml:space="preserve">Under </w:t>
      </w:r>
      <w:r w:rsidR="1BB8B138">
        <w:t xml:space="preserve">the </w:t>
      </w:r>
      <w:r>
        <w:t>ARS</w:t>
      </w:r>
      <w:r w:rsidR="0B48DC0A">
        <w:t xml:space="preserve">, Form ETA-790 and Form ETA-790B would be used by SWAs, American Job Centers (AJCs), agricultural employers, and farm labor contractors to recruit workers from outside of the local commuting area. Specifically, agricultural employers complete the Form ETA-790 and Form ETA-790B with the assistance of SWA or AJC staff. If there are insufficient workers locally or within the state (intrastate), the appropriate ETA regional office reviews and approves the forms for interstate clearance. The regional office instructs the SWA to send the forms to supply states for further labor recruitment (interstate). This allows the workers in those states to review the exact terms and conditions of the clearance order before </w:t>
      </w:r>
      <w:r w:rsidR="0B48DC0A">
        <w:t>making a decision</w:t>
      </w:r>
      <w:r w:rsidR="0B48DC0A">
        <w:t xml:space="preserve"> to apply for the job opening.</w:t>
      </w:r>
      <w:r w:rsidR="00AD2EBE">
        <w:t xml:space="preserve"> </w:t>
      </w:r>
      <w:r w:rsidR="29FFF885">
        <w:t>These forms are used to recruit U.S. workers for temporary positions in agriculture. If a sufficient supply of U.S. workers is not available, an agricultural employer can request to bring nonimmigrant foreign workers to the U.S. through the H-2A program to perform agricultural labor or services of a temporary or seasonal nature, using Form ETA-790A</w:t>
      </w:r>
      <w:r w:rsidR="7CC25D32">
        <w:t>.</w:t>
      </w:r>
    </w:p>
    <w:p w:rsidR="00825901" w:rsidP="000254DA" w14:paraId="32D808A9" w14:textId="77777777">
      <w:pPr>
        <w:widowControl w:val="0"/>
        <w:autoSpaceDE w:val="0"/>
        <w:autoSpaceDN w:val="0"/>
        <w:adjustRightInd w:val="0"/>
      </w:pPr>
    </w:p>
    <w:p w:rsidR="000254DA" w:rsidP="000254DA" w14:paraId="53EDFEC6" w14:textId="4A9E3806">
      <w:pPr>
        <w:widowControl w:val="0"/>
        <w:autoSpaceDE w:val="0"/>
        <w:autoSpaceDN w:val="0"/>
        <w:adjustRightInd w:val="0"/>
      </w:pPr>
      <w:r w:rsidRPr="00F77510">
        <w:t xml:space="preserve">Specifically, the </w:t>
      </w:r>
      <w:r>
        <w:t>information collected</w:t>
      </w:r>
      <w:r w:rsidRPr="00F77510">
        <w:t xml:space="preserve"> </w:t>
      </w:r>
      <w:r>
        <w:t>is</w:t>
      </w:r>
      <w:r w:rsidRPr="00F77510">
        <w:t xml:space="preserve"> used by </w:t>
      </w:r>
      <w:r w:rsidR="00EB0A49">
        <w:t>ETA</w:t>
      </w:r>
      <w:r w:rsidRPr="00F77510" w:rsidR="00EB0A49">
        <w:t xml:space="preserve"> </w:t>
      </w:r>
      <w:r w:rsidRPr="00F77510">
        <w:t>in the manner described below:</w:t>
      </w:r>
    </w:p>
    <w:p w:rsidR="00167C50" w:rsidP="000254DA" w14:paraId="17CA227E" w14:textId="77777777">
      <w:pPr>
        <w:widowControl w:val="0"/>
        <w:autoSpaceDE w:val="0"/>
        <w:autoSpaceDN w:val="0"/>
        <w:adjustRightInd w:val="0"/>
      </w:pPr>
    </w:p>
    <w:p w:rsidR="00167C50" w:rsidRPr="00F77510" w:rsidP="00167C50" w14:paraId="4F44CEE1" w14:textId="77777777">
      <w:pPr>
        <w:rPr>
          <w:i/>
          <w:u w:val="single"/>
        </w:rPr>
      </w:pPr>
      <w:r w:rsidRPr="00F77510">
        <w:rPr>
          <w:u w:val="single"/>
        </w:rPr>
        <w:t xml:space="preserve">Form ETA-790/790A, </w:t>
      </w:r>
      <w:r w:rsidRPr="00F77510">
        <w:rPr>
          <w:i/>
          <w:u w:val="single"/>
        </w:rPr>
        <w:t>H-2A Agricultural Clearance Order</w:t>
      </w:r>
    </w:p>
    <w:p w:rsidR="00167C50" w:rsidRPr="00F77510" w:rsidP="00167C50" w14:paraId="1DC17D02" w14:textId="77777777">
      <w:pPr>
        <w:tabs>
          <w:tab w:val="left" w:pos="-1440"/>
        </w:tabs>
      </w:pPr>
    </w:p>
    <w:p w:rsidR="00167C50" w:rsidP="00167C50" w14:paraId="22E58574" w14:textId="38389FC7">
      <w:pPr>
        <w:ind w:right="-180"/>
      </w:pPr>
      <w:r>
        <w:t>All employers seeking to employ U.S. workers to perform agricultural services or labor on a temporary, less than year-round basis must submit a completed agricultural clearance order (Form ETA-790/790A</w:t>
      </w:r>
      <w:r w:rsidR="003B5E47">
        <w:t>790B</w:t>
      </w:r>
      <w:r>
        <w:t xml:space="preserve">) for placement </w:t>
      </w:r>
      <w:r w:rsidR="2DC8B1DA">
        <w:t>i</w:t>
      </w:r>
      <w:r>
        <w:t xml:space="preserve">n the ARS intrastate and interstate job clearance systems, as set forth in 20 CFR 653.500. An employer filing the Form ETA-9142A must submit to the Department the Form ETA-790/790A for SWA review. </w:t>
      </w:r>
      <w:r w:rsidRPr="3312F509">
        <w:rPr>
          <w:i/>
          <w:iCs/>
        </w:rPr>
        <w:t xml:space="preserve">See </w:t>
      </w:r>
      <w:r>
        <w:t xml:space="preserve">20 CFR 655.121. </w:t>
      </w:r>
    </w:p>
    <w:p w:rsidR="00167C50" w:rsidP="00167C50" w14:paraId="5A3D70CE" w14:textId="77777777">
      <w:pPr>
        <w:ind w:right="-180"/>
      </w:pPr>
    </w:p>
    <w:p w:rsidR="00167C50" w:rsidRPr="00F77510" w:rsidP="00167C50" w14:paraId="021D7B7C" w14:textId="4AB43337">
      <w:pPr>
        <w:ind w:right="-180"/>
      </w:pPr>
      <w:r w:rsidRPr="00F77510">
        <w:t xml:space="preserve">The </w:t>
      </w:r>
      <w:r>
        <w:t>amended</w:t>
      </w:r>
      <w:r w:rsidRPr="00F77510">
        <w:t xml:space="preserve"> Form ETA-790/790A </w:t>
      </w:r>
      <w:r>
        <w:t xml:space="preserve">consists of </w:t>
      </w:r>
      <w:r w:rsidRPr="00F77510">
        <w:t xml:space="preserve">two parts. First, the form has a one-page coversheet (Form ETA-790) that </w:t>
      </w:r>
      <w:r>
        <w:t>is</w:t>
      </w:r>
      <w:r w:rsidRPr="00F77510">
        <w:t xml:space="preserve"> completed, in part, by the employer and </w:t>
      </w:r>
      <w:r>
        <w:t xml:space="preserve">is </w:t>
      </w:r>
      <w:r w:rsidRPr="00F77510">
        <w:t>designed to (1) facilitate the</w:t>
      </w:r>
      <w:r>
        <w:t xml:space="preserve"> SWA’s</w:t>
      </w:r>
      <w:r w:rsidRPr="00F77510">
        <w:t xml:space="preserve"> receipt and processing of the job order through its intrastate and interstate job clearance systems, (2) identify the primary employer of the worker(s) sought for the job opportunity, and (3) designate that the job order will be used in connection with a future Form ETA-9142A for H-2A workers. Second, the employer complete</w:t>
      </w:r>
      <w:r>
        <w:t>s</w:t>
      </w:r>
      <w:r w:rsidRPr="00F77510">
        <w:t xml:space="preserve"> the Form ETA-790A requiring the disclosure of all the material terms and conditions of employment that satisfy the requirements for agricultural clearance orders in 20 </w:t>
      </w:r>
      <w:r>
        <w:t>CFR</w:t>
      </w:r>
      <w:r w:rsidRPr="00F77510">
        <w:t xml:space="preserve"> part 653, </w:t>
      </w:r>
      <w:r>
        <w:t>subpart</w:t>
      </w:r>
      <w:r w:rsidRPr="00F77510">
        <w:t xml:space="preserve"> F and the job order content requirements set forth in 20 </w:t>
      </w:r>
      <w:r>
        <w:t xml:space="preserve">CFR </w:t>
      </w:r>
      <w:r w:rsidRPr="00F77510">
        <w:t xml:space="preserve">655.122. </w:t>
      </w:r>
      <w:r w:rsidR="00AA6EE9">
        <w:t xml:space="preserve">The employer is </w:t>
      </w:r>
      <w:r>
        <w:t>require</w:t>
      </w:r>
      <w:r w:rsidR="00AA6EE9">
        <w:t>d</w:t>
      </w:r>
      <w:r>
        <w:t xml:space="preserve"> to submit the </w:t>
      </w:r>
      <w:r w:rsidRPr="00F77510">
        <w:t xml:space="preserve">Form ETA-790/790A to </w:t>
      </w:r>
      <w:r>
        <w:t>OFLC for its coordination with the SWA.  A</w:t>
      </w:r>
      <w:r w:rsidRPr="00F77510">
        <w:t xml:space="preserve">t the time of filing the Form ETA-9142A </w:t>
      </w:r>
      <w:r w:rsidRPr="00F77510">
        <w:t xml:space="preserve">with the Department, </w:t>
      </w:r>
      <w:r>
        <w:t>OFLC</w:t>
      </w:r>
      <w:r w:rsidRPr="00F77510">
        <w:t xml:space="preserve"> will </w:t>
      </w:r>
      <w:r>
        <w:t xml:space="preserve">review the Form ETA-9142A and </w:t>
      </w:r>
      <w:r w:rsidRPr="00F77510">
        <w:t>the Form ETA-</w:t>
      </w:r>
      <w:r>
        <w:t>790/</w:t>
      </w:r>
      <w:r w:rsidRPr="00F77510">
        <w:t>790A along with any other supporting documentation.</w:t>
      </w:r>
    </w:p>
    <w:p w:rsidR="00167C50" w:rsidRPr="00F77510" w:rsidP="00167C50" w14:paraId="4017060F" w14:textId="77777777">
      <w:pPr>
        <w:ind w:right="-180"/>
      </w:pPr>
    </w:p>
    <w:p w:rsidR="00167C50" w:rsidRPr="00F77510" w:rsidP="00167C50" w14:paraId="4E504844" w14:textId="7FB60258">
      <w:pPr>
        <w:ind w:right="-180"/>
      </w:pPr>
      <w:r w:rsidRPr="00F77510">
        <w:t>To summarize, the Form ETA-790A collect</w:t>
      </w:r>
      <w:r>
        <w:t>s</w:t>
      </w:r>
      <w:r w:rsidRPr="00F77510">
        <w:t xml:space="preserve"> information related to the employer’s job opportunity, including the job title, number of workers needed, period of intended employment, and a description of the agricultural services or labor to be performed. This information permit</w:t>
      </w:r>
      <w:r>
        <w:t>s</w:t>
      </w:r>
      <w:r w:rsidRPr="00F77510">
        <w:t xml:space="preserve"> OFLC to evaluate whether the employer has a bona fide need for temporary labor and</w:t>
      </w:r>
      <w:r>
        <w:t xml:space="preserve"> whether</w:t>
      </w:r>
      <w:r w:rsidRPr="00F77510">
        <w:t xml:space="preserve"> the duties to be performed qualify as agricultural services or labor under the H-2A program. To ensure no adverse effect on the wages of similarly employed workers in the area(s) of intended employment, the form collect</w:t>
      </w:r>
      <w:r>
        <w:t>s</w:t>
      </w:r>
      <w:r w:rsidRPr="00F77510">
        <w:t xml:space="preserve"> information on specific crops or agricultural activities, the places of intended employment (i.e., worksites), and the wage rate(s) that will be paid to workers in each crop or agricultural activity</w:t>
      </w:r>
      <w:r>
        <w:t>,</w:t>
      </w:r>
      <w:r w:rsidRPr="00F77510">
        <w:t xml:space="preserve"> as well as any other conditions or deductions from pay not required by law.  In addition, employers </w:t>
      </w:r>
      <w:r>
        <w:t>are</w:t>
      </w:r>
      <w:r w:rsidRPr="00F77510">
        <w:t xml:space="preserve"> required to disclose the actual minimum qualifications or requirements of the job, including education, training, experience, and any other special requirements. This information </w:t>
      </w:r>
      <w:r>
        <w:t>is</w:t>
      </w:r>
      <w:r w:rsidRPr="00F77510">
        <w:t xml:space="preserve"> used by the Department to determine whether the job qualifications or requirements are </w:t>
      </w:r>
      <w:r>
        <w:t xml:space="preserve">consistent with the </w:t>
      </w:r>
      <w:r w:rsidRPr="00F77510">
        <w:t xml:space="preserve">normal and accepted </w:t>
      </w:r>
      <w:r>
        <w:t>qualifications required by</w:t>
      </w:r>
      <w:r w:rsidRPr="00F77510">
        <w:t xml:space="preserve"> U.S. employers who do not use the H-2A program. </w:t>
      </w:r>
      <w:r>
        <w:rPr>
          <w:i/>
          <w:iCs/>
        </w:rPr>
        <w:t xml:space="preserve">See </w:t>
      </w:r>
      <w:r>
        <w:t>20 CFR 655.122(b).</w:t>
      </w:r>
      <w:r w:rsidRPr="00F77510">
        <w:t xml:space="preserve"> </w:t>
      </w:r>
    </w:p>
    <w:p w:rsidR="00167C50" w:rsidRPr="00F77510" w:rsidP="00167C50" w14:paraId="78F128E0" w14:textId="77777777">
      <w:pPr>
        <w:ind w:right="-180"/>
      </w:pPr>
    </w:p>
    <w:p w:rsidR="00167C50" w:rsidP="00167C50" w14:paraId="56BA00DA" w14:textId="399B2BB9">
      <w:pPr>
        <w:ind w:right="-180"/>
      </w:pPr>
      <w:r w:rsidRPr="00F77510">
        <w:t xml:space="preserve">Because the INA mandates that employers participating in the H-2A program provide housing to workers that meets applicable housing standards prior to occupancy, the form </w:t>
      </w:r>
      <w:r>
        <w:t xml:space="preserve">also </w:t>
      </w:r>
      <w:r w:rsidRPr="00F77510">
        <w:t>collect</w:t>
      </w:r>
      <w:r>
        <w:t>s</w:t>
      </w:r>
      <w:r w:rsidRPr="00F77510">
        <w:t xml:space="preserve"> basic information regarding the geographic location, type, capacity, and the applicable inspection standards (i.e., local, state, federal) of the housing for workers who are employed under the agricultural clearance order. </w:t>
      </w:r>
      <w:r>
        <w:rPr>
          <w:i/>
          <w:iCs/>
        </w:rPr>
        <w:t xml:space="preserve">See </w:t>
      </w:r>
      <w:r>
        <w:t>8 U.S.C. 1188(c)(4). F</w:t>
      </w:r>
      <w:r w:rsidRPr="00F77510">
        <w:t>inally, the employer provide</w:t>
      </w:r>
      <w:r>
        <w:t>s</w:t>
      </w:r>
      <w:r w:rsidRPr="00F77510">
        <w:t xml:space="preserve"> other disclosures required by regulation related to the provision of meals, transportation</w:t>
      </w:r>
      <w:r>
        <w:t>,</w:t>
      </w:r>
      <w:r w:rsidRPr="00F77510">
        <w:t xml:space="preserve"> and daily subsistence, and any other material terms and conditions of the job offer</w:t>
      </w:r>
      <w:r>
        <w:t>, as well as</w:t>
      </w:r>
      <w:r w:rsidRPr="0092386C">
        <w:t xml:space="preserve"> </w:t>
      </w:r>
      <w:r w:rsidRPr="00F77510">
        <w:t>referral and hiring instructions. Employers complete Form ETA-790A by reading and then attesting (</w:t>
      </w:r>
      <w:r w:rsidRPr="0052161A">
        <w:rPr>
          <w:i/>
          <w:iCs/>
        </w:rPr>
        <w:t>i.e.</w:t>
      </w:r>
      <w:r w:rsidRPr="00F77510">
        <w:t>, sign</w:t>
      </w:r>
      <w:r>
        <w:t>ing</w:t>
      </w:r>
      <w:r w:rsidRPr="00F77510">
        <w:t xml:space="preserve"> and dat</w:t>
      </w:r>
      <w:r>
        <w:t>ing</w:t>
      </w:r>
      <w:r w:rsidRPr="00F77510">
        <w:t xml:space="preserve">) to compliance with the required conditions of employment and assurances for H-2A agricultural clearance orders, as set forth under 20 </w:t>
      </w:r>
      <w:r>
        <w:t xml:space="preserve">CFR part </w:t>
      </w:r>
      <w:r w:rsidRPr="00F77510">
        <w:t xml:space="preserve">653, </w:t>
      </w:r>
      <w:r>
        <w:t>subpart</w:t>
      </w:r>
      <w:r w:rsidRPr="00F77510">
        <w:t xml:space="preserve"> F, and 20 </w:t>
      </w:r>
      <w:r>
        <w:t xml:space="preserve">CFR part </w:t>
      </w:r>
      <w:r w:rsidRPr="00F77510">
        <w:t xml:space="preserve">655, </w:t>
      </w:r>
      <w:r>
        <w:t>subpart</w:t>
      </w:r>
      <w:r w:rsidRPr="00F77510">
        <w:t xml:space="preserve"> B.  </w:t>
      </w:r>
    </w:p>
    <w:p w:rsidR="00167C50" w:rsidRPr="00F77510" w:rsidP="00167C50" w14:paraId="38BF7F31" w14:textId="77777777">
      <w:pPr>
        <w:ind w:right="-180"/>
      </w:pPr>
    </w:p>
    <w:p w:rsidR="00167C50" w:rsidRPr="00F77510" w:rsidP="00167C50" w14:paraId="257F4608" w14:textId="77777777">
      <w:pPr>
        <w:rPr>
          <w:u w:val="single"/>
        </w:rPr>
      </w:pPr>
      <w:r w:rsidRPr="00F77510">
        <w:rPr>
          <w:u w:val="single"/>
        </w:rPr>
        <w:t xml:space="preserve">Form ETA-790A, </w:t>
      </w:r>
      <w:r w:rsidRPr="00F77510">
        <w:rPr>
          <w:i/>
          <w:u w:val="single"/>
        </w:rPr>
        <w:t>Addendum A</w:t>
      </w:r>
      <w:r w:rsidRPr="00F77510">
        <w:rPr>
          <w:u w:val="single"/>
        </w:rPr>
        <w:t xml:space="preserve"> - </w:t>
      </w:r>
      <w:r w:rsidRPr="00F77510">
        <w:rPr>
          <w:i/>
          <w:u w:val="single"/>
        </w:rPr>
        <w:t>Additional Crops or Agricultural Activities</w:t>
      </w:r>
    </w:p>
    <w:p w:rsidR="00167C50" w:rsidRPr="00F77510" w:rsidP="00167C50" w14:paraId="1EAE6279" w14:textId="77777777">
      <w:pPr>
        <w:ind w:right="460"/>
      </w:pPr>
    </w:p>
    <w:p w:rsidR="00167C50" w:rsidP="00167C50" w14:paraId="23046CF6" w14:textId="10E93DBD">
      <w:pPr>
        <w:ind w:right="460"/>
      </w:pPr>
      <w:r w:rsidRPr="00F77510">
        <w:t xml:space="preserve">In circumstances where work is expected to be performed in different agricultural activities, crops, and/or varieties within a single crop other than what is disclosed on the main Form ETA-790A, the employer </w:t>
      </w:r>
      <w:r>
        <w:t xml:space="preserve">must </w:t>
      </w:r>
      <w:r w:rsidRPr="00F77510">
        <w:t xml:space="preserve">complete the </w:t>
      </w:r>
      <w:r w:rsidRPr="00F77510">
        <w:rPr>
          <w:i/>
        </w:rPr>
        <w:t>Addendum A</w:t>
      </w:r>
      <w:r w:rsidRPr="00F77510">
        <w:t xml:space="preserve"> identifying all crops or agricultural activities for</w:t>
      </w:r>
      <w:r>
        <w:t xml:space="preserve"> the</w:t>
      </w:r>
      <w:r w:rsidRPr="00F77510">
        <w:t xml:space="preserve"> job opportunity</w:t>
      </w:r>
      <w:r>
        <w:t>,</w:t>
      </w:r>
      <w:r w:rsidRPr="00F77510">
        <w:t xml:space="preserve"> as well as details about the wages that will be offered, advertised, and paid to workers. OFLC use</w:t>
      </w:r>
      <w:r>
        <w:t>s</w:t>
      </w:r>
      <w:r w:rsidRPr="00F77510">
        <w:t xml:space="preserve"> this information to ensure that (1) all duties to be performed in the crops or agricultural activities qualify under the H-2A program, (2) all crops and/or agricultural activities </w:t>
      </w:r>
      <w:r>
        <w:t>are disclosed to prospective workers</w:t>
      </w:r>
      <w:r w:rsidRPr="00F77510">
        <w:t xml:space="preserve">, and (3) the employer is offering wages that will not create adverse effect on the wages </w:t>
      </w:r>
      <w:r w:rsidRPr="00F77510">
        <w:t>of  workers</w:t>
      </w:r>
      <w:r w:rsidRPr="00F77510">
        <w:t xml:space="preserve"> </w:t>
      </w:r>
      <w:r w:rsidR="1F461FC8">
        <w:t xml:space="preserve">in the U.S. </w:t>
      </w:r>
      <w:r>
        <w:t xml:space="preserve">who are </w:t>
      </w:r>
      <w:r w:rsidRPr="00F77510">
        <w:t xml:space="preserve">similarly employed.  </w:t>
      </w:r>
    </w:p>
    <w:p w:rsidR="00246631" w:rsidP="00167C50" w14:paraId="7C175EC8" w14:textId="77777777">
      <w:pPr>
        <w:ind w:right="460"/>
      </w:pPr>
    </w:p>
    <w:p w:rsidR="00246631" w:rsidP="00167C50" w14:paraId="2BEB4926" w14:textId="77777777">
      <w:pPr>
        <w:ind w:right="460"/>
      </w:pPr>
    </w:p>
    <w:p w:rsidR="00246631" w:rsidRPr="00F77510" w:rsidP="00167C50" w14:paraId="586A8405" w14:textId="77777777">
      <w:pPr>
        <w:ind w:right="460"/>
      </w:pPr>
    </w:p>
    <w:p w:rsidR="00167C50" w:rsidRPr="00F77510" w:rsidP="00167C50" w14:paraId="7BD4EB43" w14:textId="77777777">
      <w:pPr>
        <w:tabs>
          <w:tab w:val="left" w:pos="-1440"/>
        </w:tabs>
      </w:pPr>
    </w:p>
    <w:p w:rsidR="00167C50" w:rsidRPr="00F77510" w:rsidP="00167C50" w14:paraId="325257A3" w14:textId="77777777">
      <w:pPr>
        <w:rPr>
          <w:u w:val="single"/>
        </w:rPr>
      </w:pPr>
      <w:r w:rsidRPr="00F77510">
        <w:rPr>
          <w:u w:val="single"/>
        </w:rPr>
        <w:t xml:space="preserve">Form ETA-790A, </w:t>
      </w:r>
      <w:r w:rsidRPr="00F77510">
        <w:rPr>
          <w:i/>
          <w:u w:val="single"/>
        </w:rPr>
        <w:t>Addendum B</w:t>
      </w:r>
      <w:r w:rsidRPr="00F77510">
        <w:rPr>
          <w:u w:val="single"/>
        </w:rPr>
        <w:t xml:space="preserve"> - </w:t>
      </w:r>
      <w:r w:rsidRPr="00F77510">
        <w:rPr>
          <w:i/>
          <w:u w:val="single"/>
        </w:rPr>
        <w:t>Additional Worksite and/or Housing Information</w:t>
      </w:r>
    </w:p>
    <w:p w:rsidR="00167C50" w:rsidRPr="00F77510" w:rsidP="00167C50" w14:paraId="1BF8CA14" w14:textId="77777777">
      <w:pPr>
        <w:ind w:right="460"/>
      </w:pPr>
    </w:p>
    <w:p w:rsidR="00167C50" w:rsidP="00167C50" w14:paraId="326D2E25" w14:textId="5EF233DB">
      <w:pPr>
        <w:ind w:right="460"/>
      </w:pPr>
      <w:r w:rsidRPr="00F77510">
        <w:t>In circumstances where the employer needs workers to perform the services or labor at worksites other than the primary one identified on the Form ETA-</w:t>
      </w:r>
      <w:r>
        <w:t>790A</w:t>
      </w:r>
      <w:r w:rsidRPr="00F77510">
        <w:t xml:space="preserve"> and/or additional housing is needed to accommodate all workers under the job order at the worksite location(s), the employer must complete the </w:t>
      </w:r>
      <w:r w:rsidRPr="00F77510">
        <w:rPr>
          <w:i/>
        </w:rPr>
        <w:t>Addendum B.</w:t>
      </w:r>
      <w:r w:rsidRPr="0052161A">
        <w:rPr>
          <w:iCs/>
        </w:rPr>
        <w:t xml:space="preserve"> </w:t>
      </w:r>
      <w:r w:rsidRPr="00F77510">
        <w:t>OFLC use</w:t>
      </w:r>
      <w:r>
        <w:t>s</w:t>
      </w:r>
      <w:r w:rsidRPr="00F77510">
        <w:t xml:space="preserve"> this information to ensure that (1) all worksite locations are compliant with applicable regulatory requirements regarding an area of intended employment, (2) employers filing as H-2ALCs and joint employers (</w:t>
      </w:r>
      <w:r w:rsidRPr="0052161A">
        <w:rPr>
          <w:i/>
          <w:iCs/>
        </w:rPr>
        <w:t>i.e.</w:t>
      </w:r>
      <w:r w:rsidRPr="00F77510">
        <w:t>, two or more individual employers</w:t>
      </w:r>
      <w:r>
        <w:t xml:space="preserve"> or</w:t>
      </w:r>
      <w:r w:rsidRPr="00F77510">
        <w:t xml:space="preserve"> agricultural associations) properly disclose the name(s) and location(s) of all fixed-site agricultural business or association members, and (3) the housing employers will provide is sufficient to accommodate all workers under the job order and meets applicable standards.  </w:t>
      </w:r>
    </w:p>
    <w:p w:rsidR="00167C50" w:rsidP="00167C50" w14:paraId="219002DB" w14:textId="77777777">
      <w:pPr>
        <w:tabs>
          <w:tab w:val="right" w:pos="360"/>
        </w:tabs>
        <w:autoSpaceDE w:val="0"/>
        <w:autoSpaceDN w:val="0"/>
        <w:adjustRightInd w:val="0"/>
        <w:ind w:left="540" w:hanging="540"/>
      </w:pPr>
    </w:p>
    <w:p w:rsidR="00167C50" w:rsidRPr="00F77510" w:rsidP="00167C50" w14:paraId="2CCA54FD" w14:textId="77777777">
      <w:pPr>
        <w:rPr>
          <w:u w:val="single"/>
        </w:rPr>
      </w:pPr>
      <w:r w:rsidRPr="00F77510">
        <w:rPr>
          <w:u w:val="single"/>
        </w:rPr>
        <w:t xml:space="preserve">Form ETA-790A, </w:t>
      </w:r>
      <w:r w:rsidRPr="00F77510">
        <w:rPr>
          <w:i/>
          <w:u w:val="single"/>
        </w:rPr>
        <w:t xml:space="preserve">Addendum </w:t>
      </w:r>
      <w:r>
        <w:rPr>
          <w:i/>
          <w:u w:val="single"/>
        </w:rPr>
        <w:t>C</w:t>
      </w:r>
      <w:r w:rsidRPr="00F77510">
        <w:rPr>
          <w:u w:val="single"/>
        </w:rPr>
        <w:t xml:space="preserve"> - </w:t>
      </w:r>
      <w:r w:rsidRPr="00F77510">
        <w:rPr>
          <w:i/>
          <w:u w:val="single"/>
        </w:rPr>
        <w:t xml:space="preserve">Additional </w:t>
      </w:r>
      <w:r>
        <w:rPr>
          <w:i/>
          <w:u w:val="single"/>
        </w:rPr>
        <w:t>Material Terms and Conditions of the Job Offer</w:t>
      </w:r>
    </w:p>
    <w:p w:rsidR="00167C50" w:rsidRPr="00F77510" w:rsidP="00167C50" w14:paraId="692B480C" w14:textId="77777777">
      <w:pPr>
        <w:ind w:right="460"/>
      </w:pPr>
    </w:p>
    <w:p w:rsidR="00167C50" w:rsidP="00167C50" w14:paraId="3C77E1E8" w14:textId="0CBC3B3E">
      <w:pPr>
        <w:ind w:right="460"/>
      </w:pPr>
      <w:r w:rsidRPr="00D803AF">
        <w:rPr>
          <w:i/>
        </w:rPr>
        <w:t>Addendum C</w:t>
      </w:r>
      <w:r>
        <w:t xml:space="preserve"> alleviates space limitations on the form and supports full disclosure of material terms and conditions of employment in the job order. This addendum supports full disclosure of job opportunity information within the four corners of the Form ETA-790A and in a standardized format, as opposed to employer-created “attachments.”</w:t>
      </w:r>
    </w:p>
    <w:p w:rsidR="00167C50" w:rsidRPr="00F77510" w:rsidP="000254DA" w14:paraId="3CB879DA" w14:textId="77777777">
      <w:pPr>
        <w:widowControl w:val="0"/>
        <w:autoSpaceDE w:val="0"/>
        <w:autoSpaceDN w:val="0"/>
        <w:adjustRightInd w:val="0"/>
      </w:pPr>
    </w:p>
    <w:p w:rsidR="00167C50" w:rsidRPr="00F77510" w:rsidP="00167C50" w14:paraId="609FF255" w14:textId="627E683C">
      <w:pPr>
        <w:rPr>
          <w:i/>
          <w:u w:val="single"/>
        </w:rPr>
      </w:pPr>
      <w:r w:rsidRPr="00F77510">
        <w:rPr>
          <w:u w:val="single"/>
        </w:rPr>
        <w:t>Form ETA-790/790</w:t>
      </w:r>
      <w:r>
        <w:rPr>
          <w:u w:val="single"/>
        </w:rPr>
        <w:t>B</w:t>
      </w:r>
      <w:r w:rsidRPr="00F77510">
        <w:rPr>
          <w:u w:val="single"/>
        </w:rPr>
        <w:t xml:space="preserve">, </w:t>
      </w:r>
      <w:r w:rsidRPr="00F77510">
        <w:rPr>
          <w:i/>
          <w:u w:val="single"/>
        </w:rPr>
        <w:t>Agricultural Clearance Order</w:t>
      </w:r>
    </w:p>
    <w:p w:rsidR="000254DA" w:rsidP="000254DA" w14:paraId="6C53E2EB" w14:textId="77777777"/>
    <w:p w:rsidR="0051754C" w:rsidP="0D464051" w14:paraId="4DF0CC94" w14:textId="25397020">
      <w:r w:rsidRPr="00D57161">
        <w:t xml:space="preserve">Employers submitting non-criteria </w:t>
      </w:r>
      <w:r w:rsidRPr="00D57161">
        <w:t>intrastate</w:t>
      </w:r>
      <w:r w:rsidRPr="00D57161">
        <w:t xml:space="preserve"> or interstate agricultural clearance orders must complete Forms ETA-790 and ETA-790B, including attachments to ETA-790B, as applicable. Employers submitting criteria clearance orders, which are placed in connection with an H-2A Application for Temporary Employment Certification (Form ETA-9142A), must not use Form ETA-790B. </w:t>
      </w:r>
    </w:p>
    <w:p w:rsidR="00663452" w:rsidP="0D464051" w14:paraId="7201480C" w14:textId="77777777"/>
    <w:p w:rsidR="00663452" w:rsidRPr="00F77510" w:rsidP="00663452" w14:paraId="20A67031" w14:textId="77777777">
      <w:pPr>
        <w:rPr>
          <w:u w:val="single"/>
        </w:rPr>
      </w:pPr>
      <w:r w:rsidRPr="00F77510">
        <w:rPr>
          <w:u w:val="single"/>
        </w:rPr>
        <w:t>Form ETA-</w:t>
      </w:r>
      <w:r>
        <w:rPr>
          <w:u w:val="single"/>
        </w:rPr>
        <w:t>232</w:t>
      </w:r>
      <w:r w:rsidRPr="00F77510">
        <w:rPr>
          <w:u w:val="single"/>
        </w:rPr>
        <w:t xml:space="preserve">, </w:t>
      </w:r>
      <w:r>
        <w:rPr>
          <w:i/>
          <w:u w:val="single"/>
        </w:rPr>
        <w:t>Domestic Agricultural In-Season Wage Report</w:t>
      </w:r>
    </w:p>
    <w:p w:rsidR="00663452" w:rsidP="00663452" w14:paraId="2C2AD9B3" w14:textId="77777777">
      <w:pPr>
        <w:ind w:right="460"/>
      </w:pPr>
    </w:p>
    <w:p w:rsidR="00663452" w:rsidRPr="00D52A8A" w:rsidP="00663452" w14:paraId="02EE6FF6" w14:textId="2C397578">
      <w:pPr>
        <w:ind w:right="460"/>
      </w:pPr>
      <w:r>
        <w:t xml:space="preserve">SWAs currently conduct surveys of wages employers are paying workers to perform specific crop activities and agricultural activities and report their findings to the Department using Form ETA-232, </w:t>
      </w:r>
      <w:r>
        <w:rPr>
          <w:i/>
        </w:rPr>
        <w:t>Domestic Agricultural In-Season Wage Report</w:t>
      </w:r>
      <w:r>
        <w:t xml:space="preserve">, and Form ETA-232A, </w:t>
      </w:r>
      <w:r>
        <w:rPr>
          <w:i/>
        </w:rPr>
        <w:t>Wage Survey Interview Record</w:t>
      </w:r>
      <w:r w:rsidRPr="003101E9">
        <w:t>.</w:t>
      </w:r>
      <w:r>
        <w:t xml:space="preserve"> If the Department accepts the survey as establishing the prevailing wage rate for H-2A program purposes, it becomes one of the sources the Department relies on to ensure no adverse effect on the wages and working conditions of workers </w:t>
      </w:r>
      <w:r w:rsidR="04DB15B8">
        <w:t xml:space="preserve">in the U.S. </w:t>
      </w:r>
      <w:r>
        <w:t xml:space="preserve">similarly employed.  </w:t>
      </w:r>
    </w:p>
    <w:p w:rsidR="00516710" w:rsidRPr="00F77510" w:rsidP="000254DA" w14:paraId="7CABE0FE" w14:textId="77777777"/>
    <w:p w:rsidR="000254DA" w:rsidRPr="00F77510" w:rsidP="000254DA" w14:paraId="69354E46" w14:textId="77777777">
      <w:pPr>
        <w:rPr>
          <w:u w:val="single"/>
        </w:rPr>
      </w:pPr>
      <w:r w:rsidRPr="00F77510">
        <w:rPr>
          <w:u w:val="single"/>
        </w:rPr>
        <w:t xml:space="preserve">Form ETA-9142A, </w:t>
      </w:r>
      <w:r w:rsidRPr="00F77510">
        <w:rPr>
          <w:i/>
          <w:u w:val="single"/>
        </w:rPr>
        <w:t xml:space="preserve">H-2A Application for Temporary Employment Certification </w:t>
      </w:r>
    </w:p>
    <w:p w:rsidR="000254DA" w:rsidRPr="00F77510" w:rsidP="000254DA" w14:paraId="3D08CBD7" w14:textId="77777777">
      <w:pPr>
        <w:tabs>
          <w:tab w:val="left" w:pos="-1440"/>
        </w:tabs>
      </w:pPr>
    </w:p>
    <w:p w:rsidR="000254DA" w:rsidP="000254DA" w14:paraId="1580CCFA" w14:textId="335C3C0F">
      <w:pPr>
        <w:tabs>
          <w:tab w:val="left" w:pos="-1440"/>
        </w:tabs>
      </w:pPr>
      <w:r>
        <w:t>On Form ETA-9142A, a</w:t>
      </w:r>
      <w:r w:rsidRPr="00F77510">
        <w:t>n employer must include</w:t>
      </w:r>
      <w:r>
        <w:t xml:space="preserve"> </w:t>
      </w:r>
      <w:r w:rsidRPr="00F77510">
        <w:t xml:space="preserve">information related to its business for the purpose of determining whether the establishment operating in the United States is </w:t>
      </w:r>
      <w:r w:rsidRPr="00897F4F">
        <w:rPr>
          <w:i/>
        </w:rPr>
        <w:t>bona fide</w:t>
      </w:r>
      <w:r w:rsidRPr="00F77510">
        <w:t>; the type of application being submitted for processing (e.g., individual employer</w:t>
      </w:r>
      <w:r>
        <w:t xml:space="preserve"> or</w:t>
      </w:r>
      <w:r w:rsidRPr="00F77510">
        <w:t xml:space="preserve"> agricultural association filing as a joint employer)</w:t>
      </w:r>
      <w:r>
        <w:t>,</w:t>
      </w:r>
      <w:r w:rsidRPr="00F77510">
        <w:t xml:space="preserve"> </w:t>
      </w:r>
      <w:r>
        <w:t xml:space="preserve">and </w:t>
      </w:r>
      <w:r w:rsidRPr="00F77510">
        <w:t xml:space="preserve">contact information </w:t>
      </w:r>
      <w:r>
        <w:t>for purposes of</w:t>
      </w:r>
      <w:r w:rsidRPr="00F77510">
        <w:t xml:space="preserve"> send</w:t>
      </w:r>
      <w:r>
        <w:t>ing</w:t>
      </w:r>
      <w:r w:rsidRPr="00F77510">
        <w:t xml:space="preserve"> and receiv</w:t>
      </w:r>
      <w:r>
        <w:t>ing</w:t>
      </w:r>
      <w:r w:rsidRPr="00F77510">
        <w:t xml:space="preserve"> communications during the course of processing an employer’s H-2A application. For </w:t>
      </w:r>
      <w:r w:rsidRPr="00F77510">
        <w:t xml:space="preserve">an employer represented by an agent, the form also collects </w:t>
      </w:r>
      <w:r>
        <w:t xml:space="preserve">required </w:t>
      </w:r>
      <w:r w:rsidRPr="00F77510">
        <w:t xml:space="preserve">compliance </w:t>
      </w:r>
      <w:r>
        <w:t>documentation for</w:t>
      </w:r>
      <w:r w:rsidRPr="00F77510">
        <w:t xml:space="preserve"> the agent</w:t>
      </w:r>
      <w:r>
        <w:t>, such as</w:t>
      </w:r>
      <w:r w:rsidRPr="00F77510">
        <w:t xml:space="preserve"> a current agreement or other documentation demonstrating the agent’s authority to represent the employer</w:t>
      </w:r>
      <w:r>
        <w:t xml:space="preserve">, and </w:t>
      </w:r>
      <w:r w:rsidRPr="00F77510">
        <w:t xml:space="preserve">a current Migrant and Seasonal Agricultural Worker Protection Act (MSPA) Certificate of Registration identifying the farm labor contracting activities the agent </w:t>
      </w:r>
      <w:r>
        <w:t>has</w:t>
      </w:r>
      <w:r w:rsidRPr="00F77510">
        <w:t xml:space="preserve"> authority to perform under th</w:t>
      </w:r>
      <w:r>
        <w:t>e</w:t>
      </w:r>
      <w:r w:rsidRPr="00F77510">
        <w:t xml:space="preserve"> application</w:t>
      </w:r>
      <w:r>
        <w:t>, if applicable</w:t>
      </w:r>
      <w:r w:rsidRPr="00F77510">
        <w:t xml:space="preserve">.  </w:t>
      </w:r>
    </w:p>
    <w:p w:rsidR="000254DA" w:rsidRPr="00F77510" w:rsidP="000254DA" w14:paraId="09444C72" w14:textId="77777777">
      <w:pPr>
        <w:tabs>
          <w:tab w:val="left" w:pos="-1440"/>
        </w:tabs>
      </w:pPr>
    </w:p>
    <w:p w:rsidR="000254DA" w:rsidRPr="00F77510" w:rsidP="000254DA" w14:paraId="1C3558AE" w14:textId="7478DF84">
      <w:pPr>
        <w:widowControl w:val="0"/>
        <w:autoSpaceDE w:val="0"/>
        <w:autoSpaceDN w:val="0"/>
        <w:adjustRightInd w:val="0"/>
      </w:pPr>
      <w:r>
        <w:t>Fo</w:t>
      </w:r>
      <w:r w:rsidRPr="00F77510">
        <w:t xml:space="preserve">r employers operating as H-2A Labor Contractors (H-2ALCs), the </w:t>
      </w:r>
      <w:r>
        <w:t xml:space="preserve">current </w:t>
      </w:r>
      <w:r w:rsidRPr="00F77510">
        <w:t>form collects additional information</w:t>
      </w:r>
      <w:r>
        <w:t>, such as</w:t>
      </w:r>
      <w:r w:rsidRPr="00F77510">
        <w:t xml:space="preserve"> the names of fixed-site agricultural businesses where the workers will be placed, </w:t>
      </w:r>
      <w:r>
        <w:t xml:space="preserve">and </w:t>
      </w:r>
      <w:r w:rsidRPr="00F77510" w:rsidR="004D1743">
        <w:t>fully executed</w:t>
      </w:r>
      <w:r w:rsidRPr="00F77510">
        <w:t xml:space="preserve"> work contract(s) with each fixed-site agricultural business, </w:t>
      </w:r>
      <w:r>
        <w:t xml:space="preserve">which </w:t>
      </w:r>
      <w:r w:rsidRPr="00F77510">
        <w:t>assist</w:t>
      </w:r>
      <w:r>
        <w:t>s</w:t>
      </w:r>
      <w:r w:rsidRPr="00F77510">
        <w:t xml:space="preserve"> OFLC in determining compliance with all application filing requirements for H-2ALCs under 20 CFR 655.132. </w:t>
      </w:r>
      <w:r>
        <w:t>This information is collected on the job order (Form ETA-790A, Addendum B).</w:t>
      </w:r>
    </w:p>
    <w:p w:rsidR="000254DA" w:rsidRPr="00F77510" w:rsidP="000254DA" w14:paraId="4597C594" w14:textId="77777777">
      <w:pPr>
        <w:widowControl w:val="0"/>
        <w:autoSpaceDE w:val="0"/>
        <w:autoSpaceDN w:val="0"/>
        <w:adjustRightInd w:val="0"/>
      </w:pPr>
    </w:p>
    <w:p w:rsidR="000254DA" w:rsidP="000254DA" w14:paraId="6A83ABB6" w14:textId="77777777">
      <w:pPr>
        <w:widowControl w:val="0"/>
        <w:autoSpaceDE w:val="0"/>
        <w:autoSpaceDN w:val="0"/>
        <w:adjustRightInd w:val="0"/>
      </w:pPr>
      <w:r>
        <w:t>F</w:t>
      </w:r>
      <w:r w:rsidRPr="00F77510">
        <w:t>inally, the employer identif</w:t>
      </w:r>
      <w:r>
        <w:t>ies</w:t>
      </w:r>
      <w:r w:rsidRPr="00F77510">
        <w:t xml:space="preserve"> the Standard Occupational Classification code and title that most clearly corresponds to the agricultural services or labor to be performed</w:t>
      </w:r>
      <w:r>
        <w:t>, which the SWA assigned on the Form ETA-790</w:t>
      </w:r>
      <w:r w:rsidRPr="00F77510">
        <w:t xml:space="preserve"> and attach</w:t>
      </w:r>
      <w:r>
        <w:t>es</w:t>
      </w:r>
      <w:r w:rsidRPr="00F77510">
        <w:t xml:space="preserve"> the Form ETA-</w:t>
      </w:r>
      <w:r>
        <w:t>790/</w:t>
      </w:r>
      <w:r w:rsidRPr="00F77510">
        <w:t>790A containing all the material terms, wages</w:t>
      </w:r>
      <w:r>
        <w:t>,</w:t>
      </w:r>
      <w:r w:rsidRPr="00F77510">
        <w:t xml:space="preserve"> and working conditions of employment that will be used for recruiting U.S. workers</w:t>
      </w:r>
      <w:r>
        <w:t>.</w:t>
      </w:r>
      <w:r w:rsidRPr="00F77510">
        <w:t xml:space="preserve"> </w:t>
      </w:r>
      <w:r>
        <w:t xml:space="preserve">  </w:t>
      </w:r>
    </w:p>
    <w:p w:rsidR="000254DA" w:rsidP="000254DA" w14:paraId="585F4300" w14:textId="77777777">
      <w:pPr>
        <w:widowControl w:val="0"/>
        <w:autoSpaceDE w:val="0"/>
        <w:autoSpaceDN w:val="0"/>
        <w:adjustRightInd w:val="0"/>
      </w:pPr>
    </w:p>
    <w:p w:rsidR="000254DA" w:rsidRPr="00F77510" w:rsidP="000254DA" w14:paraId="599A47B1" w14:textId="77777777">
      <w:pPr>
        <w:widowControl w:val="0"/>
        <w:autoSpaceDE w:val="0"/>
        <w:autoSpaceDN w:val="0"/>
        <w:adjustRightInd w:val="0"/>
      </w:pPr>
      <w:r>
        <w:t>This information</w:t>
      </w:r>
      <w:r w:rsidRPr="00F77510">
        <w:t xml:space="preserve"> collection </w:t>
      </w:r>
      <w:r>
        <w:t>is</w:t>
      </w:r>
      <w:r w:rsidRPr="00F77510">
        <w:t xml:space="preserve"> also used in post-adjudication audit examinations and/or program integrity proceedings (</w:t>
      </w:r>
      <w:r w:rsidRPr="009764C6">
        <w:rPr>
          <w:i/>
          <w:iCs/>
        </w:rPr>
        <w:t>e.g.</w:t>
      </w:r>
      <w:r w:rsidRPr="00F77510">
        <w:t xml:space="preserve">, revocation or debarment actions) and </w:t>
      </w:r>
      <w:r>
        <w:t xml:space="preserve">is </w:t>
      </w:r>
      <w:r w:rsidRPr="00F77510">
        <w:t xml:space="preserve">requested by the Department’s </w:t>
      </w:r>
      <w:r>
        <w:t>WHD</w:t>
      </w:r>
      <w:r w:rsidRPr="00F77510">
        <w:t xml:space="preserve"> </w:t>
      </w:r>
      <w:r>
        <w:t xml:space="preserve">and/or other enforcement agencies </w:t>
      </w:r>
      <w:r w:rsidRPr="00F77510">
        <w:t>during an investigation or enforcement proceeding</w:t>
      </w:r>
      <w:r>
        <w:t>s</w:t>
      </w:r>
      <w:r w:rsidRPr="00F77510">
        <w:t>.</w:t>
      </w:r>
    </w:p>
    <w:p w:rsidR="000254DA" w:rsidRPr="00F77510" w:rsidP="000254DA" w14:paraId="0EBD3256" w14:textId="77777777">
      <w:pPr>
        <w:tabs>
          <w:tab w:val="left" w:pos="-1440"/>
        </w:tabs>
      </w:pPr>
    </w:p>
    <w:p w:rsidR="000254DA" w:rsidRPr="00F77510" w:rsidP="000254DA" w14:paraId="0B40C957" w14:textId="77777777">
      <w:pPr>
        <w:rPr>
          <w:i/>
          <w:u w:val="single"/>
        </w:rPr>
      </w:pPr>
      <w:r w:rsidRPr="00F77510">
        <w:rPr>
          <w:u w:val="single"/>
        </w:rPr>
        <w:t xml:space="preserve">Form ETA-9142A, </w:t>
      </w:r>
      <w:r w:rsidRPr="00F77510">
        <w:rPr>
          <w:i/>
          <w:u w:val="single"/>
        </w:rPr>
        <w:t>Appendix A - Attorney/Agent/Employer Declarations</w:t>
      </w:r>
    </w:p>
    <w:p w:rsidR="000254DA" w:rsidRPr="00F77510" w:rsidP="000254DA" w14:paraId="4F78B5A4" w14:textId="77777777">
      <w:pPr>
        <w:widowControl w:val="0"/>
        <w:autoSpaceDE w:val="0"/>
        <w:autoSpaceDN w:val="0"/>
        <w:adjustRightInd w:val="0"/>
      </w:pPr>
    </w:p>
    <w:p w:rsidR="000254DA" w:rsidRPr="00F77510" w:rsidP="000254DA" w14:paraId="64DD46C4" w14:textId="05B8464F">
      <w:pPr>
        <w:widowControl w:val="0"/>
        <w:autoSpaceDE w:val="0"/>
        <w:autoSpaceDN w:val="0"/>
        <w:adjustRightInd w:val="0"/>
      </w:pPr>
      <w:r w:rsidRPr="00F77510">
        <w:t>The Department’s regulation</w:t>
      </w:r>
      <w:r>
        <w:t>s</w:t>
      </w:r>
      <w:r w:rsidRPr="00F77510">
        <w:t xml:space="preserve"> </w:t>
      </w:r>
      <w:r>
        <w:t xml:space="preserve">at 20 CFR 655.130(a) and (d) and 655.135 </w:t>
      </w:r>
      <w:r w:rsidRPr="00F77510">
        <w:t xml:space="preserve">require an employer and, if applicable, their attorneys or agents </w:t>
      </w:r>
      <w:r>
        <w:t xml:space="preserve">to </w:t>
      </w:r>
      <w:r w:rsidRPr="00F77510">
        <w:t xml:space="preserve">submit a completed </w:t>
      </w:r>
      <w:r w:rsidRPr="00F77510">
        <w:rPr>
          <w:i/>
        </w:rPr>
        <w:t>Appendix A</w:t>
      </w:r>
      <w:r w:rsidRPr="00F77510">
        <w:t xml:space="preserve"> attesting to compliance with </w:t>
      </w:r>
      <w:r w:rsidRPr="00F77510">
        <w:t>all of</w:t>
      </w:r>
      <w:r w:rsidRPr="00F77510">
        <w:t xml:space="preserve"> the terms, assurances, and obligations of the H-2A program in order to obtain a temporary labor certification. For two or more employers operating as joint employers, the Form ETA-9142A requires disclosure and submission of a signed and dated </w:t>
      </w:r>
      <w:r w:rsidRPr="00F77510">
        <w:rPr>
          <w:i/>
        </w:rPr>
        <w:t>Appendix A</w:t>
      </w:r>
      <w:r w:rsidRPr="00F77510">
        <w:t xml:space="preserve"> completed by each employer in the joint employment relationship. However, if the application is being filed by an agricultural association operating as a joint employer with its employer-members, the agricultural association is responsible for providing a signed and dated </w:t>
      </w:r>
      <w:r w:rsidRPr="00F77510">
        <w:rPr>
          <w:i/>
        </w:rPr>
        <w:t>Appendix A</w:t>
      </w:r>
      <w:r w:rsidRPr="00F77510">
        <w:t xml:space="preserve"> on behalf </w:t>
      </w:r>
      <w:r>
        <w:t xml:space="preserve">of its employer-members. </w:t>
      </w:r>
      <w:r>
        <w:rPr>
          <w:i/>
          <w:iCs/>
        </w:rPr>
        <w:t xml:space="preserve">See </w:t>
      </w:r>
      <w:r>
        <w:t>20 CFR 655.131.</w:t>
      </w:r>
    </w:p>
    <w:p w:rsidR="000254DA" w:rsidRPr="00F77510" w:rsidP="000254DA" w14:paraId="17F0C684" w14:textId="77777777">
      <w:pPr>
        <w:rPr>
          <w:u w:val="single"/>
        </w:rPr>
      </w:pPr>
    </w:p>
    <w:p w:rsidR="000254DA" w:rsidRPr="00F77510" w:rsidP="000254DA" w14:paraId="0AFC6C5B" w14:textId="77777777">
      <w:pPr>
        <w:rPr>
          <w:u w:val="single"/>
        </w:rPr>
      </w:pPr>
      <w:r w:rsidRPr="00F77510">
        <w:rPr>
          <w:u w:val="single"/>
        </w:rPr>
        <w:t xml:space="preserve">Form ETA-9142A, </w:t>
      </w:r>
      <w:r w:rsidRPr="00F77510">
        <w:rPr>
          <w:i/>
          <w:u w:val="single"/>
        </w:rPr>
        <w:t xml:space="preserve">Appendix </w:t>
      </w:r>
      <w:r>
        <w:rPr>
          <w:i/>
          <w:u w:val="single"/>
        </w:rPr>
        <w:t>B</w:t>
      </w:r>
      <w:r w:rsidRPr="00F77510">
        <w:rPr>
          <w:i/>
          <w:u w:val="single"/>
        </w:rPr>
        <w:t xml:space="preserve"> </w:t>
      </w:r>
      <w:r>
        <w:rPr>
          <w:i/>
          <w:u w:val="single"/>
        </w:rPr>
        <w:t>–</w:t>
      </w:r>
      <w:r w:rsidRPr="00F77510">
        <w:rPr>
          <w:i/>
          <w:u w:val="single"/>
        </w:rPr>
        <w:t xml:space="preserve"> </w:t>
      </w:r>
      <w:r>
        <w:rPr>
          <w:i/>
          <w:u w:val="single"/>
        </w:rPr>
        <w:t>H-2A Labor Contractor Surety Bond</w:t>
      </w:r>
      <w:r w:rsidRPr="00F77510">
        <w:rPr>
          <w:i/>
          <w:u w:val="single"/>
        </w:rPr>
        <w:t xml:space="preserve"> </w:t>
      </w:r>
    </w:p>
    <w:p w:rsidR="000254DA" w:rsidRPr="00F77510" w:rsidP="000254DA" w14:paraId="10D58D98" w14:textId="77777777">
      <w:pPr>
        <w:tabs>
          <w:tab w:val="left" w:pos="-1440"/>
        </w:tabs>
      </w:pPr>
    </w:p>
    <w:p w:rsidR="000254DA" w:rsidRPr="00F77510" w:rsidP="000254DA" w14:paraId="6BA5ABF9" w14:textId="096DE898">
      <w:pPr>
        <w:ind w:right="460"/>
      </w:pPr>
      <w:r>
        <w:t xml:space="preserve">An employer filing a Form ETA-9142A, </w:t>
      </w:r>
      <w:r>
        <w:rPr>
          <w:i/>
        </w:rPr>
        <w:t>H-2A Application for Temporary Employment Certification</w:t>
      </w:r>
      <w:r>
        <w:t xml:space="preserve"> as an H-2ALC must submit a surety bond as p</w:t>
      </w:r>
      <w:r w:rsidRPr="00150C65">
        <w:t>roof of its ability to discharge financial obligations under the H-2A program</w:t>
      </w:r>
      <w:r w:rsidRPr="00F77510">
        <w:t xml:space="preserve">.  </w:t>
      </w:r>
      <w:r>
        <w:t xml:space="preserve">A certification cannot be issued to an H-2ALC without a compliant surety bond. </w:t>
      </w:r>
      <w:r>
        <w:rPr>
          <w:i/>
        </w:rPr>
        <w:t>Appendix B</w:t>
      </w:r>
      <w:r>
        <w:t xml:space="preserve"> </w:t>
      </w:r>
      <w:r w:rsidRPr="00F77510">
        <w:t>standardize</w:t>
      </w:r>
      <w:r>
        <w:t>s the format of the existing collection and simplifies employer responses by including required terms and language.</w:t>
      </w:r>
      <w:r w:rsidRPr="00F77510">
        <w:t xml:space="preserve">  OFLC </w:t>
      </w:r>
      <w:r>
        <w:t xml:space="preserve">will </w:t>
      </w:r>
      <w:r w:rsidRPr="00F77510">
        <w:t xml:space="preserve">use this information to ensure that </w:t>
      </w:r>
      <w:r>
        <w:t>the surety bond submitted is enforceable for the coverage required</w:t>
      </w:r>
      <w:r w:rsidRPr="00F77510">
        <w:t xml:space="preserve">.  </w:t>
      </w:r>
    </w:p>
    <w:p w:rsidR="000254DA" w:rsidP="000254DA" w14:paraId="4DC372A8" w14:textId="77777777"/>
    <w:p w:rsidR="000254DA" w:rsidRPr="008F5E8B" w:rsidP="000254DA" w14:paraId="5E1272F7" w14:textId="77777777">
      <w:pPr>
        <w:rPr>
          <w:i/>
          <w:u w:val="single"/>
        </w:rPr>
      </w:pPr>
      <w:r w:rsidRPr="008F5E8B">
        <w:rPr>
          <w:u w:val="single"/>
        </w:rPr>
        <w:t xml:space="preserve">Form ETA-9142A, </w:t>
      </w:r>
      <w:r>
        <w:rPr>
          <w:i/>
          <w:u w:val="single"/>
        </w:rPr>
        <w:t xml:space="preserve">H-2A Approval </w:t>
      </w:r>
      <w:r w:rsidRPr="008F5E8B">
        <w:rPr>
          <w:i/>
          <w:u w:val="single"/>
        </w:rPr>
        <w:t xml:space="preserve">Final Determination: Temporary </w:t>
      </w:r>
      <w:r>
        <w:rPr>
          <w:i/>
          <w:u w:val="single"/>
        </w:rPr>
        <w:t xml:space="preserve">Agricultural </w:t>
      </w:r>
      <w:r w:rsidRPr="008F5E8B">
        <w:rPr>
          <w:i/>
          <w:u w:val="single"/>
        </w:rPr>
        <w:t>Labor Certification</w:t>
      </w:r>
    </w:p>
    <w:p w:rsidR="000254DA" w:rsidRPr="00F77510" w:rsidP="000254DA" w14:paraId="04D16911" w14:textId="77777777">
      <w:pPr>
        <w:rPr>
          <w:u w:val="single"/>
        </w:rPr>
      </w:pPr>
    </w:p>
    <w:p w:rsidR="000254DA" w:rsidP="5077B0DD" w14:paraId="70B863E6" w14:textId="5EC297F2">
      <w:r w:rsidRPr="00F77510">
        <w:t xml:space="preserve">Where the employer’s application has met all the regulatory requirements, including the criteria for certification in 20 </w:t>
      </w:r>
      <w:r>
        <w:t xml:space="preserve">CFR </w:t>
      </w:r>
      <w:r w:rsidRPr="00F77510">
        <w:t xml:space="preserve">655.161, the Department will complete and electronically send the new Form ETA-9142A, </w:t>
      </w:r>
      <w:r>
        <w:rPr>
          <w:i/>
        </w:rPr>
        <w:t xml:space="preserve">H-2A Approval </w:t>
      </w:r>
      <w:r w:rsidRPr="00184B26">
        <w:rPr>
          <w:i/>
        </w:rPr>
        <w:t>Final Determination: Tempora</w:t>
      </w:r>
      <w:r>
        <w:rPr>
          <w:i/>
        </w:rPr>
        <w:t>ry Agricultural Labor Certification</w:t>
      </w:r>
      <w:r w:rsidRPr="009558D3">
        <w:t xml:space="preserve"> </w:t>
      </w:r>
      <w:r w:rsidRPr="00F77510">
        <w:t xml:space="preserve">to </w:t>
      </w:r>
      <w:r>
        <w:t xml:space="preserve">USCIS with a copy to </w:t>
      </w:r>
      <w:r w:rsidRPr="00F77510">
        <w:t xml:space="preserve">the employer and, if applicable, the employer’s authorized attorney or agent. This one-page certification form provides the official determination that a sufficient number of qualified U.S. workers have not been identified as being available at the time and place needed to fill the job opportunities for which certification is sought, and the employment of the H-2A temporary workers in such labor or services will not adversely affect the wages and working conditions of workers </w:t>
      </w:r>
      <w:r w:rsidR="3B64085D">
        <w:t xml:space="preserve">in the U.S. </w:t>
      </w:r>
      <w:r>
        <w:t>similarly</w:t>
      </w:r>
      <w:r w:rsidRPr="00F77510">
        <w:t xml:space="preserve"> employed. </w:t>
      </w:r>
      <w:r>
        <w:t xml:space="preserve">Upon receipt of </w:t>
      </w:r>
      <w:r w:rsidRPr="00F77510">
        <w:t xml:space="preserve">the Form ETA-9142A, </w:t>
      </w:r>
      <w:r>
        <w:rPr>
          <w:i/>
        </w:rPr>
        <w:t xml:space="preserve">H-2A Approval </w:t>
      </w:r>
      <w:r w:rsidRPr="00184B26">
        <w:rPr>
          <w:i/>
        </w:rPr>
        <w:t>Final Determination: Tempora</w:t>
      </w:r>
      <w:r>
        <w:rPr>
          <w:i/>
        </w:rPr>
        <w:t>ry Agricultural Labor Certification</w:t>
      </w:r>
      <w:r w:rsidRPr="00F77510">
        <w:t xml:space="preserve">, </w:t>
      </w:r>
      <w:r>
        <w:t xml:space="preserve">the employer may </w:t>
      </w:r>
      <w:r w:rsidRPr="00F77510">
        <w:t>fil</w:t>
      </w:r>
      <w:r>
        <w:t xml:space="preserve">e an H-2A petition with </w:t>
      </w:r>
      <w:r w:rsidRPr="00F77510">
        <w:t xml:space="preserve">DHS’s USCIS.  </w:t>
      </w:r>
    </w:p>
    <w:p w:rsidR="000254DA" w:rsidRPr="00F77510" w:rsidP="000254DA" w14:paraId="6CDD6DA1" w14:textId="77777777">
      <w:pPr>
        <w:tabs>
          <w:tab w:val="left" w:pos="-1440"/>
        </w:tabs>
      </w:pPr>
    </w:p>
    <w:p w:rsidR="000254DA" w:rsidRPr="002221A7" w:rsidP="000254DA" w14:paraId="6131B881" w14:textId="77777777">
      <w:pPr>
        <w:tabs>
          <w:tab w:val="right" w:pos="360"/>
        </w:tabs>
        <w:autoSpaceDE w:val="0"/>
        <w:autoSpaceDN w:val="0"/>
        <w:adjustRightInd w:val="0"/>
        <w:ind w:left="540" w:hanging="540"/>
        <w:rPr>
          <w:i/>
        </w:rPr>
      </w:pPr>
      <w:r w:rsidRPr="002221A7">
        <w:rPr>
          <w:i/>
        </w:rPr>
        <w:tab/>
      </w:r>
      <w:r>
        <w:rPr>
          <w:i/>
        </w:rPr>
        <w:t>A</w:t>
      </w:r>
      <w:r w:rsidRPr="002221A7">
        <w:rPr>
          <w:i/>
        </w:rPr>
        <w:t>3.</w:t>
      </w:r>
      <w:r w:rsidRPr="002221A7">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Pr>
          <w:i/>
        </w:rPr>
        <w:t xml:space="preserve"> </w:t>
      </w:r>
      <w:r w:rsidRPr="002221A7">
        <w:rPr>
          <w:i/>
        </w:rPr>
        <w:t>Also</w:t>
      </w:r>
      <w:r>
        <w:rPr>
          <w:i/>
        </w:rPr>
        <w:t>,</w:t>
      </w:r>
      <w:r w:rsidRPr="002221A7">
        <w:rPr>
          <w:i/>
        </w:rPr>
        <w:t xml:space="preserve"> describe any consideration of using information technology to reduce burden.</w:t>
      </w:r>
    </w:p>
    <w:p w:rsidR="000254DA" w:rsidP="000254DA" w14:paraId="4B8027BF" w14:textId="77777777">
      <w:pPr>
        <w:autoSpaceDE w:val="0"/>
        <w:autoSpaceDN w:val="0"/>
        <w:adjustRightInd w:val="0"/>
      </w:pPr>
    </w:p>
    <w:p w:rsidR="000254DA" w:rsidRPr="00905AD2" w:rsidP="000254DA" w14:paraId="79BC2688" w14:textId="22EB6621">
      <w:r>
        <w:t xml:space="preserve">For 1205-0466 and </w:t>
      </w:r>
      <w:r w:rsidR="00C26764">
        <w:t>i</w:t>
      </w:r>
      <w:r w:rsidRPr="00905AD2">
        <w:t>n accordance with 20 CFR 655.130(c)</w:t>
      </w:r>
      <w:r w:rsidR="00675EFC">
        <w:t>(1)</w:t>
      </w:r>
      <w:r w:rsidRPr="00905AD2">
        <w:t xml:space="preserve">, an employer or, if applicable, its authorized attorney or agent, seeking temporary labor certification must submit the Form ETA-9142A and all documentation supporting the </w:t>
      </w:r>
      <w:r>
        <w:t xml:space="preserve">H-2A </w:t>
      </w:r>
      <w:r w:rsidRPr="00905AD2">
        <w:t>application to OFLC electronically</w:t>
      </w:r>
      <w:r w:rsidR="00431961">
        <w:t>, unless the filer qualifies for one of the exceptions in 20 CFR 655.130(</w:t>
      </w:r>
      <w:r w:rsidR="002051FF">
        <w:t>c)(2) or 20 CFR 655.130(c)(3).</w:t>
      </w:r>
      <w:r w:rsidR="004D1743">
        <w:t xml:space="preserve">  </w:t>
      </w:r>
      <w:r>
        <w:t xml:space="preserve">Since July 2019, </w:t>
      </w:r>
      <w:r w:rsidRPr="00905AD2">
        <w:t>the electronic filing of the Form ETA-9142A</w:t>
      </w:r>
      <w:r>
        <w:t>, ETA-790/790A,</w:t>
      </w:r>
      <w:r w:rsidRPr="00905AD2">
        <w:t xml:space="preserve"> and all supporting documentation </w:t>
      </w:r>
      <w:r>
        <w:t>i</w:t>
      </w:r>
      <w:r w:rsidRPr="00905AD2">
        <w:t xml:space="preserve">s maintained </w:t>
      </w:r>
      <w:r>
        <w:t>in</w:t>
      </w:r>
      <w:r w:rsidRPr="00905AD2">
        <w:t xml:space="preserve"> the Department’s</w:t>
      </w:r>
      <w:r>
        <w:t xml:space="preserve"> Foreign Labor Application Gateway (FLAG) system</w:t>
      </w:r>
      <w:r w:rsidRPr="00C51251">
        <w:t xml:space="preserve"> </w:t>
      </w:r>
      <w:r>
        <w:t xml:space="preserve">at </w:t>
      </w:r>
      <w:hyperlink r:id="rId14" w:history="1">
        <w:r w:rsidRPr="001D0E46">
          <w:rPr>
            <w:rStyle w:val="Hyperlink"/>
            <w:rFonts w:eastAsiaTheme="majorEastAsia"/>
          </w:rPr>
          <w:t>https://flag.dol.gov/</w:t>
        </w:r>
      </w:hyperlink>
      <w:r>
        <w:t>.</w:t>
      </w:r>
      <w:r w:rsidRPr="00905AD2">
        <w:t xml:space="preserve"> The </w:t>
      </w:r>
      <w:r>
        <w:t xml:space="preserve">FLAG </w:t>
      </w:r>
      <w:r w:rsidRPr="00905AD2">
        <w:t xml:space="preserve">System permits an employer or, if applicable, its authorized attorney or agent to efficiently prepare and submit H-2A applications for processing by OFLC. During the preparation of H-2A applications, the system provides employers with a series of electronic data checks and prompts to ensure each required field is completed and values entered on the form are valid and consistent with regulatory requirements.  The OFLC website and the </w:t>
      </w:r>
      <w:r>
        <w:t>FLAG System provide access to the general</w:t>
      </w:r>
      <w:r w:rsidRPr="00905AD2">
        <w:t xml:space="preserve"> instructions designed to help</w:t>
      </w:r>
      <w:r w:rsidRPr="00905AD2">
        <w:rPr>
          <w:i/>
        </w:rPr>
        <w:t xml:space="preserve"> </w:t>
      </w:r>
      <w:r w:rsidRPr="00905AD2">
        <w:t xml:space="preserve">employers understand what each form collection item means and what kind of entries are required.  Where it is not practical to collect supporting documentation using a standard </w:t>
      </w:r>
      <w:r>
        <w:t>Office of Management and Budget (</w:t>
      </w:r>
      <w:r w:rsidRPr="00905AD2">
        <w:t>OMB</w:t>
      </w:r>
      <w:r>
        <w:t>)</w:t>
      </w:r>
      <w:r w:rsidRPr="00905AD2">
        <w:t xml:space="preserve">-approved appendix, the system permits an employer to upload documentation supporting the application in an acceptable digitized format (e.g., Adobe PDF, Microsoft Word, .TXT). Examples of </w:t>
      </w:r>
      <w:r>
        <w:t>the supporting documents currently uploaded</w:t>
      </w:r>
      <w:r w:rsidRPr="00905AD2">
        <w:t xml:space="preserve"> electronically include copies of the agent agreement with the employer, </w:t>
      </w:r>
      <w:r w:rsidRPr="00905AD2" w:rsidR="00DA67EF">
        <w:t>fully executed</w:t>
      </w:r>
      <w:r w:rsidRPr="00905AD2">
        <w:t xml:space="preserve"> work contracts between the H-2ALCs and fixed-site employers, and MSPA registration(s).</w:t>
      </w:r>
    </w:p>
    <w:p w:rsidR="000254DA" w:rsidRPr="00905AD2" w:rsidP="000254DA" w14:paraId="421F3561" w14:textId="77777777">
      <w:pPr>
        <w:tabs>
          <w:tab w:val="left" w:pos="4021"/>
        </w:tabs>
      </w:pPr>
    </w:p>
    <w:p w:rsidR="000254DA" w:rsidRPr="00905AD2" w:rsidP="000254DA" w14:paraId="424F9B63" w14:textId="14C41AC8">
      <w:pPr>
        <w:tabs>
          <w:tab w:val="left" w:pos="4021"/>
        </w:tabs>
      </w:pPr>
      <w:r w:rsidRPr="00905AD2">
        <w:t xml:space="preserve">When the employer or, if applicable, its authorized attorney or agent initially enters contact information and establishes a web-based system account, the </w:t>
      </w:r>
      <w:r w:rsidRPr="007728C1">
        <w:t xml:space="preserve">H-2A Case Preparation Module automatically pre-populates all contact information on the draft Form ETA-9142A, significantly </w:t>
      </w:r>
      <w:r w:rsidRPr="007728C1">
        <w:t>reducing the time and burden for repeated online data entry. Additionally, the H-2A Case Preparation Module provides employers with an option to reuse previously filed applications, which automatically copies information into a new draft Form ETA-9142A</w:t>
      </w:r>
      <w:r w:rsidRPr="00905AD2">
        <w:t xml:space="preserve">. This option significantly reduces the time and burden for online data entry, particularly </w:t>
      </w:r>
      <w:r>
        <w:t xml:space="preserve">for </w:t>
      </w:r>
      <w:r w:rsidRPr="00905AD2">
        <w:t>those employers who need to access the program to hire nonimmigrant workers for seasonal jobs that predictably recur each year. OFLC’s experience is that the electronic submission of all required documentation, at the time of filing the application, facilitates a more efficient and consistent review of the employer’s application, and reduces the incidence of OFLC issuing a NOD to request missing documenta</w:t>
      </w:r>
      <w:r>
        <w:t xml:space="preserve">tion or corrections of </w:t>
      </w:r>
      <w:r w:rsidRPr="00905AD2">
        <w:t xml:space="preserve">errors or inaccuracies.  </w:t>
      </w:r>
    </w:p>
    <w:p w:rsidR="000254DA" w:rsidRPr="00905AD2" w:rsidP="000254DA" w14:paraId="0308F3F1" w14:textId="77777777">
      <w:pPr>
        <w:tabs>
          <w:tab w:val="left" w:pos="4021"/>
        </w:tabs>
      </w:pPr>
    </w:p>
    <w:p w:rsidR="000254DA" w:rsidRPr="00905AD2" w:rsidP="000254DA" w14:paraId="09832944" w14:textId="2F8C26DD">
      <w:pPr>
        <w:tabs>
          <w:tab w:val="left" w:pos="4021"/>
        </w:tabs>
      </w:pPr>
      <w:r>
        <w:t xml:space="preserve">Similarly, </w:t>
      </w:r>
      <w:r w:rsidRPr="00905AD2">
        <w:t xml:space="preserve">ETA </w:t>
      </w:r>
      <w:r>
        <w:t>made</w:t>
      </w:r>
      <w:r w:rsidRPr="00905AD2">
        <w:t xml:space="preserve"> Form ETA-790/790A, </w:t>
      </w:r>
      <w:r w:rsidRPr="00905AD2">
        <w:rPr>
          <w:i/>
        </w:rPr>
        <w:t>H-2A Agricultural Clearance Order</w:t>
      </w:r>
      <w:r w:rsidRPr="00905AD2">
        <w:t xml:space="preserve">, and all addendums available for electronic filing in a manner similar to the Form ETA-9142A. </w:t>
      </w:r>
      <w:r w:rsidR="007B4B98">
        <w:t>FLAG</w:t>
      </w:r>
      <w:r w:rsidRPr="00905AD2">
        <w:t xml:space="preserve"> permit</w:t>
      </w:r>
      <w:r>
        <w:t>s</w:t>
      </w:r>
      <w:r w:rsidRPr="00905AD2">
        <w:t xml:space="preserve"> an employer or, if applicable, its authorized attorney or agent to efficiently prepare a completed Form ETA-790/790A using their web-based system account and, after reading all conditions of employment and assurances for the agricultural clearance order and affixing the employer’s signature (including digital signature) under Section I, submit the completed job order electronically. For employers that have recurring seasonal job opportunities, the system allow</w:t>
      </w:r>
      <w:r>
        <w:t>s</w:t>
      </w:r>
      <w:r w:rsidRPr="00905AD2">
        <w:t xml:space="preserve"> an employer to prepare multiple Form ETA-790/790As and reuse previously filed job orders, which automatically pre-populate information into a new draft Form ETA-790/790A.  </w:t>
      </w:r>
      <w:r w:rsidRPr="00905AD2">
        <w:t>Similar to</w:t>
      </w:r>
      <w:r w:rsidRPr="00905AD2">
        <w:t xml:space="preserve"> the preparation of the Form ETA-9142A, the “reuse” capability significantly reduce</w:t>
      </w:r>
      <w:r>
        <w:t>s</w:t>
      </w:r>
      <w:r w:rsidRPr="00905AD2">
        <w:t xml:space="preserve"> data collection time and burden by pre-populating key sections into a new draft Form ETA-790/790A, including all information related to the job opportunity and requirements, crops or agricultural activities, wage offers, worksite and housing locations, and other worker guarantees (</w:t>
      </w:r>
      <w:r w:rsidRPr="000D1843">
        <w:rPr>
          <w:i/>
          <w:iCs/>
        </w:rPr>
        <w:t>e.g.</w:t>
      </w:r>
      <w:r w:rsidRPr="00905AD2">
        <w:t>, meals, transportation). After the employer has submitted the initial Form ETA-790/790A and is prepared to file the H-2A application, the system will permit the employer to electronic</w:t>
      </w:r>
      <w:r>
        <w:t>ally attach</w:t>
      </w:r>
      <w:r w:rsidRPr="00905AD2">
        <w:t xml:space="preserve"> the Form ETA-</w:t>
      </w:r>
      <w:r>
        <w:t>790/</w:t>
      </w:r>
      <w:r w:rsidRPr="00905AD2">
        <w:t>790A to the Form ETA-9142A for submission to ETA.</w:t>
      </w:r>
    </w:p>
    <w:p w:rsidR="000254DA" w:rsidRPr="00905AD2" w:rsidP="000254DA" w14:paraId="07D2B87A" w14:textId="77777777">
      <w:pPr>
        <w:tabs>
          <w:tab w:val="left" w:pos="4021"/>
        </w:tabs>
      </w:pPr>
    </w:p>
    <w:p w:rsidR="000254DA" w:rsidP="000254DA" w14:paraId="39FBCF37" w14:textId="77777777">
      <w:pPr>
        <w:tabs>
          <w:tab w:val="left" w:pos="4021"/>
        </w:tabs>
      </w:pPr>
      <w:r w:rsidRPr="00905AD2">
        <w:t>In compliance with the Government Paperwork Elimination Act, ETA will continue to make all forms and appendices approved under this ICR easily accessible on the OFLC website (</w:t>
      </w:r>
      <w:hyperlink r:id="rId15" w:history="1">
        <w:r w:rsidRPr="001D0E46">
          <w:rPr>
            <w:rStyle w:val="Hyperlink"/>
            <w:rFonts w:eastAsiaTheme="majorEastAsia"/>
          </w:rPr>
          <w:t>https://www.dol.gov/agencies/eta/foreign-labor</w:t>
        </w:r>
      </w:hyperlink>
      <w:r w:rsidRPr="00905AD2">
        <w:t xml:space="preserve">) and electronically fillable and fileable.  </w:t>
      </w:r>
    </w:p>
    <w:p w:rsidR="000254DA" w:rsidP="000254DA" w14:paraId="3D1B742D" w14:textId="77777777">
      <w:pPr>
        <w:tabs>
          <w:tab w:val="left" w:pos="4021"/>
        </w:tabs>
      </w:pPr>
    </w:p>
    <w:p w:rsidR="000254DA" w:rsidRPr="00CE3C52" w:rsidP="000254DA" w14:paraId="2489046E" w14:textId="77777777">
      <w:pPr>
        <w:autoSpaceDE w:val="0"/>
        <w:autoSpaceDN w:val="0"/>
        <w:adjustRightInd w:val="0"/>
      </w:pPr>
    </w:p>
    <w:p w:rsidR="000254DA" w:rsidRPr="002221A7" w:rsidP="000254DA" w14:paraId="377BBFFC"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4.</w:t>
      </w:r>
      <w:r w:rsidRPr="002221A7">
        <w:rPr>
          <w:i/>
        </w:rPr>
        <w:tab/>
        <w:t xml:space="preserve">Describe efforts to identify duplication. </w:t>
      </w:r>
      <w:r>
        <w:rPr>
          <w:i/>
        </w:rPr>
        <w:t xml:space="preserve"> </w:t>
      </w:r>
      <w:r w:rsidRPr="002221A7">
        <w:rPr>
          <w:i/>
        </w:rPr>
        <w:t>Show specifically why any similar information already available cannot be used or modified for use for the purposes described in Item 2 above.</w:t>
      </w:r>
    </w:p>
    <w:p w:rsidR="000254DA" w:rsidP="000254DA" w14:paraId="21810017" w14:textId="77777777">
      <w:pPr>
        <w:autoSpaceDE w:val="0"/>
        <w:autoSpaceDN w:val="0"/>
        <w:adjustRightInd w:val="0"/>
      </w:pPr>
    </w:p>
    <w:p w:rsidR="000254DA" w:rsidRPr="00FE7151" w:rsidP="000254DA" w14:paraId="6CED2827" w14:textId="2EBBC108">
      <w:pPr>
        <w:autoSpaceDE w:val="0"/>
        <w:autoSpaceDN w:val="0"/>
        <w:adjustRightInd w:val="0"/>
      </w:pPr>
      <w:r w:rsidRPr="00FE7151">
        <w:t>The procedures and documentation requirements are sufficiently specific to avoid duplication of activities. No other government agency collects similar information to adjudicate this type of application.</w:t>
      </w:r>
    </w:p>
    <w:p w:rsidR="000254DA" w:rsidP="000254DA" w14:paraId="612A4A0A" w14:textId="77777777">
      <w:pPr>
        <w:autoSpaceDE w:val="0"/>
        <w:autoSpaceDN w:val="0"/>
        <w:adjustRightInd w:val="0"/>
      </w:pPr>
    </w:p>
    <w:p w:rsidR="000254DA" w:rsidRPr="00CE3C52" w:rsidP="000254DA" w14:paraId="2E6754CD" w14:textId="77777777">
      <w:pPr>
        <w:autoSpaceDE w:val="0"/>
        <w:autoSpaceDN w:val="0"/>
        <w:adjustRightInd w:val="0"/>
      </w:pPr>
    </w:p>
    <w:p w:rsidR="000254DA" w:rsidRPr="002221A7" w:rsidP="000254DA" w14:paraId="4D2CF6EB"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5.</w:t>
      </w:r>
      <w:r w:rsidRPr="002221A7">
        <w:rPr>
          <w:i/>
        </w:rPr>
        <w:tab/>
        <w:t>If the collection of information impacts small businesses or other small entities, describe any methods used to minimize burden.</w:t>
      </w:r>
    </w:p>
    <w:p w:rsidR="000254DA" w:rsidP="000254DA" w14:paraId="510962EC" w14:textId="77777777">
      <w:pPr>
        <w:autoSpaceDE w:val="0"/>
        <w:autoSpaceDN w:val="0"/>
        <w:adjustRightInd w:val="0"/>
      </w:pPr>
    </w:p>
    <w:p w:rsidR="00123A38" w:rsidP="000254DA" w14:paraId="566E5785" w14:textId="77777777">
      <w:r w:rsidRPr="009364AB">
        <w:t xml:space="preserve">The information collected under this </w:t>
      </w:r>
      <w:r>
        <w:t>information collection</w:t>
      </w:r>
      <w:r w:rsidRPr="009364AB">
        <w:t xml:space="preserve"> is required of small businesses that </w:t>
      </w:r>
      <w:r>
        <w:t>need</w:t>
      </w:r>
      <w:r w:rsidRPr="009364AB">
        <w:t xml:space="preserve"> to import temporary nonimmigrant workers under the H-2A visa classification of the INA.  </w:t>
      </w:r>
      <w:r>
        <w:t xml:space="preserve">Approximately </w:t>
      </w:r>
      <w:r w:rsidRPr="00407B34">
        <w:t>98</w:t>
      </w:r>
      <w:r>
        <w:t xml:space="preserve"> percent of the employers who request H-2A certification are small businesses.  </w:t>
      </w:r>
    </w:p>
    <w:p w:rsidR="00123A38" w:rsidP="000254DA" w14:paraId="10F4645E" w14:textId="77777777"/>
    <w:p w:rsidR="000254DA" w:rsidP="000254DA" w14:paraId="2A3B1F3C" w14:textId="4FB49B6F">
      <w:r w:rsidRPr="009364AB">
        <w:t xml:space="preserve">The Department cannot make any exemptions or eliminate forms for small businesses, because the statute and regulations require all employers seeking temporary labor certification to make the necessary attestations and provide the </w:t>
      </w:r>
      <w:r>
        <w:t xml:space="preserve">required </w:t>
      </w:r>
      <w:r w:rsidRPr="009364AB">
        <w:t xml:space="preserve">information. This collection </w:t>
      </w:r>
      <w:r>
        <w:t xml:space="preserve">of information </w:t>
      </w:r>
      <w:r w:rsidRPr="009364AB">
        <w:t xml:space="preserve">is not disproportionately more burdensome for small entities than </w:t>
      </w:r>
      <w:r>
        <w:t xml:space="preserve">it is for </w:t>
      </w:r>
      <w:r w:rsidRPr="009364AB">
        <w:t>large ones</w:t>
      </w:r>
      <w:r>
        <w:t>,</w:t>
      </w:r>
      <w:r w:rsidRPr="009364AB">
        <w:t xml:space="preserve"> because the forms and accompanying appendices are easy to understand and provide </w:t>
      </w:r>
      <w:r w:rsidRPr="009364AB">
        <w:t>all of</w:t>
      </w:r>
      <w:r w:rsidRPr="009364AB">
        <w:t xml:space="preserve"> the attestations and assurances </w:t>
      </w:r>
      <w:r>
        <w:t xml:space="preserve">necessary for </w:t>
      </w:r>
      <w:r w:rsidRPr="009364AB">
        <w:t xml:space="preserve">the </w:t>
      </w:r>
      <w:r>
        <w:t xml:space="preserve">filing </w:t>
      </w:r>
      <w:r w:rsidRPr="009364AB">
        <w:t xml:space="preserve">employer to </w:t>
      </w:r>
      <w:r>
        <w:t>understand</w:t>
      </w:r>
      <w:r w:rsidRPr="009364AB">
        <w:t xml:space="preserve"> how to request a temporary labor certification</w:t>
      </w:r>
      <w:r w:rsidR="00D83E75">
        <w:t xml:space="preserve"> and </w:t>
      </w:r>
      <w:r w:rsidR="00F42DF1">
        <w:t>conduct themselves within the agricultural recruitment system</w:t>
      </w:r>
      <w:r w:rsidRPr="009364AB">
        <w:t xml:space="preserve">. </w:t>
      </w:r>
      <w:r w:rsidR="00123A38">
        <w:t>Additionally, t</w:t>
      </w:r>
      <w:r>
        <w:t>his information collection does not impose any extra requirements on small entities; t</w:t>
      </w:r>
      <w:r w:rsidRPr="009364AB">
        <w:t>he</w:t>
      </w:r>
      <w:r>
        <w:t xml:space="preserve">se </w:t>
      </w:r>
      <w:r w:rsidRPr="009364AB">
        <w:t xml:space="preserve">forms collect from all </w:t>
      </w:r>
      <w:r>
        <w:t xml:space="preserve">H-2A </w:t>
      </w:r>
      <w:r w:rsidRPr="009364AB">
        <w:t>employers the minim</w:t>
      </w:r>
      <w:r>
        <w:t>ally required</w:t>
      </w:r>
      <w:r w:rsidRPr="009364AB">
        <w:t xml:space="preserve"> information to determine program eligibility and </w:t>
      </w:r>
      <w:r>
        <w:t xml:space="preserve">allow DOL to </w:t>
      </w:r>
      <w:r w:rsidRPr="009364AB">
        <w:t xml:space="preserve">issue a </w:t>
      </w:r>
      <w:r>
        <w:t xml:space="preserve">temporary </w:t>
      </w:r>
      <w:r w:rsidRPr="009364AB">
        <w:t xml:space="preserve">labor certification determination.  </w:t>
      </w:r>
    </w:p>
    <w:p w:rsidR="000254DA" w:rsidP="000254DA" w14:paraId="3929FB64" w14:textId="77777777"/>
    <w:p w:rsidR="000254DA" w:rsidRPr="00A3660B" w:rsidP="000254DA" w14:paraId="1A9E06D1" w14:textId="77777777">
      <w:pPr>
        <w:autoSpaceDE w:val="0"/>
        <w:autoSpaceDN w:val="0"/>
        <w:adjustRightInd w:val="0"/>
      </w:pPr>
    </w:p>
    <w:p w:rsidR="000254DA" w:rsidRPr="002221A7" w:rsidP="000254DA" w14:paraId="3B785173"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6.</w:t>
      </w:r>
      <w:r w:rsidRPr="002221A7">
        <w:rPr>
          <w:i/>
        </w:rPr>
        <w:tab/>
        <w:t>Describe the consequence to Federal program or policy activities if the collection is not conducted or is conducted less frequently, as well as any technical or legal obstacles to reducing burden.</w:t>
      </w:r>
    </w:p>
    <w:p w:rsidR="000254DA" w:rsidP="000254DA" w14:paraId="11D9743C" w14:textId="77777777">
      <w:pPr>
        <w:autoSpaceDE w:val="0"/>
        <w:autoSpaceDN w:val="0"/>
        <w:adjustRightInd w:val="0"/>
      </w:pPr>
    </w:p>
    <w:p w:rsidR="000254DA" w:rsidRPr="00C2203A" w:rsidP="000254DA" w14:paraId="347611C2" w14:textId="67F236A0">
      <w:pPr>
        <w:autoSpaceDE w:val="0"/>
        <w:autoSpaceDN w:val="0"/>
        <w:adjustRightInd w:val="0"/>
      </w:pPr>
      <w:r w:rsidRPr="00C2203A">
        <w:t xml:space="preserve">The information collected </w:t>
      </w:r>
      <w:r>
        <w:t xml:space="preserve">from employers </w:t>
      </w:r>
      <w:r w:rsidRPr="00C2203A">
        <w:t xml:space="preserve">under this </w:t>
      </w:r>
      <w:r>
        <w:t>IC</w:t>
      </w:r>
      <w:r w:rsidRPr="00C2203A">
        <w:t xml:space="preserve"> </w:t>
      </w:r>
      <w:r>
        <w:t>will need to be</w:t>
      </w:r>
      <w:r w:rsidRPr="00C2203A">
        <w:t xml:space="preserve"> provided at the time an employer needs to submit a job order (</w:t>
      </w:r>
      <w:r w:rsidRPr="000D1843">
        <w:rPr>
          <w:i/>
          <w:iCs/>
        </w:rPr>
        <w:t>i.e.</w:t>
      </w:r>
      <w:r w:rsidRPr="00C2203A">
        <w:t>, Form ETA-790/790A) and temporary labor certification to employ nonimmigrant workers under the H-2A visa classification.</w:t>
      </w:r>
      <w:r>
        <w:t xml:space="preserve"> Information collected from SWAs on the Form ETA-232, </w:t>
      </w:r>
      <w:r w:rsidRPr="008932ED">
        <w:rPr>
          <w:i/>
        </w:rPr>
        <w:t>Domestic Agricultural In-Season Wage Report</w:t>
      </w:r>
      <w:r>
        <w:t>, will need to be provided annually to ensure current prevailing wage information is available for the Department and employers to use in determining the appropriate wage offer to H-2A workers.</w:t>
      </w:r>
      <w:r w:rsidRPr="00C2203A">
        <w:t xml:space="preserve"> The Department would be in direct violation of its statutory</w:t>
      </w:r>
      <w:r w:rsidR="007542A0">
        <w:t xml:space="preserve"> and</w:t>
      </w:r>
      <w:r w:rsidR="00053C23">
        <w:t xml:space="preserve"> </w:t>
      </w:r>
      <w:r w:rsidRPr="00C2203A">
        <w:t>regulatory mandates</w:t>
      </w:r>
      <w:r w:rsidR="00C67C96">
        <w:t>,</w:t>
      </w:r>
      <w:r w:rsidRPr="00C2203A">
        <w:t xml:space="preserve"> if this information was not collected</w:t>
      </w:r>
      <w:r w:rsidR="00053C23">
        <w:t xml:space="preserve"> in this manner</w:t>
      </w:r>
      <w:r w:rsidRPr="00C2203A">
        <w:t xml:space="preserve">. The information must be collected to enable the Department to meet its obligation to determine whether an insufficient number of qualified U.S. workers are available to fill the employer’s job opportunity and the wages and working conditions of similarly employed workers </w:t>
      </w:r>
      <w:r w:rsidR="6B65DAEA">
        <w:t xml:space="preserve">in the U.S. </w:t>
      </w:r>
      <w:r>
        <w:t>will</w:t>
      </w:r>
      <w:r w:rsidRPr="00C2203A">
        <w:t xml:space="preserve"> not be adversely affected by the employment of H-2A workers. Additionally, in the absence of this information collection, the Department would be unable to </w:t>
      </w:r>
      <w:r>
        <w:t xml:space="preserve">efficiently </w:t>
      </w:r>
      <w:r w:rsidRPr="00C2203A">
        <w:t>enforce the rights and obligations of workers and employers under the H-2A program.</w:t>
      </w:r>
    </w:p>
    <w:p w:rsidR="000254DA" w:rsidP="000254DA" w14:paraId="3093FCD8" w14:textId="77777777">
      <w:pPr>
        <w:autoSpaceDE w:val="0"/>
        <w:autoSpaceDN w:val="0"/>
        <w:adjustRightInd w:val="0"/>
      </w:pPr>
    </w:p>
    <w:p w:rsidR="000254DA" w:rsidRPr="00CE3C52" w:rsidP="000254DA" w14:paraId="3857BB3E" w14:textId="77777777">
      <w:pPr>
        <w:autoSpaceDE w:val="0"/>
        <w:autoSpaceDN w:val="0"/>
        <w:adjustRightInd w:val="0"/>
      </w:pPr>
    </w:p>
    <w:p w:rsidR="000254DA" w:rsidRPr="002221A7" w:rsidP="000254DA" w14:paraId="18B70C06"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7.</w:t>
      </w:r>
      <w:r w:rsidRPr="002221A7">
        <w:rPr>
          <w:i/>
        </w:rPr>
        <w:tab/>
        <w:t>Explain any special circumstances that would cause an information collecti</w:t>
      </w:r>
      <w:r>
        <w:rPr>
          <w:i/>
        </w:rPr>
        <w:t xml:space="preserve">on to be conducted in a manner </w:t>
      </w:r>
      <w:r w:rsidRPr="005B65E0">
        <w:rPr>
          <w:i/>
        </w:rPr>
        <w:t>that requires further explanation pursuant to regulations 5 CFR 1320.5</w:t>
      </w:r>
      <w:r>
        <w:rPr>
          <w:i/>
        </w:rPr>
        <w:t>.</w:t>
      </w:r>
    </w:p>
    <w:p w:rsidR="000254DA" w:rsidP="000254DA" w14:paraId="4154F522" w14:textId="77777777">
      <w:pPr>
        <w:autoSpaceDE w:val="0"/>
        <w:autoSpaceDN w:val="0"/>
        <w:adjustRightInd w:val="0"/>
      </w:pPr>
    </w:p>
    <w:p w:rsidR="000254DA" w:rsidRPr="006E0FAC" w:rsidP="000254DA" w14:paraId="734CE09B" w14:textId="2923F678">
      <w:r w:rsidRPr="00C2203A">
        <w:t xml:space="preserve">There are no special circumstances that would require the information to be collected or kept in a manner that requires further explanation pursuant to the regulations set forth at 5 </w:t>
      </w:r>
      <w:r>
        <w:t>CFR</w:t>
      </w:r>
      <w:r w:rsidRPr="00C2203A">
        <w:t xml:space="preserve"> 1320.5(d)(2)</w:t>
      </w:r>
      <w:r>
        <w:t>. The</w:t>
      </w:r>
      <w:r w:rsidRPr="00FE7151">
        <w:t xml:space="preserve"> Department’s regulations</w:t>
      </w:r>
      <w:r>
        <w:t>, however,</w:t>
      </w:r>
      <w:r w:rsidRPr="00FE7151">
        <w:t xml:space="preserve"> require that employers retain applications for </w:t>
      </w:r>
      <w:r>
        <w:t>tem</w:t>
      </w:r>
      <w:r w:rsidRPr="006E0FAC">
        <w:t xml:space="preserve">porary employment certifications and all supporting documentation for three years from the date of certification (for approved applications) or date of determination if the application is </w:t>
      </w:r>
      <w:r w:rsidRPr="006E0FAC">
        <w:t xml:space="preserve">denied or withdrawn. </w:t>
      </w:r>
      <w:r>
        <w:rPr>
          <w:i/>
          <w:iCs/>
        </w:rPr>
        <w:t xml:space="preserve">See </w:t>
      </w:r>
      <w:r w:rsidRPr="006E0FAC">
        <w:t>20 CFR 655.167(b)</w:t>
      </w:r>
      <w:r>
        <w:t xml:space="preserve">. </w:t>
      </w:r>
      <w:r w:rsidRPr="006E0FAC">
        <w:t>The Department requires that employers retain and maintain supporting documentation</w:t>
      </w:r>
      <w:r>
        <w:t>,</w:t>
      </w:r>
      <w:r w:rsidRPr="006E0FAC">
        <w:t xml:space="preserve"> because </w:t>
      </w:r>
      <w:r w:rsidRPr="001329C2">
        <w:t>it is essential information in post-adjudication audit examinations and/or program integrity proceedings (</w:t>
      </w:r>
      <w:r w:rsidRPr="000D1843">
        <w:rPr>
          <w:i/>
          <w:iCs/>
        </w:rPr>
        <w:t>e.g.</w:t>
      </w:r>
      <w:r w:rsidRPr="001329C2">
        <w:t xml:space="preserve">, revocation or debarment actions) and in the Department’s </w:t>
      </w:r>
      <w:r>
        <w:t>WHD</w:t>
      </w:r>
      <w:r w:rsidRPr="001329C2">
        <w:t xml:space="preserve"> investigations or enforcement proceedings.</w:t>
      </w:r>
    </w:p>
    <w:p w:rsidR="000254DA" w:rsidP="000254DA" w14:paraId="6751908B" w14:textId="77777777">
      <w:pPr>
        <w:autoSpaceDE w:val="0"/>
        <w:autoSpaceDN w:val="0"/>
        <w:adjustRightInd w:val="0"/>
      </w:pPr>
    </w:p>
    <w:p w:rsidR="000254DA" w:rsidRPr="001329C2" w:rsidP="000254DA" w14:paraId="3F23169D" w14:textId="77777777">
      <w:pPr>
        <w:autoSpaceDE w:val="0"/>
        <w:autoSpaceDN w:val="0"/>
        <w:adjustRightInd w:val="0"/>
      </w:pPr>
    </w:p>
    <w:p w:rsidR="000254DA" w:rsidRPr="002221A7" w:rsidP="000254DA" w14:paraId="40275103" w14:textId="77777777">
      <w:pPr>
        <w:tabs>
          <w:tab w:val="right" w:pos="360"/>
          <w:tab w:val="left" w:pos="540"/>
        </w:tabs>
        <w:autoSpaceDE w:val="0"/>
        <w:autoSpaceDN w:val="0"/>
        <w:adjustRightInd w:val="0"/>
        <w:ind w:left="540" w:hanging="540"/>
        <w:rPr>
          <w:i/>
        </w:rPr>
      </w:pPr>
      <w:r w:rsidRPr="002221A7">
        <w:rPr>
          <w:i/>
        </w:rPr>
        <w:tab/>
      </w:r>
      <w:r>
        <w:rPr>
          <w:i/>
        </w:rPr>
        <w:t>A</w:t>
      </w:r>
      <w:r w:rsidRPr="002221A7">
        <w:rPr>
          <w:i/>
        </w:rPr>
        <w:t>8.</w:t>
      </w:r>
      <w:r w:rsidRPr="002221A7">
        <w:rPr>
          <w:i/>
        </w:rPr>
        <w:tab/>
        <w:t xml:space="preserve">If applicable, provide a copy and identify the date and page number of </w:t>
      </w:r>
      <w:r w:rsidRPr="002221A7">
        <w:rPr>
          <w:i/>
        </w:rPr>
        <w:t>publication</w:t>
      </w:r>
      <w:r w:rsidRPr="002221A7">
        <w:rPr>
          <w:i/>
        </w:rPr>
        <w:t xml:space="preserve"> in the Federal Register of the agency's notice, required by 5 CFR 1320.8(d), soliciting comments on the information collection prior to submission to OMB. </w:t>
      </w:r>
      <w:r>
        <w:rPr>
          <w:i/>
        </w:rPr>
        <w:t xml:space="preserve"> </w:t>
      </w:r>
      <w:r w:rsidRPr="002221A7">
        <w:rPr>
          <w:i/>
        </w:rPr>
        <w:t xml:space="preserve">Summarize public comments received in response to that notice and describe actions taken by the agency in response to these comments.  Specifically address comments received on cost and hour burden. </w:t>
      </w:r>
    </w:p>
    <w:p w:rsidR="000254DA" w:rsidP="000254DA" w14:paraId="3F5BC0F9" w14:textId="77777777">
      <w:pPr>
        <w:autoSpaceDE w:val="0"/>
        <w:autoSpaceDN w:val="0"/>
        <w:adjustRightInd w:val="0"/>
        <w:ind w:left="540"/>
        <w:rPr>
          <w:i/>
        </w:rPr>
      </w:pPr>
    </w:p>
    <w:p w:rsidR="000254DA" w:rsidRPr="002221A7" w:rsidP="000254DA" w14:paraId="3E06E4FA"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Pr>
          <w:i/>
        </w:rPr>
        <w:t>corded, disclosed, or reported.</w:t>
      </w:r>
    </w:p>
    <w:p w:rsidR="000254DA" w:rsidP="000254DA" w14:paraId="298B2077" w14:textId="77777777">
      <w:pPr>
        <w:autoSpaceDE w:val="0"/>
        <w:autoSpaceDN w:val="0"/>
        <w:adjustRightInd w:val="0"/>
        <w:ind w:left="540"/>
        <w:rPr>
          <w:i/>
        </w:rPr>
      </w:pPr>
    </w:p>
    <w:p w:rsidR="000254DA" w:rsidRPr="002221A7" w:rsidP="000254DA" w14:paraId="5969404F"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Pr>
          <w:i/>
        </w:rPr>
        <w:t>—</w:t>
      </w:r>
      <w:r w:rsidRPr="002221A7">
        <w:rPr>
          <w:i/>
        </w:rPr>
        <w:t>even if the collection of information activity is the same as in prior periods.  There may be circumstances that may preclude consultation in a specific situation.  These circumstances should be explained.</w:t>
      </w:r>
    </w:p>
    <w:p w:rsidR="000254DA" w:rsidP="000254DA" w14:paraId="35D4F0B0" w14:textId="77777777">
      <w:pPr>
        <w:autoSpaceDE w:val="0"/>
        <w:autoSpaceDN w:val="0"/>
        <w:adjustRightInd w:val="0"/>
      </w:pPr>
    </w:p>
    <w:p w:rsidR="000254DA" w:rsidRPr="00CE3C52" w:rsidP="000254DA" w14:paraId="56ED05E7" w14:textId="63B32233">
      <w:pPr>
        <w:autoSpaceDE w:val="0"/>
        <w:autoSpaceDN w:val="0"/>
        <w:adjustRightInd w:val="0"/>
      </w:pPr>
      <w:r w:rsidRPr="008E3801">
        <w:t xml:space="preserve">Pursuant to OMB procedures established at 5 CFR Part 1320, Controlling Paperwork Burdens on the Public, </w:t>
      </w:r>
      <w:r>
        <w:t>this IC will</w:t>
      </w:r>
      <w:r w:rsidRPr="008E3801">
        <w:t xml:space="preserve"> be processed as an Emergency Clearance Request in accordance with section 1320.13, Emergency Processing</w:t>
      </w:r>
      <w:r w:rsidR="00697F2C">
        <w:t xml:space="preserve"> requesting </w:t>
      </w:r>
      <w:r w:rsidR="00C21DB3">
        <w:t xml:space="preserve">a </w:t>
      </w:r>
      <w:r w:rsidR="006024A2">
        <w:t>6-</w:t>
      </w:r>
      <w:r w:rsidR="00C21DB3">
        <w:t xml:space="preserve">month approval. </w:t>
      </w:r>
      <w:r w:rsidRPr="006024A2" w:rsidR="006024A2">
        <w:t xml:space="preserve">Within the 6-month period following emergency approval, </w:t>
      </w:r>
      <w:r w:rsidR="006024A2">
        <w:t>the Department</w:t>
      </w:r>
      <w:r w:rsidRPr="006024A2" w:rsidR="006024A2">
        <w:t xml:space="preserve"> will seek public comment on the information collection package as provided under 5 CFR part 1320 and the Paperwork Reduction Act</w:t>
      </w:r>
      <w:r w:rsidR="00C21DB3">
        <w:t xml:space="preserve">.  </w:t>
      </w:r>
    </w:p>
    <w:p w:rsidR="000254DA" w:rsidP="000254DA" w14:paraId="5E084276" w14:textId="77777777">
      <w:pPr>
        <w:tabs>
          <w:tab w:val="right" w:pos="360"/>
          <w:tab w:val="left" w:pos="540"/>
        </w:tabs>
        <w:autoSpaceDE w:val="0"/>
        <w:autoSpaceDN w:val="0"/>
        <w:adjustRightInd w:val="0"/>
        <w:ind w:left="540" w:hanging="540"/>
        <w:rPr>
          <w:i/>
        </w:rPr>
      </w:pPr>
    </w:p>
    <w:p w:rsidR="000254DA" w:rsidRPr="008F4D44" w:rsidP="000254DA" w14:paraId="7DEA9702" w14:textId="77777777">
      <w:pPr>
        <w:tabs>
          <w:tab w:val="right" w:pos="360"/>
          <w:tab w:val="left" w:pos="540"/>
        </w:tabs>
        <w:autoSpaceDE w:val="0"/>
        <w:autoSpaceDN w:val="0"/>
        <w:adjustRightInd w:val="0"/>
        <w:ind w:left="540" w:hanging="540"/>
        <w:rPr>
          <w:i/>
        </w:rPr>
      </w:pPr>
      <w:r w:rsidRPr="008F4D44">
        <w:rPr>
          <w:i/>
        </w:rPr>
        <w:tab/>
      </w:r>
      <w:r>
        <w:rPr>
          <w:i/>
        </w:rPr>
        <w:t>A</w:t>
      </w:r>
      <w:r w:rsidRPr="008F4D44">
        <w:rPr>
          <w:i/>
        </w:rPr>
        <w:t>9.</w:t>
      </w:r>
      <w:r w:rsidRPr="008F4D44">
        <w:rPr>
          <w:i/>
        </w:rPr>
        <w:tab/>
        <w:t>Explain any decision to provide any payment or gift to respondents, other than remuneration of contractors or grantees.</w:t>
      </w:r>
    </w:p>
    <w:p w:rsidR="000254DA" w:rsidP="000254DA" w14:paraId="2BB02861" w14:textId="77777777">
      <w:pPr>
        <w:autoSpaceDE w:val="0"/>
        <w:autoSpaceDN w:val="0"/>
        <w:adjustRightInd w:val="0"/>
      </w:pPr>
    </w:p>
    <w:p w:rsidR="000254DA" w:rsidRPr="006B6C3D" w:rsidP="000254DA" w14:paraId="2009E66F" w14:textId="77777777">
      <w:pPr>
        <w:autoSpaceDE w:val="0"/>
        <w:autoSpaceDN w:val="0"/>
        <w:adjustRightInd w:val="0"/>
      </w:pPr>
      <w:r w:rsidRPr="006B6C3D">
        <w:t>No payments or gifts will be made to respondents in exchange for the information provided in response to this information collection.</w:t>
      </w:r>
      <w:r w:rsidRPr="006B6C3D">
        <w:tab/>
        <w:t xml:space="preserve"> </w:t>
      </w:r>
    </w:p>
    <w:p w:rsidR="000254DA" w:rsidRPr="00CE3C52" w:rsidP="000254DA" w14:paraId="36D9F7F5" w14:textId="77777777">
      <w:pPr>
        <w:autoSpaceDE w:val="0"/>
        <w:autoSpaceDN w:val="0"/>
        <w:adjustRightInd w:val="0"/>
      </w:pPr>
    </w:p>
    <w:p w:rsidR="000254DA" w:rsidP="000254DA" w14:paraId="630A3E5B" w14:textId="77777777">
      <w:pPr>
        <w:tabs>
          <w:tab w:val="right" w:pos="360"/>
          <w:tab w:val="left" w:pos="540"/>
        </w:tabs>
        <w:autoSpaceDE w:val="0"/>
        <w:autoSpaceDN w:val="0"/>
        <w:adjustRightInd w:val="0"/>
        <w:ind w:left="540" w:hanging="540"/>
        <w:rPr>
          <w:i/>
        </w:rPr>
      </w:pPr>
      <w:r w:rsidRPr="008F4D44">
        <w:rPr>
          <w:i/>
        </w:rPr>
        <w:tab/>
      </w:r>
    </w:p>
    <w:p w:rsidR="000254DA" w:rsidRPr="008F4D44" w:rsidP="000254DA" w14:paraId="1B07066C" w14:textId="08D86D39">
      <w:pPr>
        <w:tabs>
          <w:tab w:val="right" w:pos="360"/>
          <w:tab w:val="left" w:pos="540"/>
        </w:tabs>
        <w:autoSpaceDE w:val="0"/>
        <w:autoSpaceDN w:val="0"/>
        <w:adjustRightInd w:val="0"/>
        <w:ind w:left="540" w:hanging="540"/>
        <w:rPr>
          <w:i/>
        </w:rPr>
      </w:pPr>
      <w:r>
        <w:rPr>
          <w:i/>
        </w:rPr>
        <w:t>A</w:t>
      </w:r>
      <w:r w:rsidRPr="008F4D44">
        <w:rPr>
          <w:i/>
        </w:rPr>
        <w:t>10.</w:t>
      </w:r>
      <w:r>
        <w:tab/>
      </w:r>
      <w:r w:rsidRPr="008F4D44">
        <w:rPr>
          <w:i/>
        </w:rPr>
        <w:t>Describe any assurance of confidentiality provided to respondents and the basis for the assurance in statute, regulation, or agency policy</w:t>
      </w:r>
      <w:r w:rsidRPr="4B4A1D65">
        <w:rPr>
          <w:i/>
          <w:iCs/>
        </w:rPr>
        <w:t>.</w:t>
      </w:r>
    </w:p>
    <w:p w:rsidR="000254DA" w:rsidP="000254DA" w14:paraId="778E1D25" w14:textId="77777777">
      <w:pPr>
        <w:autoSpaceDE w:val="0"/>
        <w:autoSpaceDN w:val="0"/>
        <w:adjustRightInd w:val="0"/>
      </w:pPr>
    </w:p>
    <w:p w:rsidR="000254DA" w:rsidP="000254DA" w14:paraId="22011253" w14:textId="77777777">
      <w:pPr>
        <w:autoSpaceDE w:val="0"/>
        <w:autoSpaceDN w:val="0"/>
        <w:adjustRightInd w:val="0"/>
      </w:pPr>
      <w:r w:rsidRPr="00366A24">
        <w:t xml:space="preserve">This information collection provides no express assurance of confidentiality. </w:t>
      </w:r>
      <w:r>
        <w:t xml:space="preserve"> </w:t>
      </w:r>
      <w:r w:rsidRPr="00366A24">
        <w:t xml:space="preserve">As a practical matter, however, the Agency would only release information that is commonly made available through public access files and/or in accordance with the Freedom of Information Act (FOIA). FOIA has </w:t>
      </w:r>
      <w:r w:rsidRPr="00366A24">
        <w:t>a number of</w:t>
      </w:r>
      <w:r w:rsidRPr="00366A24">
        <w:t xml:space="preserve"> disclosure exemptions including ones that might relate to confidential </w:t>
      </w:r>
      <w:r w:rsidRPr="00366A24">
        <w:t xml:space="preserve">business information </w:t>
      </w:r>
      <w:r>
        <w:t>which could</w:t>
      </w:r>
      <w:r w:rsidRPr="00366A24">
        <w:t xml:space="preserve"> cause substantial harm to a person or tha</w:t>
      </w:r>
      <w:r>
        <w:t>t person’s business position.</w:t>
      </w:r>
      <w:r w:rsidRPr="006B6C3D">
        <w:t xml:space="preserve">  </w:t>
      </w:r>
    </w:p>
    <w:p w:rsidR="000254DA" w:rsidP="000254DA" w14:paraId="1E28B3A0" w14:textId="6A33D8BD">
      <w:pPr>
        <w:pStyle w:val="NormalWeb"/>
      </w:pPr>
      <w:r w:rsidRPr="00BE70C6">
        <w:t xml:space="preserve">Although the Department does not directly request sensitive personal identifiable information through this IC, the public provides data and documentation that might, in some instances, cause the Privacy Act to be triggered. </w:t>
      </w:r>
      <w:r w:rsidRPr="002F195D">
        <w:t xml:space="preserve">The collection of data and information under this </w:t>
      </w:r>
      <w:r>
        <w:t>OMB 1205-0466, is</w:t>
      </w:r>
      <w:r w:rsidRPr="002F195D">
        <w:t xml:space="preserve"> incorporated into the Department’s System of Records Notice </w:t>
      </w:r>
      <w:r>
        <w:t xml:space="preserve">(SORN) </w:t>
      </w:r>
      <w:r w:rsidRPr="002F195D">
        <w:t xml:space="preserve">DOL/ETA-7.  </w:t>
      </w:r>
      <w:r w:rsidRPr="00366A24">
        <w:t>Employers submit H-2A requests through the electronic filing system that is also the repository of information collected from employers in connection with other labor certification and prevailing wage applications.  Part of the information provided by employers is made publicly available, as labor certification programs are programs</w:t>
      </w:r>
      <w:r>
        <w:t xml:space="preserve"> from</w:t>
      </w:r>
      <w:r w:rsidRPr="00366A24">
        <w:t xml:space="preserve"> which the public may </w:t>
      </w:r>
      <w:r>
        <w:t xml:space="preserve">voluntarily </w:t>
      </w:r>
      <w:r w:rsidRPr="00366A24">
        <w:t>choose to benefit.</w:t>
      </w:r>
    </w:p>
    <w:p w:rsidR="000254DA" w:rsidRPr="00CE3C52" w:rsidP="000254DA" w14:paraId="2CE9D792" w14:textId="77777777">
      <w:pPr>
        <w:autoSpaceDE w:val="0"/>
        <w:autoSpaceDN w:val="0"/>
        <w:adjustRightInd w:val="0"/>
        <w:jc w:val="center"/>
      </w:pPr>
    </w:p>
    <w:p w:rsidR="000254DA" w:rsidRPr="008F4D44" w:rsidP="000254DA" w14:paraId="21FFD954" w14:textId="77777777">
      <w:pPr>
        <w:tabs>
          <w:tab w:val="right" w:pos="360"/>
          <w:tab w:val="left" w:pos="540"/>
        </w:tabs>
        <w:autoSpaceDE w:val="0"/>
        <w:autoSpaceDN w:val="0"/>
        <w:adjustRightInd w:val="0"/>
        <w:ind w:left="540" w:hanging="540"/>
        <w:rPr>
          <w:i/>
        </w:rPr>
      </w:pPr>
      <w:r w:rsidRPr="008F4D44">
        <w:rPr>
          <w:i/>
        </w:rPr>
        <w:tab/>
      </w:r>
      <w:r>
        <w:rPr>
          <w:i/>
        </w:rPr>
        <w:t>A</w:t>
      </w:r>
      <w:r w:rsidRPr="008F4D44">
        <w:rPr>
          <w:i/>
        </w:rPr>
        <w:t>11.</w:t>
      </w:r>
      <w:r w:rsidRPr="008F4D44">
        <w:rPr>
          <w:i/>
        </w:rPr>
        <w:tab/>
        <w:t xml:space="preserve">Provide additional justification for any questions of a sensitive nature, such as sexual behavior and attitudes, religious beliefs, and other matters that are commonly considered private. </w:t>
      </w:r>
      <w:r>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54DA" w:rsidP="000254DA" w14:paraId="6F412475" w14:textId="77777777">
      <w:pPr>
        <w:autoSpaceDE w:val="0"/>
        <w:autoSpaceDN w:val="0"/>
        <w:adjustRightInd w:val="0"/>
      </w:pPr>
    </w:p>
    <w:p w:rsidR="000254DA" w:rsidRPr="0093752B" w:rsidP="000254DA" w14:paraId="31209E81" w14:textId="08DD3D54">
      <w:pPr>
        <w:autoSpaceDE w:val="0"/>
        <w:autoSpaceDN w:val="0"/>
        <w:adjustRightInd w:val="0"/>
      </w:pPr>
      <w:r w:rsidRPr="0093752B">
        <w:t>The information collections tools covered under OMB 1205-</w:t>
      </w:r>
      <w:r w:rsidR="0037237F">
        <w:t xml:space="preserve">0466 </w:t>
      </w:r>
      <w:r w:rsidRPr="0093752B">
        <w:t>do not involve sensitive matters.</w:t>
      </w:r>
    </w:p>
    <w:p w:rsidR="000254DA" w:rsidP="000254DA" w14:paraId="4B6D9A65" w14:textId="77777777">
      <w:pPr>
        <w:autoSpaceDE w:val="0"/>
        <w:autoSpaceDN w:val="0"/>
        <w:adjustRightInd w:val="0"/>
      </w:pPr>
    </w:p>
    <w:p w:rsidR="000254DA" w:rsidRPr="0093752B" w:rsidP="000254DA" w14:paraId="46C9053C" w14:textId="77777777">
      <w:pPr>
        <w:autoSpaceDE w:val="0"/>
        <w:autoSpaceDN w:val="0"/>
        <w:adjustRightInd w:val="0"/>
      </w:pPr>
    </w:p>
    <w:p w:rsidR="000254DA" w:rsidRPr="0093752B" w:rsidP="000254DA" w14:paraId="28DAA1E5" w14:textId="77777777">
      <w:pPr>
        <w:autoSpaceDE w:val="0"/>
        <w:autoSpaceDN w:val="0"/>
        <w:adjustRightInd w:val="0"/>
        <w:rPr>
          <w:i/>
        </w:rPr>
      </w:pPr>
      <w:r w:rsidRPr="0093752B">
        <w:rPr>
          <w:i/>
        </w:rPr>
        <w:t>A12.</w:t>
      </w:r>
      <w:r w:rsidRPr="0093752B">
        <w:rPr>
          <w:i/>
        </w:rPr>
        <w:tab/>
        <w:t xml:space="preserve">Provide estimates of the hour burden of the collection of information.  </w:t>
      </w:r>
    </w:p>
    <w:p w:rsidR="000254DA" w:rsidRPr="0093752B" w:rsidP="000254DA" w14:paraId="66819286" w14:textId="77777777">
      <w:pPr>
        <w:autoSpaceDE w:val="0"/>
        <w:autoSpaceDN w:val="0"/>
        <w:adjustRightInd w:val="0"/>
      </w:pPr>
    </w:p>
    <w:p w:rsidR="0176A826" w:rsidP="3862BEEC" w14:paraId="13C4013E" w14:textId="7E12C9F1">
      <w:pPr>
        <w:rPr>
          <w:b/>
          <w:bCs/>
        </w:rPr>
      </w:pPr>
      <w:r w:rsidRPr="00CE453E">
        <w:rPr>
          <w:b/>
        </w:rPr>
        <w:t>I. Burden Related to Non-Criteria (not H-2A related) Clearance Orders</w:t>
      </w:r>
    </w:p>
    <w:p w:rsidR="00834692" w:rsidP="3862BEEC" w14:paraId="7E149782" w14:textId="77777777">
      <w:pPr>
        <w:rPr>
          <w:b/>
          <w:bCs/>
        </w:rPr>
      </w:pPr>
    </w:p>
    <w:p w:rsidR="6E194FF6" w:rsidP="00CE453E" w14:paraId="681BB9A1" w14:textId="23F07412">
      <w:pPr>
        <w:ind w:left="360"/>
      </w:pPr>
      <w:r>
        <w:t xml:space="preserve">For employers filing non-criteria clearance orders, the Department is including the burden to the public for the completion of Form ETA-790 and 790B, including its attachments, in this ICR. </w:t>
      </w:r>
      <w:r w:rsidR="06FFC7EA">
        <w:t xml:space="preserve">The estimated burden in this ICR only relates to the identified parties (the 17 states and </w:t>
      </w:r>
      <w:r w:rsidR="3840B5D9">
        <w:t>the</w:t>
      </w:r>
      <w:r w:rsidR="06FFC7EA">
        <w:t xml:space="preserve"> employer </w:t>
      </w:r>
      <w:r w:rsidR="3B35952C">
        <w:t>and association</w:t>
      </w:r>
      <w:r w:rsidR="06FFC7EA">
        <w:t xml:space="preserve"> named above).</w:t>
      </w:r>
      <w:r w:rsidR="6B59316C">
        <w:t xml:space="preserve"> </w:t>
      </w:r>
      <w:r>
        <w:t xml:space="preserve">In program year 2022, </w:t>
      </w:r>
      <w:r w:rsidR="07246CF6">
        <w:t>the identified 17 S</w:t>
      </w:r>
      <w:r>
        <w:t>WAs reported that they processed 1</w:t>
      </w:r>
      <w:r w:rsidR="1B6C771C">
        <w:t>77</w:t>
      </w:r>
      <w:r>
        <w:t xml:space="preserve"> non</w:t>
      </w:r>
      <w:r w:rsidR="02836A8B">
        <w:t>-</w:t>
      </w:r>
      <w:r>
        <w:t xml:space="preserve">criteria clearance orders. The chart below provides detailed information regarding the burden to complete and process the Form ETA-790 and the 790B. </w:t>
      </w:r>
    </w:p>
    <w:p w:rsidR="6E194FF6" w:rsidP="00CE453E" w14:paraId="188E8BE1" w14:textId="2FD42B7F">
      <w:pPr>
        <w:ind w:left="360"/>
      </w:pPr>
      <w:r w:rsidRPr="3862BEEC">
        <w:t xml:space="preserve"> </w:t>
      </w:r>
    </w:p>
    <w:p w:rsidR="6E194FF6" w:rsidP="00CE453E" w14:paraId="771362B2" w14:textId="0E400DFA">
      <w:pPr>
        <w:ind w:left="360"/>
      </w:pPr>
      <w:r w:rsidRPr="3862BEEC">
        <w:t>For the employers completing both forms and attachments, the combined burden is estimated to be 120 minutes for Forms ETA-790 and 790B.</w:t>
      </w:r>
    </w:p>
    <w:p w:rsidR="6E194FF6" w14:paraId="3C794460" w14:textId="2758FBD3">
      <w:r w:rsidRPr="3862BEEC">
        <w:t xml:space="preserve"> </w:t>
      </w:r>
    </w:p>
    <w:p w:rsidR="6E194FF6" w:rsidP="00CE453E" w14:paraId="49B404DE" w14:textId="24686223">
      <w:pPr>
        <w:pStyle w:val="ListParagraph"/>
        <w:numPr>
          <w:ilvl w:val="0"/>
          <w:numId w:val="56"/>
        </w:numPr>
        <w:ind w:left="1080"/>
      </w:pPr>
      <w:r w:rsidRPr="3862BEEC">
        <w:t xml:space="preserve">ETA-790: </w:t>
      </w:r>
      <w:r w:rsidRPr="3862BEEC" w:rsidR="38937FAA">
        <w:t>177</w:t>
      </w:r>
      <w:r w:rsidRPr="3862BEEC">
        <w:t xml:space="preserve"> multiplied by .33 hours = </w:t>
      </w:r>
      <w:r w:rsidRPr="3862BEEC" w:rsidR="5F4D79F4">
        <w:t>58.41</w:t>
      </w:r>
      <w:r w:rsidRPr="3862BEEC">
        <w:t xml:space="preserve"> hours</w:t>
      </w:r>
    </w:p>
    <w:p w:rsidR="6E194FF6" w:rsidP="00CE453E" w14:paraId="615D00D1" w14:textId="381AF3DB">
      <w:pPr>
        <w:pStyle w:val="ListParagraph"/>
        <w:numPr>
          <w:ilvl w:val="0"/>
          <w:numId w:val="56"/>
        </w:numPr>
        <w:ind w:left="1080"/>
      </w:pPr>
      <w:r w:rsidRPr="3862BEEC">
        <w:t xml:space="preserve">ETA-790B and attachments: </w:t>
      </w:r>
      <w:r w:rsidRPr="3862BEEC" w:rsidR="3D23AFE8">
        <w:t>177</w:t>
      </w:r>
      <w:r w:rsidRPr="3862BEEC">
        <w:t xml:space="preserve"> multiplied by 1.67 hours = </w:t>
      </w:r>
      <w:r w:rsidRPr="3862BEEC" w:rsidR="127490D8">
        <w:t>295.59</w:t>
      </w:r>
      <w:r w:rsidRPr="3862BEEC">
        <w:t xml:space="preserve"> hours </w:t>
      </w:r>
    </w:p>
    <w:p w:rsidR="6E194FF6" w:rsidP="00CE453E" w14:paraId="5CD01BEA" w14:textId="1F31409C">
      <w:pPr>
        <w:pStyle w:val="ListParagraph"/>
        <w:numPr>
          <w:ilvl w:val="0"/>
          <w:numId w:val="56"/>
        </w:numPr>
        <w:ind w:left="1080"/>
      </w:pPr>
      <w:r w:rsidRPr="3862BEEC">
        <w:t xml:space="preserve">The total burden hours for both forms = </w:t>
      </w:r>
      <w:r w:rsidRPr="3862BEEC" w:rsidR="35568959">
        <w:t>354 hours</w:t>
      </w:r>
    </w:p>
    <w:p w:rsidR="6E194FF6" w:rsidP="00CE453E" w14:paraId="68861645" w14:textId="60497628">
      <w:pPr>
        <w:pStyle w:val="ListParagraph"/>
        <w:numPr>
          <w:ilvl w:val="0"/>
          <w:numId w:val="56"/>
        </w:numPr>
        <w:ind w:left="1080"/>
      </w:pPr>
      <w:r w:rsidRPr="3862BEEC">
        <w:t xml:space="preserve">The annual hours of </w:t>
      </w:r>
      <w:r w:rsidRPr="3862BEEC" w:rsidR="02F152B9">
        <w:t>354</w:t>
      </w:r>
      <w:r w:rsidRPr="3862BEEC">
        <w:t xml:space="preserve"> multiplied by the fully loaded hourly rate of $57.90 = $2</w:t>
      </w:r>
      <w:r w:rsidRPr="3862BEEC" w:rsidR="4C4AEE43">
        <w:t>0,496.60</w:t>
      </w:r>
      <w:r w:rsidRPr="3862BEEC">
        <w:t xml:space="preserve"> total annual burden cost.</w:t>
      </w:r>
    </w:p>
    <w:p w:rsidR="6E194FF6" w:rsidP="00CE453E" w14:paraId="44872274" w14:textId="0002715F">
      <w:pPr>
        <w:ind w:left="360"/>
      </w:pPr>
      <w:r w:rsidRPr="3862BEEC">
        <w:t xml:space="preserve"> </w:t>
      </w:r>
    </w:p>
    <w:p w:rsidR="6E194FF6" w:rsidP="00CE453E" w14:paraId="77C8C218" w14:textId="052F6AFD">
      <w:pPr>
        <w:ind w:left="360"/>
        <w:rPr>
          <w:color w:val="000000" w:themeColor="text1"/>
        </w:rPr>
      </w:pPr>
      <w:r w:rsidRPr="3862BEEC">
        <w:t xml:space="preserve">The cost estimate above is based on the Bureau of Labor Statistics data provided in the Occupational Employment Statistics (OES) at </w:t>
      </w:r>
      <w:hyperlink r:id="rId16" w:history="1">
        <w:r w:rsidRPr="3862BEEC">
          <w:rPr>
            <w:rStyle w:val="Hyperlink"/>
          </w:rPr>
          <w:t>www.bls.gov</w:t>
        </w:r>
      </w:hyperlink>
      <w:r w:rsidRPr="3862BEEC">
        <w:t xml:space="preserve">. In calculating the cost of completing and processing of the forms, ETA used the median hourly wage of $36.42 per hour for </w:t>
      </w:r>
      <w:hyperlink r:id="rId17" w:history="1">
        <w:r w:rsidRPr="3862BEEC">
          <w:rPr>
            <w:rStyle w:val="Hyperlink"/>
          </w:rPr>
          <w:t>Farmers Ranchers, and Other Agricultural Managers 11-9013</w:t>
        </w:r>
      </w:hyperlink>
      <w:r w:rsidRPr="3862BEEC">
        <w:rPr>
          <w:color w:val="000000" w:themeColor="text1"/>
        </w:rPr>
        <w:t>. For private sector occupations, the fringe benefit is calculated at 42% and overhead is calculated at 17% (combined total of 59%). The fully loaded hourly rate is, therefore $57.90. The total burden cost is calculated in the table below.</w:t>
      </w:r>
    </w:p>
    <w:p w:rsidR="6E194FF6" w14:paraId="735D523E" w14:textId="1D1E6771">
      <w:r w:rsidRPr="3862BEEC">
        <w:t xml:space="preserve"> </w:t>
      </w:r>
    </w:p>
    <w:p w:rsidR="6E194FF6" w:rsidP="00CE453E" w14:paraId="553134FB" w14:textId="05ED5183">
      <w:pPr>
        <w:ind w:left="360"/>
      </w:pPr>
      <w:r w:rsidRPr="3862BEEC">
        <w:t>For the SWA officials reviewing and processing both forms, the burden is estimated to be 90 minutes for Forms 790 and 790B:</w:t>
      </w:r>
    </w:p>
    <w:p w:rsidR="6E194FF6" w14:paraId="55B0C659" w14:textId="7C365FBA">
      <w:r w:rsidRPr="3862BEEC">
        <w:t xml:space="preserve"> </w:t>
      </w:r>
    </w:p>
    <w:p w:rsidR="6E194FF6" w:rsidP="00CE453E" w14:paraId="3FA21FD9" w14:textId="0543054C">
      <w:pPr>
        <w:pStyle w:val="ListParagraph"/>
        <w:numPr>
          <w:ilvl w:val="0"/>
          <w:numId w:val="56"/>
        </w:numPr>
        <w:ind w:left="1080"/>
      </w:pPr>
      <w:r w:rsidRPr="3862BEEC">
        <w:t>Reviewing the ETA-790 and 790B, including attachments:  1</w:t>
      </w:r>
      <w:r w:rsidRPr="3862BEEC" w:rsidR="7AD4B915">
        <w:t xml:space="preserve">77 </w:t>
      </w:r>
      <w:r w:rsidRPr="3862BEEC">
        <w:t xml:space="preserve">multiplied by 78 minutes = </w:t>
      </w:r>
      <w:r w:rsidRPr="3862BEEC" w:rsidR="7CC22730">
        <w:t>13,806 minutes</w:t>
      </w:r>
      <w:r w:rsidRPr="3862BEEC">
        <w:t xml:space="preserve"> divided by 60 = 2</w:t>
      </w:r>
      <w:r w:rsidRPr="3862BEEC" w:rsidR="121F69AF">
        <w:t>30.10</w:t>
      </w:r>
      <w:r w:rsidRPr="3862BEEC">
        <w:t xml:space="preserve"> hours</w:t>
      </w:r>
    </w:p>
    <w:p w:rsidR="6E194FF6" w:rsidP="00CE453E" w14:paraId="6541F17A" w14:textId="19FB5F43">
      <w:pPr>
        <w:pStyle w:val="ListParagraph"/>
        <w:numPr>
          <w:ilvl w:val="0"/>
          <w:numId w:val="56"/>
        </w:numPr>
        <w:ind w:left="1080"/>
      </w:pPr>
      <w:r w:rsidRPr="3862BEEC">
        <w:t>Processing and record keeping of ETA-790 and 790B, including attachments:  1</w:t>
      </w:r>
      <w:r w:rsidRPr="3862BEEC" w:rsidR="0F32B8AF">
        <w:t>77</w:t>
      </w:r>
      <w:r w:rsidRPr="3862BEEC">
        <w:t xml:space="preserve"> multiplied by 12 minutes = </w:t>
      </w:r>
      <w:r w:rsidRPr="3862BEEC" w:rsidR="2A14F894">
        <w:t>2,124</w:t>
      </w:r>
      <w:r w:rsidRPr="3862BEEC">
        <w:t xml:space="preserve"> divided by 60 = 3</w:t>
      </w:r>
      <w:r w:rsidRPr="3862BEEC" w:rsidR="2BF1F764">
        <w:t>5.4</w:t>
      </w:r>
      <w:r w:rsidRPr="3862BEEC">
        <w:t xml:space="preserve"> hours</w:t>
      </w:r>
    </w:p>
    <w:p w:rsidR="6E194FF6" w:rsidP="00CE453E" w14:paraId="14A2B389" w14:textId="370033DB">
      <w:pPr>
        <w:pStyle w:val="ListParagraph"/>
        <w:numPr>
          <w:ilvl w:val="0"/>
          <w:numId w:val="56"/>
        </w:numPr>
        <w:ind w:left="1080"/>
      </w:pPr>
      <w:r w:rsidRPr="3862BEEC">
        <w:t xml:space="preserve">The total burden hours for the SWA review and processing of these two forms </w:t>
      </w:r>
      <w:r w:rsidRPr="3862BEEC">
        <w:t>=  2</w:t>
      </w:r>
      <w:r w:rsidRPr="3862BEEC" w:rsidR="1549845B">
        <w:t>65.50</w:t>
      </w:r>
      <w:r w:rsidRPr="3862BEEC">
        <w:t xml:space="preserve"> hours</w:t>
      </w:r>
    </w:p>
    <w:p w:rsidR="6E194FF6" w:rsidP="00CE453E" w14:paraId="2F5DF0B6" w14:textId="310280DF">
      <w:pPr>
        <w:pStyle w:val="ListParagraph"/>
        <w:numPr>
          <w:ilvl w:val="0"/>
          <w:numId w:val="56"/>
        </w:numPr>
        <w:ind w:left="1080"/>
      </w:pPr>
      <w:r w:rsidRPr="3862BEEC">
        <w:t>The annual hours of 2</w:t>
      </w:r>
      <w:r w:rsidRPr="3862BEEC" w:rsidR="1016ECD5">
        <w:t>65.50</w:t>
      </w:r>
      <w:r w:rsidRPr="3862BEEC">
        <w:t xml:space="preserve"> multiplied by the hourly rate of $51.77 = $1</w:t>
      </w:r>
      <w:r w:rsidRPr="3862BEEC" w:rsidR="495A4F36">
        <w:t>3,744.94</w:t>
      </w:r>
      <w:r w:rsidRPr="3862BEEC">
        <w:t xml:space="preserve"> total annual burden cost.</w:t>
      </w:r>
    </w:p>
    <w:p w:rsidR="6E194FF6" w:rsidP="00CE453E" w14:paraId="3737F5C5" w14:textId="14A55A42">
      <w:pPr>
        <w:ind w:left="360"/>
        <w:rPr>
          <w:color w:val="000000" w:themeColor="text1"/>
        </w:rPr>
      </w:pPr>
      <w:r w:rsidRPr="3862BEEC">
        <w:rPr>
          <w:color w:val="000000" w:themeColor="text1"/>
        </w:rPr>
        <w:t xml:space="preserve"> </w:t>
      </w:r>
    </w:p>
    <w:p w:rsidR="6E194FF6" w:rsidP="00CE453E" w14:paraId="2EDA8F85" w14:textId="26E627AD">
      <w:pPr>
        <w:ind w:left="360"/>
      </w:pPr>
      <w:r w:rsidRPr="3862BEEC">
        <w:t>The Department used the median hourly wage of $28.92 for educational, guidance, and career counselors and advisors (</w:t>
      </w:r>
      <w:hyperlink r:id="rId18" w:history="1">
        <w:r w:rsidRPr="3862BEEC">
          <w:rPr>
            <w:rStyle w:val="Hyperlink"/>
          </w:rPr>
          <w:t>SOC code 21-1012</w:t>
        </w:r>
      </w:hyperlink>
      <w:r w:rsidRPr="3862BEEC">
        <w:t>) employed by State governments. For public sector occupations, fringe benefits are calculated at 62% and 17% for overhead (combined total of 79%). The fully loaded hourly rate is therefore $51.77.</w:t>
      </w:r>
    </w:p>
    <w:p w:rsidR="6E194FF6" w:rsidP="00CE453E" w14:paraId="37328471" w14:textId="3E6EEBB2">
      <w:pPr>
        <w:ind w:left="360"/>
        <w:rPr>
          <w:color w:val="000000" w:themeColor="text1"/>
        </w:rPr>
      </w:pPr>
      <w:r w:rsidRPr="3862BEEC">
        <w:rPr>
          <w:color w:val="000000" w:themeColor="text1"/>
        </w:rPr>
        <w:t xml:space="preserve"> </w:t>
      </w:r>
    </w:p>
    <w:p w:rsidR="6E194FF6" w:rsidRPr="000476FF" w14:paraId="7460880C" w14:textId="53D97355">
      <w:pPr>
        <w:rPr>
          <w:sz w:val="22"/>
          <w:szCs w:val="22"/>
        </w:rPr>
      </w:pPr>
      <w:r w:rsidRPr="3862BEEC">
        <w:t xml:space="preserve"> </w:t>
      </w:r>
    </w:p>
    <w:tbl>
      <w:tblPr>
        <w:tblW w:w="0" w:type="auto"/>
        <w:tblLayout w:type="fixed"/>
        <w:tblLook w:val="04A0"/>
      </w:tblPr>
      <w:tblGrid>
        <w:gridCol w:w="1418"/>
        <w:gridCol w:w="1272"/>
        <w:gridCol w:w="1199"/>
        <w:gridCol w:w="1184"/>
        <w:gridCol w:w="1007"/>
        <w:gridCol w:w="803"/>
        <w:gridCol w:w="764"/>
        <w:gridCol w:w="1184"/>
      </w:tblGrid>
      <w:tr w14:paraId="08518299" w14:textId="77777777" w:rsidTr="3862BEEC">
        <w:tblPrEx>
          <w:tblW w:w="0" w:type="auto"/>
          <w:tblLayout w:type="fixed"/>
          <w:tblLook w:val="04A0"/>
        </w:tblPrEx>
        <w:trPr>
          <w:trHeight w:val="300"/>
        </w:trPr>
        <w:tc>
          <w:tcPr>
            <w:tcW w:w="8831" w:type="dxa"/>
            <w:gridSpan w:val="8"/>
            <w:tcBorders>
              <w:top w:val="single" w:sz="8" w:space="0" w:color="auto"/>
              <w:left w:val="single" w:sz="8" w:space="0" w:color="auto"/>
              <w:bottom w:val="single" w:sz="8" w:space="0" w:color="auto"/>
              <w:right w:val="single" w:sz="8" w:space="0" w:color="auto"/>
            </w:tcBorders>
            <w:shd w:val="clear" w:color="auto" w:fill="8DB3E2"/>
            <w:tcMar>
              <w:left w:w="108" w:type="dxa"/>
              <w:right w:w="108" w:type="dxa"/>
            </w:tcMar>
          </w:tcPr>
          <w:p w:rsidR="3862BEEC" w:rsidRPr="00ED1EAC" w14:paraId="767A89A7" w14:textId="6AC8E621">
            <w:pPr>
              <w:rPr>
                <w:b/>
                <w:bCs/>
                <w:color w:val="000000" w:themeColor="text1"/>
                <w:sz w:val="22"/>
                <w:szCs w:val="22"/>
              </w:rPr>
            </w:pPr>
            <w:r w:rsidRPr="00ED1EAC">
              <w:rPr>
                <w:b/>
                <w:bCs/>
                <w:color w:val="000000" w:themeColor="text1"/>
                <w:sz w:val="22"/>
                <w:szCs w:val="22"/>
              </w:rPr>
              <w:t>Table</w:t>
            </w:r>
            <w:r w:rsidRPr="00ED1EAC" w:rsidR="00ED1EAC">
              <w:rPr>
                <w:b/>
                <w:bCs/>
                <w:color w:val="000000" w:themeColor="text1"/>
                <w:sz w:val="22"/>
                <w:szCs w:val="22"/>
              </w:rPr>
              <w:t xml:space="preserve"> I</w:t>
            </w:r>
            <w:r w:rsidRPr="00ED1EAC">
              <w:rPr>
                <w:b/>
                <w:bCs/>
                <w:color w:val="000000" w:themeColor="text1"/>
                <w:sz w:val="22"/>
                <w:szCs w:val="22"/>
              </w:rPr>
              <w:t xml:space="preserve">: </w:t>
            </w:r>
            <w:r w:rsidRPr="000476FF" w:rsidR="00ED1EAC">
              <w:rPr>
                <w:b/>
                <w:sz w:val="22"/>
                <w:szCs w:val="22"/>
              </w:rPr>
              <w:t>Burden Related to Non-Criteria (not H-2A related) Clearance Orders</w:t>
            </w:r>
          </w:p>
        </w:tc>
      </w:tr>
      <w:tr w14:paraId="3ABFDFC2" w14:textId="77777777" w:rsidTr="000476FF">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01B51F58" w14:textId="5F90E796">
            <w:pPr>
              <w:jc w:val="center"/>
              <w:rPr>
                <w:b/>
                <w:bCs/>
                <w:color w:val="000000" w:themeColor="text1"/>
                <w:sz w:val="18"/>
                <w:szCs w:val="18"/>
              </w:rPr>
            </w:pPr>
            <w:r w:rsidRPr="000476FF">
              <w:rPr>
                <w:b/>
                <w:bCs/>
                <w:color w:val="000000" w:themeColor="text1"/>
                <w:sz w:val="18"/>
                <w:szCs w:val="18"/>
              </w:rPr>
              <w:t>Activity</w:t>
            </w:r>
          </w:p>
        </w:tc>
        <w:tc>
          <w:tcPr>
            <w:tcW w:w="1272"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4070565D" w14:textId="1E956875">
            <w:pPr>
              <w:jc w:val="center"/>
              <w:rPr>
                <w:b/>
                <w:bCs/>
                <w:color w:val="000000" w:themeColor="text1"/>
                <w:sz w:val="18"/>
                <w:szCs w:val="18"/>
              </w:rPr>
            </w:pPr>
            <w:r w:rsidRPr="000476FF">
              <w:rPr>
                <w:b/>
                <w:bCs/>
                <w:color w:val="000000" w:themeColor="text1"/>
                <w:sz w:val="18"/>
                <w:szCs w:val="18"/>
              </w:rPr>
              <w:t>Number of Respondents</w:t>
            </w:r>
          </w:p>
        </w:tc>
        <w:tc>
          <w:tcPr>
            <w:tcW w:w="1199"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34890ADF" w14:textId="6C12C3F5">
            <w:pPr>
              <w:jc w:val="center"/>
              <w:rPr>
                <w:b/>
                <w:bCs/>
                <w:color w:val="000000" w:themeColor="text1"/>
                <w:sz w:val="18"/>
                <w:szCs w:val="18"/>
              </w:rPr>
            </w:pPr>
            <w:r w:rsidRPr="000476FF">
              <w:rPr>
                <w:b/>
                <w:bCs/>
                <w:color w:val="000000" w:themeColor="text1"/>
                <w:sz w:val="18"/>
                <w:szCs w:val="18"/>
              </w:rPr>
              <w:t>Number of Responses per Respondent</w:t>
            </w:r>
          </w:p>
        </w:tc>
        <w:tc>
          <w:tcPr>
            <w:tcW w:w="1184"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4F154330" w14:textId="7BAC92DC">
            <w:pPr>
              <w:jc w:val="center"/>
              <w:rPr>
                <w:b/>
                <w:bCs/>
                <w:color w:val="000000" w:themeColor="text1"/>
                <w:sz w:val="18"/>
                <w:szCs w:val="18"/>
              </w:rPr>
            </w:pPr>
            <w:r w:rsidRPr="000476FF">
              <w:rPr>
                <w:b/>
                <w:bCs/>
                <w:color w:val="000000" w:themeColor="text1"/>
                <w:sz w:val="18"/>
                <w:szCs w:val="18"/>
              </w:rPr>
              <w:t>Total Number of</w:t>
            </w:r>
          </w:p>
          <w:p w:rsidR="3862BEEC" w:rsidRPr="000476FF" w:rsidP="000476FF" w14:paraId="76415DEF" w14:textId="33F0BB06">
            <w:pPr>
              <w:jc w:val="center"/>
              <w:rPr>
                <w:b/>
                <w:bCs/>
                <w:color w:val="000000" w:themeColor="text1"/>
                <w:sz w:val="18"/>
                <w:szCs w:val="18"/>
              </w:rPr>
            </w:pPr>
            <w:r w:rsidRPr="000476FF">
              <w:rPr>
                <w:b/>
                <w:bCs/>
                <w:color w:val="000000" w:themeColor="text1"/>
                <w:sz w:val="18"/>
                <w:szCs w:val="18"/>
              </w:rPr>
              <w:t>Responses</w:t>
            </w:r>
          </w:p>
        </w:tc>
        <w:tc>
          <w:tcPr>
            <w:tcW w:w="1007"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7C27C9DD" w14:textId="082DAC16">
            <w:pPr>
              <w:jc w:val="center"/>
              <w:rPr>
                <w:b/>
                <w:bCs/>
                <w:color w:val="000000" w:themeColor="text1"/>
                <w:sz w:val="18"/>
                <w:szCs w:val="18"/>
              </w:rPr>
            </w:pPr>
            <w:r w:rsidRPr="000476FF">
              <w:rPr>
                <w:b/>
                <w:bCs/>
                <w:color w:val="000000" w:themeColor="text1"/>
                <w:sz w:val="18"/>
                <w:szCs w:val="18"/>
              </w:rPr>
              <w:t>Time Per Response</w:t>
            </w:r>
          </w:p>
          <w:p w:rsidR="3862BEEC" w:rsidRPr="000476FF" w:rsidP="000476FF" w14:paraId="3AA9ABCA" w14:textId="09A0D29B">
            <w:pPr>
              <w:jc w:val="center"/>
              <w:rPr>
                <w:b/>
                <w:bCs/>
                <w:color w:val="000000" w:themeColor="text1"/>
                <w:sz w:val="18"/>
                <w:szCs w:val="18"/>
              </w:rPr>
            </w:pPr>
            <w:r w:rsidRPr="000476FF">
              <w:rPr>
                <w:b/>
                <w:bCs/>
                <w:color w:val="000000" w:themeColor="text1"/>
                <w:sz w:val="18"/>
                <w:szCs w:val="18"/>
              </w:rPr>
              <w:t>(in hours)</w:t>
            </w:r>
          </w:p>
        </w:tc>
        <w:tc>
          <w:tcPr>
            <w:tcW w:w="803"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2B3FDFC4" w14:textId="05AED7D8">
            <w:pPr>
              <w:jc w:val="center"/>
              <w:rPr>
                <w:b/>
                <w:bCs/>
                <w:color w:val="000000" w:themeColor="text1"/>
                <w:sz w:val="18"/>
                <w:szCs w:val="18"/>
              </w:rPr>
            </w:pPr>
            <w:r w:rsidRPr="000476FF">
              <w:rPr>
                <w:b/>
                <w:bCs/>
                <w:color w:val="000000" w:themeColor="text1"/>
                <w:sz w:val="18"/>
                <w:szCs w:val="18"/>
              </w:rPr>
              <w:t>Total Burden Hours</w:t>
            </w:r>
          </w:p>
        </w:tc>
        <w:tc>
          <w:tcPr>
            <w:tcW w:w="764"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3FF993AE" w14:textId="09B0E096">
            <w:pPr>
              <w:ind w:right="-90"/>
              <w:jc w:val="center"/>
              <w:rPr>
                <w:b/>
                <w:bCs/>
                <w:color w:val="000000" w:themeColor="text1"/>
                <w:sz w:val="18"/>
                <w:szCs w:val="18"/>
              </w:rPr>
            </w:pPr>
            <w:r w:rsidRPr="000476FF">
              <w:rPr>
                <w:b/>
                <w:bCs/>
                <w:color w:val="000000" w:themeColor="text1"/>
                <w:sz w:val="18"/>
                <w:szCs w:val="18"/>
              </w:rPr>
              <w:t>Hourly</w:t>
            </w:r>
          </w:p>
          <w:p w:rsidR="3862BEEC" w:rsidRPr="000476FF" w:rsidP="000476FF" w14:paraId="756DB8E8" w14:textId="11F3F258">
            <w:pPr>
              <w:jc w:val="center"/>
              <w:rPr>
                <w:b/>
                <w:bCs/>
                <w:color w:val="000000" w:themeColor="text1"/>
                <w:sz w:val="18"/>
                <w:szCs w:val="18"/>
              </w:rPr>
            </w:pPr>
            <w:r w:rsidRPr="000476FF">
              <w:rPr>
                <w:b/>
                <w:bCs/>
                <w:color w:val="000000" w:themeColor="text1"/>
                <w:sz w:val="18"/>
                <w:szCs w:val="18"/>
              </w:rPr>
              <w:t>Wage Rate*</w:t>
            </w:r>
          </w:p>
        </w:tc>
        <w:tc>
          <w:tcPr>
            <w:tcW w:w="1184"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3862BEEC" w:rsidRPr="000476FF" w:rsidP="000476FF" w14:paraId="1051C903" w14:textId="4F4A47B1">
            <w:pPr>
              <w:jc w:val="center"/>
              <w:rPr>
                <w:b/>
                <w:bCs/>
                <w:color w:val="000000" w:themeColor="text1"/>
                <w:sz w:val="18"/>
                <w:szCs w:val="18"/>
              </w:rPr>
            </w:pPr>
            <w:r w:rsidRPr="000476FF">
              <w:rPr>
                <w:b/>
                <w:bCs/>
                <w:color w:val="000000" w:themeColor="text1"/>
                <w:sz w:val="18"/>
                <w:szCs w:val="18"/>
              </w:rPr>
              <w:t>Total Cost Burden</w:t>
            </w:r>
          </w:p>
        </w:tc>
      </w:tr>
      <w:tr w14:paraId="3273C901" w14:textId="77777777" w:rsidTr="000476FF">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1D464455" w14:textId="5DC6D2E2">
            <w:pPr>
              <w:rPr>
                <w:sz w:val="22"/>
                <w:szCs w:val="22"/>
              </w:rPr>
            </w:pPr>
            <w:r w:rsidRPr="3862BEEC">
              <w:rPr>
                <w:sz w:val="22"/>
                <w:szCs w:val="22"/>
              </w:rPr>
              <w:t>ETA Form 790</w:t>
            </w:r>
          </w:p>
          <w:p w:rsidR="3862BEEC" w14:paraId="2BACDBC9" w14:textId="1C1C9AC9">
            <w:pPr>
              <w:rPr>
                <w:sz w:val="22"/>
                <w:szCs w:val="22"/>
              </w:rPr>
            </w:pPr>
            <w:r w:rsidRPr="3862BEEC">
              <w:rPr>
                <w:sz w:val="22"/>
                <w:szCs w:val="22"/>
              </w:rPr>
              <w:t>Employer</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0A609B3" w:rsidRPr="000476FF" w:rsidP="00CE453E" w14:paraId="1773C0AD" w14:textId="07F060A7">
            <w:pPr>
              <w:jc w:val="right"/>
              <w:rPr>
                <w:sz w:val="18"/>
                <w:szCs w:val="18"/>
              </w:rPr>
            </w:pPr>
            <w:r w:rsidRPr="000476FF">
              <w:rPr>
                <w:sz w:val="18"/>
                <w:szCs w:val="18"/>
              </w:rPr>
              <w:t>177</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2A90215" w14:textId="0B0234D7">
            <w:pPr>
              <w:jc w:val="right"/>
              <w:rPr>
                <w:sz w:val="18"/>
                <w:szCs w:val="18"/>
              </w:rPr>
            </w:pPr>
            <w:r w:rsidRPr="000476FF">
              <w:rPr>
                <w:sz w:val="18"/>
                <w:szCs w:val="18"/>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1701B6D" w:rsidRPr="000476FF" w:rsidP="00CE453E" w14:paraId="4FC2E3A4" w14:textId="256B6044">
            <w:pPr>
              <w:jc w:val="right"/>
              <w:rPr>
                <w:sz w:val="18"/>
                <w:szCs w:val="18"/>
              </w:rPr>
            </w:pPr>
            <w:r w:rsidRPr="000476FF">
              <w:rPr>
                <w:sz w:val="18"/>
                <w:szCs w:val="18"/>
              </w:rPr>
              <w:t>177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0B40CD78" w14:textId="09565F51">
            <w:pPr>
              <w:jc w:val="right"/>
              <w:rPr>
                <w:sz w:val="18"/>
                <w:szCs w:val="18"/>
              </w:rPr>
            </w:pPr>
            <w:r w:rsidRPr="000476FF">
              <w:rPr>
                <w:sz w:val="18"/>
                <w:szCs w:val="18"/>
              </w:rPr>
              <w:t>.33</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7C3B249" w:rsidRPr="000476FF" w:rsidP="00CE453E" w14:paraId="4F327391" w14:textId="78C2A8F1">
            <w:pPr>
              <w:jc w:val="right"/>
              <w:rPr>
                <w:sz w:val="18"/>
                <w:szCs w:val="18"/>
              </w:rPr>
            </w:pPr>
            <w:r w:rsidRPr="000476FF">
              <w:rPr>
                <w:sz w:val="18"/>
                <w:szCs w:val="18"/>
              </w:rPr>
              <w:t>58.41</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D64CC36" w14:textId="4874969A">
            <w:pPr>
              <w:jc w:val="right"/>
              <w:rPr>
                <w:sz w:val="18"/>
                <w:szCs w:val="18"/>
              </w:rPr>
            </w:pPr>
            <w:r w:rsidRPr="000476FF">
              <w:rPr>
                <w:sz w:val="18"/>
                <w:szCs w:val="18"/>
              </w:rPr>
              <w:t>$57.9</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FBCCC34" w14:textId="7F5B5288">
            <w:pPr>
              <w:jc w:val="right"/>
              <w:rPr>
                <w:sz w:val="18"/>
                <w:szCs w:val="18"/>
              </w:rPr>
            </w:pPr>
            <w:r w:rsidRPr="000476FF">
              <w:rPr>
                <w:sz w:val="18"/>
                <w:szCs w:val="18"/>
              </w:rPr>
              <w:t>$</w:t>
            </w:r>
            <w:r w:rsidRPr="000476FF" w:rsidR="1FAB8897">
              <w:rPr>
                <w:sz w:val="18"/>
                <w:szCs w:val="18"/>
              </w:rPr>
              <w:t>3,381.94</w:t>
            </w:r>
          </w:p>
        </w:tc>
      </w:tr>
      <w:tr w14:paraId="01FF0F13" w14:textId="77777777" w:rsidTr="000476FF">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3310999C" w14:textId="5D33A18F">
            <w:pPr>
              <w:rPr>
                <w:sz w:val="22"/>
                <w:szCs w:val="22"/>
              </w:rPr>
            </w:pPr>
            <w:r w:rsidRPr="3862BEEC">
              <w:rPr>
                <w:sz w:val="22"/>
                <w:szCs w:val="22"/>
              </w:rPr>
              <w:t xml:space="preserve">ETA Form 790B, Including </w:t>
            </w:r>
            <w:r w:rsidRPr="3862BEEC">
              <w:rPr>
                <w:sz w:val="22"/>
                <w:szCs w:val="22"/>
              </w:rPr>
              <w:t>Attachments,Employer</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2DBD8F0" w14:textId="2CDC98AA">
            <w:pPr>
              <w:jc w:val="right"/>
              <w:rPr>
                <w:sz w:val="18"/>
                <w:szCs w:val="18"/>
              </w:rPr>
            </w:pPr>
            <w:r w:rsidRPr="000476FF">
              <w:rPr>
                <w:sz w:val="18"/>
                <w:szCs w:val="18"/>
              </w:rPr>
              <w:t>1</w:t>
            </w:r>
            <w:r w:rsidRPr="000476FF" w:rsidR="629C7E79">
              <w:rPr>
                <w:sz w:val="18"/>
                <w:szCs w:val="18"/>
              </w:rPr>
              <w:t>77</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2A86E50" w14:textId="3A400115">
            <w:pPr>
              <w:jc w:val="right"/>
              <w:rPr>
                <w:sz w:val="18"/>
                <w:szCs w:val="18"/>
              </w:rPr>
            </w:pPr>
            <w:r w:rsidRPr="000476FF">
              <w:rPr>
                <w:sz w:val="18"/>
                <w:szCs w:val="18"/>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93EC16B" w:rsidRPr="000476FF" w:rsidP="00CE453E" w14:paraId="01DBA88F" w14:textId="5FEAB1CF">
            <w:pPr>
              <w:jc w:val="right"/>
              <w:rPr>
                <w:sz w:val="18"/>
                <w:szCs w:val="18"/>
              </w:rPr>
            </w:pPr>
            <w:r w:rsidRPr="000476FF">
              <w:rPr>
                <w:sz w:val="18"/>
                <w:szCs w:val="18"/>
              </w:rPr>
              <w:t>177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3FF3F06" w14:textId="05D1B3F7">
            <w:pPr>
              <w:jc w:val="right"/>
              <w:rPr>
                <w:sz w:val="18"/>
                <w:szCs w:val="18"/>
              </w:rPr>
            </w:pPr>
            <w:r w:rsidRPr="000476FF">
              <w:rPr>
                <w:sz w:val="18"/>
                <w:szCs w:val="18"/>
              </w:rPr>
              <w:t>1.67</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797A043" w:rsidRPr="000476FF" w:rsidP="00CE453E" w14:paraId="21B8421A" w14:textId="5CE85E60">
            <w:pPr>
              <w:ind w:left="-90" w:right="-90"/>
              <w:jc w:val="right"/>
              <w:rPr>
                <w:sz w:val="18"/>
                <w:szCs w:val="18"/>
              </w:rPr>
            </w:pPr>
            <w:r w:rsidRPr="000476FF">
              <w:rPr>
                <w:sz w:val="18"/>
                <w:szCs w:val="18"/>
              </w:rPr>
              <w:t>295.59</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94994B5" w14:textId="52C87B18">
            <w:pPr>
              <w:jc w:val="right"/>
              <w:rPr>
                <w:sz w:val="18"/>
                <w:szCs w:val="18"/>
              </w:rPr>
            </w:pPr>
            <w:r w:rsidRPr="000476FF">
              <w:rPr>
                <w:sz w:val="18"/>
                <w:szCs w:val="18"/>
              </w:rPr>
              <w:t>$57.90</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0458484C" w14:textId="45D00B8A">
            <w:pPr>
              <w:jc w:val="right"/>
              <w:rPr>
                <w:sz w:val="18"/>
                <w:szCs w:val="18"/>
              </w:rPr>
            </w:pPr>
            <w:r w:rsidRPr="000476FF">
              <w:rPr>
                <w:sz w:val="18"/>
                <w:szCs w:val="18"/>
              </w:rPr>
              <w:t>$1</w:t>
            </w:r>
            <w:r w:rsidRPr="000476FF" w:rsidR="26447C91">
              <w:rPr>
                <w:sz w:val="18"/>
                <w:szCs w:val="18"/>
              </w:rPr>
              <w:t>7,114.66</w:t>
            </w:r>
          </w:p>
        </w:tc>
      </w:tr>
      <w:tr w14:paraId="4D3D1BFD" w14:textId="77777777" w:rsidTr="000476FF">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05E6A180" w14:textId="5A84FCA8">
            <w:pPr>
              <w:rPr>
                <w:sz w:val="22"/>
                <w:szCs w:val="22"/>
              </w:rPr>
            </w:pPr>
            <w:r w:rsidRPr="3862BEEC">
              <w:rPr>
                <w:sz w:val="22"/>
                <w:szCs w:val="22"/>
              </w:rPr>
              <w:t>ETA Form 790</w:t>
            </w:r>
          </w:p>
          <w:p w:rsidR="3862BEEC" w14:paraId="6635C8BE" w14:textId="71A1A3DE">
            <w:pPr>
              <w:rPr>
                <w:sz w:val="22"/>
                <w:szCs w:val="22"/>
              </w:rPr>
            </w:pPr>
            <w:r w:rsidRPr="3862BEEC">
              <w:rPr>
                <w:sz w:val="22"/>
                <w:szCs w:val="22"/>
              </w:rPr>
              <w:t>SWA Employee</w:t>
            </w:r>
          </w:p>
          <w:p w:rsidR="3862BEEC" w14:paraId="5DD17386" w14:textId="3AF1B458">
            <w:pPr>
              <w:rPr>
                <w:b/>
                <w:bCs/>
                <w:sz w:val="22"/>
                <w:szCs w:val="22"/>
              </w:rPr>
            </w:pPr>
            <w:r w:rsidRPr="3862BEEC">
              <w:rPr>
                <w:b/>
                <w:bCs/>
                <w:sz w:val="22"/>
                <w:szCs w:val="22"/>
              </w:rPr>
              <w:t>Processing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4590FF6B" w14:textId="556A3357">
            <w:pPr>
              <w:jc w:val="right"/>
              <w:rPr>
                <w:sz w:val="18"/>
                <w:szCs w:val="18"/>
              </w:rPr>
            </w:pPr>
            <w:r w:rsidRPr="000476FF">
              <w:rPr>
                <w:sz w:val="18"/>
                <w:szCs w:val="18"/>
              </w:rPr>
              <w:t>1</w:t>
            </w:r>
            <w:r w:rsidRPr="000476FF" w:rsidR="15361B9F">
              <w:rPr>
                <w:sz w:val="18"/>
                <w:szCs w:val="18"/>
              </w:rPr>
              <w:t>77</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C51595A" w14:textId="1B49BE22">
            <w:pPr>
              <w:jc w:val="right"/>
              <w:rPr>
                <w:sz w:val="18"/>
                <w:szCs w:val="18"/>
              </w:rPr>
            </w:pPr>
            <w:r w:rsidRPr="000476FF">
              <w:rPr>
                <w:sz w:val="18"/>
                <w:szCs w:val="18"/>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33A1E15" w:rsidRPr="000476FF" w:rsidP="00CE453E" w14:paraId="40D77936" w14:textId="7E0FC9DB">
            <w:pPr>
              <w:jc w:val="right"/>
              <w:rPr>
                <w:sz w:val="18"/>
                <w:szCs w:val="18"/>
              </w:rPr>
            </w:pPr>
            <w:r w:rsidRPr="000476FF">
              <w:rPr>
                <w:sz w:val="18"/>
                <w:szCs w:val="18"/>
              </w:rPr>
              <w:t>177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07243B1A" w14:textId="7A372D5C">
            <w:pPr>
              <w:jc w:val="right"/>
              <w:rPr>
                <w:sz w:val="18"/>
                <w:szCs w:val="18"/>
              </w:rPr>
            </w:pPr>
            <w:r w:rsidRPr="000476FF">
              <w:rPr>
                <w:sz w:val="18"/>
                <w:szCs w:val="18"/>
              </w:rPr>
              <w:t>.4</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711C418" w14:textId="07B73AC4">
            <w:pPr>
              <w:jc w:val="right"/>
              <w:rPr>
                <w:sz w:val="18"/>
                <w:szCs w:val="18"/>
              </w:rPr>
            </w:pPr>
            <w:r w:rsidRPr="000476FF">
              <w:rPr>
                <w:sz w:val="18"/>
                <w:szCs w:val="18"/>
              </w:rPr>
              <w:t>7</w:t>
            </w:r>
            <w:r w:rsidRPr="000476FF" w:rsidR="2D786DD3">
              <w:rPr>
                <w:sz w:val="18"/>
                <w:szCs w:val="18"/>
              </w:rPr>
              <w:t>0.8</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4DA7186" w14:textId="3B39AF3E">
            <w:pPr>
              <w:jc w:val="right"/>
              <w:rPr>
                <w:sz w:val="18"/>
                <w:szCs w:val="18"/>
              </w:rPr>
            </w:pPr>
            <w:r w:rsidRPr="000476FF">
              <w:rPr>
                <w:sz w:val="18"/>
                <w:szCs w:val="18"/>
              </w:rPr>
              <w:t>$51.77</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42AE3EB" w14:textId="2083BA79">
            <w:pPr>
              <w:jc w:val="right"/>
              <w:rPr>
                <w:sz w:val="18"/>
                <w:szCs w:val="18"/>
              </w:rPr>
            </w:pPr>
            <w:r w:rsidRPr="000476FF">
              <w:rPr>
                <w:sz w:val="18"/>
                <w:szCs w:val="18"/>
              </w:rPr>
              <w:t>$3</w:t>
            </w:r>
            <w:r w:rsidRPr="000476FF" w:rsidR="2A71D535">
              <w:rPr>
                <w:sz w:val="18"/>
                <w:szCs w:val="18"/>
              </w:rPr>
              <w:t>,665.32</w:t>
            </w:r>
          </w:p>
        </w:tc>
      </w:tr>
      <w:tr w14:paraId="5E0EAF25" w14:textId="77777777" w:rsidTr="000476FF">
        <w:tblPrEx>
          <w:tblW w:w="0" w:type="auto"/>
          <w:tblLayout w:type="fixed"/>
          <w:tblLook w:val="04A0"/>
        </w:tblPrEx>
        <w:trPr>
          <w:trHeight w:val="30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1B0A2E76" w14:textId="2461DBA8">
            <w:pPr>
              <w:rPr>
                <w:sz w:val="22"/>
                <w:szCs w:val="22"/>
              </w:rPr>
            </w:pPr>
            <w:r w:rsidRPr="3862BEEC">
              <w:rPr>
                <w:sz w:val="22"/>
                <w:szCs w:val="22"/>
              </w:rPr>
              <w:t>ETA Form 790</w:t>
            </w:r>
          </w:p>
          <w:p w:rsidR="3862BEEC" w14:paraId="7E0105C2" w14:textId="453DFA6F">
            <w:pPr>
              <w:rPr>
                <w:sz w:val="22"/>
                <w:szCs w:val="22"/>
              </w:rPr>
            </w:pPr>
            <w:r w:rsidRPr="3862BEEC">
              <w:rPr>
                <w:sz w:val="22"/>
                <w:szCs w:val="22"/>
              </w:rPr>
              <w:t>SWA Employee</w:t>
            </w:r>
          </w:p>
          <w:p w:rsidR="3862BEEC" w14:paraId="77BEEA7E" w14:textId="28290688">
            <w:pPr>
              <w:rPr>
                <w:b/>
                <w:bCs/>
                <w:sz w:val="22"/>
                <w:szCs w:val="22"/>
              </w:rPr>
            </w:pPr>
            <w:r w:rsidRPr="3862BEEC">
              <w:rPr>
                <w:b/>
                <w:bCs/>
                <w:sz w:val="22"/>
                <w:szCs w:val="22"/>
              </w:rPr>
              <w:t>Record Keeping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A7036AA" w14:textId="426F5034">
            <w:pPr>
              <w:jc w:val="right"/>
              <w:rPr>
                <w:sz w:val="18"/>
                <w:szCs w:val="18"/>
              </w:rPr>
            </w:pPr>
            <w:r w:rsidRPr="000476FF">
              <w:rPr>
                <w:sz w:val="18"/>
                <w:szCs w:val="18"/>
              </w:rPr>
              <w:t>1</w:t>
            </w:r>
            <w:r w:rsidRPr="000476FF" w:rsidR="4AE4FC73">
              <w:rPr>
                <w:sz w:val="18"/>
                <w:szCs w:val="18"/>
              </w:rPr>
              <w:t>77</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F0F6A3D" w14:textId="17BC3492">
            <w:pPr>
              <w:jc w:val="right"/>
              <w:rPr>
                <w:sz w:val="18"/>
                <w:szCs w:val="18"/>
              </w:rPr>
            </w:pPr>
            <w:r w:rsidRPr="000476FF">
              <w:rPr>
                <w:sz w:val="18"/>
                <w:szCs w:val="18"/>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EE145A4" w14:textId="7367BEA2">
            <w:pPr>
              <w:jc w:val="right"/>
              <w:rPr>
                <w:sz w:val="18"/>
                <w:szCs w:val="18"/>
              </w:rPr>
            </w:pPr>
            <w:r w:rsidRPr="000476FF">
              <w:rPr>
                <w:sz w:val="18"/>
                <w:szCs w:val="18"/>
              </w:rPr>
              <w:t>1</w:t>
            </w:r>
            <w:r w:rsidRPr="000476FF" w:rsidR="383D20FC">
              <w:rPr>
                <w:sz w:val="18"/>
                <w:szCs w:val="18"/>
              </w:rPr>
              <w:t>77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E902BFD" w14:textId="76742C76">
            <w:pPr>
              <w:jc w:val="right"/>
              <w:rPr>
                <w:sz w:val="18"/>
                <w:szCs w:val="18"/>
              </w:rPr>
            </w:pPr>
            <w:r w:rsidRPr="000476FF">
              <w:rPr>
                <w:sz w:val="18"/>
                <w:szCs w:val="18"/>
              </w:rPr>
              <w:t>.1</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497311" w:rsidRPr="000476FF" w:rsidP="00CE453E" w14:paraId="6773C17E" w14:textId="1204FB2A">
            <w:pPr>
              <w:jc w:val="right"/>
              <w:rPr>
                <w:sz w:val="18"/>
                <w:szCs w:val="18"/>
              </w:rPr>
            </w:pPr>
            <w:r w:rsidRPr="000476FF">
              <w:rPr>
                <w:sz w:val="18"/>
                <w:szCs w:val="18"/>
              </w:rPr>
              <w:t>17.7</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942D0C6" w14:textId="35C61585">
            <w:pPr>
              <w:jc w:val="right"/>
              <w:rPr>
                <w:sz w:val="18"/>
                <w:szCs w:val="18"/>
              </w:rPr>
            </w:pPr>
            <w:r w:rsidRPr="000476FF">
              <w:rPr>
                <w:sz w:val="18"/>
                <w:szCs w:val="18"/>
              </w:rPr>
              <w:t>$51.77</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4397843B" w14:textId="7AFA2C52">
            <w:pPr>
              <w:jc w:val="right"/>
              <w:rPr>
                <w:sz w:val="18"/>
                <w:szCs w:val="18"/>
              </w:rPr>
            </w:pPr>
            <w:r w:rsidRPr="000476FF">
              <w:rPr>
                <w:sz w:val="18"/>
                <w:szCs w:val="18"/>
              </w:rPr>
              <w:t>$9</w:t>
            </w:r>
            <w:r w:rsidRPr="000476FF" w:rsidR="79AEFB48">
              <w:rPr>
                <w:sz w:val="18"/>
                <w:szCs w:val="18"/>
              </w:rPr>
              <w:t>16.33</w:t>
            </w:r>
          </w:p>
        </w:tc>
      </w:tr>
      <w:tr w14:paraId="56BD848B" w14:textId="77777777" w:rsidTr="000476FF">
        <w:tblPrEx>
          <w:tblW w:w="0" w:type="auto"/>
          <w:tblLayout w:type="fixed"/>
          <w:tblLook w:val="04A0"/>
        </w:tblPrEx>
        <w:trPr>
          <w:trHeight w:val="975"/>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12B6C9B9" w14:textId="18A0641C">
            <w:pPr>
              <w:rPr>
                <w:sz w:val="22"/>
                <w:szCs w:val="22"/>
              </w:rPr>
            </w:pPr>
            <w:r w:rsidRPr="3862BEEC">
              <w:rPr>
                <w:sz w:val="22"/>
                <w:szCs w:val="22"/>
              </w:rPr>
              <w:t>ETA Form 790B, Including Attachments,</w:t>
            </w:r>
          </w:p>
          <w:p w:rsidR="3862BEEC" w14:paraId="3BF44EAB" w14:textId="772141CF">
            <w:pPr>
              <w:rPr>
                <w:sz w:val="22"/>
                <w:szCs w:val="22"/>
              </w:rPr>
            </w:pPr>
            <w:r w:rsidRPr="3862BEEC">
              <w:rPr>
                <w:sz w:val="22"/>
                <w:szCs w:val="22"/>
              </w:rPr>
              <w:t>SWA Employee</w:t>
            </w:r>
          </w:p>
          <w:p w:rsidR="3862BEEC" w14:paraId="05EACCB1" w14:textId="2D655E93">
            <w:pPr>
              <w:rPr>
                <w:b/>
                <w:bCs/>
                <w:sz w:val="22"/>
                <w:szCs w:val="22"/>
              </w:rPr>
            </w:pPr>
            <w:r w:rsidRPr="3862BEEC">
              <w:rPr>
                <w:b/>
                <w:bCs/>
                <w:sz w:val="22"/>
                <w:szCs w:val="22"/>
              </w:rPr>
              <w:t>Processing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4C30E904" w:rsidRPr="000476FF" w:rsidP="00CE453E" w14:paraId="7DA5DAD9" w14:textId="58333471">
            <w:pPr>
              <w:ind w:left="360" w:hanging="360"/>
              <w:jc w:val="right"/>
              <w:rPr>
                <w:sz w:val="18"/>
                <w:szCs w:val="18"/>
              </w:rPr>
            </w:pPr>
            <w:r w:rsidRPr="000476FF">
              <w:rPr>
                <w:sz w:val="18"/>
                <w:szCs w:val="18"/>
              </w:rPr>
              <w:t>177</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421742B" w14:textId="07D67313">
            <w:pPr>
              <w:jc w:val="right"/>
              <w:rPr>
                <w:sz w:val="18"/>
                <w:szCs w:val="18"/>
              </w:rPr>
            </w:pPr>
            <w:r w:rsidRPr="000476FF">
              <w:rPr>
                <w:sz w:val="18"/>
                <w:szCs w:val="18"/>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6EF281E" w14:textId="027F89F7">
            <w:pPr>
              <w:jc w:val="right"/>
              <w:rPr>
                <w:sz w:val="18"/>
                <w:szCs w:val="18"/>
              </w:rPr>
            </w:pPr>
            <w:r w:rsidRPr="000476FF">
              <w:rPr>
                <w:sz w:val="18"/>
                <w:szCs w:val="18"/>
              </w:rPr>
              <w:t>1</w:t>
            </w:r>
            <w:r w:rsidRPr="000476FF" w:rsidR="7FDFCD3A">
              <w:rPr>
                <w:sz w:val="18"/>
                <w:szCs w:val="18"/>
              </w:rPr>
              <w:t>77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D81BEC4" w14:textId="50347F85">
            <w:pPr>
              <w:jc w:val="right"/>
              <w:rPr>
                <w:sz w:val="18"/>
                <w:szCs w:val="18"/>
              </w:rPr>
            </w:pPr>
            <w:r w:rsidRPr="000476FF">
              <w:rPr>
                <w:sz w:val="18"/>
                <w:szCs w:val="18"/>
              </w:rPr>
              <w:t>.9</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B00CC7B" w:rsidRPr="000476FF" w:rsidP="00CE453E" w14:paraId="75FBACF3" w14:textId="340D7DB5">
            <w:pPr>
              <w:jc w:val="right"/>
              <w:rPr>
                <w:sz w:val="18"/>
                <w:szCs w:val="18"/>
              </w:rPr>
            </w:pPr>
            <w:r w:rsidRPr="000476FF">
              <w:rPr>
                <w:sz w:val="18"/>
                <w:szCs w:val="18"/>
              </w:rPr>
              <w:t>159.3</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295B02B7" w14:textId="54F2B3CA">
            <w:pPr>
              <w:jc w:val="right"/>
              <w:rPr>
                <w:sz w:val="18"/>
                <w:szCs w:val="18"/>
              </w:rPr>
            </w:pPr>
            <w:r w:rsidRPr="000476FF">
              <w:rPr>
                <w:sz w:val="18"/>
                <w:szCs w:val="18"/>
              </w:rPr>
              <w:t>$51.7</w:t>
            </w:r>
            <w:r w:rsidRPr="000476FF" w:rsidR="49183010">
              <w:rPr>
                <w:sz w:val="18"/>
                <w:szCs w:val="18"/>
              </w:rPr>
              <w:t>7</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5294ED9" w14:textId="0A601FBA">
            <w:pPr>
              <w:jc w:val="right"/>
              <w:rPr>
                <w:sz w:val="18"/>
                <w:szCs w:val="18"/>
              </w:rPr>
            </w:pPr>
            <w:r w:rsidRPr="000476FF">
              <w:rPr>
                <w:sz w:val="18"/>
                <w:szCs w:val="18"/>
              </w:rPr>
              <w:t>$</w:t>
            </w:r>
            <w:r w:rsidRPr="000476FF" w:rsidR="46847BF8">
              <w:rPr>
                <w:sz w:val="18"/>
                <w:szCs w:val="18"/>
              </w:rPr>
              <w:t>8,246.96</w:t>
            </w:r>
          </w:p>
        </w:tc>
      </w:tr>
      <w:tr w14:paraId="545FA3BA" w14:textId="77777777" w:rsidTr="000476FF">
        <w:tblPrEx>
          <w:tblW w:w="0" w:type="auto"/>
          <w:tblLayout w:type="fixed"/>
          <w:tblLook w:val="04A0"/>
        </w:tblPrEx>
        <w:trPr>
          <w:trHeight w:val="510"/>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3862BEEC" w14:paraId="2723A035" w14:textId="3D3522D4">
            <w:pPr>
              <w:rPr>
                <w:sz w:val="22"/>
                <w:szCs w:val="22"/>
              </w:rPr>
            </w:pPr>
            <w:r w:rsidRPr="3862BEEC">
              <w:rPr>
                <w:sz w:val="22"/>
                <w:szCs w:val="22"/>
              </w:rPr>
              <w:t>ETA Form 790B, Including Attachments,</w:t>
            </w:r>
          </w:p>
          <w:p w:rsidR="3862BEEC" w14:paraId="547310BD" w14:textId="41D27CE7">
            <w:pPr>
              <w:rPr>
                <w:sz w:val="22"/>
                <w:szCs w:val="22"/>
              </w:rPr>
            </w:pPr>
            <w:r w:rsidRPr="3862BEEC">
              <w:rPr>
                <w:sz w:val="22"/>
                <w:szCs w:val="22"/>
              </w:rPr>
              <w:t>SWA Employee</w:t>
            </w:r>
          </w:p>
          <w:p w:rsidR="3862BEEC" w14:paraId="78DAF84C" w14:textId="30E69AFE">
            <w:pPr>
              <w:rPr>
                <w:b/>
                <w:bCs/>
                <w:sz w:val="22"/>
                <w:szCs w:val="22"/>
              </w:rPr>
            </w:pPr>
            <w:r w:rsidRPr="3862BEEC">
              <w:rPr>
                <w:b/>
                <w:bCs/>
                <w:sz w:val="22"/>
                <w:szCs w:val="22"/>
              </w:rPr>
              <w:t>Record Keeping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1B5B3D0" w:rsidRPr="000476FF" w:rsidP="00CE453E" w14:paraId="2E5AAA22" w14:textId="6BD5AEDD">
            <w:pPr>
              <w:jc w:val="right"/>
              <w:rPr>
                <w:sz w:val="18"/>
                <w:szCs w:val="18"/>
              </w:rPr>
            </w:pPr>
            <w:r w:rsidRPr="000476FF">
              <w:rPr>
                <w:sz w:val="18"/>
                <w:szCs w:val="18"/>
              </w:rPr>
              <w:t>177</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B44450B" w14:textId="41320A23">
            <w:pPr>
              <w:jc w:val="right"/>
              <w:rPr>
                <w:sz w:val="18"/>
                <w:szCs w:val="18"/>
              </w:rPr>
            </w:pPr>
            <w:r w:rsidRPr="000476FF">
              <w:rPr>
                <w:sz w:val="18"/>
                <w:szCs w:val="18"/>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2A63526" w:rsidRPr="000476FF" w:rsidP="00CE453E" w14:paraId="69CD8C68" w14:textId="0DCD15B6">
            <w:pPr>
              <w:jc w:val="right"/>
              <w:rPr>
                <w:sz w:val="18"/>
                <w:szCs w:val="18"/>
              </w:rPr>
            </w:pPr>
            <w:r w:rsidRPr="000476FF">
              <w:rPr>
                <w:sz w:val="18"/>
                <w:szCs w:val="18"/>
              </w:rPr>
              <w:t>177</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6885BC78" w14:textId="11EE3A50">
            <w:pPr>
              <w:jc w:val="right"/>
              <w:rPr>
                <w:sz w:val="18"/>
                <w:szCs w:val="18"/>
              </w:rPr>
            </w:pPr>
            <w:r w:rsidRPr="000476FF">
              <w:rPr>
                <w:sz w:val="18"/>
                <w:szCs w:val="18"/>
              </w:rPr>
              <w:t>.1</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12C4CA6" w:rsidRPr="000476FF" w:rsidP="00CE453E" w14:paraId="5476C167" w14:textId="0D3C3DF3">
            <w:pPr>
              <w:jc w:val="right"/>
              <w:rPr>
                <w:sz w:val="18"/>
                <w:szCs w:val="18"/>
              </w:rPr>
            </w:pPr>
            <w:r w:rsidRPr="000476FF">
              <w:rPr>
                <w:sz w:val="18"/>
                <w:szCs w:val="18"/>
              </w:rPr>
              <w:t>17.7</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6976977" w14:textId="01615DF4">
            <w:pPr>
              <w:jc w:val="right"/>
              <w:rPr>
                <w:sz w:val="18"/>
                <w:szCs w:val="18"/>
              </w:rPr>
            </w:pPr>
            <w:r w:rsidRPr="000476FF">
              <w:rPr>
                <w:sz w:val="18"/>
                <w:szCs w:val="18"/>
              </w:rPr>
              <w:t>$51.77</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1E1085ED" w14:textId="35EA81D8">
            <w:pPr>
              <w:jc w:val="right"/>
              <w:rPr>
                <w:sz w:val="18"/>
                <w:szCs w:val="18"/>
              </w:rPr>
            </w:pPr>
            <w:r w:rsidRPr="000476FF">
              <w:rPr>
                <w:sz w:val="18"/>
                <w:szCs w:val="18"/>
              </w:rPr>
              <w:t>$9</w:t>
            </w:r>
            <w:r w:rsidRPr="000476FF" w:rsidR="59D68961">
              <w:rPr>
                <w:sz w:val="18"/>
                <w:szCs w:val="18"/>
              </w:rPr>
              <w:t>16.33</w:t>
            </w:r>
          </w:p>
        </w:tc>
      </w:tr>
      <w:tr w14:paraId="0945F218" w14:textId="77777777" w:rsidTr="000476FF">
        <w:tblPrEx>
          <w:tblW w:w="0" w:type="auto"/>
          <w:tblLayout w:type="fixed"/>
          <w:tblLook w:val="04A0"/>
        </w:tblPrEx>
        <w:trPr>
          <w:trHeight w:val="705"/>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14:paraId="748D0733" w14:textId="2FFA9921">
            <w:pPr>
              <w:rPr>
                <w:b/>
                <w:bCs/>
                <w:sz w:val="20"/>
                <w:szCs w:val="20"/>
              </w:rPr>
            </w:pPr>
            <w:r w:rsidRPr="000476FF">
              <w:rPr>
                <w:b/>
                <w:bCs/>
                <w:sz w:val="20"/>
                <w:szCs w:val="20"/>
              </w:rPr>
              <w:t>Unduplicated Totals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55F7A6F" w:rsidRPr="000476FF" w:rsidP="00CE453E" w14:paraId="74A57128" w14:textId="58D9DB37">
            <w:pPr>
              <w:jc w:val="right"/>
              <w:rPr>
                <w:sz w:val="18"/>
                <w:szCs w:val="18"/>
              </w:rPr>
            </w:pPr>
            <w:r w:rsidRPr="000476FF">
              <w:rPr>
                <w:b/>
                <w:bCs/>
                <w:sz w:val="18"/>
                <w:szCs w:val="18"/>
              </w:rPr>
              <w:t>1,062</w:t>
            </w:r>
          </w:p>
        </w:tc>
        <w:tc>
          <w:tcPr>
            <w:tcW w:w="11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741D159D" w14:textId="4A2DC102">
            <w:pPr>
              <w:jc w:val="right"/>
              <w:rPr>
                <w:b/>
                <w:bCs/>
                <w:sz w:val="18"/>
                <w:szCs w:val="18"/>
              </w:rPr>
            </w:pPr>
            <w:r w:rsidRPr="000476FF">
              <w:rPr>
                <w:b/>
                <w:bCs/>
                <w:sz w:val="18"/>
                <w:szCs w:val="18"/>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774D7803" w:rsidRPr="000476FF" w:rsidP="00CE453E" w14:paraId="0656B958" w14:textId="14DB685F">
            <w:pPr>
              <w:jc w:val="right"/>
              <w:rPr>
                <w:sz w:val="18"/>
                <w:szCs w:val="18"/>
              </w:rPr>
            </w:pPr>
            <w:r w:rsidRPr="000476FF">
              <w:rPr>
                <w:b/>
                <w:bCs/>
                <w:sz w:val="18"/>
                <w:szCs w:val="18"/>
              </w:rPr>
              <w:t>1,062</w:t>
            </w:r>
          </w:p>
        </w:tc>
        <w:tc>
          <w:tcPr>
            <w:tcW w:w="10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0F5DC083" w14:textId="3F6B6E88">
            <w:pPr>
              <w:jc w:val="right"/>
              <w:rPr>
                <w:b/>
                <w:bCs/>
                <w:sz w:val="18"/>
                <w:szCs w:val="18"/>
              </w:rPr>
            </w:pPr>
            <w:r w:rsidRPr="000476FF">
              <w:rPr>
                <w:b/>
                <w:bCs/>
                <w:sz w:val="18"/>
                <w:szCs w:val="18"/>
              </w:rPr>
              <w:t>varies</w:t>
            </w: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2C631C7D" w14:textId="38317673">
            <w:pPr>
              <w:jc w:val="right"/>
              <w:rPr>
                <w:b/>
                <w:bCs/>
                <w:sz w:val="18"/>
                <w:szCs w:val="18"/>
              </w:rPr>
            </w:pPr>
            <w:r w:rsidRPr="000476FF">
              <w:rPr>
                <w:b/>
                <w:bCs/>
                <w:sz w:val="18"/>
                <w:szCs w:val="18"/>
              </w:rPr>
              <w:t>619.50</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5C206467" w14:textId="1DC09FD3">
            <w:pPr>
              <w:jc w:val="right"/>
              <w:rPr>
                <w:b/>
                <w:bCs/>
                <w:sz w:val="18"/>
                <w:szCs w:val="18"/>
              </w:rPr>
            </w:pPr>
            <w:r w:rsidRPr="000476FF">
              <w:rPr>
                <w:b/>
                <w:bCs/>
                <w:sz w:val="18"/>
                <w:szCs w:val="18"/>
              </w:rPr>
              <w:t>varies</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862BEEC" w:rsidRPr="000476FF" w:rsidP="00CE453E" w14:paraId="37505C47" w14:textId="2494C320">
            <w:pPr>
              <w:jc w:val="right"/>
              <w:rPr>
                <w:b/>
                <w:bCs/>
                <w:sz w:val="18"/>
                <w:szCs w:val="18"/>
              </w:rPr>
            </w:pPr>
            <w:r w:rsidRPr="000476FF">
              <w:rPr>
                <w:b/>
                <w:bCs/>
                <w:sz w:val="18"/>
                <w:szCs w:val="18"/>
              </w:rPr>
              <w:t>$3</w:t>
            </w:r>
            <w:r w:rsidRPr="000476FF" w:rsidR="5A81AF6D">
              <w:rPr>
                <w:b/>
                <w:bCs/>
                <w:sz w:val="18"/>
                <w:szCs w:val="18"/>
              </w:rPr>
              <w:t>4,241.54</w:t>
            </w:r>
          </w:p>
        </w:tc>
      </w:tr>
    </w:tbl>
    <w:p w:rsidR="3862BEEC" w:rsidP="3862BEEC" w14:paraId="7EA65F20" w14:textId="37D1C3E8"/>
    <w:p w:rsidR="007C2503" w:rsidP="3862BEEC" w14:paraId="32AEE584" w14:textId="77777777"/>
    <w:p w:rsidR="007C2503" w:rsidP="3862BEEC" w14:paraId="0FAAC968" w14:textId="77777777"/>
    <w:p w:rsidR="0176A826" w:rsidP="3862BEEC" w14:paraId="2EA3814D" w14:textId="52F3C2E7">
      <w:pPr>
        <w:rPr>
          <w:b/>
          <w:bCs/>
        </w:rPr>
      </w:pPr>
      <w:r w:rsidRPr="3862BEEC">
        <w:rPr>
          <w:b/>
          <w:bCs/>
        </w:rPr>
        <w:t xml:space="preserve">II. Burden Related to </w:t>
      </w:r>
      <w:r w:rsidR="00C4374C">
        <w:rPr>
          <w:b/>
          <w:bCs/>
        </w:rPr>
        <w:t xml:space="preserve">OMB number </w:t>
      </w:r>
      <w:r w:rsidR="00C0087A">
        <w:rPr>
          <w:b/>
          <w:bCs/>
        </w:rPr>
        <w:t>1205-0466</w:t>
      </w:r>
      <w:r w:rsidRPr="3862BEEC">
        <w:rPr>
          <w:b/>
          <w:bCs/>
        </w:rPr>
        <w:t xml:space="preserve"> </w:t>
      </w:r>
      <w:r w:rsidR="004F113B">
        <w:rPr>
          <w:b/>
          <w:bCs/>
        </w:rPr>
        <w:t>under the H-2A Program</w:t>
      </w:r>
    </w:p>
    <w:p w:rsidR="3862BEEC" w:rsidP="3862BEEC" w14:paraId="4EB93E68" w14:textId="36CD0E0B">
      <w:pPr>
        <w:rPr>
          <w:b/>
          <w:bCs/>
        </w:rPr>
      </w:pPr>
    </w:p>
    <w:p w:rsidR="000254DA" w:rsidRPr="0093752B" w:rsidP="000254DA" w14:paraId="13DF11B3" w14:textId="6348EDC4">
      <w:pPr>
        <w:autoSpaceDE w:val="0"/>
        <w:autoSpaceDN w:val="0"/>
        <w:adjustRightInd w:val="0"/>
        <w:rPr>
          <w:b/>
        </w:rPr>
      </w:pPr>
      <w:r w:rsidRPr="0093752B">
        <w:rPr>
          <w:b/>
        </w:rPr>
        <w:t>A.  Collection of Information from Employers</w:t>
      </w:r>
    </w:p>
    <w:p w:rsidR="000254DA" w:rsidRPr="0093752B" w:rsidP="000254DA" w14:paraId="6FB6AC88" w14:textId="77777777">
      <w:pPr>
        <w:autoSpaceDE w:val="0"/>
        <w:autoSpaceDN w:val="0"/>
        <w:adjustRightInd w:val="0"/>
      </w:pPr>
    </w:p>
    <w:p w:rsidR="000254DA" w:rsidRPr="0093752B" w:rsidP="000254DA" w14:paraId="4E05D990" w14:textId="099DDC8D">
      <w:pPr>
        <w:autoSpaceDE w:val="0"/>
        <w:autoSpaceDN w:val="0"/>
        <w:adjustRightInd w:val="0"/>
      </w:pPr>
      <w:r w:rsidRPr="0093752B">
        <w:t xml:space="preserve">The Department is adjusting the hourly burden estimates for this information collection due to its updated reporting estimates for the estimated </w:t>
      </w:r>
      <w:r w:rsidR="00053C23">
        <w:t xml:space="preserve">limited </w:t>
      </w:r>
      <w:r w:rsidRPr="0093752B">
        <w:t>number of respondents and the time burden hours associated with collection tools covered under OMB 1205-</w:t>
      </w:r>
      <w:r w:rsidR="00053C23">
        <w:t>0466</w:t>
      </w:r>
      <w:r w:rsidRPr="0093752B">
        <w:t xml:space="preserve">.  </w:t>
      </w:r>
    </w:p>
    <w:p w:rsidR="000254DA" w:rsidRPr="0093752B" w:rsidP="000254DA" w14:paraId="51784267" w14:textId="77777777">
      <w:pPr>
        <w:autoSpaceDE w:val="0"/>
        <w:autoSpaceDN w:val="0"/>
        <w:adjustRightInd w:val="0"/>
      </w:pPr>
    </w:p>
    <w:p w:rsidR="000254DA" w:rsidRPr="0093752B" w:rsidP="000254DA" w14:paraId="0D984223" w14:textId="4EF16F8A">
      <w:pPr>
        <w:autoSpaceDE w:val="0"/>
        <w:autoSpaceDN w:val="0"/>
        <w:adjustRightInd w:val="0"/>
      </w:pPr>
      <w:r w:rsidRPr="0093752B">
        <w:t xml:space="preserve">Based on recent program experience, the Department estimates it will receive, on average, </w:t>
      </w:r>
      <w:r w:rsidR="00E06217">
        <w:t>a total of</w:t>
      </w:r>
      <w:r w:rsidRPr="0093752B" w:rsidR="00E06217">
        <w:t xml:space="preserve"> </w:t>
      </w:r>
      <w:r w:rsidR="0099767C">
        <w:t>4,376</w:t>
      </w:r>
      <w:r w:rsidRPr="00436687">
        <w:t xml:space="preserve"> </w:t>
      </w:r>
      <w:r w:rsidRPr="0093752B">
        <w:t xml:space="preserve">Form ETA-9142A submissions and </w:t>
      </w:r>
      <w:r w:rsidR="00CE574E">
        <w:t>4,376</w:t>
      </w:r>
      <w:r w:rsidRPr="00436687" w:rsidR="00CE574E">
        <w:t xml:space="preserve"> </w:t>
      </w:r>
      <w:r w:rsidRPr="0093752B">
        <w:t xml:space="preserve">Form ETA-790/790A submissions </w:t>
      </w:r>
      <w:r w:rsidR="00AF2FF1">
        <w:t xml:space="preserve">from </w:t>
      </w:r>
      <w:r w:rsidR="00AF2FF1">
        <w:rPr>
          <w:i/>
          <w:iCs/>
        </w:rPr>
        <w:t xml:space="preserve">Kansas </w:t>
      </w:r>
      <w:r w:rsidR="00834692">
        <w:t>plaintiffs</w:t>
      </w:r>
      <w:r w:rsidR="00AF2FF1">
        <w:t xml:space="preserve"> </w:t>
      </w:r>
      <w:r w:rsidRPr="0093752B">
        <w:t>for the H-2A program</w:t>
      </w:r>
      <w:r w:rsidR="00B9453D">
        <w:t>.</w:t>
      </w:r>
      <w:r>
        <w:rPr>
          <w:vertAlign w:val="superscript"/>
        </w:rPr>
        <w:footnoteReference w:id="3"/>
      </w:r>
      <w:r w:rsidRPr="0093752B">
        <w:t xml:space="preserve"> All actions associated with the collection vary depending on nature and complexity of the employer’s job opportunity and need for temporary nonimmigrant workers, as well as the employer’s familiarity with the program. The estimated </w:t>
      </w:r>
      <w:r w:rsidRPr="0093752B">
        <w:t xml:space="preserve">reporting burden is calculated using the number of expected responses to each element and the estimated time to complete each element. Please see the Time Reporting </w:t>
      </w:r>
      <w:r w:rsidRPr="0093752B">
        <w:rPr>
          <w:b/>
          <w:bCs/>
        </w:rPr>
        <w:t xml:space="preserve">Burden </w:t>
      </w:r>
      <w:r w:rsidR="00C15567">
        <w:rPr>
          <w:b/>
          <w:bCs/>
        </w:rPr>
        <w:t>Tables below</w:t>
      </w:r>
      <w:r w:rsidRPr="0093752B" w:rsidR="00C15567">
        <w:t xml:space="preserve"> </w:t>
      </w:r>
      <w:r w:rsidRPr="0093752B">
        <w:t>for a detailed breakdown of time reporting burden estimates</w:t>
      </w:r>
      <w:r w:rsidR="0040272E">
        <w:t xml:space="preserve"> for the </w:t>
      </w:r>
      <w:r w:rsidRPr="0040272E" w:rsidR="0040272E">
        <w:rPr>
          <w:i/>
          <w:iCs/>
        </w:rPr>
        <w:t>Kansas</w:t>
      </w:r>
      <w:r w:rsidR="0040272E">
        <w:t xml:space="preserve"> plaintiffs under the H-2A program</w:t>
      </w:r>
      <w:r w:rsidRPr="0093752B">
        <w:t>.</w:t>
      </w:r>
    </w:p>
    <w:p w:rsidR="009A79EE" w:rsidP="000254DA" w14:paraId="4138A80F" w14:textId="1158C39D">
      <w:pPr>
        <w:autoSpaceDE w:val="0"/>
        <w:autoSpaceDN w:val="0"/>
        <w:adjustRightInd w:val="0"/>
      </w:pPr>
      <w:r>
        <w:t xml:space="preserve"> </w:t>
      </w:r>
    </w:p>
    <w:tbl>
      <w:tblPr>
        <w:tblW w:w="900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12"/>
        <w:gridCol w:w="952"/>
        <w:gridCol w:w="1211"/>
        <w:gridCol w:w="1125"/>
        <w:gridCol w:w="1125"/>
        <w:gridCol w:w="952"/>
        <w:gridCol w:w="866"/>
        <w:gridCol w:w="1211"/>
        <w:gridCol w:w="346"/>
      </w:tblGrid>
      <w:tr w14:paraId="1A1C2858" w14:textId="77777777" w:rsidTr="68A4767D">
        <w:tblPrEx>
          <w:tblW w:w="900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60"/>
        </w:trPr>
        <w:tc>
          <w:tcPr>
            <w:tcW w:w="9000" w:type="dxa"/>
            <w:gridSpan w:val="9"/>
            <w:tcBorders>
              <w:top w:val="single" w:sz="6" w:space="0" w:color="auto"/>
              <w:left w:val="single" w:sz="6" w:space="0" w:color="auto"/>
              <w:bottom w:val="single" w:sz="6" w:space="0" w:color="auto"/>
              <w:right w:val="single" w:sz="6" w:space="0" w:color="auto"/>
            </w:tcBorders>
            <w:shd w:val="clear" w:color="auto" w:fill="auto"/>
            <w:vAlign w:val="center"/>
            <w:hideMark/>
          </w:tcPr>
          <w:p w:rsidR="00DB4508" w:rsidRPr="00ED1EAC" w:rsidP="000476FF" w14:paraId="735835FD" w14:textId="475F0F6B">
            <w:r w:rsidRPr="000476FF">
              <w:rPr>
                <w:b/>
                <w:sz w:val="22"/>
                <w:szCs w:val="22"/>
              </w:rPr>
              <w:t xml:space="preserve">Table II: </w:t>
            </w:r>
            <w:r w:rsidRPr="000476FF">
              <w:rPr>
                <w:b/>
                <w:bCs/>
                <w:sz w:val="22"/>
                <w:szCs w:val="22"/>
              </w:rPr>
              <w:t>Burden Related to OMB number 1205-0466 under the H-2A Program</w:t>
            </w:r>
          </w:p>
        </w:tc>
      </w:tr>
      <w:tr w14:paraId="5544172F" w14:textId="77777777" w:rsidTr="000476FF">
        <w:tblPrEx>
          <w:tblW w:w="9000" w:type="dxa"/>
          <w:tblInd w:w="-8" w:type="dxa"/>
          <w:tblLayout w:type="fixed"/>
          <w:tblCellMar>
            <w:left w:w="0" w:type="dxa"/>
            <w:right w:w="0" w:type="dxa"/>
          </w:tblCellMar>
          <w:tblLook w:val="04A0"/>
        </w:tblPrEx>
        <w:trPr>
          <w:trHeight w:val="360"/>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ED1EAC" w:rsidRPr="00ED1EAC" w:rsidP="00ED1EAC" w14:paraId="45446E24" w14:textId="2766731A">
            <w:pPr>
              <w:jc w:val="center"/>
              <w:rPr>
                <w:sz w:val="20"/>
                <w:szCs w:val="20"/>
              </w:rPr>
            </w:pPr>
            <w:r w:rsidRPr="00ED1EAC">
              <w:rPr>
                <w:b/>
                <w:bCs/>
                <w:color w:val="000000" w:themeColor="text1"/>
                <w:sz w:val="18"/>
                <w:szCs w:val="18"/>
              </w:rPr>
              <w:t>Activity</w:t>
            </w:r>
          </w:p>
        </w:tc>
        <w:tc>
          <w:tcPr>
            <w:tcW w:w="990" w:type="dxa"/>
            <w:tcBorders>
              <w:top w:val="nil"/>
              <w:left w:val="nil"/>
              <w:bottom w:val="single" w:sz="6" w:space="0" w:color="auto"/>
              <w:right w:val="single" w:sz="6" w:space="0" w:color="auto"/>
            </w:tcBorders>
            <w:shd w:val="clear" w:color="auto" w:fill="auto"/>
            <w:vAlign w:val="center"/>
          </w:tcPr>
          <w:p w:rsidR="00ED1EAC" w:rsidRPr="00ED1EAC" w:rsidP="00ED1EAC" w14:paraId="6D42416D" w14:textId="205A69F7">
            <w:pPr>
              <w:jc w:val="center"/>
              <w:rPr>
                <w:sz w:val="20"/>
                <w:szCs w:val="20"/>
              </w:rPr>
            </w:pPr>
            <w:r w:rsidRPr="00ED1EAC">
              <w:rPr>
                <w:b/>
                <w:bCs/>
                <w:color w:val="000000" w:themeColor="text1"/>
                <w:sz w:val="18"/>
                <w:szCs w:val="18"/>
              </w:rPr>
              <w:t>Number of Respondents</w:t>
            </w:r>
          </w:p>
        </w:tc>
        <w:tc>
          <w:tcPr>
            <w:tcW w:w="1260" w:type="dxa"/>
            <w:tcBorders>
              <w:top w:val="nil"/>
              <w:left w:val="nil"/>
              <w:bottom w:val="single" w:sz="6" w:space="0" w:color="auto"/>
              <w:right w:val="single" w:sz="6" w:space="0" w:color="auto"/>
            </w:tcBorders>
            <w:shd w:val="clear" w:color="auto" w:fill="D9D9D9" w:themeFill="background1" w:themeFillShade="D9"/>
            <w:vAlign w:val="center"/>
          </w:tcPr>
          <w:p w:rsidR="00ED1EAC" w:rsidRPr="00ED1EAC" w:rsidP="00ED1EAC" w14:paraId="21D4F773" w14:textId="479FE114">
            <w:pPr>
              <w:jc w:val="center"/>
              <w:rPr>
                <w:sz w:val="20"/>
                <w:szCs w:val="20"/>
              </w:rPr>
            </w:pPr>
            <w:r w:rsidRPr="00ED1EAC">
              <w:rPr>
                <w:b/>
                <w:bCs/>
                <w:color w:val="000000" w:themeColor="text1"/>
                <w:sz w:val="18"/>
                <w:szCs w:val="18"/>
              </w:rPr>
              <w:t>Number of Responses per Respondent</w:t>
            </w:r>
          </w:p>
        </w:tc>
        <w:tc>
          <w:tcPr>
            <w:tcW w:w="1170" w:type="dxa"/>
            <w:tcBorders>
              <w:top w:val="nil"/>
              <w:left w:val="nil"/>
              <w:bottom w:val="single" w:sz="6" w:space="0" w:color="auto"/>
              <w:right w:val="single" w:sz="6" w:space="0" w:color="auto"/>
            </w:tcBorders>
            <w:shd w:val="clear" w:color="auto" w:fill="auto"/>
            <w:vAlign w:val="center"/>
          </w:tcPr>
          <w:p w:rsidR="00ED1EAC" w:rsidRPr="00ED1EAC" w:rsidP="00ED1EAC" w14:paraId="15E0C306" w14:textId="77777777">
            <w:pPr>
              <w:jc w:val="center"/>
              <w:rPr>
                <w:b/>
                <w:bCs/>
                <w:color w:val="000000" w:themeColor="text1"/>
                <w:sz w:val="18"/>
                <w:szCs w:val="18"/>
              </w:rPr>
            </w:pPr>
            <w:r w:rsidRPr="00ED1EAC">
              <w:rPr>
                <w:b/>
                <w:bCs/>
                <w:color w:val="000000" w:themeColor="text1"/>
                <w:sz w:val="18"/>
                <w:szCs w:val="18"/>
              </w:rPr>
              <w:t>Total Number of</w:t>
            </w:r>
          </w:p>
          <w:p w:rsidR="00ED1EAC" w:rsidRPr="00ED1EAC" w:rsidP="00ED1EAC" w14:paraId="0225AC35" w14:textId="72654DD0">
            <w:pPr>
              <w:jc w:val="center"/>
              <w:rPr>
                <w:sz w:val="20"/>
                <w:szCs w:val="20"/>
              </w:rPr>
            </w:pPr>
            <w:r w:rsidRPr="00ED1EAC">
              <w:rPr>
                <w:b/>
                <w:bCs/>
                <w:color w:val="000000" w:themeColor="text1"/>
                <w:sz w:val="18"/>
                <w:szCs w:val="18"/>
              </w:rPr>
              <w:t>Responses</w:t>
            </w:r>
          </w:p>
        </w:tc>
        <w:tc>
          <w:tcPr>
            <w:tcW w:w="1170" w:type="dxa"/>
            <w:tcBorders>
              <w:top w:val="nil"/>
              <w:left w:val="nil"/>
              <w:bottom w:val="single" w:sz="6" w:space="0" w:color="auto"/>
              <w:right w:val="single" w:sz="6" w:space="0" w:color="auto"/>
            </w:tcBorders>
            <w:shd w:val="clear" w:color="auto" w:fill="D9D9D9" w:themeFill="background1" w:themeFillShade="D9"/>
            <w:vAlign w:val="center"/>
          </w:tcPr>
          <w:p w:rsidR="00ED1EAC" w:rsidRPr="00ED1EAC" w:rsidP="00ED1EAC" w14:paraId="018483DD" w14:textId="77777777">
            <w:pPr>
              <w:jc w:val="center"/>
              <w:rPr>
                <w:b/>
                <w:bCs/>
                <w:color w:val="000000" w:themeColor="text1"/>
                <w:sz w:val="18"/>
                <w:szCs w:val="18"/>
              </w:rPr>
            </w:pPr>
            <w:r w:rsidRPr="00ED1EAC">
              <w:rPr>
                <w:b/>
                <w:bCs/>
                <w:color w:val="000000" w:themeColor="text1"/>
                <w:sz w:val="18"/>
                <w:szCs w:val="18"/>
              </w:rPr>
              <w:t>Time Per Response</w:t>
            </w:r>
          </w:p>
          <w:p w:rsidR="00ED1EAC" w:rsidRPr="00ED1EAC" w:rsidP="00ED1EAC" w14:paraId="7A4C0DEB" w14:textId="5F71AD39">
            <w:pPr>
              <w:jc w:val="center"/>
              <w:rPr>
                <w:sz w:val="20"/>
                <w:szCs w:val="20"/>
              </w:rPr>
            </w:pPr>
            <w:r w:rsidRPr="00ED1EAC">
              <w:rPr>
                <w:b/>
                <w:bCs/>
                <w:color w:val="000000" w:themeColor="text1"/>
                <w:sz w:val="18"/>
                <w:szCs w:val="18"/>
              </w:rPr>
              <w:t>(in hours)</w:t>
            </w:r>
          </w:p>
        </w:tc>
        <w:tc>
          <w:tcPr>
            <w:tcW w:w="990" w:type="dxa"/>
            <w:tcBorders>
              <w:top w:val="nil"/>
              <w:left w:val="nil"/>
              <w:bottom w:val="single" w:sz="6" w:space="0" w:color="auto"/>
              <w:right w:val="single" w:sz="6" w:space="0" w:color="auto"/>
            </w:tcBorders>
            <w:shd w:val="clear" w:color="auto" w:fill="auto"/>
            <w:vAlign w:val="center"/>
          </w:tcPr>
          <w:p w:rsidR="00ED1EAC" w:rsidRPr="00ED1EAC" w:rsidP="00ED1EAC" w14:paraId="52BEF811" w14:textId="270F3ADA">
            <w:pPr>
              <w:jc w:val="center"/>
              <w:rPr>
                <w:sz w:val="20"/>
                <w:szCs w:val="20"/>
              </w:rPr>
            </w:pPr>
            <w:r w:rsidRPr="00ED1EAC">
              <w:rPr>
                <w:b/>
                <w:bCs/>
                <w:color w:val="000000" w:themeColor="text1"/>
                <w:sz w:val="18"/>
                <w:szCs w:val="18"/>
              </w:rPr>
              <w:t>Total Burden Hours</w:t>
            </w:r>
          </w:p>
        </w:tc>
        <w:tc>
          <w:tcPr>
            <w:tcW w:w="900" w:type="dxa"/>
            <w:tcBorders>
              <w:top w:val="nil"/>
              <w:left w:val="nil"/>
              <w:bottom w:val="single" w:sz="6" w:space="0" w:color="auto"/>
              <w:right w:val="single" w:sz="6" w:space="0" w:color="auto"/>
            </w:tcBorders>
            <w:shd w:val="clear" w:color="auto" w:fill="D9D9D9" w:themeFill="background1" w:themeFillShade="D9"/>
            <w:vAlign w:val="center"/>
          </w:tcPr>
          <w:p w:rsidR="00ED1EAC" w:rsidRPr="00ED1EAC" w:rsidP="00ED1EAC" w14:paraId="3E92D7E7" w14:textId="77777777">
            <w:pPr>
              <w:ind w:right="-90"/>
              <w:jc w:val="center"/>
              <w:rPr>
                <w:b/>
                <w:bCs/>
                <w:color w:val="000000" w:themeColor="text1"/>
                <w:sz w:val="18"/>
                <w:szCs w:val="18"/>
              </w:rPr>
            </w:pPr>
            <w:r w:rsidRPr="00ED1EAC">
              <w:rPr>
                <w:b/>
                <w:bCs/>
                <w:color w:val="000000" w:themeColor="text1"/>
                <w:sz w:val="18"/>
                <w:szCs w:val="18"/>
              </w:rPr>
              <w:t>Hourly</w:t>
            </w:r>
          </w:p>
          <w:p w:rsidR="00ED1EAC" w:rsidRPr="00ED1EAC" w:rsidP="00ED1EAC" w14:paraId="033F9326" w14:textId="55378809">
            <w:pPr>
              <w:jc w:val="center"/>
              <w:rPr>
                <w:sz w:val="20"/>
                <w:szCs w:val="20"/>
              </w:rPr>
            </w:pPr>
            <w:r w:rsidRPr="00ED1EAC">
              <w:rPr>
                <w:b/>
                <w:bCs/>
                <w:color w:val="000000" w:themeColor="text1"/>
                <w:sz w:val="18"/>
                <w:szCs w:val="18"/>
              </w:rPr>
              <w:t>Wage Rate*</w:t>
            </w:r>
          </w:p>
        </w:tc>
        <w:tc>
          <w:tcPr>
            <w:tcW w:w="1260" w:type="dxa"/>
            <w:gridSpan w:val="2"/>
            <w:tcBorders>
              <w:top w:val="nil"/>
              <w:left w:val="nil"/>
              <w:bottom w:val="single" w:sz="6" w:space="0" w:color="auto"/>
              <w:right w:val="single" w:sz="6" w:space="0" w:color="auto"/>
            </w:tcBorders>
            <w:shd w:val="clear" w:color="auto" w:fill="auto"/>
            <w:vAlign w:val="center"/>
          </w:tcPr>
          <w:p w:rsidR="00ED1EAC" w:rsidRPr="00ED1EAC" w:rsidP="00ED1EAC" w14:paraId="38FCCCA8" w14:textId="4E6A98B6">
            <w:pPr>
              <w:jc w:val="center"/>
              <w:rPr>
                <w:sz w:val="20"/>
                <w:szCs w:val="20"/>
              </w:rPr>
            </w:pPr>
            <w:r w:rsidRPr="00ED1EAC">
              <w:rPr>
                <w:b/>
                <w:bCs/>
                <w:color w:val="000000" w:themeColor="text1"/>
                <w:sz w:val="18"/>
                <w:szCs w:val="18"/>
              </w:rPr>
              <w:t>Total Cost Burden</w:t>
            </w:r>
          </w:p>
        </w:tc>
      </w:tr>
      <w:tr w14:paraId="3169AA00" w14:textId="77777777" w:rsidTr="000476FF">
        <w:tblPrEx>
          <w:tblW w:w="9000" w:type="dxa"/>
          <w:tblInd w:w="-8" w:type="dxa"/>
          <w:tblLayout w:type="fixed"/>
          <w:tblCellMar>
            <w:left w:w="0" w:type="dxa"/>
            <w:right w:w="0" w:type="dxa"/>
          </w:tblCellMar>
          <w:tblLook w:val="04A0"/>
        </w:tblPrEx>
        <w:trPr>
          <w:trHeight w:val="360"/>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DB4508" w:rsidRPr="00ED1EAC" w:rsidP="00DB4508" w14:paraId="275D7803" w14:textId="752B97E9">
            <w:pPr>
              <w:rPr>
                <w:sz w:val="20"/>
                <w:szCs w:val="20"/>
              </w:rPr>
            </w:pPr>
            <w:r w:rsidRPr="00ED1EAC">
              <w:rPr>
                <w:sz w:val="20"/>
                <w:szCs w:val="20"/>
              </w:rPr>
              <w:t>A. Agents and recruiters </w:t>
            </w:r>
          </w:p>
        </w:tc>
        <w:tc>
          <w:tcPr>
            <w:tcW w:w="990" w:type="dxa"/>
            <w:tcBorders>
              <w:top w:val="nil"/>
              <w:left w:val="nil"/>
              <w:bottom w:val="single" w:sz="6" w:space="0" w:color="auto"/>
              <w:right w:val="single" w:sz="6" w:space="0" w:color="auto"/>
            </w:tcBorders>
            <w:shd w:val="clear" w:color="auto" w:fill="auto"/>
            <w:vAlign w:val="center"/>
          </w:tcPr>
          <w:p w:rsidR="00DB4508" w:rsidRPr="00ED1EAC" w:rsidP="00DB4508" w14:paraId="47D1D352" w14:textId="28418A94">
            <w:pPr>
              <w:rPr>
                <w:sz w:val="20"/>
                <w:szCs w:val="20"/>
              </w:rPr>
            </w:pPr>
            <w:r w:rsidRPr="00ED1EAC">
              <w:rPr>
                <w:sz w:val="20"/>
                <w:szCs w:val="20"/>
              </w:rPr>
              <w:t>3,</w:t>
            </w:r>
            <w:r w:rsidRPr="00ED1EAC" w:rsidR="00FF6587">
              <w:rPr>
                <w:sz w:val="20"/>
                <w:szCs w:val="20"/>
              </w:rPr>
              <w:t>005</w:t>
            </w:r>
            <w:r w:rsidRPr="00ED1EAC">
              <w:rPr>
                <w:sz w:val="20"/>
                <w:szCs w:val="20"/>
              </w:rPr>
              <w:t> </w:t>
            </w:r>
          </w:p>
        </w:tc>
        <w:tc>
          <w:tcPr>
            <w:tcW w:w="1260" w:type="dxa"/>
            <w:tcBorders>
              <w:top w:val="nil"/>
              <w:left w:val="nil"/>
              <w:bottom w:val="single" w:sz="6" w:space="0" w:color="auto"/>
              <w:right w:val="single" w:sz="6" w:space="0" w:color="auto"/>
            </w:tcBorders>
            <w:shd w:val="clear" w:color="auto" w:fill="D9D9D9" w:themeFill="background1" w:themeFillShade="D9"/>
            <w:vAlign w:val="center"/>
          </w:tcPr>
          <w:p w:rsidR="00DB4508" w:rsidRPr="00ED1EAC" w:rsidP="00DB4508" w14:paraId="57A4CE86" w14:textId="593FE40B">
            <w:pPr>
              <w:rPr>
                <w:sz w:val="20"/>
                <w:szCs w:val="20"/>
              </w:rPr>
            </w:pPr>
            <w:r w:rsidRPr="00ED1EAC">
              <w:rPr>
                <w:sz w:val="20"/>
                <w:szCs w:val="20"/>
              </w:rPr>
              <w:t> </w:t>
            </w:r>
            <w:r w:rsidRPr="00ED1EAC" w:rsidR="00F44139">
              <w:rPr>
                <w:sz w:val="20"/>
                <w:szCs w:val="20"/>
              </w:rPr>
              <w:t>1</w:t>
            </w:r>
          </w:p>
        </w:tc>
        <w:tc>
          <w:tcPr>
            <w:tcW w:w="1170" w:type="dxa"/>
            <w:tcBorders>
              <w:top w:val="nil"/>
              <w:left w:val="nil"/>
              <w:bottom w:val="single" w:sz="6" w:space="0" w:color="auto"/>
              <w:right w:val="single" w:sz="6" w:space="0" w:color="auto"/>
            </w:tcBorders>
            <w:shd w:val="clear" w:color="auto" w:fill="auto"/>
            <w:vAlign w:val="center"/>
          </w:tcPr>
          <w:p w:rsidR="00DB4508" w:rsidRPr="00ED1EAC" w:rsidP="00DB4508" w14:paraId="6893CD6F" w14:textId="29A43EA9">
            <w:pPr>
              <w:rPr>
                <w:sz w:val="20"/>
                <w:szCs w:val="20"/>
              </w:rPr>
            </w:pPr>
            <w:r w:rsidRPr="00ED1EAC">
              <w:rPr>
                <w:sz w:val="20"/>
                <w:szCs w:val="20"/>
              </w:rPr>
              <w:t>3,005 </w:t>
            </w:r>
          </w:p>
        </w:tc>
        <w:tc>
          <w:tcPr>
            <w:tcW w:w="1170" w:type="dxa"/>
            <w:tcBorders>
              <w:top w:val="nil"/>
              <w:left w:val="nil"/>
              <w:bottom w:val="single" w:sz="6" w:space="0" w:color="auto"/>
              <w:right w:val="single" w:sz="6" w:space="0" w:color="auto"/>
            </w:tcBorders>
            <w:shd w:val="clear" w:color="auto" w:fill="D9D9D9" w:themeFill="background1" w:themeFillShade="D9"/>
            <w:vAlign w:val="center"/>
          </w:tcPr>
          <w:p w:rsidR="00DB4508" w:rsidRPr="00ED1EAC" w:rsidP="00DB4508" w14:paraId="093D049A" w14:textId="1922C55C">
            <w:pPr>
              <w:rPr>
                <w:sz w:val="20"/>
                <w:szCs w:val="20"/>
              </w:rPr>
            </w:pPr>
            <w:r w:rsidRPr="00ED1EAC">
              <w:rPr>
                <w:sz w:val="20"/>
                <w:szCs w:val="20"/>
              </w:rPr>
              <w:t> </w:t>
            </w:r>
            <w:r w:rsidRPr="00ED1EAC" w:rsidR="009A4310">
              <w:rPr>
                <w:sz w:val="20"/>
                <w:szCs w:val="20"/>
              </w:rPr>
              <w:t>.42</w:t>
            </w:r>
          </w:p>
        </w:tc>
        <w:tc>
          <w:tcPr>
            <w:tcW w:w="990" w:type="dxa"/>
            <w:tcBorders>
              <w:top w:val="nil"/>
              <w:left w:val="nil"/>
              <w:bottom w:val="single" w:sz="6" w:space="0" w:color="auto"/>
              <w:right w:val="single" w:sz="6" w:space="0" w:color="auto"/>
            </w:tcBorders>
            <w:shd w:val="clear" w:color="auto" w:fill="auto"/>
            <w:vAlign w:val="center"/>
          </w:tcPr>
          <w:p w:rsidR="00DB4508" w:rsidRPr="00ED1EAC" w:rsidP="00DB4508" w14:paraId="04E6434B" w14:textId="2022076A">
            <w:pPr>
              <w:rPr>
                <w:sz w:val="20"/>
                <w:szCs w:val="20"/>
              </w:rPr>
            </w:pPr>
            <w:r w:rsidRPr="00ED1EAC">
              <w:rPr>
                <w:sz w:val="20"/>
                <w:szCs w:val="20"/>
              </w:rPr>
              <w:t>1</w:t>
            </w:r>
            <w:r w:rsidRPr="00ED1EAC" w:rsidR="0056037E">
              <w:rPr>
                <w:sz w:val="20"/>
                <w:szCs w:val="20"/>
              </w:rPr>
              <w:t>,</w:t>
            </w:r>
            <w:r w:rsidRPr="00ED1EAC">
              <w:rPr>
                <w:sz w:val="20"/>
                <w:szCs w:val="20"/>
              </w:rPr>
              <w:t>262</w:t>
            </w:r>
            <w:r w:rsidRPr="00ED1EAC">
              <w:rPr>
                <w:sz w:val="20"/>
                <w:szCs w:val="20"/>
              </w:rPr>
              <w:t> </w:t>
            </w:r>
          </w:p>
        </w:tc>
        <w:tc>
          <w:tcPr>
            <w:tcW w:w="900" w:type="dxa"/>
            <w:tcBorders>
              <w:top w:val="nil"/>
              <w:left w:val="nil"/>
              <w:bottom w:val="single" w:sz="6" w:space="0" w:color="auto"/>
              <w:right w:val="single" w:sz="6" w:space="0" w:color="auto"/>
            </w:tcBorders>
            <w:shd w:val="clear" w:color="auto" w:fill="D9D9D9" w:themeFill="background1" w:themeFillShade="D9"/>
            <w:vAlign w:val="center"/>
          </w:tcPr>
          <w:p w:rsidR="00DB4508" w:rsidRPr="00ED1EAC" w:rsidP="00DB4508" w14:paraId="10B04255" w14:textId="6D28AA93">
            <w:pPr>
              <w:rPr>
                <w:sz w:val="18"/>
                <w:szCs w:val="18"/>
              </w:rPr>
            </w:pPr>
            <w:r w:rsidRPr="00ED1EAC">
              <w:rPr>
                <w:sz w:val="18"/>
                <w:szCs w:val="18"/>
              </w:rPr>
              <w:t> </w:t>
            </w:r>
            <w:r w:rsidR="00AF0D7E">
              <w:rPr>
                <w:sz w:val="18"/>
                <w:szCs w:val="18"/>
              </w:rPr>
              <w:t>$</w:t>
            </w:r>
            <w:r w:rsidRPr="00ED1EAC" w:rsidR="00575F5A">
              <w:rPr>
                <w:sz w:val="18"/>
                <w:szCs w:val="18"/>
              </w:rPr>
              <w:t>83.59</w:t>
            </w:r>
          </w:p>
        </w:tc>
        <w:tc>
          <w:tcPr>
            <w:tcW w:w="1260" w:type="dxa"/>
            <w:gridSpan w:val="2"/>
            <w:tcBorders>
              <w:top w:val="nil"/>
              <w:left w:val="nil"/>
              <w:bottom w:val="single" w:sz="6" w:space="0" w:color="auto"/>
              <w:right w:val="single" w:sz="6" w:space="0" w:color="auto"/>
            </w:tcBorders>
            <w:shd w:val="clear" w:color="auto" w:fill="auto"/>
            <w:vAlign w:val="center"/>
          </w:tcPr>
          <w:p w:rsidR="00DB4508" w:rsidRPr="00ED1EAC" w:rsidP="00DB4508" w14:paraId="54ED5F30" w14:textId="26965DDA">
            <w:pPr>
              <w:rPr>
                <w:sz w:val="20"/>
                <w:szCs w:val="20"/>
              </w:rPr>
            </w:pPr>
            <w:r w:rsidRPr="00ED1EAC">
              <w:rPr>
                <w:sz w:val="20"/>
                <w:szCs w:val="20"/>
              </w:rPr>
              <w:t>$1</w:t>
            </w:r>
            <w:r w:rsidRPr="00ED1EAC" w:rsidR="00FD3C71">
              <w:rPr>
                <w:sz w:val="20"/>
                <w:szCs w:val="20"/>
              </w:rPr>
              <w:t>05</w:t>
            </w:r>
            <w:r w:rsidRPr="00ED1EAC">
              <w:rPr>
                <w:sz w:val="20"/>
                <w:szCs w:val="20"/>
              </w:rPr>
              <w:t>,</w:t>
            </w:r>
            <w:r w:rsidRPr="00ED1EAC" w:rsidR="00FD3C71">
              <w:rPr>
                <w:sz w:val="20"/>
                <w:szCs w:val="20"/>
              </w:rPr>
              <w:t>490</w:t>
            </w:r>
            <w:r w:rsidRPr="00ED1EAC">
              <w:rPr>
                <w:sz w:val="20"/>
                <w:szCs w:val="20"/>
              </w:rPr>
              <w:t>.</w:t>
            </w:r>
            <w:r w:rsidRPr="00ED1EAC" w:rsidR="00FD3C71">
              <w:rPr>
                <w:sz w:val="20"/>
                <w:szCs w:val="20"/>
              </w:rPr>
              <w:t>58</w:t>
            </w:r>
            <w:r w:rsidRPr="00ED1EAC">
              <w:rPr>
                <w:sz w:val="20"/>
                <w:szCs w:val="20"/>
              </w:rPr>
              <w:t> </w:t>
            </w:r>
          </w:p>
        </w:tc>
      </w:tr>
      <w:tr w14:paraId="70669D33" w14:textId="77777777" w:rsidTr="000476FF">
        <w:tblPrEx>
          <w:tblW w:w="9000" w:type="dxa"/>
          <w:tblInd w:w="-8" w:type="dxa"/>
          <w:tblLayout w:type="fixed"/>
          <w:tblCellMar>
            <w:left w:w="0" w:type="dxa"/>
            <w:right w:w="0" w:type="dxa"/>
          </w:tblCellMar>
          <w:tblLook w:val="04A0"/>
        </w:tblPrEx>
        <w:trPr>
          <w:trHeight w:val="360"/>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B4508" w:rsidRPr="00ED1EAC" w:rsidP="00DB4508" w14:paraId="303A41DD" w14:textId="77777777">
            <w:pPr>
              <w:rPr>
                <w:sz w:val="20"/>
                <w:szCs w:val="20"/>
              </w:rPr>
            </w:pPr>
            <w:r w:rsidRPr="00ED1EAC">
              <w:rPr>
                <w:sz w:val="20"/>
                <w:szCs w:val="20"/>
              </w:rPr>
              <w:t>B. H-2A Agricultural Clearance Order </w:t>
            </w:r>
          </w:p>
        </w:tc>
        <w:tc>
          <w:tcPr>
            <w:tcW w:w="990" w:type="dxa"/>
            <w:tcBorders>
              <w:top w:val="nil"/>
              <w:left w:val="nil"/>
              <w:bottom w:val="single" w:sz="6" w:space="0" w:color="auto"/>
              <w:right w:val="single" w:sz="6" w:space="0" w:color="auto"/>
            </w:tcBorders>
            <w:shd w:val="clear" w:color="auto" w:fill="auto"/>
            <w:vAlign w:val="center"/>
            <w:hideMark/>
          </w:tcPr>
          <w:p w:rsidR="00DB4508" w:rsidRPr="00ED1EAC" w:rsidP="00DB4508" w14:paraId="45FD8251" w14:textId="676C9A48">
            <w:pPr>
              <w:rPr>
                <w:sz w:val="20"/>
                <w:szCs w:val="20"/>
              </w:rPr>
            </w:pPr>
            <w:r w:rsidRPr="00ED1EAC">
              <w:rPr>
                <w:sz w:val="20"/>
                <w:szCs w:val="20"/>
              </w:rPr>
              <w:t>4,376 </w:t>
            </w:r>
          </w:p>
        </w:tc>
        <w:tc>
          <w:tcPr>
            <w:tcW w:w="1260" w:type="dxa"/>
            <w:tcBorders>
              <w:top w:val="nil"/>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297D3EC2" w14:textId="38F8CAEB">
            <w:pPr>
              <w:rPr>
                <w:sz w:val="20"/>
                <w:szCs w:val="20"/>
              </w:rPr>
            </w:pPr>
            <w:r w:rsidRPr="00ED1EAC">
              <w:rPr>
                <w:sz w:val="20"/>
                <w:szCs w:val="20"/>
              </w:rPr>
              <w:t> </w:t>
            </w:r>
            <w:r w:rsidRPr="00ED1EAC" w:rsidR="00F44139">
              <w:rPr>
                <w:sz w:val="20"/>
                <w:szCs w:val="20"/>
              </w:rPr>
              <w:t>1</w:t>
            </w:r>
          </w:p>
        </w:tc>
        <w:tc>
          <w:tcPr>
            <w:tcW w:w="1170" w:type="dxa"/>
            <w:tcBorders>
              <w:top w:val="nil"/>
              <w:left w:val="nil"/>
              <w:bottom w:val="single" w:sz="6" w:space="0" w:color="auto"/>
              <w:right w:val="single" w:sz="6" w:space="0" w:color="auto"/>
            </w:tcBorders>
            <w:shd w:val="clear" w:color="auto" w:fill="auto"/>
            <w:vAlign w:val="center"/>
            <w:hideMark/>
          </w:tcPr>
          <w:p w:rsidR="00DB4508" w:rsidRPr="00ED1EAC" w:rsidP="00DB4508" w14:paraId="44DD7071" w14:textId="755E1B79">
            <w:pPr>
              <w:rPr>
                <w:sz w:val="20"/>
                <w:szCs w:val="20"/>
              </w:rPr>
            </w:pPr>
            <w:r w:rsidRPr="00ED1EAC">
              <w:rPr>
                <w:sz w:val="20"/>
                <w:szCs w:val="20"/>
              </w:rPr>
              <w:t>4,376 </w:t>
            </w:r>
          </w:p>
        </w:tc>
        <w:tc>
          <w:tcPr>
            <w:tcW w:w="1170" w:type="dxa"/>
            <w:tcBorders>
              <w:top w:val="nil"/>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7E2F8254" w14:textId="472A48C0">
            <w:pPr>
              <w:rPr>
                <w:sz w:val="20"/>
                <w:szCs w:val="20"/>
              </w:rPr>
            </w:pPr>
            <w:r w:rsidRPr="00ED1EAC">
              <w:rPr>
                <w:sz w:val="20"/>
                <w:szCs w:val="20"/>
              </w:rPr>
              <w:t> </w:t>
            </w:r>
            <w:r w:rsidRPr="00ED1EAC" w:rsidR="009A4310">
              <w:rPr>
                <w:sz w:val="20"/>
                <w:szCs w:val="20"/>
              </w:rPr>
              <w:t>.67</w:t>
            </w:r>
          </w:p>
        </w:tc>
        <w:tc>
          <w:tcPr>
            <w:tcW w:w="990" w:type="dxa"/>
            <w:tcBorders>
              <w:top w:val="nil"/>
              <w:left w:val="nil"/>
              <w:bottom w:val="single" w:sz="6" w:space="0" w:color="auto"/>
              <w:right w:val="single" w:sz="6" w:space="0" w:color="auto"/>
            </w:tcBorders>
            <w:shd w:val="clear" w:color="auto" w:fill="auto"/>
            <w:vAlign w:val="center"/>
            <w:hideMark/>
          </w:tcPr>
          <w:p w:rsidR="00DB4508" w:rsidRPr="00ED1EAC" w:rsidP="00DB4508" w14:paraId="7FA7C434" w14:textId="5696ED2A">
            <w:pPr>
              <w:rPr>
                <w:sz w:val="20"/>
                <w:szCs w:val="20"/>
              </w:rPr>
            </w:pPr>
            <w:r w:rsidRPr="131E2191">
              <w:rPr>
                <w:sz w:val="20"/>
                <w:szCs w:val="20"/>
              </w:rPr>
              <w:t>2</w:t>
            </w:r>
            <w:r w:rsidRPr="131E2191" w:rsidR="0056037E">
              <w:rPr>
                <w:sz w:val="20"/>
                <w:szCs w:val="20"/>
              </w:rPr>
              <w:t>,</w:t>
            </w:r>
            <w:r w:rsidRPr="131E2191">
              <w:rPr>
                <w:sz w:val="20"/>
                <w:szCs w:val="20"/>
              </w:rPr>
              <w:t>93</w:t>
            </w:r>
            <w:r w:rsidRPr="131E2191" w:rsidR="2461BAF0">
              <w:rPr>
                <w:sz w:val="20"/>
                <w:szCs w:val="20"/>
              </w:rPr>
              <w:t>2</w:t>
            </w:r>
            <w:r w:rsidRPr="131E2191" w:rsidR="0056037E">
              <w:rPr>
                <w:sz w:val="20"/>
                <w:szCs w:val="20"/>
              </w:rPr>
              <w:t> </w:t>
            </w:r>
          </w:p>
        </w:tc>
        <w:tc>
          <w:tcPr>
            <w:tcW w:w="900" w:type="dxa"/>
            <w:tcBorders>
              <w:top w:val="nil"/>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621EEA1C" w14:textId="4A113EE6">
            <w:pPr>
              <w:rPr>
                <w:sz w:val="18"/>
                <w:szCs w:val="18"/>
              </w:rPr>
            </w:pPr>
            <w:r w:rsidRPr="00ED1EAC">
              <w:rPr>
                <w:sz w:val="18"/>
                <w:szCs w:val="18"/>
              </w:rPr>
              <w:t> </w:t>
            </w:r>
            <w:r w:rsidR="00AF0D7E">
              <w:rPr>
                <w:sz w:val="18"/>
                <w:szCs w:val="18"/>
              </w:rPr>
              <w:t>$</w:t>
            </w:r>
            <w:r w:rsidRPr="00ED1EAC" w:rsidR="00575F5A">
              <w:rPr>
                <w:sz w:val="18"/>
                <w:szCs w:val="18"/>
              </w:rPr>
              <w:t>83.59</w:t>
            </w:r>
          </w:p>
        </w:tc>
        <w:tc>
          <w:tcPr>
            <w:tcW w:w="1260" w:type="dxa"/>
            <w:gridSpan w:val="2"/>
            <w:tcBorders>
              <w:top w:val="nil"/>
              <w:left w:val="nil"/>
              <w:bottom w:val="single" w:sz="6" w:space="0" w:color="auto"/>
              <w:right w:val="single" w:sz="6" w:space="0" w:color="auto"/>
            </w:tcBorders>
            <w:shd w:val="clear" w:color="auto" w:fill="auto"/>
            <w:vAlign w:val="center"/>
            <w:hideMark/>
          </w:tcPr>
          <w:p w:rsidR="00DB4508" w:rsidRPr="00ED1EAC" w:rsidP="00DB4508" w14:paraId="570831AD" w14:textId="050CC0B0">
            <w:pPr>
              <w:rPr>
                <w:sz w:val="20"/>
                <w:szCs w:val="20"/>
              </w:rPr>
            </w:pPr>
            <w:r w:rsidRPr="00ED1EAC">
              <w:rPr>
                <w:sz w:val="20"/>
                <w:szCs w:val="20"/>
              </w:rPr>
              <w:t>$</w:t>
            </w:r>
            <w:r w:rsidRPr="00ED1EAC" w:rsidR="00B046F0">
              <w:rPr>
                <w:sz w:val="20"/>
                <w:szCs w:val="20"/>
              </w:rPr>
              <w:t>245</w:t>
            </w:r>
            <w:r w:rsidRPr="00ED1EAC">
              <w:rPr>
                <w:sz w:val="20"/>
                <w:szCs w:val="20"/>
              </w:rPr>
              <w:t>,</w:t>
            </w:r>
            <w:r w:rsidRPr="00ED1EAC" w:rsidR="00B17BCB">
              <w:rPr>
                <w:sz w:val="20"/>
                <w:szCs w:val="20"/>
              </w:rPr>
              <w:t>079</w:t>
            </w:r>
            <w:r w:rsidRPr="00ED1EAC" w:rsidR="0056037E">
              <w:rPr>
                <w:sz w:val="20"/>
                <w:szCs w:val="20"/>
              </w:rPr>
              <w:t>.</w:t>
            </w:r>
            <w:r w:rsidRPr="00ED1EAC" w:rsidR="00B17BCB">
              <w:rPr>
                <w:sz w:val="20"/>
                <w:szCs w:val="20"/>
              </w:rPr>
              <w:t>19</w:t>
            </w:r>
            <w:r w:rsidRPr="00ED1EAC">
              <w:rPr>
                <w:sz w:val="20"/>
                <w:szCs w:val="20"/>
              </w:rPr>
              <w:t> </w:t>
            </w:r>
          </w:p>
        </w:tc>
      </w:tr>
      <w:tr w14:paraId="598F0EEA" w14:textId="77777777" w:rsidTr="000476FF">
        <w:tblPrEx>
          <w:tblW w:w="9000" w:type="dxa"/>
          <w:tblInd w:w="-8" w:type="dxa"/>
          <w:tblLayout w:type="fixed"/>
          <w:tblCellMar>
            <w:left w:w="0" w:type="dxa"/>
            <w:right w:w="0" w:type="dxa"/>
          </w:tblCellMar>
          <w:tblLook w:val="04A0"/>
        </w:tblPrEx>
        <w:trPr>
          <w:trHeight w:val="360"/>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B4508" w:rsidRPr="00ED1EAC" w:rsidP="00DB4508" w14:paraId="2BA9A830" w14:textId="77777777">
            <w:pPr>
              <w:rPr>
                <w:sz w:val="20"/>
                <w:szCs w:val="20"/>
              </w:rPr>
            </w:pPr>
            <w:r w:rsidRPr="00ED1EAC">
              <w:rPr>
                <w:sz w:val="20"/>
                <w:szCs w:val="20"/>
              </w:rPr>
              <w:t>C. H-2A Application for Temporary Employment Certification </w:t>
            </w:r>
          </w:p>
        </w:tc>
        <w:tc>
          <w:tcPr>
            <w:tcW w:w="990" w:type="dxa"/>
            <w:tcBorders>
              <w:top w:val="nil"/>
              <w:left w:val="nil"/>
              <w:bottom w:val="single" w:sz="6" w:space="0" w:color="auto"/>
              <w:right w:val="single" w:sz="6" w:space="0" w:color="auto"/>
            </w:tcBorders>
            <w:shd w:val="clear" w:color="auto" w:fill="auto"/>
            <w:vAlign w:val="center"/>
            <w:hideMark/>
          </w:tcPr>
          <w:p w:rsidR="00DB4508" w:rsidRPr="00ED1EAC" w:rsidP="00DB4508" w14:paraId="26A5FA41" w14:textId="0E74D820">
            <w:pPr>
              <w:rPr>
                <w:sz w:val="20"/>
                <w:szCs w:val="20"/>
              </w:rPr>
            </w:pPr>
            <w:r w:rsidRPr="00ED1EAC">
              <w:rPr>
                <w:sz w:val="20"/>
                <w:szCs w:val="20"/>
              </w:rPr>
              <w:t>4,376 </w:t>
            </w:r>
          </w:p>
        </w:tc>
        <w:tc>
          <w:tcPr>
            <w:tcW w:w="1260" w:type="dxa"/>
            <w:tcBorders>
              <w:top w:val="nil"/>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487E47A9" w14:textId="743183BC">
            <w:pPr>
              <w:rPr>
                <w:sz w:val="20"/>
                <w:szCs w:val="20"/>
              </w:rPr>
            </w:pPr>
            <w:r w:rsidRPr="00ED1EAC">
              <w:rPr>
                <w:sz w:val="20"/>
                <w:szCs w:val="20"/>
              </w:rPr>
              <w:t> </w:t>
            </w:r>
            <w:r w:rsidRPr="00ED1EAC" w:rsidR="00F44139">
              <w:rPr>
                <w:sz w:val="20"/>
                <w:szCs w:val="20"/>
              </w:rPr>
              <w:t>1</w:t>
            </w:r>
          </w:p>
        </w:tc>
        <w:tc>
          <w:tcPr>
            <w:tcW w:w="1170" w:type="dxa"/>
            <w:tcBorders>
              <w:top w:val="nil"/>
              <w:left w:val="nil"/>
              <w:bottom w:val="single" w:sz="6" w:space="0" w:color="auto"/>
              <w:right w:val="single" w:sz="6" w:space="0" w:color="auto"/>
            </w:tcBorders>
            <w:shd w:val="clear" w:color="auto" w:fill="auto"/>
            <w:vAlign w:val="center"/>
            <w:hideMark/>
          </w:tcPr>
          <w:p w:rsidR="00DB4508" w:rsidRPr="00ED1EAC" w:rsidP="00DB4508" w14:paraId="2F8FF324" w14:textId="641B853E">
            <w:pPr>
              <w:rPr>
                <w:sz w:val="20"/>
                <w:szCs w:val="20"/>
              </w:rPr>
            </w:pPr>
            <w:r w:rsidRPr="00ED1EAC">
              <w:rPr>
                <w:sz w:val="20"/>
                <w:szCs w:val="20"/>
              </w:rPr>
              <w:t>4,376 </w:t>
            </w:r>
          </w:p>
        </w:tc>
        <w:tc>
          <w:tcPr>
            <w:tcW w:w="1170" w:type="dxa"/>
            <w:tcBorders>
              <w:top w:val="nil"/>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406F7043" w14:textId="03FF2223">
            <w:pPr>
              <w:rPr>
                <w:sz w:val="20"/>
                <w:szCs w:val="20"/>
              </w:rPr>
            </w:pPr>
            <w:r w:rsidRPr="00ED1EAC">
              <w:rPr>
                <w:sz w:val="20"/>
                <w:szCs w:val="20"/>
              </w:rPr>
              <w:t> </w:t>
            </w:r>
            <w:r w:rsidRPr="00ED1EAC" w:rsidR="00344FD7">
              <w:rPr>
                <w:sz w:val="20"/>
                <w:szCs w:val="20"/>
              </w:rPr>
              <w:t>.55</w:t>
            </w:r>
          </w:p>
        </w:tc>
        <w:tc>
          <w:tcPr>
            <w:tcW w:w="990" w:type="dxa"/>
            <w:tcBorders>
              <w:top w:val="nil"/>
              <w:left w:val="nil"/>
              <w:bottom w:val="single" w:sz="6" w:space="0" w:color="auto"/>
              <w:right w:val="single" w:sz="6" w:space="0" w:color="auto"/>
            </w:tcBorders>
            <w:shd w:val="clear" w:color="auto" w:fill="auto"/>
            <w:vAlign w:val="center"/>
            <w:hideMark/>
          </w:tcPr>
          <w:p w:rsidR="00DB4508" w:rsidRPr="00ED1EAC" w:rsidP="00DB4508" w14:paraId="0E329F6C" w14:textId="24B16928">
            <w:pPr>
              <w:rPr>
                <w:sz w:val="20"/>
                <w:szCs w:val="20"/>
              </w:rPr>
            </w:pPr>
            <w:r w:rsidRPr="00ED1EAC">
              <w:rPr>
                <w:sz w:val="20"/>
                <w:szCs w:val="20"/>
              </w:rPr>
              <w:t>2</w:t>
            </w:r>
            <w:r w:rsidRPr="00ED1EAC" w:rsidR="00253005">
              <w:rPr>
                <w:sz w:val="20"/>
                <w:szCs w:val="20"/>
              </w:rPr>
              <w:t>,407</w:t>
            </w:r>
            <w:r w:rsidRPr="00ED1EAC">
              <w:rPr>
                <w:sz w:val="20"/>
                <w:szCs w:val="20"/>
              </w:rPr>
              <w:t> </w:t>
            </w:r>
          </w:p>
        </w:tc>
        <w:tc>
          <w:tcPr>
            <w:tcW w:w="900" w:type="dxa"/>
            <w:tcBorders>
              <w:top w:val="nil"/>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471AA6FC" w14:textId="576BADE7">
            <w:pPr>
              <w:rPr>
                <w:sz w:val="18"/>
                <w:szCs w:val="18"/>
              </w:rPr>
            </w:pPr>
            <w:r w:rsidRPr="00ED1EAC">
              <w:rPr>
                <w:sz w:val="18"/>
                <w:szCs w:val="18"/>
              </w:rPr>
              <w:t> </w:t>
            </w:r>
            <w:r w:rsidRPr="00ED1EAC" w:rsidR="00575F5A">
              <w:rPr>
                <w:sz w:val="18"/>
                <w:szCs w:val="18"/>
              </w:rPr>
              <w:t>83.59</w:t>
            </w:r>
          </w:p>
        </w:tc>
        <w:tc>
          <w:tcPr>
            <w:tcW w:w="1260" w:type="dxa"/>
            <w:gridSpan w:val="2"/>
            <w:tcBorders>
              <w:top w:val="nil"/>
              <w:left w:val="nil"/>
              <w:bottom w:val="single" w:sz="6" w:space="0" w:color="auto"/>
              <w:right w:val="single" w:sz="6" w:space="0" w:color="auto"/>
            </w:tcBorders>
            <w:shd w:val="clear" w:color="auto" w:fill="auto"/>
            <w:vAlign w:val="center"/>
            <w:hideMark/>
          </w:tcPr>
          <w:p w:rsidR="00DB4508" w:rsidRPr="00ED1EAC" w:rsidP="00DB4508" w14:paraId="6484E697" w14:textId="7A8027FC">
            <w:pPr>
              <w:rPr>
                <w:sz w:val="20"/>
                <w:szCs w:val="20"/>
              </w:rPr>
            </w:pPr>
            <w:r w:rsidRPr="00ED1EAC">
              <w:rPr>
                <w:sz w:val="20"/>
                <w:szCs w:val="20"/>
              </w:rPr>
              <w:t>$</w:t>
            </w:r>
            <w:r w:rsidRPr="00ED1EAC" w:rsidR="007D6005">
              <w:rPr>
                <w:sz w:val="20"/>
                <w:szCs w:val="20"/>
              </w:rPr>
              <w:t>20</w:t>
            </w:r>
            <w:r w:rsidRPr="00ED1EAC">
              <w:rPr>
                <w:sz w:val="20"/>
                <w:szCs w:val="20"/>
              </w:rPr>
              <w:t>1,</w:t>
            </w:r>
            <w:r w:rsidR="00080472">
              <w:rPr>
                <w:sz w:val="20"/>
                <w:szCs w:val="20"/>
              </w:rPr>
              <w:t>201</w:t>
            </w:r>
            <w:r w:rsidRPr="00ED1EAC" w:rsidR="0056037E">
              <w:rPr>
                <w:sz w:val="20"/>
                <w:szCs w:val="20"/>
              </w:rPr>
              <w:t>.</w:t>
            </w:r>
            <w:r w:rsidR="00080472">
              <w:rPr>
                <w:sz w:val="20"/>
                <w:szCs w:val="20"/>
              </w:rPr>
              <w:t>1</w:t>
            </w:r>
            <w:r w:rsidRPr="00ED1EAC" w:rsidR="00F55111">
              <w:rPr>
                <w:sz w:val="20"/>
                <w:szCs w:val="20"/>
              </w:rPr>
              <w:t>3</w:t>
            </w:r>
            <w:r w:rsidRPr="00ED1EAC">
              <w:rPr>
                <w:sz w:val="20"/>
                <w:szCs w:val="20"/>
              </w:rPr>
              <w:t> </w:t>
            </w:r>
          </w:p>
        </w:tc>
      </w:tr>
      <w:tr w14:paraId="75F96DA8" w14:textId="77777777" w:rsidTr="000476FF">
        <w:tblPrEx>
          <w:tblW w:w="9000" w:type="dxa"/>
          <w:tblInd w:w="-8" w:type="dxa"/>
          <w:tblLayout w:type="fixed"/>
          <w:tblCellMar>
            <w:left w:w="0" w:type="dxa"/>
            <w:right w:w="0" w:type="dxa"/>
          </w:tblCellMar>
          <w:tblLook w:val="04A0"/>
        </w:tblPrEx>
        <w:trPr>
          <w:trHeight w:val="435"/>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B4508" w:rsidRPr="00ED1EAC" w:rsidP="00DB4508" w14:paraId="603BFB9A" w14:textId="77777777">
            <w:pPr>
              <w:rPr>
                <w:sz w:val="20"/>
                <w:szCs w:val="20"/>
              </w:rPr>
            </w:pPr>
            <w:r w:rsidRPr="00ED1EAC">
              <w:rPr>
                <w:sz w:val="20"/>
                <w:szCs w:val="20"/>
              </w:rPr>
              <w:t>D. Recruitment of U.S. Workers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78301F8E" w14:textId="04DF1C82">
            <w:pPr>
              <w:rPr>
                <w:sz w:val="20"/>
                <w:szCs w:val="20"/>
              </w:rPr>
            </w:pPr>
            <w:r w:rsidRPr="00ED1EAC">
              <w:rPr>
                <w:sz w:val="20"/>
                <w:szCs w:val="20"/>
              </w:rPr>
              <w:t>4,376</w:t>
            </w:r>
            <w:r w:rsidRPr="00ED1EAC">
              <w:rPr>
                <w:sz w:val="20"/>
                <w:szCs w:val="20"/>
              </w:rPr>
              <w:t> </w:t>
            </w:r>
          </w:p>
        </w:tc>
        <w:tc>
          <w:tcPr>
            <w:tcW w:w="126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693777E7" w14:textId="1CFAD432">
            <w:pPr>
              <w:rPr>
                <w:sz w:val="20"/>
                <w:szCs w:val="20"/>
              </w:rPr>
            </w:pPr>
            <w:r w:rsidRPr="00ED1EAC">
              <w:rPr>
                <w:sz w:val="20"/>
                <w:szCs w:val="20"/>
              </w:rPr>
              <w:t> </w:t>
            </w:r>
            <w:r w:rsidRPr="00ED1EAC" w:rsidR="00F44139">
              <w:rPr>
                <w:sz w:val="20"/>
                <w:szCs w:val="20"/>
              </w:rPr>
              <w:t>1</w:t>
            </w:r>
          </w:p>
        </w:tc>
        <w:tc>
          <w:tcPr>
            <w:tcW w:w="117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0FFFD9B9" w14:textId="50C61B6D">
            <w:pPr>
              <w:rPr>
                <w:sz w:val="20"/>
                <w:szCs w:val="20"/>
              </w:rPr>
            </w:pPr>
            <w:r w:rsidRPr="00ED1EAC">
              <w:rPr>
                <w:sz w:val="20"/>
                <w:szCs w:val="20"/>
              </w:rPr>
              <w:t>4,376 </w:t>
            </w:r>
          </w:p>
        </w:tc>
        <w:tc>
          <w:tcPr>
            <w:tcW w:w="117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65504AE6" w14:textId="40FC23CF">
            <w:pPr>
              <w:rPr>
                <w:sz w:val="20"/>
                <w:szCs w:val="20"/>
              </w:rPr>
            </w:pPr>
            <w:r w:rsidRPr="00ED1EAC">
              <w:rPr>
                <w:sz w:val="20"/>
                <w:szCs w:val="20"/>
              </w:rPr>
              <w:t> </w:t>
            </w:r>
            <w:r w:rsidRPr="00ED1EAC" w:rsidR="00DD0074">
              <w:rPr>
                <w:sz w:val="20"/>
                <w:szCs w:val="20"/>
              </w:rPr>
              <w:t>4.30</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54563857" w14:textId="2D31FAB2">
            <w:pPr>
              <w:rPr>
                <w:sz w:val="20"/>
                <w:szCs w:val="20"/>
              </w:rPr>
            </w:pPr>
            <w:r w:rsidRPr="00ED1EAC">
              <w:rPr>
                <w:sz w:val="20"/>
                <w:szCs w:val="20"/>
              </w:rPr>
              <w:t>1</w:t>
            </w:r>
            <w:r w:rsidRPr="00ED1EAC" w:rsidR="0056037E">
              <w:rPr>
                <w:sz w:val="20"/>
                <w:szCs w:val="20"/>
              </w:rPr>
              <w:t>8,</w:t>
            </w:r>
            <w:r w:rsidRPr="00ED1EAC">
              <w:rPr>
                <w:sz w:val="20"/>
                <w:szCs w:val="20"/>
              </w:rPr>
              <w:t>817</w:t>
            </w:r>
            <w:r w:rsidRPr="00ED1EAC" w:rsidR="0056037E">
              <w:rPr>
                <w:sz w:val="20"/>
                <w:szCs w:val="20"/>
              </w:rPr>
              <w:t>  </w:t>
            </w:r>
          </w:p>
          <w:p w:rsidR="00DB4508" w:rsidRPr="00ED1EAC" w:rsidP="00DB4508" w14:paraId="0ABC32D5" w14:textId="77777777">
            <w:pPr>
              <w:rPr>
                <w:sz w:val="20"/>
                <w:szCs w:val="20"/>
              </w:rPr>
            </w:pPr>
            <w:r w:rsidRPr="00ED1EAC">
              <w:rPr>
                <w:sz w:val="20"/>
                <w:szCs w:val="20"/>
              </w:rPr>
              <w:t> </w:t>
            </w:r>
          </w:p>
        </w:tc>
        <w:tc>
          <w:tcPr>
            <w:tcW w:w="90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70F6C4F5" w14:textId="0F109B8F">
            <w:pPr>
              <w:rPr>
                <w:sz w:val="18"/>
                <w:szCs w:val="18"/>
              </w:rPr>
            </w:pPr>
            <w:r w:rsidRPr="00ED1EAC">
              <w:rPr>
                <w:sz w:val="18"/>
                <w:szCs w:val="18"/>
              </w:rPr>
              <w:t> </w:t>
            </w:r>
            <w:r w:rsidRPr="00ED1EAC" w:rsidR="00575F5A">
              <w:rPr>
                <w:sz w:val="18"/>
                <w:szCs w:val="18"/>
              </w:rPr>
              <w:t>83.59</w:t>
            </w:r>
          </w:p>
        </w:tc>
        <w:tc>
          <w:tcPr>
            <w:tcW w:w="1260" w:type="dxa"/>
            <w:gridSpan w:val="2"/>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45EED1F5" w14:textId="411057F7">
            <w:pPr>
              <w:rPr>
                <w:sz w:val="20"/>
                <w:szCs w:val="20"/>
              </w:rPr>
            </w:pPr>
            <w:r w:rsidRPr="00ED1EAC">
              <w:rPr>
                <w:sz w:val="20"/>
                <w:szCs w:val="20"/>
              </w:rPr>
              <w:t>$1,</w:t>
            </w:r>
            <w:r w:rsidRPr="00ED1EAC" w:rsidR="004F5A20">
              <w:rPr>
                <w:sz w:val="20"/>
                <w:szCs w:val="20"/>
              </w:rPr>
              <w:t>57</w:t>
            </w:r>
            <w:r w:rsidRPr="00ED1EAC">
              <w:rPr>
                <w:sz w:val="20"/>
                <w:szCs w:val="20"/>
              </w:rPr>
              <w:t>2,91</w:t>
            </w:r>
            <w:r w:rsidRPr="00ED1EAC" w:rsidR="0083158A">
              <w:rPr>
                <w:sz w:val="20"/>
                <w:szCs w:val="20"/>
              </w:rPr>
              <w:t>3</w:t>
            </w:r>
            <w:r w:rsidRPr="00ED1EAC">
              <w:rPr>
                <w:sz w:val="20"/>
                <w:szCs w:val="20"/>
              </w:rPr>
              <w:t>.</w:t>
            </w:r>
            <w:r w:rsidRPr="00ED1EAC" w:rsidR="0083158A">
              <w:rPr>
                <w:sz w:val="20"/>
                <w:szCs w:val="20"/>
              </w:rPr>
              <w:t>0</w:t>
            </w:r>
            <w:r w:rsidRPr="00ED1EAC">
              <w:rPr>
                <w:sz w:val="20"/>
                <w:szCs w:val="20"/>
              </w:rPr>
              <w:t>3 </w:t>
            </w:r>
          </w:p>
        </w:tc>
      </w:tr>
      <w:tr w14:paraId="20FCEAA9" w14:textId="77777777" w:rsidTr="000476FF">
        <w:tblPrEx>
          <w:tblW w:w="9000" w:type="dxa"/>
          <w:tblInd w:w="-8" w:type="dxa"/>
          <w:tblLayout w:type="fixed"/>
          <w:tblCellMar>
            <w:left w:w="0" w:type="dxa"/>
            <w:right w:w="0" w:type="dxa"/>
          </w:tblCellMar>
          <w:tblLook w:val="04A0"/>
        </w:tblPrEx>
        <w:trPr>
          <w:trHeight w:val="360"/>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B4508" w:rsidRPr="00ED1EAC" w:rsidP="00DB4508" w14:paraId="7CF0B512" w14:textId="77777777">
            <w:pPr>
              <w:rPr>
                <w:sz w:val="20"/>
                <w:szCs w:val="20"/>
              </w:rPr>
            </w:pPr>
            <w:r w:rsidRPr="00ED1EAC">
              <w:rPr>
                <w:sz w:val="20"/>
                <w:szCs w:val="20"/>
              </w:rPr>
              <w:t>E. Worker Guarantees &amp; Rights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395F7B3C" w14:textId="57C4F003">
            <w:pPr>
              <w:rPr>
                <w:sz w:val="20"/>
                <w:szCs w:val="20"/>
              </w:rPr>
            </w:pPr>
            <w:r w:rsidRPr="00ED1EAC">
              <w:rPr>
                <w:sz w:val="20"/>
                <w:szCs w:val="20"/>
              </w:rPr>
              <w:t>17,527</w:t>
            </w:r>
            <w:r w:rsidRPr="00ED1EAC">
              <w:rPr>
                <w:sz w:val="20"/>
                <w:szCs w:val="20"/>
              </w:rPr>
              <w:t> </w:t>
            </w:r>
          </w:p>
        </w:tc>
        <w:tc>
          <w:tcPr>
            <w:tcW w:w="126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1F0784D7" w14:textId="5906BD7C">
            <w:pPr>
              <w:rPr>
                <w:sz w:val="20"/>
                <w:szCs w:val="20"/>
              </w:rPr>
            </w:pPr>
            <w:r w:rsidRPr="68A4767D">
              <w:rPr>
                <w:sz w:val="20"/>
                <w:szCs w:val="20"/>
              </w:rPr>
              <w:t>6.3</w:t>
            </w:r>
            <w:r w:rsidRPr="68A4767D" w:rsidR="39D55CB0">
              <w:rPr>
                <w:sz w:val="20"/>
                <w:szCs w:val="20"/>
              </w:rPr>
              <w:t>56</w:t>
            </w:r>
            <w:r w:rsidRPr="68A4767D" w:rsidR="56C069DE">
              <w:rPr>
                <w:sz w:val="20"/>
                <w:szCs w:val="20"/>
              </w:rPr>
              <w:t>31</w:t>
            </w:r>
          </w:p>
        </w:tc>
        <w:tc>
          <w:tcPr>
            <w:tcW w:w="117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7E7FEFFD" w14:textId="03456B31">
            <w:pPr>
              <w:rPr>
                <w:sz w:val="20"/>
                <w:szCs w:val="20"/>
              </w:rPr>
            </w:pPr>
            <w:r w:rsidRPr="00ED1EAC">
              <w:rPr>
                <w:sz w:val="20"/>
                <w:szCs w:val="20"/>
              </w:rPr>
              <w:t>1</w:t>
            </w:r>
            <w:r w:rsidR="00BF703F">
              <w:rPr>
                <w:sz w:val="20"/>
                <w:szCs w:val="20"/>
              </w:rPr>
              <w:t>11</w:t>
            </w:r>
            <w:r w:rsidRPr="00ED1EAC">
              <w:rPr>
                <w:sz w:val="20"/>
                <w:szCs w:val="20"/>
              </w:rPr>
              <w:t>,</w:t>
            </w:r>
            <w:r w:rsidR="00BF703F">
              <w:rPr>
                <w:sz w:val="20"/>
                <w:szCs w:val="20"/>
              </w:rPr>
              <w:t>40</w:t>
            </w:r>
            <w:r w:rsidRPr="00ED1EAC" w:rsidR="00A65C88">
              <w:rPr>
                <w:sz w:val="20"/>
                <w:szCs w:val="20"/>
              </w:rPr>
              <w:t>7</w:t>
            </w:r>
            <w:r w:rsidRPr="00ED1EAC" w:rsidR="0056037E">
              <w:rPr>
                <w:sz w:val="20"/>
                <w:szCs w:val="20"/>
              </w:rPr>
              <w:t> </w:t>
            </w:r>
          </w:p>
        </w:tc>
        <w:tc>
          <w:tcPr>
            <w:tcW w:w="117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0D26AC7B" w14:textId="056AEE01">
            <w:pPr>
              <w:rPr>
                <w:sz w:val="20"/>
                <w:szCs w:val="20"/>
              </w:rPr>
            </w:pPr>
            <w:r w:rsidRPr="68A4767D">
              <w:rPr>
                <w:sz w:val="20"/>
                <w:szCs w:val="20"/>
              </w:rPr>
              <w:t>.</w:t>
            </w:r>
            <w:r w:rsidRPr="68A4767D" w:rsidR="1FF389E0">
              <w:rPr>
                <w:sz w:val="20"/>
                <w:szCs w:val="20"/>
              </w:rPr>
              <w:t>1</w:t>
            </w:r>
            <w:r w:rsidRPr="68A4767D" w:rsidR="5A601125">
              <w:rPr>
                <w:sz w:val="20"/>
                <w:szCs w:val="20"/>
              </w:rPr>
              <w:t>12</w:t>
            </w:r>
            <w:r w:rsidRPr="68A4767D" w:rsidR="6EA241FE">
              <w:rPr>
                <w:sz w:val="20"/>
                <w:szCs w:val="20"/>
              </w:rPr>
              <w:t>72</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1FB3AFFF" w14:textId="72394426">
            <w:pPr>
              <w:rPr>
                <w:sz w:val="20"/>
                <w:szCs w:val="20"/>
              </w:rPr>
            </w:pPr>
            <w:r w:rsidRPr="68A4767D">
              <w:rPr>
                <w:sz w:val="20"/>
                <w:szCs w:val="20"/>
              </w:rPr>
              <w:t>12,</w:t>
            </w:r>
            <w:r w:rsidRPr="68A4767D" w:rsidR="0C84775E">
              <w:rPr>
                <w:sz w:val="20"/>
                <w:szCs w:val="20"/>
              </w:rPr>
              <w:t>55</w:t>
            </w:r>
            <w:r w:rsidRPr="68A4767D" w:rsidR="5CC957B6">
              <w:rPr>
                <w:sz w:val="20"/>
                <w:szCs w:val="20"/>
              </w:rPr>
              <w:t>8</w:t>
            </w:r>
          </w:p>
        </w:tc>
        <w:tc>
          <w:tcPr>
            <w:tcW w:w="90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4B737DC9" w14:textId="4A076970">
            <w:pPr>
              <w:rPr>
                <w:sz w:val="18"/>
                <w:szCs w:val="18"/>
              </w:rPr>
            </w:pPr>
            <w:r w:rsidRPr="00ED1EAC">
              <w:rPr>
                <w:sz w:val="18"/>
                <w:szCs w:val="18"/>
              </w:rPr>
              <w:t> </w:t>
            </w:r>
            <w:r w:rsidRPr="00ED1EAC" w:rsidR="00575F5A">
              <w:rPr>
                <w:sz w:val="18"/>
                <w:szCs w:val="18"/>
              </w:rPr>
              <w:t>83.59</w:t>
            </w:r>
          </w:p>
        </w:tc>
        <w:tc>
          <w:tcPr>
            <w:tcW w:w="1260" w:type="dxa"/>
            <w:gridSpan w:val="2"/>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28AD720B" w14:textId="5C16357C">
            <w:pPr>
              <w:rPr>
                <w:sz w:val="20"/>
                <w:szCs w:val="20"/>
              </w:rPr>
            </w:pPr>
            <w:r w:rsidRPr="00ED1EAC">
              <w:rPr>
                <w:sz w:val="20"/>
                <w:szCs w:val="20"/>
              </w:rPr>
              <w:t>$</w:t>
            </w:r>
            <w:r w:rsidRPr="00ED1EAC" w:rsidR="00837039">
              <w:rPr>
                <w:sz w:val="20"/>
                <w:szCs w:val="20"/>
              </w:rPr>
              <w:t>1</w:t>
            </w:r>
            <w:r w:rsidRPr="00ED1EAC">
              <w:rPr>
                <w:sz w:val="20"/>
                <w:szCs w:val="20"/>
              </w:rPr>
              <w:t>,</w:t>
            </w:r>
            <w:r w:rsidRPr="00ED1EAC" w:rsidR="00837039">
              <w:rPr>
                <w:sz w:val="20"/>
                <w:szCs w:val="20"/>
              </w:rPr>
              <w:t>0</w:t>
            </w:r>
            <w:r w:rsidRPr="00ED1EAC">
              <w:rPr>
                <w:sz w:val="20"/>
                <w:szCs w:val="20"/>
              </w:rPr>
              <w:t>49,</w:t>
            </w:r>
            <w:r w:rsidRPr="00ED1EAC" w:rsidR="00837039">
              <w:rPr>
                <w:sz w:val="20"/>
                <w:szCs w:val="20"/>
              </w:rPr>
              <w:t>715</w:t>
            </w:r>
            <w:r w:rsidRPr="00ED1EAC">
              <w:rPr>
                <w:sz w:val="20"/>
                <w:szCs w:val="20"/>
              </w:rPr>
              <w:t>.</w:t>
            </w:r>
            <w:r w:rsidRPr="00ED1EAC" w:rsidR="0000509C">
              <w:rPr>
                <w:sz w:val="20"/>
                <w:szCs w:val="20"/>
              </w:rPr>
              <w:t>70</w:t>
            </w:r>
            <w:r w:rsidRPr="00ED1EAC">
              <w:rPr>
                <w:sz w:val="20"/>
                <w:szCs w:val="20"/>
              </w:rPr>
              <w:t> </w:t>
            </w:r>
          </w:p>
        </w:tc>
      </w:tr>
      <w:tr w14:paraId="1ED90A23" w14:textId="77777777" w:rsidTr="000476FF">
        <w:tblPrEx>
          <w:tblW w:w="9000" w:type="dxa"/>
          <w:tblInd w:w="-8" w:type="dxa"/>
          <w:tblLayout w:type="fixed"/>
          <w:tblCellMar>
            <w:left w:w="0" w:type="dxa"/>
            <w:right w:w="0" w:type="dxa"/>
          </w:tblCellMar>
          <w:tblLook w:val="04A0"/>
        </w:tblPrEx>
        <w:trPr>
          <w:trHeight w:val="360"/>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B4508" w:rsidRPr="00ED1EAC" w:rsidP="00DB4508" w14:paraId="21C326FE" w14:textId="77777777">
            <w:pPr>
              <w:rPr>
                <w:sz w:val="20"/>
                <w:szCs w:val="20"/>
              </w:rPr>
            </w:pPr>
            <w:r w:rsidRPr="00ED1EAC">
              <w:rPr>
                <w:sz w:val="20"/>
                <w:szCs w:val="20"/>
              </w:rPr>
              <w:t>F. Retention Requirements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56BBB0B2" w14:textId="0CF00179">
            <w:pPr>
              <w:rPr>
                <w:sz w:val="20"/>
                <w:szCs w:val="20"/>
              </w:rPr>
            </w:pPr>
            <w:r w:rsidRPr="00ED1EAC">
              <w:rPr>
                <w:sz w:val="20"/>
                <w:szCs w:val="20"/>
              </w:rPr>
              <w:t>4,376</w:t>
            </w:r>
            <w:r w:rsidRPr="00ED1EAC">
              <w:rPr>
                <w:sz w:val="20"/>
                <w:szCs w:val="20"/>
              </w:rPr>
              <w:t> </w:t>
            </w:r>
          </w:p>
        </w:tc>
        <w:tc>
          <w:tcPr>
            <w:tcW w:w="126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79766F02" w14:textId="75FC4472">
            <w:pPr>
              <w:rPr>
                <w:sz w:val="20"/>
                <w:szCs w:val="20"/>
              </w:rPr>
            </w:pPr>
            <w:r w:rsidRPr="00ED1EAC">
              <w:rPr>
                <w:sz w:val="20"/>
                <w:szCs w:val="20"/>
              </w:rPr>
              <w:t> </w:t>
            </w:r>
            <w:r w:rsidRPr="00ED1EAC" w:rsidR="00F44139">
              <w:rPr>
                <w:sz w:val="20"/>
                <w:szCs w:val="20"/>
              </w:rPr>
              <w:t>1</w:t>
            </w:r>
          </w:p>
        </w:tc>
        <w:tc>
          <w:tcPr>
            <w:tcW w:w="117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4F8D9178" w14:textId="3CE1DCF6">
            <w:pPr>
              <w:rPr>
                <w:sz w:val="20"/>
                <w:szCs w:val="20"/>
              </w:rPr>
            </w:pPr>
            <w:r w:rsidRPr="00ED1EAC">
              <w:rPr>
                <w:sz w:val="20"/>
                <w:szCs w:val="20"/>
              </w:rPr>
              <w:t>4,376 </w:t>
            </w:r>
          </w:p>
        </w:tc>
        <w:tc>
          <w:tcPr>
            <w:tcW w:w="117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0512783F" w14:textId="664670E3">
            <w:pPr>
              <w:rPr>
                <w:sz w:val="20"/>
                <w:szCs w:val="20"/>
              </w:rPr>
            </w:pPr>
            <w:r w:rsidRPr="00ED1EAC">
              <w:rPr>
                <w:sz w:val="20"/>
                <w:szCs w:val="20"/>
              </w:rPr>
              <w:t> </w:t>
            </w:r>
            <w:r w:rsidRPr="00ED1EAC" w:rsidR="004E236B">
              <w:rPr>
                <w:sz w:val="20"/>
                <w:szCs w:val="20"/>
              </w:rPr>
              <w:t>.17</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309BBF96" w14:textId="3765A2E9">
            <w:pPr>
              <w:rPr>
                <w:sz w:val="20"/>
                <w:szCs w:val="20"/>
              </w:rPr>
            </w:pPr>
            <w:r w:rsidRPr="68A4767D">
              <w:rPr>
                <w:sz w:val="20"/>
                <w:szCs w:val="20"/>
              </w:rPr>
              <w:t>74</w:t>
            </w:r>
            <w:r w:rsidRPr="68A4767D" w:rsidR="3B7E55F6">
              <w:rPr>
                <w:sz w:val="20"/>
                <w:szCs w:val="20"/>
              </w:rPr>
              <w:t>4</w:t>
            </w:r>
          </w:p>
        </w:tc>
        <w:tc>
          <w:tcPr>
            <w:tcW w:w="90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6211A7E5" w14:textId="2136C90C">
            <w:pPr>
              <w:rPr>
                <w:sz w:val="18"/>
                <w:szCs w:val="18"/>
              </w:rPr>
            </w:pPr>
            <w:r w:rsidRPr="00ED1EAC">
              <w:rPr>
                <w:sz w:val="18"/>
                <w:szCs w:val="18"/>
              </w:rPr>
              <w:t> </w:t>
            </w:r>
            <w:r w:rsidRPr="00ED1EAC" w:rsidR="00575F5A">
              <w:rPr>
                <w:sz w:val="18"/>
                <w:szCs w:val="18"/>
              </w:rPr>
              <w:t>83.59</w:t>
            </w:r>
          </w:p>
        </w:tc>
        <w:tc>
          <w:tcPr>
            <w:tcW w:w="1260" w:type="dxa"/>
            <w:gridSpan w:val="2"/>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5A62E431" w14:textId="3F9A1AE2">
            <w:pPr>
              <w:rPr>
                <w:sz w:val="20"/>
                <w:szCs w:val="20"/>
              </w:rPr>
            </w:pPr>
            <w:r w:rsidRPr="00ED1EAC">
              <w:rPr>
                <w:sz w:val="20"/>
                <w:szCs w:val="20"/>
              </w:rPr>
              <w:t>$</w:t>
            </w:r>
            <w:r w:rsidR="00E90722">
              <w:rPr>
                <w:sz w:val="20"/>
                <w:szCs w:val="20"/>
              </w:rPr>
              <w:t>62,184.27</w:t>
            </w:r>
            <w:r w:rsidRPr="00ED1EAC">
              <w:rPr>
                <w:sz w:val="20"/>
                <w:szCs w:val="20"/>
              </w:rPr>
              <w:t> </w:t>
            </w:r>
          </w:p>
        </w:tc>
      </w:tr>
      <w:tr w14:paraId="7DFF6246" w14:textId="77777777" w:rsidTr="000476FF">
        <w:tblPrEx>
          <w:tblW w:w="9000" w:type="dxa"/>
          <w:tblInd w:w="-8" w:type="dxa"/>
          <w:tblLayout w:type="fixed"/>
          <w:tblCellMar>
            <w:left w:w="0" w:type="dxa"/>
            <w:right w:w="0" w:type="dxa"/>
          </w:tblCellMar>
          <w:tblLook w:val="04A0"/>
        </w:tblPrEx>
        <w:trPr>
          <w:trHeight w:val="360"/>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B4508" w:rsidRPr="00ED1EAC" w:rsidP="00DB4508" w14:paraId="0766AE7F" w14:textId="77777777">
            <w:pPr>
              <w:rPr>
                <w:sz w:val="20"/>
                <w:szCs w:val="20"/>
              </w:rPr>
            </w:pPr>
            <w:r w:rsidRPr="00ED1EAC">
              <w:rPr>
                <w:sz w:val="20"/>
                <w:szCs w:val="20"/>
              </w:rPr>
              <w:t xml:space="preserve">G. </w:t>
            </w:r>
            <w:r w:rsidRPr="00ED1EAC">
              <w:rPr>
                <w:sz w:val="20"/>
                <w:szCs w:val="20"/>
              </w:rPr>
              <w:t>Post-adjudication</w:t>
            </w:r>
            <w:r w:rsidRPr="00ED1EAC">
              <w:rPr>
                <w:sz w:val="20"/>
                <w:szCs w:val="20"/>
              </w:rPr>
              <w:t xml:space="preserve"> requirements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0940E015" w14:textId="0C168F9D">
            <w:pPr>
              <w:rPr>
                <w:sz w:val="20"/>
                <w:szCs w:val="20"/>
              </w:rPr>
            </w:pPr>
            <w:r w:rsidRPr="00ED1EAC">
              <w:rPr>
                <w:sz w:val="20"/>
                <w:szCs w:val="20"/>
              </w:rPr>
              <w:t>8,</w:t>
            </w:r>
            <w:r w:rsidRPr="00ED1EAC" w:rsidR="00336DED">
              <w:rPr>
                <w:sz w:val="20"/>
                <w:szCs w:val="20"/>
              </w:rPr>
              <w:t>474</w:t>
            </w:r>
            <w:r w:rsidRPr="00ED1EAC">
              <w:rPr>
                <w:sz w:val="20"/>
                <w:szCs w:val="20"/>
              </w:rPr>
              <w:t> </w:t>
            </w:r>
          </w:p>
        </w:tc>
        <w:tc>
          <w:tcPr>
            <w:tcW w:w="126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18E143F9" w14:textId="29F856CD">
            <w:pPr>
              <w:rPr>
                <w:sz w:val="20"/>
                <w:szCs w:val="20"/>
              </w:rPr>
            </w:pPr>
            <w:r w:rsidRPr="00ED1EAC">
              <w:rPr>
                <w:sz w:val="20"/>
                <w:szCs w:val="20"/>
              </w:rPr>
              <w:t> </w:t>
            </w:r>
            <w:r w:rsidRPr="00ED1EAC" w:rsidR="00F44139">
              <w:rPr>
                <w:sz w:val="20"/>
                <w:szCs w:val="20"/>
              </w:rPr>
              <w:t>1</w:t>
            </w:r>
          </w:p>
        </w:tc>
        <w:tc>
          <w:tcPr>
            <w:tcW w:w="117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14F95FBB" w14:textId="108F4E6D">
            <w:pPr>
              <w:rPr>
                <w:sz w:val="20"/>
                <w:szCs w:val="20"/>
              </w:rPr>
            </w:pPr>
            <w:r w:rsidRPr="00ED1EAC">
              <w:rPr>
                <w:sz w:val="20"/>
                <w:szCs w:val="20"/>
              </w:rPr>
              <w:t>8,474 </w:t>
            </w:r>
          </w:p>
        </w:tc>
        <w:tc>
          <w:tcPr>
            <w:tcW w:w="117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3DDA4C38" w14:textId="3BF2C01F">
            <w:pPr>
              <w:rPr>
                <w:sz w:val="20"/>
                <w:szCs w:val="20"/>
              </w:rPr>
            </w:pPr>
            <w:r w:rsidRPr="00ED1EAC">
              <w:rPr>
                <w:sz w:val="20"/>
                <w:szCs w:val="20"/>
              </w:rPr>
              <w:t> </w:t>
            </w:r>
            <w:r w:rsidRPr="00ED1EAC" w:rsidR="004E236B">
              <w:rPr>
                <w:sz w:val="20"/>
                <w:szCs w:val="20"/>
              </w:rPr>
              <w:t>1.73</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7AAADE86" w14:textId="5B23F3B3">
            <w:pPr>
              <w:rPr>
                <w:sz w:val="20"/>
                <w:szCs w:val="20"/>
              </w:rPr>
            </w:pPr>
            <w:r w:rsidRPr="00ED1EAC">
              <w:rPr>
                <w:sz w:val="20"/>
                <w:szCs w:val="20"/>
              </w:rPr>
              <w:t>14</w:t>
            </w:r>
            <w:r w:rsidRPr="00ED1EAC" w:rsidR="0056037E">
              <w:rPr>
                <w:sz w:val="20"/>
                <w:szCs w:val="20"/>
              </w:rPr>
              <w:t>,</w:t>
            </w:r>
            <w:r w:rsidRPr="00ED1EAC">
              <w:rPr>
                <w:sz w:val="20"/>
                <w:szCs w:val="20"/>
              </w:rPr>
              <w:t>660</w:t>
            </w:r>
            <w:r w:rsidRPr="00ED1EAC">
              <w:rPr>
                <w:sz w:val="20"/>
                <w:szCs w:val="20"/>
              </w:rPr>
              <w:t> </w:t>
            </w:r>
          </w:p>
        </w:tc>
        <w:tc>
          <w:tcPr>
            <w:tcW w:w="90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0827C740" w14:textId="45908F50">
            <w:pPr>
              <w:rPr>
                <w:sz w:val="18"/>
                <w:szCs w:val="18"/>
              </w:rPr>
            </w:pPr>
            <w:r w:rsidRPr="00ED1EAC">
              <w:rPr>
                <w:sz w:val="18"/>
                <w:szCs w:val="18"/>
              </w:rPr>
              <w:t> </w:t>
            </w:r>
            <w:r w:rsidRPr="00ED1EAC" w:rsidR="00575F5A">
              <w:rPr>
                <w:sz w:val="18"/>
                <w:szCs w:val="18"/>
              </w:rPr>
              <w:t>83.59</w:t>
            </w:r>
          </w:p>
        </w:tc>
        <w:tc>
          <w:tcPr>
            <w:tcW w:w="1260" w:type="dxa"/>
            <w:gridSpan w:val="2"/>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79138C6E" w14:textId="5474223A">
            <w:pPr>
              <w:rPr>
                <w:sz w:val="20"/>
                <w:szCs w:val="20"/>
              </w:rPr>
            </w:pPr>
            <w:r w:rsidRPr="00ED1EAC">
              <w:rPr>
                <w:sz w:val="20"/>
                <w:szCs w:val="20"/>
              </w:rPr>
              <w:t>$</w:t>
            </w:r>
            <w:r w:rsidR="00E90722">
              <w:rPr>
                <w:sz w:val="20"/>
                <w:szCs w:val="20"/>
              </w:rPr>
              <w:t>1,</w:t>
            </w:r>
            <w:r w:rsidRPr="00ED1EAC">
              <w:rPr>
                <w:sz w:val="20"/>
                <w:szCs w:val="20"/>
              </w:rPr>
              <w:t>2</w:t>
            </w:r>
            <w:r w:rsidR="00E90722">
              <w:rPr>
                <w:sz w:val="20"/>
                <w:szCs w:val="20"/>
              </w:rPr>
              <w:t>25</w:t>
            </w:r>
            <w:r w:rsidRPr="00ED1EAC">
              <w:rPr>
                <w:sz w:val="20"/>
                <w:szCs w:val="20"/>
              </w:rPr>
              <w:t>,</w:t>
            </w:r>
            <w:r w:rsidR="00E90722">
              <w:rPr>
                <w:sz w:val="20"/>
                <w:szCs w:val="20"/>
              </w:rPr>
              <w:t>429</w:t>
            </w:r>
            <w:r w:rsidRPr="00ED1EAC">
              <w:rPr>
                <w:sz w:val="20"/>
                <w:szCs w:val="20"/>
              </w:rPr>
              <w:t>.</w:t>
            </w:r>
            <w:r w:rsidR="00E90722">
              <w:rPr>
                <w:sz w:val="20"/>
                <w:szCs w:val="20"/>
              </w:rPr>
              <w:t>40</w:t>
            </w:r>
            <w:r w:rsidRPr="00ED1EAC">
              <w:rPr>
                <w:sz w:val="20"/>
                <w:szCs w:val="20"/>
              </w:rPr>
              <w:t> </w:t>
            </w:r>
          </w:p>
        </w:tc>
      </w:tr>
      <w:tr w14:paraId="78259DE1" w14:textId="77777777" w:rsidTr="000476FF">
        <w:tblPrEx>
          <w:tblW w:w="9000" w:type="dxa"/>
          <w:tblInd w:w="-8" w:type="dxa"/>
          <w:tblLayout w:type="fixed"/>
          <w:tblCellMar>
            <w:left w:w="0" w:type="dxa"/>
            <w:right w:w="0" w:type="dxa"/>
          </w:tblCellMar>
          <w:tblLook w:val="04A0"/>
        </w:tblPrEx>
        <w:trPr>
          <w:trHeight w:val="360"/>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B4508" w:rsidRPr="00ED1EAC" w:rsidP="00DB4508" w14:paraId="496A239F" w14:textId="77777777">
            <w:pPr>
              <w:rPr>
                <w:sz w:val="20"/>
                <w:szCs w:val="20"/>
              </w:rPr>
            </w:pPr>
            <w:r w:rsidRPr="00ED1EAC">
              <w:rPr>
                <w:sz w:val="20"/>
                <w:szCs w:val="20"/>
              </w:rPr>
              <w:t>H. Integrity measures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ED1EAC" w:rsidP="00DB4508" w14:paraId="07E55EE9" w14:textId="2C69A4DD">
            <w:pPr>
              <w:rPr>
                <w:sz w:val="20"/>
                <w:szCs w:val="20"/>
              </w:rPr>
            </w:pPr>
            <w:r w:rsidRPr="00ED1EAC">
              <w:rPr>
                <w:sz w:val="20"/>
                <w:szCs w:val="20"/>
              </w:rPr>
              <w:t>20</w:t>
            </w:r>
          </w:p>
        </w:tc>
        <w:tc>
          <w:tcPr>
            <w:tcW w:w="126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ED1EAC" w:rsidP="00DB4508" w14:paraId="0576C373" w14:textId="0E226CB2">
            <w:pPr>
              <w:rPr>
                <w:sz w:val="20"/>
                <w:szCs w:val="20"/>
              </w:rPr>
            </w:pPr>
            <w:r w:rsidRPr="00ED1EAC">
              <w:rPr>
                <w:sz w:val="20"/>
                <w:szCs w:val="20"/>
              </w:rPr>
              <w:t> </w:t>
            </w:r>
            <w:r w:rsidRPr="00ED1EAC" w:rsidR="00F44139">
              <w:rPr>
                <w:sz w:val="20"/>
                <w:szCs w:val="20"/>
              </w:rPr>
              <w:t>1</w:t>
            </w:r>
          </w:p>
        </w:tc>
        <w:tc>
          <w:tcPr>
            <w:tcW w:w="1170" w:type="dxa"/>
            <w:tcBorders>
              <w:top w:val="single" w:sz="6" w:space="0" w:color="auto"/>
              <w:left w:val="nil"/>
              <w:bottom w:val="single" w:sz="6" w:space="0" w:color="auto"/>
              <w:right w:val="single" w:sz="6" w:space="0" w:color="auto"/>
            </w:tcBorders>
            <w:shd w:val="clear" w:color="auto" w:fill="auto"/>
            <w:vAlign w:val="center"/>
            <w:hideMark/>
          </w:tcPr>
          <w:p w:rsidR="00DB4508" w:rsidRPr="00DE75DB" w:rsidP="00DB4508" w14:paraId="3834CC19" w14:textId="18762541">
            <w:pPr>
              <w:rPr>
                <w:sz w:val="20"/>
                <w:szCs w:val="20"/>
              </w:rPr>
            </w:pPr>
            <w:r w:rsidRPr="00DE75DB">
              <w:rPr>
                <w:sz w:val="20"/>
                <w:szCs w:val="20"/>
              </w:rPr>
              <w:t>20</w:t>
            </w:r>
          </w:p>
        </w:tc>
        <w:tc>
          <w:tcPr>
            <w:tcW w:w="117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DE75DB" w:rsidP="00DB4508" w14:paraId="5C86B332" w14:textId="26510B0C">
            <w:pPr>
              <w:rPr>
                <w:sz w:val="20"/>
                <w:szCs w:val="20"/>
              </w:rPr>
            </w:pPr>
            <w:r w:rsidRPr="00DE75DB">
              <w:rPr>
                <w:sz w:val="20"/>
                <w:szCs w:val="20"/>
              </w:rPr>
              <w:t> </w:t>
            </w:r>
            <w:r w:rsidRPr="00DE75DB" w:rsidR="00B74491">
              <w:rPr>
                <w:sz w:val="20"/>
                <w:szCs w:val="20"/>
              </w:rPr>
              <w:t>1</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B4508" w:rsidRPr="00DE75DB" w:rsidP="00DB4508" w14:paraId="36957662" w14:textId="434F5161">
            <w:pPr>
              <w:rPr>
                <w:sz w:val="20"/>
                <w:szCs w:val="20"/>
              </w:rPr>
            </w:pPr>
            <w:r w:rsidRPr="00DE75DB">
              <w:rPr>
                <w:sz w:val="20"/>
                <w:szCs w:val="20"/>
              </w:rPr>
              <w:t>20</w:t>
            </w:r>
          </w:p>
        </w:tc>
        <w:tc>
          <w:tcPr>
            <w:tcW w:w="90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B4508" w:rsidRPr="000476FF" w:rsidP="00DB4508" w14:paraId="1EEB52B0" w14:textId="234854BC">
            <w:pPr>
              <w:rPr>
                <w:sz w:val="20"/>
                <w:szCs w:val="20"/>
              </w:rPr>
            </w:pPr>
            <w:r w:rsidRPr="000476FF">
              <w:rPr>
                <w:sz w:val="20"/>
                <w:szCs w:val="20"/>
              </w:rPr>
              <w:t> </w:t>
            </w:r>
            <w:r w:rsidRPr="000476FF" w:rsidR="00575F5A">
              <w:rPr>
                <w:sz w:val="20"/>
                <w:szCs w:val="20"/>
              </w:rPr>
              <w:t>83.59</w:t>
            </w:r>
          </w:p>
        </w:tc>
        <w:tc>
          <w:tcPr>
            <w:tcW w:w="1260" w:type="dxa"/>
            <w:gridSpan w:val="2"/>
            <w:tcBorders>
              <w:top w:val="single" w:sz="6" w:space="0" w:color="auto"/>
              <w:left w:val="nil"/>
              <w:bottom w:val="single" w:sz="6" w:space="0" w:color="auto"/>
              <w:right w:val="single" w:sz="6" w:space="0" w:color="auto"/>
            </w:tcBorders>
            <w:shd w:val="clear" w:color="auto" w:fill="auto"/>
            <w:vAlign w:val="center"/>
            <w:hideMark/>
          </w:tcPr>
          <w:p w:rsidR="00DB4508" w:rsidRPr="00DE75DB" w:rsidP="00DB4508" w14:paraId="44CFEF8C" w14:textId="0A900A69">
            <w:pPr>
              <w:rPr>
                <w:sz w:val="20"/>
                <w:szCs w:val="20"/>
              </w:rPr>
            </w:pPr>
            <w:r w:rsidRPr="00DE75DB">
              <w:rPr>
                <w:sz w:val="20"/>
                <w:szCs w:val="20"/>
              </w:rPr>
              <w:t>$</w:t>
            </w:r>
            <w:r w:rsidRPr="00DE75DB" w:rsidR="00E02247">
              <w:rPr>
                <w:sz w:val="20"/>
                <w:szCs w:val="20"/>
              </w:rPr>
              <w:t>1</w:t>
            </w:r>
            <w:r w:rsidRPr="00DE75DB">
              <w:rPr>
                <w:sz w:val="20"/>
                <w:szCs w:val="20"/>
              </w:rPr>
              <w:t>,</w:t>
            </w:r>
            <w:r w:rsidRPr="00DE75DB" w:rsidR="00E02247">
              <w:rPr>
                <w:sz w:val="20"/>
                <w:szCs w:val="20"/>
              </w:rPr>
              <w:t>671</w:t>
            </w:r>
            <w:r w:rsidRPr="00DE75DB">
              <w:rPr>
                <w:sz w:val="20"/>
                <w:szCs w:val="20"/>
              </w:rPr>
              <w:t>.</w:t>
            </w:r>
            <w:r w:rsidRPr="00DE75DB" w:rsidR="00E02247">
              <w:rPr>
                <w:sz w:val="20"/>
                <w:szCs w:val="20"/>
              </w:rPr>
              <w:t>80</w:t>
            </w:r>
            <w:r w:rsidRPr="00DE75DB">
              <w:rPr>
                <w:sz w:val="20"/>
                <w:szCs w:val="20"/>
              </w:rPr>
              <w:t> </w:t>
            </w:r>
          </w:p>
        </w:tc>
      </w:tr>
      <w:tr w14:paraId="7B9A89B8" w14:textId="77777777" w:rsidTr="000476FF">
        <w:tblPrEx>
          <w:tblW w:w="9000" w:type="dxa"/>
          <w:tblInd w:w="-8" w:type="dxa"/>
          <w:tblLayout w:type="fixed"/>
          <w:tblCellMar>
            <w:left w:w="0" w:type="dxa"/>
            <w:right w:w="0" w:type="dxa"/>
          </w:tblCellMar>
          <w:tblLook w:val="04A0"/>
        </w:tblPrEx>
        <w:trPr>
          <w:gridAfter w:val="1"/>
          <w:wAfter w:w="360" w:type="dxa"/>
          <w:trHeight w:val="360"/>
        </w:trPr>
        <w:tc>
          <w:tcPr>
            <w:tcW w:w="1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E75DB" w:rsidRPr="00ED1EAC" w:rsidP="00DE75DB" w14:paraId="5626C0A4" w14:textId="52EC0FAC">
            <w:pPr>
              <w:rPr>
                <w:sz w:val="20"/>
                <w:szCs w:val="20"/>
              </w:rPr>
            </w:pPr>
            <w:r w:rsidRPr="00ED1EAC">
              <w:rPr>
                <w:b/>
                <w:bCs/>
                <w:sz w:val="20"/>
                <w:szCs w:val="20"/>
              </w:rPr>
              <w:t>Unduplicated Totals</w:t>
            </w:r>
            <w:r w:rsidRPr="00ED1EAC">
              <w:rPr>
                <w:sz w:val="20"/>
                <w:szCs w:val="20"/>
              </w:rPr>
              <w:t>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rsidR="00DE75DB" w:rsidRPr="00ED1EAC" w:rsidP="00DE75DB" w14:paraId="27B92FD1" w14:textId="661BFFE9">
            <w:pPr>
              <w:rPr>
                <w:sz w:val="20"/>
                <w:szCs w:val="20"/>
              </w:rPr>
            </w:pPr>
            <w:r w:rsidRPr="00ED1EAC">
              <w:rPr>
                <w:b/>
                <w:bCs/>
                <w:sz w:val="20"/>
                <w:szCs w:val="20"/>
              </w:rPr>
              <w:t>4,376*</w:t>
            </w:r>
            <w:r w:rsidRPr="00ED1EAC">
              <w:rPr>
                <w:sz w:val="20"/>
                <w:szCs w:val="20"/>
              </w:rPr>
              <w:t> </w:t>
            </w:r>
          </w:p>
        </w:tc>
        <w:tc>
          <w:tcPr>
            <w:tcW w:w="126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E75DB" w:rsidRPr="00ED1EAC" w:rsidP="00DE75DB" w14:paraId="066C2F69" w14:textId="4224876E">
            <w:pPr>
              <w:rPr>
                <w:sz w:val="20"/>
                <w:szCs w:val="20"/>
              </w:rPr>
            </w:pPr>
            <w:r w:rsidRPr="00ED1EAC">
              <w:rPr>
                <w:sz w:val="20"/>
                <w:szCs w:val="20"/>
              </w:rPr>
              <w:t> </w:t>
            </w:r>
            <w:r>
              <w:rPr>
                <w:sz w:val="20"/>
                <w:szCs w:val="20"/>
              </w:rPr>
              <w:t>-</w:t>
            </w:r>
          </w:p>
        </w:tc>
        <w:tc>
          <w:tcPr>
            <w:tcW w:w="1170" w:type="dxa"/>
            <w:tcBorders>
              <w:top w:val="single" w:sz="6" w:space="0" w:color="auto"/>
              <w:left w:val="nil"/>
              <w:bottom w:val="single" w:sz="6" w:space="0" w:color="auto"/>
              <w:right w:val="single" w:sz="6" w:space="0" w:color="auto"/>
            </w:tcBorders>
            <w:shd w:val="clear" w:color="auto" w:fill="auto"/>
            <w:vAlign w:val="center"/>
            <w:hideMark/>
          </w:tcPr>
          <w:p w:rsidR="00DE75DB" w:rsidRPr="00DE75DB" w:rsidP="00DE75DB" w14:paraId="7F637162" w14:textId="418848FF">
            <w:pPr>
              <w:rPr>
                <w:sz w:val="20"/>
                <w:szCs w:val="20"/>
              </w:rPr>
            </w:pPr>
            <w:r w:rsidRPr="00DE75DB">
              <w:rPr>
                <w:b/>
                <w:bCs/>
                <w:sz w:val="20"/>
                <w:szCs w:val="20"/>
              </w:rPr>
              <w:t>140,410* </w:t>
            </w:r>
            <w:r w:rsidRPr="00DE75DB">
              <w:rPr>
                <w:sz w:val="20"/>
                <w:szCs w:val="20"/>
              </w:rPr>
              <w:t> </w:t>
            </w:r>
          </w:p>
        </w:tc>
        <w:tc>
          <w:tcPr>
            <w:tcW w:w="117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rsidR="00DE75DB" w:rsidRPr="00DE75DB" w:rsidP="00DE75DB" w14:paraId="2501BD2E" w14:textId="32BBBC5D">
            <w:pPr>
              <w:rPr>
                <w:sz w:val="20"/>
                <w:szCs w:val="20"/>
              </w:rPr>
            </w:pPr>
            <w:r w:rsidRPr="00DE75DB">
              <w:rPr>
                <w:sz w:val="20"/>
                <w:szCs w:val="20"/>
              </w:rPr>
              <w:t> Varies</w:t>
            </w:r>
          </w:p>
        </w:tc>
        <w:tc>
          <w:tcPr>
            <w:tcW w:w="990" w:type="dxa"/>
            <w:tcBorders>
              <w:top w:val="single" w:sz="6" w:space="0" w:color="auto"/>
              <w:left w:val="nil"/>
              <w:bottom w:val="single" w:sz="6" w:space="0" w:color="auto"/>
              <w:right w:val="single" w:sz="6" w:space="0" w:color="auto"/>
            </w:tcBorders>
            <w:shd w:val="clear" w:color="auto" w:fill="auto"/>
            <w:vAlign w:val="bottom"/>
            <w:hideMark/>
          </w:tcPr>
          <w:p w:rsidR="00DE75DB" w:rsidRPr="00DE75DB" w:rsidP="00DE75DB" w14:paraId="4EC35BDC" w14:textId="47AB048E">
            <w:pPr>
              <w:rPr>
                <w:sz w:val="20"/>
                <w:szCs w:val="20"/>
              </w:rPr>
            </w:pPr>
            <w:r w:rsidRPr="000476FF">
              <w:rPr>
                <w:b/>
                <w:bCs/>
                <w:color w:val="000000" w:themeColor="text1"/>
                <w:sz w:val="20"/>
                <w:szCs w:val="20"/>
              </w:rPr>
              <w:t>53</w:t>
            </w:r>
            <w:r w:rsidRPr="68A4767D" w:rsidR="78EF6467">
              <w:rPr>
                <w:b/>
                <w:bCs/>
                <w:color w:val="000000" w:themeColor="text1"/>
                <w:sz w:val="20"/>
                <w:szCs w:val="20"/>
              </w:rPr>
              <w:t>,</w:t>
            </w:r>
            <w:r w:rsidRPr="68A4767D" w:rsidR="53743393">
              <w:rPr>
                <w:b/>
                <w:bCs/>
                <w:color w:val="000000" w:themeColor="text1"/>
                <w:sz w:val="20"/>
                <w:szCs w:val="20"/>
              </w:rPr>
              <w:t>400</w:t>
            </w:r>
          </w:p>
        </w:tc>
        <w:tc>
          <w:tcPr>
            <w:tcW w:w="900" w:type="dxa"/>
            <w:tcBorders>
              <w:top w:val="single" w:sz="6" w:space="0" w:color="auto"/>
              <w:left w:val="nil"/>
              <w:bottom w:val="single" w:sz="6" w:space="0" w:color="auto"/>
              <w:right w:val="single" w:sz="6" w:space="0" w:color="auto"/>
            </w:tcBorders>
            <w:shd w:val="clear" w:color="auto" w:fill="D9D9D9" w:themeFill="background1" w:themeFillShade="D9"/>
            <w:vAlign w:val="bottom"/>
            <w:hideMark/>
          </w:tcPr>
          <w:p w:rsidR="00DE75DB" w:rsidRPr="00DE75DB" w:rsidP="00DE75DB" w14:paraId="37A7F212" w14:textId="0D2FCAEA">
            <w:pPr>
              <w:rPr>
                <w:sz w:val="20"/>
                <w:szCs w:val="20"/>
              </w:rPr>
            </w:pPr>
            <w:r w:rsidRPr="000476FF">
              <w:rPr>
                <w:color w:val="000000"/>
                <w:sz w:val="20"/>
                <w:szCs w:val="20"/>
              </w:rPr>
              <w:t> </w:t>
            </w:r>
          </w:p>
        </w:tc>
        <w:tc>
          <w:tcPr>
            <w:tcW w:w="1260" w:type="dxa"/>
            <w:tcBorders>
              <w:top w:val="single" w:sz="6" w:space="0" w:color="auto"/>
              <w:left w:val="nil"/>
              <w:bottom w:val="single" w:sz="6" w:space="0" w:color="auto"/>
              <w:right w:val="single" w:sz="6" w:space="0" w:color="auto"/>
            </w:tcBorders>
            <w:shd w:val="clear" w:color="auto" w:fill="auto"/>
            <w:vAlign w:val="bottom"/>
            <w:hideMark/>
          </w:tcPr>
          <w:p w:rsidR="00DE75DB" w:rsidRPr="00DE75DB" w:rsidP="00DE75DB" w14:paraId="40FE6CA3" w14:textId="6EB16CC1">
            <w:pPr>
              <w:rPr>
                <w:sz w:val="20"/>
                <w:szCs w:val="20"/>
              </w:rPr>
            </w:pPr>
            <w:r w:rsidRPr="000476FF">
              <w:rPr>
                <w:b/>
                <w:bCs/>
                <w:color w:val="000000"/>
                <w:sz w:val="20"/>
                <w:szCs w:val="20"/>
              </w:rPr>
              <w:t>$4,463,685.10</w:t>
            </w:r>
          </w:p>
        </w:tc>
      </w:tr>
    </w:tbl>
    <w:p w:rsidR="00DB4508" w:rsidRPr="00DB4508" w:rsidP="00DB4508" w14:paraId="72A2563F" w14:textId="77777777">
      <w:r w:rsidRPr="00DB4508">
        <w:t> </w:t>
      </w:r>
    </w:p>
    <w:p w:rsidR="00DB4508" w:rsidRPr="00DB4508" w:rsidP="00DB4508" w14:paraId="58D39935" w14:textId="4FBA1328">
      <w:r w:rsidRPr="00DB4508">
        <w:rPr>
          <w:i/>
          <w:iCs/>
        </w:rPr>
        <w:t xml:space="preserve">*The column representing the number of respondents </w:t>
      </w:r>
      <w:r w:rsidR="00852FD3">
        <w:rPr>
          <w:i/>
          <w:iCs/>
        </w:rPr>
        <w:t xml:space="preserve">and number of responses </w:t>
      </w:r>
      <w:r w:rsidRPr="00DB4508">
        <w:rPr>
          <w:i/>
          <w:iCs/>
        </w:rPr>
        <w:t>that complete the collection of information steps described in this table cannot be added up as not all employers or agents complete each one of the steps described.  The Department estimates</w:t>
      </w:r>
      <w:r w:rsidR="00A60B2B">
        <w:rPr>
          <w:i/>
          <w:iCs/>
        </w:rPr>
        <w:t xml:space="preserve"> for the Kansas plaint</w:t>
      </w:r>
      <w:r w:rsidR="00F005AD">
        <w:rPr>
          <w:i/>
          <w:iCs/>
        </w:rPr>
        <w:t>iffs</w:t>
      </w:r>
      <w:r w:rsidRPr="00DB4508">
        <w:rPr>
          <w:i/>
          <w:iCs/>
        </w:rPr>
        <w:t xml:space="preserve">, that on a yearly average, </w:t>
      </w:r>
      <w:r w:rsidR="00CD56DB">
        <w:rPr>
          <w:i/>
          <w:iCs/>
        </w:rPr>
        <w:t>4,376</w:t>
      </w:r>
      <w:r w:rsidRPr="00DB4508">
        <w:rPr>
          <w:i/>
          <w:iCs/>
        </w:rPr>
        <w:t xml:space="preserve"> respondents will provide on average </w:t>
      </w:r>
      <w:r w:rsidR="000F2BC7">
        <w:rPr>
          <w:i/>
          <w:iCs/>
        </w:rPr>
        <w:t>140,410</w:t>
      </w:r>
      <w:r w:rsidRPr="00DB4508">
        <w:rPr>
          <w:i/>
          <w:iCs/>
        </w:rPr>
        <w:t xml:space="preserve"> responses in connection with this information collection.</w:t>
      </w:r>
      <w:r w:rsidRPr="00DB4508">
        <w:t> </w:t>
      </w:r>
    </w:p>
    <w:p w:rsidR="225D2E6A" w14:paraId="1F4DCA7D" w14:textId="59810212"/>
    <w:p w:rsidR="000254DA" w:rsidRPr="0093752B" w:rsidP="000254DA" w14:paraId="35189D3D" w14:textId="545577DA">
      <w:pPr>
        <w:autoSpaceDE w:val="0"/>
        <w:autoSpaceDN w:val="0"/>
        <w:adjustRightInd w:val="0"/>
        <w:rPr>
          <w:b/>
        </w:rPr>
      </w:pPr>
      <w:r w:rsidRPr="0093752B">
        <w:rPr>
          <w:b/>
        </w:rPr>
        <w:t>Total Hourly Cost Estimates</w:t>
      </w:r>
    </w:p>
    <w:p w:rsidR="000254DA" w:rsidRPr="0093752B" w:rsidP="000254DA" w14:paraId="0C54EEA7" w14:textId="77777777">
      <w:pPr>
        <w:autoSpaceDE w:val="0"/>
        <w:autoSpaceDN w:val="0"/>
        <w:adjustRightInd w:val="0"/>
      </w:pPr>
    </w:p>
    <w:p w:rsidR="000254DA" w:rsidRPr="0093752B" w:rsidP="000254DA" w14:paraId="315426B4" w14:textId="09F421FD">
      <w:pPr>
        <w:autoSpaceDE w:val="0"/>
        <w:autoSpaceDN w:val="0"/>
        <w:adjustRightInd w:val="0"/>
      </w:pPr>
      <w:r w:rsidRPr="0093752B">
        <w:t xml:space="preserve">The Department receives applications requesting temporary labor certification under the H-2A visa program from employers operating across a wide spectrum of agricultural activities and commodities in the U.S. economy. While it is difficult to estimate the costs involved, the Department believes that in most companies, a Human Resources Manager will perform these </w:t>
      </w:r>
      <w:r w:rsidRPr="0093752B">
        <w:t>activities. In estimating employer staff time costs, the Department used the national cross-industry mean hourly wage rate for a Human Resources Manager ($64.70), as published by the Department’s Occupational Employment Statistics survey,</w:t>
      </w:r>
      <w:r>
        <w:rPr>
          <w:vertAlign w:val="superscript"/>
        </w:rPr>
        <w:footnoteReference w:id="4"/>
      </w:r>
      <w:r w:rsidRPr="0093752B">
        <w:rPr>
          <w:vertAlign w:val="superscript"/>
        </w:rPr>
        <w:t xml:space="preserve"> </w:t>
      </w:r>
      <w:r w:rsidRPr="0093752B">
        <w:t>and increased it by a factor of 1.29</w:t>
      </w:r>
      <w:r>
        <w:t>2</w:t>
      </w:r>
      <w:r w:rsidRPr="0093752B">
        <w:t xml:space="preserve"> to account for employee benefits and other compensation for a total hourly cost of $83.59.</w:t>
      </w:r>
      <w:r>
        <w:rPr>
          <w:vertAlign w:val="superscript"/>
        </w:rPr>
        <w:footnoteReference w:id="5"/>
      </w:r>
      <w:r w:rsidRPr="0093752B">
        <w:t xml:space="preserve"> The total compensation is $83.59 ($64.70 × 1.29</w:t>
      </w:r>
      <w:r>
        <w:t>2</w:t>
      </w:r>
      <w:r w:rsidRPr="0093752B">
        <w:t xml:space="preserve">) for a Human Resources manager. The Department estimates the total cost by multiplying the compensation for a Human Resources manager by the total time to complete and retain the forms and supporting documentation in the amount of </w:t>
      </w:r>
      <w:r w:rsidRPr="00F036E0" w:rsidR="007B1288">
        <w:t>13</w:t>
      </w:r>
      <w:r w:rsidRPr="00F036E0">
        <w:t>,</w:t>
      </w:r>
      <w:r w:rsidRPr="00F036E0" w:rsidR="00D574A5">
        <w:t>321</w:t>
      </w:r>
      <w:r w:rsidRPr="00F036E0">
        <w:t>.</w:t>
      </w:r>
      <w:r w:rsidRPr="00F036E0" w:rsidR="00D574A5">
        <w:t>8</w:t>
      </w:r>
      <w:r w:rsidRPr="00F036E0">
        <w:t>3</w:t>
      </w:r>
      <w:r>
        <w:t xml:space="preserve"> hours.</w:t>
      </w:r>
      <w:r>
        <w:rPr>
          <w:vertAlign w:val="superscript"/>
        </w:rPr>
        <w:footnoteReference w:id="6"/>
      </w:r>
    </w:p>
    <w:p w:rsidR="000254DA" w:rsidRPr="0093752B" w:rsidP="000254DA" w14:paraId="045D9D6A" w14:textId="77777777">
      <w:pPr>
        <w:autoSpaceDE w:val="0"/>
        <w:autoSpaceDN w:val="0"/>
        <w:adjustRightInd w:val="0"/>
      </w:pPr>
    </w:p>
    <w:p w:rsidR="000254DA" w:rsidRPr="0093752B" w:rsidP="000254DA" w14:paraId="166C8CB4" w14:textId="77777777">
      <w:pPr>
        <w:autoSpaceDE w:val="0"/>
        <w:autoSpaceDN w:val="0"/>
        <w:adjustRightInd w:val="0"/>
        <w:rPr>
          <w:b/>
        </w:rPr>
      </w:pPr>
      <w:r w:rsidRPr="0093752B">
        <w:rPr>
          <w:b/>
        </w:rPr>
        <w:t>B.  Collection of U.S. Worker Wage Information from SWAs</w:t>
      </w:r>
    </w:p>
    <w:p w:rsidR="000254DA" w:rsidRPr="0093752B" w:rsidP="000254DA" w14:paraId="5D5E9AC6" w14:textId="77777777">
      <w:pPr>
        <w:autoSpaceDE w:val="0"/>
        <w:autoSpaceDN w:val="0"/>
        <w:adjustRightInd w:val="0"/>
      </w:pPr>
    </w:p>
    <w:p w:rsidR="000254DA" w:rsidRPr="0093752B" w:rsidP="000254DA" w14:paraId="04F82AEB" w14:textId="2CF14CF7">
      <w:pPr>
        <w:autoSpaceDE w:val="0"/>
        <w:autoSpaceDN w:val="0"/>
        <w:adjustRightInd w:val="0"/>
      </w:pPr>
      <w:r w:rsidRPr="0093752B">
        <w:t>Based on recent program experience, the Department estimates it will receive, on average, approximately 2</w:t>
      </w:r>
      <w:r>
        <w:t>2</w:t>
      </w:r>
      <w:r w:rsidRPr="0093752B">
        <w:t>3</w:t>
      </w:r>
      <w:r w:rsidRPr="00687E9C">
        <w:t xml:space="preserve"> </w:t>
      </w:r>
      <w:r w:rsidRPr="0093752B">
        <w:t>Form ETA-232 submissions annually</w:t>
      </w:r>
      <w:r>
        <w:t>.</w:t>
      </w:r>
      <w:r>
        <w:rPr>
          <w:vertAlign w:val="superscript"/>
        </w:rPr>
        <w:footnoteReference w:id="7"/>
      </w:r>
      <w:r w:rsidRPr="0093752B">
        <w:t xml:space="preserve"> All actions associated with the collection vary depending on whether the SWA uses another state agency’s survey or conducts its own survey, as well as the SWA’s familiarity with the survey methodology requirements.  The estimated reporting burden is calculated using the number of expected responses and the estimated time to complete each response.  </w:t>
      </w:r>
    </w:p>
    <w:p w:rsidR="000254DA" w:rsidRPr="0093752B" w:rsidP="000254DA" w14:paraId="3F933A1C" w14:textId="77777777">
      <w:pPr>
        <w:autoSpaceDE w:val="0"/>
        <w:autoSpaceDN w:val="0"/>
        <w:adjustRightInd w:val="0"/>
      </w:pPr>
    </w:p>
    <w:p w:rsidR="000254DA" w:rsidRPr="0093752B" w:rsidP="000254DA" w14:paraId="0E291B9E" w14:textId="432A93AF">
      <w:pPr>
        <w:autoSpaceDE w:val="0"/>
        <w:autoSpaceDN w:val="0"/>
        <w:adjustRightInd w:val="0"/>
        <w:rPr>
          <w:b/>
        </w:rPr>
      </w:pPr>
      <w:r w:rsidRPr="0093752B">
        <w:rPr>
          <w:b/>
        </w:rPr>
        <w:t>Total Annual Burden Hours for the H-2A Information Collection from SWAs:</w:t>
      </w:r>
    </w:p>
    <w:p w:rsidR="000254DA" w:rsidRPr="0093752B" w:rsidP="000254DA" w14:paraId="5A152EE6" w14:textId="77777777">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1530"/>
      </w:tblGrid>
      <w:tr w14:paraId="70BE1856" w14:textId="7777777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1"/>
        </w:trPr>
        <w:tc>
          <w:tcPr>
            <w:tcW w:w="2340" w:type="dxa"/>
            <w:shd w:val="clear" w:color="auto" w:fill="auto"/>
          </w:tcPr>
          <w:p w:rsidR="000254DA" w:rsidRPr="0093752B" w14:paraId="79B517BA" w14:textId="77777777">
            <w:pPr>
              <w:autoSpaceDE w:val="0"/>
              <w:autoSpaceDN w:val="0"/>
              <w:adjustRightInd w:val="0"/>
            </w:pPr>
            <w:r w:rsidRPr="0093752B">
              <w:t>Total Burden Hours</w:t>
            </w:r>
          </w:p>
        </w:tc>
        <w:tc>
          <w:tcPr>
            <w:tcW w:w="1530" w:type="dxa"/>
            <w:shd w:val="clear" w:color="auto" w:fill="auto"/>
          </w:tcPr>
          <w:p w:rsidR="000254DA" w:rsidRPr="0093752B" w14:paraId="335C232C" w14:textId="76F022AF">
            <w:pPr>
              <w:autoSpaceDE w:val="0"/>
              <w:autoSpaceDN w:val="0"/>
              <w:adjustRightInd w:val="0"/>
            </w:pPr>
            <w:r w:rsidRPr="00B56164">
              <w:t>13,</w:t>
            </w:r>
            <w:r w:rsidR="00C25F4C">
              <w:t>110</w:t>
            </w:r>
          </w:p>
        </w:tc>
      </w:tr>
      <w:tr w14:paraId="4E22B2DA" w14:textId="77777777">
        <w:tblPrEx>
          <w:tblW w:w="0" w:type="auto"/>
          <w:tblInd w:w="108" w:type="dxa"/>
          <w:tblLook w:val="04A0"/>
        </w:tblPrEx>
        <w:tc>
          <w:tcPr>
            <w:tcW w:w="2340" w:type="dxa"/>
            <w:shd w:val="clear" w:color="auto" w:fill="auto"/>
          </w:tcPr>
          <w:p w:rsidR="000254DA" w:rsidRPr="0093752B" w14:paraId="47B894C7" w14:textId="77777777">
            <w:pPr>
              <w:autoSpaceDE w:val="0"/>
              <w:autoSpaceDN w:val="0"/>
              <w:adjustRightInd w:val="0"/>
            </w:pPr>
            <w:r w:rsidRPr="0093752B">
              <w:t>Total Responses</w:t>
            </w:r>
          </w:p>
        </w:tc>
        <w:tc>
          <w:tcPr>
            <w:tcW w:w="1530" w:type="dxa"/>
            <w:shd w:val="clear" w:color="auto" w:fill="auto"/>
          </w:tcPr>
          <w:p w:rsidR="000254DA" w:rsidRPr="0093752B" w14:paraId="0F3061C0" w14:textId="6AAA7C81">
            <w:pPr>
              <w:autoSpaceDE w:val="0"/>
              <w:autoSpaceDN w:val="0"/>
              <w:adjustRightInd w:val="0"/>
            </w:pPr>
            <w:r>
              <w:t>69</w:t>
            </w:r>
          </w:p>
        </w:tc>
      </w:tr>
      <w:tr w14:paraId="509C019C" w14:textId="77777777">
        <w:tblPrEx>
          <w:tblW w:w="0" w:type="auto"/>
          <w:tblInd w:w="108" w:type="dxa"/>
          <w:tblLook w:val="04A0"/>
        </w:tblPrEx>
        <w:tc>
          <w:tcPr>
            <w:tcW w:w="2340" w:type="dxa"/>
            <w:shd w:val="clear" w:color="auto" w:fill="auto"/>
          </w:tcPr>
          <w:p w:rsidR="000254DA" w:rsidRPr="0093752B" w14:paraId="24344690" w14:textId="77777777">
            <w:pPr>
              <w:autoSpaceDE w:val="0"/>
              <w:autoSpaceDN w:val="0"/>
              <w:adjustRightInd w:val="0"/>
            </w:pPr>
            <w:r w:rsidRPr="0093752B">
              <w:t>Total Respondents</w:t>
            </w:r>
          </w:p>
        </w:tc>
        <w:tc>
          <w:tcPr>
            <w:tcW w:w="1530" w:type="dxa"/>
            <w:shd w:val="clear" w:color="auto" w:fill="auto"/>
          </w:tcPr>
          <w:p w:rsidR="000254DA" w:rsidRPr="0093752B" w14:paraId="0483D556" w14:textId="6809245C">
            <w:pPr>
              <w:autoSpaceDE w:val="0"/>
              <w:autoSpaceDN w:val="0"/>
              <w:adjustRightInd w:val="0"/>
            </w:pPr>
            <w:r>
              <w:t>6</w:t>
            </w:r>
          </w:p>
        </w:tc>
      </w:tr>
    </w:tbl>
    <w:p w:rsidR="000254DA" w:rsidRPr="0093752B" w:rsidP="000254DA" w14:paraId="0BF68E73" w14:textId="77777777">
      <w:pPr>
        <w:autoSpaceDE w:val="0"/>
        <w:autoSpaceDN w:val="0"/>
        <w:adjustRightInd w:val="0"/>
        <w:rPr>
          <w:b/>
        </w:rPr>
      </w:pPr>
    </w:p>
    <w:p w:rsidR="000254DA" w:rsidRPr="0093752B" w:rsidP="000254DA" w14:paraId="0CC37DEA" w14:textId="77777777">
      <w:pPr>
        <w:autoSpaceDE w:val="0"/>
        <w:autoSpaceDN w:val="0"/>
        <w:adjustRightInd w:val="0"/>
        <w:rPr>
          <w:b/>
        </w:rPr>
      </w:pPr>
      <w:r w:rsidRPr="0093752B">
        <w:rPr>
          <w:b/>
        </w:rPr>
        <w:t>Total Hourly Cost Estimates</w:t>
      </w:r>
    </w:p>
    <w:p w:rsidR="000254DA" w:rsidRPr="0093752B" w:rsidP="000254DA" w14:paraId="42C22CF6" w14:textId="77777777">
      <w:pPr>
        <w:autoSpaceDE w:val="0"/>
        <w:autoSpaceDN w:val="0"/>
        <w:adjustRightInd w:val="0"/>
      </w:pPr>
    </w:p>
    <w:p w:rsidR="000254DA" w:rsidRPr="0093752B" w:rsidP="000254DA" w14:paraId="2E43A0A0" w14:textId="4EAAA0AF">
      <w:pPr>
        <w:autoSpaceDE w:val="0"/>
        <w:autoSpaceDN w:val="0"/>
        <w:adjustRightInd w:val="0"/>
      </w:pPr>
      <w:r w:rsidRPr="0093752B">
        <w:t xml:space="preserve">SWAs are funded under reimbursable annual grants. The grants allow for costs related to the preparation and submission of all required financial and programmatic reports, including the surveying and submission of prevailing wage results using Form ETA-232, </w:t>
      </w:r>
      <w:r w:rsidRPr="0093752B">
        <w:rPr>
          <w:i/>
        </w:rPr>
        <w:t>Domestic In-Season Agricultural Wage Report</w:t>
      </w:r>
      <w:r w:rsidRPr="0093752B">
        <w:t xml:space="preserve">. The average hourly wage for </w:t>
      </w:r>
      <w:r w:rsidRPr="0093752B">
        <w:rPr>
          <w:lang w:val="en"/>
        </w:rPr>
        <w:t xml:space="preserve">Compensation, Benefits, and Job </w:t>
      </w:r>
      <w:r w:rsidRPr="00BA323F">
        <w:rPr>
          <w:lang w:val="en"/>
        </w:rPr>
        <w:t>Analysis Specialists, who the Department believes are likely to perform these functions, is</w:t>
      </w:r>
      <w:r w:rsidRPr="00BA323F">
        <w:t xml:space="preserve"> $34.91.</w:t>
      </w:r>
      <w:r>
        <w:rPr>
          <w:vertAlign w:val="superscript"/>
          <w:lang w:val="en"/>
        </w:rPr>
        <w:footnoteReference w:id="8"/>
      </w:r>
      <w:r w:rsidRPr="00BA323F">
        <w:rPr>
          <w:lang w:val="en"/>
        </w:rPr>
        <w:t xml:space="preserve"> Including </w:t>
      </w:r>
      <w:r w:rsidRPr="00BA323F">
        <w:t xml:space="preserve">benefits averaging 42 percent of total employee compensation, the estimated average hourly compensation for a </w:t>
      </w:r>
      <w:r w:rsidRPr="00BA323F">
        <w:rPr>
          <w:lang w:val="en"/>
        </w:rPr>
        <w:t>Compensation, Benefits, and Job Analysis Specialist</w:t>
      </w:r>
      <w:r w:rsidRPr="00BA323F">
        <w:t xml:space="preserve"> is </w:t>
      </w:r>
      <w:r w:rsidRPr="00BA323F">
        <w:t>$49.57 ($34.91 x 1.42).</w:t>
      </w:r>
      <w:r>
        <w:rPr>
          <w:vertAlign w:val="superscript"/>
        </w:rPr>
        <w:footnoteReference w:id="9"/>
      </w:r>
      <w:r w:rsidRPr="00BA323F">
        <w:t xml:space="preserve"> </w:t>
      </w:r>
      <w:r w:rsidRPr="00BA323F">
        <w:rPr>
          <w:lang w:val="en"/>
        </w:rPr>
        <w:t xml:space="preserve"> </w:t>
      </w:r>
      <w:r w:rsidRPr="00BA323F">
        <w:t xml:space="preserve">At an estimated 1,190 total hours to complete, validate, and submit information on the Form ETA-232, the </w:t>
      </w:r>
      <w:r w:rsidRPr="00BA323F">
        <w:rPr>
          <w:iCs/>
        </w:rPr>
        <w:t>total estimated annual cost of these activities is $</w:t>
      </w:r>
      <w:r w:rsidR="00F86287">
        <w:rPr>
          <w:iCs/>
        </w:rPr>
        <w:t>17,697</w:t>
      </w:r>
      <w:r w:rsidR="007E4DCE">
        <w:rPr>
          <w:iCs/>
        </w:rPr>
        <w:t>.30</w:t>
      </w:r>
      <w:r w:rsidRPr="00BA323F">
        <w:t>.</w:t>
      </w:r>
    </w:p>
    <w:p w:rsidR="000254DA" w:rsidP="000254DA" w14:paraId="0D9ECD9B" w14:textId="77777777">
      <w:pPr>
        <w:autoSpaceDE w:val="0"/>
        <w:autoSpaceDN w:val="0"/>
        <w:adjustRightInd w:val="0"/>
      </w:pPr>
    </w:p>
    <w:p w:rsidR="00A77DD0" w:rsidP="000254DA" w14:paraId="3320AC81" w14:textId="02E3337F">
      <w:pPr>
        <w:autoSpaceDE w:val="0"/>
        <w:autoSpaceDN w:val="0"/>
        <w:adjustRightInd w:val="0"/>
      </w:pPr>
      <w:r w:rsidRPr="000476FF">
        <w:rPr>
          <w:b/>
          <w:bCs/>
        </w:rPr>
        <w:t xml:space="preserve">III. </w:t>
      </w:r>
      <w:r w:rsidRPr="000476FF">
        <w:rPr>
          <w:b/>
          <w:bCs/>
        </w:rPr>
        <w:t>Total Annual Burden</w:t>
      </w:r>
    </w:p>
    <w:p w:rsidR="00A77DD0" w:rsidP="000254DA" w14:paraId="6FBCFCBF" w14:textId="77777777">
      <w:pPr>
        <w:autoSpaceDE w:val="0"/>
        <w:autoSpaceDN w:val="0"/>
        <w:adjustRightInd w:val="0"/>
      </w:pPr>
    </w:p>
    <w:tbl>
      <w:tblPr>
        <w:tblW w:w="0" w:type="auto"/>
        <w:jc w:val="center"/>
        <w:tblLayout w:type="fixed"/>
        <w:tblLook w:val="04A0"/>
      </w:tblPr>
      <w:tblGrid>
        <w:gridCol w:w="1418"/>
        <w:gridCol w:w="1362"/>
        <w:gridCol w:w="1109"/>
        <w:gridCol w:w="1184"/>
        <w:gridCol w:w="857"/>
        <w:gridCol w:w="953"/>
        <w:gridCol w:w="764"/>
        <w:gridCol w:w="1184"/>
      </w:tblGrid>
      <w:tr w14:paraId="6EF0D6A7" w14:textId="77777777" w:rsidTr="000476FF">
        <w:tblPrEx>
          <w:tblW w:w="0" w:type="auto"/>
          <w:jc w:val="center"/>
          <w:tblLayout w:type="fixed"/>
          <w:tblLook w:val="04A0"/>
        </w:tblPrEx>
        <w:trPr>
          <w:trHeight w:val="300"/>
          <w:jc w:val="center"/>
        </w:trPr>
        <w:tc>
          <w:tcPr>
            <w:tcW w:w="8831" w:type="dxa"/>
            <w:gridSpan w:val="8"/>
            <w:tcBorders>
              <w:top w:val="single" w:sz="8" w:space="0" w:color="auto"/>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ED1EAC" w:rsidP="000476FF" w14:paraId="1C406F0C" w14:textId="453E30F3">
            <w:pPr>
              <w:jc w:val="center"/>
              <w:rPr>
                <w:b/>
                <w:bCs/>
                <w:color w:val="000000" w:themeColor="text1"/>
                <w:sz w:val="22"/>
                <w:szCs w:val="22"/>
              </w:rPr>
            </w:pPr>
            <w:r w:rsidRPr="4E91F4C6">
              <w:rPr>
                <w:b/>
                <w:bCs/>
                <w:color w:val="000000" w:themeColor="text1"/>
                <w:sz w:val="22"/>
                <w:szCs w:val="22"/>
              </w:rPr>
              <w:t xml:space="preserve">Table III: </w:t>
            </w:r>
            <w:r w:rsidRPr="4E91F4C6">
              <w:rPr>
                <w:b/>
                <w:bCs/>
                <w:sz w:val="22"/>
                <w:szCs w:val="22"/>
              </w:rPr>
              <w:t>Total Annual Burden</w:t>
            </w:r>
          </w:p>
        </w:tc>
      </w:tr>
      <w:tr w14:paraId="35B95A77" w14:textId="77777777" w:rsidTr="000476FF">
        <w:tblPrEx>
          <w:tblW w:w="0" w:type="auto"/>
          <w:jc w:val="center"/>
          <w:tblLayout w:type="fixed"/>
          <w:tblLook w:val="04A0"/>
        </w:tblPrEx>
        <w:trPr>
          <w:trHeight w:val="300"/>
          <w:jc w:val="center"/>
        </w:trPr>
        <w:tc>
          <w:tcPr>
            <w:tcW w:w="1418" w:type="dxa"/>
            <w:tcBorders>
              <w:top w:val="single" w:sz="8" w:space="0" w:color="auto"/>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2867C6D2" w14:textId="77777777">
            <w:pPr>
              <w:jc w:val="center"/>
              <w:rPr>
                <w:b/>
                <w:bCs/>
                <w:color w:val="000000" w:themeColor="text1"/>
                <w:sz w:val="20"/>
                <w:szCs w:val="20"/>
              </w:rPr>
            </w:pPr>
            <w:r w:rsidRPr="000476FF">
              <w:rPr>
                <w:b/>
                <w:bCs/>
                <w:color w:val="000000" w:themeColor="text1"/>
                <w:sz w:val="20"/>
                <w:szCs w:val="20"/>
              </w:rPr>
              <w:t>Activity</w:t>
            </w:r>
          </w:p>
        </w:tc>
        <w:tc>
          <w:tcPr>
            <w:tcW w:w="1362"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30432D66" w14:textId="77777777">
            <w:pPr>
              <w:jc w:val="center"/>
              <w:rPr>
                <w:b/>
                <w:bCs/>
                <w:color w:val="000000" w:themeColor="text1"/>
                <w:sz w:val="20"/>
                <w:szCs w:val="20"/>
              </w:rPr>
            </w:pPr>
            <w:r w:rsidRPr="000476FF">
              <w:rPr>
                <w:b/>
                <w:bCs/>
                <w:color w:val="000000" w:themeColor="text1"/>
                <w:sz w:val="20"/>
                <w:szCs w:val="20"/>
              </w:rPr>
              <w:t>Number of Respondents</w:t>
            </w:r>
          </w:p>
        </w:tc>
        <w:tc>
          <w:tcPr>
            <w:tcW w:w="1109"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1C3163FE" w14:textId="77777777">
            <w:pPr>
              <w:jc w:val="center"/>
              <w:rPr>
                <w:b/>
                <w:bCs/>
                <w:color w:val="000000" w:themeColor="text1"/>
                <w:sz w:val="20"/>
                <w:szCs w:val="20"/>
              </w:rPr>
            </w:pPr>
            <w:r w:rsidRPr="000476FF">
              <w:rPr>
                <w:b/>
                <w:bCs/>
                <w:color w:val="000000" w:themeColor="text1"/>
                <w:sz w:val="20"/>
                <w:szCs w:val="20"/>
              </w:rPr>
              <w:t>Number of Responses per Respondent</w:t>
            </w:r>
          </w:p>
        </w:tc>
        <w:tc>
          <w:tcPr>
            <w:tcW w:w="1184"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2DD5DB1F" w14:textId="77777777">
            <w:pPr>
              <w:jc w:val="center"/>
              <w:rPr>
                <w:b/>
                <w:bCs/>
                <w:color w:val="000000" w:themeColor="text1"/>
                <w:sz w:val="20"/>
                <w:szCs w:val="20"/>
              </w:rPr>
            </w:pPr>
            <w:r w:rsidRPr="000476FF">
              <w:rPr>
                <w:b/>
                <w:bCs/>
                <w:color w:val="000000" w:themeColor="text1"/>
                <w:sz w:val="20"/>
                <w:szCs w:val="20"/>
              </w:rPr>
              <w:t>Total Number of</w:t>
            </w:r>
          </w:p>
          <w:p w:rsidR="00ED1EAC" w:rsidRPr="000476FF" w:rsidP="00ED1EAC" w14:paraId="0043F18F" w14:textId="77777777">
            <w:pPr>
              <w:jc w:val="center"/>
              <w:rPr>
                <w:b/>
                <w:bCs/>
                <w:color w:val="000000" w:themeColor="text1"/>
                <w:sz w:val="20"/>
                <w:szCs w:val="20"/>
              </w:rPr>
            </w:pPr>
            <w:r w:rsidRPr="000476FF">
              <w:rPr>
                <w:b/>
                <w:bCs/>
                <w:color w:val="000000" w:themeColor="text1"/>
                <w:sz w:val="20"/>
                <w:szCs w:val="20"/>
              </w:rPr>
              <w:t>Responses</w:t>
            </w:r>
          </w:p>
        </w:tc>
        <w:tc>
          <w:tcPr>
            <w:tcW w:w="857"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49969E64" w14:textId="77777777">
            <w:pPr>
              <w:jc w:val="center"/>
              <w:rPr>
                <w:b/>
                <w:bCs/>
                <w:color w:val="000000" w:themeColor="text1"/>
                <w:sz w:val="20"/>
                <w:szCs w:val="20"/>
              </w:rPr>
            </w:pPr>
            <w:r w:rsidRPr="000476FF">
              <w:rPr>
                <w:b/>
                <w:bCs/>
                <w:color w:val="000000" w:themeColor="text1"/>
                <w:sz w:val="20"/>
                <w:szCs w:val="20"/>
              </w:rPr>
              <w:t>Time Per Response</w:t>
            </w:r>
          </w:p>
          <w:p w:rsidR="00ED1EAC" w:rsidRPr="000476FF" w:rsidP="00ED1EAC" w14:paraId="324738F3" w14:textId="77777777">
            <w:pPr>
              <w:jc w:val="center"/>
              <w:rPr>
                <w:b/>
                <w:bCs/>
                <w:color w:val="000000" w:themeColor="text1"/>
                <w:sz w:val="20"/>
                <w:szCs w:val="20"/>
              </w:rPr>
            </w:pPr>
            <w:r w:rsidRPr="000476FF">
              <w:rPr>
                <w:b/>
                <w:bCs/>
                <w:color w:val="000000" w:themeColor="text1"/>
                <w:sz w:val="20"/>
                <w:szCs w:val="20"/>
              </w:rPr>
              <w:t>(in hours)</w:t>
            </w:r>
          </w:p>
        </w:tc>
        <w:tc>
          <w:tcPr>
            <w:tcW w:w="953"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7160833D" w14:textId="77777777">
            <w:pPr>
              <w:jc w:val="center"/>
              <w:rPr>
                <w:b/>
                <w:bCs/>
                <w:color w:val="000000" w:themeColor="text1"/>
                <w:sz w:val="20"/>
                <w:szCs w:val="20"/>
              </w:rPr>
            </w:pPr>
            <w:r w:rsidRPr="000476FF">
              <w:rPr>
                <w:b/>
                <w:bCs/>
                <w:color w:val="000000" w:themeColor="text1"/>
                <w:sz w:val="20"/>
                <w:szCs w:val="20"/>
              </w:rPr>
              <w:t>Total Burden Hours</w:t>
            </w:r>
          </w:p>
        </w:tc>
        <w:tc>
          <w:tcPr>
            <w:tcW w:w="764"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1E97A782" w14:textId="77777777">
            <w:pPr>
              <w:ind w:right="-90"/>
              <w:jc w:val="center"/>
              <w:rPr>
                <w:b/>
                <w:bCs/>
                <w:color w:val="000000" w:themeColor="text1"/>
                <w:sz w:val="20"/>
                <w:szCs w:val="20"/>
              </w:rPr>
            </w:pPr>
            <w:r w:rsidRPr="000476FF">
              <w:rPr>
                <w:b/>
                <w:bCs/>
                <w:color w:val="000000" w:themeColor="text1"/>
                <w:sz w:val="20"/>
                <w:szCs w:val="20"/>
              </w:rPr>
              <w:t>Hourly</w:t>
            </w:r>
          </w:p>
          <w:p w:rsidR="00ED1EAC" w:rsidRPr="000476FF" w:rsidP="00ED1EAC" w14:paraId="3B01F2E1" w14:textId="77777777">
            <w:pPr>
              <w:jc w:val="center"/>
              <w:rPr>
                <w:b/>
                <w:bCs/>
                <w:color w:val="000000" w:themeColor="text1"/>
                <w:sz w:val="20"/>
                <w:szCs w:val="20"/>
              </w:rPr>
            </w:pPr>
            <w:r w:rsidRPr="000476FF">
              <w:rPr>
                <w:b/>
                <w:bCs/>
                <w:color w:val="000000" w:themeColor="text1"/>
                <w:sz w:val="20"/>
                <w:szCs w:val="20"/>
              </w:rPr>
              <w:t>Wage Rate*</w:t>
            </w:r>
          </w:p>
        </w:tc>
        <w:tc>
          <w:tcPr>
            <w:tcW w:w="1184" w:type="dxa"/>
            <w:tcBorders>
              <w:top w:val="nil"/>
              <w:left w:val="single" w:sz="8" w:space="0" w:color="auto"/>
              <w:bottom w:val="single" w:sz="8" w:space="0" w:color="auto"/>
              <w:right w:val="single" w:sz="8" w:space="0" w:color="auto"/>
            </w:tcBorders>
            <w:shd w:val="clear" w:color="auto" w:fill="8DB3E2"/>
            <w:tcMar>
              <w:left w:w="108" w:type="dxa"/>
              <w:right w:w="108" w:type="dxa"/>
            </w:tcMar>
            <w:vAlign w:val="center"/>
          </w:tcPr>
          <w:p w:rsidR="00ED1EAC" w:rsidRPr="000476FF" w:rsidP="00ED1EAC" w14:paraId="54CF749C" w14:textId="77777777">
            <w:pPr>
              <w:jc w:val="center"/>
              <w:rPr>
                <w:b/>
                <w:bCs/>
                <w:color w:val="000000" w:themeColor="text1"/>
                <w:sz w:val="20"/>
                <w:szCs w:val="20"/>
              </w:rPr>
            </w:pPr>
            <w:r w:rsidRPr="000476FF">
              <w:rPr>
                <w:b/>
                <w:bCs/>
                <w:color w:val="000000" w:themeColor="text1"/>
                <w:sz w:val="20"/>
                <w:szCs w:val="20"/>
              </w:rPr>
              <w:t>Total Cost Burden</w:t>
            </w:r>
          </w:p>
        </w:tc>
      </w:tr>
      <w:tr w14:paraId="35DA6380" w14:textId="77777777" w:rsidTr="4E91F4C6">
        <w:tblPrEx>
          <w:tblW w:w="0" w:type="auto"/>
          <w:jc w:val="center"/>
          <w:tblLayout w:type="fixed"/>
          <w:tblLook w:val="04A0"/>
        </w:tblPrEx>
        <w:trPr>
          <w:trHeight w:val="300"/>
          <w:jc w:val="center"/>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2F0922A3" w14:textId="53496A40">
            <w:pPr>
              <w:jc w:val="center"/>
              <w:rPr>
                <w:sz w:val="20"/>
                <w:szCs w:val="20"/>
              </w:rPr>
            </w:pPr>
            <w:r w:rsidRPr="000476FF">
              <w:rPr>
                <w:sz w:val="20"/>
                <w:szCs w:val="20"/>
              </w:rPr>
              <w:t>Burden Related to Non-Criteria (not H-2A related) Clearance Orders</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0C828136" w14:textId="6C9A1EF9">
            <w:pPr>
              <w:jc w:val="center"/>
              <w:rPr>
                <w:sz w:val="20"/>
                <w:szCs w:val="20"/>
              </w:rPr>
            </w:pPr>
            <w:r w:rsidRPr="4E91F4C6">
              <w:rPr>
                <w:b/>
                <w:bCs/>
                <w:sz w:val="18"/>
                <w:szCs w:val="18"/>
              </w:rPr>
              <w:t>1,062</w:t>
            </w:r>
          </w:p>
        </w:tc>
        <w:tc>
          <w:tcPr>
            <w:tcW w:w="1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05A3BEBA" w14:textId="62720EC7">
            <w:pPr>
              <w:jc w:val="center"/>
              <w:rPr>
                <w:sz w:val="20"/>
                <w:szCs w:val="20"/>
              </w:rPr>
            </w:pPr>
            <w:r w:rsidRPr="4E91F4C6">
              <w:rPr>
                <w:b/>
                <w:bCs/>
                <w:sz w:val="18"/>
                <w:szCs w:val="18"/>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75D88B55" w14:textId="45D16C6A">
            <w:pPr>
              <w:jc w:val="center"/>
              <w:rPr>
                <w:sz w:val="20"/>
                <w:szCs w:val="20"/>
              </w:rPr>
            </w:pPr>
            <w:r w:rsidRPr="4E91F4C6">
              <w:rPr>
                <w:b/>
                <w:bCs/>
                <w:sz w:val="18"/>
                <w:szCs w:val="18"/>
              </w:rPr>
              <w:t>1,062</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0F662AB3" w14:textId="39714D74">
            <w:pPr>
              <w:jc w:val="center"/>
              <w:rPr>
                <w:sz w:val="20"/>
                <w:szCs w:val="20"/>
              </w:rPr>
            </w:pPr>
            <w:r w:rsidRPr="4E91F4C6">
              <w:rPr>
                <w:b/>
                <w:bCs/>
                <w:sz w:val="18"/>
                <w:szCs w:val="18"/>
              </w:rPr>
              <w:t>varies</w:t>
            </w:r>
          </w:p>
        </w:tc>
        <w:tc>
          <w:tcPr>
            <w:tcW w:w="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5D80E161" w14:textId="66CC6C42">
            <w:pPr>
              <w:jc w:val="center"/>
              <w:rPr>
                <w:sz w:val="20"/>
                <w:szCs w:val="20"/>
              </w:rPr>
            </w:pPr>
            <w:r w:rsidRPr="4E91F4C6">
              <w:rPr>
                <w:b/>
                <w:bCs/>
                <w:sz w:val="18"/>
                <w:szCs w:val="18"/>
              </w:rPr>
              <w:t>619.50</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3453239A" w14:textId="5A6E0D21">
            <w:pPr>
              <w:jc w:val="center"/>
              <w:rPr>
                <w:sz w:val="20"/>
                <w:szCs w:val="20"/>
              </w:rPr>
            </w:pPr>
            <w:r w:rsidRPr="4E91F4C6">
              <w:rPr>
                <w:b/>
                <w:bCs/>
                <w:sz w:val="18"/>
                <w:szCs w:val="18"/>
              </w:rPr>
              <w:t>varies</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74898ADB" w14:textId="299DB16D">
            <w:pPr>
              <w:jc w:val="center"/>
              <w:rPr>
                <w:sz w:val="20"/>
                <w:szCs w:val="20"/>
              </w:rPr>
            </w:pPr>
            <w:r w:rsidRPr="4E91F4C6">
              <w:rPr>
                <w:b/>
                <w:bCs/>
                <w:sz w:val="18"/>
                <w:szCs w:val="18"/>
              </w:rPr>
              <w:t>$34,241.54</w:t>
            </w:r>
          </w:p>
        </w:tc>
      </w:tr>
      <w:tr w14:paraId="05E7B3A9" w14:textId="77777777" w:rsidTr="4E91F4C6">
        <w:tblPrEx>
          <w:tblW w:w="0" w:type="auto"/>
          <w:jc w:val="center"/>
          <w:tblLayout w:type="fixed"/>
          <w:tblLook w:val="04A0"/>
        </w:tblPrEx>
        <w:trPr>
          <w:trHeight w:val="300"/>
          <w:jc w:val="center"/>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485B3585" w14:textId="37CB818C">
            <w:pPr>
              <w:jc w:val="center"/>
              <w:rPr>
                <w:sz w:val="20"/>
                <w:szCs w:val="20"/>
              </w:rPr>
            </w:pPr>
            <w:r w:rsidRPr="000476FF">
              <w:rPr>
                <w:sz w:val="20"/>
                <w:szCs w:val="20"/>
              </w:rPr>
              <w:t>Burden Related to OMB number 1205-0466 under the H-2A Program</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6E21155E" w14:textId="50F12E78">
            <w:pPr>
              <w:jc w:val="center"/>
              <w:rPr>
                <w:sz w:val="20"/>
                <w:szCs w:val="20"/>
              </w:rPr>
            </w:pPr>
            <w:r w:rsidRPr="4E91F4C6">
              <w:rPr>
                <w:b/>
                <w:bCs/>
                <w:sz w:val="20"/>
                <w:szCs w:val="20"/>
              </w:rPr>
              <w:t>4,376</w:t>
            </w:r>
          </w:p>
        </w:tc>
        <w:tc>
          <w:tcPr>
            <w:tcW w:w="1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063DA020" w14:textId="1B4DA7C8">
            <w:pPr>
              <w:jc w:val="center"/>
              <w:rPr>
                <w:sz w:val="20"/>
                <w:szCs w:val="20"/>
              </w:rPr>
            </w:pPr>
            <w:r w:rsidRPr="4E91F4C6">
              <w:rPr>
                <w:sz w:val="20"/>
                <w:szCs w:val="20"/>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0534B189" w14:textId="5DDFE396">
            <w:pPr>
              <w:jc w:val="center"/>
              <w:rPr>
                <w:sz w:val="20"/>
                <w:szCs w:val="20"/>
              </w:rPr>
            </w:pPr>
            <w:r w:rsidRPr="4E91F4C6">
              <w:rPr>
                <w:b/>
                <w:bCs/>
                <w:sz w:val="20"/>
                <w:szCs w:val="20"/>
              </w:rPr>
              <w:t>140,410</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518B9A4D" w14:textId="0CA55E46">
            <w:pPr>
              <w:jc w:val="center"/>
              <w:rPr>
                <w:sz w:val="20"/>
                <w:szCs w:val="20"/>
              </w:rPr>
            </w:pPr>
            <w:r w:rsidRPr="4E91F4C6">
              <w:rPr>
                <w:sz w:val="20"/>
                <w:szCs w:val="20"/>
              </w:rPr>
              <w:t>Varies</w:t>
            </w:r>
          </w:p>
        </w:tc>
        <w:tc>
          <w:tcPr>
            <w:tcW w:w="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73AB6B63" w14:textId="288B007C">
            <w:pPr>
              <w:ind w:left="-90" w:right="-90"/>
              <w:jc w:val="center"/>
              <w:rPr>
                <w:sz w:val="20"/>
                <w:szCs w:val="20"/>
              </w:rPr>
            </w:pPr>
            <w:r w:rsidRPr="4E91F4C6">
              <w:rPr>
                <w:b/>
                <w:bCs/>
                <w:sz w:val="20"/>
                <w:szCs w:val="20"/>
              </w:rPr>
              <w:t>53,400</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1243B8FE" w14:textId="3F1E6B10">
            <w:pPr>
              <w:jc w:val="center"/>
              <w:rPr>
                <w:sz w:val="20"/>
                <w:szCs w:val="20"/>
              </w:rPr>
            </w:pPr>
            <w:r w:rsidRPr="4E91F4C6">
              <w:rPr>
                <w:sz w:val="18"/>
                <w:szCs w:val="18"/>
              </w:rPr>
              <w:t>83.59</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4B1C9DD9" w14:textId="56252A0C">
            <w:pPr>
              <w:jc w:val="center"/>
              <w:rPr>
                <w:b/>
                <w:bCs/>
                <w:sz w:val="20"/>
                <w:szCs w:val="20"/>
              </w:rPr>
            </w:pPr>
            <w:r w:rsidRPr="4E91F4C6">
              <w:rPr>
                <w:b/>
                <w:bCs/>
                <w:sz w:val="20"/>
                <w:szCs w:val="20"/>
              </w:rPr>
              <w:t>$</w:t>
            </w:r>
            <w:r w:rsidRPr="4E91F4C6" w:rsidR="38B2AD18">
              <w:rPr>
                <w:b/>
                <w:bCs/>
                <w:sz w:val="20"/>
                <w:szCs w:val="20"/>
              </w:rPr>
              <w:t>4,463,706</w:t>
            </w:r>
          </w:p>
        </w:tc>
      </w:tr>
      <w:tr w14:paraId="73412EB3" w14:textId="77777777" w:rsidTr="4E91F4C6">
        <w:tblPrEx>
          <w:tblW w:w="0" w:type="auto"/>
          <w:jc w:val="center"/>
          <w:tblLayout w:type="fixed"/>
          <w:tblLook w:val="04A0"/>
        </w:tblPrEx>
        <w:trPr>
          <w:trHeight w:val="705"/>
          <w:jc w:val="center"/>
        </w:trPr>
        <w:tc>
          <w:tcPr>
            <w:tcW w:w="1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ED1EAC" w:rsidP="000476FF" w14:paraId="2A97B210" w14:textId="77777777">
            <w:pPr>
              <w:jc w:val="center"/>
              <w:rPr>
                <w:b/>
                <w:bCs/>
                <w:sz w:val="20"/>
                <w:szCs w:val="20"/>
              </w:rPr>
            </w:pPr>
            <w:r w:rsidRPr="4E91F4C6">
              <w:rPr>
                <w:b/>
                <w:bCs/>
                <w:sz w:val="20"/>
                <w:szCs w:val="20"/>
              </w:rPr>
              <w:t>Unduplicated Totals</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1896E9A7" w14:textId="5372EFC9">
            <w:pPr>
              <w:jc w:val="center"/>
              <w:rPr>
                <w:sz w:val="20"/>
                <w:szCs w:val="20"/>
              </w:rPr>
            </w:pPr>
            <w:r w:rsidRPr="4E91F4C6">
              <w:rPr>
                <w:b/>
                <w:bCs/>
                <w:sz w:val="20"/>
                <w:szCs w:val="20"/>
              </w:rPr>
              <w:t>5,438</w:t>
            </w:r>
          </w:p>
        </w:tc>
        <w:tc>
          <w:tcPr>
            <w:tcW w:w="1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708E7D56" w14:textId="77777777">
            <w:pPr>
              <w:jc w:val="center"/>
              <w:rPr>
                <w:b/>
                <w:bCs/>
                <w:sz w:val="20"/>
                <w:szCs w:val="20"/>
              </w:rPr>
            </w:pPr>
            <w:r w:rsidRPr="000476FF">
              <w:rPr>
                <w:b/>
                <w:bCs/>
                <w:sz w:val="20"/>
                <w:szCs w:val="20"/>
              </w:rPr>
              <w:t>1</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256B4BFF" w14:textId="4D6DD6F4">
            <w:pPr>
              <w:jc w:val="center"/>
              <w:rPr>
                <w:sz w:val="20"/>
                <w:szCs w:val="20"/>
              </w:rPr>
            </w:pPr>
            <w:r w:rsidRPr="4E91F4C6">
              <w:rPr>
                <w:b/>
                <w:bCs/>
                <w:sz w:val="20"/>
                <w:szCs w:val="20"/>
              </w:rPr>
              <w:t>141,472</w:t>
            </w:r>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204F43F0" w14:textId="77777777">
            <w:pPr>
              <w:jc w:val="center"/>
              <w:rPr>
                <w:b/>
                <w:bCs/>
                <w:sz w:val="20"/>
                <w:szCs w:val="20"/>
              </w:rPr>
            </w:pPr>
            <w:r w:rsidRPr="000476FF">
              <w:rPr>
                <w:b/>
                <w:bCs/>
                <w:sz w:val="20"/>
                <w:szCs w:val="20"/>
              </w:rPr>
              <w:t>varies</w:t>
            </w:r>
          </w:p>
        </w:tc>
        <w:tc>
          <w:tcPr>
            <w:tcW w:w="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1BEE20E9" w14:textId="42394969">
            <w:pPr>
              <w:jc w:val="center"/>
              <w:rPr>
                <w:sz w:val="20"/>
                <w:szCs w:val="20"/>
              </w:rPr>
            </w:pPr>
            <w:r w:rsidRPr="4E91F4C6">
              <w:rPr>
                <w:b/>
                <w:bCs/>
                <w:sz w:val="20"/>
                <w:szCs w:val="20"/>
              </w:rPr>
              <w:t>54</w:t>
            </w:r>
            <w:r w:rsidRPr="4E91F4C6" w:rsidR="56C6DD11">
              <w:rPr>
                <w:b/>
                <w:bCs/>
                <w:sz w:val="20"/>
                <w:szCs w:val="20"/>
              </w:rPr>
              <w:t>,</w:t>
            </w:r>
            <w:r w:rsidRPr="4E91F4C6">
              <w:rPr>
                <w:b/>
                <w:bCs/>
                <w:sz w:val="20"/>
                <w:szCs w:val="20"/>
              </w:rPr>
              <w:t>019.5</w:t>
            </w:r>
          </w:p>
        </w:tc>
        <w:tc>
          <w:tcPr>
            <w:tcW w:w="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19715281" w14:textId="77777777">
            <w:pPr>
              <w:jc w:val="center"/>
              <w:rPr>
                <w:b/>
                <w:bCs/>
                <w:sz w:val="20"/>
                <w:szCs w:val="20"/>
              </w:rPr>
            </w:pPr>
            <w:r w:rsidRPr="000476FF">
              <w:rPr>
                <w:b/>
                <w:bCs/>
                <w:sz w:val="20"/>
                <w:szCs w:val="20"/>
              </w:rPr>
              <w:t>varies</w:t>
            </w:r>
          </w:p>
        </w:tc>
        <w:tc>
          <w:tcPr>
            <w:tcW w:w="1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D1EAC" w:rsidRPr="000476FF" w:rsidP="000476FF" w14:paraId="2B76D9C2" w14:textId="613B320D">
            <w:pPr>
              <w:jc w:val="center"/>
              <w:rPr>
                <w:b/>
                <w:bCs/>
                <w:sz w:val="20"/>
                <w:szCs w:val="20"/>
              </w:rPr>
            </w:pPr>
            <w:r w:rsidRPr="4E91F4C6">
              <w:rPr>
                <w:b/>
                <w:bCs/>
                <w:sz w:val="20"/>
                <w:szCs w:val="20"/>
              </w:rPr>
              <w:t>$</w:t>
            </w:r>
            <w:r w:rsidRPr="4E91F4C6" w:rsidR="71571779">
              <w:rPr>
                <w:b/>
                <w:bCs/>
                <w:sz w:val="20"/>
                <w:szCs w:val="20"/>
              </w:rPr>
              <w:t>4,497,947.54</w:t>
            </w:r>
          </w:p>
        </w:tc>
      </w:tr>
    </w:tbl>
    <w:p w:rsidR="00A77DD0" w:rsidP="000254DA" w14:paraId="7E496C96" w14:textId="77777777">
      <w:pPr>
        <w:autoSpaceDE w:val="0"/>
        <w:autoSpaceDN w:val="0"/>
        <w:adjustRightInd w:val="0"/>
      </w:pPr>
    </w:p>
    <w:p w:rsidR="00A77DD0" w:rsidRPr="0093752B" w:rsidP="000254DA" w14:paraId="4DA51E1C" w14:textId="77777777">
      <w:pPr>
        <w:autoSpaceDE w:val="0"/>
        <w:autoSpaceDN w:val="0"/>
        <w:adjustRightInd w:val="0"/>
      </w:pPr>
    </w:p>
    <w:p w:rsidR="00A77DD0" w:rsidP="000254DA" w14:paraId="48B473E6" w14:textId="77777777">
      <w:pPr>
        <w:autoSpaceDE w:val="0"/>
        <w:autoSpaceDN w:val="0"/>
        <w:adjustRightInd w:val="0"/>
      </w:pPr>
    </w:p>
    <w:p w:rsidR="000254DA" w:rsidRPr="0093752B" w:rsidP="000254DA" w14:paraId="30062C54" w14:textId="59BD2800">
      <w:pPr>
        <w:autoSpaceDE w:val="0"/>
        <w:autoSpaceDN w:val="0"/>
        <w:adjustRightInd w:val="0"/>
        <w:rPr>
          <w:i/>
        </w:rPr>
      </w:pPr>
      <w:r w:rsidRPr="0093752B">
        <w:rPr>
          <w:i/>
        </w:rPr>
        <w:t>A13.</w:t>
      </w:r>
      <w:r w:rsidRPr="0093752B">
        <w:rPr>
          <w:i/>
        </w:rPr>
        <w:tab/>
        <w:t>Provide an estimate for the total annual cost burden to respondents or record keepers resulting from the collection of information.  (Do not include the cost of any hour burden already reflected on the burden worksheet).</w:t>
      </w:r>
    </w:p>
    <w:p w:rsidR="000254DA" w:rsidRPr="0093752B" w:rsidP="000254DA" w14:paraId="77DF6229" w14:textId="77777777">
      <w:pPr>
        <w:autoSpaceDE w:val="0"/>
        <w:autoSpaceDN w:val="0"/>
        <w:adjustRightInd w:val="0"/>
      </w:pPr>
    </w:p>
    <w:p w:rsidR="000254DA" w:rsidP="00FE1CBD" w14:paraId="70BC8E57" w14:textId="3939EBE9">
      <w:pPr>
        <w:numPr>
          <w:ilvl w:val="0"/>
          <w:numId w:val="30"/>
        </w:numPr>
        <w:autoSpaceDE w:val="0"/>
        <w:autoSpaceDN w:val="0"/>
        <w:adjustRightInd w:val="0"/>
      </w:pPr>
      <w:r w:rsidRPr="00DB4CC1">
        <w:rPr>
          <w:i/>
          <w:u w:val="single"/>
        </w:rPr>
        <w:t>Start-up/Capital Costs</w:t>
      </w:r>
      <w:r w:rsidRPr="0093752B">
        <w:t xml:space="preserve">:  There are no start-up costs. There is no obligation to own a computer to participate in the program. Anyone without computer access can request the form from OFLC to file an application. To participate in the program, the employer is required to generate records and retain them. Employers may retain these records in the manner they regularly choose to retain employment records, including electronic format.  </w:t>
      </w:r>
    </w:p>
    <w:p w:rsidR="00A068EF" w:rsidRPr="0093752B" w:rsidP="00667FFB" w14:paraId="63604E4D" w14:textId="77777777">
      <w:pPr>
        <w:autoSpaceDE w:val="0"/>
        <w:autoSpaceDN w:val="0"/>
        <w:adjustRightInd w:val="0"/>
        <w:ind w:left="720"/>
      </w:pPr>
    </w:p>
    <w:p w:rsidR="000254DA" w:rsidRPr="0093752B" w:rsidP="000254DA" w14:paraId="0CAD958C" w14:textId="7E1C1817">
      <w:pPr>
        <w:numPr>
          <w:ilvl w:val="0"/>
          <w:numId w:val="30"/>
        </w:numPr>
        <w:autoSpaceDE w:val="0"/>
        <w:autoSpaceDN w:val="0"/>
        <w:adjustRightInd w:val="0"/>
      </w:pPr>
      <w:r w:rsidRPr="0093752B">
        <w:rPr>
          <w:i/>
          <w:u w:val="single"/>
        </w:rPr>
        <w:t>Annual Costs</w:t>
      </w:r>
      <w:r w:rsidRPr="0093752B">
        <w:t xml:space="preserve">:  There are no annual costs involved with operation and maintenance because ETA will be responsible for the annual maintenance costs for the free </w:t>
      </w:r>
      <w:r w:rsidRPr="0093752B">
        <w:t xml:space="preserve">downloadable forms and the web-based data collection and reporting system. ETA will also make the Form ETA-790A available in Spanish.  </w:t>
      </w:r>
    </w:p>
    <w:p w:rsidR="000254DA" w:rsidP="000254DA" w14:paraId="3BEAEE1F" w14:textId="77777777">
      <w:pPr>
        <w:autoSpaceDE w:val="0"/>
        <w:autoSpaceDN w:val="0"/>
        <w:adjustRightInd w:val="0"/>
        <w:rPr>
          <w:i/>
        </w:rPr>
      </w:pPr>
    </w:p>
    <w:p w:rsidR="00246631" w:rsidRPr="0093752B" w:rsidP="000254DA" w14:paraId="5ED9DD1E" w14:textId="77777777">
      <w:pPr>
        <w:autoSpaceDE w:val="0"/>
        <w:autoSpaceDN w:val="0"/>
        <w:adjustRightInd w:val="0"/>
        <w:rPr>
          <w:i/>
        </w:rPr>
      </w:pPr>
    </w:p>
    <w:p w:rsidR="000254DA" w:rsidRPr="0093752B" w:rsidP="000254DA" w14:paraId="3EBDFACC" w14:textId="77777777">
      <w:pPr>
        <w:autoSpaceDE w:val="0"/>
        <w:autoSpaceDN w:val="0"/>
        <w:adjustRightInd w:val="0"/>
        <w:rPr>
          <w:i/>
        </w:rPr>
      </w:pPr>
      <w:r w:rsidRPr="0093752B">
        <w:rPr>
          <w:i/>
        </w:rPr>
        <w:t>A14.</w:t>
      </w:r>
      <w:r w:rsidRPr="0093752B">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0254DA" w:rsidRPr="0093752B" w:rsidP="000254DA" w14:paraId="194B2E4B" w14:textId="77777777">
      <w:pPr>
        <w:autoSpaceDE w:val="0"/>
        <w:autoSpaceDN w:val="0"/>
        <w:adjustRightInd w:val="0"/>
      </w:pPr>
    </w:p>
    <w:p w:rsidR="000254DA" w:rsidRPr="0093752B" w:rsidP="000254DA" w14:paraId="743B9FFA" w14:textId="44DF035E">
      <w:pPr>
        <w:autoSpaceDE w:val="0"/>
        <w:autoSpaceDN w:val="0"/>
        <w:adjustRightInd w:val="0"/>
      </w:pPr>
      <w:r w:rsidRPr="0093752B">
        <w:t xml:space="preserve">The Department estimates that the annual costs to administer the H-2A program </w:t>
      </w:r>
      <w:r w:rsidR="00435B21">
        <w:t>f</w:t>
      </w:r>
      <w:r w:rsidR="00577766">
        <w:t xml:space="preserve">or the </w:t>
      </w:r>
      <w:r w:rsidRPr="008942D2" w:rsidR="00577766">
        <w:rPr>
          <w:i/>
          <w:iCs/>
        </w:rPr>
        <w:t>Kansas</w:t>
      </w:r>
      <w:r w:rsidR="00577766">
        <w:t xml:space="preserve"> plaintiff</w:t>
      </w:r>
      <w:r w:rsidR="004C0F00">
        <w:t>s</w:t>
      </w:r>
      <w:r w:rsidRPr="0093752B">
        <w:t xml:space="preserve"> amount </w:t>
      </w:r>
      <w:r w:rsidR="00B70B47">
        <w:t>to</w:t>
      </w:r>
      <w:r w:rsidRPr="0093752B">
        <w:t xml:space="preserve"> $</w:t>
      </w:r>
      <w:r w:rsidR="00340AAE">
        <w:t>7,929,659</w:t>
      </w:r>
      <w:r w:rsidRPr="0093752B">
        <w:t>.  This total is comprised of $</w:t>
      </w:r>
      <w:r w:rsidR="00FD2CF5">
        <w:t>3,061,979</w:t>
      </w:r>
      <w:r w:rsidRPr="0093752B">
        <w:t xml:space="preserve"> in federal administration costs and $</w:t>
      </w:r>
      <w:r w:rsidR="00457647">
        <w:t>4,867,680</w:t>
      </w:r>
      <w:r w:rsidRPr="0093752B">
        <w:t xml:space="preserve"> in state-level costs funded by federal grants. </w:t>
      </w:r>
    </w:p>
    <w:p w:rsidR="000254DA" w:rsidRPr="0093752B" w:rsidP="000254DA" w14:paraId="2E752485" w14:textId="77777777">
      <w:pPr>
        <w:autoSpaceDE w:val="0"/>
        <w:autoSpaceDN w:val="0"/>
        <w:adjustRightInd w:val="0"/>
      </w:pPr>
    </w:p>
    <w:p w:rsidR="000254DA" w:rsidRPr="0093752B" w:rsidP="000254DA" w14:paraId="5F06CEF7" w14:textId="16D53161">
      <w:pPr>
        <w:autoSpaceDE w:val="0"/>
        <w:autoSpaceDN w:val="0"/>
        <w:adjustRightInd w:val="0"/>
      </w:pPr>
      <w:r w:rsidRPr="0093752B">
        <w:t>Federal administrative costs include expenses for the staff who process H-2A applications; IT systems that support application-filing and case-processing operations; rent; supplies; equipment; and agency indirect costs, which include support for human resources, financial and administrative oversight, and grants and contracts management.  Estimated annual costs for the federal administration of the H-2A program are $10,206,598.</w:t>
      </w:r>
      <w:r w:rsidR="00EA7A61">
        <w:t xml:space="preserve"> For </w:t>
      </w:r>
      <w:r w:rsidR="001C180B">
        <w:t xml:space="preserve">purposes of the </w:t>
      </w:r>
      <w:r w:rsidR="001C180B">
        <w:rPr>
          <w:i/>
          <w:iCs/>
        </w:rPr>
        <w:t xml:space="preserve">Kansas </w:t>
      </w:r>
      <w:r w:rsidR="007E2A83">
        <w:t>plaintiffs (estimated 30 percent of the H-2A program), the federal administration costs equa</w:t>
      </w:r>
      <w:r w:rsidR="006845ED">
        <w:t xml:space="preserve">te to 30 percent of the H-2A program which is </w:t>
      </w:r>
      <w:r w:rsidR="00DB0673">
        <w:t>3,061</w:t>
      </w:r>
      <w:r w:rsidR="00CC4214">
        <w:t>,</w:t>
      </w:r>
      <w:r w:rsidR="00884C98">
        <w:t>979</w:t>
      </w:r>
      <w:r w:rsidRPr="0093752B">
        <w:t>.  This estimate is based on recurring annual costs to administer the program in recent fiscal years and does not include costs associated with funding appropriated on a one-time occurrence basis.  Based on past obligations and expenditures, the table below provides a detailed breakdown of the annualized costs associated with federal administration of the H-2A program by major cost category.</w:t>
      </w:r>
    </w:p>
    <w:p w:rsidR="000254DA" w:rsidRPr="0093752B" w:rsidP="000254DA" w14:paraId="2C282039" w14:textId="77777777">
      <w:pPr>
        <w:autoSpaceDE w:val="0"/>
        <w:autoSpaceDN w:val="0"/>
        <w:adjustRightInd w:val="0"/>
      </w:pPr>
    </w:p>
    <w:p w:rsidR="000254DA" w:rsidRPr="0093752B" w:rsidP="000254DA" w14:paraId="1A68EC92" w14:textId="73D8A9C1">
      <w:pPr>
        <w:autoSpaceDE w:val="0"/>
        <w:autoSpaceDN w:val="0"/>
        <w:adjustRightInd w:val="0"/>
      </w:pPr>
      <w:r>
        <w:t>For the H-2A program, t</w:t>
      </w:r>
      <w:r w:rsidRPr="0093752B">
        <w:t>here are 54 SWA respondents, including the 50 states, the District of Columbia, Puerto Rico, Guam, and the U.S. Virgin Islands.</w:t>
      </w:r>
      <w:r>
        <w:rPr>
          <w:vertAlign w:val="superscript"/>
        </w:rPr>
        <w:footnoteReference w:id="10"/>
      </w:r>
      <w:r w:rsidRPr="0093752B">
        <w:t xml:space="preserve">  Funding for these grants is provided through annual appropriations. The estimated annual cost for the H-2A portion of these activities is $16,225,600. </w:t>
      </w:r>
      <w:r w:rsidR="00A746A9">
        <w:t>For purposes of the</w:t>
      </w:r>
      <w:r w:rsidR="00CF683E">
        <w:t>s</w:t>
      </w:r>
      <w:r w:rsidR="00DF28A3">
        <w:t xml:space="preserve">e </w:t>
      </w:r>
      <w:r w:rsidR="000B3D62">
        <w:t>s</w:t>
      </w:r>
      <w:r w:rsidR="00E04571">
        <w:t>tate</w:t>
      </w:r>
      <w:r w:rsidR="00A746A9">
        <w:t xml:space="preserve"> </w:t>
      </w:r>
      <w:r w:rsidR="00A746A9">
        <w:rPr>
          <w:i/>
          <w:iCs/>
        </w:rPr>
        <w:t xml:space="preserve">Kansas </w:t>
      </w:r>
      <w:r w:rsidR="00A746A9">
        <w:t>plaintiffs (</w:t>
      </w:r>
      <w:r w:rsidR="00663D4F">
        <w:t xml:space="preserve">17 states are an </w:t>
      </w:r>
      <w:r w:rsidR="00A746A9">
        <w:t xml:space="preserve">estimated 30 percent of the H-2A program), the federal administration costs equate to 30 percent of the </w:t>
      </w:r>
      <w:r w:rsidR="00C07CE0">
        <w:t>annual cost of the H</w:t>
      </w:r>
      <w:r w:rsidR="00A746A9">
        <w:t xml:space="preserve">-2A program which is </w:t>
      </w:r>
      <w:r w:rsidR="00835A03">
        <w:t>4,</w:t>
      </w:r>
      <w:r w:rsidR="00B31555">
        <w:t>867,680</w:t>
      </w:r>
      <w:r w:rsidRPr="0093752B" w:rsidR="00A746A9">
        <w:t xml:space="preserve">.  </w:t>
      </w:r>
      <w:r w:rsidRPr="0093752B">
        <w:t xml:space="preserve">State-level H-2A activities include, but are not limited to: reviewing and placing job orders to recruit U.S. workers; receiving and processing required notifications from employers and the Department; providing assistance to employers in the effective recruitment of U.S. workers; conducting safety inspections of employer-provided housing for H-2A agricultural workers; and performing prevailing practice and wage surveys used to set the wages and working standards for a number of occupations within the state. </w:t>
      </w:r>
    </w:p>
    <w:p w:rsidR="3862BEEC" w:rsidP="3862BEEC" w14:paraId="66484D3C" w14:textId="6A4604BB"/>
    <w:p w:rsidR="5A7F838F" w14:paraId="7E70FE01" w14:textId="2A5AFFE7">
      <w:r>
        <w:t>There are no costs to the Federal Government for the Forms ETA-</w:t>
      </w:r>
      <w:r w:rsidRPr="7689DE80">
        <w:t>79</w:t>
      </w:r>
      <w:r w:rsidRPr="7689DE80" w:rsidR="2BA91897">
        <w:t>0 and</w:t>
      </w:r>
      <w:r w:rsidRPr="7689DE80">
        <w:t xml:space="preserve"> ETA-790B, when used for</w:t>
      </w:r>
      <w:r>
        <w:t xml:space="preserve"> non-criteria </w:t>
      </w:r>
      <w:r w:rsidR="4C121183">
        <w:t>clearance</w:t>
      </w:r>
      <w:r>
        <w:t xml:space="preserve"> orders.</w:t>
      </w:r>
    </w:p>
    <w:p w:rsidR="00D32719" w:rsidP="000254DA" w14:paraId="10596104" w14:textId="77777777">
      <w:pPr>
        <w:autoSpaceDE w:val="0"/>
        <w:autoSpaceDN w:val="0"/>
        <w:adjustRightInd w:val="0"/>
        <w:rPr>
          <w:b/>
        </w:rPr>
      </w:pPr>
    </w:p>
    <w:p w:rsidR="00D32719" w:rsidP="000254DA" w14:paraId="6F15D246" w14:textId="77777777">
      <w:pPr>
        <w:autoSpaceDE w:val="0"/>
        <w:autoSpaceDN w:val="0"/>
        <w:adjustRightInd w:val="0"/>
        <w:rPr>
          <w:b/>
        </w:rPr>
      </w:pPr>
    </w:p>
    <w:p w:rsidR="000254DA" w:rsidRPr="0093752B" w:rsidP="000254DA" w14:paraId="1340588E" w14:textId="7CB962F2">
      <w:pPr>
        <w:autoSpaceDE w:val="0"/>
        <w:autoSpaceDN w:val="0"/>
        <w:adjustRightInd w:val="0"/>
        <w:rPr>
          <w:i/>
        </w:rPr>
      </w:pPr>
      <w:r w:rsidRPr="0093752B">
        <w:rPr>
          <w:i/>
        </w:rPr>
        <w:t>A15.</w:t>
      </w:r>
      <w:r w:rsidRPr="0093752B">
        <w:rPr>
          <w:i/>
        </w:rPr>
        <w:tab/>
        <w:t>Explain the reasons for any program changes or adjustments reported on the burden worksheet.</w:t>
      </w:r>
    </w:p>
    <w:p w:rsidR="000254DA" w:rsidRPr="0093752B" w:rsidP="000254DA" w14:paraId="2692087E" w14:textId="77777777">
      <w:pPr>
        <w:autoSpaceDE w:val="0"/>
        <w:autoSpaceDN w:val="0"/>
        <w:adjustRightInd w:val="0"/>
      </w:pPr>
    </w:p>
    <w:p w:rsidR="000254DA" w:rsidRPr="0093752B" w:rsidP="000254DA" w14:paraId="4B5C997F" w14:textId="22211EA1">
      <w:pPr>
        <w:autoSpaceDE w:val="0"/>
        <w:autoSpaceDN w:val="0"/>
        <w:adjustRightInd w:val="0"/>
      </w:pPr>
      <w:r w:rsidRPr="0093752B">
        <w:t xml:space="preserve">The total number of responses, burden hours, and monetized costs associated with all collections under this ICR differ from previous estimates. The answer provided to A.12 provides more information regarding this burden increase. The chart below shows the changes in burden requested under this ICR, by showing the </w:t>
      </w:r>
      <w:r w:rsidRPr="003A01CB" w:rsidR="003A01CB">
        <w:rPr>
          <w:rFonts w:eastAsiaTheme="majorEastAsia"/>
        </w:rPr>
        <w:t>burden last approved by OMB in connection with OMB 1205-0466</w:t>
      </w:r>
      <w:r w:rsidRPr="003A01CB" w:rsidR="004E5E1F">
        <w:rPr>
          <w:rStyle w:val="Hyperlink"/>
          <w:rFonts w:eastAsiaTheme="majorEastAsia"/>
          <w:u w:val="none"/>
        </w:rPr>
        <w:t xml:space="preserve"> </w:t>
      </w:r>
      <w:r w:rsidRPr="003A01CB" w:rsidR="004E5E1F">
        <w:rPr>
          <w:rStyle w:val="Hyperlink"/>
          <w:rFonts w:eastAsiaTheme="majorEastAsia"/>
          <w:color w:val="auto"/>
          <w:u w:val="none"/>
        </w:rPr>
        <w:t>as o</w:t>
      </w:r>
      <w:r w:rsidR="0073446C">
        <w:t xml:space="preserve">f </w:t>
      </w:r>
      <w:r w:rsidR="00E67F0E">
        <w:t>October 12, 2022</w:t>
      </w:r>
      <w:r w:rsidRPr="0093752B">
        <w:t xml:space="preserve">, for which approval is sought through this IC. All estimates have been rounded up to the nearest dollar.  </w:t>
      </w:r>
    </w:p>
    <w:p w:rsidR="000254DA" w:rsidRPr="0093752B" w:rsidP="000254DA" w14:paraId="3A79812B" w14:textId="77777777">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2619"/>
        <w:gridCol w:w="3110"/>
        <w:gridCol w:w="2283"/>
      </w:tblGrid>
      <w:tr w14:paraId="6ACF297C" w14:textId="77777777" w:rsidTr="003F0537">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0" w:type="dxa"/>
            <w:vAlign w:val="center"/>
          </w:tcPr>
          <w:p w:rsidR="000254DA" w:rsidRPr="0093752B" w14:paraId="625D14E7" w14:textId="77777777">
            <w:pPr>
              <w:autoSpaceDE w:val="0"/>
              <w:autoSpaceDN w:val="0"/>
              <w:adjustRightInd w:val="0"/>
            </w:pPr>
            <w:r w:rsidRPr="0093752B">
              <w:t>OMB Control Number</w:t>
            </w:r>
          </w:p>
          <w:p w:rsidR="000254DA" w:rsidRPr="0093752B" w14:paraId="27F7CA4B" w14:textId="77777777">
            <w:pPr>
              <w:autoSpaceDE w:val="0"/>
              <w:autoSpaceDN w:val="0"/>
              <w:adjustRightInd w:val="0"/>
              <w:rPr>
                <w:i/>
              </w:rPr>
            </w:pPr>
            <w:r w:rsidRPr="0093752B">
              <w:rPr>
                <w:i/>
              </w:rPr>
              <w:t>(1205-0466)</w:t>
            </w:r>
          </w:p>
        </w:tc>
        <w:tc>
          <w:tcPr>
            <w:tcW w:w="2619" w:type="dxa"/>
            <w:vAlign w:val="center"/>
          </w:tcPr>
          <w:p w:rsidR="000254DA" w:rsidRPr="0093752B" w14:paraId="68187A0F" w14:textId="77777777">
            <w:pPr>
              <w:autoSpaceDE w:val="0"/>
              <w:autoSpaceDN w:val="0"/>
              <w:adjustRightInd w:val="0"/>
            </w:pPr>
            <w:r w:rsidRPr="0093752B">
              <w:t xml:space="preserve">Currently </w:t>
            </w:r>
            <w:r>
              <w:t>A</w:t>
            </w:r>
            <w:r w:rsidRPr="0093752B">
              <w:t>pproved</w:t>
            </w:r>
          </w:p>
          <w:p w:rsidR="000254DA" w14:paraId="0E0F70FC" w14:textId="77777777">
            <w:pPr>
              <w:autoSpaceDE w:val="0"/>
              <w:autoSpaceDN w:val="0"/>
              <w:adjustRightInd w:val="0"/>
            </w:pPr>
            <w:r w:rsidRPr="0093752B">
              <w:t xml:space="preserve">Estimates </w:t>
            </w:r>
            <w:r>
              <w:t>U</w:t>
            </w:r>
            <w:r w:rsidRPr="0093752B">
              <w:t xml:space="preserve">nder OMB 1205-0466 </w:t>
            </w:r>
          </w:p>
          <w:p w:rsidR="000254DA" w:rsidRPr="0093752B" w14:paraId="016E3DBB" w14:textId="548F2B5F">
            <w:pPr>
              <w:autoSpaceDE w:val="0"/>
              <w:autoSpaceDN w:val="0"/>
              <w:adjustRightInd w:val="0"/>
            </w:pPr>
            <w:r>
              <w:t>(A</w:t>
            </w:r>
            <w:r w:rsidRPr="0093752B">
              <w:t xml:space="preserve">s of </w:t>
            </w:r>
            <w:r w:rsidR="00E67F0E">
              <w:t>10/12/2022</w:t>
            </w:r>
            <w:r>
              <w:t>)</w:t>
            </w:r>
          </w:p>
        </w:tc>
        <w:tc>
          <w:tcPr>
            <w:tcW w:w="3110" w:type="dxa"/>
            <w:vAlign w:val="center"/>
          </w:tcPr>
          <w:p w:rsidR="000254DA" w:rsidRPr="0093752B" w14:paraId="7D42DBAA" w14:textId="77777777">
            <w:pPr>
              <w:autoSpaceDE w:val="0"/>
              <w:autoSpaceDN w:val="0"/>
              <w:adjustRightInd w:val="0"/>
            </w:pPr>
            <w:r w:rsidRPr="0093752B">
              <w:t>New</w:t>
            </w:r>
            <w:r>
              <w:t xml:space="preserve"> </w:t>
            </w:r>
            <w:r w:rsidRPr="0093752B">
              <w:t>Burden Estimates</w:t>
            </w:r>
          </w:p>
          <w:p w:rsidR="000254DA" w:rsidRPr="0093752B" w14:paraId="08F1F376" w14:textId="10601EB1">
            <w:pPr>
              <w:autoSpaceDE w:val="0"/>
              <w:autoSpaceDN w:val="0"/>
              <w:adjustRightInd w:val="0"/>
            </w:pPr>
            <w:r w:rsidRPr="0093752B">
              <w:t xml:space="preserve">(As reported in </w:t>
            </w:r>
            <w:r w:rsidR="00EA7A61">
              <w:t>this IC</w:t>
            </w:r>
            <w:r w:rsidRPr="0093752B">
              <w:t>)</w:t>
            </w:r>
          </w:p>
        </w:tc>
        <w:tc>
          <w:tcPr>
            <w:tcW w:w="2283" w:type="dxa"/>
            <w:vAlign w:val="center"/>
          </w:tcPr>
          <w:p w:rsidR="000254DA" w:rsidRPr="0093752B" w14:paraId="4515A7B2" w14:textId="77777777">
            <w:pPr>
              <w:autoSpaceDE w:val="0"/>
              <w:autoSpaceDN w:val="0"/>
              <w:adjustRightInd w:val="0"/>
            </w:pPr>
            <w:r w:rsidRPr="0093752B">
              <w:t xml:space="preserve">Change </w:t>
            </w:r>
            <w:r>
              <w:t>I</w:t>
            </w:r>
            <w:r w:rsidRPr="0093752B">
              <w:t xml:space="preserve">n </w:t>
            </w:r>
            <w:r>
              <w:t>B</w:t>
            </w:r>
            <w:r w:rsidRPr="0093752B">
              <w:t xml:space="preserve">urden </w:t>
            </w:r>
            <w:r>
              <w:t>E</w:t>
            </w:r>
            <w:r w:rsidRPr="0093752B">
              <w:t>stimate</w:t>
            </w:r>
          </w:p>
        </w:tc>
      </w:tr>
      <w:tr w14:paraId="0EC3DEA6" w14:textId="77777777" w:rsidTr="003F0537">
        <w:tblPrEx>
          <w:tblW w:w="0" w:type="auto"/>
          <w:tblInd w:w="108" w:type="dxa"/>
          <w:tblLook w:val="04A0"/>
        </w:tblPrEx>
        <w:trPr>
          <w:trHeight w:val="360"/>
        </w:trPr>
        <w:tc>
          <w:tcPr>
            <w:tcW w:w="1230" w:type="dxa"/>
            <w:vAlign w:val="center"/>
          </w:tcPr>
          <w:p w:rsidR="000254DA" w:rsidRPr="0093752B" w14:paraId="28776160" w14:textId="77777777">
            <w:pPr>
              <w:autoSpaceDE w:val="0"/>
              <w:autoSpaceDN w:val="0"/>
              <w:adjustRightInd w:val="0"/>
            </w:pPr>
            <w:r w:rsidRPr="0093752B">
              <w:t>Annual Responses</w:t>
            </w:r>
          </w:p>
        </w:tc>
        <w:tc>
          <w:tcPr>
            <w:tcW w:w="2619" w:type="dxa"/>
            <w:vAlign w:val="center"/>
          </w:tcPr>
          <w:p w:rsidR="000254DA" w:rsidRPr="0093752B" w14:paraId="06DF65F0" w14:textId="0A6C09A9">
            <w:pPr>
              <w:autoSpaceDE w:val="0"/>
              <w:autoSpaceDN w:val="0"/>
              <w:adjustRightInd w:val="0"/>
            </w:pPr>
            <w:r w:rsidRPr="00E81C88">
              <w:t>467,843</w:t>
            </w:r>
          </w:p>
        </w:tc>
        <w:tc>
          <w:tcPr>
            <w:tcW w:w="3110" w:type="dxa"/>
            <w:vAlign w:val="center"/>
          </w:tcPr>
          <w:p w:rsidR="000254DA" w:rsidRPr="0093752B" w14:paraId="4356554B" w14:textId="4BF91E13">
            <w:pPr>
              <w:autoSpaceDE w:val="0"/>
              <w:autoSpaceDN w:val="0"/>
              <w:adjustRightInd w:val="0"/>
            </w:pPr>
            <w:r>
              <w:t>140,410</w:t>
            </w:r>
          </w:p>
        </w:tc>
        <w:tc>
          <w:tcPr>
            <w:tcW w:w="2283" w:type="dxa"/>
            <w:vAlign w:val="center"/>
          </w:tcPr>
          <w:p w:rsidR="000254DA" w:rsidRPr="0093752B" w14:paraId="6213056C" w14:textId="7AAC0EE6">
            <w:pPr>
              <w:autoSpaceDE w:val="0"/>
              <w:autoSpaceDN w:val="0"/>
              <w:adjustRightInd w:val="0"/>
            </w:pPr>
            <w:r>
              <w:t>-</w:t>
            </w:r>
            <w:r w:rsidRPr="0093752B">
              <w:t xml:space="preserve"> </w:t>
            </w:r>
            <w:r w:rsidR="00BA048A">
              <w:t>327</w:t>
            </w:r>
            <w:r w:rsidRPr="0093752B">
              <w:t>,</w:t>
            </w:r>
            <w:r w:rsidR="00BA048A">
              <w:t>433</w:t>
            </w:r>
          </w:p>
        </w:tc>
      </w:tr>
      <w:tr w14:paraId="291ABDE4" w14:textId="77777777" w:rsidTr="003F0537">
        <w:tblPrEx>
          <w:tblW w:w="0" w:type="auto"/>
          <w:tblInd w:w="108" w:type="dxa"/>
          <w:tblLook w:val="04A0"/>
        </w:tblPrEx>
        <w:trPr>
          <w:trHeight w:val="360"/>
        </w:trPr>
        <w:tc>
          <w:tcPr>
            <w:tcW w:w="1230" w:type="dxa"/>
            <w:vAlign w:val="center"/>
          </w:tcPr>
          <w:p w:rsidR="000254DA" w:rsidRPr="0093752B" w14:paraId="0B4134B0" w14:textId="77777777">
            <w:pPr>
              <w:autoSpaceDE w:val="0"/>
              <w:autoSpaceDN w:val="0"/>
              <w:adjustRightInd w:val="0"/>
            </w:pPr>
            <w:r w:rsidRPr="0093752B">
              <w:t>Burden Hours</w:t>
            </w:r>
          </w:p>
        </w:tc>
        <w:tc>
          <w:tcPr>
            <w:tcW w:w="2619" w:type="dxa"/>
            <w:vAlign w:val="center"/>
          </w:tcPr>
          <w:p w:rsidR="000254DA" w:rsidRPr="0093752B" w14:paraId="5F8F081F" w14:textId="20BD4C4B">
            <w:pPr>
              <w:autoSpaceDE w:val="0"/>
              <w:autoSpaceDN w:val="0"/>
              <w:adjustRightInd w:val="0"/>
            </w:pPr>
            <w:r w:rsidRPr="00E81C88">
              <w:rPr>
                <w:bCs/>
              </w:rPr>
              <w:t>102,865</w:t>
            </w:r>
          </w:p>
        </w:tc>
        <w:tc>
          <w:tcPr>
            <w:tcW w:w="3110" w:type="dxa"/>
            <w:vAlign w:val="center"/>
          </w:tcPr>
          <w:p w:rsidR="000254DA" w:rsidRPr="0093752B" w14:paraId="0D377258" w14:textId="3B033069">
            <w:pPr>
              <w:autoSpaceDE w:val="0"/>
              <w:autoSpaceDN w:val="0"/>
              <w:adjustRightInd w:val="0"/>
            </w:pPr>
            <w:r>
              <w:rPr>
                <w:bCs/>
              </w:rPr>
              <w:t>13,321.83</w:t>
            </w:r>
          </w:p>
        </w:tc>
        <w:tc>
          <w:tcPr>
            <w:tcW w:w="2283" w:type="dxa"/>
            <w:vAlign w:val="center"/>
          </w:tcPr>
          <w:p w:rsidR="000254DA" w:rsidRPr="0093752B" w14:paraId="232A4EB8" w14:textId="5A065A0D">
            <w:pPr>
              <w:autoSpaceDE w:val="0"/>
              <w:autoSpaceDN w:val="0"/>
              <w:adjustRightInd w:val="0"/>
            </w:pPr>
            <w:r>
              <w:t>-</w:t>
            </w:r>
            <w:r w:rsidRPr="0093752B" w:rsidR="003F0537">
              <w:t xml:space="preserve"> </w:t>
            </w:r>
            <w:r w:rsidR="00CB727D">
              <w:rPr>
                <w:bCs/>
              </w:rPr>
              <w:t>9</w:t>
            </w:r>
            <w:r w:rsidR="003F0537">
              <w:rPr>
                <w:bCs/>
              </w:rPr>
              <w:t>0,</w:t>
            </w:r>
            <w:r w:rsidR="006825B4">
              <w:rPr>
                <w:bCs/>
              </w:rPr>
              <w:t>543.17</w:t>
            </w:r>
          </w:p>
        </w:tc>
      </w:tr>
      <w:tr w14:paraId="3DF1532C" w14:textId="77777777" w:rsidTr="003F0537">
        <w:tblPrEx>
          <w:tblW w:w="0" w:type="auto"/>
          <w:tblInd w:w="108" w:type="dxa"/>
          <w:tblLook w:val="04A0"/>
        </w:tblPrEx>
        <w:trPr>
          <w:trHeight w:val="360"/>
        </w:trPr>
        <w:tc>
          <w:tcPr>
            <w:tcW w:w="1230" w:type="dxa"/>
            <w:vAlign w:val="center"/>
          </w:tcPr>
          <w:p w:rsidR="000254DA" w:rsidRPr="0093752B" w14:paraId="01F38D87" w14:textId="77777777">
            <w:pPr>
              <w:autoSpaceDE w:val="0"/>
              <w:autoSpaceDN w:val="0"/>
              <w:adjustRightInd w:val="0"/>
            </w:pPr>
            <w:r w:rsidRPr="0093752B">
              <w:t>Cost of Time</w:t>
            </w:r>
          </w:p>
        </w:tc>
        <w:tc>
          <w:tcPr>
            <w:tcW w:w="2619" w:type="dxa"/>
            <w:vAlign w:val="center"/>
          </w:tcPr>
          <w:p w:rsidR="000254DA" w:rsidRPr="0093752B" w14:paraId="77892245" w14:textId="2C1D3106">
            <w:pPr>
              <w:autoSpaceDE w:val="0"/>
              <w:autoSpaceDN w:val="0"/>
              <w:adjustRightInd w:val="0"/>
            </w:pPr>
            <w:r w:rsidRPr="00E81C88">
              <w:t>$8,103,36</w:t>
            </w:r>
            <w:r>
              <w:t>7</w:t>
            </w:r>
          </w:p>
        </w:tc>
        <w:tc>
          <w:tcPr>
            <w:tcW w:w="3110" w:type="dxa"/>
            <w:vAlign w:val="center"/>
          </w:tcPr>
          <w:p w:rsidR="000254DA" w:rsidRPr="0093752B" w14:paraId="62F4B40B" w14:textId="6585EFFE">
            <w:pPr>
              <w:autoSpaceDE w:val="0"/>
              <w:autoSpaceDN w:val="0"/>
              <w:adjustRightInd w:val="0"/>
            </w:pPr>
            <w:r w:rsidRPr="00E81C88">
              <w:t>$</w:t>
            </w:r>
            <w:r w:rsidR="007E4DCE">
              <w:t>2</w:t>
            </w:r>
            <w:r w:rsidRPr="00E81C88">
              <w:t>,</w:t>
            </w:r>
            <w:r w:rsidR="007E4DCE">
              <w:t>431</w:t>
            </w:r>
            <w:r w:rsidRPr="00E81C88">
              <w:t>,</w:t>
            </w:r>
            <w:r w:rsidR="006D3DAE">
              <w:t>010</w:t>
            </w:r>
          </w:p>
        </w:tc>
        <w:tc>
          <w:tcPr>
            <w:tcW w:w="2283" w:type="dxa"/>
            <w:vAlign w:val="center"/>
          </w:tcPr>
          <w:p w:rsidR="000254DA" w:rsidRPr="0093752B" w14:paraId="60ABE808" w14:textId="08920993">
            <w:pPr>
              <w:autoSpaceDE w:val="0"/>
              <w:autoSpaceDN w:val="0"/>
              <w:adjustRightInd w:val="0"/>
            </w:pPr>
            <w:r>
              <w:t>-</w:t>
            </w:r>
            <w:r w:rsidRPr="0093752B">
              <w:t xml:space="preserve"> $5,</w:t>
            </w:r>
            <w:r w:rsidR="004F03DB">
              <w:t>672</w:t>
            </w:r>
            <w:r w:rsidR="003F0537">
              <w:t>,</w:t>
            </w:r>
            <w:r w:rsidR="00F84608">
              <w:t>357</w:t>
            </w:r>
          </w:p>
        </w:tc>
      </w:tr>
    </w:tbl>
    <w:p w:rsidR="000254DA" w:rsidRPr="0093752B" w:rsidP="000254DA" w14:paraId="6E1097C6" w14:textId="77777777">
      <w:pPr>
        <w:autoSpaceDE w:val="0"/>
        <w:autoSpaceDN w:val="0"/>
        <w:adjustRightInd w:val="0"/>
      </w:pPr>
    </w:p>
    <w:p w:rsidR="000254DA" w:rsidP="000254DA" w14:paraId="0D9B6A23" w14:textId="6BA0C56D">
      <w:pPr>
        <w:autoSpaceDE w:val="0"/>
        <w:autoSpaceDN w:val="0"/>
        <w:adjustRightInd w:val="0"/>
      </w:pPr>
      <w:r w:rsidRPr="0093752B">
        <w:t xml:space="preserve">There has been a </w:t>
      </w:r>
      <w:r w:rsidR="002208A2">
        <w:t xml:space="preserve">decrease </w:t>
      </w:r>
      <w:r w:rsidRPr="0093752B">
        <w:t xml:space="preserve">of total burden hours. The reason why the estimated numbers of annual responses, burden hours, and monetized cost of respondent time associated with this ICR </w:t>
      </w:r>
      <w:r w:rsidR="002208A2">
        <w:t xml:space="preserve">decreased </w:t>
      </w:r>
      <w:r w:rsidRPr="0093752B">
        <w:t xml:space="preserve">from the previously approved burden </w:t>
      </w:r>
      <w:r w:rsidR="002208A2">
        <w:t>due to the fact that</w:t>
      </w:r>
      <w:r w:rsidR="002208A2">
        <w:t xml:space="preserve"> the Department is calculating the burden of</w:t>
      </w:r>
      <w:r w:rsidR="006E6BE3">
        <w:t xml:space="preserve"> the </w:t>
      </w:r>
      <w:r w:rsidR="006E6BE3">
        <w:rPr>
          <w:i/>
          <w:iCs/>
        </w:rPr>
        <w:t xml:space="preserve">Kansas </w:t>
      </w:r>
      <w:r w:rsidR="00D459D1">
        <w:t xml:space="preserve">plaintiffs (which include 17 states, 1 employer and 1 agricultural association) not the original 54 states and </w:t>
      </w:r>
      <w:r w:rsidR="00EA7A61">
        <w:t>territories</w:t>
      </w:r>
      <w:r w:rsidR="00D459D1">
        <w:t xml:space="preserve"> used in previous calculations</w:t>
      </w:r>
      <w:r w:rsidRPr="0093752B">
        <w:t xml:space="preserve">.  </w:t>
      </w:r>
    </w:p>
    <w:p w:rsidR="000254DA" w:rsidRPr="00CE3C52" w:rsidP="000254DA" w14:paraId="1B96DE42" w14:textId="77777777">
      <w:pPr>
        <w:autoSpaceDE w:val="0"/>
        <w:autoSpaceDN w:val="0"/>
        <w:adjustRightInd w:val="0"/>
      </w:pPr>
    </w:p>
    <w:p w:rsidR="000254DA" w:rsidRPr="00030FA0" w:rsidP="000254DA" w14:paraId="3347B480" w14:textId="1FA0789B">
      <w:pPr>
        <w:tabs>
          <w:tab w:val="right" w:pos="360"/>
        </w:tabs>
        <w:autoSpaceDE w:val="0"/>
        <w:autoSpaceDN w:val="0"/>
        <w:adjustRightInd w:val="0"/>
        <w:ind w:left="540" w:hanging="540"/>
        <w:rPr>
          <w:i/>
        </w:rPr>
      </w:pPr>
      <w:r>
        <w:rPr>
          <w:i/>
        </w:rPr>
        <w:tab/>
        <w:t>A</w:t>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 xml:space="preserve">Provide the time schedule for the entire </w:t>
      </w:r>
      <w:r w:rsidRPr="00667FFB">
        <w:t>project</w:t>
      </w:r>
      <w:r w:rsidRPr="00030FA0">
        <w:rPr>
          <w:i/>
        </w:rPr>
        <w:t>, including beginning and ending dates of the collection of information, completion of report, publication dates, and other actions.</w:t>
      </w:r>
    </w:p>
    <w:p w:rsidR="000254DA" w:rsidP="000254DA" w14:paraId="60E4533D" w14:textId="77777777">
      <w:pPr>
        <w:autoSpaceDE w:val="0"/>
        <w:autoSpaceDN w:val="0"/>
        <w:adjustRightInd w:val="0"/>
      </w:pPr>
    </w:p>
    <w:p w:rsidR="000254DA" w:rsidRPr="006B6C3D" w:rsidP="000254DA" w14:paraId="325A229A" w14:textId="77777777">
      <w:pPr>
        <w:autoSpaceDE w:val="0"/>
        <w:autoSpaceDN w:val="0"/>
        <w:adjustRightInd w:val="0"/>
      </w:pPr>
      <w:r w:rsidRPr="006B6C3D">
        <w:t>No collection of information will be published.</w:t>
      </w:r>
    </w:p>
    <w:p w:rsidR="0051754C" w:rsidP="000254DA" w14:paraId="1E2AC454" w14:textId="77777777">
      <w:pPr>
        <w:autoSpaceDE w:val="0"/>
        <w:autoSpaceDN w:val="0"/>
        <w:adjustRightInd w:val="0"/>
      </w:pPr>
    </w:p>
    <w:p w:rsidR="000254DA" w:rsidRPr="00CE3C52" w:rsidP="000254DA" w14:paraId="3E1F5D60" w14:textId="77777777">
      <w:pPr>
        <w:autoSpaceDE w:val="0"/>
        <w:autoSpaceDN w:val="0"/>
        <w:adjustRightInd w:val="0"/>
      </w:pPr>
    </w:p>
    <w:p w:rsidR="000254DA" w:rsidRPr="00030FA0" w:rsidP="000254DA" w14:paraId="544DEE1C" w14:textId="77777777">
      <w:pPr>
        <w:tabs>
          <w:tab w:val="right" w:pos="360"/>
        </w:tabs>
        <w:autoSpaceDE w:val="0"/>
        <w:autoSpaceDN w:val="0"/>
        <w:adjustRightInd w:val="0"/>
        <w:ind w:left="540" w:hanging="540"/>
        <w:rPr>
          <w:i/>
        </w:rPr>
      </w:pPr>
      <w:r w:rsidRPr="00030FA0">
        <w:rPr>
          <w:i/>
        </w:rPr>
        <w:tab/>
      </w:r>
      <w:r>
        <w:rPr>
          <w:i/>
        </w:rPr>
        <w:t>A</w:t>
      </w:r>
      <w:r w:rsidRPr="00030FA0">
        <w:rPr>
          <w:i/>
        </w:rPr>
        <w:t>17.</w:t>
      </w:r>
      <w:r w:rsidRPr="00030FA0">
        <w:rPr>
          <w:i/>
        </w:rPr>
        <w:tab/>
        <w:t xml:space="preserve">If seeking approval </w:t>
      </w:r>
      <w:r>
        <w:rPr>
          <w:i/>
        </w:rPr>
        <w:t xml:space="preserve">not </w:t>
      </w:r>
      <w:r w:rsidRPr="00030FA0">
        <w:rPr>
          <w:i/>
        </w:rPr>
        <w:t xml:space="preserve">to display the expiration date for OMB approval of the information collection, explain the reasons that display would be inappropriate. </w:t>
      </w:r>
    </w:p>
    <w:p w:rsidR="000254DA" w:rsidP="000254DA" w14:paraId="4CB497E4" w14:textId="77777777">
      <w:pPr>
        <w:autoSpaceDE w:val="0"/>
        <w:autoSpaceDN w:val="0"/>
        <w:adjustRightInd w:val="0"/>
      </w:pPr>
    </w:p>
    <w:p w:rsidR="000254DA" w:rsidRPr="006B6C3D" w:rsidP="000254DA" w14:paraId="4733D900" w14:textId="77777777">
      <w:pPr>
        <w:autoSpaceDE w:val="0"/>
        <w:autoSpaceDN w:val="0"/>
        <w:adjustRightInd w:val="0"/>
      </w:pPr>
      <w:r>
        <w:t xml:space="preserve">The Department </w:t>
      </w:r>
      <w:r w:rsidRPr="006B6C3D">
        <w:t>display</w:t>
      </w:r>
      <w:r>
        <w:t>s</w:t>
      </w:r>
      <w:r w:rsidRPr="006B6C3D">
        <w:t xml:space="preserve"> the expiration date for OMB approval on the form and instructions.    </w:t>
      </w:r>
    </w:p>
    <w:p w:rsidR="0051754C" w:rsidP="000254DA" w14:paraId="6B98DD45" w14:textId="77777777">
      <w:pPr>
        <w:autoSpaceDE w:val="0"/>
        <w:autoSpaceDN w:val="0"/>
        <w:adjustRightInd w:val="0"/>
      </w:pPr>
    </w:p>
    <w:p w:rsidR="000254DA" w:rsidRPr="00CE3C52" w:rsidP="000254DA" w14:paraId="6ACA98DD" w14:textId="77777777">
      <w:pPr>
        <w:autoSpaceDE w:val="0"/>
        <w:autoSpaceDN w:val="0"/>
        <w:adjustRightInd w:val="0"/>
      </w:pPr>
    </w:p>
    <w:p w:rsidR="000254DA" w:rsidP="000254DA" w14:paraId="79574FE4" w14:textId="77777777">
      <w:pPr>
        <w:tabs>
          <w:tab w:val="right" w:pos="360"/>
        </w:tabs>
        <w:ind w:left="540" w:hanging="540"/>
        <w:rPr>
          <w:i/>
        </w:rPr>
      </w:pPr>
      <w:r w:rsidRPr="00030FA0">
        <w:rPr>
          <w:i/>
        </w:rPr>
        <w:tab/>
      </w:r>
      <w:r>
        <w:rPr>
          <w:i/>
        </w:rPr>
        <w:t>A</w:t>
      </w:r>
      <w:r w:rsidRPr="00030FA0">
        <w:rPr>
          <w:i/>
        </w:rPr>
        <w:t>18.</w:t>
      </w:r>
      <w:r w:rsidRPr="00030FA0">
        <w:rPr>
          <w:i/>
        </w:rPr>
        <w:tab/>
        <w:t>Explain each exception to the topics of the certification statement identified in “Certification for Pape</w:t>
      </w:r>
      <w:r>
        <w:rPr>
          <w:i/>
        </w:rPr>
        <w:t>rwork Reduction Act Submissions.</w:t>
      </w:r>
      <w:r w:rsidRPr="00030FA0">
        <w:rPr>
          <w:i/>
        </w:rPr>
        <w:t>”</w:t>
      </w:r>
    </w:p>
    <w:p w:rsidR="000254DA" w:rsidP="000254DA" w14:paraId="25A0D68A" w14:textId="77777777">
      <w:pPr>
        <w:tabs>
          <w:tab w:val="right" w:pos="360"/>
        </w:tabs>
        <w:ind w:left="540" w:hanging="540"/>
      </w:pPr>
    </w:p>
    <w:p w:rsidR="000254DA" w:rsidRPr="006B6C3D" w:rsidP="000254DA" w14:paraId="26533796" w14:textId="77777777">
      <w:pPr>
        <w:tabs>
          <w:tab w:val="right" w:pos="360"/>
        </w:tabs>
        <w:ind w:left="540" w:hanging="540"/>
      </w:pPr>
      <w:r w:rsidRPr="006B6C3D">
        <w:t>The Department is not seeking any exception to the certification requirements.</w:t>
      </w:r>
    </w:p>
    <w:p w:rsidR="000254DA" w:rsidRPr="006B6C3D" w:rsidP="000254DA" w14:paraId="61884BF5" w14:textId="77777777">
      <w:pPr>
        <w:tabs>
          <w:tab w:val="right" w:pos="360"/>
        </w:tabs>
      </w:pPr>
    </w:p>
    <w:p w:rsidR="000254DA" w:rsidP="000254DA" w14:paraId="44D6E75F" w14:textId="77777777">
      <w:pPr>
        <w:tabs>
          <w:tab w:val="right" w:pos="360"/>
        </w:tabs>
        <w:ind w:left="540" w:hanging="540"/>
        <w:rPr>
          <w:b/>
        </w:rPr>
      </w:pPr>
    </w:p>
    <w:p w:rsidR="000254DA" w:rsidRPr="003F4C38" w:rsidP="000254DA" w14:paraId="0376FA89" w14:textId="77777777">
      <w:pPr>
        <w:tabs>
          <w:tab w:val="right" w:pos="360"/>
        </w:tabs>
        <w:ind w:left="540" w:hanging="540"/>
        <w:rPr>
          <w:i/>
        </w:rPr>
      </w:pPr>
      <w:r>
        <w:rPr>
          <w:b/>
        </w:rPr>
        <w:t>B</w:t>
      </w:r>
      <w:r w:rsidRPr="00CE3C52">
        <w:rPr>
          <w:b/>
        </w:rPr>
        <w:t xml:space="preserve">. </w:t>
      </w:r>
      <w:r>
        <w:rPr>
          <w:b/>
        </w:rPr>
        <w:tab/>
        <w:t>Collections of Information Employing Statistical Methods</w:t>
      </w:r>
    </w:p>
    <w:p w:rsidR="000254DA" w:rsidP="000254DA" w14:paraId="06761724" w14:textId="77777777"/>
    <w:p w:rsidR="000254DA" w:rsidP="000254DA" w14:paraId="7B626A7C" w14:textId="77777777">
      <w:r>
        <w:t>This information collection does not employ statistical methods.</w:t>
      </w:r>
    </w:p>
    <w:p w:rsidR="00E94E7B" w14:paraId="3C41E931" w14:textId="51D85508"/>
    <w:sectPr w:rsidSect="000254DA">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7E81" w14:paraId="598AB58E" w14:textId="77777777">
    <w:pPr>
      <w:pStyle w:val="Footer"/>
      <w:jc w:val="center"/>
    </w:pPr>
    <w:r>
      <w:fldChar w:fldCharType="begin"/>
    </w:r>
    <w:r>
      <w:instrText xml:space="preserve"> PAGE   \* MERGEFORMAT </w:instrText>
    </w:r>
    <w:r>
      <w:fldChar w:fldCharType="separate"/>
    </w:r>
    <w:r>
      <w:rPr>
        <w:noProof/>
      </w:rPr>
      <w:t>6</w:t>
    </w:r>
    <w:r>
      <w:rPr>
        <w:noProof/>
      </w:rPr>
      <w:fldChar w:fldCharType="end"/>
    </w:r>
  </w:p>
  <w:p w:rsidR="00377E81" w14:paraId="3963EF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214F" w:rsidP="000254DA" w14:paraId="08CAA880" w14:textId="77777777">
      <w:r>
        <w:separator/>
      </w:r>
    </w:p>
  </w:footnote>
  <w:footnote w:type="continuationSeparator" w:id="1">
    <w:p w:rsidR="00E0214F" w:rsidP="000254DA" w14:paraId="11526AF7" w14:textId="77777777">
      <w:r>
        <w:continuationSeparator/>
      </w:r>
    </w:p>
  </w:footnote>
  <w:footnote w:type="continuationNotice" w:id="2">
    <w:p w:rsidR="00E0214F" w14:paraId="6708C39F" w14:textId="77777777"/>
  </w:footnote>
  <w:footnote w:id="3">
    <w:p w:rsidR="000254DA" w:rsidRPr="008410AE" w:rsidP="000254DA" w14:paraId="099C0FE9" w14:textId="25B304E1">
      <w:pPr>
        <w:pStyle w:val="FootnoteText"/>
      </w:pPr>
      <w:r w:rsidRPr="000B73AA">
        <w:rPr>
          <w:rStyle w:val="FootnoteReference"/>
          <w:rFonts w:eastAsiaTheme="majorEastAsia"/>
          <w:sz w:val="18"/>
          <w:szCs w:val="18"/>
          <w:vertAlign w:val="superscript"/>
        </w:rPr>
        <w:footnoteRef/>
      </w:r>
      <w:r w:rsidRPr="000B73AA">
        <w:rPr>
          <w:sz w:val="18"/>
          <w:szCs w:val="18"/>
        </w:rPr>
        <w:t xml:space="preserve"> </w:t>
      </w:r>
      <w:r w:rsidRPr="00427B9B">
        <w:rPr>
          <w:sz w:val="18"/>
          <w:szCs w:val="18"/>
        </w:rPr>
        <w:t xml:space="preserve">The numerical estimation of 14,586 is derived from the average submissions of </w:t>
      </w:r>
      <w:r w:rsidR="00AF0816">
        <w:rPr>
          <w:sz w:val="18"/>
          <w:szCs w:val="18"/>
        </w:rPr>
        <w:t xml:space="preserve">all </w:t>
      </w:r>
      <w:r w:rsidRPr="00427B9B" w:rsidR="00AF0816">
        <w:rPr>
          <w:sz w:val="18"/>
          <w:szCs w:val="18"/>
        </w:rPr>
        <w:t>H</w:t>
      </w:r>
      <w:r w:rsidRPr="00427B9B">
        <w:rPr>
          <w:sz w:val="18"/>
          <w:szCs w:val="18"/>
        </w:rPr>
        <w:t xml:space="preserve">-2A applications from three previous full fiscal years based on the Department’s experience implementing the 2010 </w:t>
      </w:r>
      <w:r w:rsidR="006A3B60">
        <w:rPr>
          <w:sz w:val="18"/>
          <w:szCs w:val="18"/>
        </w:rPr>
        <w:t xml:space="preserve">and 2022 </w:t>
      </w:r>
      <w:r w:rsidRPr="00427B9B">
        <w:rPr>
          <w:sz w:val="18"/>
          <w:szCs w:val="18"/>
        </w:rPr>
        <w:t>H-2A Final Rule</w:t>
      </w:r>
      <w:r w:rsidR="006A3B60">
        <w:rPr>
          <w:sz w:val="18"/>
          <w:szCs w:val="18"/>
        </w:rPr>
        <w:t>s</w:t>
      </w:r>
      <w:r w:rsidRPr="00427B9B">
        <w:rPr>
          <w:sz w:val="18"/>
          <w:szCs w:val="18"/>
        </w:rPr>
        <w:t xml:space="preserve">.  The Department estimates that 14,586 respondents will submit, on average, </w:t>
      </w:r>
      <w:r w:rsidR="002C39F2">
        <w:rPr>
          <w:sz w:val="18"/>
          <w:szCs w:val="18"/>
        </w:rPr>
        <w:t>467,843</w:t>
      </w:r>
      <w:r w:rsidRPr="00427B9B">
        <w:rPr>
          <w:sz w:val="18"/>
          <w:szCs w:val="18"/>
        </w:rPr>
        <w:t xml:space="preserve"> responses</w:t>
      </w:r>
      <w:r w:rsidRPr="003B07E3">
        <w:rPr>
          <w:sz w:val="18"/>
          <w:szCs w:val="18"/>
        </w:rPr>
        <w:t>.</w:t>
      </w:r>
      <w:r w:rsidRPr="003B07E3" w:rsidR="009B003B">
        <w:rPr>
          <w:sz w:val="18"/>
          <w:szCs w:val="18"/>
        </w:rPr>
        <w:t xml:space="preserve">  As </w:t>
      </w:r>
      <w:r w:rsidRPr="003B07E3" w:rsidR="009B003B">
        <w:rPr>
          <w:i/>
          <w:sz w:val="18"/>
          <w:szCs w:val="18"/>
        </w:rPr>
        <w:t>Kansas</w:t>
      </w:r>
      <w:r w:rsidRPr="003B07E3" w:rsidR="009B003B">
        <w:rPr>
          <w:sz w:val="18"/>
          <w:szCs w:val="18"/>
        </w:rPr>
        <w:t xml:space="preserve"> plaintiffs make up </w:t>
      </w:r>
      <w:r w:rsidRPr="003B07E3" w:rsidR="00B8647A">
        <w:rPr>
          <w:sz w:val="18"/>
          <w:szCs w:val="18"/>
        </w:rPr>
        <w:t xml:space="preserve">thirty (30) percent of </w:t>
      </w:r>
      <w:r w:rsidRPr="003B07E3" w:rsidR="00242836">
        <w:rPr>
          <w:sz w:val="18"/>
          <w:szCs w:val="18"/>
        </w:rPr>
        <w:t>the states and territories</w:t>
      </w:r>
      <w:r w:rsidRPr="003B07E3" w:rsidR="00427B9B">
        <w:rPr>
          <w:sz w:val="18"/>
          <w:szCs w:val="18"/>
        </w:rPr>
        <w:t xml:space="preserve"> governed under the H-2A program</w:t>
      </w:r>
      <w:r w:rsidRPr="003B07E3" w:rsidR="00630F70">
        <w:rPr>
          <w:sz w:val="18"/>
          <w:szCs w:val="18"/>
        </w:rPr>
        <w:t xml:space="preserve">, </w:t>
      </w:r>
      <w:r w:rsidRPr="003B07E3" w:rsidR="009A0FD0">
        <w:rPr>
          <w:sz w:val="18"/>
          <w:szCs w:val="18"/>
        </w:rPr>
        <w:t xml:space="preserve">30 percent </w:t>
      </w:r>
      <w:r w:rsidR="00FC7172">
        <w:rPr>
          <w:sz w:val="18"/>
          <w:szCs w:val="18"/>
        </w:rPr>
        <w:t xml:space="preserve">of submission (for purposes of this IC) </w:t>
      </w:r>
      <w:r w:rsidRPr="003B07E3" w:rsidR="009A0FD0">
        <w:rPr>
          <w:sz w:val="18"/>
          <w:szCs w:val="18"/>
        </w:rPr>
        <w:t>will now equate to</w:t>
      </w:r>
      <w:r w:rsidR="009A0FD0">
        <w:t xml:space="preserve"> </w:t>
      </w:r>
      <w:r w:rsidR="005722DB">
        <w:rPr>
          <w:sz w:val="18"/>
          <w:szCs w:val="18"/>
        </w:rPr>
        <w:t>4</w:t>
      </w:r>
      <w:r w:rsidR="00FD7A7A">
        <w:rPr>
          <w:sz w:val="18"/>
          <w:szCs w:val="18"/>
        </w:rPr>
        <w:t>,376</w:t>
      </w:r>
      <w:r w:rsidRPr="00427B9B" w:rsidR="003376F9">
        <w:rPr>
          <w:sz w:val="18"/>
          <w:szCs w:val="18"/>
        </w:rPr>
        <w:t xml:space="preserve"> respondents will submit, on average, </w:t>
      </w:r>
      <w:r w:rsidR="00C62AE0">
        <w:rPr>
          <w:sz w:val="18"/>
          <w:szCs w:val="18"/>
        </w:rPr>
        <w:t>140,410</w:t>
      </w:r>
      <w:r w:rsidRPr="00427B9B" w:rsidR="003376F9">
        <w:rPr>
          <w:sz w:val="18"/>
          <w:szCs w:val="18"/>
        </w:rPr>
        <w:t xml:space="preserve"> responses</w:t>
      </w:r>
      <w:r w:rsidR="00C62AE0">
        <w:rPr>
          <w:sz w:val="18"/>
          <w:szCs w:val="18"/>
        </w:rPr>
        <w:t>.</w:t>
      </w:r>
    </w:p>
  </w:footnote>
  <w:footnote w:id="4">
    <w:p w:rsidR="000254DA" w:rsidRPr="00CF0FD3" w:rsidP="000254DA" w14:paraId="431B10AC" w14:textId="77777777">
      <w:pPr>
        <w:pStyle w:val="FootnoteText"/>
        <w:rPr>
          <w:i/>
          <w:iCs/>
          <w:sz w:val="18"/>
          <w:szCs w:val="18"/>
          <w:highlight w:val="yellow"/>
        </w:rPr>
      </w:pPr>
      <w:r w:rsidRPr="00CF0FD3">
        <w:rPr>
          <w:rStyle w:val="FootnoteReference"/>
          <w:rFonts w:eastAsiaTheme="majorEastAsia"/>
          <w:sz w:val="18"/>
          <w:szCs w:val="18"/>
          <w:vertAlign w:val="superscript"/>
        </w:rPr>
        <w:footnoteRef/>
      </w:r>
      <w:r w:rsidRPr="00CF0FD3">
        <w:rPr>
          <w:sz w:val="18"/>
          <w:szCs w:val="18"/>
        </w:rPr>
        <w:t xml:space="preserve"> Source: </w:t>
      </w:r>
      <w:r w:rsidRPr="00CF0FD3">
        <w:rPr>
          <w:i/>
          <w:iCs/>
          <w:sz w:val="18"/>
          <w:szCs w:val="18"/>
        </w:rPr>
        <w:t>Bureau of Labor Statistics May 2020 National Occupational Employment and Wage Estimates; Management Occupations.</w:t>
      </w:r>
      <w:r>
        <w:t xml:space="preserve"> </w:t>
      </w:r>
      <w:hyperlink r:id="rId1" w:history="1">
        <w:r w:rsidRPr="007717D2">
          <w:rPr>
            <w:rStyle w:val="Hyperlink"/>
            <w:rFonts w:eastAsiaTheme="majorEastAsia"/>
          </w:rPr>
          <w:t>https://www.bls.gov/oes/current/oes113121.htm</w:t>
        </w:r>
      </w:hyperlink>
      <w:r>
        <w:t>.</w:t>
      </w:r>
    </w:p>
  </w:footnote>
  <w:footnote w:id="5">
    <w:p w:rsidR="000254DA" w:rsidRPr="00707A6C" w:rsidP="000254DA" w14:paraId="005B64B7" w14:textId="77777777">
      <w:pPr>
        <w:pStyle w:val="FootnoteText"/>
        <w:rPr>
          <w:sz w:val="18"/>
          <w:szCs w:val="18"/>
        </w:rPr>
      </w:pPr>
      <w:r w:rsidRPr="00707A6C">
        <w:rPr>
          <w:rStyle w:val="FootnoteReference"/>
          <w:rFonts w:eastAsiaTheme="majorEastAsia"/>
          <w:sz w:val="18"/>
          <w:szCs w:val="18"/>
          <w:vertAlign w:val="superscript"/>
        </w:rPr>
        <w:footnoteRef/>
      </w:r>
      <w:r w:rsidRPr="00707A6C">
        <w:rPr>
          <w:sz w:val="18"/>
          <w:szCs w:val="18"/>
        </w:rPr>
        <w:t xml:space="preserve"> </w:t>
      </w:r>
      <w:r w:rsidRPr="00707A6C">
        <w:rPr>
          <w:rFonts w:cs="Arial"/>
          <w:sz w:val="18"/>
          <w:szCs w:val="18"/>
        </w:rPr>
        <w:t xml:space="preserve">In estimating employer staff time costs, DOL used the national cross-industry mean hourly wage rate for a Human Resources Manager ($64.70), as published by DOL’s Occupational Employment Statistics </w:t>
      </w:r>
      <w:r w:rsidRPr="00687E9C">
        <w:rPr>
          <w:rFonts w:cs="Arial"/>
          <w:sz w:val="18"/>
          <w:szCs w:val="18"/>
        </w:rPr>
        <w:t>survey (</w:t>
      </w:r>
      <w:r w:rsidRPr="00BA323F">
        <w:rPr>
          <w:i/>
          <w:iCs/>
          <w:color w:val="000000"/>
          <w:sz w:val="18"/>
          <w:szCs w:val="18"/>
        </w:rPr>
        <w:t xml:space="preserve">Employer Costs for Employee Compensation – </w:t>
      </w:r>
      <w:r>
        <w:rPr>
          <w:i/>
          <w:iCs/>
          <w:color w:val="000000"/>
          <w:sz w:val="18"/>
          <w:szCs w:val="18"/>
        </w:rPr>
        <w:t>September</w:t>
      </w:r>
      <w:r w:rsidRPr="00BA323F">
        <w:rPr>
          <w:i/>
          <w:iCs/>
          <w:color w:val="000000"/>
          <w:sz w:val="18"/>
          <w:szCs w:val="18"/>
        </w:rPr>
        <w:t xml:space="preserve"> 2021</w:t>
      </w:r>
      <w:r w:rsidRPr="00BA323F">
        <w:rPr>
          <w:color w:val="000000"/>
          <w:sz w:val="18"/>
          <w:szCs w:val="18"/>
        </w:rPr>
        <w:t xml:space="preserve">, DOL, BLS, </w:t>
      </w:r>
      <w:hyperlink r:id="rId2" w:history="1">
        <w:r w:rsidRPr="003E6E44">
          <w:rPr>
            <w:rStyle w:val="Hyperlink"/>
            <w:rFonts w:eastAsiaTheme="majorEastAsia"/>
            <w:sz w:val="18"/>
            <w:szCs w:val="18"/>
          </w:rPr>
          <w:t>www.bls.gov/news.release/archives/ecec_12162021.pdf</w:t>
        </w:r>
      </w:hyperlink>
      <w:r w:rsidRPr="00BA323F">
        <w:rPr>
          <w:color w:val="000000"/>
          <w:sz w:val="18"/>
          <w:szCs w:val="18"/>
        </w:rPr>
        <w:t>)</w:t>
      </w:r>
      <w:r w:rsidRPr="00687E9C">
        <w:rPr>
          <w:rFonts w:cs="Arial"/>
          <w:sz w:val="18"/>
          <w:szCs w:val="18"/>
        </w:rPr>
        <w:t>,</w:t>
      </w:r>
      <w:r w:rsidRPr="00687E9C">
        <w:rPr>
          <w:rFonts w:cs="Arial"/>
          <w:sz w:val="18"/>
          <w:szCs w:val="18"/>
          <w:vertAlign w:val="superscript"/>
        </w:rPr>
        <w:t xml:space="preserve"> </w:t>
      </w:r>
      <w:r w:rsidRPr="00687E9C">
        <w:rPr>
          <w:rFonts w:cs="Arial"/>
          <w:sz w:val="18"/>
          <w:szCs w:val="18"/>
        </w:rPr>
        <w:t>and increased</w:t>
      </w:r>
      <w:r w:rsidRPr="00707A6C">
        <w:rPr>
          <w:rFonts w:cs="Arial"/>
          <w:sz w:val="18"/>
          <w:szCs w:val="18"/>
        </w:rPr>
        <w:t xml:space="preserve"> it by a factor of 1.29</w:t>
      </w:r>
      <w:r>
        <w:rPr>
          <w:rFonts w:cs="Arial"/>
          <w:sz w:val="18"/>
          <w:szCs w:val="18"/>
        </w:rPr>
        <w:t>2</w:t>
      </w:r>
      <w:r w:rsidRPr="00707A6C">
        <w:rPr>
          <w:rFonts w:cs="Arial"/>
          <w:sz w:val="18"/>
          <w:szCs w:val="18"/>
        </w:rPr>
        <w:t xml:space="preserve"> to account for employee benefits and other compensation, for a total hourly cost of $83.59.</w:t>
      </w:r>
      <w:r w:rsidRPr="00707A6C">
        <w:rPr>
          <w:rFonts w:cs="Arial"/>
          <w:i/>
          <w:sz w:val="18"/>
          <w:szCs w:val="18"/>
        </w:rPr>
        <w:t xml:space="preserve">  </w:t>
      </w:r>
    </w:p>
  </w:footnote>
  <w:footnote w:id="6">
    <w:p w:rsidR="000254DA" w:rsidRPr="00E13CD0" w:rsidP="000254DA" w14:paraId="4D3365DF" w14:textId="77777777">
      <w:pPr>
        <w:pStyle w:val="FootnoteText"/>
        <w:rPr>
          <w:sz w:val="18"/>
          <w:szCs w:val="18"/>
        </w:rPr>
      </w:pPr>
      <w:r w:rsidRPr="00707A6C">
        <w:rPr>
          <w:rStyle w:val="FootnoteReference"/>
          <w:rFonts w:eastAsiaTheme="majorEastAsia"/>
          <w:sz w:val="18"/>
          <w:szCs w:val="18"/>
          <w:vertAlign w:val="superscript"/>
        </w:rPr>
        <w:footnoteRef/>
      </w:r>
      <w:r w:rsidRPr="00707A6C">
        <w:rPr>
          <w:sz w:val="18"/>
          <w:szCs w:val="18"/>
        </w:rPr>
        <w:t xml:space="preserve"> Total estimate number is rounded.</w:t>
      </w:r>
      <w:r w:rsidRPr="00E13CD0">
        <w:rPr>
          <w:sz w:val="18"/>
          <w:szCs w:val="18"/>
        </w:rPr>
        <w:t xml:space="preserve">  </w:t>
      </w:r>
    </w:p>
  </w:footnote>
  <w:footnote w:id="7">
    <w:p w:rsidR="000254DA" w:rsidRPr="00BB0FCA" w:rsidP="000254DA" w14:paraId="47D7E7FE" w14:textId="11341271">
      <w:pPr>
        <w:pStyle w:val="FootnoteText"/>
        <w:rPr>
          <w:sz w:val="18"/>
          <w:szCs w:val="18"/>
        </w:rPr>
      </w:pPr>
      <w:r w:rsidRPr="000B73AA">
        <w:rPr>
          <w:rStyle w:val="FootnoteReference"/>
          <w:rFonts w:eastAsiaTheme="majorEastAsia"/>
          <w:sz w:val="18"/>
          <w:szCs w:val="18"/>
          <w:vertAlign w:val="superscript"/>
        </w:rPr>
        <w:footnoteRef/>
      </w:r>
      <w:r>
        <w:rPr>
          <w:sz w:val="18"/>
          <w:szCs w:val="18"/>
        </w:rPr>
        <w:t xml:space="preserve"> This estimate is the average number of surveys received in FY2020 and FY2021; DOL received 217 ETA-232s in FY2020 and 229 ETA-232s in FY2021</w:t>
      </w:r>
      <w:r w:rsidR="00A14C9C">
        <w:rPr>
          <w:sz w:val="18"/>
          <w:szCs w:val="18"/>
        </w:rPr>
        <w:t xml:space="preserve"> for all of the H-2A program.  </w:t>
      </w:r>
      <w:r w:rsidR="00CE5A8E">
        <w:rPr>
          <w:sz w:val="18"/>
          <w:szCs w:val="18"/>
        </w:rPr>
        <w:t xml:space="preserve">For purposes of this IC, specifically the </w:t>
      </w:r>
      <w:r w:rsidRPr="0060486F" w:rsidR="00CE5A8E">
        <w:rPr>
          <w:i/>
          <w:iCs/>
          <w:sz w:val="18"/>
          <w:szCs w:val="18"/>
        </w:rPr>
        <w:t xml:space="preserve">Kansas </w:t>
      </w:r>
      <w:r w:rsidR="00CE5A8E">
        <w:rPr>
          <w:sz w:val="18"/>
          <w:szCs w:val="18"/>
        </w:rPr>
        <w:t xml:space="preserve">plaintiffs, the Department estimates that it will receive 69 responses from </w:t>
      </w:r>
      <w:r w:rsidR="00511E92">
        <w:rPr>
          <w:sz w:val="18"/>
          <w:szCs w:val="18"/>
        </w:rPr>
        <w:t>6 states</w:t>
      </w:r>
      <w:r w:rsidR="0097246E">
        <w:rPr>
          <w:sz w:val="18"/>
          <w:szCs w:val="18"/>
        </w:rPr>
        <w:t xml:space="preserve">.  </w:t>
      </w:r>
      <w:r w:rsidR="00CE5A8E">
        <w:rPr>
          <w:sz w:val="18"/>
          <w:szCs w:val="18"/>
        </w:rPr>
        <w:t xml:space="preserve"> </w:t>
      </w:r>
      <w:r w:rsidRPr="00BA323F" w:rsidR="00087BA8">
        <w:t>At an estimated 1,190 total hours to complete, validate, and submit information on the Form ETA-232</w:t>
      </w:r>
      <w:r w:rsidR="00DF5D06">
        <w:t xml:space="preserve">, the Department estimates that the total burden hours are </w:t>
      </w:r>
      <w:r w:rsidR="00C25F4C">
        <w:t>13, 110 (</w:t>
      </w:r>
      <w:r w:rsidR="005A4251">
        <w:t xml:space="preserve">69 responses X </w:t>
      </w:r>
      <w:r w:rsidR="00585553">
        <w:t>1,190</w:t>
      </w:r>
      <w:r w:rsidR="00C25F4C">
        <w:t xml:space="preserve"> hours</w:t>
      </w:r>
      <w:r w:rsidR="0053251A">
        <w:t xml:space="preserve"> = </w:t>
      </w:r>
      <w:r w:rsidR="00C21C10">
        <w:t>13,110</w:t>
      </w:r>
      <w:r w:rsidR="00C25F4C">
        <w:t xml:space="preserve">) total burden hours.  </w:t>
      </w:r>
    </w:p>
  </w:footnote>
  <w:footnote w:id="8">
    <w:p w:rsidR="000254DA" w:rsidRPr="00BB0FCA" w:rsidP="000254DA" w14:paraId="40EBC42E" w14:textId="77777777">
      <w:pPr>
        <w:pStyle w:val="FootnoteText"/>
        <w:rPr>
          <w:sz w:val="18"/>
          <w:szCs w:val="18"/>
        </w:rPr>
      </w:pPr>
      <w:r w:rsidRPr="00BA323F">
        <w:rPr>
          <w:rStyle w:val="FootnoteReference"/>
          <w:rFonts w:eastAsiaTheme="majorEastAsia"/>
          <w:sz w:val="18"/>
          <w:szCs w:val="18"/>
          <w:vertAlign w:val="superscript"/>
        </w:rPr>
        <w:footnoteRef/>
      </w:r>
      <w:r w:rsidRPr="000B73AA">
        <w:rPr>
          <w:sz w:val="18"/>
          <w:szCs w:val="18"/>
        </w:rPr>
        <w:t xml:space="preserve"> </w:t>
      </w:r>
      <w:r w:rsidRPr="000B73AA">
        <w:rPr>
          <w:i/>
          <w:kern w:val="36"/>
          <w:sz w:val="18"/>
          <w:szCs w:val="18"/>
        </w:rPr>
        <w:t xml:space="preserve">Occupational Employment and Wages, May 2020: 11-3121, </w:t>
      </w:r>
      <w:r w:rsidRPr="000B73AA">
        <w:rPr>
          <w:i/>
          <w:sz w:val="18"/>
          <w:szCs w:val="18"/>
          <w:lang w:val="en"/>
        </w:rPr>
        <w:t>Compensation, Benefits, and Job Analysis Specialists</w:t>
      </w:r>
      <w:r w:rsidRPr="00E25394">
        <w:rPr>
          <w:kern w:val="36"/>
          <w:sz w:val="18"/>
          <w:szCs w:val="18"/>
        </w:rPr>
        <w:t>, DOL, BLS,</w:t>
      </w:r>
      <w:r w:rsidRPr="00E25394">
        <w:rPr>
          <w:sz w:val="18"/>
          <w:szCs w:val="18"/>
        </w:rPr>
        <w:t xml:space="preserve"> </w:t>
      </w:r>
      <w:hyperlink r:id="rId3" w:history="1">
        <w:r w:rsidRPr="007579F9">
          <w:rPr>
            <w:rStyle w:val="Hyperlink"/>
            <w:rFonts w:eastAsiaTheme="majorEastAsia"/>
            <w:kern w:val="36"/>
            <w:sz w:val="18"/>
            <w:szCs w:val="18"/>
          </w:rPr>
          <w:t>www.bls</w:t>
        </w:r>
        <w:r w:rsidRPr="001D0E46">
          <w:rPr>
            <w:rStyle w:val="Hyperlink"/>
            <w:rFonts w:eastAsiaTheme="majorEastAsia"/>
            <w:kern w:val="36"/>
            <w:sz w:val="18"/>
            <w:szCs w:val="18"/>
          </w:rPr>
          <w:t>.gov/oes/current/oes131141.htm</w:t>
        </w:r>
      </w:hyperlink>
      <w:r w:rsidRPr="00E25394">
        <w:rPr>
          <w:sz w:val="18"/>
          <w:szCs w:val="18"/>
        </w:rPr>
        <w:t>.</w:t>
      </w:r>
    </w:p>
  </w:footnote>
  <w:footnote w:id="9">
    <w:p w:rsidR="000254DA" w:rsidRPr="00BB0FCA" w:rsidP="000254DA" w14:paraId="2FD1E870" w14:textId="77777777">
      <w:pPr>
        <w:pStyle w:val="FootnoteText"/>
        <w:rPr>
          <w:sz w:val="18"/>
          <w:szCs w:val="18"/>
        </w:rPr>
      </w:pPr>
      <w:r w:rsidRPr="00BA323F">
        <w:rPr>
          <w:rStyle w:val="FootnoteReference"/>
          <w:rFonts w:eastAsiaTheme="majorEastAsia"/>
          <w:sz w:val="18"/>
          <w:szCs w:val="18"/>
          <w:vertAlign w:val="superscript"/>
        </w:rPr>
        <w:footnoteRef/>
      </w:r>
      <w:r w:rsidRPr="00BB0FCA">
        <w:rPr>
          <w:sz w:val="18"/>
          <w:szCs w:val="18"/>
        </w:rPr>
        <w:t xml:space="preserve">  </w:t>
      </w:r>
      <w:r w:rsidRPr="000B73AA">
        <w:rPr>
          <w:i/>
          <w:iCs/>
          <w:sz w:val="18"/>
          <w:szCs w:val="18"/>
        </w:rPr>
        <w:t>Employer Costs for Employee Compensation – June 2021</w:t>
      </w:r>
      <w:r w:rsidRPr="000B73AA">
        <w:rPr>
          <w:sz w:val="18"/>
          <w:szCs w:val="18"/>
        </w:rPr>
        <w:t xml:space="preserve">, U.S. Department of Labor, Bureau of Labor Statistics, </w:t>
      </w:r>
      <w:hyperlink r:id="rId4" w:history="1">
        <w:r w:rsidRPr="00862BA7">
          <w:rPr>
            <w:rStyle w:val="Hyperlink"/>
            <w:rFonts w:eastAsiaTheme="majorEastAsia"/>
            <w:sz w:val="18"/>
            <w:szCs w:val="18"/>
          </w:rPr>
          <w:t>https://www.bls.gov/news.release/archives/ecec_09162021.htm</w:t>
        </w:r>
      </w:hyperlink>
      <w:r>
        <w:rPr>
          <w:sz w:val="18"/>
          <w:szCs w:val="18"/>
        </w:rPr>
        <w:t xml:space="preserve">. </w:t>
      </w:r>
    </w:p>
  </w:footnote>
  <w:footnote w:id="10">
    <w:p w:rsidR="000254DA" w:rsidRPr="009F6317" w:rsidP="000254DA" w14:paraId="22CECE5B" w14:textId="67B82858">
      <w:pPr>
        <w:pStyle w:val="FootnoteText"/>
        <w:rPr>
          <w:color w:val="000000"/>
        </w:rPr>
      </w:pPr>
      <w:r w:rsidRPr="00051572">
        <w:rPr>
          <w:rStyle w:val="FootnoteReference"/>
          <w:rFonts w:eastAsiaTheme="majorEastAsia"/>
          <w:vertAlign w:val="superscript"/>
        </w:rPr>
        <w:footnoteRef/>
      </w:r>
      <w:r w:rsidRPr="4CA0964D">
        <w:t xml:space="preserve"> </w:t>
      </w:r>
      <w:r w:rsidRPr="009F6317">
        <w:rPr>
          <w:color w:val="000000"/>
          <w:sz w:val="19"/>
          <w:szCs w:val="19"/>
        </w:rPr>
        <w:t xml:space="preserve">These respondents receive funding under the Wagner-Peyser Act. </w:t>
      </w:r>
      <w:r>
        <w:rPr>
          <w:color w:val="000000"/>
          <w:sz w:val="19"/>
          <w:szCs w:val="19"/>
        </w:rPr>
        <w:t xml:space="preserve"> </w:t>
      </w:r>
      <w:r w:rsidRPr="009F6317">
        <w:rPr>
          <w:color w:val="000000"/>
          <w:sz w:val="19"/>
          <w:szCs w:val="19"/>
        </w:rPr>
        <w:t>The Commonwealth of the Northern Mariana Islands is not covered by the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68C9" w:rsidRPr="009268C9" w14:paraId="2F196625" w14:textId="5824A753">
    <w:pPr>
      <w:pStyle w:val="Header"/>
      <w:tabs>
        <w:tab w:val="clear" w:pos="4680"/>
      </w:tabs>
      <w:jc w:val="both"/>
      <w:rPr>
        <w:sz w:val="20"/>
        <w:szCs w:val="20"/>
      </w:rPr>
    </w:pPr>
    <w:r w:rsidRPr="008942D2">
      <w:rPr>
        <w:sz w:val="20"/>
        <w:szCs w:val="20"/>
      </w:rPr>
      <w:t xml:space="preserve">Criteria and Non-Criteria Agricultural Clearance Order Forms and H-2A Application for Temporary Employment Certification in States and by Employers Covered by Injunction of the Farmworker Protection Final Rule </w:t>
    </w:r>
  </w:p>
  <w:p w:rsidR="00377E81" w:rsidRPr="009268C9" w14:paraId="13BDD4FC" w14:textId="126CD9D0">
    <w:pPr>
      <w:pStyle w:val="Header"/>
      <w:tabs>
        <w:tab w:val="clear" w:pos="4680"/>
      </w:tabs>
      <w:jc w:val="both"/>
      <w:rPr>
        <w:sz w:val="20"/>
        <w:szCs w:val="20"/>
      </w:rPr>
    </w:pPr>
    <w:r w:rsidRPr="009268C9">
      <w:rPr>
        <w:sz w:val="20"/>
        <w:szCs w:val="20"/>
      </w:rPr>
      <w:t>OMB Control No. 1205-0NEW</w:t>
    </w:r>
  </w:p>
  <w:p w:rsidR="00377E81" w:rsidRPr="009268C9" w14:paraId="74A07C12" w14:textId="7D865BEA">
    <w:pPr>
      <w:pStyle w:val="Header"/>
      <w:tabs>
        <w:tab w:val="clear" w:pos="4680"/>
      </w:tabs>
      <w:jc w:val="both"/>
      <w:rPr>
        <w:sz w:val="20"/>
        <w:szCs w:val="20"/>
      </w:rPr>
    </w:pPr>
    <w:r w:rsidRPr="009268C9">
      <w:rPr>
        <w:sz w:val="20"/>
        <w:szCs w:val="20"/>
      </w:rPr>
      <w:t xml:space="preserve">Expiration: </w:t>
    </w:r>
    <w:r w:rsidRPr="009268C9" w:rsidR="00932052">
      <w:rPr>
        <w:sz w:val="20"/>
        <w:szCs w:val="20"/>
      </w:rPr>
      <w:t>XX/XX/</w:t>
    </w:r>
    <w:r w:rsidRPr="009268C9" w:rsidR="005A289C">
      <w:rPr>
        <w:sz w:val="20"/>
        <w:szCs w:val="20"/>
      </w:rPr>
      <w:t>XXXX</w:t>
    </w:r>
  </w:p>
  <w:p w:rsidR="00377E81" w14:paraId="4BC4A50A"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12735"/>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7B291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2B16C5C"/>
    <w:multiLevelType w:val="hybridMultilevel"/>
    <w:tmpl w:val="0B8E81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2D56DA"/>
    <w:multiLevelType w:val="hybridMultilevel"/>
    <w:tmpl w:val="722C9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78CFFF"/>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DB92A43"/>
    <w:multiLevelType w:val="hybridMultilevel"/>
    <w:tmpl w:val="FE86F5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8349FD"/>
    <w:multiLevelType w:val="hybridMultilevel"/>
    <w:tmpl w:val="00AE82D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C02D8E"/>
    <w:multiLevelType w:val="hybridMultilevel"/>
    <w:tmpl w:val="71ECDF8A"/>
    <w:lvl w:ilvl="0">
      <w:start w:val="1"/>
      <w:numFmt w:val="upperRoman"/>
      <w:lvlText w:val="%1."/>
      <w:lvlJc w:val="left"/>
      <w:pPr>
        <w:ind w:left="1440" w:hanging="720"/>
      </w:pPr>
      <w:rPr>
        <w:rFonts w:ascii="Times New Roman" w:hAnsi="Times New Roman" w:cs="Times New Roman"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7222BFC"/>
    <w:multiLevelType w:val="hybridMultilevel"/>
    <w:tmpl w:val="A052D76C"/>
    <w:lvl w:ilvl="0">
      <w:start w:val="1"/>
      <w:numFmt w:val="bullet"/>
      <w:lvlText w:val=""/>
      <w:lvlJc w:val="left"/>
      <w:pPr>
        <w:ind w:left="720" w:hanging="360"/>
      </w:pPr>
      <w:rPr>
        <w:rFonts w:ascii="Symbol" w:hAnsi="Symbol" w:cs="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176F38EE"/>
    <w:multiLevelType w:val="hybridMultilevel"/>
    <w:tmpl w:val="384645D6"/>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D5E5BE6"/>
    <w:multiLevelType w:val="hybridMultilevel"/>
    <w:tmpl w:val="A7A6F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D74105A"/>
    <w:multiLevelType w:val="hybridMultilevel"/>
    <w:tmpl w:val="32925D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E527C24"/>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04F3EE9"/>
    <w:multiLevelType w:val="hybridMultilevel"/>
    <w:tmpl w:val="FF809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8E372C"/>
    <w:multiLevelType w:val="hybridMultilevel"/>
    <w:tmpl w:val="734CCD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6">
    <w:nsid w:val="280D29A2"/>
    <w:multiLevelType w:val="hybridMultilevel"/>
    <w:tmpl w:val="00D8B9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8992E8A"/>
    <w:multiLevelType w:val="hybridMultilevel"/>
    <w:tmpl w:val="22D21B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9C10214"/>
    <w:multiLevelType w:val="hybridMultilevel"/>
    <w:tmpl w:val="C504C0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E453E35"/>
    <w:multiLevelType w:val="hybridMultilevel"/>
    <w:tmpl w:val="EC36946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A382E"/>
    <w:multiLevelType w:val="hybridMultilevel"/>
    <w:tmpl w:val="D9727400"/>
    <w:lvl w:ilvl="0">
      <w:start w:val="120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780648"/>
    <w:multiLevelType w:val="hybridMultilevel"/>
    <w:tmpl w:val="5986D3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9D313F7"/>
    <w:multiLevelType w:val="hybridMultilevel"/>
    <w:tmpl w:val="90D4B3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3E3C5A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42045B4"/>
    <w:multiLevelType w:val="hybridMultilevel"/>
    <w:tmpl w:val="DEA4F8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49709EF"/>
    <w:multiLevelType w:val="hybridMultilevel"/>
    <w:tmpl w:val="CE0C1A0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ADE5A2C"/>
    <w:multiLevelType w:val="hybridMultilevel"/>
    <w:tmpl w:val="390A7E5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AF42455"/>
    <w:multiLevelType w:val="hybridMultilevel"/>
    <w:tmpl w:val="3E7A5A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9">
    <w:nsid w:val="4EDB7678"/>
    <w:multiLevelType w:val="hybridMultilevel"/>
    <w:tmpl w:val="A10012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F897290"/>
    <w:multiLevelType w:val="hybridMultilevel"/>
    <w:tmpl w:val="7F92A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01454D6"/>
    <w:multiLevelType w:val="hybridMultilevel"/>
    <w:tmpl w:val="D032B0D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072993"/>
    <w:multiLevelType w:val="hybridMultilevel"/>
    <w:tmpl w:val="349468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916B81"/>
    <w:multiLevelType w:val="hybridMultilevel"/>
    <w:tmpl w:val="1A22D6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6B6807"/>
    <w:multiLevelType w:val="hybridMultilevel"/>
    <w:tmpl w:val="94DE96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C125A10"/>
    <w:multiLevelType w:val="hybridMultilevel"/>
    <w:tmpl w:val="D526C5A0"/>
    <w:lvl w:ilvl="0">
      <w:start w:val="1"/>
      <w:numFmt w:val="bullet"/>
      <w:lvlText w:val=""/>
      <w:lvlJc w:val="left"/>
      <w:pPr>
        <w:tabs>
          <w:tab w:val="num" w:pos="1656"/>
        </w:tabs>
        <w:ind w:left="1656" w:hanging="576"/>
      </w:pPr>
      <w:rPr>
        <w:rFonts w:ascii="Wingdings" w:hAnsi="Wingdings" w:hint="default"/>
        <w:color w:val="auto"/>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36">
    <w:nsid w:val="5DDE49C2"/>
    <w:multiLevelType w:val="hybridMultilevel"/>
    <w:tmpl w:val="B064A1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F231D9B"/>
    <w:multiLevelType w:val="hybridMultilevel"/>
    <w:tmpl w:val="10723C7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1165EA5"/>
    <w:multiLevelType w:val="hybridMultilevel"/>
    <w:tmpl w:val="68D411C8"/>
    <w:lvl w:ilvl="0">
      <w:start w:val="1"/>
      <w:numFmt w:val="upp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9">
    <w:nsid w:val="612F2019"/>
    <w:multiLevelType w:val="hybridMultilevel"/>
    <w:tmpl w:val="0B68E5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2F5865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5FC36A0"/>
    <w:multiLevelType w:val="hybridMultilevel"/>
    <w:tmpl w:val="BA14058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C4F517"/>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A48193D"/>
    <w:multiLevelType w:val="hybridMultilevel"/>
    <w:tmpl w:val="DBAAC7F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1324F55"/>
    <w:multiLevelType w:val="hybridMultilevel"/>
    <w:tmpl w:val="BCD6D1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1621AC8"/>
    <w:multiLevelType w:val="hybridMultilevel"/>
    <w:tmpl w:val="C5E22058"/>
    <w:lvl w:ilvl="0">
      <w:start w:val="1"/>
      <w:numFmt w:val="bullet"/>
      <w:lvlText w:val="o"/>
      <w:lvlJc w:val="left"/>
      <w:pPr>
        <w:tabs>
          <w:tab w:val="num" w:pos="1440"/>
        </w:tabs>
        <w:ind w:left="1440" w:hanging="360"/>
      </w:pPr>
      <w:rPr>
        <w:rFont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46">
    <w:nsid w:val="71C574AE"/>
    <w:multiLevelType w:val="hybridMultilevel"/>
    <w:tmpl w:val="6750E6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2004687"/>
    <w:multiLevelType w:val="hybridMultilevel"/>
    <w:tmpl w:val="F70EA0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72EC0C0B"/>
    <w:multiLevelType w:val="hybridMultilevel"/>
    <w:tmpl w:val="259654C4"/>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75C2BEC5"/>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5E644C9"/>
    <w:multiLevelType w:val="hybridMultilevel"/>
    <w:tmpl w:val="4ADE829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7553A65"/>
    <w:multiLevelType w:val="hybridMultilevel"/>
    <w:tmpl w:val="F47CB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8121367"/>
    <w:multiLevelType w:val="hybridMultilevel"/>
    <w:tmpl w:val="9288D7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87C0A3E"/>
    <w:multiLevelType w:val="hybridMultilevel"/>
    <w:tmpl w:val="5666F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997746E"/>
    <w:multiLevelType w:val="hybridMultilevel"/>
    <w:tmpl w:val="5F9A01F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6587011">
    <w:abstractNumId w:val="55"/>
  </w:num>
  <w:num w:numId="2" w16cid:durableId="130832445">
    <w:abstractNumId w:val="45"/>
  </w:num>
  <w:num w:numId="3" w16cid:durableId="1933972900">
    <w:abstractNumId w:val="34"/>
  </w:num>
  <w:num w:numId="4" w16cid:durableId="1832793953">
    <w:abstractNumId w:val="3"/>
  </w:num>
  <w:num w:numId="5" w16cid:durableId="1352881515">
    <w:abstractNumId w:val="54"/>
  </w:num>
  <w:num w:numId="6" w16cid:durableId="637762184">
    <w:abstractNumId w:val="48"/>
  </w:num>
  <w:num w:numId="7" w16cid:durableId="191500238">
    <w:abstractNumId w:val="9"/>
  </w:num>
  <w:num w:numId="8" w16cid:durableId="59250655">
    <w:abstractNumId w:val="15"/>
  </w:num>
  <w:num w:numId="9" w16cid:durableId="88702334">
    <w:abstractNumId w:val="47"/>
  </w:num>
  <w:num w:numId="10" w16cid:durableId="752701764">
    <w:abstractNumId w:val="8"/>
  </w:num>
  <w:num w:numId="11" w16cid:durableId="1615599344">
    <w:abstractNumId w:val="20"/>
  </w:num>
  <w:num w:numId="12" w16cid:durableId="887182711">
    <w:abstractNumId w:val="35"/>
  </w:num>
  <w:num w:numId="13" w16cid:durableId="34544459">
    <w:abstractNumId w:val="46"/>
  </w:num>
  <w:num w:numId="14" w16cid:durableId="935138193">
    <w:abstractNumId w:val="7"/>
  </w:num>
  <w:num w:numId="15" w16cid:durableId="1298951468">
    <w:abstractNumId w:val="50"/>
  </w:num>
  <w:num w:numId="16" w16cid:durableId="1966933178">
    <w:abstractNumId w:val="44"/>
  </w:num>
  <w:num w:numId="17" w16cid:durableId="179440624">
    <w:abstractNumId w:val="19"/>
  </w:num>
  <w:num w:numId="18" w16cid:durableId="511073758">
    <w:abstractNumId w:val="6"/>
  </w:num>
  <w:num w:numId="19" w16cid:durableId="1198541422">
    <w:abstractNumId w:val="36"/>
  </w:num>
  <w:num w:numId="20" w16cid:durableId="532614485">
    <w:abstractNumId w:val="22"/>
  </w:num>
  <w:num w:numId="21" w16cid:durableId="398678347">
    <w:abstractNumId w:val="17"/>
  </w:num>
  <w:num w:numId="22" w16cid:durableId="1364401196">
    <w:abstractNumId w:val="27"/>
  </w:num>
  <w:num w:numId="23" w16cid:durableId="19551745">
    <w:abstractNumId w:val="11"/>
  </w:num>
  <w:num w:numId="24" w16cid:durableId="794952373">
    <w:abstractNumId w:val="18"/>
  </w:num>
  <w:num w:numId="25" w16cid:durableId="467285117">
    <w:abstractNumId w:val="16"/>
  </w:num>
  <w:num w:numId="26" w16cid:durableId="1323848436">
    <w:abstractNumId w:val="14"/>
  </w:num>
  <w:num w:numId="27" w16cid:durableId="580409561">
    <w:abstractNumId w:val="39"/>
  </w:num>
  <w:num w:numId="28" w16cid:durableId="1372993155">
    <w:abstractNumId w:val="29"/>
  </w:num>
  <w:num w:numId="29" w16cid:durableId="1973829549">
    <w:abstractNumId w:val="24"/>
  </w:num>
  <w:num w:numId="30" w16cid:durableId="323242623">
    <w:abstractNumId w:val="33"/>
  </w:num>
  <w:num w:numId="31" w16cid:durableId="478964637">
    <w:abstractNumId w:val="21"/>
  </w:num>
  <w:num w:numId="32" w16cid:durableId="1005746350">
    <w:abstractNumId w:val="38"/>
  </w:num>
  <w:num w:numId="33" w16cid:durableId="2075741697">
    <w:abstractNumId w:val="32"/>
  </w:num>
  <w:num w:numId="34" w16cid:durableId="1296063497">
    <w:abstractNumId w:val="5"/>
  </w:num>
  <w:num w:numId="35" w16cid:durableId="274681896">
    <w:abstractNumId w:val="28"/>
  </w:num>
  <w:num w:numId="36" w16cid:durableId="1706711840">
    <w:abstractNumId w:val="2"/>
  </w:num>
  <w:num w:numId="37" w16cid:durableId="679895739">
    <w:abstractNumId w:val="26"/>
  </w:num>
  <w:num w:numId="38" w16cid:durableId="1727798429">
    <w:abstractNumId w:val="25"/>
  </w:num>
  <w:num w:numId="39" w16cid:durableId="1529681659">
    <w:abstractNumId w:val="52"/>
  </w:num>
  <w:num w:numId="40" w16cid:durableId="1525558019">
    <w:abstractNumId w:val="37"/>
  </w:num>
  <w:num w:numId="41" w16cid:durableId="1591161320">
    <w:abstractNumId w:val="43"/>
  </w:num>
  <w:num w:numId="42" w16cid:durableId="1368720520">
    <w:abstractNumId w:val="41"/>
  </w:num>
  <w:num w:numId="43" w16cid:durableId="2019237146">
    <w:abstractNumId w:val="31"/>
  </w:num>
  <w:num w:numId="44" w16cid:durableId="613830926">
    <w:abstractNumId w:val="30"/>
  </w:num>
  <w:num w:numId="45" w16cid:durableId="1236549286">
    <w:abstractNumId w:val="10"/>
  </w:num>
  <w:num w:numId="46" w16cid:durableId="812675340">
    <w:abstractNumId w:val="51"/>
  </w:num>
  <w:num w:numId="47" w16cid:durableId="688877192">
    <w:abstractNumId w:val="13"/>
  </w:num>
  <w:num w:numId="48" w16cid:durableId="919682299">
    <w:abstractNumId w:val="53"/>
  </w:num>
  <w:num w:numId="49" w16cid:durableId="1349914541">
    <w:abstractNumId w:val="42"/>
  </w:num>
  <w:num w:numId="50" w16cid:durableId="316225254">
    <w:abstractNumId w:val="4"/>
  </w:num>
  <w:num w:numId="51" w16cid:durableId="1488206622">
    <w:abstractNumId w:val="0"/>
  </w:num>
  <w:num w:numId="52" w16cid:durableId="2032368507">
    <w:abstractNumId w:val="23"/>
  </w:num>
  <w:num w:numId="53" w16cid:durableId="1842237287">
    <w:abstractNumId w:val="1"/>
  </w:num>
  <w:num w:numId="54" w16cid:durableId="1224028794">
    <w:abstractNumId w:val="12"/>
  </w:num>
  <w:num w:numId="55" w16cid:durableId="1136026688">
    <w:abstractNumId w:val="49"/>
  </w:num>
  <w:num w:numId="56" w16cid:durableId="566648011">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DA"/>
    <w:rsid w:val="0000032B"/>
    <w:rsid w:val="0000509C"/>
    <w:rsid w:val="000052B6"/>
    <w:rsid w:val="0001094F"/>
    <w:rsid w:val="00010A2B"/>
    <w:rsid w:val="00010C51"/>
    <w:rsid w:val="00011088"/>
    <w:rsid w:val="00015E5D"/>
    <w:rsid w:val="00016241"/>
    <w:rsid w:val="00016764"/>
    <w:rsid w:val="000204CF"/>
    <w:rsid w:val="00022F0E"/>
    <w:rsid w:val="000254DA"/>
    <w:rsid w:val="0003010B"/>
    <w:rsid w:val="00030FA0"/>
    <w:rsid w:val="000312CF"/>
    <w:rsid w:val="00032AC2"/>
    <w:rsid w:val="00032ACC"/>
    <w:rsid w:val="00034CA8"/>
    <w:rsid w:val="00034D06"/>
    <w:rsid w:val="000367B8"/>
    <w:rsid w:val="00036DB0"/>
    <w:rsid w:val="00041787"/>
    <w:rsid w:val="000432B4"/>
    <w:rsid w:val="000450BC"/>
    <w:rsid w:val="000476FF"/>
    <w:rsid w:val="0005375E"/>
    <w:rsid w:val="00053C23"/>
    <w:rsid w:val="00057B46"/>
    <w:rsid w:val="000610C2"/>
    <w:rsid w:val="00061294"/>
    <w:rsid w:val="000663B7"/>
    <w:rsid w:val="000670EB"/>
    <w:rsid w:val="000700EB"/>
    <w:rsid w:val="00071813"/>
    <w:rsid w:val="000738AE"/>
    <w:rsid w:val="0007577B"/>
    <w:rsid w:val="000768DB"/>
    <w:rsid w:val="000775AC"/>
    <w:rsid w:val="00080472"/>
    <w:rsid w:val="00081372"/>
    <w:rsid w:val="00081918"/>
    <w:rsid w:val="00087BA8"/>
    <w:rsid w:val="00091437"/>
    <w:rsid w:val="00092908"/>
    <w:rsid w:val="00095700"/>
    <w:rsid w:val="000979D0"/>
    <w:rsid w:val="00097D6C"/>
    <w:rsid w:val="000A442F"/>
    <w:rsid w:val="000A7DAC"/>
    <w:rsid w:val="000B1EDE"/>
    <w:rsid w:val="000B3D62"/>
    <w:rsid w:val="000B5034"/>
    <w:rsid w:val="000B5F4D"/>
    <w:rsid w:val="000B680D"/>
    <w:rsid w:val="000B73AA"/>
    <w:rsid w:val="000C0E1D"/>
    <w:rsid w:val="000C0E4B"/>
    <w:rsid w:val="000C38CB"/>
    <w:rsid w:val="000C3BA3"/>
    <w:rsid w:val="000C643B"/>
    <w:rsid w:val="000C64A6"/>
    <w:rsid w:val="000D0419"/>
    <w:rsid w:val="000D07BA"/>
    <w:rsid w:val="000D088D"/>
    <w:rsid w:val="000D0B3E"/>
    <w:rsid w:val="000D1843"/>
    <w:rsid w:val="000D1A56"/>
    <w:rsid w:val="000D1F09"/>
    <w:rsid w:val="000D4E0D"/>
    <w:rsid w:val="000D58F0"/>
    <w:rsid w:val="000E053A"/>
    <w:rsid w:val="000E3369"/>
    <w:rsid w:val="000F0454"/>
    <w:rsid w:val="000F17DF"/>
    <w:rsid w:val="000F240A"/>
    <w:rsid w:val="000F2BC7"/>
    <w:rsid w:val="000F6E63"/>
    <w:rsid w:val="000F7D39"/>
    <w:rsid w:val="001009D0"/>
    <w:rsid w:val="00100FDA"/>
    <w:rsid w:val="00101004"/>
    <w:rsid w:val="0010729E"/>
    <w:rsid w:val="00112A10"/>
    <w:rsid w:val="001142E6"/>
    <w:rsid w:val="00123A38"/>
    <w:rsid w:val="001308DE"/>
    <w:rsid w:val="001329C2"/>
    <w:rsid w:val="00140ECB"/>
    <w:rsid w:val="001441DB"/>
    <w:rsid w:val="00146E75"/>
    <w:rsid w:val="00147610"/>
    <w:rsid w:val="00150C65"/>
    <w:rsid w:val="00151FF9"/>
    <w:rsid w:val="00155CB0"/>
    <w:rsid w:val="001618DF"/>
    <w:rsid w:val="00165B00"/>
    <w:rsid w:val="00166E66"/>
    <w:rsid w:val="00167C50"/>
    <w:rsid w:val="00181F8B"/>
    <w:rsid w:val="00183440"/>
    <w:rsid w:val="00184565"/>
    <w:rsid w:val="00184B26"/>
    <w:rsid w:val="00192CD3"/>
    <w:rsid w:val="00193A5B"/>
    <w:rsid w:val="0019646B"/>
    <w:rsid w:val="00196569"/>
    <w:rsid w:val="001A3478"/>
    <w:rsid w:val="001A537B"/>
    <w:rsid w:val="001A56AC"/>
    <w:rsid w:val="001A6385"/>
    <w:rsid w:val="001A6D0A"/>
    <w:rsid w:val="001B0C40"/>
    <w:rsid w:val="001B381F"/>
    <w:rsid w:val="001C180B"/>
    <w:rsid w:val="001C2136"/>
    <w:rsid w:val="001C397A"/>
    <w:rsid w:val="001C3981"/>
    <w:rsid w:val="001C55CD"/>
    <w:rsid w:val="001D05BA"/>
    <w:rsid w:val="001D0E46"/>
    <w:rsid w:val="001D11E0"/>
    <w:rsid w:val="001D28D6"/>
    <w:rsid w:val="001D2A9B"/>
    <w:rsid w:val="001D433C"/>
    <w:rsid w:val="001E2D52"/>
    <w:rsid w:val="001E3499"/>
    <w:rsid w:val="001E61C6"/>
    <w:rsid w:val="001F0515"/>
    <w:rsid w:val="001F0FD9"/>
    <w:rsid w:val="001F2093"/>
    <w:rsid w:val="001F3B87"/>
    <w:rsid w:val="001F652A"/>
    <w:rsid w:val="001F70B0"/>
    <w:rsid w:val="00201742"/>
    <w:rsid w:val="002051FF"/>
    <w:rsid w:val="00206287"/>
    <w:rsid w:val="00206D6B"/>
    <w:rsid w:val="0021199C"/>
    <w:rsid w:val="00214C81"/>
    <w:rsid w:val="002171E3"/>
    <w:rsid w:val="00217D65"/>
    <w:rsid w:val="002208A2"/>
    <w:rsid w:val="002221A7"/>
    <w:rsid w:val="002222B5"/>
    <w:rsid w:val="002227E0"/>
    <w:rsid w:val="002248A0"/>
    <w:rsid w:val="0022568F"/>
    <w:rsid w:val="00230EC2"/>
    <w:rsid w:val="002333AD"/>
    <w:rsid w:val="002338E5"/>
    <w:rsid w:val="00233C0D"/>
    <w:rsid w:val="00242836"/>
    <w:rsid w:val="0024535A"/>
    <w:rsid w:val="00246631"/>
    <w:rsid w:val="002517C5"/>
    <w:rsid w:val="00253005"/>
    <w:rsid w:val="00255435"/>
    <w:rsid w:val="0026007F"/>
    <w:rsid w:val="00261725"/>
    <w:rsid w:val="00262784"/>
    <w:rsid w:val="002633B6"/>
    <w:rsid w:val="00264676"/>
    <w:rsid w:val="00267F2F"/>
    <w:rsid w:val="00270670"/>
    <w:rsid w:val="002764A9"/>
    <w:rsid w:val="002765A8"/>
    <w:rsid w:val="002778DC"/>
    <w:rsid w:val="00277DC4"/>
    <w:rsid w:val="00282DEB"/>
    <w:rsid w:val="00290AF0"/>
    <w:rsid w:val="00290EB6"/>
    <w:rsid w:val="00291750"/>
    <w:rsid w:val="00291EC6"/>
    <w:rsid w:val="00293CFE"/>
    <w:rsid w:val="002976E8"/>
    <w:rsid w:val="002A3FA2"/>
    <w:rsid w:val="002A6F78"/>
    <w:rsid w:val="002A7CEB"/>
    <w:rsid w:val="002B127C"/>
    <w:rsid w:val="002B13A8"/>
    <w:rsid w:val="002B2782"/>
    <w:rsid w:val="002B340C"/>
    <w:rsid w:val="002B7C89"/>
    <w:rsid w:val="002C19C0"/>
    <w:rsid w:val="002C39F2"/>
    <w:rsid w:val="002C3E91"/>
    <w:rsid w:val="002C3EC2"/>
    <w:rsid w:val="002C59EC"/>
    <w:rsid w:val="002C64E3"/>
    <w:rsid w:val="002C74C7"/>
    <w:rsid w:val="002C7829"/>
    <w:rsid w:val="002D0A7B"/>
    <w:rsid w:val="002D3F6A"/>
    <w:rsid w:val="002D4D1E"/>
    <w:rsid w:val="002D5632"/>
    <w:rsid w:val="002E36D7"/>
    <w:rsid w:val="002E6072"/>
    <w:rsid w:val="002F195D"/>
    <w:rsid w:val="003040B5"/>
    <w:rsid w:val="00305906"/>
    <w:rsid w:val="0030704F"/>
    <w:rsid w:val="003101E9"/>
    <w:rsid w:val="003214B3"/>
    <w:rsid w:val="00322E50"/>
    <w:rsid w:val="00325411"/>
    <w:rsid w:val="003264AA"/>
    <w:rsid w:val="00330053"/>
    <w:rsid w:val="0033149B"/>
    <w:rsid w:val="00336DED"/>
    <w:rsid w:val="003376F9"/>
    <w:rsid w:val="00340AAE"/>
    <w:rsid w:val="00342E39"/>
    <w:rsid w:val="00344FD7"/>
    <w:rsid w:val="00346428"/>
    <w:rsid w:val="00346C82"/>
    <w:rsid w:val="00347C28"/>
    <w:rsid w:val="00352A7D"/>
    <w:rsid w:val="003553FD"/>
    <w:rsid w:val="003567F7"/>
    <w:rsid w:val="00356AC2"/>
    <w:rsid w:val="00357DA7"/>
    <w:rsid w:val="00363E8D"/>
    <w:rsid w:val="00364282"/>
    <w:rsid w:val="003660CE"/>
    <w:rsid w:val="00366A24"/>
    <w:rsid w:val="00371389"/>
    <w:rsid w:val="00371A4C"/>
    <w:rsid w:val="0037237F"/>
    <w:rsid w:val="00375A54"/>
    <w:rsid w:val="00377E81"/>
    <w:rsid w:val="0038730C"/>
    <w:rsid w:val="003904D0"/>
    <w:rsid w:val="00391906"/>
    <w:rsid w:val="00391A98"/>
    <w:rsid w:val="003A01CB"/>
    <w:rsid w:val="003A0FB1"/>
    <w:rsid w:val="003A464A"/>
    <w:rsid w:val="003A74A9"/>
    <w:rsid w:val="003B07E3"/>
    <w:rsid w:val="003B1F7D"/>
    <w:rsid w:val="003B4485"/>
    <w:rsid w:val="003B5E47"/>
    <w:rsid w:val="003C104B"/>
    <w:rsid w:val="003C1252"/>
    <w:rsid w:val="003C4B40"/>
    <w:rsid w:val="003D600D"/>
    <w:rsid w:val="003D6897"/>
    <w:rsid w:val="003D79ED"/>
    <w:rsid w:val="003E05A7"/>
    <w:rsid w:val="003E6E44"/>
    <w:rsid w:val="003E7D6B"/>
    <w:rsid w:val="003F0537"/>
    <w:rsid w:val="003F09C5"/>
    <w:rsid w:val="003F4C38"/>
    <w:rsid w:val="0040107E"/>
    <w:rsid w:val="00401636"/>
    <w:rsid w:val="00401C68"/>
    <w:rsid w:val="00401F1E"/>
    <w:rsid w:val="004022DA"/>
    <w:rsid w:val="0040272E"/>
    <w:rsid w:val="00402BB5"/>
    <w:rsid w:val="00405767"/>
    <w:rsid w:val="00407B34"/>
    <w:rsid w:val="004108B5"/>
    <w:rsid w:val="00421D25"/>
    <w:rsid w:val="00423470"/>
    <w:rsid w:val="00427A29"/>
    <w:rsid w:val="00427B9B"/>
    <w:rsid w:val="00431961"/>
    <w:rsid w:val="00434091"/>
    <w:rsid w:val="00435B21"/>
    <w:rsid w:val="00436687"/>
    <w:rsid w:val="00441039"/>
    <w:rsid w:val="004455B5"/>
    <w:rsid w:val="004507B0"/>
    <w:rsid w:val="00453A02"/>
    <w:rsid w:val="0045687B"/>
    <w:rsid w:val="00457325"/>
    <w:rsid w:val="00457647"/>
    <w:rsid w:val="004618D7"/>
    <w:rsid w:val="00461C16"/>
    <w:rsid w:val="00463902"/>
    <w:rsid w:val="00465648"/>
    <w:rsid w:val="004658AD"/>
    <w:rsid w:val="004664A0"/>
    <w:rsid w:val="004671A0"/>
    <w:rsid w:val="00470252"/>
    <w:rsid w:val="0047096F"/>
    <w:rsid w:val="004720DC"/>
    <w:rsid w:val="00472CBC"/>
    <w:rsid w:val="00474479"/>
    <w:rsid w:val="00474534"/>
    <w:rsid w:val="00474673"/>
    <w:rsid w:val="00474DDC"/>
    <w:rsid w:val="004803FA"/>
    <w:rsid w:val="00487CEB"/>
    <w:rsid w:val="00495C0A"/>
    <w:rsid w:val="004961FC"/>
    <w:rsid w:val="004A1907"/>
    <w:rsid w:val="004A1F56"/>
    <w:rsid w:val="004A394F"/>
    <w:rsid w:val="004A41D0"/>
    <w:rsid w:val="004A4F54"/>
    <w:rsid w:val="004A71DE"/>
    <w:rsid w:val="004A7AAD"/>
    <w:rsid w:val="004B1204"/>
    <w:rsid w:val="004B750B"/>
    <w:rsid w:val="004C0F00"/>
    <w:rsid w:val="004C127A"/>
    <w:rsid w:val="004C55C3"/>
    <w:rsid w:val="004D15DD"/>
    <w:rsid w:val="004D1743"/>
    <w:rsid w:val="004D3415"/>
    <w:rsid w:val="004D3CFA"/>
    <w:rsid w:val="004D4CA9"/>
    <w:rsid w:val="004D5DF6"/>
    <w:rsid w:val="004D618E"/>
    <w:rsid w:val="004E1276"/>
    <w:rsid w:val="004E236B"/>
    <w:rsid w:val="004E40B5"/>
    <w:rsid w:val="004E5E1F"/>
    <w:rsid w:val="004F03DB"/>
    <w:rsid w:val="004F113B"/>
    <w:rsid w:val="004F5A20"/>
    <w:rsid w:val="0050084F"/>
    <w:rsid w:val="00502D6C"/>
    <w:rsid w:val="00503091"/>
    <w:rsid w:val="00506033"/>
    <w:rsid w:val="0050662A"/>
    <w:rsid w:val="00506EA4"/>
    <w:rsid w:val="00511E92"/>
    <w:rsid w:val="00513427"/>
    <w:rsid w:val="0051560B"/>
    <w:rsid w:val="00516710"/>
    <w:rsid w:val="0051754C"/>
    <w:rsid w:val="0052161A"/>
    <w:rsid w:val="00522629"/>
    <w:rsid w:val="00523D23"/>
    <w:rsid w:val="00526CE1"/>
    <w:rsid w:val="005306CC"/>
    <w:rsid w:val="0053078E"/>
    <w:rsid w:val="0053251A"/>
    <w:rsid w:val="00532B6E"/>
    <w:rsid w:val="00541D55"/>
    <w:rsid w:val="00542D69"/>
    <w:rsid w:val="00544E14"/>
    <w:rsid w:val="0055168B"/>
    <w:rsid w:val="005517C3"/>
    <w:rsid w:val="005529B7"/>
    <w:rsid w:val="00556510"/>
    <w:rsid w:val="0056037E"/>
    <w:rsid w:val="00561CFC"/>
    <w:rsid w:val="00562032"/>
    <w:rsid w:val="00565DCA"/>
    <w:rsid w:val="00566B03"/>
    <w:rsid w:val="005721B2"/>
    <w:rsid w:val="005722DB"/>
    <w:rsid w:val="00573E38"/>
    <w:rsid w:val="00575F5A"/>
    <w:rsid w:val="00576017"/>
    <w:rsid w:val="00577766"/>
    <w:rsid w:val="00585553"/>
    <w:rsid w:val="005923CF"/>
    <w:rsid w:val="00594589"/>
    <w:rsid w:val="00595354"/>
    <w:rsid w:val="005A289C"/>
    <w:rsid w:val="005A4251"/>
    <w:rsid w:val="005A74DE"/>
    <w:rsid w:val="005B004C"/>
    <w:rsid w:val="005B2B0F"/>
    <w:rsid w:val="005B4030"/>
    <w:rsid w:val="005B6248"/>
    <w:rsid w:val="005B65E0"/>
    <w:rsid w:val="005C2326"/>
    <w:rsid w:val="005C2B44"/>
    <w:rsid w:val="005C454D"/>
    <w:rsid w:val="005C484F"/>
    <w:rsid w:val="005C5DB2"/>
    <w:rsid w:val="005C6885"/>
    <w:rsid w:val="005D2918"/>
    <w:rsid w:val="005D658A"/>
    <w:rsid w:val="005D70D8"/>
    <w:rsid w:val="005E1849"/>
    <w:rsid w:val="005E1AF2"/>
    <w:rsid w:val="005F197B"/>
    <w:rsid w:val="005F325C"/>
    <w:rsid w:val="005F4534"/>
    <w:rsid w:val="006024A2"/>
    <w:rsid w:val="0060486F"/>
    <w:rsid w:val="0060639A"/>
    <w:rsid w:val="00607AFF"/>
    <w:rsid w:val="006159E2"/>
    <w:rsid w:val="00617483"/>
    <w:rsid w:val="0062161B"/>
    <w:rsid w:val="00622143"/>
    <w:rsid w:val="00630905"/>
    <w:rsid w:val="00630DB5"/>
    <w:rsid w:val="00630F70"/>
    <w:rsid w:val="00631938"/>
    <w:rsid w:val="00632B30"/>
    <w:rsid w:val="006338B7"/>
    <w:rsid w:val="0063427D"/>
    <w:rsid w:val="006343C6"/>
    <w:rsid w:val="006354DB"/>
    <w:rsid w:val="00636306"/>
    <w:rsid w:val="0064230D"/>
    <w:rsid w:val="00650E3D"/>
    <w:rsid w:val="00655C91"/>
    <w:rsid w:val="0065629D"/>
    <w:rsid w:val="00660F21"/>
    <w:rsid w:val="00663452"/>
    <w:rsid w:val="00663D4F"/>
    <w:rsid w:val="00665845"/>
    <w:rsid w:val="006664C8"/>
    <w:rsid w:val="00666AF2"/>
    <w:rsid w:val="0066730B"/>
    <w:rsid w:val="00667FFB"/>
    <w:rsid w:val="006714B2"/>
    <w:rsid w:val="00672BFB"/>
    <w:rsid w:val="00672FEE"/>
    <w:rsid w:val="00673715"/>
    <w:rsid w:val="00675C90"/>
    <w:rsid w:val="00675EFC"/>
    <w:rsid w:val="00676233"/>
    <w:rsid w:val="006779C6"/>
    <w:rsid w:val="00677FBB"/>
    <w:rsid w:val="006825B4"/>
    <w:rsid w:val="006829CB"/>
    <w:rsid w:val="00683971"/>
    <w:rsid w:val="006845ED"/>
    <w:rsid w:val="00687E9C"/>
    <w:rsid w:val="0069270A"/>
    <w:rsid w:val="00694766"/>
    <w:rsid w:val="00695336"/>
    <w:rsid w:val="00697F1D"/>
    <w:rsid w:val="00697F2C"/>
    <w:rsid w:val="006A3A9E"/>
    <w:rsid w:val="006A3B60"/>
    <w:rsid w:val="006A5288"/>
    <w:rsid w:val="006A702E"/>
    <w:rsid w:val="006B6C3D"/>
    <w:rsid w:val="006B7EF5"/>
    <w:rsid w:val="006C01DA"/>
    <w:rsid w:val="006C1C79"/>
    <w:rsid w:val="006C3F76"/>
    <w:rsid w:val="006C6034"/>
    <w:rsid w:val="006C69F2"/>
    <w:rsid w:val="006C6E76"/>
    <w:rsid w:val="006D0087"/>
    <w:rsid w:val="006D1146"/>
    <w:rsid w:val="006D21C2"/>
    <w:rsid w:val="006D27C0"/>
    <w:rsid w:val="006D2B2D"/>
    <w:rsid w:val="006D31D4"/>
    <w:rsid w:val="006D3DAE"/>
    <w:rsid w:val="006D45E8"/>
    <w:rsid w:val="006E0FAC"/>
    <w:rsid w:val="006E2C95"/>
    <w:rsid w:val="006E5DCA"/>
    <w:rsid w:val="006E6BE3"/>
    <w:rsid w:val="006E7D14"/>
    <w:rsid w:val="006F3BEE"/>
    <w:rsid w:val="006F4B2F"/>
    <w:rsid w:val="006F54FC"/>
    <w:rsid w:val="006F57D3"/>
    <w:rsid w:val="006F5DE3"/>
    <w:rsid w:val="00700C85"/>
    <w:rsid w:val="0070625D"/>
    <w:rsid w:val="00707A6C"/>
    <w:rsid w:val="0071384E"/>
    <w:rsid w:val="00716509"/>
    <w:rsid w:val="0071656A"/>
    <w:rsid w:val="00720882"/>
    <w:rsid w:val="00721280"/>
    <w:rsid w:val="0072358D"/>
    <w:rsid w:val="00723A7E"/>
    <w:rsid w:val="00723C1D"/>
    <w:rsid w:val="007240ED"/>
    <w:rsid w:val="00725393"/>
    <w:rsid w:val="00725A80"/>
    <w:rsid w:val="00731F95"/>
    <w:rsid w:val="00732987"/>
    <w:rsid w:val="0073446C"/>
    <w:rsid w:val="00735D16"/>
    <w:rsid w:val="007362E8"/>
    <w:rsid w:val="00736AD4"/>
    <w:rsid w:val="00750A7E"/>
    <w:rsid w:val="0075113B"/>
    <w:rsid w:val="00752743"/>
    <w:rsid w:val="0075369D"/>
    <w:rsid w:val="00753986"/>
    <w:rsid w:val="007542A0"/>
    <w:rsid w:val="00756343"/>
    <w:rsid w:val="007579F9"/>
    <w:rsid w:val="00757D65"/>
    <w:rsid w:val="00770797"/>
    <w:rsid w:val="007717D2"/>
    <w:rsid w:val="007728C1"/>
    <w:rsid w:val="00774D0A"/>
    <w:rsid w:val="007802D1"/>
    <w:rsid w:val="007841EF"/>
    <w:rsid w:val="007843F2"/>
    <w:rsid w:val="00785958"/>
    <w:rsid w:val="00792693"/>
    <w:rsid w:val="00795257"/>
    <w:rsid w:val="00796C82"/>
    <w:rsid w:val="007B1288"/>
    <w:rsid w:val="007B41BD"/>
    <w:rsid w:val="007B4B98"/>
    <w:rsid w:val="007B5123"/>
    <w:rsid w:val="007C046F"/>
    <w:rsid w:val="007C2503"/>
    <w:rsid w:val="007C2FE4"/>
    <w:rsid w:val="007C4591"/>
    <w:rsid w:val="007D06DB"/>
    <w:rsid w:val="007D2866"/>
    <w:rsid w:val="007D3F76"/>
    <w:rsid w:val="007D5400"/>
    <w:rsid w:val="007D6005"/>
    <w:rsid w:val="007E0A16"/>
    <w:rsid w:val="007E0DA8"/>
    <w:rsid w:val="007E196A"/>
    <w:rsid w:val="007E2A83"/>
    <w:rsid w:val="007E3AE1"/>
    <w:rsid w:val="007E4654"/>
    <w:rsid w:val="007E4DCE"/>
    <w:rsid w:val="007F0D23"/>
    <w:rsid w:val="007F49C8"/>
    <w:rsid w:val="007F516F"/>
    <w:rsid w:val="00801A79"/>
    <w:rsid w:val="008048D8"/>
    <w:rsid w:val="00812224"/>
    <w:rsid w:val="008147FF"/>
    <w:rsid w:val="00815331"/>
    <w:rsid w:val="008162E0"/>
    <w:rsid w:val="008223C3"/>
    <w:rsid w:val="00825901"/>
    <w:rsid w:val="00826646"/>
    <w:rsid w:val="00827664"/>
    <w:rsid w:val="00830D46"/>
    <w:rsid w:val="0083158A"/>
    <w:rsid w:val="00831D6C"/>
    <w:rsid w:val="00834602"/>
    <w:rsid w:val="00834692"/>
    <w:rsid w:val="0083470E"/>
    <w:rsid w:val="00835A03"/>
    <w:rsid w:val="008362DF"/>
    <w:rsid w:val="00837039"/>
    <w:rsid w:val="00837291"/>
    <w:rsid w:val="00837C9F"/>
    <w:rsid w:val="00840E95"/>
    <w:rsid w:val="008410AE"/>
    <w:rsid w:val="00844073"/>
    <w:rsid w:val="00844B84"/>
    <w:rsid w:val="00844EA4"/>
    <w:rsid w:val="008451DE"/>
    <w:rsid w:val="00846320"/>
    <w:rsid w:val="0084719F"/>
    <w:rsid w:val="008506A3"/>
    <w:rsid w:val="00850E91"/>
    <w:rsid w:val="00852FD3"/>
    <w:rsid w:val="0085409F"/>
    <w:rsid w:val="00856F96"/>
    <w:rsid w:val="00862BA7"/>
    <w:rsid w:val="0087373E"/>
    <w:rsid w:val="00876BFA"/>
    <w:rsid w:val="0088099A"/>
    <w:rsid w:val="00882CC1"/>
    <w:rsid w:val="00884C98"/>
    <w:rsid w:val="0088524B"/>
    <w:rsid w:val="00890A4E"/>
    <w:rsid w:val="00890BAE"/>
    <w:rsid w:val="00890F49"/>
    <w:rsid w:val="00891215"/>
    <w:rsid w:val="008932ED"/>
    <w:rsid w:val="008942D2"/>
    <w:rsid w:val="00897F4F"/>
    <w:rsid w:val="008A0A81"/>
    <w:rsid w:val="008A17CD"/>
    <w:rsid w:val="008A24BD"/>
    <w:rsid w:val="008A4B2E"/>
    <w:rsid w:val="008A5C14"/>
    <w:rsid w:val="008A6FCD"/>
    <w:rsid w:val="008B457A"/>
    <w:rsid w:val="008B6F5C"/>
    <w:rsid w:val="008C2DE5"/>
    <w:rsid w:val="008D296F"/>
    <w:rsid w:val="008D3373"/>
    <w:rsid w:val="008E3214"/>
    <w:rsid w:val="008E3801"/>
    <w:rsid w:val="008E3E1B"/>
    <w:rsid w:val="008E4C80"/>
    <w:rsid w:val="008E6F6A"/>
    <w:rsid w:val="008F25CB"/>
    <w:rsid w:val="008F4363"/>
    <w:rsid w:val="008F46B2"/>
    <w:rsid w:val="008F4D44"/>
    <w:rsid w:val="008F5E8B"/>
    <w:rsid w:val="00905AD2"/>
    <w:rsid w:val="00910F71"/>
    <w:rsid w:val="00911FE8"/>
    <w:rsid w:val="00913035"/>
    <w:rsid w:val="0091464C"/>
    <w:rsid w:val="00915CD0"/>
    <w:rsid w:val="0092386C"/>
    <w:rsid w:val="009268C9"/>
    <w:rsid w:val="00931092"/>
    <w:rsid w:val="00931C21"/>
    <w:rsid w:val="00932052"/>
    <w:rsid w:val="00932355"/>
    <w:rsid w:val="009325FD"/>
    <w:rsid w:val="00934C3C"/>
    <w:rsid w:val="009364AB"/>
    <w:rsid w:val="0093749E"/>
    <w:rsid w:val="0093752B"/>
    <w:rsid w:val="00937D4A"/>
    <w:rsid w:val="00942AFB"/>
    <w:rsid w:val="00942E74"/>
    <w:rsid w:val="00946934"/>
    <w:rsid w:val="00953198"/>
    <w:rsid w:val="0095483D"/>
    <w:rsid w:val="00955570"/>
    <w:rsid w:val="00955773"/>
    <w:rsid w:val="009558D3"/>
    <w:rsid w:val="00955E59"/>
    <w:rsid w:val="00956E0A"/>
    <w:rsid w:val="00957AB1"/>
    <w:rsid w:val="009632F1"/>
    <w:rsid w:val="009644AF"/>
    <w:rsid w:val="00964F50"/>
    <w:rsid w:val="00971CC2"/>
    <w:rsid w:val="0097246E"/>
    <w:rsid w:val="009740FB"/>
    <w:rsid w:val="009764C6"/>
    <w:rsid w:val="00977A92"/>
    <w:rsid w:val="00987257"/>
    <w:rsid w:val="009918CD"/>
    <w:rsid w:val="009933AC"/>
    <w:rsid w:val="009946E3"/>
    <w:rsid w:val="00995CF1"/>
    <w:rsid w:val="0099767C"/>
    <w:rsid w:val="009A0BCB"/>
    <w:rsid w:val="009A0FD0"/>
    <w:rsid w:val="009A1C56"/>
    <w:rsid w:val="009A27DE"/>
    <w:rsid w:val="009A4310"/>
    <w:rsid w:val="009A5562"/>
    <w:rsid w:val="009A79EE"/>
    <w:rsid w:val="009B003B"/>
    <w:rsid w:val="009B18C1"/>
    <w:rsid w:val="009B4E6D"/>
    <w:rsid w:val="009B61E0"/>
    <w:rsid w:val="009C23D2"/>
    <w:rsid w:val="009C2BD6"/>
    <w:rsid w:val="009C41C3"/>
    <w:rsid w:val="009C5227"/>
    <w:rsid w:val="009C535B"/>
    <w:rsid w:val="009C5961"/>
    <w:rsid w:val="009C7012"/>
    <w:rsid w:val="009D3130"/>
    <w:rsid w:val="009D7CCB"/>
    <w:rsid w:val="009E0265"/>
    <w:rsid w:val="009E1A24"/>
    <w:rsid w:val="009E2C45"/>
    <w:rsid w:val="009F22B0"/>
    <w:rsid w:val="009F2D21"/>
    <w:rsid w:val="009F4685"/>
    <w:rsid w:val="009F6317"/>
    <w:rsid w:val="00A04CE5"/>
    <w:rsid w:val="00A05B8E"/>
    <w:rsid w:val="00A068EF"/>
    <w:rsid w:val="00A11FC9"/>
    <w:rsid w:val="00A13502"/>
    <w:rsid w:val="00A14C9C"/>
    <w:rsid w:val="00A21977"/>
    <w:rsid w:val="00A25E02"/>
    <w:rsid w:val="00A269F0"/>
    <w:rsid w:val="00A3660B"/>
    <w:rsid w:val="00A371CA"/>
    <w:rsid w:val="00A37D0E"/>
    <w:rsid w:val="00A406D2"/>
    <w:rsid w:val="00A41EB6"/>
    <w:rsid w:val="00A44D27"/>
    <w:rsid w:val="00A51A3C"/>
    <w:rsid w:val="00A51CC3"/>
    <w:rsid w:val="00A53B60"/>
    <w:rsid w:val="00A53F1D"/>
    <w:rsid w:val="00A55258"/>
    <w:rsid w:val="00A55FCD"/>
    <w:rsid w:val="00A56BE1"/>
    <w:rsid w:val="00A57389"/>
    <w:rsid w:val="00A60B2B"/>
    <w:rsid w:val="00A659E3"/>
    <w:rsid w:val="00A65C88"/>
    <w:rsid w:val="00A67EE1"/>
    <w:rsid w:val="00A73231"/>
    <w:rsid w:val="00A73249"/>
    <w:rsid w:val="00A746A9"/>
    <w:rsid w:val="00A7677A"/>
    <w:rsid w:val="00A77DD0"/>
    <w:rsid w:val="00A81589"/>
    <w:rsid w:val="00A85D83"/>
    <w:rsid w:val="00A965FE"/>
    <w:rsid w:val="00A97487"/>
    <w:rsid w:val="00AA05C3"/>
    <w:rsid w:val="00AA23FD"/>
    <w:rsid w:val="00AA4D40"/>
    <w:rsid w:val="00AA6EE9"/>
    <w:rsid w:val="00AA7CE2"/>
    <w:rsid w:val="00AB26A4"/>
    <w:rsid w:val="00AB46F5"/>
    <w:rsid w:val="00AB77B1"/>
    <w:rsid w:val="00AC09E0"/>
    <w:rsid w:val="00AC1773"/>
    <w:rsid w:val="00AC58F5"/>
    <w:rsid w:val="00AD1905"/>
    <w:rsid w:val="00AD1C8E"/>
    <w:rsid w:val="00AD2EBE"/>
    <w:rsid w:val="00AD4DB4"/>
    <w:rsid w:val="00AD5BD0"/>
    <w:rsid w:val="00AE0125"/>
    <w:rsid w:val="00AE568E"/>
    <w:rsid w:val="00AE5D4A"/>
    <w:rsid w:val="00AF05CC"/>
    <w:rsid w:val="00AF0816"/>
    <w:rsid w:val="00AF0D7E"/>
    <w:rsid w:val="00AF2FF1"/>
    <w:rsid w:val="00AF591F"/>
    <w:rsid w:val="00AF730A"/>
    <w:rsid w:val="00B00A57"/>
    <w:rsid w:val="00B046F0"/>
    <w:rsid w:val="00B068FC"/>
    <w:rsid w:val="00B070B8"/>
    <w:rsid w:val="00B0739A"/>
    <w:rsid w:val="00B10FD7"/>
    <w:rsid w:val="00B11719"/>
    <w:rsid w:val="00B17BCB"/>
    <w:rsid w:val="00B21A72"/>
    <w:rsid w:val="00B220F6"/>
    <w:rsid w:val="00B24360"/>
    <w:rsid w:val="00B24408"/>
    <w:rsid w:val="00B256A2"/>
    <w:rsid w:val="00B27C1E"/>
    <w:rsid w:val="00B31555"/>
    <w:rsid w:val="00B316D8"/>
    <w:rsid w:val="00B35A19"/>
    <w:rsid w:val="00B4426A"/>
    <w:rsid w:val="00B44345"/>
    <w:rsid w:val="00B4439B"/>
    <w:rsid w:val="00B465DB"/>
    <w:rsid w:val="00B4674B"/>
    <w:rsid w:val="00B46DEC"/>
    <w:rsid w:val="00B5402D"/>
    <w:rsid w:val="00B56164"/>
    <w:rsid w:val="00B57034"/>
    <w:rsid w:val="00B572A0"/>
    <w:rsid w:val="00B6198F"/>
    <w:rsid w:val="00B6230E"/>
    <w:rsid w:val="00B63AA0"/>
    <w:rsid w:val="00B6784A"/>
    <w:rsid w:val="00B703FD"/>
    <w:rsid w:val="00B708BC"/>
    <w:rsid w:val="00B70B47"/>
    <w:rsid w:val="00B70BA2"/>
    <w:rsid w:val="00B7130E"/>
    <w:rsid w:val="00B72DED"/>
    <w:rsid w:val="00B73501"/>
    <w:rsid w:val="00B74491"/>
    <w:rsid w:val="00B7602A"/>
    <w:rsid w:val="00B817DF"/>
    <w:rsid w:val="00B84091"/>
    <w:rsid w:val="00B8647A"/>
    <w:rsid w:val="00B91D65"/>
    <w:rsid w:val="00B9453D"/>
    <w:rsid w:val="00B970BF"/>
    <w:rsid w:val="00BA048A"/>
    <w:rsid w:val="00BA2C88"/>
    <w:rsid w:val="00BA323F"/>
    <w:rsid w:val="00BA3A07"/>
    <w:rsid w:val="00BA4391"/>
    <w:rsid w:val="00BA4E5F"/>
    <w:rsid w:val="00BB0FCA"/>
    <w:rsid w:val="00BB57CC"/>
    <w:rsid w:val="00BB659E"/>
    <w:rsid w:val="00BC0560"/>
    <w:rsid w:val="00BC0F20"/>
    <w:rsid w:val="00BC5580"/>
    <w:rsid w:val="00BC64A0"/>
    <w:rsid w:val="00BC7DE2"/>
    <w:rsid w:val="00BD0215"/>
    <w:rsid w:val="00BD33B5"/>
    <w:rsid w:val="00BD50BE"/>
    <w:rsid w:val="00BE1241"/>
    <w:rsid w:val="00BE3CAB"/>
    <w:rsid w:val="00BE4B9E"/>
    <w:rsid w:val="00BE6971"/>
    <w:rsid w:val="00BE70C6"/>
    <w:rsid w:val="00BE786B"/>
    <w:rsid w:val="00BF00AC"/>
    <w:rsid w:val="00BF3401"/>
    <w:rsid w:val="00BF468B"/>
    <w:rsid w:val="00BF4FB2"/>
    <w:rsid w:val="00BF5762"/>
    <w:rsid w:val="00BF5CF7"/>
    <w:rsid w:val="00BF703F"/>
    <w:rsid w:val="00C0087A"/>
    <w:rsid w:val="00C0310A"/>
    <w:rsid w:val="00C04E3D"/>
    <w:rsid w:val="00C07CE0"/>
    <w:rsid w:val="00C11F6A"/>
    <w:rsid w:val="00C1289E"/>
    <w:rsid w:val="00C14053"/>
    <w:rsid w:val="00C143BB"/>
    <w:rsid w:val="00C15567"/>
    <w:rsid w:val="00C158B8"/>
    <w:rsid w:val="00C1779E"/>
    <w:rsid w:val="00C2171C"/>
    <w:rsid w:val="00C21C10"/>
    <w:rsid w:val="00C21DB3"/>
    <w:rsid w:val="00C2203A"/>
    <w:rsid w:val="00C22107"/>
    <w:rsid w:val="00C222A0"/>
    <w:rsid w:val="00C2290E"/>
    <w:rsid w:val="00C25F3F"/>
    <w:rsid w:val="00C25F4C"/>
    <w:rsid w:val="00C26764"/>
    <w:rsid w:val="00C269CB"/>
    <w:rsid w:val="00C32023"/>
    <w:rsid w:val="00C3272A"/>
    <w:rsid w:val="00C32F58"/>
    <w:rsid w:val="00C41346"/>
    <w:rsid w:val="00C41989"/>
    <w:rsid w:val="00C43545"/>
    <w:rsid w:val="00C4374C"/>
    <w:rsid w:val="00C460E1"/>
    <w:rsid w:val="00C47F97"/>
    <w:rsid w:val="00C51251"/>
    <w:rsid w:val="00C5184A"/>
    <w:rsid w:val="00C57475"/>
    <w:rsid w:val="00C62AE0"/>
    <w:rsid w:val="00C64B08"/>
    <w:rsid w:val="00C65F7B"/>
    <w:rsid w:val="00C675C3"/>
    <w:rsid w:val="00C67C96"/>
    <w:rsid w:val="00C73710"/>
    <w:rsid w:val="00C74093"/>
    <w:rsid w:val="00C75074"/>
    <w:rsid w:val="00C753C9"/>
    <w:rsid w:val="00C812D4"/>
    <w:rsid w:val="00C81F02"/>
    <w:rsid w:val="00C824EE"/>
    <w:rsid w:val="00C86771"/>
    <w:rsid w:val="00C8741F"/>
    <w:rsid w:val="00C906E9"/>
    <w:rsid w:val="00C9256D"/>
    <w:rsid w:val="00C929D6"/>
    <w:rsid w:val="00C94497"/>
    <w:rsid w:val="00C948FE"/>
    <w:rsid w:val="00C95718"/>
    <w:rsid w:val="00CA3879"/>
    <w:rsid w:val="00CA5E4E"/>
    <w:rsid w:val="00CA661D"/>
    <w:rsid w:val="00CB0034"/>
    <w:rsid w:val="00CB0B72"/>
    <w:rsid w:val="00CB0E2F"/>
    <w:rsid w:val="00CB38EC"/>
    <w:rsid w:val="00CB727D"/>
    <w:rsid w:val="00CB7F86"/>
    <w:rsid w:val="00CC0564"/>
    <w:rsid w:val="00CC4214"/>
    <w:rsid w:val="00CC4CEE"/>
    <w:rsid w:val="00CD08F1"/>
    <w:rsid w:val="00CD183D"/>
    <w:rsid w:val="00CD1895"/>
    <w:rsid w:val="00CD23FE"/>
    <w:rsid w:val="00CD56DB"/>
    <w:rsid w:val="00CD6A3A"/>
    <w:rsid w:val="00CD78E0"/>
    <w:rsid w:val="00CD7DE7"/>
    <w:rsid w:val="00CE355B"/>
    <w:rsid w:val="00CE3C52"/>
    <w:rsid w:val="00CE453E"/>
    <w:rsid w:val="00CE5301"/>
    <w:rsid w:val="00CE574E"/>
    <w:rsid w:val="00CE5A8E"/>
    <w:rsid w:val="00CE60A2"/>
    <w:rsid w:val="00CF0997"/>
    <w:rsid w:val="00CF0FD3"/>
    <w:rsid w:val="00CF1E51"/>
    <w:rsid w:val="00CF2081"/>
    <w:rsid w:val="00CF5C15"/>
    <w:rsid w:val="00CF683E"/>
    <w:rsid w:val="00D0076E"/>
    <w:rsid w:val="00D0087E"/>
    <w:rsid w:val="00D03A24"/>
    <w:rsid w:val="00D03AC9"/>
    <w:rsid w:val="00D0789A"/>
    <w:rsid w:val="00D07FCC"/>
    <w:rsid w:val="00D13C9B"/>
    <w:rsid w:val="00D14BDE"/>
    <w:rsid w:val="00D15C77"/>
    <w:rsid w:val="00D17A4F"/>
    <w:rsid w:val="00D20234"/>
    <w:rsid w:val="00D2167B"/>
    <w:rsid w:val="00D22C25"/>
    <w:rsid w:val="00D24F8B"/>
    <w:rsid w:val="00D3008C"/>
    <w:rsid w:val="00D304C4"/>
    <w:rsid w:val="00D32719"/>
    <w:rsid w:val="00D34026"/>
    <w:rsid w:val="00D35208"/>
    <w:rsid w:val="00D35C43"/>
    <w:rsid w:val="00D4087C"/>
    <w:rsid w:val="00D43529"/>
    <w:rsid w:val="00D44059"/>
    <w:rsid w:val="00D459D1"/>
    <w:rsid w:val="00D52A8A"/>
    <w:rsid w:val="00D52AE9"/>
    <w:rsid w:val="00D549E7"/>
    <w:rsid w:val="00D55D30"/>
    <w:rsid w:val="00D560FC"/>
    <w:rsid w:val="00D57161"/>
    <w:rsid w:val="00D574A5"/>
    <w:rsid w:val="00D63BE4"/>
    <w:rsid w:val="00D64413"/>
    <w:rsid w:val="00D64B74"/>
    <w:rsid w:val="00D65D73"/>
    <w:rsid w:val="00D732B5"/>
    <w:rsid w:val="00D73D71"/>
    <w:rsid w:val="00D803AF"/>
    <w:rsid w:val="00D8064F"/>
    <w:rsid w:val="00D83BF6"/>
    <w:rsid w:val="00D83E75"/>
    <w:rsid w:val="00D84006"/>
    <w:rsid w:val="00D85C2C"/>
    <w:rsid w:val="00D87841"/>
    <w:rsid w:val="00D91F10"/>
    <w:rsid w:val="00D9383B"/>
    <w:rsid w:val="00D9670D"/>
    <w:rsid w:val="00DA0152"/>
    <w:rsid w:val="00DA09AA"/>
    <w:rsid w:val="00DA12E0"/>
    <w:rsid w:val="00DA41B9"/>
    <w:rsid w:val="00DA67EF"/>
    <w:rsid w:val="00DB0673"/>
    <w:rsid w:val="00DB1CAD"/>
    <w:rsid w:val="00DB3EC8"/>
    <w:rsid w:val="00DB4508"/>
    <w:rsid w:val="00DB4CC1"/>
    <w:rsid w:val="00DB574C"/>
    <w:rsid w:val="00DB6914"/>
    <w:rsid w:val="00DB78B8"/>
    <w:rsid w:val="00DC3633"/>
    <w:rsid w:val="00DC3EDF"/>
    <w:rsid w:val="00DC727A"/>
    <w:rsid w:val="00DD0074"/>
    <w:rsid w:val="00DD1572"/>
    <w:rsid w:val="00DE0074"/>
    <w:rsid w:val="00DE058A"/>
    <w:rsid w:val="00DE3AB6"/>
    <w:rsid w:val="00DE695C"/>
    <w:rsid w:val="00DE75DB"/>
    <w:rsid w:val="00DE7694"/>
    <w:rsid w:val="00DE7F9E"/>
    <w:rsid w:val="00DF191C"/>
    <w:rsid w:val="00DF24B1"/>
    <w:rsid w:val="00DF28A3"/>
    <w:rsid w:val="00DF2FE4"/>
    <w:rsid w:val="00DF5D06"/>
    <w:rsid w:val="00DF6BB4"/>
    <w:rsid w:val="00E00B23"/>
    <w:rsid w:val="00E01326"/>
    <w:rsid w:val="00E0214F"/>
    <w:rsid w:val="00E02247"/>
    <w:rsid w:val="00E029C1"/>
    <w:rsid w:val="00E04571"/>
    <w:rsid w:val="00E06217"/>
    <w:rsid w:val="00E07606"/>
    <w:rsid w:val="00E10041"/>
    <w:rsid w:val="00E10296"/>
    <w:rsid w:val="00E112F1"/>
    <w:rsid w:val="00E12AE2"/>
    <w:rsid w:val="00E13CD0"/>
    <w:rsid w:val="00E15A29"/>
    <w:rsid w:val="00E15E58"/>
    <w:rsid w:val="00E17BCE"/>
    <w:rsid w:val="00E24314"/>
    <w:rsid w:val="00E25394"/>
    <w:rsid w:val="00E26D72"/>
    <w:rsid w:val="00E33662"/>
    <w:rsid w:val="00E33795"/>
    <w:rsid w:val="00E344FF"/>
    <w:rsid w:val="00E3549E"/>
    <w:rsid w:val="00E40D97"/>
    <w:rsid w:val="00E418B3"/>
    <w:rsid w:val="00E4669E"/>
    <w:rsid w:val="00E50B2A"/>
    <w:rsid w:val="00E510FD"/>
    <w:rsid w:val="00E561B3"/>
    <w:rsid w:val="00E60415"/>
    <w:rsid w:val="00E613B7"/>
    <w:rsid w:val="00E62B42"/>
    <w:rsid w:val="00E635D8"/>
    <w:rsid w:val="00E64487"/>
    <w:rsid w:val="00E65AA9"/>
    <w:rsid w:val="00E67F0E"/>
    <w:rsid w:val="00E730D3"/>
    <w:rsid w:val="00E73B91"/>
    <w:rsid w:val="00E759C1"/>
    <w:rsid w:val="00E80B80"/>
    <w:rsid w:val="00E81964"/>
    <w:rsid w:val="00E81C88"/>
    <w:rsid w:val="00E85152"/>
    <w:rsid w:val="00E87BB3"/>
    <w:rsid w:val="00E90722"/>
    <w:rsid w:val="00E92DB3"/>
    <w:rsid w:val="00E94D52"/>
    <w:rsid w:val="00E94E7B"/>
    <w:rsid w:val="00E96E3A"/>
    <w:rsid w:val="00EA0D53"/>
    <w:rsid w:val="00EA7A61"/>
    <w:rsid w:val="00EB0A49"/>
    <w:rsid w:val="00EB0D0F"/>
    <w:rsid w:val="00EB20AC"/>
    <w:rsid w:val="00EB5A4A"/>
    <w:rsid w:val="00EB5A98"/>
    <w:rsid w:val="00EC4992"/>
    <w:rsid w:val="00EC4DA8"/>
    <w:rsid w:val="00EC7C9E"/>
    <w:rsid w:val="00ED1EAC"/>
    <w:rsid w:val="00ED5415"/>
    <w:rsid w:val="00ED6395"/>
    <w:rsid w:val="00EE20A6"/>
    <w:rsid w:val="00EE660A"/>
    <w:rsid w:val="00EF1C61"/>
    <w:rsid w:val="00EF72FA"/>
    <w:rsid w:val="00EF7EBB"/>
    <w:rsid w:val="00F005AD"/>
    <w:rsid w:val="00F01F33"/>
    <w:rsid w:val="00F036E0"/>
    <w:rsid w:val="00F064C1"/>
    <w:rsid w:val="00F06F1B"/>
    <w:rsid w:val="00F06FD9"/>
    <w:rsid w:val="00F108E9"/>
    <w:rsid w:val="00F20C53"/>
    <w:rsid w:val="00F21927"/>
    <w:rsid w:val="00F21CEB"/>
    <w:rsid w:val="00F25C50"/>
    <w:rsid w:val="00F26701"/>
    <w:rsid w:val="00F279B7"/>
    <w:rsid w:val="00F27E21"/>
    <w:rsid w:val="00F2D053"/>
    <w:rsid w:val="00F32F33"/>
    <w:rsid w:val="00F3345B"/>
    <w:rsid w:val="00F34775"/>
    <w:rsid w:val="00F378DA"/>
    <w:rsid w:val="00F42ACD"/>
    <w:rsid w:val="00F42DF1"/>
    <w:rsid w:val="00F4347F"/>
    <w:rsid w:val="00F44139"/>
    <w:rsid w:val="00F536B9"/>
    <w:rsid w:val="00F53DB3"/>
    <w:rsid w:val="00F55111"/>
    <w:rsid w:val="00F560D6"/>
    <w:rsid w:val="00F56FE3"/>
    <w:rsid w:val="00F62E44"/>
    <w:rsid w:val="00F64309"/>
    <w:rsid w:val="00F72AD9"/>
    <w:rsid w:val="00F757C8"/>
    <w:rsid w:val="00F76D35"/>
    <w:rsid w:val="00F76D38"/>
    <w:rsid w:val="00F77510"/>
    <w:rsid w:val="00F84608"/>
    <w:rsid w:val="00F86287"/>
    <w:rsid w:val="00F91EBC"/>
    <w:rsid w:val="00F93348"/>
    <w:rsid w:val="00F977FC"/>
    <w:rsid w:val="00F97A30"/>
    <w:rsid w:val="00FA173A"/>
    <w:rsid w:val="00FA246B"/>
    <w:rsid w:val="00FA270B"/>
    <w:rsid w:val="00FA49FA"/>
    <w:rsid w:val="00FA5006"/>
    <w:rsid w:val="00FA7EF1"/>
    <w:rsid w:val="00FB1132"/>
    <w:rsid w:val="00FB119B"/>
    <w:rsid w:val="00FB19EF"/>
    <w:rsid w:val="00FC0766"/>
    <w:rsid w:val="00FC45A3"/>
    <w:rsid w:val="00FC5D07"/>
    <w:rsid w:val="00FC7172"/>
    <w:rsid w:val="00FD1034"/>
    <w:rsid w:val="00FD1AC8"/>
    <w:rsid w:val="00FD2112"/>
    <w:rsid w:val="00FD2CF5"/>
    <w:rsid w:val="00FD3C71"/>
    <w:rsid w:val="00FD47C0"/>
    <w:rsid w:val="00FD4E70"/>
    <w:rsid w:val="00FD4EB8"/>
    <w:rsid w:val="00FD696A"/>
    <w:rsid w:val="00FD6F82"/>
    <w:rsid w:val="00FD7A7A"/>
    <w:rsid w:val="00FE179C"/>
    <w:rsid w:val="00FE1CBD"/>
    <w:rsid w:val="00FE30E5"/>
    <w:rsid w:val="00FE3C87"/>
    <w:rsid w:val="00FE5FBA"/>
    <w:rsid w:val="00FE7151"/>
    <w:rsid w:val="00FF2216"/>
    <w:rsid w:val="00FF2D06"/>
    <w:rsid w:val="00FF34F4"/>
    <w:rsid w:val="00FF4E65"/>
    <w:rsid w:val="00FF6587"/>
    <w:rsid w:val="00FF7D63"/>
    <w:rsid w:val="0176A826"/>
    <w:rsid w:val="0188E43F"/>
    <w:rsid w:val="020DEF12"/>
    <w:rsid w:val="0233E5A8"/>
    <w:rsid w:val="02466EAD"/>
    <w:rsid w:val="024A2A19"/>
    <w:rsid w:val="027841F8"/>
    <w:rsid w:val="02836A8B"/>
    <w:rsid w:val="028EA800"/>
    <w:rsid w:val="02C4C557"/>
    <w:rsid w:val="02F152B9"/>
    <w:rsid w:val="03E86D35"/>
    <w:rsid w:val="04DB15B8"/>
    <w:rsid w:val="058166FD"/>
    <w:rsid w:val="06CBA4A0"/>
    <w:rsid w:val="06FFC7EA"/>
    <w:rsid w:val="071CC295"/>
    <w:rsid w:val="07246CF6"/>
    <w:rsid w:val="072A0A2C"/>
    <w:rsid w:val="078C4DA3"/>
    <w:rsid w:val="07BBEBF2"/>
    <w:rsid w:val="07C3B249"/>
    <w:rsid w:val="07DA9250"/>
    <w:rsid w:val="09C4CB9C"/>
    <w:rsid w:val="0AC217E2"/>
    <w:rsid w:val="0B48DC0A"/>
    <w:rsid w:val="0B9BA0DB"/>
    <w:rsid w:val="0BB739B8"/>
    <w:rsid w:val="0C84775E"/>
    <w:rsid w:val="0CE4C033"/>
    <w:rsid w:val="0D464051"/>
    <w:rsid w:val="0E588242"/>
    <w:rsid w:val="0EC319A0"/>
    <w:rsid w:val="0F32B8AF"/>
    <w:rsid w:val="1016ECD5"/>
    <w:rsid w:val="1170A512"/>
    <w:rsid w:val="121F69AF"/>
    <w:rsid w:val="127490D8"/>
    <w:rsid w:val="127E6337"/>
    <w:rsid w:val="12F0ADB7"/>
    <w:rsid w:val="131E2191"/>
    <w:rsid w:val="133A1E15"/>
    <w:rsid w:val="140A6865"/>
    <w:rsid w:val="1491DD46"/>
    <w:rsid w:val="15361B9F"/>
    <w:rsid w:val="1549845B"/>
    <w:rsid w:val="157C38B3"/>
    <w:rsid w:val="159A3727"/>
    <w:rsid w:val="15A58EBA"/>
    <w:rsid w:val="15EAC072"/>
    <w:rsid w:val="1867DFDE"/>
    <w:rsid w:val="187DE527"/>
    <w:rsid w:val="188493E4"/>
    <w:rsid w:val="193EC16B"/>
    <w:rsid w:val="1A88C81B"/>
    <w:rsid w:val="1B6C771C"/>
    <w:rsid w:val="1BB8B138"/>
    <w:rsid w:val="1BC6A9AF"/>
    <w:rsid w:val="1C287492"/>
    <w:rsid w:val="1C5F08E2"/>
    <w:rsid w:val="1E5FC982"/>
    <w:rsid w:val="1E7116DB"/>
    <w:rsid w:val="1E780593"/>
    <w:rsid w:val="1F23F62F"/>
    <w:rsid w:val="1F461FC8"/>
    <w:rsid w:val="1F889845"/>
    <w:rsid w:val="1F8E9487"/>
    <w:rsid w:val="1FAB8897"/>
    <w:rsid w:val="1FF389E0"/>
    <w:rsid w:val="203A3C47"/>
    <w:rsid w:val="20D64905"/>
    <w:rsid w:val="2105E2E8"/>
    <w:rsid w:val="210E03F0"/>
    <w:rsid w:val="225D2E6A"/>
    <w:rsid w:val="239B95A1"/>
    <w:rsid w:val="23FAEEEA"/>
    <w:rsid w:val="2426A7F1"/>
    <w:rsid w:val="243C3080"/>
    <w:rsid w:val="2461BAF0"/>
    <w:rsid w:val="24BA9420"/>
    <w:rsid w:val="24F872FC"/>
    <w:rsid w:val="26447C91"/>
    <w:rsid w:val="2728055A"/>
    <w:rsid w:val="274266DE"/>
    <w:rsid w:val="2780D77B"/>
    <w:rsid w:val="28B0073A"/>
    <w:rsid w:val="296307C9"/>
    <w:rsid w:val="29B06426"/>
    <w:rsid w:val="29FFF885"/>
    <w:rsid w:val="2A14F894"/>
    <w:rsid w:val="2A71D535"/>
    <w:rsid w:val="2B00CC7B"/>
    <w:rsid w:val="2B1FA544"/>
    <w:rsid w:val="2B8A6B5D"/>
    <w:rsid w:val="2BA91897"/>
    <w:rsid w:val="2BCD12FB"/>
    <w:rsid w:val="2BF1F764"/>
    <w:rsid w:val="2C5B3A65"/>
    <w:rsid w:val="2D0AF850"/>
    <w:rsid w:val="2D146159"/>
    <w:rsid w:val="2D497311"/>
    <w:rsid w:val="2D4D30FF"/>
    <w:rsid w:val="2D786DD3"/>
    <w:rsid w:val="2D83370F"/>
    <w:rsid w:val="2DC8B1DA"/>
    <w:rsid w:val="2EA63D9E"/>
    <w:rsid w:val="3012D7E5"/>
    <w:rsid w:val="302A1D4D"/>
    <w:rsid w:val="30397EB8"/>
    <w:rsid w:val="310E536C"/>
    <w:rsid w:val="312C4CA6"/>
    <w:rsid w:val="3182AEC6"/>
    <w:rsid w:val="31A6785F"/>
    <w:rsid w:val="3312F509"/>
    <w:rsid w:val="339CD614"/>
    <w:rsid w:val="33DABB7A"/>
    <w:rsid w:val="34F91096"/>
    <w:rsid w:val="35568959"/>
    <w:rsid w:val="35AAF1FE"/>
    <w:rsid w:val="37E08FD7"/>
    <w:rsid w:val="3815FE51"/>
    <w:rsid w:val="383D20FC"/>
    <w:rsid w:val="3840B5D9"/>
    <w:rsid w:val="3862BEEC"/>
    <w:rsid w:val="38937FAA"/>
    <w:rsid w:val="38B2AD18"/>
    <w:rsid w:val="38C1621A"/>
    <w:rsid w:val="38DC0080"/>
    <w:rsid w:val="39157BD0"/>
    <w:rsid w:val="395CE7D3"/>
    <w:rsid w:val="3993C3EB"/>
    <w:rsid w:val="39A1EDEC"/>
    <w:rsid w:val="39D55CB0"/>
    <w:rsid w:val="3B032A95"/>
    <w:rsid w:val="3B35952C"/>
    <w:rsid w:val="3B64085D"/>
    <w:rsid w:val="3B7E55F6"/>
    <w:rsid w:val="3BECC559"/>
    <w:rsid w:val="3C674EA7"/>
    <w:rsid w:val="3CAA4B6D"/>
    <w:rsid w:val="3D23AFE8"/>
    <w:rsid w:val="3E83C952"/>
    <w:rsid w:val="3EE26320"/>
    <w:rsid w:val="3F19F715"/>
    <w:rsid w:val="3FF7F205"/>
    <w:rsid w:val="40FFA049"/>
    <w:rsid w:val="4141E317"/>
    <w:rsid w:val="41DB2364"/>
    <w:rsid w:val="41E63376"/>
    <w:rsid w:val="42255752"/>
    <w:rsid w:val="425BCA06"/>
    <w:rsid w:val="425CA253"/>
    <w:rsid w:val="429092EC"/>
    <w:rsid w:val="4412EAC3"/>
    <w:rsid w:val="44D94678"/>
    <w:rsid w:val="454BA7C9"/>
    <w:rsid w:val="46847BF8"/>
    <w:rsid w:val="47F019C4"/>
    <w:rsid w:val="4859425F"/>
    <w:rsid w:val="489A32D7"/>
    <w:rsid w:val="49183010"/>
    <w:rsid w:val="495A4F36"/>
    <w:rsid w:val="49A8066B"/>
    <w:rsid w:val="4A1E7979"/>
    <w:rsid w:val="4A1F5235"/>
    <w:rsid w:val="4AE4FC73"/>
    <w:rsid w:val="4AEC97D4"/>
    <w:rsid w:val="4B4A1D65"/>
    <w:rsid w:val="4BF6899F"/>
    <w:rsid w:val="4C121183"/>
    <w:rsid w:val="4C30E904"/>
    <w:rsid w:val="4C4AEE43"/>
    <w:rsid w:val="4CA0964D"/>
    <w:rsid w:val="4D325593"/>
    <w:rsid w:val="4D7A34AA"/>
    <w:rsid w:val="4DFF709B"/>
    <w:rsid w:val="4E91F4C6"/>
    <w:rsid w:val="4F4619F1"/>
    <w:rsid w:val="506A6FAC"/>
    <w:rsid w:val="5077B0DD"/>
    <w:rsid w:val="51701B6D"/>
    <w:rsid w:val="518E681B"/>
    <w:rsid w:val="52BA1F24"/>
    <w:rsid w:val="52F12A00"/>
    <w:rsid w:val="53743393"/>
    <w:rsid w:val="53B2229B"/>
    <w:rsid w:val="543BE588"/>
    <w:rsid w:val="54A373F2"/>
    <w:rsid w:val="54DED86E"/>
    <w:rsid w:val="555941B1"/>
    <w:rsid w:val="555F7A6F"/>
    <w:rsid w:val="55712D02"/>
    <w:rsid w:val="55CEFDF6"/>
    <w:rsid w:val="56C069DE"/>
    <w:rsid w:val="56C6DD11"/>
    <w:rsid w:val="5842FB83"/>
    <w:rsid w:val="589C10EB"/>
    <w:rsid w:val="589C9056"/>
    <w:rsid w:val="590CA395"/>
    <w:rsid w:val="59D68961"/>
    <w:rsid w:val="59F095AC"/>
    <w:rsid w:val="5A601125"/>
    <w:rsid w:val="5A7F838F"/>
    <w:rsid w:val="5A81AF6D"/>
    <w:rsid w:val="5AADBB2E"/>
    <w:rsid w:val="5AE1D01C"/>
    <w:rsid w:val="5B278C49"/>
    <w:rsid w:val="5B6935CC"/>
    <w:rsid w:val="5BC1F56F"/>
    <w:rsid w:val="5C2FA738"/>
    <w:rsid w:val="5C9A7B72"/>
    <w:rsid w:val="5CA50E74"/>
    <w:rsid w:val="5CC957B6"/>
    <w:rsid w:val="5D439AAE"/>
    <w:rsid w:val="5D7DD9E3"/>
    <w:rsid w:val="5D9A387E"/>
    <w:rsid w:val="5DBE6F32"/>
    <w:rsid w:val="5DDCAD53"/>
    <w:rsid w:val="5F4D79F4"/>
    <w:rsid w:val="5FDF2309"/>
    <w:rsid w:val="6042EAEE"/>
    <w:rsid w:val="60469E0E"/>
    <w:rsid w:val="60566235"/>
    <w:rsid w:val="60B3662C"/>
    <w:rsid w:val="60DA49BB"/>
    <w:rsid w:val="61FF1C23"/>
    <w:rsid w:val="625018FB"/>
    <w:rsid w:val="625C41CF"/>
    <w:rsid w:val="629C7E79"/>
    <w:rsid w:val="62A63526"/>
    <w:rsid w:val="63326357"/>
    <w:rsid w:val="6360EE97"/>
    <w:rsid w:val="637F9A6F"/>
    <w:rsid w:val="6742B0C4"/>
    <w:rsid w:val="67AE8B00"/>
    <w:rsid w:val="682B0D49"/>
    <w:rsid w:val="6881E252"/>
    <w:rsid w:val="68A4767D"/>
    <w:rsid w:val="692E6A4A"/>
    <w:rsid w:val="6995E16D"/>
    <w:rsid w:val="69B91805"/>
    <w:rsid w:val="6A473F4D"/>
    <w:rsid w:val="6A84A7FC"/>
    <w:rsid w:val="6B59316C"/>
    <w:rsid w:val="6B65DAEA"/>
    <w:rsid w:val="6C65F0FE"/>
    <w:rsid w:val="6C9A313B"/>
    <w:rsid w:val="6C9C4868"/>
    <w:rsid w:val="6CA048F5"/>
    <w:rsid w:val="6CD3BEC5"/>
    <w:rsid w:val="6D461D54"/>
    <w:rsid w:val="6D6A9031"/>
    <w:rsid w:val="6D7F1EA9"/>
    <w:rsid w:val="6E194FF6"/>
    <w:rsid w:val="6E288473"/>
    <w:rsid w:val="6E505912"/>
    <w:rsid w:val="6E89F9E5"/>
    <w:rsid w:val="6EA241FE"/>
    <w:rsid w:val="7034289D"/>
    <w:rsid w:val="70A609B3"/>
    <w:rsid w:val="70CF2201"/>
    <w:rsid w:val="71015227"/>
    <w:rsid w:val="7144799B"/>
    <w:rsid w:val="71571779"/>
    <w:rsid w:val="71B5B3D0"/>
    <w:rsid w:val="71C8B7D8"/>
    <w:rsid w:val="71EB6504"/>
    <w:rsid w:val="722AD2BF"/>
    <w:rsid w:val="729DDA65"/>
    <w:rsid w:val="76454C71"/>
    <w:rsid w:val="7689DE80"/>
    <w:rsid w:val="7734BA28"/>
    <w:rsid w:val="774D7803"/>
    <w:rsid w:val="7797A043"/>
    <w:rsid w:val="78EF6467"/>
    <w:rsid w:val="791150F6"/>
    <w:rsid w:val="79AEFB48"/>
    <w:rsid w:val="79E4B538"/>
    <w:rsid w:val="79E569E8"/>
    <w:rsid w:val="7A5ECF27"/>
    <w:rsid w:val="7AD4B915"/>
    <w:rsid w:val="7B35908C"/>
    <w:rsid w:val="7B507E43"/>
    <w:rsid w:val="7C8282B4"/>
    <w:rsid w:val="7CC22730"/>
    <w:rsid w:val="7CC25D32"/>
    <w:rsid w:val="7CE382A7"/>
    <w:rsid w:val="7E738F9E"/>
    <w:rsid w:val="7EB90C0C"/>
    <w:rsid w:val="7F6432F6"/>
    <w:rsid w:val="7F83FFC2"/>
    <w:rsid w:val="7FDFC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1EFDB6"/>
  <w15:chartTrackingRefBased/>
  <w15:docId w15:val="{26E3255B-D736-48B8-A03F-CB7D9841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4D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25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25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5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5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5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54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54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54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54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25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4DA"/>
    <w:rPr>
      <w:rFonts w:eastAsiaTheme="majorEastAsia" w:cstheme="majorBidi"/>
      <w:color w:val="272727" w:themeColor="text1" w:themeTint="D8"/>
    </w:rPr>
  </w:style>
  <w:style w:type="paragraph" w:styleId="Title">
    <w:name w:val="Title"/>
    <w:basedOn w:val="Normal"/>
    <w:next w:val="Normal"/>
    <w:link w:val="TitleChar"/>
    <w:uiPriority w:val="10"/>
    <w:qFormat/>
    <w:rsid w:val="00025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5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5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4DA"/>
    <w:pPr>
      <w:spacing w:before="160"/>
      <w:jc w:val="center"/>
    </w:pPr>
    <w:rPr>
      <w:i/>
      <w:iCs/>
      <w:color w:val="404040" w:themeColor="text1" w:themeTint="BF"/>
    </w:rPr>
  </w:style>
  <w:style w:type="character" w:customStyle="1" w:styleId="QuoteChar">
    <w:name w:val="Quote Char"/>
    <w:basedOn w:val="DefaultParagraphFont"/>
    <w:link w:val="Quote"/>
    <w:uiPriority w:val="29"/>
    <w:rsid w:val="000254DA"/>
    <w:rPr>
      <w:i/>
      <w:iCs/>
      <w:color w:val="404040" w:themeColor="text1" w:themeTint="BF"/>
    </w:rPr>
  </w:style>
  <w:style w:type="paragraph" w:styleId="ListParagraph">
    <w:name w:val="List Paragraph"/>
    <w:basedOn w:val="Normal"/>
    <w:uiPriority w:val="34"/>
    <w:qFormat/>
    <w:rsid w:val="000254DA"/>
    <w:pPr>
      <w:ind w:left="720"/>
      <w:contextualSpacing/>
    </w:pPr>
  </w:style>
  <w:style w:type="character" w:styleId="IntenseEmphasis">
    <w:name w:val="Intense Emphasis"/>
    <w:basedOn w:val="DefaultParagraphFont"/>
    <w:uiPriority w:val="21"/>
    <w:qFormat/>
    <w:rsid w:val="000254DA"/>
    <w:rPr>
      <w:i/>
      <w:iCs/>
      <w:color w:val="0F4761" w:themeColor="accent1" w:themeShade="BF"/>
    </w:rPr>
  </w:style>
  <w:style w:type="paragraph" w:styleId="IntenseQuote">
    <w:name w:val="Intense Quote"/>
    <w:basedOn w:val="Normal"/>
    <w:next w:val="Normal"/>
    <w:link w:val="IntenseQuoteChar"/>
    <w:uiPriority w:val="30"/>
    <w:qFormat/>
    <w:rsid w:val="00025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54DA"/>
    <w:rPr>
      <w:i/>
      <w:iCs/>
      <w:color w:val="0F4761" w:themeColor="accent1" w:themeShade="BF"/>
    </w:rPr>
  </w:style>
  <w:style w:type="character" w:styleId="IntenseReference">
    <w:name w:val="Intense Reference"/>
    <w:basedOn w:val="DefaultParagraphFont"/>
    <w:uiPriority w:val="32"/>
    <w:qFormat/>
    <w:rsid w:val="000254DA"/>
    <w:rPr>
      <w:b/>
      <w:bCs/>
      <w:smallCaps/>
      <w:color w:val="0F4761" w:themeColor="accent1" w:themeShade="BF"/>
      <w:spacing w:val="5"/>
    </w:rPr>
  </w:style>
  <w:style w:type="character" w:styleId="Hyperlink">
    <w:name w:val="Hyperlink"/>
    <w:basedOn w:val="DefaultParagraphFont"/>
    <w:uiPriority w:val="99"/>
    <w:unhideWhenUsed/>
    <w:rsid w:val="000254DA"/>
    <w:rPr>
      <w:color w:val="467886" w:themeColor="hyperlink"/>
      <w:u w:val="single"/>
    </w:rPr>
  </w:style>
  <w:style w:type="character" w:styleId="UnresolvedMention">
    <w:name w:val="Unresolved Mention"/>
    <w:basedOn w:val="DefaultParagraphFont"/>
    <w:uiPriority w:val="99"/>
    <w:semiHidden/>
    <w:unhideWhenUsed/>
    <w:rsid w:val="000254DA"/>
    <w:rPr>
      <w:color w:val="605E5C"/>
      <w:shd w:val="clear" w:color="auto" w:fill="E1DFDD"/>
    </w:rPr>
  </w:style>
  <w:style w:type="paragraph" w:styleId="Header">
    <w:name w:val="header"/>
    <w:basedOn w:val="Normal"/>
    <w:link w:val="HeaderChar"/>
    <w:uiPriority w:val="99"/>
    <w:unhideWhenUsed/>
    <w:rsid w:val="000254DA"/>
    <w:pPr>
      <w:tabs>
        <w:tab w:val="center" w:pos="4680"/>
        <w:tab w:val="right" w:pos="9360"/>
      </w:tabs>
    </w:pPr>
  </w:style>
  <w:style w:type="character" w:customStyle="1" w:styleId="HeaderChar">
    <w:name w:val="Header Char"/>
    <w:basedOn w:val="DefaultParagraphFont"/>
    <w:link w:val="Header"/>
    <w:uiPriority w:val="99"/>
    <w:rsid w:val="000254D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254DA"/>
    <w:pPr>
      <w:tabs>
        <w:tab w:val="center" w:pos="4680"/>
        <w:tab w:val="right" w:pos="9360"/>
      </w:tabs>
    </w:pPr>
  </w:style>
  <w:style w:type="character" w:customStyle="1" w:styleId="FooterChar">
    <w:name w:val="Footer Char"/>
    <w:basedOn w:val="DefaultParagraphFont"/>
    <w:link w:val="Footer"/>
    <w:uiPriority w:val="99"/>
    <w:rsid w:val="000254DA"/>
    <w:rPr>
      <w:rFonts w:ascii="Times New Roman" w:eastAsia="Times New Roman" w:hAnsi="Times New Roman" w:cs="Times New Roman"/>
      <w:kern w:val="0"/>
      <w:sz w:val="24"/>
      <w:szCs w:val="24"/>
      <w14:ligatures w14:val="none"/>
    </w:rPr>
  </w:style>
  <w:style w:type="paragraph" w:styleId="FootnoteText">
    <w:name w:val="footnote text"/>
    <w:aliases w:val="*Footnote Text"/>
    <w:basedOn w:val="Normal"/>
    <w:link w:val="FootnoteTextChar"/>
    <w:unhideWhenUsed/>
    <w:qFormat/>
    <w:rsid w:val="000254DA"/>
    <w:rPr>
      <w:sz w:val="20"/>
      <w:szCs w:val="20"/>
    </w:rPr>
  </w:style>
  <w:style w:type="character" w:customStyle="1" w:styleId="FootnoteTextChar">
    <w:name w:val="Footnote Text Char"/>
    <w:aliases w:val="*Footnote Text Char"/>
    <w:basedOn w:val="DefaultParagraphFont"/>
    <w:link w:val="FootnoteText"/>
    <w:rsid w:val="000254DA"/>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Number"/>
    <w:basedOn w:val="DefaultParagraphFont"/>
    <w:qFormat/>
    <w:rsid w:val="000254DA"/>
  </w:style>
  <w:style w:type="paragraph" w:styleId="BalloonText">
    <w:name w:val="Balloon Text"/>
    <w:basedOn w:val="Normal"/>
    <w:link w:val="BalloonTextChar"/>
    <w:uiPriority w:val="99"/>
    <w:semiHidden/>
    <w:unhideWhenUsed/>
    <w:rsid w:val="000254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254DA"/>
    <w:rPr>
      <w:rFonts w:ascii="Lucida Grande" w:eastAsia="Times New Roman" w:hAnsi="Lucida Grande" w:cs="Lucida Grande"/>
      <w:kern w:val="0"/>
      <w:sz w:val="18"/>
      <w:szCs w:val="18"/>
      <w14:ligatures w14:val="none"/>
    </w:rPr>
  </w:style>
  <w:style w:type="character" w:styleId="CommentReference">
    <w:name w:val="annotation reference"/>
    <w:uiPriority w:val="99"/>
    <w:semiHidden/>
    <w:unhideWhenUsed/>
    <w:rsid w:val="000254DA"/>
    <w:rPr>
      <w:sz w:val="18"/>
      <w:szCs w:val="18"/>
    </w:rPr>
  </w:style>
  <w:style w:type="paragraph" w:styleId="CommentText">
    <w:name w:val="annotation text"/>
    <w:basedOn w:val="Normal"/>
    <w:link w:val="CommentTextChar"/>
    <w:unhideWhenUsed/>
    <w:rsid w:val="000254DA"/>
  </w:style>
  <w:style w:type="character" w:customStyle="1" w:styleId="CommentTextChar">
    <w:name w:val="Comment Text Char"/>
    <w:basedOn w:val="DefaultParagraphFont"/>
    <w:link w:val="CommentText"/>
    <w:rsid w:val="000254DA"/>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0254DA"/>
    <w:rPr>
      <w:b/>
      <w:bCs/>
      <w:sz w:val="20"/>
      <w:szCs w:val="20"/>
    </w:rPr>
  </w:style>
  <w:style w:type="character" w:customStyle="1" w:styleId="CommentSubjectChar">
    <w:name w:val="Comment Subject Char"/>
    <w:basedOn w:val="CommentTextChar"/>
    <w:link w:val="CommentSubject"/>
    <w:uiPriority w:val="99"/>
    <w:semiHidden/>
    <w:rsid w:val="000254DA"/>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0254D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254DA"/>
    <w:rPr>
      <w:sz w:val="20"/>
      <w:szCs w:val="20"/>
    </w:rPr>
  </w:style>
  <w:style w:type="character" w:customStyle="1" w:styleId="EndnoteTextChar">
    <w:name w:val="Endnote Text Char"/>
    <w:basedOn w:val="DefaultParagraphFont"/>
    <w:link w:val="EndnoteText"/>
    <w:uiPriority w:val="99"/>
    <w:semiHidden/>
    <w:rsid w:val="000254DA"/>
    <w:rPr>
      <w:rFonts w:ascii="Times New Roman" w:eastAsia="Times New Roman" w:hAnsi="Times New Roman" w:cs="Times New Roman"/>
      <w:kern w:val="0"/>
      <w:sz w:val="20"/>
      <w:szCs w:val="20"/>
      <w14:ligatures w14:val="none"/>
    </w:rPr>
  </w:style>
  <w:style w:type="character" w:styleId="EndnoteReference">
    <w:name w:val="endnote reference"/>
    <w:uiPriority w:val="99"/>
    <w:semiHidden/>
    <w:unhideWhenUsed/>
    <w:rsid w:val="000254DA"/>
    <w:rPr>
      <w:vertAlign w:val="superscript"/>
    </w:rPr>
  </w:style>
  <w:style w:type="character" w:styleId="FollowedHyperlink">
    <w:name w:val="FollowedHyperlink"/>
    <w:uiPriority w:val="99"/>
    <w:unhideWhenUsed/>
    <w:rsid w:val="000254DA"/>
    <w:rPr>
      <w:color w:val="800080"/>
      <w:u w:val="single"/>
    </w:rPr>
  </w:style>
  <w:style w:type="paragraph" w:styleId="Revision">
    <w:name w:val="Revision"/>
    <w:hidden/>
    <w:uiPriority w:val="99"/>
    <w:semiHidden/>
    <w:rsid w:val="000254DA"/>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0254DA"/>
    <w:pPr>
      <w:spacing w:before="100" w:beforeAutospacing="1" w:after="100" w:afterAutospacing="1"/>
    </w:pPr>
  </w:style>
  <w:style w:type="numbering" w:customStyle="1" w:styleId="NoList1">
    <w:name w:val="No List1"/>
    <w:next w:val="NoList"/>
    <w:uiPriority w:val="99"/>
    <w:semiHidden/>
    <w:unhideWhenUsed/>
    <w:rsid w:val="000254DA"/>
  </w:style>
  <w:style w:type="paragraph" w:customStyle="1" w:styleId="Level1">
    <w:name w:val="Level 1"/>
    <w:basedOn w:val="Normal"/>
    <w:uiPriority w:val="99"/>
    <w:rsid w:val="000254DA"/>
    <w:pPr>
      <w:widowControl w:val="0"/>
      <w:autoSpaceDE w:val="0"/>
      <w:autoSpaceDN w:val="0"/>
      <w:adjustRightInd w:val="0"/>
      <w:ind w:left="720" w:firstLine="720"/>
    </w:pPr>
    <w:rPr>
      <w:rFonts w:ascii="Courier" w:hAnsi="Courier" w:cs="Courier"/>
      <w:color w:val="000000"/>
    </w:rPr>
  </w:style>
  <w:style w:type="paragraph" w:customStyle="1" w:styleId="MarkforAttachment">
    <w:name w:val="Mark for Attachment"/>
    <w:basedOn w:val="Normal"/>
    <w:next w:val="Normal"/>
    <w:uiPriority w:val="99"/>
    <w:rsid w:val="000254DA"/>
    <w:pPr>
      <w:tabs>
        <w:tab w:val="left" w:pos="432"/>
      </w:tabs>
      <w:jc w:val="center"/>
    </w:pPr>
    <w:rPr>
      <w:rFonts w:ascii="Arial" w:hAnsi="Arial"/>
      <w:b/>
      <w:bCs/>
      <w:caps/>
    </w:rPr>
  </w:style>
  <w:style w:type="paragraph" w:styleId="TOC1">
    <w:name w:val="toc 1"/>
    <w:basedOn w:val="Normal"/>
    <w:next w:val="Normal"/>
    <w:autoRedefine/>
    <w:uiPriority w:val="39"/>
    <w:rsid w:val="000254DA"/>
    <w:rPr>
      <w:rFonts w:ascii="Arial" w:hAnsi="Arial" w:cs="Arial"/>
    </w:rPr>
  </w:style>
  <w:style w:type="paragraph" w:styleId="TOC2">
    <w:name w:val="toc 2"/>
    <w:basedOn w:val="Normal"/>
    <w:next w:val="Normal"/>
    <w:autoRedefine/>
    <w:uiPriority w:val="39"/>
    <w:rsid w:val="000254DA"/>
    <w:pPr>
      <w:tabs>
        <w:tab w:val="right" w:leader="dot" w:pos="9350"/>
      </w:tabs>
      <w:ind w:left="240" w:firstLine="660"/>
    </w:pPr>
    <w:rPr>
      <w:rFonts w:ascii="Arial" w:hAnsi="Arial" w:cs="Arial"/>
    </w:rPr>
  </w:style>
  <w:style w:type="paragraph" w:customStyle="1" w:styleId="Default">
    <w:name w:val="Default"/>
    <w:rsid w:val="000254D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NormalSS">
    <w:name w:val="NormalSS"/>
    <w:basedOn w:val="Normal"/>
    <w:uiPriority w:val="99"/>
    <w:rsid w:val="000254DA"/>
    <w:pPr>
      <w:tabs>
        <w:tab w:val="left" w:pos="432"/>
      </w:tabs>
      <w:jc w:val="both"/>
    </w:pPr>
    <w:rPr>
      <w:rFonts w:ascii="Arial" w:hAnsi="Arial"/>
    </w:rPr>
  </w:style>
  <w:style w:type="character" w:styleId="PageNumber">
    <w:name w:val="page number"/>
    <w:uiPriority w:val="99"/>
    <w:rsid w:val="000254DA"/>
    <w:rPr>
      <w:rFonts w:cs="Times New Roman"/>
    </w:rPr>
  </w:style>
  <w:style w:type="paragraph" w:styleId="BodyText">
    <w:name w:val="Body Text"/>
    <w:basedOn w:val="Normal"/>
    <w:link w:val="BodyTextChar"/>
    <w:uiPriority w:val="99"/>
    <w:rsid w:val="000254DA"/>
    <w:pPr>
      <w:widowControl w:val="0"/>
      <w:autoSpaceDE w:val="0"/>
      <w:autoSpaceDN w:val="0"/>
      <w:adjustRightInd w:val="0"/>
      <w:jc w:val="both"/>
    </w:pPr>
    <w:rPr>
      <w:rFonts w:ascii="Arial" w:hAnsi="Arial"/>
      <w:sz w:val="22"/>
      <w:szCs w:val="22"/>
    </w:rPr>
  </w:style>
  <w:style w:type="character" w:customStyle="1" w:styleId="BodyTextChar">
    <w:name w:val="Body Text Char"/>
    <w:basedOn w:val="DefaultParagraphFont"/>
    <w:link w:val="BodyText"/>
    <w:uiPriority w:val="99"/>
    <w:rsid w:val="000254DA"/>
    <w:rPr>
      <w:rFonts w:ascii="Arial" w:eastAsia="Times New Roman" w:hAnsi="Arial" w:cs="Times New Roman"/>
      <w:kern w:val="0"/>
      <w14:ligatures w14:val="none"/>
    </w:rPr>
  </w:style>
  <w:style w:type="table" w:customStyle="1" w:styleId="TableGrid1">
    <w:name w:val="Table Grid1"/>
    <w:basedOn w:val="TableNormal"/>
    <w:next w:val="TableGrid"/>
    <w:uiPriority w:val="59"/>
    <w:rsid w:val="000254D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0254DA"/>
    <w:rPr>
      <w:color w:val="0000FF"/>
      <w:u w:val="single"/>
    </w:rPr>
  </w:style>
  <w:style w:type="character" w:styleId="Emphasis">
    <w:name w:val="Emphasis"/>
    <w:uiPriority w:val="20"/>
    <w:qFormat/>
    <w:rsid w:val="000254DA"/>
    <w:rPr>
      <w:i/>
      <w:iCs/>
    </w:rPr>
  </w:style>
  <w:style w:type="paragraph" w:customStyle="1" w:styleId="Normal1020">
    <w:name w:val="Normal_102_0"/>
    <w:qFormat/>
    <w:rsid w:val="000254DA"/>
    <w:pPr>
      <w:spacing w:after="0" w:line="240" w:lineRule="auto"/>
    </w:pPr>
    <w:rPr>
      <w:rFonts w:ascii="Times New Roman" w:eastAsia="Times New Roman" w:hAnsi="Times New Roman" w:cs="Times New Roman"/>
      <w:kern w:val="0"/>
      <w:sz w:val="24"/>
      <w:szCs w:val="20"/>
      <w14:ligatures w14:val="none"/>
    </w:rPr>
  </w:style>
  <w:style w:type="character" w:customStyle="1" w:styleId="apple-converted-space">
    <w:name w:val="apple-converted-space"/>
    <w:rsid w:val="000254DA"/>
    <w:rPr>
      <w:rFonts w:ascii="Times New Roman" w:hAnsi="Times New Roman" w:cs="Times New Roman" w:hint="default"/>
    </w:rPr>
  </w:style>
  <w:style w:type="character" w:styleId="Mention">
    <w:name w:val="Mention"/>
    <w:basedOn w:val="DefaultParagraphFont"/>
    <w:uiPriority w:val="99"/>
    <w:unhideWhenUsed/>
    <w:rsid w:val="00E80B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i.fdsys.gov/link?collection=uscode&amp;title=8&amp;year=mostrecent&amp;section=1184&amp;type=usc&amp;link-type=html" TargetMode="External" /><Relationship Id="rId11" Type="http://schemas.openxmlformats.org/officeDocument/2006/relationships/hyperlink" Target="https://www.gpo.gov/fdsys/pkg/FR-2010-10-27/pdf/2010-27139.pdf" TargetMode="External" /><Relationship Id="rId12" Type="http://schemas.openxmlformats.org/officeDocument/2006/relationships/hyperlink" Target="https://www.gpo.gov/fdsys/pkg/FR-2014-12-24/pdf/2014-30224.pdf" TargetMode="External" /><Relationship Id="rId13" Type="http://schemas.openxmlformats.org/officeDocument/2006/relationships/hyperlink" Target="https://www.govinfo.gov/link/uscode/29/49" TargetMode="External" /><Relationship Id="rId14" Type="http://schemas.openxmlformats.org/officeDocument/2006/relationships/hyperlink" Target="https://flag.dol.gov/" TargetMode="External" /><Relationship Id="rId15" Type="http://schemas.openxmlformats.org/officeDocument/2006/relationships/hyperlink" Target="https://www.dol.gov/agencies/eta/foreign-labor" TargetMode="External" /><Relationship Id="rId16" Type="http://schemas.openxmlformats.org/officeDocument/2006/relationships/hyperlink" Target="https://usdol.sharepoint.com/sites/ETA-OFLC/PRAReview/Shared%20Documents/Emergency%20Filing%20Documents%20for%20Agricultural%20Program_2024/www.bls.gov" TargetMode="External" /><Relationship Id="rId17" Type="http://schemas.openxmlformats.org/officeDocument/2006/relationships/hyperlink" Target="https://www.bls.gov/oes/current/oes119013.htm" TargetMode="External" /><Relationship Id="rId18" Type="http://schemas.openxmlformats.org/officeDocument/2006/relationships/hyperlink" Target="https://www.bls.gov/oes/current/oes211012.htm"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api.fdsys.gov/link?collection=uscode&amp;title=8&amp;year=mostrecent&amp;section=1101&amp;type=usc&amp;link-type=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3121.htm" TargetMode="External" /><Relationship Id="rId2" Type="http://schemas.openxmlformats.org/officeDocument/2006/relationships/hyperlink" Target="http://www.bls.gov/news.release/archives/ecec_12162021.pdf" TargetMode="External" /><Relationship Id="rId3" Type="http://schemas.openxmlformats.org/officeDocument/2006/relationships/hyperlink" Target="http://www.bls.gov/oes/current/oes131141.htm" TargetMode="External" /><Relationship Id="rId4" Type="http://schemas.openxmlformats.org/officeDocument/2006/relationships/hyperlink" Target="https://www.bls.gov/news.release/archives/ecec_09162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C4F06-D293-475D-860E-D42FE7AA5718}">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2.xml><?xml version="1.0" encoding="utf-8"?>
<ds:datastoreItem xmlns:ds="http://schemas.openxmlformats.org/officeDocument/2006/customXml" ds:itemID="{96A3D87D-B63A-4D47-9F16-24E84D2B4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DCA5-8CF8-4A82-BE01-E83059C3C297}">
  <ds:schemaRefs>
    <ds:schemaRef ds:uri="http://schemas.microsoft.com/sharepoint/v3/contenttype/forms"/>
  </ds:schemaRefs>
</ds:datastoreItem>
</file>

<file path=customXml/itemProps4.xml><?xml version="1.0" encoding="utf-8"?>
<ds:datastoreItem xmlns:ds="http://schemas.openxmlformats.org/officeDocument/2006/customXml" ds:itemID="{861BE20E-25E1-490F-A197-91B30CF1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8318</Words>
  <Characters>47416</Characters>
  <Application>Microsoft Office Word</Application>
  <DocSecurity>0</DocSecurity>
  <Lines>395</Lines>
  <Paragraphs>111</Paragraphs>
  <ScaleCrop>false</ScaleCrop>
  <Company>U.S. Department of Labor</Company>
  <LinksUpToDate>false</LinksUpToDate>
  <CharactersWithSpaces>55623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Isabel - ETA</dc:creator>
  <cp:lastModifiedBy>Gibson, Patrice A - ETA</cp:lastModifiedBy>
  <cp:revision>2</cp:revision>
  <dcterms:created xsi:type="dcterms:W3CDTF">2024-09-09T16:03:00Z</dcterms:created>
  <dcterms:modified xsi:type="dcterms:W3CDTF">2024-09-09T16:03:00Z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y fmtid="{D5CDD505-2E9C-101B-9397-08002B2CF9AE}" pid="3" name="MediaServiceImageTags">
    <vt:lpwstr/>
  </property>
</Properties>
</file>