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7AF" w:rsidP="000E7A2B" w14:paraId="4CF30FD8" w14:textId="77777777">
      <w:pPr>
        <w:widowControl/>
        <w:jc w:val="center"/>
        <w:rPr>
          <w:b/>
        </w:rPr>
      </w:pPr>
      <w:r w:rsidRPr="000E7A2B">
        <w:rPr>
          <w:b/>
        </w:rPr>
        <w:t>SUPPORTING STATEMENT FOR PAPERWORK REDUCTION ACT 1995</w:t>
      </w:r>
      <w:r>
        <w:rPr>
          <w:b/>
        </w:rPr>
        <w:t>:</w:t>
      </w:r>
    </w:p>
    <w:p w:rsidR="00601A67" w:rsidRPr="000E7A2B" w:rsidP="000E7A2B" w14:paraId="5FAC4DF6" w14:textId="34055DFA">
      <w:pPr>
        <w:widowControl/>
        <w:jc w:val="center"/>
        <w:rPr>
          <w:b/>
        </w:rPr>
      </w:pPr>
      <w:r>
        <w:rPr>
          <w:b/>
        </w:rPr>
        <w:t xml:space="preserve"> </w:t>
      </w:r>
      <w:r w:rsidRPr="000E7A2B" w:rsidR="000E7A2B">
        <w:rPr>
          <w:b/>
        </w:rPr>
        <w:t>ERISA ADVISORY OPINION PROCEDURE 76-1</w:t>
      </w:r>
    </w:p>
    <w:p w:rsidR="007C55CE" w:rsidP="007C55CE" w14:paraId="4F847F6E" w14:textId="77777777">
      <w:pPr>
        <w:widowControl/>
        <w:ind w:firstLine="720"/>
      </w:pPr>
    </w:p>
    <w:p w:rsidR="00D367AF" w:rsidRPr="000D0D7F" w:rsidP="00D367AF" w14:paraId="6DF3884D" w14:textId="77777777">
      <w:pPr>
        <w:contextualSpacing/>
        <w:rPr>
          <w:b/>
          <w:bCs/>
        </w:rPr>
      </w:pPr>
      <w:r w:rsidRPr="000D0D7F">
        <w:rPr>
          <w:b/>
          <w:bCs/>
        </w:rPr>
        <w:t>This information collection request (ICR) seeks approval for an extension without change of an existing control number.</w:t>
      </w:r>
    </w:p>
    <w:p w:rsidR="00B024B4" w:rsidP="00C56640" w14:paraId="7037D033" w14:textId="77777777">
      <w:pPr>
        <w:widowControl/>
      </w:pPr>
    </w:p>
    <w:p w:rsidR="00B024B4" w:rsidP="00C56640" w14:paraId="283B1BB5" w14:textId="069EA5FD">
      <w:pPr>
        <w:widowControl/>
        <w:rPr>
          <w:b/>
          <w:bCs/>
        </w:rPr>
      </w:pPr>
      <w:r>
        <w:rPr>
          <w:b/>
          <w:bCs/>
        </w:rPr>
        <w:t>A.</w:t>
      </w:r>
      <w:r w:rsidR="00FB1364">
        <w:rPr>
          <w:b/>
          <w:bCs/>
        </w:rPr>
        <w:t xml:space="preserve"> </w:t>
      </w:r>
      <w:r>
        <w:rPr>
          <w:b/>
          <w:bCs/>
        </w:rPr>
        <w:tab/>
        <w:t>JUSTIFICATION</w:t>
      </w:r>
    </w:p>
    <w:p w:rsidR="00554D53" w:rsidP="00C56640" w14:paraId="7EA2A6DF" w14:textId="77777777">
      <w:pPr>
        <w:widowControl/>
      </w:pPr>
    </w:p>
    <w:p w:rsidR="00B024B4" w:rsidRPr="000E7A2B" w:rsidP="000E7A2B" w14:paraId="40E8BB16" w14:textId="4D20A627">
      <w:pPr>
        <w:pStyle w:val="Quick1"/>
        <w:widowControl/>
        <w:numPr>
          <w:ilvl w:val="0"/>
          <w:numId w:val="12"/>
        </w:numPr>
        <w:ind w:hanging="720"/>
        <w:rPr>
          <w:b/>
          <w:i w:val="0"/>
          <w:sz w:val="24"/>
        </w:rPr>
      </w:pPr>
      <w:r w:rsidRPr="000E7A2B">
        <w:rPr>
          <w:b/>
          <w:i w:val="0"/>
          <w:sz w:val="24"/>
        </w:rPr>
        <w:t>Explain the circumstances that make the collection of information necessary.</w:t>
      </w:r>
      <w:r w:rsidR="00FB1364">
        <w:rPr>
          <w:b/>
          <w:i w:val="0"/>
          <w:sz w:val="24"/>
        </w:rPr>
        <w:t xml:space="preserve"> </w:t>
      </w:r>
      <w:r w:rsidRPr="000E7A2B">
        <w:rPr>
          <w:b/>
          <w:i w:val="0"/>
          <w:sz w:val="24"/>
        </w:rPr>
        <w:t>Identify any legal or administrative requirements that necessitate the collection.</w:t>
      </w:r>
      <w:r w:rsidR="00FB1364">
        <w:rPr>
          <w:b/>
          <w:i w:val="0"/>
          <w:sz w:val="24"/>
        </w:rPr>
        <w:t xml:space="preserve"> </w:t>
      </w:r>
      <w:r w:rsidRPr="000E7A2B">
        <w:rPr>
          <w:b/>
          <w:i w:val="0"/>
          <w:sz w:val="24"/>
        </w:rPr>
        <w:t>Attach a copy of the appropriate section of each statute and regulation mandating or authorizing the collection of information.</w:t>
      </w:r>
    </w:p>
    <w:p w:rsidR="00EE1CDF" w:rsidP="00C56640" w14:paraId="3B5E216B" w14:textId="77777777">
      <w:pPr>
        <w:widowControl/>
        <w:ind w:firstLine="720"/>
      </w:pPr>
    </w:p>
    <w:p w:rsidR="00601A67" w:rsidP="000E7A2B" w14:paraId="2534EB53" w14:textId="67F93FC4">
      <w:pPr>
        <w:widowControl/>
        <w:ind w:left="720"/>
      </w:pPr>
      <w:r>
        <w:t>U</w:t>
      </w:r>
      <w:r w:rsidRPr="00EE1CDF">
        <w:t xml:space="preserve">nder the Employee Retirement Income Security Act of 1974, 29 U.S.C. 1001 </w:t>
      </w:r>
      <w:r w:rsidRPr="00EE1CDF">
        <w:rPr>
          <w:i/>
          <w:iCs/>
        </w:rPr>
        <w:t>et seq.</w:t>
      </w:r>
      <w:r w:rsidRPr="00EE1CDF">
        <w:t xml:space="preserve"> (ERISA), the </w:t>
      </w:r>
      <w:r w:rsidR="00554D53">
        <w:t>Department</w:t>
      </w:r>
      <w:r w:rsidRPr="00EE1CDF">
        <w:t xml:space="preserve"> of Labor </w:t>
      </w:r>
      <w:r w:rsidR="00554D53">
        <w:t>(</w:t>
      </w:r>
      <w:r w:rsidR="00AD3F4E">
        <w:t xml:space="preserve">the </w:t>
      </w:r>
      <w:r w:rsidR="00554D53">
        <w:t xml:space="preserve">Department) </w:t>
      </w:r>
      <w:r w:rsidRPr="00EE1CDF">
        <w:t xml:space="preserve">has responsibility </w:t>
      </w:r>
      <w:r w:rsidR="00554D53">
        <w:t>to administer</w:t>
      </w:r>
      <w:r w:rsidRPr="00EE1CDF">
        <w:t xml:space="preserve"> </w:t>
      </w:r>
      <w:r w:rsidR="00554D53">
        <w:t xml:space="preserve">the </w:t>
      </w:r>
      <w:r w:rsidRPr="00EE1CDF">
        <w:t>reporting, disclosure, fiduciary and other standards for pension and welfare benefit plans.</w:t>
      </w:r>
      <w:r w:rsidR="00FB1364">
        <w:t xml:space="preserve"> </w:t>
      </w:r>
      <w:r w:rsidR="00554D53">
        <w:t xml:space="preserve">In 1976, the Department issued </w:t>
      </w:r>
      <w:r w:rsidRPr="00EE1CDF">
        <w:t xml:space="preserve">ERISA Procedure 76-1, </w:t>
      </w:r>
      <w:r w:rsidR="00AD3F4E">
        <w:t xml:space="preserve">the </w:t>
      </w:r>
      <w:r w:rsidRPr="00EE1CDF">
        <w:t>Procedure for ERISA Advisory Opinions (ERISA Procedure)</w:t>
      </w:r>
      <w:r w:rsidR="008368E2">
        <w:t>,</w:t>
      </w:r>
      <w:r w:rsidRPr="00EE1CDF">
        <w:t xml:space="preserve"> </w:t>
      </w:r>
      <w:r w:rsidR="00554D53">
        <w:t>in order to</w:t>
      </w:r>
      <w:r w:rsidR="00554D53">
        <w:t xml:space="preserve"> establish a </w:t>
      </w:r>
      <w:r w:rsidR="006451C6">
        <w:t xml:space="preserve">public </w:t>
      </w:r>
      <w:r w:rsidR="00554D53">
        <w:t xml:space="preserve">process </w:t>
      </w:r>
      <w:r w:rsidR="006451C6">
        <w:t>for requesting</w:t>
      </w:r>
      <w:r w:rsidR="00554D53">
        <w:t xml:space="preserve"> guidance </w:t>
      </w:r>
      <w:r w:rsidR="006451C6">
        <w:t xml:space="preserve">from the Employee Benefits Security Administration (EBSA) </w:t>
      </w:r>
      <w:r w:rsidR="00554D53">
        <w:t xml:space="preserve">on the application of ERISA to particular circumstances. The ERISA Procedure </w:t>
      </w:r>
      <w:r w:rsidRPr="00EE1CDF">
        <w:t xml:space="preserve">sets forth </w:t>
      </w:r>
      <w:r w:rsidR="006451C6">
        <w:t xml:space="preserve">specific </w:t>
      </w:r>
      <w:r w:rsidRPr="00EE1CDF">
        <w:t xml:space="preserve">administrative procedures </w:t>
      </w:r>
      <w:r w:rsidR="00554D53">
        <w:t>for requesting either an advisory opinion or an information letter and describes the types of questions that may be submitted.</w:t>
      </w:r>
      <w:r w:rsidR="00B102B2">
        <w:t xml:space="preserve"> </w:t>
      </w:r>
      <w:r w:rsidR="00514FA1">
        <w:t xml:space="preserve">As part of the ERISA Procedure, requesters are instructed to provide information to </w:t>
      </w:r>
      <w:r w:rsidR="006451C6">
        <w:t xml:space="preserve">EBSA </w:t>
      </w:r>
      <w:r w:rsidR="00514FA1">
        <w:t xml:space="preserve">concerning the circumstances governing their request. </w:t>
      </w:r>
      <w:r w:rsidR="006451C6">
        <w:t>EBSA</w:t>
      </w:r>
      <w:r w:rsidR="00514FA1">
        <w:t xml:space="preserve"> relies on the information provided by the requester to analyze the issue presented and provide guidance.</w:t>
      </w:r>
      <w:r w:rsidR="00FB1364">
        <w:t xml:space="preserve"> </w:t>
      </w:r>
      <w:r w:rsidR="00554D53">
        <w:t xml:space="preserve">The ERISA Procedure has been </w:t>
      </w:r>
      <w:r w:rsidR="00AD3F4E">
        <w:t>effective</w:t>
      </w:r>
      <w:r w:rsidR="00554D53">
        <w:t xml:space="preserve"> since 1976, and the Department has issued hundreds of advisory opinions and information letters under </w:t>
      </w:r>
      <w:r w:rsidR="00AD3F4E">
        <w:t>this Procedure</w:t>
      </w:r>
      <w:r w:rsidR="00554D53">
        <w:t>.</w:t>
      </w:r>
    </w:p>
    <w:p w:rsidR="00DC5118" w:rsidRPr="00EE1CDF" w:rsidP="00C56640" w14:paraId="7A34A6BE" w14:textId="77777777">
      <w:pPr>
        <w:widowControl/>
      </w:pPr>
    </w:p>
    <w:p w:rsidR="00601A67" w:rsidRPr="000E7A2B" w:rsidP="000E7A2B" w14:paraId="50EDADD3" w14:textId="22484FEE">
      <w:pPr>
        <w:pStyle w:val="Quick1"/>
        <w:widowControl/>
        <w:numPr>
          <w:ilvl w:val="0"/>
          <w:numId w:val="12"/>
        </w:numPr>
        <w:ind w:hanging="720"/>
        <w:rPr>
          <w:b/>
          <w:i w:val="0"/>
          <w:sz w:val="24"/>
        </w:rPr>
      </w:pPr>
      <w:r w:rsidRPr="000E7A2B">
        <w:rPr>
          <w:b/>
          <w:i w:val="0"/>
          <w:sz w:val="24"/>
        </w:rPr>
        <w:t>Indicate how, by whom, and for what purpose the information is to be used. Except for a new collection, indicate the actual use the agency has made of the information received from the current collection.</w:t>
      </w:r>
    </w:p>
    <w:p w:rsidR="00601A67" w:rsidRPr="00DC5118" w:rsidP="00C56640" w14:paraId="49325995" w14:textId="77777777">
      <w:pPr>
        <w:pStyle w:val="Quick1"/>
        <w:widowControl/>
        <w:numPr>
          <w:ilvl w:val="0"/>
          <w:numId w:val="0"/>
        </w:numPr>
        <w:tabs>
          <w:tab w:val="left" w:pos="-1440"/>
        </w:tabs>
        <w:rPr>
          <w:i w:val="0"/>
          <w:iCs/>
        </w:rPr>
      </w:pPr>
    </w:p>
    <w:p w:rsidR="00601A67" w:rsidP="000E7A2B" w14:paraId="2BA3927B" w14:textId="68803C18">
      <w:pPr>
        <w:widowControl/>
        <w:ind w:left="720"/>
      </w:pPr>
      <w:r>
        <w:t>ERISA Procedure</w:t>
      </w:r>
      <w:r w:rsidR="00592CE5">
        <w:t xml:space="preserve"> 76-1</w:t>
      </w:r>
      <w:r>
        <w:t xml:space="preserve"> </w:t>
      </w:r>
      <w:r w:rsidR="00554D53">
        <w:t>provides useful, pertinent, and specific guidance to the public on issues arising under ERISA, particularly when needed to guide specific transactions involving employee benefit plans and plan assets. By providing clear, efficient rules for the submission of public requests, t</w:t>
      </w:r>
      <w:r>
        <w:t>he ERISA Procedure promotes efficient handling of these requests and facilitates prompt responses. The information required by ERISA Procedure</w:t>
      </w:r>
      <w:r w:rsidR="00592CE5">
        <w:t xml:space="preserve"> 76-1</w:t>
      </w:r>
      <w:r>
        <w:t xml:space="preserve"> is used by </w:t>
      </w:r>
      <w:r w:rsidR="006451C6">
        <w:t>EBSA</w:t>
      </w:r>
      <w:r>
        <w:t xml:space="preserve"> to </w:t>
      </w:r>
      <w:r w:rsidR="006451C6">
        <w:t>understand</w:t>
      </w:r>
      <w:r>
        <w:t xml:space="preserve"> </w:t>
      </w:r>
      <w:r w:rsidR="006451C6">
        <w:t xml:space="preserve">and analyze </w:t>
      </w:r>
      <w:r>
        <w:t xml:space="preserve">the </w:t>
      </w:r>
      <w:r w:rsidR="006451C6">
        <w:t xml:space="preserve">issues and develop the </w:t>
      </w:r>
      <w:r>
        <w:t>response</w:t>
      </w:r>
      <w:r w:rsidR="006451C6">
        <w:t xml:space="preserve">, as well as </w:t>
      </w:r>
      <w:r>
        <w:t xml:space="preserve">to determine whether </w:t>
      </w:r>
      <w:r w:rsidR="006451C6">
        <w:t>EBSA</w:t>
      </w:r>
      <w:r>
        <w:t>’s response should be in the form of an advisory opinion or information letter.</w:t>
      </w:r>
      <w:r w:rsidR="00FB1364">
        <w:t xml:space="preserve"> </w:t>
      </w:r>
    </w:p>
    <w:p w:rsidR="006451C6" w:rsidP="000E7A2B" w14:paraId="3D373AFF" w14:textId="77777777">
      <w:pPr>
        <w:widowControl/>
        <w:ind w:left="720"/>
      </w:pPr>
    </w:p>
    <w:p w:rsidR="00601A67" w:rsidP="000E7A2B" w14:paraId="0ADF18F7" w14:textId="21F3D194">
      <w:pPr>
        <w:widowControl/>
        <w:ind w:left="720"/>
      </w:pPr>
      <w:r>
        <w:t xml:space="preserve">Advisory opinions and information letters issued under ERISA Procedure </w:t>
      </w:r>
      <w:r w:rsidR="00592CE5">
        <w:t>76-</w:t>
      </w:r>
      <w:r w:rsidR="00AD3F4E">
        <w:t xml:space="preserve">1 assist </w:t>
      </w:r>
      <w:r>
        <w:t xml:space="preserve">fiduciaries, employers, and other interested parties understand </w:t>
      </w:r>
      <w:r>
        <w:t>particular provision</w:t>
      </w:r>
      <w:r w:rsidR="008368E2">
        <w:t>s</w:t>
      </w:r>
      <w:r>
        <w:t xml:space="preserve"> of the law </w:t>
      </w:r>
      <w:r w:rsidR="008368E2">
        <w:t>and their application to s</w:t>
      </w:r>
      <w:r w:rsidR="006451C6">
        <w:t>pecific facts and circumstances, thereby promoting</w:t>
      </w:r>
      <w:r>
        <w:t xml:space="preserve"> </w:t>
      </w:r>
      <w:r>
        <w:t xml:space="preserve">compliance with ERISA. Advisory opinions </w:t>
      </w:r>
      <w:r w:rsidR="00C242D5">
        <w:t>also provide</w:t>
      </w:r>
      <w:r>
        <w:t xml:space="preserve"> the Department </w:t>
      </w:r>
      <w:r w:rsidR="00C242D5">
        <w:t>with</w:t>
      </w:r>
      <w:r>
        <w:t xml:space="preserve"> a means of clarifying Departmental policy on certain issues.</w:t>
      </w:r>
      <w:r w:rsidR="003F1E0E">
        <w:t xml:space="preserve"> </w:t>
      </w:r>
    </w:p>
    <w:p w:rsidR="00601A67" w:rsidP="000E7A2B" w14:paraId="2BCD646B" w14:textId="77777777">
      <w:pPr>
        <w:widowControl/>
        <w:ind w:left="720"/>
      </w:pPr>
    </w:p>
    <w:p w:rsidR="00514FA1" w:rsidP="000E7A2B" w14:paraId="0192288E" w14:textId="01DEEEE8">
      <w:pPr>
        <w:widowControl/>
        <w:ind w:left="720"/>
      </w:pPr>
      <w:r>
        <w:t xml:space="preserve">Section 6 of ERISA Procedure </w:t>
      </w:r>
      <w:r w:rsidR="00592CE5">
        <w:t xml:space="preserve">76-1 </w:t>
      </w:r>
      <w:r>
        <w:t xml:space="preserve">lists the information that must be supplied by the party requesting an advisory opinion. This information includes identifying information (name, type of plan, EIN Number, etc.), a detailed description of the act(s) or transaction(s) with respect to which an advisory opinion is being requested, a discussion of the issues presented by the act(s) or transaction(s), a statement of the party’s views concerning the issues to be resolved and the legal basis for </w:t>
      </w:r>
      <w:r w:rsidR="00B102B2">
        <w:t>such views</w:t>
      </w:r>
      <w:r>
        <w:t xml:space="preserve">. The requesting party must also include copies of the relevant documents rather than merely referring to those documents in the request. </w:t>
      </w:r>
      <w:r>
        <w:t xml:space="preserve">The requesting party may also request a conference with </w:t>
      </w:r>
      <w:r w:rsidR="006451C6">
        <w:t>EBSA</w:t>
      </w:r>
      <w:r>
        <w:t xml:space="preserve"> </w:t>
      </w:r>
      <w:r>
        <w:t>in the event that</w:t>
      </w:r>
      <w:r>
        <w:t xml:space="preserve"> </w:t>
      </w:r>
      <w:r w:rsidR="006451C6">
        <w:t>EBSA is considering</w:t>
      </w:r>
      <w:r>
        <w:t xml:space="preserve"> issuing an adverse opinion.</w:t>
      </w:r>
    </w:p>
    <w:p w:rsidR="00514FA1" w:rsidRPr="00E951E7" w:rsidP="00C56640" w14:paraId="5F2A6E3B" w14:textId="77777777">
      <w:pPr>
        <w:widowControl/>
        <w:rPr>
          <w:b/>
        </w:rPr>
      </w:pPr>
    </w:p>
    <w:p w:rsidR="00601A67" w:rsidRPr="00E951E7" w:rsidP="00587F64" w14:paraId="79D3B26F" w14:textId="352691C7">
      <w:pPr>
        <w:pStyle w:val="Quick1"/>
        <w:widowControl/>
        <w:numPr>
          <w:ilvl w:val="0"/>
          <w:numId w:val="12"/>
        </w:numPr>
        <w:ind w:hanging="720"/>
        <w:rPr>
          <w:b/>
          <w:i w:val="0"/>
          <w:sz w:val="24"/>
        </w:rPr>
      </w:pPr>
      <w:r w:rsidRPr="00E951E7">
        <w:rPr>
          <w:b/>
          <w:i w:val="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B1364">
        <w:rPr>
          <w:b/>
          <w:i w:val="0"/>
          <w:sz w:val="24"/>
        </w:rPr>
        <w:t xml:space="preserve"> </w:t>
      </w:r>
      <w:r w:rsidRPr="00E951E7">
        <w:rPr>
          <w:b/>
          <w:i w:val="0"/>
          <w:sz w:val="24"/>
        </w:rPr>
        <w:t>Also describe any consideration for using information technology to reduce burden.</w:t>
      </w:r>
    </w:p>
    <w:p w:rsidR="00601A67" w:rsidP="00C56640" w14:paraId="4971524C" w14:textId="77777777">
      <w:pPr>
        <w:widowControl/>
      </w:pPr>
    </w:p>
    <w:p w:rsidR="00601A67" w:rsidP="00E951E7" w14:paraId="1B6EFEC2" w14:textId="3315F786">
      <w:pPr>
        <w:widowControl/>
        <w:ind w:left="720"/>
      </w:pPr>
      <w:r>
        <w:t>The Government Paperwork Elimination Act (GPEA) requires agencies to allow customers the option to submit information or transact with the government electronically, when practicable. Where feasible, and subject to resource availability and resolution of legal issues, EBSA supports and encourages the electronic submission of documents to the federal government</w:t>
      </w:r>
      <w:r w:rsidR="00514FA1">
        <w:t>, including in connection with ERISA Procedure</w:t>
      </w:r>
      <w:r w:rsidR="00592CE5">
        <w:t xml:space="preserve"> 76-1</w:t>
      </w:r>
      <w:r w:rsidR="00514FA1">
        <w:t>.</w:t>
      </w:r>
      <w:r w:rsidR="00FB1364">
        <w:t xml:space="preserve"> </w:t>
      </w:r>
      <w:r w:rsidR="00461161">
        <w:t>However, for purposes of this burden estim</w:t>
      </w:r>
      <w:r w:rsidRPr="0029659E" w:rsidR="00461161">
        <w:t xml:space="preserve">ate, the Department has assumed that the information collection provisions of ERISA Procedure </w:t>
      </w:r>
      <w:r w:rsidRPr="0029659E" w:rsidR="00592CE5">
        <w:t xml:space="preserve">76-1 </w:t>
      </w:r>
      <w:r w:rsidRPr="0029659E" w:rsidR="00461161">
        <w:t>will be satisfied through submission of written documents because the parties requesting guidance are likely to desire the additional formality of written submissions</w:t>
      </w:r>
      <w:r w:rsidRPr="0029659E" w:rsidR="00661CCE">
        <w:t xml:space="preserve"> and the necessary documents are likely to already exist in paper form and be bulky and time-consuming to convert to electronic form</w:t>
      </w:r>
      <w:r w:rsidRPr="0029659E" w:rsidR="00461161">
        <w:t>.</w:t>
      </w:r>
    </w:p>
    <w:p w:rsidR="00514FA1" w:rsidP="00C56640" w14:paraId="0C302774" w14:textId="77777777">
      <w:pPr>
        <w:widowControl/>
      </w:pPr>
    </w:p>
    <w:p w:rsidR="00601A67" w:rsidRPr="00E951E7" w:rsidP="00587F64" w14:paraId="2E6651DA" w14:textId="3E2759DF">
      <w:pPr>
        <w:pStyle w:val="Quick1"/>
        <w:widowControl/>
        <w:numPr>
          <w:ilvl w:val="0"/>
          <w:numId w:val="12"/>
        </w:numPr>
        <w:ind w:hanging="720"/>
        <w:rPr>
          <w:b/>
          <w:i w:val="0"/>
          <w:sz w:val="24"/>
        </w:rPr>
      </w:pPr>
      <w:r w:rsidRPr="00E951E7">
        <w:rPr>
          <w:b/>
          <w:i w:val="0"/>
          <w:sz w:val="24"/>
        </w:rPr>
        <w:t>Describe efforts to identify duplication.</w:t>
      </w:r>
      <w:r w:rsidR="00FB1364">
        <w:rPr>
          <w:b/>
          <w:i w:val="0"/>
          <w:sz w:val="24"/>
        </w:rPr>
        <w:t xml:space="preserve"> </w:t>
      </w:r>
      <w:r w:rsidRPr="00E951E7">
        <w:rPr>
          <w:b/>
          <w:i w:val="0"/>
          <w:sz w:val="24"/>
        </w:rPr>
        <w:t>Show specifically why any similar information already available cannot be used or modified for use for the purposes described in Item 2 above.</w:t>
      </w:r>
      <w:r w:rsidR="00FB1364">
        <w:rPr>
          <w:b/>
          <w:i w:val="0"/>
          <w:sz w:val="24"/>
        </w:rPr>
        <w:t xml:space="preserve"> </w:t>
      </w:r>
    </w:p>
    <w:p w:rsidR="00601A67" w:rsidP="00C56640" w14:paraId="265EE154" w14:textId="77777777">
      <w:pPr>
        <w:widowControl/>
      </w:pPr>
    </w:p>
    <w:p w:rsidR="00C242D5" w:rsidP="00E951E7" w14:paraId="20F711C9" w14:textId="3ECF7C15">
      <w:pPr>
        <w:widowControl/>
        <w:ind w:left="720"/>
      </w:pPr>
      <w:r>
        <w:t xml:space="preserve">The information submitted by </w:t>
      </w:r>
      <w:r w:rsidR="00B95E6E">
        <w:t xml:space="preserve">a party requesting an advisory opinion </w:t>
      </w:r>
      <w:r>
        <w:t xml:space="preserve">relates to </w:t>
      </w:r>
      <w:r>
        <w:t xml:space="preserve">and describes </w:t>
      </w:r>
      <w:r>
        <w:t xml:space="preserve">a specific set of circumstances and is not available from any </w:t>
      </w:r>
      <w:r w:rsidR="00B95E6E">
        <w:t xml:space="preserve">other </w:t>
      </w:r>
      <w:r>
        <w:t xml:space="preserve">source. </w:t>
      </w:r>
      <w:r w:rsidR="00661CCE">
        <w:t xml:space="preserve">Each </w:t>
      </w:r>
      <w:r>
        <w:t xml:space="preserve">request </w:t>
      </w:r>
      <w:r w:rsidR="00661CCE">
        <w:t>raises a unique issue requiring</w:t>
      </w:r>
      <w:r>
        <w:t xml:space="preserve"> an interpretation of </w:t>
      </w:r>
      <w:r w:rsidR="00661CCE">
        <w:t xml:space="preserve">a section or </w:t>
      </w:r>
      <w:r>
        <w:t xml:space="preserve">sections of ERISA for which the Department </w:t>
      </w:r>
      <w:r w:rsidR="00661CCE">
        <w:t>has interpretive authority</w:t>
      </w:r>
      <w:r>
        <w:t>. No similar information is collected or available from any State or Federal agencies or other sources. Th</w:t>
      </w:r>
      <w:r w:rsidR="0069734B">
        <w:t>us</w:t>
      </w:r>
      <w:r>
        <w:t>,</w:t>
      </w:r>
      <w:r w:rsidR="0069734B">
        <w:t xml:space="preserve"> </w:t>
      </w:r>
      <w:r>
        <w:t xml:space="preserve">the requirements of ERISA Procedure </w:t>
      </w:r>
      <w:r w:rsidR="00592CE5">
        <w:t>76-1</w:t>
      </w:r>
      <w:r w:rsidR="0069734B">
        <w:t xml:space="preserve"> </w:t>
      </w:r>
      <w:r>
        <w:t>are not duplicative.</w:t>
      </w:r>
      <w:r w:rsidR="003F1E0E">
        <w:t xml:space="preserve"> </w:t>
      </w:r>
    </w:p>
    <w:p w:rsidR="00601A67" w:rsidP="00C56640" w14:paraId="4171FD53" w14:textId="10CCBB09">
      <w:pPr>
        <w:widowControl/>
      </w:pPr>
      <w:r>
        <w:t xml:space="preserve"> </w:t>
      </w:r>
    </w:p>
    <w:p w:rsidR="00601A67" w:rsidRPr="00E951E7" w:rsidP="00E951E7" w14:paraId="4D10208F" w14:textId="77777777">
      <w:pPr>
        <w:pStyle w:val="Quick1"/>
        <w:widowControl/>
        <w:numPr>
          <w:ilvl w:val="0"/>
          <w:numId w:val="2"/>
        </w:numPr>
        <w:tabs>
          <w:tab w:val="left" w:pos="-1440"/>
          <w:tab w:val="num" w:pos="720"/>
        </w:tabs>
        <w:ind w:left="720" w:hanging="720"/>
        <w:rPr>
          <w:b/>
          <w:i w:val="0"/>
          <w:sz w:val="24"/>
        </w:rPr>
      </w:pPr>
      <w:r w:rsidRPr="00E951E7">
        <w:rPr>
          <w:b/>
          <w:i w:val="0"/>
          <w:sz w:val="24"/>
        </w:rPr>
        <w:t>If the collection of information impacts small businesses or other small entities describe any methods used to minimize burden.</w:t>
      </w:r>
    </w:p>
    <w:p w:rsidR="00601A67" w:rsidP="00C56640" w14:paraId="7EBDEBC2" w14:textId="77777777">
      <w:pPr>
        <w:widowControl/>
        <w:ind w:firstLine="720"/>
      </w:pPr>
    </w:p>
    <w:p w:rsidR="00601A67" w:rsidP="00E951E7" w14:paraId="570A5B33" w14:textId="637D21AA">
      <w:pPr>
        <w:widowControl/>
        <w:ind w:left="720"/>
      </w:pPr>
      <w:r>
        <w:t xml:space="preserve">The information collection requirements </w:t>
      </w:r>
      <w:r w:rsidR="002B1FF5">
        <w:t xml:space="preserve">under ERISA </w:t>
      </w:r>
      <w:r w:rsidR="00514FA1">
        <w:t>P</w:t>
      </w:r>
      <w:r w:rsidR="002B1FF5">
        <w:t xml:space="preserve">rocedure </w:t>
      </w:r>
      <w:r w:rsidR="00592CE5">
        <w:t xml:space="preserve">76-1 </w:t>
      </w:r>
      <w:r>
        <w:t>are the same for large and small plans</w:t>
      </w:r>
      <w:r w:rsidR="00D8560E">
        <w:t xml:space="preserve"> and businesses</w:t>
      </w:r>
      <w:r>
        <w:t xml:space="preserve">. </w:t>
      </w:r>
      <w:r w:rsidR="002B1FF5">
        <w:t xml:space="preserve">Since </w:t>
      </w:r>
      <w:r w:rsidR="00661CCE">
        <w:t xml:space="preserve">the information collection is triggered only by </w:t>
      </w:r>
      <w:r w:rsidR="00514FA1">
        <w:t>a</w:t>
      </w:r>
      <w:r w:rsidR="005F46A2">
        <w:t>n optional</w:t>
      </w:r>
      <w:r w:rsidR="00514FA1">
        <w:t xml:space="preserve"> request for interpretation from the public</w:t>
      </w:r>
      <w:r w:rsidR="006405C2">
        <w:t xml:space="preserve">, and the Department’s need for </w:t>
      </w:r>
      <w:r w:rsidR="002B1FF5">
        <w:t xml:space="preserve">the </w:t>
      </w:r>
      <w:r w:rsidR="006405C2">
        <w:t xml:space="preserve">information </w:t>
      </w:r>
      <w:r w:rsidR="00514FA1">
        <w:t>does</w:t>
      </w:r>
      <w:r w:rsidR="006405C2">
        <w:t xml:space="preserve"> not differ based upon the size of the requesting </w:t>
      </w:r>
      <w:r w:rsidR="00D8560E">
        <w:t>plan or business</w:t>
      </w:r>
      <w:r w:rsidR="002B1FF5">
        <w:t>,</w:t>
      </w:r>
      <w:r w:rsidR="00514FA1">
        <w:t xml:space="preserve"> </w:t>
      </w:r>
      <w:r w:rsidR="002B1FF5">
        <w:t>i</w:t>
      </w:r>
      <w:r>
        <w:t>t is</w:t>
      </w:r>
      <w:r w:rsidR="002B1FF5">
        <w:t xml:space="preserve"> </w:t>
      </w:r>
      <w:r>
        <w:t xml:space="preserve">not possible to </w:t>
      </w:r>
      <w:r w:rsidR="006405C2">
        <w:t xml:space="preserve">establish </w:t>
      </w:r>
      <w:r>
        <w:t xml:space="preserve">different information </w:t>
      </w:r>
      <w:r w:rsidR="00B95E6E">
        <w:t xml:space="preserve">collection </w:t>
      </w:r>
      <w:r w:rsidR="006405C2">
        <w:t>requirements</w:t>
      </w:r>
      <w:r>
        <w:t xml:space="preserve"> based on plan </w:t>
      </w:r>
      <w:r w:rsidR="006405C2">
        <w:t xml:space="preserve">or business </w:t>
      </w:r>
      <w:r>
        <w:t>size.</w:t>
      </w:r>
      <w:r w:rsidR="00E73BCE">
        <w:t xml:space="preserve"> </w:t>
      </w:r>
      <w:r>
        <w:t xml:space="preserve">The </w:t>
      </w:r>
      <w:r w:rsidR="00514FA1">
        <w:t xml:space="preserve">Department’s need for </w:t>
      </w:r>
      <w:r w:rsidR="00D8560E">
        <w:t xml:space="preserve">information to answer </w:t>
      </w:r>
      <w:r w:rsidR="00325F94">
        <w:t xml:space="preserve">a </w:t>
      </w:r>
      <w:r w:rsidR="00D8560E">
        <w:t xml:space="preserve">request will differ based upon </w:t>
      </w:r>
      <w:r w:rsidR="006405C2">
        <w:t xml:space="preserve">the relative </w:t>
      </w:r>
      <w:r>
        <w:t xml:space="preserve">complexity or novelty of the </w:t>
      </w:r>
      <w:r w:rsidR="006405C2">
        <w:t>interpretive</w:t>
      </w:r>
      <w:r>
        <w:t xml:space="preserve"> issue(s)</w:t>
      </w:r>
      <w:r w:rsidR="006405C2">
        <w:t xml:space="preserve"> presented by the request</w:t>
      </w:r>
      <w:r w:rsidR="00514FA1">
        <w:t>e</w:t>
      </w:r>
      <w:r w:rsidR="006405C2">
        <w:t>r</w:t>
      </w:r>
      <w:r w:rsidR="00D8560E">
        <w:t xml:space="preserve"> and not upon plan or business size</w:t>
      </w:r>
      <w:r w:rsidR="006405C2">
        <w:t>.</w:t>
      </w:r>
      <w:r w:rsidR="00FB1364">
        <w:t xml:space="preserve"> </w:t>
      </w:r>
    </w:p>
    <w:p w:rsidR="00601A67" w:rsidP="00C56640" w14:paraId="435998C1" w14:textId="77777777">
      <w:pPr>
        <w:widowControl/>
      </w:pPr>
    </w:p>
    <w:p w:rsidR="00587F64" w:rsidP="00587F64" w14:paraId="5F460D29" w14:textId="77777777">
      <w:pPr>
        <w:pStyle w:val="Quick1"/>
        <w:widowControl/>
        <w:numPr>
          <w:ilvl w:val="0"/>
          <w:numId w:val="21"/>
        </w:numPr>
        <w:rPr>
          <w:b/>
          <w:i w:val="0"/>
          <w:sz w:val="24"/>
        </w:rPr>
      </w:pPr>
      <w:r w:rsidRPr="00587F64">
        <w:rPr>
          <w:b/>
          <w:i w:val="0"/>
          <w:sz w:val="24"/>
        </w:rPr>
        <w:t xml:space="preserve">Describe the consequence to Federal program or policy activities if the collection is </w:t>
      </w:r>
    </w:p>
    <w:p w:rsidR="00601A67" w:rsidRPr="00587F64" w:rsidP="00587F64" w14:paraId="1D73D110" w14:textId="77777777">
      <w:pPr>
        <w:pStyle w:val="Quick1"/>
        <w:widowControl/>
        <w:numPr>
          <w:ilvl w:val="0"/>
          <w:numId w:val="0"/>
        </w:numPr>
        <w:ind w:left="720"/>
        <w:rPr>
          <w:b/>
          <w:i w:val="0"/>
          <w:sz w:val="24"/>
        </w:rPr>
      </w:pPr>
      <w:r w:rsidRPr="00587F64">
        <w:rPr>
          <w:b/>
          <w:i w:val="0"/>
          <w:sz w:val="24"/>
        </w:rPr>
        <w:t>not conducted or is conducted less frequently, as well as any technical or legal obstacles to reducing burden.</w:t>
      </w:r>
    </w:p>
    <w:p w:rsidR="00601A67" w:rsidP="00C56640" w14:paraId="7F280D41" w14:textId="77777777">
      <w:pPr>
        <w:widowControl/>
      </w:pPr>
    </w:p>
    <w:p w:rsidR="00601A67" w:rsidP="001500FC" w14:paraId="3E916A87" w14:textId="4A44FDFB">
      <w:pPr>
        <w:widowControl/>
        <w:ind w:left="720"/>
      </w:pPr>
      <w:r>
        <w:t xml:space="preserve">The information collection requirements of ERISA Procedure </w:t>
      </w:r>
      <w:r w:rsidR="00592CE5">
        <w:t xml:space="preserve">76-1 only </w:t>
      </w:r>
      <w:r>
        <w:t xml:space="preserve">are </w:t>
      </w:r>
      <w:r w:rsidR="00154841">
        <w:t>required</w:t>
      </w:r>
      <w:r>
        <w:t xml:space="preserve"> if a requesting party wishes to receive an advisory opinion. The </w:t>
      </w:r>
      <w:r w:rsidR="006405C2">
        <w:t xml:space="preserve">determination whether to seek an advisory opinion is </w:t>
      </w:r>
      <w:r w:rsidR="00154841">
        <w:t>optional</w:t>
      </w:r>
      <w:r w:rsidR="006405C2">
        <w:t xml:space="preserve"> on the part of the requesting party. Therefore, the </w:t>
      </w:r>
      <w:r>
        <w:t xml:space="preserve">frequency </w:t>
      </w:r>
      <w:r w:rsidR="006405C2">
        <w:t xml:space="preserve">of collection </w:t>
      </w:r>
      <w:r>
        <w:t xml:space="preserve">is dependent on the </w:t>
      </w:r>
      <w:r w:rsidR="006405C2">
        <w:t xml:space="preserve">initiation of a </w:t>
      </w:r>
      <w:r>
        <w:t xml:space="preserve">request, not on a predetermined </w:t>
      </w:r>
      <w:r>
        <w:t>time period</w:t>
      </w:r>
      <w:r>
        <w:t>.</w:t>
      </w:r>
      <w:r w:rsidR="002B1FF5">
        <w:t xml:space="preserve"> There is no reporting to the Federal government under this procedure.</w:t>
      </w:r>
      <w:r w:rsidR="00FB1364">
        <w:t xml:space="preserve"> </w:t>
      </w:r>
      <w:r w:rsidR="002B1FF5">
        <w:t xml:space="preserve">Failure to impose the information collection requirements contained in ERISA procedure </w:t>
      </w:r>
      <w:r w:rsidR="00592CE5">
        <w:t xml:space="preserve">76-1 </w:t>
      </w:r>
      <w:r w:rsidR="002B1FF5">
        <w:t xml:space="preserve">would mean that </w:t>
      </w:r>
      <w:r w:rsidR="006451C6">
        <w:t>EBSA</w:t>
      </w:r>
      <w:r w:rsidR="002B1FF5">
        <w:t xml:space="preserve"> would be unable to respond to advisory opinion requests in many cases because it would not be provided with enough information to allow it to do so.</w:t>
      </w:r>
    </w:p>
    <w:p w:rsidR="00601A67" w:rsidP="00C56640" w14:paraId="6BB096E1" w14:textId="77777777">
      <w:pPr>
        <w:widowControl/>
      </w:pPr>
    </w:p>
    <w:p w:rsidR="00587F64" w:rsidP="00587F64" w14:paraId="70992DC5" w14:textId="77777777">
      <w:pPr>
        <w:pStyle w:val="Quick1"/>
        <w:widowControl/>
        <w:numPr>
          <w:ilvl w:val="0"/>
          <w:numId w:val="22"/>
        </w:numPr>
        <w:tabs>
          <w:tab w:val="left" w:pos="-1440"/>
        </w:tabs>
        <w:rPr>
          <w:b/>
          <w:i w:val="0"/>
          <w:sz w:val="24"/>
        </w:rPr>
      </w:pPr>
      <w:r w:rsidRPr="00587F64">
        <w:rPr>
          <w:b/>
          <w:i w:val="0"/>
          <w:sz w:val="24"/>
        </w:rPr>
        <w:t xml:space="preserve">Explain any special circumstances that would cause an information collection to be </w:t>
      </w:r>
    </w:p>
    <w:p w:rsidR="00601A67" w:rsidRPr="00363F70" w:rsidP="00363F70" w14:paraId="5ACC7DD4" w14:textId="6ECC95B7">
      <w:pPr>
        <w:pStyle w:val="Quick1"/>
        <w:widowControl/>
        <w:numPr>
          <w:ilvl w:val="0"/>
          <w:numId w:val="0"/>
        </w:numPr>
        <w:tabs>
          <w:tab w:val="left" w:pos="-1440"/>
        </w:tabs>
        <w:rPr>
          <w:b/>
          <w:i w:val="0"/>
          <w:sz w:val="24"/>
        </w:rPr>
      </w:pPr>
      <w:r>
        <w:rPr>
          <w:b/>
          <w:i w:val="0"/>
          <w:sz w:val="24"/>
        </w:rPr>
        <w:tab/>
      </w:r>
      <w:r w:rsidRPr="00587F64">
        <w:rPr>
          <w:b/>
          <w:i w:val="0"/>
          <w:sz w:val="24"/>
        </w:rPr>
        <w:t>conducted in a manner:</w:t>
      </w:r>
    </w:p>
    <w:p w:rsidR="00601A67" w:rsidRPr="001500FC" w:rsidP="00363F70" w14:paraId="2320A688" w14:textId="076D2EF7">
      <w:pPr>
        <w:widowControl/>
        <w:tabs>
          <w:tab w:val="left" w:pos="-1440"/>
        </w:tabs>
        <w:ind w:left="1440" w:hanging="360"/>
        <w:contextualSpacing/>
        <w:rPr>
          <w:b/>
        </w:rPr>
      </w:pPr>
      <w:r w:rsidRPr="001500FC">
        <w:rPr>
          <w:b/>
        </w:rPr>
        <w:t>•</w:t>
      </w:r>
      <w:r w:rsidRPr="001500FC">
        <w:rPr>
          <w:b/>
        </w:rPr>
        <w:tab/>
        <w:t xml:space="preserve">requiring respondents to report information to the agency more often than </w:t>
      </w:r>
      <w:r w:rsidRPr="001500FC">
        <w:rPr>
          <w:b/>
        </w:rPr>
        <w:t>quarterly;</w:t>
      </w:r>
    </w:p>
    <w:p w:rsidR="00601A67" w:rsidRPr="001500FC" w:rsidP="00363F70" w14:paraId="686C88FF" w14:textId="02AF6964">
      <w:pPr>
        <w:widowControl/>
        <w:tabs>
          <w:tab w:val="left" w:pos="-1440"/>
        </w:tabs>
        <w:ind w:left="1440" w:hanging="360"/>
        <w:contextualSpacing/>
        <w:rPr>
          <w:b/>
        </w:rPr>
      </w:pPr>
      <w:r w:rsidRPr="001500FC">
        <w:rPr>
          <w:b/>
        </w:rPr>
        <w:t>•</w:t>
      </w:r>
      <w:r w:rsidRPr="001500FC">
        <w:rPr>
          <w:b/>
        </w:rPr>
        <w:tab/>
        <w:t xml:space="preserve">requiring respondents to prepare a written response to a collection of information in fewer than 30 days after receipt of </w:t>
      </w:r>
      <w:r w:rsidRPr="001500FC">
        <w:rPr>
          <w:b/>
        </w:rPr>
        <w:t>it;</w:t>
      </w:r>
    </w:p>
    <w:p w:rsidR="00601A67" w:rsidRPr="001500FC" w:rsidP="00363F70" w14:paraId="28A49B3C" w14:textId="1E6AC286">
      <w:pPr>
        <w:widowControl/>
        <w:tabs>
          <w:tab w:val="left" w:pos="-1440"/>
        </w:tabs>
        <w:ind w:left="1440" w:hanging="360"/>
        <w:contextualSpacing/>
        <w:rPr>
          <w:b/>
        </w:rPr>
      </w:pPr>
      <w:r w:rsidRPr="001500FC">
        <w:rPr>
          <w:b/>
        </w:rPr>
        <w:t>•</w:t>
      </w:r>
      <w:r w:rsidRPr="001500FC">
        <w:rPr>
          <w:b/>
        </w:rPr>
        <w:tab/>
        <w:t xml:space="preserve">requiring respondents to submit more than an original and two copies of any </w:t>
      </w:r>
      <w:r w:rsidRPr="001500FC">
        <w:rPr>
          <w:b/>
        </w:rPr>
        <w:t>document;</w:t>
      </w:r>
    </w:p>
    <w:p w:rsidR="00601A67" w:rsidRPr="001500FC" w:rsidP="00363F70" w14:paraId="3F6409AC" w14:textId="00B55412">
      <w:pPr>
        <w:widowControl/>
        <w:tabs>
          <w:tab w:val="left" w:pos="-1440"/>
        </w:tabs>
        <w:ind w:left="1440" w:hanging="360"/>
        <w:contextualSpacing/>
        <w:rPr>
          <w:b/>
        </w:rPr>
      </w:pPr>
      <w:r w:rsidRPr="001500FC">
        <w:rPr>
          <w:b/>
        </w:rPr>
        <w:t>•</w:t>
      </w:r>
      <w:r w:rsidRPr="001500FC">
        <w:rPr>
          <w:b/>
        </w:rPr>
        <w:tab/>
        <w:t xml:space="preserve">requiring respondents to retain records, other than health, medical, government contract, grant-in-aid, or tax records for more than three </w:t>
      </w:r>
      <w:r w:rsidRPr="001500FC">
        <w:rPr>
          <w:b/>
        </w:rPr>
        <w:t>years;</w:t>
      </w:r>
    </w:p>
    <w:p w:rsidR="00601A67" w:rsidRPr="001500FC" w:rsidP="00470F13" w14:paraId="080F157D" w14:textId="47F11915">
      <w:pPr>
        <w:widowControl/>
        <w:tabs>
          <w:tab w:val="left" w:pos="-1440"/>
        </w:tabs>
        <w:ind w:left="1440" w:hanging="360"/>
        <w:contextualSpacing/>
        <w:rPr>
          <w:b/>
        </w:rPr>
      </w:pPr>
      <w:r w:rsidRPr="001500FC">
        <w:rPr>
          <w:b/>
        </w:rPr>
        <w:t>•</w:t>
      </w:r>
      <w:r w:rsidRPr="001500FC">
        <w:rPr>
          <w:b/>
        </w:rPr>
        <w:tab/>
        <w:t xml:space="preserve">in connection with a statistical survey, that is not designed to produce valid and reliable results that can be generalized to the universe of </w:t>
      </w:r>
      <w:r w:rsidRPr="001500FC">
        <w:rPr>
          <w:b/>
        </w:rPr>
        <w:t>study;</w:t>
      </w:r>
    </w:p>
    <w:p w:rsidR="006405C2" w:rsidRPr="001500FC" w:rsidP="00363F70" w14:paraId="4004579F" w14:textId="4766E24C">
      <w:pPr>
        <w:widowControl/>
        <w:tabs>
          <w:tab w:val="left" w:pos="-1440"/>
        </w:tabs>
        <w:ind w:left="1440" w:hanging="360"/>
        <w:contextualSpacing/>
        <w:rPr>
          <w:b/>
        </w:rPr>
      </w:pPr>
      <w:r w:rsidRPr="001500FC">
        <w:rPr>
          <w:b/>
        </w:rPr>
        <w:t>•</w:t>
      </w:r>
      <w:r w:rsidRPr="001500FC">
        <w:rPr>
          <w:b/>
        </w:rPr>
        <w:tab/>
        <w:t xml:space="preserve">requiring the use of a statistical data classification that has not been reviewed and approved by </w:t>
      </w:r>
      <w:r w:rsidRPr="001500FC">
        <w:rPr>
          <w:b/>
        </w:rPr>
        <w:t>OMB;</w:t>
      </w:r>
    </w:p>
    <w:p w:rsidR="00601A67" w:rsidRPr="001500FC" w:rsidP="00363F70" w14:paraId="49E4CC53" w14:textId="51045A72">
      <w:pPr>
        <w:widowControl/>
        <w:tabs>
          <w:tab w:val="left" w:pos="-1440"/>
        </w:tabs>
        <w:ind w:left="1440" w:hanging="360"/>
        <w:contextualSpacing/>
        <w:rPr>
          <w:b/>
        </w:rPr>
      </w:pPr>
      <w:r w:rsidRPr="001500FC">
        <w:rPr>
          <w:b/>
        </w:rPr>
        <w:t>•</w:t>
      </w:r>
      <w:r w:rsidRPr="001500FC">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01A67" w:rsidRPr="001500FC" w:rsidP="00363F70" w14:paraId="697F62B2" w14:textId="77777777">
      <w:pPr>
        <w:widowControl/>
        <w:tabs>
          <w:tab w:val="left" w:pos="-1440"/>
        </w:tabs>
        <w:ind w:left="1440" w:hanging="360"/>
        <w:contextualSpacing/>
        <w:rPr>
          <w:b/>
        </w:rPr>
      </w:pPr>
      <w:r w:rsidRPr="001500FC">
        <w:rPr>
          <w:b/>
        </w:rPr>
        <w:t>•</w:t>
      </w:r>
      <w:r w:rsidRPr="001500FC">
        <w:rPr>
          <w:b/>
        </w:rPr>
        <w:tab/>
        <w:t>requiring respondents to submit proprietary trade secret, or other confidential information unless the agency can demonstrate that it has instituted procedures to protect the information's confidentiality to the extent permitted by law.</w:t>
      </w:r>
    </w:p>
    <w:p w:rsidR="00601A67" w:rsidRPr="00514FA1" w:rsidP="00C56640" w14:paraId="56FA2419" w14:textId="77777777">
      <w:pPr>
        <w:widowControl/>
        <w:rPr>
          <w:i/>
          <w:sz w:val="20"/>
          <w:szCs w:val="20"/>
        </w:rPr>
      </w:pPr>
    </w:p>
    <w:p w:rsidR="00601A67" w:rsidRPr="00D63C3D" w:rsidP="001500FC" w14:paraId="5547C054" w14:textId="77777777">
      <w:pPr>
        <w:widowControl/>
        <w:ind w:left="720"/>
      </w:pPr>
      <w:r w:rsidRPr="00D63C3D">
        <w:t xml:space="preserve">There are no special circumstances that </w:t>
      </w:r>
      <w:r w:rsidR="00DA24F5">
        <w:t xml:space="preserve">would </w:t>
      </w:r>
      <w:r w:rsidRPr="00D63C3D">
        <w:t xml:space="preserve">require the collection to be conducted in a manner </w:t>
      </w:r>
      <w:r w:rsidR="00DA24F5">
        <w:t xml:space="preserve">described </w:t>
      </w:r>
      <w:r w:rsidRPr="00D63C3D">
        <w:t>above.</w:t>
      </w:r>
    </w:p>
    <w:p w:rsidR="00601A67" w:rsidRPr="001500FC" w:rsidP="00C56640" w14:paraId="3CAA29E9" w14:textId="77777777">
      <w:pPr>
        <w:widowControl/>
        <w:rPr>
          <w:b/>
        </w:rPr>
      </w:pPr>
    </w:p>
    <w:p w:rsidR="001500FC" w:rsidRPr="001500FC" w:rsidP="001500FC" w14:paraId="6716AFDA" w14:textId="7C59B3D7">
      <w:pPr>
        <w:pStyle w:val="Quick1"/>
        <w:widowControl/>
        <w:numPr>
          <w:ilvl w:val="0"/>
          <w:numId w:val="0"/>
        </w:numPr>
        <w:ind w:left="720" w:hanging="720"/>
        <w:rPr>
          <w:b/>
          <w:i w:val="0"/>
          <w:sz w:val="24"/>
        </w:rPr>
      </w:pPr>
      <w:r w:rsidRPr="001500FC">
        <w:rPr>
          <w:b/>
          <w:i w:val="0"/>
          <w:sz w:val="24"/>
        </w:rPr>
        <w:t>8.</w:t>
      </w:r>
      <w:r w:rsidRPr="001500FC">
        <w:rPr>
          <w:b/>
          <w:i w:val="0"/>
          <w:sz w:val="24"/>
        </w:rPr>
        <w:tab/>
        <w:t>If applicable, provide a copy and identify the date and pa</w:t>
      </w:r>
      <w:r w:rsidRPr="001500FC">
        <w:rPr>
          <w:b/>
          <w:i w:val="0"/>
          <w:sz w:val="24"/>
        </w:rPr>
        <w:t xml:space="preserve">ge number of </w:t>
      </w:r>
      <w:r w:rsidRPr="001500FC">
        <w:rPr>
          <w:b/>
          <w:i w:val="0"/>
          <w:sz w:val="24"/>
        </w:rPr>
        <w:t>publication</w:t>
      </w:r>
      <w:r w:rsidRPr="001500FC">
        <w:rPr>
          <w:b/>
          <w:i w:val="0"/>
          <w:sz w:val="24"/>
        </w:rPr>
        <w:t xml:space="preserve"> in the </w:t>
      </w:r>
      <w:r w:rsidRPr="001500FC">
        <w:rPr>
          <w:b/>
          <w:i w:val="0"/>
          <w:sz w:val="24"/>
        </w:rPr>
        <w:t>Federal Register of the agency's notice, required by 5 CFR 1320.8(d), soliciting comments on the information collection prior to submission to OMB.</w:t>
      </w:r>
      <w:r w:rsidR="00FB1364">
        <w:rPr>
          <w:b/>
          <w:i w:val="0"/>
          <w:sz w:val="24"/>
        </w:rPr>
        <w:t xml:space="preserve"> </w:t>
      </w:r>
      <w:r w:rsidRPr="001500FC">
        <w:rPr>
          <w:b/>
          <w:i w:val="0"/>
          <w:sz w:val="24"/>
        </w:rPr>
        <w:t>Summarize public comments received in response to that notice and describe actions taken by the agency in response to these comments. Specifically address comments received on cost and hour burden.</w:t>
      </w:r>
    </w:p>
    <w:p w:rsidR="001500FC" w:rsidRPr="001500FC" w:rsidP="001500FC" w14:paraId="6C6520B9" w14:textId="77777777">
      <w:pPr>
        <w:pStyle w:val="Quick1"/>
        <w:widowControl/>
        <w:numPr>
          <w:ilvl w:val="0"/>
          <w:numId w:val="0"/>
        </w:numPr>
        <w:ind w:left="720"/>
        <w:rPr>
          <w:b/>
          <w:i w:val="0"/>
          <w:sz w:val="24"/>
        </w:rPr>
      </w:pPr>
    </w:p>
    <w:p w:rsidR="001500FC" w:rsidRPr="001500FC" w:rsidP="001500FC" w14:paraId="7EA553F0" w14:textId="77777777">
      <w:pPr>
        <w:pStyle w:val="Quick1"/>
        <w:widowControl/>
        <w:numPr>
          <w:ilvl w:val="0"/>
          <w:numId w:val="0"/>
        </w:numPr>
        <w:ind w:left="720"/>
        <w:rPr>
          <w:b/>
          <w:i w:val="0"/>
          <w:iCs/>
          <w:sz w:val="24"/>
        </w:rPr>
      </w:pPr>
      <w:r w:rsidRPr="001500FC">
        <w:rPr>
          <w:b/>
          <w:i w:val="0"/>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500FC" w:rsidRPr="001500FC" w:rsidP="001500FC" w14:paraId="27920C69" w14:textId="77777777">
      <w:pPr>
        <w:pStyle w:val="Quick1"/>
        <w:widowControl/>
        <w:numPr>
          <w:ilvl w:val="0"/>
          <w:numId w:val="0"/>
        </w:numPr>
        <w:ind w:left="720"/>
        <w:rPr>
          <w:b/>
          <w:i w:val="0"/>
          <w:iCs/>
          <w:sz w:val="24"/>
        </w:rPr>
      </w:pPr>
    </w:p>
    <w:p w:rsidR="00601A67" w:rsidRPr="001500FC" w:rsidP="001500FC" w14:paraId="28F2D31D" w14:textId="27DD910D">
      <w:pPr>
        <w:pStyle w:val="Quick1"/>
        <w:widowControl/>
        <w:numPr>
          <w:ilvl w:val="0"/>
          <w:numId w:val="0"/>
        </w:numPr>
        <w:ind w:left="720"/>
        <w:rPr>
          <w:b/>
          <w:i w:val="0"/>
          <w:sz w:val="24"/>
        </w:rPr>
      </w:pPr>
      <w:r w:rsidRPr="001500FC">
        <w:rPr>
          <w:b/>
          <w:i w:val="0"/>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1A67" w:rsidP="00C56640" w14:paraId="0699D781" w14:textId="77777777">
      <w:pPr>
        <w:widowControl/>
      </w:pPr>
    </w:p>
    <w:p w:rsidR="001500FC" w:rsidP="00616F50" w14:paraId="63DBC1FB" w14:textId="4C221D67">
      <w:pPr>
        <w:widowControl/>
        <w:ind w:left="720"/>
      </w:pPr>
      <w:r>
        <w:t xml:space="preserve">The </w:t>
      </w:r>
      <w:r w:rsidR="00601A67">
        <w:t xml:space="preserve">Department’s </w:t>
      </w:r>
      <w:r>
        <w:t xml:space="preserve">Federal Register </w:t>
      </w:r>
      <w:r w:rsidR="00601A67">
        <w:t>notice</w:t>
      </w:r>
      <w:r w:rsidR="006405C2">
        <w:t xml:space="preserve"> required by 5 CFR 1320.8(d)</w:t>
      </w:r>
      <w:r w:rsidR="00601A67">
        <w:t xml:space="preserve"> soliciting comments on the information collection</w:t>
      </w:r>
      <w:r>
        <w:t xml:space="preserve"> was pub</w:t>
      </w:r>
      <w:r w:rsidR="00601A67">
        <w:t xml:space="preserve">lished </w:t>
      </w:r>
      <w:r w:rsidR="00DA24F5">
        <w:t xml:space="preserve">on </w:t>
      </w:r>
      <w:r w:rsidR="003F1E0E">
        <w:t>February 5</w:t>
      </w:r>
      <w:r w:rsidR="00841153">
        <w:t xml:space="preserve">, </w:t>
      </w:r>
      <w:r w:rsidR="002D0DE1">
        <w:t>202</w:t>
      </w:r>
      <w:r w:rsidR="001D488D">
        <w:t>4</w:t>
      </w:r>
      <w:r w:rsidR="00841153">
        <w:t xml:space="preserve"> at </w:t>
      </w:r>
      <w:r w:rsidR="003F1E0E">
        <w:t>89</w:t>
      </w:r>
      <w:r w:rsidR="002D0DE1">
        <w:t xml:space="preserve"> </w:t>
      </w:r>
      <w:r>
        <w:t>FR</w:t>
      </w:r>
      <w:r w:rsidR="00616F50">
        <w:t xml:space="preserve"> </w:t>
      </w:r>
      <w:r w:rsidR="003F1E0E">
        <w:t>7732</w:t>
      </w:r>
      <w:r w:rsidR="00601A67">
        <w:t>. No comments were received.</w:t>
      </w:r>
      <w:r w:rsidR="00FB1364">
        <w:t xml:space="preserve"> </w:t>
      </w:r>
    </w:p>
    <w:p w:rsidR="001500FC" w:rsidP="001500FC" w14:paraId="00ADA569" w14:textId="77777777">
      <w:pPr>
        <w:widowControl/>
        <w:ind w:left="720"/>
      </w:pPr>
    </w:p>
    <w:p w:rsidR="00601A67" w:rsidP="001500FC" w14:paraId="20AF5DDA" w14:textId="0D9EF6A7">
      <w:pPr>
        <w:widowControl/>
        <w:ind w:left="720"/>
      </w:pPr>
      <w:r>
        <w:t xml:space="preserve">In the process of considering a request for an advisory opinion, the Department </w:t>
      </w:r>
      <w:r w:rsidR="006405C2">
        <w:t>often needs to contact</w:t>
      </w:r>
      <w:r w:rsidR="002B1FF5">
        <w:t xml:space="preserve"> or consult with</w:t>
      </w:r>
      <w:r>
        <w:t xml:space="preserve"> the applicant or </w:t>
      </w:r>
      <w:r w:rsidR="00D63C3D">
        <w:t>a representative of the applicant</w:t>
      </w:r>
      <w:r>
        <w:t xml:space="preserve"> to request additional information</w:t>
      </w:r>
      <w:r w:rsidR="002B1FF5">
        <w:t xml:space="preserve"> or clarification</w:t>
      </w:r>
      <w:r w:rsidR="00140082">
        <w:t xml:space="preserve">. </w:t>
      </w:r>
      <w:r>
        <w:t xml:space="preserve">Due to </w:t>
      </w:r>
      <w:r w:rsidR="006405C2">
        <w:t xml:space="preserve">its </w:t>
      </w:r>
      <w:r w:rsidR="00D61E98">
        <w:t>need to communicate individually</w:t>
      </w:r>
      <w:r w:rsidR="006405C2">
        <w:t xml:space="preserve"> with </w:t>
      </w:r>
      <w:r w:rsidR="00D61E98">
        <w:t>requesters</w:t>
      </w:r>
      <w:r w:rsidR="006405C2">
        <w:t xml:space="preserve"> under</w:t>
      </w:r>
      <w:r>
        <w:t xml:space="preserve"> the </w:t>
      </w:r>
      <w:r w:rsidR="00D61E98">
        <w:t>ERISA P</w:t>
      </w:r>
      <w:r>
        <w:t xml:space="preserve">rocedure, </w:t>
      </w:r>
      <w:r w:rsidR="006451C6">
        <w:t>EBSA</w:t>
      </w:r>
      <w:r w:rsidR="006405C2">
        <w:t xml:space="preserve"> is</w:t>
      </w:r>
      <w:r>
        <w:t xml:space="preserve"> </w:t>
      </w:r>
      <w:r w:rsidR="006405C2">
        <w:t xml:space="preserve">usually </w:t>
      </w:r>
      <w:r w:rsidR="00D61E98">
        <w:t xml:space="preserve">aware of </w:t>
      </w:r>
      <w:r w:rsidR="006405C2">
        <w:t>request</w:t>
      </w:r>
      <w:r w:rsidR="00D61E98">
        <w:t>e</w:t>
      </w:r>
      <w:r w:rsidR="006405C2">
        <w:t>rs</w:t>
      </w:r>
      <w:r w:rsidR="002B1FF5">
        <w:t>’</w:t>
      </w:r>
      <w:r>
        <w:t xml:space="preserve"> views regarding the information supplied to </w:t>
      </w:r>
      <w:r w:rsidR="006451C6">
        <w:t>EBSA</w:t>
      </w:r>
      <w:r>
        <w:t>.</w:t>
      </w:r>
      <w:r w:rsidR="000F1EE8">
        <w:t xml:space="preserve"> </w:t>
      </w:r>
      <w:r>
        <w:t xml:space="preserve">Generally, applicants understand that </w:t>
      </w:r>
      <w:r w:rsidR="006451C6">
        <w:t>EBSA</w:t>
      </w:r>
      <w:r w:rsidR="00D63C3D">
        <w:t xml:space="preserve"> will not provide any interpretation </w:t>
      </w:r>
      <w:r>
        <w:t xml:space="preserve">without </w:t>
      </w:r>
      <w:r w:rsidR="00D63C3D">
        <w:t xml:space="preserve">receiving </w:t>
      </w:r>
      <w:r w:rsidR="00D959BF">
        <w:t xml:space="preserve">sufficient </w:t>
      </w:r>
      <w:r>
        <w:t>information</w:t>
      </w:r>
      <w:r w:rsidR="00DA24F5">
        <w:t xml:space="preserve"> to </w:t>
      </w:r>
      <w:r w:rsidR="00D959BF">
        <w:t>allow it to do so</w:t>
      </w:r>
      <w:r>
        <w:t>.</w:t>
      </w:r>
    </w:p>
    <w:p w:rsidR="00601A67" w:rsidP="00C56640" w14:paraId="02B02A39" w14:textId="77777777">
      <w:pPr>
        <w:widowControl/>
      </w:pPr>
    </w:p>
    <w:p w:rsidR="001500FC" w:rsidP="001500FC" w14:paraId="3B508A43" w14:textId="77777777">
      <w:pPr>
        <w:pStyle w:val="Quick1"/>
        <w:widowControl/>
        <w:numPr>
          <w:ilvl w:val="0"/>
          <w:numId w:val="4"/>
        </w:numPr>
        <w:tabs>
          <w:tab w:val="left" w:pos="-1440"/>
          <w:tab w:val="num" w:pos="720"/>
        </w:tabs>
        <w:rPr>
          <w:b/>
          <w:i w:val="0"/>
          <w:sz w:val="24"/>
        </w:rPr>
      </w:pPr>
      <w:r w:rsidRPr="001500FC">
        <w:rPr>
          <w:b/>
          <w:i w:val="0"/>
          <w:sz w:val="24"/>
        </w:rPr>
        <w:t>Explain any decision to provide any payment or gift to respondents, other t</w:t>
      </w:r>
      <w:r>
        <w:rPr>
          <w:b/>
          <w:i w:val="0"/>
          <w:sz w:val="24"/>
        </w:rPr>
        <w:t>han</w:t>
      </w:r>
    </w:p>
    <w:p w:rsidR="00601A67" w:rsidP="001500FC" w14:paraId="1BD4FB5B" w14:textId="16C748D9">
      <w:pPr>
        <w:pStyle w:val="Quick1"/>
        <w:widowControl/>
        <w:numPr>
          <w:ilvl w:val="0"/>
          <w:numId w:val="0"/>
        </w:numPr>
        <w:tabs>
          <w:tab w:val="left" w:pos="-1440"/>
        </w:tabs>
        <w:rPr>
          <w:b/>
          <w:i w:val="0"/>
          <w:sz w:val="24"/>
        </w:rPr>
      </w:pPr>
      <w:r>
        <w:rPr>
          <w:b/>
          <w:i w:val="0"/>
          <w:sz w:val="24"/>
        </w:rPr>
        <w:t xml:space="preserve">   </w:t>
      </w:r>
      <w:r w:rsidR="004715A3">
        <w:rPr>
          <w:b/>
          <w:i w:val="0"/>
          <w:sz w:val="24"/>
        </w:rPr>
        <w:tab/>
      </w:r>
      <w:r w:rsidR="001500FC">
        <w:rPr>
          <w:b/>
          <w:i w:val="0"/>
          <w:sz w:val="24"/>
        </w:rPr>
        <w:t xml:space="preserve">remuneration of </w:t>
      </w:r>
      <w:r w:rsidRPr="001500FC" w:rsidR="001500FC">
        <w:rPr>
          <w:b/>
          <w:i w:val="0"/>
          <w:sz w:val="24"/>
        </w:rPr>
        <w:t xml:space="preserve">contractors </w:t>
      </w:r>
      <w:r w:rsidRPr="001500FC">
        <w:rPr>
          <w:b/>
          <w:i w:val="0"/>
          <w:sz w:val="24"/>
        </w:rPr>
        <w:t>or grantees.</w:t>
      </w:r>
    </w:p>
    <w:p w:rsidR="001500FC" w:rsidRPr="001500FC" w:rsidP="001500FC" w14:paraId="54BB9E09" w14:textId="77777777">
      <w:pPr>
        <w:pStyle w:val="Quick1"/>
        <w:widowControl/>
        <w:numPr>
          <w:ilvl w:val="0"/>
          <w:numId w:val="0"/>
        </w:numPr>
        <w:tabs>
          <w:tab w:val="left" w:pos="-1440"/>
        </w:tabs>
        <w:rPr>
          <w:b/>
          <w:i w:val="0"/>
          <w:sz w:val="24"/>
        </w:rPr>
      </w:pPr>
    </w:p>
    <w:p w:rsidR="00601A67" w:rsidP="00C56640" w14:paraId="3CAAA027" w14:textId="77777777">
      <w:pPr>
        <w:widowControl/>
      </w:pPr>
      <w:r>
        <w:tab/>
      </w:r>
      <w:r>
        <w:t>No payments or gifts are provided to respondents.</w:t>
      </w:r>
    </w:p>
    <w:p w:rsidR="001500FC" w:rsidP="001500FC" w14:paraId="78CECCAF" w14:textId="77777777">
      <w:pPr>
        <w:pStyle w:val="Quick1"/>
        <w:widowControl/>
        <w:numPr>
          <w:ilvl w:val="0"/>
          <w:numId w:val="0"/>
        </w:numPr>
        <w:rPr>
          <w:i w:val="0"/>
          <w:sz w:val="24"/>
        </w:rPr>
      </w:pPr>
    </w:p>
    <w:p w:rsidR="001500FC" w:rsidP="001500FC" w14:paraId="308F5195" w14:textId="77777777">
      <w:pPr>
        <w:pStyle w:val="Quick1"/>
        <w:widowControl/>
        <w:numPr>
          <w:ilvl w:val="0"/>
          <w:numId w:val="14"/>
        </w:numPr>
        <w:rPr>
          <w:b/>
          <w:i w:val="0"/>
          <w:sz w:val="24"/>
        </w:rPr>
      </w:pPr>
      <w:r w:rsidRPr="001500FC">
        <w:rPr>
          <w:b/>
          <w:i w:val="0"/>
          <w:sz w:val="24"/>
        </w:rPr>
        <w:t>Describe any assurance of confidentiality provided to respondents and</w:t>
      </w:r>
      <w:r>
        <w:rPr>
          <w:b/>
          <w:i w:val="0"/>
          <w:sz w:val="24"/>
        </w:rPr>
        <w:t xml:space="preserve"> the basis for </w:t>
      </w:r>
    </w:p>
    <w:p w:rsidR="00601A67" w:rsidRPr="001500FC" w:rsidP="001500FC" w14:paraId="05398C49" w14:textId="36266D91">
      <w:pPr>
        <w:pStyle w:val="Quick1"/>
        <w:widowControl/>
        <w:numPr>
          <w:ilvl w:val="0"/>
          <w:numId w:val="0"/>
        </w:numPr>
        <w:rPr>
          <w:b/>
          <w:i w:val="0"/>
          <w:sz w:val="24"/>
        </w:rPr>
      </w:pPr>
      <w:r>
        <w:rPr>
          <w:b/>
          <w:i w:val="0"/>
          <w:sz w:val="24"/>
        </w:rPr>
        <w:t xml:space="preserve"> </w:t>
      </w:r>
      <w:r w:rsidR="00320498">
        <w:rPr>
          <w:b/>
          <w:i w:val="0"/>
          <w:sz w:val="24"/>
        </w:rPr>
        <w:tab/>
      </w:r>
      <w:r>
        <w:rPr>
          <w:b/>
          <w:i w:val="0"/>
          <w:sz w:val="24"/>
        </w:rPr>
        <w:t xml:space="preserve"> </w:t>
      </w:r>
      <w:r w:rsidRPr="001500FC" w:rsidR="001500FC">
        <w:rPr>
          <w:b/>
          <w:i w:val="0"/>
          <w:sz w:val="24"/>
        </w:rPr>
        <w:t>the assurance in</w:t>
      </w:r>
      <w:r w:rsidR="001500FC">
        <w:rPr>
          <w:b/>
          <w:i w:val="0"/>
          <w:sz w:val="24"/>
        </w:rPr>
        <w:t xml:space="preserve"> </w:t>
      </w:r>
      <w:r w:rsidRPr="001500FC">
        <w:rPr>
          <w:b/>
          <w:i w:val="0"/>
          <w:sz w:val="24"/>
        </w:rPr>
        <w:t>statute, regulation, or agency policy.</w:t>
      </w:r>
    </w:p>
    <w:p w:rsidR="00601A67" w:rsidP="00C56640" w14:paraId="0BC7871E" w14:textId="77777777">
      <w:pPr>
        <w:widowControl/>
      </w:pPr>
    </w:p>
    <w:p w:rsidR="00601A67" w:rsidP="001500FC" w14:paraId="00973F07" w14:textId="08073285">
      <w:pPr>
        <w:widowControl/>
        <w:ind w:left="720"/>
      </w:pPr>
      <w:r>
        <w:t xml:space="preserve">Section 12 of ERISA Procedure </w:t>
      </w:r>
      <w:r w:rsidR="00592CE5">
        <w:t xml:space="preserve">76-1 </w:t>
      </w:r>
      <w:r>
        <w:t>states that the information provided by the requesting party will be made part of the public record unless any information that is considered proprietary is specified as such in a separate letter at the time of the request.</w:t>
      </w:r>
      <w:r w:rsidR="00FB1364">
        <w:t xml:space="preserve"> </w:t>
      </w:r>
      <w:r w:rsidR="005132C8">
        <w:t>Information considered to be proprietary will be deleted from the public file.</w:t>
      </w:r>
    </w:p>
    <w:p w:rsidR="00601A67" w:rsidRPr="001500FC" w:rsidP="00C56640" w14:paraId="45599AB4" w14:textId="77777777">
      <w:pPr>
        <w:widowControl/>
      </w:pPr>
    </w:p>
    <w:p w:rsidR="001500FC" w:rsidP="001500FC" w14:paraId="1990B6D9" w14:textId="38A4661E">
      <w:pPr>
        <w:pStyle w:val="Quick1"/>
        <w:widowControl/>
        <w:numPr>
          <w:ilvl w:val="0"/>
          <w:numId w:val="20"/>
        </w:numPr>
        <w:rPr>
          <w:b/>
          <w:i w:val="0"/>
          <w:sz w:val="24"/>
        </w:rPr>
      </w:pPr>
      <w:r w:rsidRPr="001500FC">
        <w:rPr>
          <w:b/>
          <w:i w:val="0"/>
          <w:sz w:val="24"/>
        </w:rPr>
        <w:t>Provide additional justification for any questions of a sensitive natu</w:t>
      </w:r>
      <w:r w:rsidRPr="001500FC">
        <w:rPr>
          <w:b/>
          <w:i w:val="0"/>
          <w:sz w:val="24"/>
        </w:rPr>
        <w:t>re, such as</w:t>
      </w:r>
      <w:r w:rsidR="00FB1364">
        <w:rPr>
          <w:b/>
          <w:i w:val="0"/>
          <w:sz w:val="24"/>
        </w:rPr>
        <w:t xml:space="preserve"> </w:t>
      </w:r>
    </w:p>
    <w:p w:rsidR="001500FC" w:rsidP="001500FC" w14:paraId="5FC35E66" w14:textId="24CE28C8">
      <w:pPr>
        <w:pStyle w:val="Quick1"/>
        <w:widowControl/>
        <w:numPr>
          <w:ilvl w:val="0"/>
          <w:numId w:val="0"/>
        </w:numPr>
        <w:rPr>
          <w:b/>
          <w:i w:val="0"/>
          <w:sz w:val="24"/>
        </w:rPr>
      </w:pPr>
      <w:r>
        <w:rPr>
          <w:b/>
          <w:i w:val="0"/>
          <w:sz w:val="24"/>
        </w:rPr>
        <w:t xml:space="preserve">   </w:t>
      </w:r>
      <w:r w:rsidR="00933784">
        <w:rPr>
          <w:b/>
          <w:i w:val="0"/>
          <w:sz w:val="24"/>
        </w:rPr>
        <w:tab/>
      </w:r>
      <w:r w:rsidRPr="001500FC">
        <w:rPr>
          <w:b/>
          <w:i w:val="0"/>
          <w:sz w:val="24"/>
        </w:rPr>
        <w:t xml:space="preserve">sexual behavior and </w:t>
      </w:r>
      <w:r w:rsidRPr="001500FC" w:rsidR="00601A67">
        <w:rPr>
          <w:b/>
          <w:i w:val="0"/>
          <w:sz w:val="24"/>
        </w:rPr>
        <w:t xml:space="preserve">attitudes, religious beliefs, and other matters that are </w:t>
      </w:r>
    </w:p>
    <w:p w:rsidR="001500FC" w:rsidP="001500FC" w14:paraId="65095867" w14:textId="5E00D7D1">
      <w:pPr>
        <w:pStyle w:val="Quick1"/>
        <w:widowControl/>
        <w:numPr>
          <w:ilvl w:val="0"/>
          <w:numId w:val="0"/>
        </w:numPr>
        <w:rPr>
          <w:b/>
          <w:i w:val="0"/>
          <w:sz w:val="24"/>
        </w:rPr>
      </w:pPr>
      <w:r>
        <w:rPr>
          <w:b/>
          <w:i w:val="0"/>
          <w:sz w:val="24"/>
        </w:rPr>
        <w:t xml:space="preserve">   </w:t>
      </w:r>
      <w:r w:rsidR="00933784">
        <w:rPr>
          <w:b/>
          <w:i w:val="0"/>
          <w:sz w:val="24"/>
        </w:rPr>
        <w:tab/>
      </w:r>
      <w:r w:rsidRPr="001500FC" w:rsidR="00601A67">
        <w:rPr>
          <w:b/>
          <w:i w:val="0"/>
          <w:sz w:val="24"/>
        </w:rPr>
        <w:t xml:space="preserve">commonly considered private. This justification should include the reasons why the </w:t>
      </w:r>
    </w:p>
    <w:p w:rsidR="001500FC" w:rsidP="001500FC" w14:paraId="32915018" w14:textId="56A3A6E3">
      <w:pPr>
        <w:pStyle w:val="Quick1"/>
        <w:widowControl/>
        <w:numPr>
          <w:ilvl w:val="0"/>
          <w:numId w:val="0"/>
        </w:numPr>
        <w:rPr>
          <w:b/>
          <w:i w:val="0"/>
          <w:sz w:val="24"/>
        </w:rPr>
      </w:pPr>
      <w:r>
        <w:rPr>
          <w:b/>
          <w:i w:val="0"/>
          <w:sz w:val="24"/>
        </w:rPr>
        <w:t xml:space="preserve">   </w:t>
      </w:r>
      <w:r w:rsidR="00933784">
        <w:rPr>
          <w:b/>
          <w:i w:val="0"/>
          <w:sz w:val="24"/>
        </w:rPr>
        <w:tab/>
      </w:r>
      <w:r w:rsidRPr="001500FC" w:rsidR="00601A67">
        <w:rPr>
          <w:b/>
          <w:i w:val="0"/>
          <w:sz w:val="24"/>
        </w:rPr>
        <w:t xml:space="preserve">agency considers the questions necessary, the specific uses to be made of the </w:t>
      </w:r>
    </w:p>
    <w:p w:rsidR="001500FC" w:rsidP="001500FC" w14:paraId="0BBA790C" w14:textId="3202C5B3">
      <w:pPr>
        <w:pStyle w:val="Quick1"/>
        <w:widowControl/>
        <w:numPr>
          <w:ilvl w:val="0"/>
          <w:numId w:val="0"/>
        </w:numPr>
        <w:rPr>
          <w:b/>
          <w:i w:val="0"/>
          <w:sz w:val="24"/>
        </w:rPr>
      </w:pPr>
      <w:r>
        <w:rPr>
          <w:b/>
          <w:i w:val="0"/>
          <w:sz w:val="24"/>
        </w:rPr>
        <w:t xml:space="preserve">   </w:t>
      </w:r>
      <w:r w:rsidR="00933784">
        <w:rPr>
          <w:b/>
          <w:i w:val="0"/>
          <w:sz w:val="24"/>
        </w:rPr>
        <w:tab/>
      </w:r>
      <w:r w:rsidRPr="001500FC" w:rsidR="00601A67">
        <w:rPr>
          <w:b/>
          <w:i w:val="0"/>
          <w:sz w:val="24"/>
        </w:rPr>
        <w:t xml:space="preserve">information, the explanation to be given to persons from whom the information is </w:t>
      </w:r>
    </w:p>
    <w:p w:rsidR="00601A67" w:rsidRPr="001500FC" w:rsidP="001500FC" w14:paraId="0BC26A0D" w14:textId="4BA26103">
      <w:pPr>
        <w:pStyle w:val="Quick1"/>
        <w:widowControl/>
        <w:numPr>
          <w:ilvl w:val="0"/>
          <w:numId w:val="0"/>
        </w:numPr>
        <w:rPr>
          <w:b/>
          <w:i w:val="0"/>
          <w:sz w:val="24"/>
        </w:rPr>
      </w:pPr>
      <w:r>
        <w:rPr>
          <w:b/>
          <w:i w:val="0"/>
          <w:sz w:val="24"/>
        </w:rPr>
        <w:t xml:space="preserve">   </w:t>
      </w:r>
      <w:r w:rsidR="00933784">
        <w:rPr>
          <w:b/>
          <w:i w:val="0"/>
          <w:sz w:val="24"/>
        </w:rPr>
        <w:tab/>
      </w:r>
      <w:r w:rsidRPr="001500FC">
        <w:rPr>
          <w:b/>
          <w:i w:val="0"/>
          <w:sz w:val="24"/>
        </w:rPr>
        <w:t>requested, and any steps to be taken to obtain their consent.</w:t>
      </w:r>
    </w:p>
    <w:p w:rsidR="00601A67" w:rsidP="00C56640" w14:paraId="3C6B1A0A" w14:textId="77777777">
      <w:pPr>
        <w:widowControl/>
        <w:rPr>
          <w:i/>
          <w:iCs/>
        </w:rPr>
      </w:pPr>
    </w:p>
    <w:p w:rsidR="00502DBE" w:rsidP="00C56640" w14:paraId="75B59694" w14:textId="6A2781B9">
      <w:pPr>
        <w:widowControl/>
        <w:ind w:firstLine="720"/>
      </w:pPr>
      <w:r w:rsidRPr="00E73BCE">
        <w:t>There are no questions of sensitive nature in this information collection.</w:t>
      </w:r>
    </w:p>
    <w:p w:rsidR="00E73BCE" w:rsidP="00C56640" w14:paraId="45FB3330" w14:textId="77777777">
      <w:pPr>
        <w:widowControl/>
        <w:ind w:firstLine="720"/>
      </w:pPr>
    </w:p>
    <w:p w:rsidR="001500FC" w:rsidP="001500FC" w14:paraId="525EA646" w14:textId="2EBB02E6">
      <w:pPr>
        <w:pStyle w:val="Quick1"/>
        <w:widowControl/>
        <w:numPr>
          <w:ilvl w:val="0"/>
          <w:numId w:val="14"/>
        </w:numPr>
        <w:rPr>
          <w:b/>
          <w:i w:val="0"/>
          <w:sz w:val="24"/>
        </w:rPr>
      </w:pPr>
      <w:r w:rsidRPr="001500FC">
        <w:rPr>
          <w:b/>
          <w:i w:val="0"/>
          <w:sz w:val="24"/>
        </w:rPr>
        <w:t>Provide estimates of the hour burden of the collection of information.</w:t>
      </w:r>
      <w:r w:rsidR="00FB1364">
        <w:rPr>
          <w:b/>
          <w:i w:val="0"/>
          <w:sz w:val="24"/>
        </w:rPr>
        <w:t xml:space="preserve"> </w:t>
      </w:r>
      <w:r w:rsidRPr="001500FC">
        <w:rPr>
          <w:b/>
          <w:i w:val="0"/>
          <w:sz w:val="24"/>
        </w:rPr>
        <w:t xml:space="preserve">The </w:t>
      </w:r>
    </w:p>
    <w:p w:rsidR="00601A67" w:rsidRPr="00363F70" w:rsidP="00363F70" w14:paraId="50431AC6" w14:textId="3B9D8FEA">
      <w:pPr>
        <w:pStyle w:val="Quick1"/>
        <w:widowControl/>
        <w:numPr>
          <w:ilvl w:val="0"/>
          <w:numId w:val="0"/>
        </w:numPr>
        <w:rPr>
          <w:b/>
          <w:i w:val="0"/>
          <w:sz w:val="24"/>
        </w:rPr>
      </w:pPr>
      <w:r>
        <w:rPr>
          <w:b/>
          <w:i w:val="0"/>
          <w:sz w:val="24"/>
        </w:rPr>
        <w:t xml:space="preserve">   </w:t>
      </w:r>
      <w:r w:rsidR="00933784">
        <w:rPr>
          <w:b/>
          <w:i w:val="0"/>
          <w:sz w:val="24"/>
        </w:rPr>
        <w:tab/>
      </w:r>
      <w:r w:rsidRPr="001500FC">
        <w:rPr>
          <w:b/>
          <w:i w:val="0"/>
          <w:sz w:val="24"/>
        </w:rPr>
        <w:t>statement should:</w:t>
      </w:r>
    </w:p>
    <w:p w:rsidR="00E73BCE" w:rsidRPr="00E73BCE" w:rsidP="00E73BCE" w14:paraId="6CA30401" w14:textId="518E176B">
      <w:pPr>
        <w:pStyle w:val="ListParagraph"/>
        <w:widowControl/>
        <w:numPr>
          <w:ilvl w:val="0"/>
          <w:numId w:val="27"/>
        </w:numPr>
        <w:tabs>
          <w:tab w:val="left" w:pos="-1440"/>
        </w:tabs>
        <w:rPr>
          <w:b/>
          <w:iCs/>
        </w:rPr>
      </w:pPr>
      <w:r w:rsidRPr="00E73BCE">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73BCE" w:rsidRPr="00E73BCE" w:rsidP="00E73BCE" w14:paraId="44DD994B" w14:textId="77777777">
      <w:pPr>
        <w:widowControl/>
        <w:numPr>
          <w:ilvl w:val="0"/>
          <w:numId w:val="26"/>
        </w:numPr>
        <w:tabs>
          <w:tab w:val="left" w:pos="-1440"/>
          <w:tab w:val="clear" w:pos="720"/>
          <w:tab w:val="num" w:pos="1440"/>
        </w:tabs>
        <w:ind w:left="1440"/>
        <w:rPr>
          <w:b/>
          <w:iCs/>
        </w:rPr>
      </w:pPr>
      <w:r w:rsidRPr="00E73BCE">
        <w:rPr>
          <w:b/>
          <w:iCs/>
        </w:rPr>
        <w:t xml:space="preserve">If this request for approval covers more than one form, provide separate hour burden estimates for each form. </w:t>
      </w:r>
    </w:p>
    <w:p w:rsidR="00E73BCE" w:rsidRPr="00E73BCE" w:rsidP="00E73BCE" w14:paraId="044EA0B3" w14:textId="77777777">
      <w:pPr>
        <w:widowControl/>
        <w:numPr>
          <w:ilvl w:val="0"/>
          <w:numId w:val="26"/>
        </w:numPr>
        <w:tabs>
          <w:tab w:val="left" w:pos="-1440"/>
          <w:tab w:val="clear" w:pos="720"/>
          <w:tab w:val="num" w:pos="1440"/>
        </w:tabs>
        <w:ind w:left="1440"/>
        <w:rPr>
          <w:b/>
          <w:iCs/>
        </w:rPr>
      </w:pPr>
      <w:r w:rsidRPr="00E73BCE">
        <w:rPr>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73BCE" w:rsidRPr="00E73BCE" w:rsidP="00E73BCE" w14:paraId="5777AD52" w14:textId="77777777">
      <w:pPr>
        <w:widowControl/>
        <w:numPr>
          <w:ilvl w:val="0"/>
          <w:numId w:val="26"/>
        </w:numPr>
        <w:tabs>
          <w:tab w:val="left" w:pos="-1440"/>
          <w:tab w:val="clear" w:pos="720"/>
          <w:tab w:val="num" w:pos="1440"/>
        </w:tabs>
        <w:ind w:left="1440"/>
        <w:rPr>
          <w:b/>
          <w:iCs/>
        </w:rPr>
      </w:pPr>
      <w:r w:rsidRPr="00E73BCE">
        <w:rPr>
          <w:b/>
          <w:iCs/>
        </w:rPr>
        <w:t>The cost of contracting out or paying outside parties for information collection activities should not be included here. Instead, this cost should be included in Item 14.</w:t>
      </w:r>
    </w:p>
    <w:p w:rsidR="00601A67" w:rsidP="00E73BCE" w14:paraId="7D619FAE" w14:textId="254108C5">
      <w:pPr>
        <w:widowControl/>
        <w:tabs>
          <w:tab w:val="left" w:pos="-1440"/>
        </w:tabs>
        <w:ind w:left="1440" w:hanging="360"/>
        <w:rPr>
          <w:i/>
          <w:iCs/>
        </w:rPr>
      </w:pPr>
    </w:p>
    <w:p w:rsidR="00CD5152" w:rsidP="001500FC" w14:paraId="2537BE70" w14:textId="26A6C75F">
      <w:pPr>
        <w:widowControl/>
        <w:ind w:left="720"/>
      </w:pPr>
      <w:r>
        <w:t xml:space="preserve">Based on recent experience concerning numbers of requests submitted under the ERISA Procedure, the Department estimates that </w:t>
      </w:r>
      <w:r w:rsidRPr="00BB5312" w:rsidR="00EF48B9">
        <w:t>6</w:t>
      </w:r>
      <w:r w:rsidRPr="00BB5312" w:rsidR="00E35889">
        <w:t xml:space="preserve"> </w:t>
      </w:r>
      <w:r w:rsidRPr="00BB5312">
        <w:t>ap</w:t>
      </w:r>
      <w:r>
        <w:t>plicants will annually submit requests for advisory opinions</w:t>
      </w:r>
      <w:r w:rsidR="00136C0B">
        <w:t xml:space="preserve"> or information letters</w:t>
      </w:r>
      <w:r>
        <w:t>.</w:t>
      </w:r>
      <w:r>
        <w:rPr>
          <w:rStyle w:val="FootnoteReference"/>
          <w:vertAlign w:val="superscript"/>
        </w:rPr>
        <w:footnoteReference w:id="2"/>
      </w:r>
      <w:r>
        <w:t xml:space="preserve"> The respondents will be plans and parties in </w:t>
      </w:r>
      <w:r>
        <w:t xml:space="preserve">interest to plans. The burdens associated with this information collection requirement are not normally incurred on an annual basis by any one plan or business because the frequency of collection is dependent on the initiation of a request, not on a predetermined </w:t>
      </w:r>
      <w:r>
        <w:t>time period</w:t>
      </w:r>
      <w:r>
        <w:t>. In fact, the experience of the Department indicates that such requests are made very infrequently.</w:t>
      </w:r>
    </w:p>
    <w:p w:rsidR="00CD5152" w:rsidP="00C56640" w14:paraId="66919BA3" w14:textId="77777777">
      <w:pPr>
        <w:widowControl/>
      </w:pPr>
    </w:p>
    <w:p w:rsidR="00CD5152" w:rsidP="001500FC" w14:paraId="7B0CAAF5" w14:textId="71D9F27E">
      <w:pPr>
        <w:widowControl/>
        <w:ind w:left="720"/>
      </w:pPr>
      <w:r>
        <w:t xml:space="preserve">Based on past and current experience, the Department believes that approximately </w:t>
      </w:r>
      <w:r w:rsidRPr="009D085B">
        <w:t>10</w:t>
      </w:r>
      <w:r w:rsidR="001500FC">
        <w:t xml:space="preserve"> </w:t>
      </w:r>
      <w:r>
        <w:t>percent of the Advisory opinion requests will be prepared in-house by the respondents.</w:t>
      </w:r>
      <w:r w:rsidR="00FB1364">
        <w:t xml:space="preserve"> </w:t>
      </w:r>
      <w:r>
        <w:t xml:space="preserve">Respondents are expected in </w:t>
      </w:r>
      <w:r w:rsidRPr="009D085B">
        <w:t>90</w:t>
      </w:r>
      <w:r>
        <w:t xml:space="preserve"> percent of the cases to contract with service providers such as attorneys, accountants, and third</w:t>
      </w:r>
      <w:r w:rsidR="00CE511E">
        <w:t>-</w:t>
      </w:r>
      <w:r>
        <w:t>party administrators, to prepare the request.</w:t>
      </w:r>
    </w:p>
    <w:p w:rsidR="00CD5152" w:rsidP="00C56640" w14:paraId="300764AD" w14:textId="77777777">
      <w:pPr>
        <w:widowControl/>
      </w:pPr>
    </w:p>
    <w:p w:rsidR="00CD5152" w:rsidP="001500FC" w14:paraId="26AE1B70" w14:textId="67C5F254">
      <w:pPr>
        <w:widowControl/>
        <w:ind w:left="720"/>
      </w:pPr>
      <w:r>
        <w:t>In addition to the advisory opinion request itself, the Department requires that certain information be submitted with or shortly after the request. The Department assumes that this information is in the possession of the plan or plan sponsor and as such will be located and collected by in-house staff.</w:t>
      </w:r>
    </w:p>
    <w:p w:rsidR="00CD5152" w:rsidP="00C56640" w14:paraId="005F6252" w14:textId="77777777">
      <w:pPr>
        <w:widowControl/>
      </w:pPr>
    </w:p>
    <w:p w:rsidR="008E0AB6" w:rsidP="001500FC" w14:paraId="06BDC5ED" w14:textId="77777777">
      <w:pPr>
        <w:widowControl/>
        <w:ind w:left="720"/>
      </w:pPr>
      <w:r>
        <w:t xml:space="preserve">Because contracting for services results in a cost burden and not an hour burden, the costs associated with contracting with a third party to prepare the advisory opinion request are presented in item 13, below. </w:t>
      </w:r>
    </w:p>
    <w:p w:rsidR="008E0AB6" w:rsidP="001500FC" w14:paraId="6B695420" w14:textId="77777777">
      <w:pPr>
        <w:widowControl/>
        <w:ind w:left="720"/>
      </w:pPr>
    </w:p>
    <w:p w:rsidR="00CD5152" w:rsidP="001500FC" w14:paraId="664B93F7" w14:textId="5B96664F">
      <w:pPr>
        <w:widowControl/>
        <w:ind w:left="720"/>
      </w:pPr>
      <w:r>
        <w:t>Th</w:t>
      </w:r>
      <w:r w:rsidR="00F07D12">
        <w:t xml:space="preserve">e annual </w:t>
      </w:r>
      <w:r w:rsidR="008E0AB6">
        <w:t xml:space="preserve">hour burden </w:t>
      </w:r>
      <w:r>
        <w:t>estimate is based on the following assumptions:</w:t>
      </w:r>
    </w:p>
    <w:p w:rsidR="00CD5152" w:rsidP="00C56640" w14:paraId="7C786310" w14:textId="77777777">
      <w:pPr>
        <w:widowControl/>
      </w:pPr>
    </w:p>
    <w:p w:rsidR="0062108E" w:rsidP="0062108E" w14:paraId="71CEED9C" w14:textId="133720AF">
      <w:pPr>
        <w:widowControl/>
        <w:numPr>
          <w:ilvl w:val="0"/>
          <w:numId w:val="11"/>
        </w:numPr>
        <w:ind w:hanging="360"/>
      </w:pPr>
      <w:r w:rsidRPr="0062108E">
        <w:t>The following wage rates were used in this analysis: $</w:t>
      </w:r>
      <w:r>
        <w:t>177.97</w:t>
      </w:r>
      <w:r w:rsidRPr="0062108E">
        <w:t xml:space="preserve"> (</w:t>
      </w:r>
      <w:r w:rsidR="00437DB0">
        <w:t>attorney</w:t>
      </w:r>
      <w:r w:rsidRPr="0062108E">
        <w:t>), $</w:t>
      </w:r>
      <w:r>
        <w:t>125.88</w:t>
      </w:r>
      <w:r w:rsidRPr="0062108E">
        <w:t xml:space="preserve"> (</w:t>
      </w:r>
      <w:r>
        <w:t>benefits specialist</w:t>
      </w:r>
      <w:r w:rsidRPr="0062108E">
        <w:t xml:space="preserve">), </w:t>
      </w:r>
      <w:r>
        <w:t xml:space="preserve">and </w:t>
      </w:r>
      <w:r w:rsidRPr="0062108E">
        <w:t>$</w:t>
      </w:r>
      <w:r>
        <w:t>69.41</w:t>
      </w:r>
      <w:r w:rsidRPr="0062108E">
        <w:t xml:space="preserve"> (</w:t>
      </w:r>
      <w:r>
        <w:t>clerical staff</w:t>
      </w:r>
      <w:r w:rsidRPr="0062108E">
        <w:t>)</w:t>
      </w:r>
      <w:r>
        <w:t>.</w:t>
      </w:r>
      <w:r>
        <w:rPr>
          <w:rStyle w:val="FootnoteReference"/>
          <w:vertAlign w:val="superscript"/>
        </w:rPr>
        <w:footnoteReference w:id="3"/>
      </w:r>
      <w:r w:rsidRPr="00D0375C">
        <w:rPr>
          <w:vertAlign w:val="superscript"/>
        </w:rPr>
        <w:t xml:space="preserve"> </w:t>
      </w:r>
    </w:p>
    <w:p w:rsidR="0062108E" w:rsidP="00D0375C" w14:paraId="418EA42E" w14:textId="77777777">
      <w:pPr>
        <w:widowControl/>
        <w:ind w:left="1440"/>
      </w:pPr>
    </w:p>
    <w:p w:rsidR="002B5AD4" w:rsidP="000C4406" w14:paraId="1C17B50B" w14:textId="2B1614DD">
      <w:pPr>
        <w:widowControl/>
        <w:numPr>
          <w:ilvl w:val="0"/>
          <w:numId w:val="11"/>
        </w:numPr>
        <w:ind w:hanging="360"/>
      </w:pPr>
      <w:r>
        <w:t>Applications for advisory opinions are generally from 2 to 20 pages in length and consist of a request for an opinion supported by various documents. The Department estimates that, on average, preparing each advisory opinion request requires a total of 13 hours, including attorney time, human resources or benefit specialist time, and clerical time, divided as follows</w:t>
      </w:r>
      <w:r>
        <w:t>:</w:t>
      </w:r>
    </w:p>
    <w:p w:rsidR="000C4406" w:rsidP="002B5AD4" w14:paraId="4CC95055" w14:textId="77777777">
      <w:pPr>
        <w:widowControl/>
        <w:ind w:left="1440"/>
      </w:pPr>
    </w:p>
    <w:p w:rsidR="00CD5152" w:rsidP="002B5AD4" w14:paraId="09946FDC" w14:textId="4AC54501">
      <w:pPr>
        <w:widowControl/>
        <w:numPr>
          <w:ilvl w:val="1"/>
          <w:numId w:val="11"/>
        </w:numPr>
      </w:pPr>
      <w:r>
        <w:rPr>
          <w:u w:val="single"/>
        </w:rPr>
        <w:t>Attorney time.</w:t>
      </w:r>
      <w:r w:rsidR="00FB1364">
        <w:t xml:space="preserve"> </w:t>
      </w:r>
      <w:r>
        <w:t>The Department estimates that each request done in-house will require 3 hours of attorney time for drafting the request. The Department assumes that only the simplest of requests will be done in-house. As noted, the Department expects that 10 percent of advisory opinion requests</w:t>
      </w:r>
      <w:r w:rsidR="00CE511E">
        <w:t xml:space="preserve"> or 1 request (6 requests x 10 percent)</w:t>
      </w:r>
      <w:r>
        <w:t xml:space="preserve"> will be prepared in-house</w:t>
      </w:r>
      <w:r w:rsidR="00CE511E">
        <w:t xml:space="preserve">. </w:t>
      </w:r>
      <w:r>
        <w:t>The remaining 90 percent of requests are assumed to be prepared by outside professionals and as such are accounted for in item 13, below.</w:t>
      </w:r>
    </w:p>
    <w:p w:rsidR="002B5AD4" w:rsidP="00D0375C" w14:paraId="630F8AC3" w14:textId="77777777">
      <w:pPr>
        <w:widowControl/>
        <w:ind w:left="2160"/>
      </w:pPr>
    </w:p>
    <w:p w:rsidR="002B5AD4" w:rsidP="002B5AD4" w14:paraId="2D31D206" w14:textId="1563701C">
      <w:pPr>
        <w:widowControl/>
        <w:numPr>
          <w:ilvl w:val="1"/>
          <w:numId w:val="11"/>
        </w:numPr>
      </w:pPr>
      <w:r>
        <w:rPr>
          <w:u w:val="single"/>
        </w:rPr>
        <w:t>Human resources/benefit specialist time.</w:t>
      </w:r>
      <w:r>
        <w:t xml:space="preserve"> The Department estimates that each request will require 8 hours of human resource/benefits specialist time for identifying and collecting the required supporting documentation. Because of the nature of this documentation (plan documents, financial statements, etc.), the Department expects that this activity will be performed entirely in-house by the plan or sponsor for all advisory opinion requests. </w:t>
      </w:r>
    </w:p>
    <w:p w:rsidR="001960CA" w:rsidP="00D0375C" w14:paraId="313E5F03" w14:textId="77777777">
      <w:pPr>
        <w:widowControl/>
        <w:ind w:left="2160"/>
      </w:pPr>
    </w:p>
    <w:p w:rsidR="00352895" w:rsidP="00352895" w14:paraId="491104FD" w14:textId="46A7A101">
      <w:pPr>
        <w:widowControl/>
        <w:numPr>
          <w:ilvl w:val="1"/>
          <w:numId w:val="11"/>
        </w:numPr>
      </w:pPr>
      <w:r w:rsidRPr="002B5AD4">
        <w:rPr>
          <w:u w:val="single"/>
        </w:rPr>
        <w:t>Clerical time.</w:t>
      </w:r>
      <w:r>
        <w:t xml:space="preserve"> The Department estimates that each request will require two hours of clerical time for various tasks, such as copying supporting documentation</w:t>
      </w:r>
      <w:r w:rsidR="00CE511E">
        <w:t>.</w:t>
      </w:r>
    </w:p>
    <w:p w:rsidR="00352895" w:rsidP="00D0375C" w14:paraId="6B8EFDA5" w14:textId="77777777">
      <w:pPr>
        <w:widowControl/>
        <w:ind w:left="2160"/>
      </w:pPr>
    </w:p>
    <w:p w:rsidR="00352895" w:rsidP="00352895" w14:paraId="5CF9D21B" w14:textId="0B378250">
      <w:pPr>
        <w:widowControl/>
        <w:numPr>
          <w:ilvl w:val="1"/>
          <w:numId w:val="11"/>
        </w:numPr>
      </w:pPr>
      <w:r>
        <w:t xml:space="preserve">See Table 1 for calculations and burden totals. </w:t>
      </w:r>
    </w:p>
    <w:tbl>
      <w:tblPr>
        <w:tblpPr w:leftFromText="180" w:rightFromText="180" w:vertAnchor="text" w:horzAnchor="page" w:tblpX="2117" w:tblpY="713"/>
        <w:tblW w:w="9757" w:type="dxa"/>
        <w:tblLook w:val="04A0"/>
      </w:tblPr>
      <w:tblGrid>
        <w:gridCol w:w="2920"/>
        <w:gridCol w:w="1137"/>
        <w:gridCol w:w="1280"/>
        <w:gridCol w:w="1100"/>
        <w:gridCol w:w="1660"/>
        <w:gridCol w:w="1660"/>
      </w:tblGrid>
      <w:tr w14:paraId="5EB9FE24" w14:textId="77777777" w:rsidTr="00D0375C">
        <w:tblPrEx>
          <w:tblW w:w="9757" w:type="dxa"/>
          <w:tblLook w:val="04A0"/>
        </w:tblPrEx>
        <w:trPr>
          <w:trHeight w:val="520"/>
        </w:trPr>
        <w:tc>
          <w:tcPr>
            <w:tcW w:w="2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4B3" w:rsidRPr="009A3BA7" w:rsidP="00C704B3" w14:paraId="43E513B7" w14:textId="77777777">
            <w:pPr>
              <w:widowControl/>
              <w:autoSpaceDE/>
              <w:autoSpaceDN/>
              <w:adjustRightInd/>
              <w:jc w:val="center"/>
            </w:pPr>
            <w:r w:rsidRPr="009A3BA7">
              <w:t> </w:t>
            </w:r>
          </w:p>
        </w:tc>
        <w:tc>
          <w:tcPr>
            <w:tcW w:w="1137" w:type="dxa"/>
            <w:tcBorders>
              <w:top w:val="single" w:sz="4" w:space="0" w:color="auto"/>
              <w:left w:val="nil"/>
              <w:bottom w:val="single" w:sz="4" w:space="0" w:color="auto"/>
              <w:right w:val="single" w:sz="4" w:space="0" w:color="auto"/>
            </w:tcBorders>
            <w:shd w:val="clear" w:color="auto" w:fill="auto"/>
            <w:vAlign w:val="bottom"/>
            <w:hideMark/>
          </w:tcPr>
          <w:p w:rsidR="00C704B3" w:rsidRPr="009A3BA7" w:rsidP="00C704B3" w14:paraId="46323E8E" w14:textId="77777777">
            <w:pPr>
              <w:widowControl/>
              <w:autoSpaceDE/>
              <w:autoSpaceDN/>
              <w:adjustRightInd/>
              <w:jc w:val="center"/>
              <w:rPr>
                <w:b/>
                <w:bCs/>
              </w:rPr>
            </w:pPr>
            <w:r w:rsidRPr="009A3BA7">
              <w:rPr>
                <w:b/>
                <w:bCs/>
              </w:rPr>
              <w:t>Number of Requests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4B3" w:rsidRPr="009A3BA7" w:rsidP="00C704B3" w14:paraId="109696B8" w14:textId="6FE2B9CD">
            <w:pPr>
              <w:widowControl/>
              <w:autoSpaceDE/>
              <w:autoSpaceDN/>
              <w:adjustRightInd/>
              <w:jc w:val="center"/>
              <w:rPr>
                <w:b/>
                <w:bCs/>
              </w:rPr>
            </w:pPr>
            <w:r>
              <w:rPr>
                <w:b/>
                <w:bCs/>
              </w:rPr>
              <w:t>Number of Hours per Request</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C704B3" w:rsidRPr="009A3BA7" w:rsidP="00C704B3" w14:paraId="7C20CF1B" w14:textId="37A3922F">
            <w:pPr>
              <w:widowControl/>
              <w:autoSpaceDE/>
              <w:autoSpaceDN/>
              <w:adjustRightInd/>
              <w:jc w:val="center"/>
              <w:rPr>
                <w:b/>
                <w:bCs/>
              </w:rPr>
            </w:pPr>
            <w:r>
              <w:rPr>
                <w:b/>
                <w:bCs/>
              </w:rPr>
              <w:t>Total Hour Burden</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C704B3" w:rsidRPr="009A3BA7" w:rsidP="00C704B3" w14:paraId="11B63CD7" w14:textId="15011DB3">
            <w:pPr>
              <w:widowControl/>
              <w:autoSpaceDE/>
              <w:autoSpaceDN/>
              <w:adjustRightInd/>
              <w:jc w:val="center"/>
              <w:rPr>
                <w:b/>
                <w:bCs/>
              </w:rPr>
            </w:pPr>
            <w:r>
              <w:rPr>
                <w:b/>
                <w:bCs/>
              </w:rPr>
              <w:t>Hourly Wage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C704B3" w:rsidRPr="009A3BA7" w:rsidP="00C704B3" w14:paraId="1748CBAA" w14:textId="77777777">
            <w:pPr>
              <w:widowControl/>
              <w:autoSpaceDE/>
              <w:autoSpaceDN/>
              <w:adjustRightInd/>
              <w:jc w:val="center"/>
              <w:rPr>
                <w:b/>
                <w:bCs/>
              </w:rPr>
            </w:pPr>
            <w:r w:rsidRPr="009A3BA7">
              <w:rPr>
                <w:b/>
                <w:bCs/>
              </w:rPr>
              <w:t>Equivalent Cost of Hour Burden</w:t>
            </w:r>
          </w:p>
        </w:tc>
      </w:tr>
      <w:tr w14:paraId="4CB982F3" w14:textId="77777777" w:rsidTr="00D0375C">
        <w:tblPrEx>
          <w:tblW w:w="9757" w:type="dxa"/>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bottom"/>
            <w:hideMark/>
          </w:tcPr>
          <w:p w:rsidR="00B34DD5" w:rsidRPr="009A3BA7" w:rsidP="00B34DD5" w14:paraId="20578C90" w14:textId="77777777">
            <w:pPr>
              <w:widowControl/>
              <w:autoSpaceDE/>
              <w:autoSpaceDN/>
              <w:adjustRightInd/>
              <w:jc w:val="center"/>
              <w:rPr>
                <w:u w:val="single"/>
              </w:rPr>
            </w:pPr>
            <w:r w:rsidRPr="009A3BA7">
              <w:rPr>
                <w:u w:val="single"/>
              </w:rPr>
              <w:t> </w:t>
            </w:r>
          </w:p>
        </w:tc>
        <w:tc>
          <w:tcPr>
            <w:tcW w:w="1137" w:type="dxa"/>
            <w:tcBorders>
              <w:top w:val="nil"/>
              <w:left w:val="nil"/>
              <w:bottom w:val="single" w:sz="4" w:space="0" w:color="auto"/>
              <w:right w:val="single" w:sz="4" w:space="0" w:color="auto"/>
            </w:tcBorders>
            <w:shd w:val="clear" w:color="auto" w:fill="auto"/>
            <w:vAlign w:val="bottom"/>
            <w:hideMark/>
          </w:tcPr>
          <w:p w:rsidR="00B34DD5" w:rsidRPr="009A3BA7" w:rsidP="00B34DD5" w14:paraId="59B82FDA" w14:textId="77777777">
            <w:pPr>
              <w:widowControl/>
              <w:autoSpaceDE/>
              <w:autoSpaceDN/>
              <w:adjustRightInd/>
              <w:jc w:val="center"/>
              <w:rPr>
                <w:b/>
                <w:bCs/>
              </w:rPr>
            </w:pPr>
            <w:r w:rsidRPr="009A3BA7">
              <w:rPr>
                <w:b/>
                <w:bCs/>
              </w:rPr>
              <w:t>(A)</w:t>
            </w:r>
          </w:p>
        </w:tc>
        <w:tc>
          <w:tcPr>
            <w:tcW w:w="1280" w:type="dxa"/>
            <w:tcBorders>
              <w:top w:val="nil"/>
              <w:left w:val="nil"/>
              <w:bottom w:val="single" w:sz="4" w:space="0" w:color="auto"/>
              <w:right w:val="single" w:sz="4" w:space="0" w:color="auto"/>
            </w:tcBorders>
            <w:shd w:val="clear" w:color="auto" w:fill="auto"/>
            <w:vAlign w:val="bottom"/>
            <w:hideMark/>
          </w:tcPr>
          <w:p w:rsidR="00B34DD5" w:rsidRPr="009A3BA7" w:rsidP="00B34DD5" w14:paraId="0A10993D" w14:textId="77777777">
            <w:pPr>
              <w:widowControl/>
              <w:autoSpaceDE/>
              <w:autoSpaceDN/>
              <w:adjustRightInd/>
              <w:jc w:val="center"/>
              <w:rPr>
                <w:b/>
                <w:bCs/>
              </w:rPr>
            </w:pPr>
            <w:r w:rsidRPr="009A3BA7">
              <w:rPr>
                <w:b/>
                <w:bCs/>
              </w:rPr>
              <w:t>(B)</w:t>
            </w:r>
          </w:p>
        </w:tc>
        <w:tc>
          <w:tcPr>
            <w:tcW w:w="1100" w:type="dxa"/>
            <w:tcBorders>
              <w:top w:val="nil"/>
              <w:left w:val="nil"/>
              <w:bottom w:val="single" w:sz="4" w:space="0" w:color="auto"/>
              <w:right w:val="single" w:sz="4" w:space="0" w:color="auto"/>
            </w:tcBorders>
            <w:shd w:val="clear" w:color="auto" w:fill="auto"/>
            <w:vAlign w:val="bottom"/>
            <w:hideMark/>
          </w:tcPr>
          <w:p w:rsidR="00B34DD5" w:rsidRPr="009A3BA7" w:rsidP="00B34DD5" w14:paraId="39D360DF" w14:textId="77777777">
            <w:pPr>
              <w:widowControl/>
              <w:autoSpaceDE/>
              <w:autoSpaceDN/>
              <w:adjustRightInd/>
              <w:jc w:val="center"/>
              <w:rPr>
                <w:b/>
                <w:bCs/>
              </w:rPr>
            </w:pPr>
            <w:r w:rsidRPr="009A3BA7">
              <w:rPr>
                <w:b/>
                <w:bCs/>
              </w:rPr>
              <w:t>(A x B)</w:t>
            </w:r>
          </w:p>
        </w:tc>
        <w:tc>
          <w:tcPr>
            <w:tcW w:w="1660" w:type="dxa"/>
            <w:tcBorders>
              <w:top w:val="nil"/>
              <w:left w:val="nil"/>
              <w:bottom w:val="single" w:sz="4" w:space="0" w:color="auto"/>
              <w:right w:val="single" w:sz="4" w:space="0" w:color="auto"/>
            </w:tcBorders>
            <w:shd w:val="clear" w:color="auto" w:fill="auto"/>
            <w:vAlign w:val="bottom"/>
            <w:hideMark/>
          </w:tcPr>
          <w:p w:rsidR="00B34DD5" w:rsidRPr="009A3BA7" w:rsidP="00B34DD5" w14:paraId="7D382F30" w14:textId="77777777">
            <w:pPr>
              <w:widowControl/>
              <w:autoSpaceDE/>
              <w:autoSpaceDN/>
              <w:adjustRightInd/>
              <w:jc w:val="center"/>
              <w:rPr>
                <w:b/>
                <w:bCs/>
              </w:rPr>
            </w:pPr>
            <w:r w:rsidRPr="009A3BA7">
              <w:rPr>
                <w:b/>
                <w:bCs/>
              </w:rPr>
              <w:t>(C)</w:t>
            </w:r>
          </w:p>
        </w:tc>
        <w:tc>
          <w:tcPr>
            <w:tcW w:w="1660" w:type="dxa"/>
            <w:tcBorders>
              <w:top w:val="nil"/>
              <w:left w:val="nil"/>
              <w:bottom w:val="single" w:sz="4" w:space="0" w:color="auto"/>
              <w:right w:val="single" w:sz="4" w:space="0" w:color="auto"/>
            </w:tcBorders>
            <w:shd w:val="clear" w:color="auto" w:fill="auto"/>
            <w:vAlign w:val="bottom"/>
            <w:hideMark/>
          </w:tcPr>
          <w:p w:rsidR="00B34DD5" w:rsidRPr="009A3BA7" w:rsidP="00B34DD5" w14:paraId="6F773F05" w14:textId="77777777">
            <w:pPr>
              <w:widowControl/>
              <w:autoSpaceDE/>
              <w:autoSpaceDN/>
              <w:adjustRightInd/>
              <w:jc w:val="center"/>
              <w:rPr>
                <w:b/>
                <w:bCs/>
              </w:rPr>
            </w:pPr>
            <w:r w:rsidRPr="009A3BA7">
              <w:rPr>
                <w:b/>
                <w:bCs/>
              </w:rPr>
              <w:t>(A x B x C)</w:t>
            </w:r>
          </w:p>
        </w:tc>
      </w:tr>
      <w:tr w14:paraId="3E250D16" w14:textId="77777777" w:rsidTr="00D0375C">
        <w:tblPrEx>
          <w:tblW w:w="9757" w:type="dxa"/>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D749F4" w:rsidRPr="009A3BA7" w:rsidP="00D749F4" w14:paraId="03E17FEB" w14:textId="77777777">
            <w:pPr>
              <w:widowControl/>
              <w:autoSpaceDE/>
              <w:autoSpaceDN/>
              <w:adjustRightInd/>
            </w:pPr>
            <w:r w:rsidRPr="009A3BA7">
              <w:t xml:space="preserve">Attorney prepares request </w:t>
            </w:r>
          </w:p>
        </w:tc>
        <w:tc>
          <w:tcPr>
            <w:tcW w:w="1137"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7CF51377" w14:textId="77777777">
            <w:pPr>
              <w:widowControl/>
              <w:autoSpaceDE/>
              <w:autoSpaceDN/>
              <w:adjustRightInd/>
              <w:jc w:val="center"/>
            </w:pPr>
            <w:r w:rsidRPr="009A3BA7">
              <w:t>1</w:t>
            </w:r>
          </w:p>
        </w:tc>
        <w:tc>
          <w:tcPr>
            <w:tcW w:w="1280"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60F8A5CE" w14:textId="77777777">
            <w:pPr>
              <w:widowControl/>
              <w:autoSpaceDE/>
              <w:autoSpaceDN/>
              <w:adjustRightInd/>
              <w:jc w:val="center"/>
            </w:pPr>
            <w:r w:rsidRPr="009A3BA7">
              <w:t>3</w:t>
            </w:r>
          </w:p>
        </w:tc>
        <w:tc>
          <w:tcPr>
            <w:tcW w:w="1100"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3DFDA721" w14:textId="77777777">
            <w:pPr>
              <w:widowControl/>
              <w:autoSpaceDE/>
              <w:autoSpaceDN/>
              <w:adjustRightInd/>
              <w:jc w:val="center"/>
            </w:pPr>
            <w:r w:rsidRPr="009A3BA7">
              <w:t>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9F4" w:rsidRPr="009A3BA7" w:rsidP="00D749F4" w14:paraId="470167EB" w14:textId="21C0C033">
            <w:pPr>
              <w:widowControl/>
              <w:autoSpaceDE/>
              <w:autoSpaceDN/>
              <w:adjustRightInd/>
              <w:jc w:val="center"/>
            </w:pPr>
            <w:r>
              <w:t>$177.97</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749F4" w:rsidRPr="009A3BA7" w:rsidP="00D749F4" w14:paraId="1BFC6E6D" w14:textId="05D101F1">
            <w:pPr>
              <w:widowControl/>
              <w:autoSpaceDE/>
              <w:autoSpaceDN/>
              <w:adjustRightInd/>
              <w:jc w:val="center"/>
            </w:pPr>
            <w:r>
              <w:t>$534</w:t>
            </w:r>
          </w:p>
        </w:tc>
      </w:tr>
      <w:tr w14:paraId="23301B5E" w14:textId="77777777" w:rsidTr="00D0375C">
        <w:tblPrEx>
          <w:tblW w:w="9757" w:type="dxa"/>
          <w:tblLook w:val="04A0"/>
        </w:tblPrEx>
        <w:trPr>
          <w:trHeight w:val="78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D749F4" w:rsidRPr="009A3BA7" w:rsidP="00D749F4" w14:paraId="2E73D564" w14:textId="77777777">
            <w:pPr>
              <w:widowControl/>
              <w:autoSpaceDE/>
              <w:autoSpaceDN/>
              <w:adjustRightInd/>
            </w:pPr>
            <w:r w:rsidRPr="009A3BA7">
              <w:t>Human resource/benefits specialist identify and collect the required supporting documentation</w:t>
            </w:r>
          </w:p>
        </w:tc>
        <w:tc>
          <w:tcPr>
            <w:tcW w:w="1137"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2CCE3359" w14:textId="77777777">
            <w:pPr>
              <w:widowControl/>
              <w:autoSpaceDE/>
              <w:autoSpaceDN/>
              <w:adjustRightInd/>
              <w:jc w:val="center"/>
            </w:pPr>
            <w:r w:rsidRPr="009A3BA7">
              <w:t>6</w:t>
            </w:r>
          </w:p>
        </w:tc>
        <w:tc>
          <w:tcPr>
            <w:tcW w:w="1280"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7D94A4E3" w14:textId="77777777">
            <w:pPr>
              <w:widowControl/>
              <w:autoSpaceDE/>
              <w:autoSpaceDN/>
              <w:adjustRightInd/>
              <w:jc w:val="center"/>
            </w:pPr>
            <w:r w:rsidRPr="009A3BA7">
              <w:t>8</w:t>
            </w:r>
          </w:p>
        </w:tc>
        <w:tc>
          <w:tcPr>
            <w:tcW w:w="1100"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4A868436" w14:textId="77777777">
            <w:pPr>
              <w:widowControl/>
              <w:autoSpaceDE/>
              <w:autoSpaceDN/>
              <w:adjustRightInd/>
              <w:jc w:val="center"/>
            </w:pPr>
            <w:r w:rsidRPr="009A3BA7">
              <w:t>48</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D749F4" w:rsidRPr="009A3BA7" w:rsidP="00D749F4" w14:paraId="258AED40" w14:textId="5A448197">
            <w:pPr>
              <w:widowControl/>
              <w:autoSpaceDE/>
              <w:autoSpaceDN/>
              <w:adjustRightInd/>
              <w:jc w:val="center"/>
            </w:pPr>
            <w:r>
              <w:t>$125.88</w:t>
            </w:r>
          </w:p>
        </w:tc>
        <w:tc>
          <w:tcPr>
            <w:tcW w:w="1660"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5DBC7DB9" w14:textId="7029B6EF">
            <w:pPr>
              <w:widowControl/>
              <w:autoSpaceDE/>
              <w:autoSpaceDN/>
              <w:adjustRightInd/>
              <w:jc w:val="center"/>
            </w:pPr>
            <w:r>
              <w:t>$6,042</w:t>
            </w:r>
          </w:p>
        </w:tc>
      </w:tr>
      <w:tr w14:paraId="0D3FE840" w14:textId="77777777" w:rsidTr="00D0375C">
        <w:tblPrEx>
          <w:tblW w:w="9757" w:type="dxa"/>
          <w:tblLook w:val="04A0"/>
        </w:tblPrEx>
        <w:trPr>
          <w:trHeight w:val="27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D749F4" w:rsidRPr="009A3BA7" w:rsidP="00D749F4" w14:paraId="0796B3FA" w14:textId="77777777">
            <w:pPr>
              <w:widowControl/>
              <w:autoSpaceDE/>
              <w:autoSpaceDN/>
              <w:adjustRightInd/>
            </w:pPr>
            <w:r w:rsidRPr="009A3BA7">
              <w:t>Clerical staff prepares request</w:t>
            </w:r>
          </w:p>
        </w:tc>
        <w:tc>
          <w:tcPr>
            <w:tcW w:w="1137" w:type="dxa"/>
            <w:tcBorders>
              <w:top w:val="nil"/>
              <w:left w:val="nil"/>
              <w:bottom w:val="double" w:sz="4" w:space="0" w:color="auto"/>
              <w:right w:val="single" w:sz="4" w:space="0" w:color="auto"/>
            </w:tcBorders>
            <w:shd w:val="clear" w:color="auto" w:fill="auto"/>
            <w:noWrap/>
            <w:vAlign w:val="bottom"/>
            <w:hideMark/>
          </w:tcPr>
          <w:p w:rsidR="00D749F4" w:rsidRPr="009A3BA7" w:rsidP="00D749F4" w14:paraId="3B833498" w14:textId="77777777">
            <w:pPr>
              <w:widowControl/>
              <w:autoSpaceDE/>
              <w:autoSpaceDN/>
              <w:adjustRightInd/>
              <w:jc w:val="center"/>
            </w:pPr>
            <w:r w:rsidRPr="009A3BA7">
              <w:t>6</w:t>
            </w:r>
          </w:p>
        </w:tc>
        <w:tc>
          <w:tcPr>
            <w:tcW w:w="1280" w:type="dxa"/>
            <w:tcBorders>
              <w:top w:val="nil"/>
              <w:left w:val="nil"/>
              <w:bottom w:val="double" w:sz="4" w:space="0" w:color="auto"/>
              <w:right w:val="single" w:sz="4" w:space="0" w:color="auto"/>
            </w:tcBorders>
            <w:shd w:val="clear" w:color="auto" w:fill="auto"/>
            <w:noWrap/>
            <w:vAlign w:val="bottom"/>
            <w:hideMark/>
          </w:tcPr>
          <w:p w:rsidR="00D749F4" w:rsidRPr="009A3BA7" w:rsidP="00D749F4" w14:paraId="33857C98" w14:textId="77777777">
            <w:pPr>
              <w:widowControl/>
              <w:autoSpaceDE/>
              <w:autoSpaceDN/>
              <w:adjustRightInd/>
              <w:jc w:val="center"/>
            </w:pPr>
            <w:r w:rsidRPr="009A3BA7">
              <w:t>2</w:t>
            </w:r>
          </w:p>
        </w:tc>
        <w:tc>
          <w:tcPr>
            <w:tcW w:w="1100" w:type="dxa"/>
            <w:tcBorders>
              <w:top w:val="nil"/>
              <w:left w:val="nil"/>
              <w:bottom w:val="double" w:sz="6" w:space="0" w:color="auto"/>
              <w:right w:val="single" w:sz="4" w:space="0" w:color="auto"/>
            </w:tcBorders>
            <w:shd w:val="clear" w:color="auto" w:fill="auto"/>
            <w:noWrap/>
            <w:vAlign w:val="bottom"/>
            <w:hideMark/>
          </w:tcPr>
          <w:p w:rsidR="00D749F4" w:rsidRPr="009A3BA7" w:rsidP="00D749F4" w14:paraId="230990BD" w14:textId="293945EC">
            <w:pPr>
              <w:widowControl/>
              <w:autoSpaceDE/>
              <w:autoSpaceDN/>
              <w:adjustRightInd/>
              <w:jc w:val="center"/>
            </w:pPr>
            <w:r w:rsidRPr="009A3BA7">
              <w:t>1</w:t>
            </w:r>
            <w:r>
              <w:t>2</w:t>
            </w:r>
          </w:p>
        </w:tc>
        <w:tc>
          <w:tcPr>
            <w:tcW w:w="1660" w:type="dxa"/>
            <w:tcBorders>
              <w:top w:val="nil"/>
              <w:left w:val="single" w:sz="4" w:space="0" w:color="auto"/>
              <w:bottom w:val="double" w:sz="6" w:space="0" w:color="auto"/>
              <w:right w:val="single" w:sz="4" w:space="0" w:color="auto"/>
            </w:tcBorders>
            <w:shd w:val="clear" w:color="auto" w:fill="auto"/>
            <w:noWrap/>
            <w:vAlign w:val="bottom"/>
            <w:hideMark/>
          </w:tcPr>
          <w:p w:rsidR="00D749F4" w:rsidRPr="009A3BA7" w:rsidP="00D749F4" w14:paraId="41025B02" w14:textId="5D8F5816">
            <w:pPr>
              <w:widowControl/>
              <w:autoSpaceDE/>
              <w:autoSpaceDN/>
              <w:adjustRightInd/>
              <w:jc w:val="center"/>
            </w:pPr>
            <w:r>
              <w:t>$69.41</w:t>
            </w:r>
          </w:p>
        </w:tc>
        <w:tc>
          <w:tcPr>
            <w:tcW w:w="1660" w:type="dxa"/>
            <w:tcBorders>
              <w:top w:val="nil"/>
              <w:left w:val="nil"/>
              <w:bottom w:val="double" w:sz="6" w:space="0" w:color="auto"/>
              <w:right w:val="single" w:sz="4" w:space="0" w:color="auto"/>
            </w:tcBorders>
            <w:shd w:val="clear" w:color="auto" w:fill="auto"/>
            <w:noWrap/>
            <w:vAlign w:val="bottom"/>
            <w:hideMark/>
          </w:tcPr>
          <w:p w:rsidR="00D749F4" w:rsidRPr="009A3BA7" w:rsidP="00D749F4" w14:paraId="126A25FC" w14:textId="2EBE31EB">
            <w:pPr>
              <w:widowControl/>
              <w:autoSpaceDE/>
              <w:autoSpaceDN/>
              <w:adjustRightInd/>
              <w:jc w:val="center"/>
            </w:pPr>
            <w:r>
              <w:t>$833</w:t>
            </w:r>
          </w:p>
        </w:tc>
      </w:tr>
      <w:tr w14:paraId="064366E0" w14:textId="77777777" w:rsidTr="00D0375C">
        <w:tblPrEx>
          <w:tblW w:w="9757" w:type="dxa"/>
          <w:tblLook w:val="04A0"/>
        </w:tblPrEx>
        <w:trPr>
          <w:trHeight w:val="27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D749F4" w:rsidRPr="00D0375C" w:rsidP="00D749F4" w14:paraId="67BD9F76" w14:textId="2F206E71">
            <w:pPr>
              <w:widowControl/>
              <w:autoSpaceDE/>
              <w:autoSpaceDN/>
              <w:adjustRightInd/>
              <w:rPr>
                <w:b/>
                <w:bCs/>
              </w:rPr>
            </w:pPr>
            <w:r w:rsidRPr="00D0375C">
              <w:rPr>
                <w:b/>
                <w:bCs/>
              </w:rPr>
              <w:t>Total </w:t>
            </w:r>
          </w:p>
        </w:tc>
        <w:tc>
          <w:tcPr>
            <w:tcW w:w="1137" w:type="dxa"/>
            <w:tcBorders>
              <w:top w:val="double" w:sz="4" w:space="0" w:color="auto"/>
              <w:left w:val="nil"/>
              <w:bottom w:val="single" w:sz="4" w:space="0" w:color="auto"/>
              <w:right w:val="single" w:sz="4" w:space="0" w:color="auto"/>
            </w:tcBorders>
            <w:shd w:val="clear" w:color="auto" w:fill="auto"/>
            <w:noWrap/>
            <w:vAlign w:val="bottom"/>
            <w:hideMark/>
          </w:tcPr>
          <w:p w:rsidR="00D749F4" w:rsidRPr="009A3BA7" w:rsidP="00D0375C" w14:paraId="709B6541" w14:textId="575D9C18">
            <w:pPr>
              <w:widowControl/>
              <w:autoSpaceDE/>
              <w:autoSpaceDN/>
              <w:adjustRightInd/>
              <w:jc w:val="center"/>
            </w:pPr>
            <w:r>
              <w:t>-</w:t>
            </w:r>
          </w:p>
        </w:tc>
        <w:tc>
          <w:tcPr>
            <w:tcW w:w="1280" w:type="dxa"/>
            <w:tcBorders>
              <w:top w:val="double" w:sz="4" w:space="0" w:color="auto"/>
              <w:left w:val="nil"/>
              <w:bottom w:val="single" w:sz="4" w:space="0" w:color="auto"/>
              <w:right w:val="single" w:sz="4" w:space="0" w:color="auto"/>
            </w:tcBorders>
            <w:shd w:val="clear" w:color="auto" w:fill="auto"/>
            <w:noWrap/>
            <w:vAlign w:val="bottom"/>
            <w:hideMark/>
          </w:tcPr>
          <w:p w:rsidR="00D749F4" w:rsidRPr="009A3BA7" w:rsidP="00D749F4" w14:paraId="14886454" w14:textId="21474AED">
            <w:pPr>
              <w:widowControl/>
              <w:autoSpaceDE/>
              <w:autoSpaceDN/>
              <w:adjustRightInd/>
              <w:jc w:val="center"/>
              <w:rPr>
                <w:b/>
                <w:bCs/>
              </w:rPr>
            </w:pPr>
            <w:r>
              <w:rPr>
                <w:b/>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4F7DABC7" w14:textId="71D062D3">
            <w:pPr>
              <w:widowControl/>
              <w:autoSpaceDE/>
              <w:autoSpaceDN/>
              <w:adjustRightInd/>
              <w:jc w:val="center"/>
              <w:rPr>
                <w:b/>
                <w:bCs/>
              </w:rPr>
            </w:pPr>
            <w:r w:rsidRPr="009A3BA7">
              <w:rPr>
                <w:b/>
                <w:bCs/>
              </w:rPr>
              <w:t>6</w:t>
            </w:r>
            <w:r>
              <w:rPr>
                <w:b/>
                <w:bCs/>
              </w:rPr>
              <w:t>3</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D749F4" w:rsidRPr="009A3BA7" w:rsidP="00D749F4" w14:paraId="2333D327" w14:textId="48BB2480">
            <w:pPr>
              <w:widowControl/>
              <w:autoSpaceDE/>
              <w:autoSpaceDN/>
              <w:adjustRightInd/>
              <w:jc w:val="center"/>
              <w:rPr>
                <w:b/>
                <w:bCs/>
              </w:rPr>
            </w:pPr>
            <w:r>
              <w:rPr>
                <w:b/>
                <w:bCs/>
              </w:rPr>
              <w:t>-</w:t>
            </w:r>
          </w:p>
        </w:tc>
        <w:tc>
          <w:tcPr>
            <w:tcW w:w="1660" w:type="dxa"/>
            <w:tcBorders>
              <w:top w:val="nil"/>
              <w:left w:val="nil"/>
              <w:bottom w:val="single" w:sz="4" w:space="0" w:color="auto"/>
              <w:right w:val="single" w:sz="4" w:space="0" w:color="auto"/>
            </w:tcBorders>
            <w:shd w:val="clear" w:color="auto" w:fill="auto"/>
            <w:noWrap/>
            <w:vAlign w:val="bottom"/>
            <w:hideMark/>
          </w:tcPr>
          <w:p w:rsidR="00D749F4" w:rsidRPr="009A3BA7" w:rsidP="00D749F4" w14:paraId="16383B30" w14:textId="7C447A44">
            <w:pPr>
              <w:widowControl/>
              <w:autoSpaceDE/>
              <w:autoSpaceDN/>
              <w:adjustRightInd/>
              <w:jc w:val="center"/>
              <w:rPr>
                <w:b/>
                <w:bCs/>
              </w:rPr>
            </w:pPr>
            <w:r>
              <w:rPr>
                <w:b/>
                <w:bCs/>
              </w:rPr>
              <w:t>$7,409</w:t>
            </w:r>
          </w:p>
        </w:tc>
      </w:tr>
    </w:tbl>
    <w:p w:rsidR="00B34DD5" w:rsidP="00B34DD5" w14:paraId="6001BD41" w14:textId="0281BB15">
      <w:pPr>
        <w:widowControl/>
      </w:pPr>
      <w:r>
        <w:tab/>
      </w:r>
    </w:p>
    <w:p w:rsidR="00B34DD5" w:rsidRPr="00D0375C" w:rsidP="00D0375C" w14:paraId="63B42141" w14:textId="4AAA1D11">
      <w:pPr>
        <w:widowControl/>
        <w:rPr>
          <w:b/>
          <w:bCs/>
        </w:rPr>
      </w:pPr>
      <w:r>
        <w:tab/>
      </w:r>
      <w:r w:rsidRPr="00D0375C">
        <w:rPr>
          <w:b/>
          <w:bCs/>
        </w:rPr>
        <w:t xml:space="preserve">Table 1. Hour Burden </w:t>
      </w:r>
    </w:p>
    <w:p w:rsidR="00DE019B" w:rsidP="00AA46BC" w14:paraId="1C700DED" w14:textId="77777777">
      <w:pPr>
        <w:widowControl/>
      </w:pPr>
    </w:p>
    <w:p w:rsidR="00B34DD5" w:rsidP="00F07D12" w14:paraId="5B4E1E28" w14:textId="77777777">
      <w:pPr>
        <w:widowControl/>
        <w:autoSpaceDE/>
        <w:autoSpaceDN/>
        <w:adjustRightInd/>
        <w:ind w:left="720"/>
        <w:textAlignment w:val="baseline"/>
      </w:pPr>
    </w:p>
    <w:p w:rsidR="00F07D12" w:rsidRPr="00D0375C" w:rsidP="00F07D12" w14:paraId="0371149F" w14:textId="7E16C9E3">
      <w:pPr>
        <w:widowControl/>
        <w:autoSpaceDE/>
        <w:autoSpaceDN/>
        <w:adjustRightInd/>
        <w:ind w:left="720"/>
        <w:textAlignment w:val="baseline"/>
      </w:pPr>
      <w:r>
        <w:t>The total hour burden associated with this information collection is 6</w:t>
      </w:r>
      <w:r w:rsidR="008E2216">
        <w:t>3</w:t>
      </w:r>
      <w:r>
        <w:t xml:space="preserve"> hours with an equivalent cost of $</w:t>
      </w:r>
      <w:r w:rsidR="00D749F4">
        <w:t>7,409</w:t>
      </w:r>
      <w:r>
        <w:t xml:space="preserve">. </w:t>
      </w:r>
    </w:p>
    <w:p w:rsidR="00F07D12" w:rsidP="00D0375C" w14:paraId="7452524D" w14:textId="77777777">
      <w:pPr>
        <w:widowControl/>
        <w:autoSpaceDE/>
        <w:autoSpaceDN/>
        <w:adjustRightInd/>
        <w:ind w:left="720"/>
        <w:textAlignment w:val="baseline"/>
        <w:rPr>
          <w:b/>
          <w:bCs/>
        </w:rPr>
      </w:pPr>
    </w:p>
    <w:p w:rsidR="00AA46BC" w:rsidP="00AA46BC" w14:paraId="11D2F5AC" w14:textId="2A7C73BE">
      <w:pPr>
        <w:widowControl/>
        <w:autoSpaceDE/>
        <w:autoSpaceDN/>
        <w:adjustRightInd/>
        <w:ind w:left="720"/>
        <w:jc w:val="center"/>
        <w:textAlignment w:val="baseline"/>
      </w:pPr>
      <w:r>
        <w:rPr>
          <w:b/>
          <w:bCs/>
        </w:rPr>
        <w:t xml:space="preserve">Table 2. </w:t>
      </w:r>
      <w:r w:rsidRPr="00AA46BC">
        <w:rPr>
          <w:b/>
          <w:bCs/>
        </w:rPr>
        <w:t>Estimated Annualized Respondent Cost and Hour Burden</w:t>
      </w:r>
      <w:r w:rsidRPr="00AA46BC">
        <w:t> </w:t>
      </w:r>
    </w:p>
    <w:p w:rsidR="006C6D72" w:rsidP="00AA46BC" w14:paraId="61CE3CAB" w14:textId="77777777">
      <w:pPr>
        <w:widowControl/>
        <w:autoSpaceDE/>
        <w:autoSpaceDN/>
        <w:adjustRightInd/>
        <w:ind w:left="720"/>
        <w:jc w:val="center"/>
        <w:textAlignment w:val="baseline"/>
      </w:pPr>
    </w:p>
    <w:tbl>
      <w:tblPr>
        <w:tblW w:w="10733" w:type="dxa"/>
        <w:tblLook w:val="04A0"/>
      </w:tblPr>
      <w:tblGrid>
        <w:gridCol w:w="1877"/>
        <w:gridCol w:w="1526"/>
        <w:gridCol w:w="1438"/>
        <w:gridCol w:w="1272"/>
        <w:gridCol w:w="1074"/>
        <w:gridCol w:w="1020"/>
        <w:gridCol w:w="953"/>
        <w:gridCol w:w="1337"/>
        <w:gridCol w:w="236"/>
      </w:tblGrid>
      <w:tr w14:paraId="390154A6" w14:textId="77777777" w:rsidTr="00D0375C">
        <w:tblPrEx>
          <w:tblW w:w="10733" w:type="dxa"/>
          <w:tblLook w:val="04A0"/>
        </w:tblPrEx>
        <w:trPr>
          <w:gridAfter w:val="1"/>
          <w:wAfter w:w="236" w:type="dxa"/>
          <w:trHeight w:val="560"/>
        </w:trPr>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512B99F3" w14:textId="77777777">
            <w:pPr>
              <w:widowControl/>
              <w:autoSpaceDE/>
              <w:autoSpaceDN/>
              <w:adjustRightInd/>
              <w:jc w:val="center"/>
              <w:rPr>
                <w:b/>
                <w:bCs/>
                <w:color w:val="000000"/>
              </w:rPr>
            </w:pPr>
            <w:r w:rsidRPr="00D0375C">
              <w:rPr>
                <w:b/>
                <w:bCs/>
              </w:rPr>
              <w:t>Activity</w:t>
            </w:r>
            <w:r w:rsidRPr="00D0375C">
              <w:rPr>
                <w:color w:val="000000"/>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10BDEFBF" w14:textId="77777777">
            <w:pPr>
              <w:widowControl/>
              <w:autoSpaceDE/>
              <w:autoSpaceDN/>
              <w:adjustRightInd/>
              <w:jc w:val="center"/>
              <w:rPr>
                <w:b/>
                <w:bCs/>
                <w:color w:val="000000"/>
              </w:rPr>
            </w:pPr>
            <w:r w:rsidRPr="00D0375C">
              <w:rPr>
                <w:b/>
                <w:bCs/>
              </w:rPr>
              <w:t>Number of Respondents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61A33E83" w14:textId="77777777">
            <w:pPr>
              <w:widowControl/>
              <w:autoSpaceDE/>
              <w:autoSpaceDN/>
              <w:adjustRightInd/>
              <w:jc w:val="center"/>
              <w:rPr>
                <w:b/>
                <w:bCs/>
                <w:color w:val="000000"/>
              </w:rPr>
            </w:pPr>
            <w:r w:rsidRPr="00D0375C">
              <w:rPr>
                <w:b/>
                <w:bCs/>
              </w:rPr>
              <w:t>Number of Responses per Respondent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4EA21669" w14:textId="77777777">
            <w:pPr>
              <w:widowControl/>
              <w:autoSpaceDE/>
              <w:autoSpaceDN/>
              <w:adjustRightInd/>
              <w:jc w:val="center"/>
              <w:rPr>
                <w:b/>
                <w:bCs/>
                <w:color w:val="000000"/>
              </w:rPr>
            </w:pPr>
            <w:r w:rsidRPr="00D0375C">
              <w:rPr>
                <w:b/>
                <w:bCs/>
              </w:rPr>
              <w:t>Total Responses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3B42866C" w14:textId="77777777">
            <w:pPr>
              <w:widowControl/>
              <w:autoSpaceDE/>
              <w:autoSpaceDN/>
              <w:adjustRightInd/>
              <w:jc w:val="center"/>
              <w:rPr>
                <w:b/>
                <w:bCs/>
                <w:color w:val="000000"/>
              </w:rPr>
            </w:pPr>
            <w:r w:rsidRPr="00D0375C">
              <w:rPr>
                <w:b/>
                <w:bCs/>
              </w:rPr>
              <w:t>Average Burden (Hours)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022BB3A1" w14:textId="77777777">
            <w:pPr>
              <w:widowControl/>
              <w:autoSpaceDE/>
              <w:autoSpaceDN/>
              <w:adjustRightInd/>
              <w:jc w:val="center"/>
              <w:rPr>
                <w:b/>
                <w:bCs/>
                <w:color w:val="000000"/>
              </w:rPr>
            </w:pPr>
            <w:r w:rsidRPr="00D0375C">
              <w:rPr>
                <w:b/>
                <w:bCs/>
              </w:rPr>
              <w:t>Total Burden (Hours)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6196EB85" w14:textId="77777777">
            <w:pPr>
              <w:widowControl/>
              <w:autoSpaceDE/>
              <w:autoSpaceDN/>
              <w:adjustRightInd/>
              <w:jc w:val="center"/>
              <w:rPr>
                <w:b/>
                <w:bCs/>
                <w:color w:val="000000"/>
              </w:rPr>
            </w:pPr>
            <w:r w:rsidRPr="00D0375C">
              <w:rPr>
                <w:b/>
                <w:bCs/>
              </w:rPr>
              <w:t>Hourly Wage Rate</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817D5" w:rsidRPr="00D0375C" w:rsidP="001817D5" w14:paraId="75D64AD2" w14:textId="77777777">
            <w:pPr>
              <w:widowControl/>
              <w:autoSpaceDE/>
              <w:autoSpaceDN/>
              <w:adjustRightInd/>
              <w:jc w:val="center"/>
              <w:rPr>
                <w:b/>
                <w:bCs/>
                <w:color w:val="000000"/>
              </w:rPr>
            </w:pPr>
            <w:r w:rsidRPr="00D0375C">
              <w:rPr>
                <w:b/>
                <w:bCs/>
              </w:rPr>
              <w:t>Equivalent Cost</w:t>
            </w:r>
          </w:p>
        </w:tc>
      </w:tr>
      <w:tr w14:paraId="686662E9" w14:textId="77777777" w:rsidTr="00D0375C">
        <w:tblPrEx>
          <w:tblW w:w="10733" w:type="dxa"/>
          <w:tblLook w:val="04A0"/>
        </w:tblPrEx>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03192F9D"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78443C33"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6CC66A23"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12E2A9FE"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1CA030B2"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4878D1B7"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5E122408" w14:textId="77777777">
            <w:pPr>
              <w:widowControl/>
              <w:autoSpaceDE/>
              <w:autoSpaceDN/>
              <w:adjustRightInd/>
              <w:rPr>
                <w:b/>
                <w:bCs/>
                <w:color w:val="00000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1817D5" w:rsidRPr="00D0375C" w:rsidP="001817D5" w14:paraId="78FD3CD7" w14:textId="77777777">
            <w:pPr>
              <w:widowControl/>
              <w:autoSpaceDE/>
              <w:autoSpaceDN/>
              <w:adjustRightInd/>
              <w:rPr>
                <w:b/>
                <w:bCs/>
                <w:color w:val="000000"/>
              </w:rPr>
            </w:pPr>
          </w:p>
        </w:tc>
        <w:tc>
          <w:tcPr>
            <w:tcW w:w="236" w:type="dxa"/>
            <w:tcBorders>
              <w:top w:val="nil"/>
              <w:left w:val="nil"/>
              <w:bottom w:val="nil"/>
              <w:right w:val="nil"/>
            </w:tcBorders>
            <w:shd w:val="clear" w:color="auto" w:fill="auto"/>
            <w:noWrap/>
            <w:vAlign w:val="bottom"/>
            <w:hideMark/>
          </w:tcPr>
          <w:p w:rsidR="001817D5" w:rsidRPr="00D0375C" w:rsidP="001817D5" w14:paraId="26140090" w14:textId="77777777">
            <w:pPr>
              <w:widowControl/>
              <w:autoSpaceDE/>
              <w:autoSpaceDN/>
              <w:adjustRightInd/>
              <w:jc w:val="center"/>
              <w:rPr>
                <w:b/>
                <w:bCs/>
                <w:color w:val="000000"/>
              </w:rPr>
            </w:pPr>
          </w:p>
        </w:tc>
      </w:tr>
      <w:tr w14:paraId="5B5A41F0" w14:textId="77777777" w:rsidTr="00D0375C">
        <w:tblPrEx>
          <w:tblW w:w="10733" w:type="dxa"/>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3AED733D" w14:textId="77777777">
            <w:pPr>
              <w:widowControl/>
              <w:autoSpaceDE/>
              <w:autoSpaceDN/>
              <w:adjustRightInd/>
            </w:pPr>
            <w:r w:rsidRPr="00D0375C">
              <w:t xml:space="preserve">Attorney prepares request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426AC8E5" w14:textId="77777777">
            <w:pPr>
              <w:widowControl/>
              <w:autoSpaceDE/>
              <w:autoSpaceDN/>
              <w:adjustRightInd/>
              <w:jc w:val="center"/>
            </w:pPr>
            <w:r w:rsidRPr="00D0375C">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15A9DBF3" w14:textId="77777777">
            <w:pPr>
              <w:widowControl/>
              <w:autoSpaceDE/>
              <w:autoSpaceDN/>
              <w:adjustRightInd/>
              <w:jc w:val="center"/>
            </w:pPr>
            <w:r w:rsidRPr="00D0375C">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3067BC31" w14:textId="77777777">
            <w:pPr>
              <w:widowControl/>
              <w:autoSpaceDE/>
              <w:autoSpaceDN/>
              <w:adjustRightInd/>
              <w:jc w:val="center"/>
            </w:pPr>
            <w:r w:rsidRPr="00D0375C">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16AB5F26" w14:textId="77777777">
            <w:pPr>
              <w:widowControl/>
              <w:autoSpaceDE/>
              <w:autoSpaceDN/>
              <w:adjustRightInd/>
              <w:jc w:val="center"/>
            </w:pPr>
            <w:r w:rsidRPr="00D0375C">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476DE2E3" w14:textId="77777777">
            <w:pPr>
              <w:widowControl/>
              <w:autoSpaceDE/>
              <w:autoSpaceDN/>
              <w:adjustRightInd/>
              <w:jc w:val="center"/>
            </w:pPr>
            <w:r w:rsidRPr="00D0375C">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5DA5ED23" w14:textId="00C06387">
            <w:pPr>
              <w:widowControl/>
              <w:autoSpaceDE/>
              <w:autoSpaceDN/>
              <w:adjustRightInd/>
              <w:jc w:val="center"/>
            </w:pPr>
            <w:r>
              <w:rPr>
                <w:sz w:val="22"/>
                <w:szCs w:val="22"/>
              </w:rPr>
              <w:t>$177.97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41874D47" w14:textId="55E378BF">
            <w:pPr>
              <w:widowControl/>
              <w:autoSpaceDE/>
              <w:autoSpaceDN/>
              <w:adjustRightInd/>
              <w:jc w:val="center"/>
            </w:pPr>
            <w:r>
              <w:rPr>
                <w:sz w:val="22"/>
                <w:szCs w:val="22"/>
              </w:rPr>
              <w:t>$534</w:t>
            </w:r>
          </w:p>
        </w:tc>
        <w:tc>
          <w:tcPr>
            <w:tcW w:w="236" w:type="dxa"/>
            <w:tcBorders>
              <w:left w:val="single" w:sz="4" w:space="0" w:color="auto"/>
            </w:tcBorders>
            <w:vAlign w:val="center"/>
            <w:hideMark/>
          </w:tcPr>
          <w:p w:rsidR="001960CA" w:rsidRPr="00D0375C" w:rsidP="001960CA" w14:paraId="7EAC7667" w14:textId="77777777">
            <w:pPr>
              <w:widowControl/>
              <w:autoSpaceDE/>
              <w:autoSpaceDN/>
              <w:adjustRightInd/>
            </w:pPr>
          </w:p>
        </w:tc>
      </w:tr>
      <w:tr w14:paraId="15484175" w14:textId="77777777" w:rsidTr="00D0375C">
        <w:tblPrEx>
          <w:tblW w:w="10733" w:type="dxa"/>
          <w:tblLook w:val="04A0"/>
        </w:tblPrEx>
        <w:trPr>
          <w:trHeight w:val="17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00DE0E7A" w14:textId="77777777">
            <w:pPr>
              <w:widowControl/>
              <w:autoSpaceDE/>
              <w:autoSpaceDN/>
              <w:adjustRightInd/>
            </w:pPr>
            <w:r w:rsidRPr="00D0375C">
              <w:t>Human resource/benefits specialist identify and collect the required supporting documentation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61DE0C06" w14:textId="77777777">
            <w:pPr>
              <w:widowControl/>
              <w:autoSpaceDE/>
              <w:autoSpaceDN/>
              <w:adjustRightInd/>
              <w:jc w:val="center"/>
            </w:pPr>
            <w:r w:rsidRPr="00D0375C">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1E803ABE" w14:textId="77777777">
            <w:pPr>
              <w:widowControl/>
              <w:autoSpaceDE/>
              <w:autoSpaceDN/>
              <w:adjustRightInd/>
              <w:jc w:val="center"/>
            </w:pPr>
            <w:r w:rsidRPr="00D0375C">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385A53EE" w14:textId="77777777">
            <w:pPr>
              <w:widowControl/>
              <w:autoSpaceDE/>
              <w:autoSpaceDN/>
              <w:adjustRightInd/>
              <w:jc w:val="center"/>
            </w:pPr>
            <w:r w:rsidRPr="00D0375C">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7C52A12E" w14:textId="77777777">
            <w:pPr>
              <w:widowControl/>
              <w:autoSpaceDE/>
              <w:autoSpaceDN/>
              <w:adjustRightInd/>
              <w:jc w:val="center"/>
            </w:pPr>
            <w:r w:rsidRPr="00D0375C">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08FE6C1B" w14:textId="77777777">
            <w:pPr>
              <w:widowControl/>
              <w:autoSpaceDE/>
              <w:autoSpaceDN/>
              <w:adjustRightInd/>
              <w:jc w:val="center"/>
            </w:pPr>
            <w:r w:rsidRPr="00D0375C">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23860E2B" w14:textId="0C867F1E">
            <w:pPr>
              <w:widowControl/>
              <w:autoSpaceDE/>
              <w:autoSpaceDN/>
              <w:adjustRightInd/>
              <w:jc w:val="center"/>
            </w:pPr>
            <w:r>
              <w:rPr>
                <w:sz w:val="22"/>
                <w:szCs w:val="22"/>
              </w:rPr>
              <w:t xml:space="preserve">$125.88 </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68DA5099" w14:textId="6392ADF9">
            <w:pPr>
              <w:widowControl/>
              <w:autoSpaceDE/>
              <w:autoSpaceDN/>
              <w:adjustRightInd/>
              <w:jc w:val="center"/>
            </w:pPr>
            <w:r>
              <w:rPr>
                <w:sz w:val="22"/>
                <w:szCs w:val="22"/>
              </w:rPr>
              <w:t xml:space="preserve">$6,042 </w:t>
            </w:r>
          </w:p>
        </w:tc>
        <w:tc>
          <w:tcPr>
            <w:tcW w:w="236" w:type="dxa"/>
            <w:tcBorders>
              <w:left w:val="single" w:sz="4" w:space="0" w:color="auto"/>
            </w:tcBorders>
            <w:vAlign w:val="center"/>
            <w:hideMark/>
          </w:tcPr>
          <w:p w:rsidR="001960CA" w:rsidRPr="00D0375C" w:rsidP="001960CA" w14:paraId="1A52FAA4" w14:textId="77777777">
            <w:pPr>
              <w:widowControl/>
              <w:autoSpaceDE/>
              <w:autoSpaceDN/>
              <w:adjustRightInd/>
            </w:pPr>
          </w:p>
        </w:tc>
      </w:tr>
      <w:tr w14:paraId="725D4E39" w14:textId="77777777" w:rsidTr="00D0375C">
        <w:tblPrEx>
          <w:tblW w:w="10733" w:type="dxa"/>
          <w:tblLook w:val="04A0"/>
        </w:tblPrEx>
        <w:trPr>
          <w:trHeight w:val="5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74C4D548" w14:textId="77777777">
            <w:pPr>
              <w:widowControl/>
              <w:autoSpaceDE/>
              <w:autoSpaceDN/>
              <w:adjustRightInd/>
            </w:pPr>
            <w:r w:rsidRPr="00D0375C">
              <w:t>Clerical staff prepares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3E371016" w14:textId="77777777">
            <w:pPr>
              <w:widowControl/>
              <w:autoSpaceDE/>
              <w:autoSpaceDN/>
              <w:adjustRightInd/>
              <w:jc w:val="center"/>
            </w:pPr>
            <w:r w:rsidRPr="00D0375C">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6170E93E" w14:textId="77777777">
            <w:pPr>
              <w:widowControl/>
              <w:autoSpaceDE/>
              <w:autoSpaceDN/>
              <w:adjustRightInd/>
              <w:jc w:val="center"/>
            </w:pPr>
            <w:r w:rsidRPr="00D0375C">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43B0D3C7" w14:textId="77777777">
            <w:pPr>
              <w:widowControl/>
              <w:autoSpaceDE/>
              <w:autoSpaceDN/>
              <w:adjustRightInd/>
              <w:jc w:val="center"/>
            </w:pPr>
            <w:r w:rsidRPr="00D0375C">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71B9547A" w14:textId="77777777">
            <w:pPr>
              <w:widowControl/>
              <w:autoSpaceDE/>
              <w:autoSpaceDN/>
              <w:adjustRightInd/>
              <w:jc w:val="center"/>
            </w:pPr>
            <w:r w:rsidRPr="00D0375C">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6DEACEB1" w14:textId="77777777">
            <w:pPr>
              <w:widowControl/>
              <w:autoSpaceDE/>
              <w:autoSpaceDN/>
              <w:adjustRightInd/>
              <w:jc w:val="center"/>
            </w:pPr>
            <w:r w:rsidRPr="00D0375C">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64085E99" w14:textId="7A1CC485">
            <w:pPr>
              <w:widowControl/>
              <w:autoSpaceDE/>
              <w:autoSpaceDN/>
              <w:adjustRightInd/>
              <w:jc w:val="center"/>
            </w:pPr>
            <w:r>
              <w:rPr>
                <w:sz w:val="22"/>
                <w:szCs w:val="22"/>
              </w:rPr>
              <w:t xml:space="preserve">$69.41 </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30220EFD" w14:textId="30147854">
            <w:pPr>
              <w:widowControl/>
              <w:autoSpaceDE/>
              <w:autoSpaceDN/>
              <w:adjustRightInd/>
              <w:jc w:val="center"/>
            </w:pPr>
            <w:r>
              <w:rPr>
                <w:sz w:val="22"/>
                <w:szCs w:val="22"/>
              </w:rPr>
              <w:t xml:space="preserve">$833 </w:t>
            </w:r>
          </w:p>
        </w:tc>
        <w:tc>
          <w:tcPr>
            <w:tcW w:w="236" w:type="dxa"/>
            <w:tcBorders>
              <w:left w:val="single" w:sz="4" w:space="0" w:color="auto"/>
            </w:tcBorders>
            <w:vAlign w:val="center"/>
            <w:hideMark/>
          </w:tcPr>
          <w:p w:rsidR="001960CA" w:rsidRPr="00D0375C" w:rsidP="001960CA" w14:paraId="25A5DFF8" w14:textId="77777777">
            <w:pPr>
              <w:widowControl/>
              <w:autoSpaceDE/>
              <w:autoSpaceDN/>
              <w:adjustRightInd/>
            </w:pPr>
          </w:p>
        </w:tc>
      </w:tr>
      <w:tr w14:paraId="16AA5A8C" w14:textId="77777777" w:rsidTr="00D0375C">
        <w:tblPrEx>
          <w:tblW w:w="10733" w:type="dxa"/>
          <w:tblLook w:val="04A0"/>
        </w:tblPrEx>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4DE3998C" w14:textId="77777777">
            <w:pPr>
              <w:widowControl/>
              <w:autoSpaceDE/>
              <w:autoSpaceDN/>
              <w:adjustRightInd/>
              <w:rPr>
                <w:b/>
                <w:bCs/>
              </w:rPr>
            </w:pPr>
            <w:r w:rsidRPr="00D0375C">
              <w:rPr>
                <w:b/>
                <w:bCs/>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2F867D2E" w14:textId="77777777">
            <w:pPr>
              <w:widowControl/>
              <w:autoSpaceDE/>
              <w:autoSpaceDN/>
              <w:adjustRightInd/>
              <w:jc w:val="center"/>
              <w:rPr>
                <w:b/>
                <w:bCs/>
              </w:rPr>
            </w:pPr>
            <w:r w:rsidRPr="00D0375C">
              <w:rPr>
                <w:b/>
                <w:bCs/>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557D2813" w14:textId="77777777">
            <w:pPr>
              <w:widowControl/>
              <w:autoSpaceDE/>
              <w:autoSpaceDN/>
              <w:adjustRightInd/>
              <w:jc w:val="center"/>
              <w:rPr>
                <w:b/>
                <w:bCs/>
              </w:rPr>
            </w:pPr>
            <w:r w:rsidRPr="00D0375C">
              <w:rPr>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3D773CFD" w14:textId="77777777">
            <w:pPr>
              <w:widowControl/>
              <w:autoSpaceDE/>
              <w:autoSpaceDN/>
              <w:adjustRightInd/>
              <w:jc w:val="center"/>
              <w:rPr>
                <w:b/>
                <w:bCs/>
              </w:rPr>
            </w:pPr>
            <w:r w:rsidRPr="00D0375C">
              <w:rPr>
                <w:b/>
                <w:bCs/>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226B98D1" w14:textId="77777777">
            <w:pPr>
              <w:widowControl/>
              <w:autoSpaceDE/>
              <w:autoSpaceDN/>
              <w:adjustRightInd/>
              <w:jc w:val="center"/>
              <w:rPr>
                <w:b/>
                <w:bCs/>
              </w:rPr>
            </w:pPr>
            <w:r w:rsidRPr="00D0375C">
              <w:rPr>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14D25AC7" w14:textId="77777777">
            <w:pPr>
              <w:widowControl/>
              <w:autoSpaceDE/>
              <w:autoSpaceDN/>
              <w:adjustRightInd/>
              <w:jc w:val="center"/>
              <w:rPr>
                <w:b/>
                <w:bCs/>
              </w:rPr>
            </w:pPr>
            <w:r w:rsidRPr="00D0375C">
              <w:rPr>
                <w:b/>
                <w:bCs/>
              </w:rPr>
              <w:t>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60CA" w:rsidRPr="00D0375C" w:rsidP="001960CA" w14:paraId="64F13764" w14:textId="1AA5EAA5">
            <w:pPr>
              <w:widowControl/>
              <w:autoSpaceDE/>
              <w:autoSpaceDN/>
              <w:adjustRightInd/>
              <w:jc w:val="center"/>
              <w:rPr>
                <w:b/>
                <w:bCs/>
              </w:rPr>
            </w:pPr>
            <w:r>
              <w:rPr>
                <w:b/>
                <w:bCs/>
                <w:sz w:val="22"/>
                <w:szCs w:val="22"/>
              </w:rPr>
              <w:t>-</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1960CA" w:rsidRPr="00D0375C" w:rsidP="001960CA" w14:paraId="14E6F2E3" w14:textId="069F4566">
            <w:pPr>
              <w:widowControl/>
              <w:autoSpaceDE/>
              <w:autoSpaceDN/>
              <w:adjustRightInd/>
              <w:jc w:val="center"/>
              <w:rPr>
                <w:b/>
                <w:bCs/>
              </w:rPr>
            </w:pPr>
            <w:r>
              <w:rPr>
                <w:b/>
                <w:bCs/>
                <w:sz w:val="22"/>
                <w:szCs w:val="22"/>
              </w:rPr>
              <w:t xml:space="preserve">$7,409 </w:t>
            </w:r>
          </w:p>
        </w:tc>
        <w:tc>
          <w:tcPr>
            <w:tcW w:w="236" w:type="dxa"/>
            <w:tcBorders>
              <w:left w:val="single" w:sz="4" w:space="0" w:color="auto"/>
            </w:tcBorders>
            <w:vAlign w:val="center"/>
            <w:hideMark/>
          </w:tcPr>
          <w:p w:rsidR="001960CA" w:rsidRPr="00D0375C" w:rsidP="001960CA" w14:paraId="7B00B618" w14:textId="77777777">
            <w:pPr>
              <w:widowControl/>
              <w:autoSpaceDE/>
              <w:autoSpaceDN/>
              <w:adjustRightInd/>
            </w:pPr>
          </w:p>
        </w:tc>
      </w:tr>
    </w:tbl>
    <w:p w:rsidR="00CD5152" w:rsidP="00C56640" w14:paraId="1933D9D8" w14:textId="77777777">
      <w:pPr>
        <w:widowControl/>
      </w:pPr>
    </w:p>
    <w:p w:rsidR="001500FC" w:rsidP="001500FC" w14:paraId="7538F2A1" w14:textId="77777777">
      <w:pPr>
        <w:pStyle w:val="Quick1"/>
        <w:widowControl/>
        <w:numPr>
          <w:ilvl w:val="0"/>
          <w:numId w:val="14"/>
        </w:numPr>
        <w:tabs>
          <w:tab w:val="left" w:pos="-1440"/>
          <w:tab w:val="num" w:pos="720"/>
        </w:tabs>
        <w:rPr>
          <w:b/>
          <w:i w:val="0"/>
          <w:sz w:val="24"/>
        </w:rPr>
      </w:pPr>
      <w:r w:rsidRPr="001500FC">
        <w:rPr>
          <w:b/>
          <w:i w:val="0"/>
          <w:sz w:val="24"/>
        </w:rPr>
        <w:t xml:space="preserve">Provide an estimate of the total annual cost burden to respondents or recordkeepers </w:t>
      </w:r>
    </w:p>
    <w:p w:rsidR="00601A67" w:rsidP="001500FC" w14:paraId="24C10F6A" w14:textId="33B58B0E">
      <w:pPr>
        <w:pStyle w:val="Quick1"/>
        <w:widowControl/>
        <w:numPr>
          <w:ilvl w:val="0"/>
          <w:numId w:val="0"/>
        </w:numPr>
        <w:tabs>
          <w:tab w:val="left" w:pos="-1440"/>
          <w:tab w:val="num" w:pos="720"/>
        </w:tabs>
        <w:ind w:left="720"/>
        <w:rPr>
          <w:b/>
          <w:i w:val="0"/>
          <w:sz w:val="24"/>
        </w:rPr>
      </w:pPr>
      <w:r w:rsidRPr="001500FC">
        <w:rPr>
          <w:b/>
          <w:i w:val="0"/>
          <w:sz w:val="24"/>
        </w:rPr>
        <w:t>resulting from the collection of information.</w:t>
      </w:r>
      <w:r w:rsidR="00FB1364">
        <w:rPr>
          <w:b/>
          <w:i w:val="0"/>
          <w:sz w:val="24"/>
        </w:rPr>
        <w:t xml:space="preserve"> </w:t>
      </w:r>
      <w:r w:rsidRPr="001500FC">
        <w:rPr>
          <w:b/>
          <w:i w:val="0"/>
          <w:sz w:val="24"/>
        </w:rPr>
        <w:t>(Do not include the cost of any hour burden shown in Items 12 or 14).</w:t>
      </w:r>
    </w:p>
    <w:p w:rsidR="0025626F" w:rsidRPr="003E281B" w:rsidP="003E281B" w14:paraId="1D7911FA" w14:textId="79B9D08C">
      <w:pPr>
        <w:numPr>
          <w:ilvl w:val="0"/>
          <w:numId w:val="23"/>
        </w:numPr>
        <w:tabs>
          <w:tab w:val="num" w:pos="1440"/>
        </w:tabs>
        <w:ind w:left="1440"/>
        <w:rPr>
          <w:rFonts w:cs="Courier New"/>
          <w:b/>
        </w:rPr>
      </w:pPr>
      <w:r w:rsidRPr="00011E8C">
        <w:rPr>
          <w:rFonts w:cs="Courier New"/>
          <w:b/>
          <w:bCs/>
        </w:rPr>
        <w:t>The cost estimate should be split into two components:</w:t>
      </w:r>
      <w:r w:rsidR="00FB1364">
        <w:rPr>
          <w:rFonts w:cs="Courier New"/>
          <w:b/>
          <w:bCs/>
        </w:rPr>
        <w:t xml:space="preserve"> </w:t>
      </w:r>
      <w:r w:rsidRPr="00011E8C">
        <w:rPr>
          <w:rFonts w:cs="Courier New"/>
          <w:b/>
          <w:bCs/>
        </w:rPr>
        <w:t>(a) a total capital</w:t>
      </w:r>
      <w:r w:rsidRPr="00011E8C">
        <w:rPr>
          <w:rFonts w:cs="Courier New"/>
          <w:b/>
        </w:rPr>
        <w:t> </w:t>
      </w:r>
      <w:r w:rsidRPr="00011E8C">
        <w:rPr>
          <w:rFonts w:cs="Courier New"/>
          <w:b/>
          <w:bCs/>
        </w:rPr>
        <w:t>and </w:t>
      </w:r>
      <w:r w:rsidRPr="00011E8C">
        <w:rPr>
          <w:rFonts w:cs="Courier New"/>
          <w:b/>
          <w:bCs/>
        </w:rPr>
        <w:t>start up</w:t>
      </w:r>
      <w:r w:rsidRPr="00011E8C">
        <w:rPr>
          <w:rFonts w:cs="Courier New"/>
          <w:b/>
          <w:bCs/>
        </w:rPr>
        <w:t xml:space="preserve"> cost component (annualized over its expected useful life); and (b) a</w:t>
      </w:r>
      <w:r w:rsidRPr="00011E8C">
        <w:rPr>
          <w:rFonts w:cs="Courier New"/>
          <w:b/>
        </w:rPr>
        <w:t> </w:t>
      </w:r>
      <w:r w:rsidRPr="00011E8C">
        <w:rPr>
          <w:rFonts w:cs="Courier New"/>
          <w:b/>
          <w:bCs/>
        </w:rPr>
        <w:t xml:space="preserve">total operation and maintenance and purchase of service component. The estimates should </w:t>
      </w:r>
      <w:r w:rsidRPr="00011E8C">
        <w:rPr>
          <w:rFonts w:cs="Courier New"/>
          <w:b/>
          <w:bCs/>
        </w:rPr>
        <w:t>take into account</w:t>
      </w:r>
      <w:r w:rsidRPr="00011E8C">
        <w:rPr>
          <w:rFonts w:cs="Courier New"/>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11E8C">
        <w:rPr>
          <w:rFonts w:cs="Courier New"/>
          <w:b/>
          <w:bCs/>
        </w:rPr>
        <w:t>time period</w:t>
      </w:r>
      <w:r w:rsidRPr="00011E8C">
        <w:rPr>
          <w:rFonts w:cs="Courier New"/>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011E8C">
        <w:rPr>
          <w:rFonts w:cs="Courier New"/>
          <w:b/>
        </w:rPr>
        <w:t> </w:t>
      </w:r>
    </w:p>
    <w:p w:rsidR="0025626F" w:rsidRPr="00036CD3" w:rsidP="00036CD3" w14:paraId="2684499D" w14:textId="532EAEC8">
      <w:pPr>
        <w:numPr>
          <w:ilvl w:val="0"/>
          <w:numId w:val="24"/>
        </w:numPr>
        <w:rPr>
          <w:rFonts w:cs="Courier New"/>
          <w:b/>
        </w:rPr>
      </w:pPr>
      <w:r w:rsidRPr="00011E8C">
        <w:rPr>
          <w:rFonts w:cs="Courier New"/>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011E8C">
        <w:rPr>
          <w:rFonts w:cs="Courier New"/>
          <w:b/>
        </w:rPr>
        <w:t> </w:t>
      </w:r>
    </w:p>
    <w:p w:rsidR="0025626F" w:rsidRPr="0025626F" w:rsidP="0025626F" w14:paraId="3C08E0DB" w14:textId="77777777">
      <w:pPr>
        <w:numPr>
          <w:ilvl w:val="0"/>
          <w:numId w:val="25"/>
        </w:numPr>
        <w:tabs>
          <w:tab w:val="num" w:pos="1440"/>
        </w:tabs>
        <w:ind w:left="1440"/>
        <w:rPr>
          <w:b/>
        </w:rPr>
      </w:pPr>
      <w:r w:rsidRPr="00011E8C">
        <w:rPr>
          <w:rFonts w:cs="Courier New"/>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011E8C">
        <w:rPr>
          <w:rFonts w:cs="Courier New"/>
          <w:b/>
        </w:rPr>
        <w:t> </w:t>
      </w:r>
    </w:p>
    <w:p w:rsidR="00601A67" w:rsidP="00C56640" w14:paraId="3BA6FCB6" w14:textId="77777777">
      <w:pPr>
        <w:widowControl/>
      </w:pPr>
    </w:p>
    <w:p w:rsidR="007B5C39" w:rsidP="001500FC" w14:paraId="5DD568BE" w14:textId="0360C672">
      <w:pPr>
        <w:widowControl/>
        <w:ind w:left="720"/>
      </w:pPr>
      <w:r>
        <w:t xml:space="preserve">Additional cost burden derives from the direct costs of retaining outside legal counsel for 90 percent of the advisory opinion request and the mailing costs arising from the submission of required documents to the Department. </w:t>
      </w:r>
    </w:p>
    <w:p w:rsidR="007B5C39" w:rsidP="001500FC" w14:paraId="3AF842EC" w14:textId="77777777">
      <w:pPr>
        <w:widowControl/>
        <w:ind w:left="720"/>
      </w:pPr>
    </w:p>
    <w:p w:rsidR="00CD5152" w:rsidP="001500FC" w14:paraId="1039B314" w14:textId="66CB979E">
      <w:pPr>
        <w:widowControl/>
        <w:ind w:left="720"/>
      </w:pPr>
      <w:r>
        <w:t>Th</w:t>
      </w:r>
      <w:r w:rsidR="00485D9E">
        <w:t>e annual cost burden</w:t>
      </w:r>
      <w:r>
        <w:t xml:space="preserve"> estimate is based on the following assumptions:</w:t>
      </w:r>
    </w:p>
    <w:p w:rsidR="00CD5152" w:rsidP="00C56640" w14:paraId="1097BB65" w14:textId="77777777">
      <w:pPr>
        <w:widowControl/>
      </w:pPr>
    </w:p>
    <w:p w:rsidR="00F87604" w:rsidRPr="00F87604" w:rsidP="00F87604" w14:paraId="4806B8FB" w14:textId="2A6558A3">
      <w:pPr>
        <w:pStyle w:val="ListParagraph"/>
        <w:widowControl/>
        <w:numPr>
          <w:ilvl w:val="0"/>
          <w:numId w:val="28"/>
        </w:numPr>
      </w:pPr>
      <w:r w:rsidRPr="00D0375C">
        <w:rPr>
          <w:u w:val="single"/>
        </w:rPr>
        <w:t xml:space="preserve">Outside </w:t>
      </w:r>
      <w:r w:rsidR="0034715D">
        <w:rPr>
          <w:u w:val="single"/>
        </w:rPr>
        <w:t>l</w:t>
      </w:r>
      <w:r w:rsidRPr="00D0375C">
        <w:rPr>
          <w:u w:val="single"/>
        </w:rPr>
        <w:t xml:space="preserve">egal </w:t>
      </w:r>
      <w:r w:rsidR="0034715D">
        <w:rPr>
          <w:u w:val="single"/>
        </w:rPr>
        <w:t>c</w:t>
      </w:r>
      <w:r w:rsidRPr="00D0375C">
        <w:rPr>
          <w:u w:val="single"/>
        </w:rPr>
        <w:t>ounsel</w:t>
      </w:r>
      <w:r w:rsidR="0034715D">
        <w:rPr>
          <w:u w:val="single"/>
        </w:rPr>
        <w:t xml:space="preserve"> costs</w:t>
      </w:r>
      <w:r w:rsidRPr="00D0375C">
        <w:rPr>
          <w:u w:val="single"/>
        </w:rPr>
        <w:t>.</w:t>
      </w:r>
      <w:r>
        <w:t xml:space="preserve"> </w:t>
      </w:r>
      <w:r w:rsidR="00CD5152">
        <w:t>The Department estimates that approximately 90 percent of the plans and/or sponsors will hire an outside legal professional to prepare the written request for an advisory opinion.</w:t>
      </w:r>
      <w:r w:rsidR="00FB1364">
        <w:t xml:space="preserve"> </w:t>
      </w:r>
      <w:r w:rsidR="00CD5152">
        <w:t xml:space="preserve">This results in </w:t>
      </w:r>
      <w:r w:rsidRPr="00D0375C" w:rsidR="00485D9E">
        <w:t>5</w:t>
      </w:r>
      <w:r w:rsidRPr="00D0375C" w:rsidR="005778FC">
        <w:t xml:space="preserve"> </w:t>
      </w:r>
      <w:r w:rsidRPr="00D0375C" w:rsidR="00CD5152">
        <w:t>requests (</w:t>
      </w:r>
      <w:r w:rsidRPr="00D0375C" w:rsidR="00EF48B9">
        <w:t>6</w:t>
      </w:r>
      <w:r w:rsidRPr="00D0375C" w:rsidR="00674D2D">
        <w:t xml:space="preserve"> </w:t>
      </w:r>
      <w:r w:rsidRPr="00D0375C" w:rsidR="00960C0C">
        <w:t>total</w:t>
      </w:r>
      <w:r w:rsidRPr="00D0375C" w:rsidR="00AD2565">
        <w:t xml:space="preserve"> </w:t>
      </w:r>
      <w:r w:rsidRPr="00D0375C" w:rsidR="00CD5152">
        <w:t>requests x 90 percent)</w:t>
      </w:r>
      <w:r w:rsidRPr="009C40D6" w:rsidR="00CD5152">
        <w:t xml:space="preserve"> being done by outside legal professionals.</w:t>
      </w:r>
      <w:r w:rsidRPr="00F87604">
        <w:t xml:space="preserve"> The Department estimates that pension lawyers on average charge approximately $30,000</w:t>
      </w:r>
      <w:r>
        <w:rPr>
          <w:vertAlign w:val="superscript"/>
        </w:rPr>
        <w:footnoteReference w:id="4"/>
      </w:r>
      <w:r w:rsidRPr="00F87604">
        <w:t xml:space="preserve"> to prepare a request for an advisory opinion (this charge includes firm profit and other overhead charges). </w:t>
      </w:r>
    </w:p>
    <w:p w:rsidR="009C40D6" w:rsidRPr="009C40D6" w:rsidP="00D0375C" w14:paraId="465D75A6" w14:textId="77777777"/>
    <w:p w:rsidR="009C40D6" w:rsidRPr="009C40D6" w:rsidP="00D0375C" w14:paraId="7148BC22" w14:textId="7A07C0CD">
      <w:pPr>
        <w:pStyle w:val="ListParagraph"/>
        <w:widowControl/>
        <w:numPr>
          <w:ilvl w:val="0"/>
          <w:numId w:val="28"/>
        </w:numPr>
      </w:pPr>
      <w:r w:rsidRPr="009C40D6">
        <w:t>As noted, although legal counsel may determine which documents to submit, the actual collection, collation, and submission of such documents will typically be accomplished by the plan’s or plan sponsor’s internal staff and as such are accounted for above in item 12, above.</w:t>
      </w:r>
    </w:p>
    <w:p w:rsidR="009C40D6" w:rsidP="00D0375C" w14:paraId="3D1ABA93" w14:textId="77777777"/>
    <w:p w:rsidR="00CD5152" w:rsidP="009C40D6" w14:paraId="37535231" w14:textId="66297CCD">
      <w:pPr>
        <w:pStyle w:val="ListParagraph"/>
        <w:numPr>
          <w:ilvl w:val="0"/>
          <w:numId w:val="28"/>
        </w:numPr>
      </w:pPr>
      <w:r w:rsidRPr="00D0375C">
        <w:rPr>
          <w:u w:val="single"/>
        </w:rPr>
        <w:t xml:space="preserve">Mailing </w:t>
      </w:r>
      <w:r w:rsidR="0034715D">
        <w:rPr>
          <w:u w:val="single"/>
        </w:rPr>
        <w:t>c</w:t>
      </w:r>
      <w:r w:rsidRPr="00D0375C">
        <w:rPr>
          <w:u w:val="single"/>
        </w:rPr>
        <w:t>osts.</w:t>
      </w:r>
      <w:r>
        <w:t xml:space="preserve"> </w:t>
      </w:r>
      <w:r>
        <w:t>In addition to costs associated with outsourcing preparation of the advisory opinion request, the Department estimates additional mailing costs for submission of the request and supporting documentation.</w:t>
      </w:r>
      <w:r w:rsidR="00FB1364">
        <w:t xml:space="preserve"> </w:t>
      </w:r>
      <w:r>
        <w:t>Although the Department allows and encourages electronic communication with the public, the probability that advisory opinion requests will require submission of disparate existing documents suggests that requesters will submit the supporting documentation by mail</w:t>
      </w:r>
      <w:r w:rsidR="00136C0B">
        <w:t>, even if also sending the request initially electronically</w:t>
      </w:r>
      <w:r>
        <w:t xml:space="preserve">, and thus the Department has </w:t>
      </w:r>
      <w:r w:rsidR="00136C0B">
        <w:t>accounting for mailing burden related to all requests</w:t>
      </w:r>
      <w:r>
        <w:t>.</w:t>
      </w:r>
      <w:r w:rsidR="00FB1364">
        <w:t xml:space="preserve"> </w:t>
      </w:r>
      <w:r>
        <w:t>As noted above, it is estimated that anywhere between two and twenty pages of documentation may be required for each response.</w:t>
      </w:r>
      <w:r w:rsidR="00FB1364">
        <w:t xml:space="preserve"> </w:t>
      </w:r>
      <w:r w:rsidR="009C40D6">
        <w:t xml:space="preserve">The Department assumes </w:t>
      </w:r>
      <w:r>
        <w:t>an average of 10 pages of documentation sent by registered or return receipt requested mail</w:t>
      </w:r>
      <w:r w:rsidR="00B0385C">
        <w:t>. The mailing cost per request is estimated to be $6.89</w:t>
      </w:r>
      <w:r>
        <w:rPr>
          <w:rStyle w:val="FootnoteReference"/>
          <w:vertAlign w:val="superscript"/>
        </w:rPr>
        <w:footnoteReference w:id="5"/>
      </w:r>
      <w:r w:rsidR="00B0385C">
        <w:t xml:space="preserve"> and the material and printing costs is $0.05. </w:t>
      </w:r>
    </w:p>
    <w:p w:rsidR="00CC1A08" w:rsidP="00D0375C" w14:paraId="74EA080E" w14:textId="77777777">
      <w:pPr>
        <w:pStyle w:val="ListParagraph"/>
        <w:ind w:left="1440"/>
      </w:pPr>
    </w:p>
    <w:p w:rsidR="00CC1A08" w:rsidP="009C40D6" w14:paraId="04C48A9E" w14:textId="66CDE4AB">
      <w:pPr>
        <w:pStyle w:val="ListParagraph"/>
        <w:numPr>
          <w:ilvl w:val="0"/>
          <w:numId w:val="28"/>
        </w:numPr>
      </w:pPr>
      <w:r>
        <w:t xml:space="preserve">See Table 3 for calculations and burden totals.  </w:t>
      </w:r>
    </w:p>
    <w:p w:rsidR="00CC1A08" w:rsidP="00D0375C" w14:paraId="0DE929DD" w14:textId="77777777">
      <w:pPr>
        <w:pStyle w:val="ListParagraph"/>
      </w:pPr>
    </w:p>
    <w:p w:rsidR="00BB1299" w:rsidP="00D0375C" w14:paraId="6D9163D9" w14:textId="77777777">
      <w:pPr>
        <w:ind w:left="720"/>
        <w:rPr>
          <w:b/>
          <w:bCs/>
        </w:rPr>
      </w:pPr>
    </w:p>
    <w:p w:rsidR="00BB1299" w:rsidP="00D0375C" w14:paraId="721E0A6E" w14:textId="77777777">
      <w:pPr>
        <w:ind w:left="720"/>
        <w:rPr>
          <w:b/>
          <w:bCs/>
        </w:rPr>
      </w:pPr>
    </w:p>
    <w:p w:rsidR="00BB1299" w:rsidP="00D0375C" w14:paraId="12290302" w14:textId="77777777">
      <w:pPr>
        <w:ind w:left="720"/>
        <w:rPr>
          <w:b/>
          <w:bCs/>
        </w:rPr>
      </w:pPr>
    </w:p>
    <w:p w:rsidR="00BB1299" w:rsidP="00D0375C" w14:paraId="24320C50" w14:textId="77777777">
      <w:pPr>
        <w:ind w:left="720"/>
        <w:rPr>
          <w:b/>
          <w:bCs/>
        </w:rPr>
      </w:pPr>
    </w:p>
    <w:p w:rsidR="00CC1A08" w:rsidRPr="00D0375C" w:rsidP="00D0375C" w14:paraId="3F6B2EA4" w14:textId="4A651DB9">
      <w:pPr>
        <w:ind w:left="720"/>
        <w:rPr>
          <w:b/>
          <w:bCs/>
        </w:rPr>
      </w:pPr>
      <w:r w:rsidRPr="00D0375C">
        <w:rPr>
          <w:b/>
          <w:bCs/>
        </w:rPr>
        <w:t>Table 3. Cost Burden</w:t>
      </w:r>
    </w:p>
    <w:p w:rsidR="00CC1A08" w:rsidP="00D0375C" w14:paraId="52CA6D8B" w14:textId="77777777">
      <w:pPr>
        <w:pStyle w:val="ListParagraph"/>
        <w:ind w:left="1440"/>
      </w:pPr>
    </w:p>
    <w:tbl>
      <w:tblPr>
        <w:tblW w:w="9720" w:type="dxa"/>
        <w:tblInd w:w="715" w:type="dxa"/>
        <w:tblLayout w:type="fixed"/>
        <w:tblLook w:val="04A0"/>
      </w:tblPr>
      <w:tblGrid>
        <w:gridCol w:w="1980"/>
        <w:gridCol w:w="1350"/>
        <w:gridCol w:w="1177"/>
        <w:gridCol w:w="1163"/>
        <w:gridCol w:w="1170"/>
        <w:gridCol w:w="1421"/>
        <w:gridCol w:w="1459"/>
      </w:tblGrid>
      <w:tr w14:paraId="59795173" w14:textId="77777777" w:rsidTr="00D0375C">
        <w:tblPrEx>
          <w:tblW w:w="9720" w:type="dxa"/>
          <w:tblInd w:w="715" w:type="dxa"/>
          <w:tblLayout w:type="fixed"/>
          <w:tblLook w:val="04A0"/>
        </w:tblPrEx>
        <w:trPr>
          <w:trHeight w:val="780"/>
        </w:trPr>
        <w:tc>
          <w:tcPr>
            <w:tcW w:w="1980" w:type="dxa"/>
            <w:tcBorders>
              <w:top w:val="single" w:sz="4" w:space="0" w:color="auto"/>
              <w:left w:val="single" w:sz="4" w:space="0" w:color="auto"/>
              <w:bottom w:val="single" w:sz="4" w:space="0" w:color="auto"/>
              <w:right w:val="nil"/>
            </w:tcBorders>
            <w:shd w:val="clear" w:color="auto" w:fill="auto"/>
            <w:vAlign w:val="bottom"/>
            <w:hideMark/>
          </w:tcPr>
          <w:p w:rsidR="00CC1A08" w:rsidRPr="00D0375C" w:rsidP="00CC1A08" w14:paraId="7A1F3D91" w14:textId="77777777">
            <w:pPr>
              <w:widowControl/>
              <w:autoSpaceDE/>
              <w:autoSpaceDN/>
              <w:adjustRightInd/>
              <w:jc w:val="center"/>
            </w:pPr>
            <w:r w:rsidRPr="00D0375C">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1A08" w:rsidRPr="00D0375C" w:rsidP="00CC1A08" w14:paraId="1B89DEDC" w14:textId="77777777">
            <w:pPr>
              <w:widowControl/>
              <w:autoSpaceDE/>
              <w:autoSpaceDN/>
              <w:adjustRightInd/>
              <w:jc w:val="center"/>
              <w:rPr>
                <w:b/>
                <w:bCs/>
              </w:rPr>
            </w:pPr>
            <w:r w:rsidRPr="00D0375C">
              <w:rPr>
                <w:b/>
                <w:bCs/>
              </w:rPr>
              <w:t>Number of Requests</w:t>
            </w:r>
          </w:p>
        </w:tc>
        <w:tc>
          <w:tcPr>
            <w:tcW w:w="1177" w:type="dxa"/>
            <w:tcBorders>
              <w:top w:val="single" w:sz="4" w:space="0" w:color="auto"/>
              <w:left w:val="nil"/>
              <w:bottom w:val="single" w:sz="4" w:space="0" w:color="auto"/>
              <w:right w:val="nil"/>
            </w:tcBorders>
            <w:shd w:val="clear" w:color="auto" w:fill="auto"/>
            <w:vAlign w:val="bottom"/>
            <w:hideMark/>
          </w:tcPr>
          <w:p w:rsidR="00CC1A08" w:rsidRPr="00D0375C" w:rsidP="00CC1A08" w14:paraId="13376914" w14:textId="77777777">
            <w:pPr>
              <w:widowControl/>
              <w:autoSpaceDE/>
              <w:autoSpaceDN/>
              <w:adjustRightInd/>
              <w:jc w:val="center"/>
              <w:rPr>
                <w:b/>
                <w:bCs/>
              </w:rPr>
            </w:pPr>
            <w:r w:rsidRPr="00D0375C">
              <w:rPr>
                <w:b/>
                <w:bCs/>
              </w:rPr>
              <w:t>Cost Per Request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C1A08" w:rsidRPr="00D0375C" w:rsidP="00CC1A08" w14:paraId="4FC6DEDC" w14:textId="06BE61A3">
            <w:pPr>
              <w:widowControl/>
              <w:autoSpaceDE/>
              <w:autoSpaceDN/>
              <w:adjustRightInd/>
              <w:jc w:val="center"/>
              <w:rPr>
                <w:b/>
                <w:bCs/>
              </w:rPr>
            </w:pPr>
            <w:r w:rsidRPr="00D0375C">
              <w:rPr>
                <w:b/>
                <w:bCs/>
              </w:rPr>
              <w:t xml:space="preserve">Number of Pages per </w:t>
            </w:r>
            <w:r w:rsidR="00526DC0">
              <w:rPr>
                <w:b/>
                <w:bCs/>
              </w:rPr>
              <w:t>Request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CC1A08" w:rsidRPr="00D0375C" w:rsidP="00CC1A08" w14:paraId="1B607969" w14:textId="77777777">
            <w:pPr>
              <w:widowControl/>
              <w:autoSpaceDE/>
              <w:autoSpaceDN/>
              <w:adjustRightInd/>
              <w:jc w:val="center"/>
              <w:rPr>
                <w:b/>
                <w:bCs/>
              </w:rPr>
            </w:pPr>
            <w:r w:rsidRPr="00D0375C">
              <w:rPr>
                <w:b/>
                <w:bCs/>
              </w:rPr>
              <w:t>Material and Printing Costs</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CC1A08" w:rsidRPr="00D0375C" w:rsidP="00CC1A08" w14:paraId="5F1E82AA" w14:textId="77777777">
            <w:pPr>
              <w:widowControl/>
              <w:autoSpaceDE/>
              <w:autoSpaceDN/>
              <w:adjustRightInd/>
              <w:jc w:val="center"/>
              <w:rPr>
                <w:b/>
                <w:bCs/>
              </w:rPr>
            </w:pPr>
            <w:r w:rsidRPr="00D0375C">
              <w:rPr>
                <w:b/>
                <w:bCs/>
              </w:rPr>
              <w:t>Mailing Costs</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CC1A08" w:rsidRPr="00D0375C" w:rsidP="00CC1A08" w14:paraId="3087A593" w14:textId="081FCF08">
            <w:pPr>
              <w:widowControl/>
              <w:autoSpaceDE/>
              <w:autoSpaceDN/>
              <w:adjustRightInd/>
              <w:jc w:val="center"/>
              <w:rPr>
                <w:b/>
                <w:bCs/>
              </w:rPr>
            </w:pPr>
            <w:r>
              <w:rPr>
                <w:b/>
                <w:bCs/>
              </w:rPr>
              <w:t xml:space="preserve">Total </w:t>
            </w:r>
            <w:r w:rsidRPr="00D0375C">
              <w:rPr>
                <w:b/>
                <w:bCs/>
              </w:rPr>
              <w:t>Cost Burden</w:t>
            </w:r>
          </w:p>
        </w:tc>
      </w:tr>
      <w:tr w14:paraId="44811D15" w14:textId="77777777" w:rsidTr="00D0375C">
        <w:tblPrEx>
          <w:tblW w:w="9720" w:type="dxa"/>
          <w:tblInd w:w="715" w:type="dxa"/>
          <w:tblLayout w:type="fixed"/>
          <w:tblLook w:val="04A0"/>
        </w:tblPrEx>
        <w:trPr>
          <w:trHeight w:val="260"/>
        </w:trPr>
        <w:tc>
          <w:tcPr>
            <w:tcW w:w="1980" w:type="dxa"/>
            <w:tcBorders>
              <w:top w:val="nil"/>
              <w:left w:val="single" w:sz="4" w:space="0" w:color="auto"/>
              <w:bottom w:val="single" w:sz="4" w:space="0" w:color="auto"/>
              <w:right w:val="nil"/>
            </w:tcBorders>
            <w:shd w:val="clear" w:color="auto" w:fill="auto"/>
            <w:vAlign w:val="bottom"/>
            <w:hideMark/>
          </w:tcPr>
          <w:p w:rsidR="00CC1A08" w:rsidRPr="00D0375C" w:rsidP="00CC1A08" w14:paraId="7DF80C03" w14:textId="77777777">
            <w:pPr>
              <w:widowControl/>
              <w:autoSpaceDE/>
              <w:autoSpaceDN/>
              <w:adjustRightInd/>
              <w:jc w:val="center"/>
            </w:pPr>
            <w:r w:rsidRPr="00D0375C">
              <w:t> </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CC1A08" w:rsidRPr="00D0375C" w:rsidP="00CC1A08" w14:paraId="2FF1C87A" w14:textId="77777777">
            <w:pPr>
              <w:widowControl/>
              <w:autoSpaceDE/>
              <w:autoSpaceDN/>
              <w:adjustRightInd/>
              <w:jc w:val="center"/>
              <w:rPr>
                <w:b/>
                <w:bCs/>
              </w:rPr>
            </w:pPr>
            <w:r w:rsidRPr="00D0375C">
              <w:rPr>
                <w:b/>
                <w:bCs/>
              </w:rPr>
              <w:t>(A)</w:t>
            </w:r>
          </w:p>
        </w:tc>
        <w:tc>
          <w:tcPr>
            <w:tcW w:w="1177" w:type="dxa"/>
            <w:tcBorders>
              <w:top w:val="nil"/>
              <w:left w:val="nil"/>
              <w:bottom w:val="single" w:sz="4" w:space="0" w:color="auto"/>
              <w:right w:val="nil"/>
            </w:tcBorders>
            <w:shd w:val="clear" w:color="auto" w:fill="auto"/>
            <w:vAlign w:val="bottom"/>
            <w:hideMark/>
          </w:tcPr>
          <w:p w:rsidR="00CC1A08" w:rsidRPr="00D0375C" w:rsidP="00CC1A08" w14:paraId="69A4ADAF" w14:textId="77777777">
            <w:pPr>
              <w:widowControl/>
              <w:autoSpaceDE/>
              <w:autoSpaceDN/>
              <w:adjustRightInd/>
              <w:jc w:val="center"/>
              <w:rPr>
                <w:b/>
                <w:bCs/>
              </w:rPr>
            </w:pPr>
            <w:r w:rsidRPr="00D0375C">
              <w:rPr>
                <w:b/>
                <w:bCs/>
              </w:rPr>
              <w:t>(B)</w:t>
            </w:r>
          </w:p>
        </w:tc>
        <w:tc>
          <w:tcPr>
            <w:tcW w:w="1163" w:type="dxa"/>
            <w:tcBorders>
              <w:top w:val="nil"/>
              <w:left w:val="single" w:sz="4" w:space="0" w:color="auto"/>
              <w:bottom w:val="single" w:sz="4" w:space="0" w:color="auto"/>
              <w:right w:val="single" w:sz="4" w:space="0" w:color="auto"/>
            </w:tcBorders>
            <w:shd w:val="clear" w:color="auto" w:fill="auto"/>
            <w:noWrap/>
            <w:vAlign w:val="bottom"/>
            <w:hideMark/>
          </w:tcPr>
          <w:p w:rsidR="00CC1A08" w:rsidRPr="00D0375C" w:rsidP="00CC1A08" w14:paraId="6DA809B5" w14:textId="77777777">
            <w:pPr>
              <w:widowControl/>
              <w:autoSpaceDE/>
              <w:autoSpaceDN/>
              <w:adjustRightInd/>
              <w:jc w:val="center"/>
              <w:rPr>
                <w:b/>
                <w:bCs/>
              </w:rPr>
            </w:pPr>
            <w:r w:rsidRPr="00D0375C">
              <w:rPr>
                <w:b/>
                <w:bCs/>
              </w:rPr>
              <w:t>(C)</w:t>
            </w:r>
          </w:p>
        </w:tc>
        <w:tc>
          <w:tcPr>
            <w:tcW w:w="1170" w:type="dxa"/>
            <w:tcBorders>
              <w:top w:val="nil"/>
              <w:left w:val="nil"/>
              <w:bottom w:val="single" w:sz="4" w:space="0" w:color="auto"/>
              <w:right w:val="single" w:sz="4" w:space="0" w:color="auto"/>
            </w:tcBorders>
            <w:shd w:val="clear" w:color="auto" w:fill="auto"/>
            <w:noWrap/>
            <w:vAlign w:val="bottom"/>
            <w:hideMark/>
          </w:tcPr>
          <w:p w:rsidR="00CC1A08" w:rsidRPr="00D0375C" w:rsidP="00CC1A08" w14:paraId="62895D9D" w14:textId="77777777">
            <w:pPr>
              <w:widowControl/>
              <w:autoSpaceDE/>
              <w:autoSpaceDN/>
              <w:adjustRightInd/>
              <w:jc w:val="center"/>
              <w:rPr>
                <w:b/>
                <w:bCs/>
              </w:rPr>
            </w:pPr>
            <w:r w:rsidRPr="00D0375C">
              <w:rPr>
                <w:b/>
                <w:bCs/>
              </w:rPr>
              <w:t>(D)</w:t>
            </w:r>
          </w:p>
        </w:tc>
        <w:tc>
          <w:tcPr>
            <w:tcW w:w="1421" w:type="dxa"/>
            <w:tcBorders>
              <w:top w:val="nil"/>
              <w:left w:val="nil"/>
              <w:bottom w:val="single" w:sz="4" w:space="0" w:color="auto"/>
              <w:right w:val="single" w:sz="4" w:space="0" w:color="auto"/>
            </w:tcBorders>
            <w:shd w:val="clear" w:color="auto" w:fill="auto"/>
            <w:noWrap/>
            <w:vAlign w:val="bottom"/>
            <w:hideMark/>
          </w:tcPr>
          <w:p w:rsidR="00CC1A08" w:rsidRPr="00D0375C" w:rsidP="00CC1A08" w14:paraId="4AD9296D" w14:textId="77777777">
            <w:pPr>
              <w:widowControl/>
              <w:autoSpaceDE/>
              <w:autoSpaceDN/>
              <w:adjustRightInd/>
              <w:jc w:val="center"/>
              <w:rPr>
                <w:b/>
                <w:bCs/>
              </w:rPr>
            </w:pPr>
            <w:r w:rsidRPr="00D0375C">
              <w:rPr>
                <w:b/>
                <w:bCs/>
              </w:rPr>
              <w:t>(E)</w:t>
            </w:r>
          </w:p>
        </w:tc>
        <w:tc>
          <w:tcPr>
            <w:tcW w:w="1459" w:type="dxa"/>
            <w:tcBorders>
              <w:top w:val="nil"/>
              <w:left w:val="nil"/>
              <w:bottom w:val="single" w:sz="4" w:space="0" w:color="auto"/>
              <w:right w:val="single" w:sz="4" w:space="0" w:color="auto"/>
            </w:tcBorders>
            <w:shd w:val="clear" w:color="auto" w:fill="auto"/>
            <w:vAlign w:val="bottom"/>
            <w:hideMark/>
          </w:tcPr>
          <w:p w:rsidR="00CC1A08" w:rsidRPr="00D0375C" w:rsidP="00CC1A08" w14:paraId="081708D4" w14:textId="194CD061">
            <w:pPr>
              <w:widowControl/>
              <w:autoSpaceDE/>
              <w:autoSpaceDN/>
              <w:adjustRightInd/>
              <w:jc w:val="center"/>
              <w:rPr>
                <w:b/>
                <w:bCs/>
              </w:rPr>
            </w:pPr>
            <w:r w:rsidRPr="00D0375C">
              <w:rPr>
                <w:b/>
                <w:bCs/>
              </w:rPr>
              <w:t>(A x B)</w:t>
            </w:r>
            <w:r w:rsidR="00DB78ED">
              <w:rPr>
                <w:b/>
                <w:bCs/>
              </w:rPr>
              <w:t xml:space="preserve"> or (A x [(C x D) + E])</w:t>
            </w:r>
          </w:p>
        </w:tc>
      </w:tr>
      <w:tr w14:paraId="4188F553" w14:textId="77777777" w:rsidTr="00D0375C">
        <w:tblPrEx>
          <w:tblW w:w="9720" w:type="dxa"/>
          <w:tblInd w:w="715" w:type="dxa"/>
          <w:tblLayout w:type="fixed"/>
          <w:tblLook w:val="04A0"/>
        </w:tblPrEx>
        <w:trPr>
          <w:trHeight w:val="60"/>
        </w:trPr>
        <w:tc>
          <w:tcPr>
            <w:tcW w:w="1980" w:type="dxa"/>
            <w:tcBorders>
              <w:top w:val="nil"/>
              <w:left w:val="single" w:sz="4" w:space="0" w:color="auto"/>
              <w:bottom w:val="nil"/>
              <w:right w:val="nil"/>
            </w:tcBorders>
            <w:shd w:val="clear" w:color="auto" w:fill="auto"/>
            <w:vAlign w:val="bottom"/>
            <w:hideMark/>
          </w:tcPr>
          <w:p w:rsidR="00CC1A08" w:rsidRPr="00D0375C" w:rsidP="00CC1A08" w14:paraId="64F82BC2" w14:textId="77777777">
            <w:pPr>
              <w:widowControl/>
              <w:autoSpaceDE/>
              <w:autoSpaceDN/>
              <w:adjustRightInd/>
            </w:pPr>
            <w:r w:rsidRPr="00D0375C">
              <w:t>External attorney prepares request</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C1A08" w:rsidRPr="00D0375C" w:rsidP="00CC1A08" w14:paraId="1FB39283" w14:textId="77777777">
            <w:pPr>
              <w:widowControl/>
              <w:autoSpaceDE/>
              <w:autoSpaceDN/>
              <w:adjustRightInd/>
              <w:jc w:val="center"/>
            </w:pPr>
            <w:r w:rsidRPr="00D0375C">
              <w:t>5</w:t>
            </w:r>
          </w:p>
        </w:tc>
        <w:tc>
          <w:tcPr>
            <w:tcW w:w="1177" w:type="dxa"/>
            <w:tcBorders>
              <w:top w:val="nil"/>
              <w:left w:val="nil"/>
              <w:bottom w:val="single" w:sz="4" w:space="0" w:color="auto"/>
              <w:right w:val="single" w:sz="4" w:space="0" w:color="auto"/>
            </w:tcBorders>
            <w:shd w:val="clear" w:color="auto" w:fill="auto"/>
            <w:noWrap/>
            <w:vAlign w:val="bottom"/>
            <w:hideMark/>
          </w:tcPr>
          <w:p w:rsidR="00CC1A08" w:rsidRPr="00D0375C" w:rsidP="00CC1A08" w14:paraId="470867AF" w14:textId="77777777">
            <w:pPr>
              <w:widowControl/>
              <w:autoSpaceDE/>
              <w:autoSpaceDN/>
              <w:adjustRightInd/>
              <w:jc w:val="center"/>
            </w:pPr>
            <w:r w:rsidRPr="00D0375C">
              <w:t>$35,000</w:t>
            </w:r>
          </w:p>
        </w:tc>
        <w:tc>
          <w:tcPr>
            <w:tcW w:w="1163" w:type="dxa"/>
            <w:tcBorders>
              <w:top w:val="nil"/>
              <w:left w:val="nil"/>
              <w:bottom w:val="single" w:sz="4" w:space="0" w:color="auto"/>
              <w:right w:val="single" w:sz="4" w:space="0" w:color="auto"/>
            </w:tcBorders>
            <w:shd w:val="clear" w:color="auto" w:fill="auto"/>
            <w:noWrap/>
            <w:vAlign w:val="bottom"/>
            <w:hideMark/>
          </w:tcPr>
          <w:p w:rsidR="00CC1A08" w:rsidRPr="00D0375C" w:rsidP="00CC1A08" w14:paraId="287E71FA" w14:textId="77777777">
            <w:pPr>
              <w:widowControl/>
              <w:autoSpaceDE/>
              <w:autoSpaceDN/>
              <w:adjustRightInd/>
              <w:jc w:val="center"/>
              <w:rPr>
                <w:rFonts w:ascii="Arial" w:hAnsi="Arial" w:cs="Arial"/>
              </w:rPr>
            </w:pPr>
            <w:r w:rsidRPr="00D0375C">
              <w:rPr>
                <w:rFonts w:ascii="Arial" w:hAnsi="Arial" w:cs="Arial"/>
              </w:rPr>
              <w:t>-</w:t>
            </w:r>
          </w:p>
        </w:tc>
        <w:tc>
          <w:tcPr>
            <w:tcW w:w="1170" w:type="dxa"/>
            <w:tcBorders>
              <w:top w:val="nil"/>
              <w:left w:val="nil"/>
              <w:bottom w:val="single" w:sz="4" w:space="0" w:color="auto"/>
              <w:right w:val="single" w:sz="4" w:space="0" w:color="auto"/>
            </w:tcBorders>
            <w:shd w:val="clear" w:color="auto" w:fill="auto"/>
            <w:noWrap/>
            <w:vAlign w:val="bottom"/>
            <w:hideMark/>
          </w:tcPr>
          <w:p w:rsidR="00CC1A08" w:rsidRPr="00D0375C" w:rsidP="00CC1A08" w14:paraId="15E74FA7" w14:textId="77777777">
            <w:pPr>
              <w:widowControl/>
              <w:autoSpaceDE/>
              <w:autoSpaceDN/>
              <w:adjustRightInd/>
              <w:jc w:val="center"/>
              <w:rPr>
                <w:rFonts w:ascii="Arial" w:hAnsi="Arial" w:cs="Arial"/>
              </w:rPr>
            </w:pPr>
            <w:r w:rsidRPr="00D0375C">
              <w:rPr>
                <w:rFonts w:ascii="Arial" w:hAnsi="Arial" w:cs="Arial"/>
              </w:rPr>
              <w:t>-</w:t>
            </w:r>
          </w:p>
        </w:tc>
        <w:tc>
          <w:tcPr>
            <w:tcW w:w="1421" w:type="dxa"/>
            <w:tcBorders>
              <w:top w:val="nil"/>
              <w:left w:val="nil"/>
              <w:bottom w:val="single" w:sz="4" w:space="0" w:color="auto"/>
              <w:right w:val="single" w:sz="4" w:space="0" w:color="auto"/>
            </w:tcBorders>
            <w:shd w:val="clear" w:color="auto" w:fill="auto"/>
            <w:noWrap/>
            <w:vAlign w:val="bottom"/>
            <w:hideMark/>
          </w:tcPr>
          <w:p w:rsidR="00CC1A08" w:rsidRPr="00D0375C" w:rsidP="00CC1A08" w14:paraId="65E76640" w14:textId="77777777">
            <w:pPr>
              <w:widowControl/>
              <w:autoSpaceDE/>
              <w:autoSpaceDN/>
              <w:adjustRightInd/>
              <w:jc w:val="center"/>
              <w:rPr>
                <w:rFonts w:ascii="Arial" w:hAnsi="Arial" w:cs="Arial"/>
              </w:rPr>
            </w:pPr>
            <w:r w:rsidRPr="00D0375C">
              <w:rPr>
                <w:rFonts w:ascii="Arial" w:hAnsi="Arial" w:cs="Arial"/>
              </w:rPr>
              <w:t>-</w:t>
            </w:r>
          </w:p>
        </w:tc>
        <w:tc>
          <w:tcPr>
            <w:tcW w:w="1459" w:type="dxa"/>
            <w:tcBorders>
              <w:top w:val="nil"/>
              <w:left w:val="nil"/>
              <w:bottom w:val="nil"/>
              <w:right w:val="single" w:sz="4" w:space="0" w:color="auto"/>
            </w:tcBorders>
            <w:shd w:val="clear" w:color="auto" w:fill="auto"/>
            <w:noWrap/>
            <w:vAlign w:val="bottom"/>
            <w:hideMark/>
          </w:tcPr>
          <w:p w:rsidR="00CC1A08" w:rsidRPr="00D0375C" w:rsidP="00CC1A08" w14:paraId="794A8202" w14:textId="77777777">
            <w:pPr>
              <w:widowControl/>
              <w:autoSpaceDE/>
              <w:autoSpaceDN/>
              <w:adjustRightInd/>
              <w:jc w:val="center"/>
            </w:pPr>
            <w:r w:rsidRPr="00D0375C">
              <w:t>$175,000</w:t>
            </w:r>
          </w:p>
        </w:tc>
      </w:tr>
      <w:tr w14:paraId="2B643C78" w14:textId="77777777" w:rsidTr="00F11446">
        <w:tblPrEx>
          <w:tblW w:w="9720" w:type="dxa"/>
          <w:tblInd w:w="715" w:type="dxa"/>
          <w:tblLayout w:type="fixed"/>
          <w:tblLook w:val="04A0"/>
        </w:tblPrEx>
        <w:trPr>
          <w:trHeight w:val="270"/>
        </w:trPr>
        <w:tc>
          <w:tcPr>
            <w:tcW w:w="1980" w:type="dxa"/>
            <w:tcBorders>
              <w:top w:val="single" w:sz="4" w:space="0" w:color="auto"/>
              <w:left w:val="single" w:sz="4" w:space="0" w:color="auto"/>
              <w:bottom w:val="nil"/>
              <w:right w:val="nil"/>
            </w:tcBorders>
            <w:shd w:val="clear" w:color="auto" w:fill="auto"/>
            <w:vAlign w:val="bottom"/>
            <w:hideMark/>
          </w:tcPr>
          <w:p w:rsidR="00CC1A08" w:rsidRPr="00D0375C" w:rsidP="00CC1A08" w14:paraId="230972BF" w14:textId="77777777">
            <w:pPr>
              <w:widowControl/>
              <w:autoSpaceDE/>
              <w:autoSpaceDN/>
              <w:adjustRightInd/>
            </w:pPr>
            <w:r w:rsidRPr="00D0375C">
              <w:t>Mailing cost</w:t>
            </w:r>
          </w:p>
        </w:tc>
        <w:tc>
          <w:tcPr>
            <w:tcW w:w="1350" w:type="dxa"/>
            <w:tcBorders>
              <w:top w:val="nil"/>
              <w:left w:val="single" w:sz="4" w:space="0" w:color="auto"/>
              <w:bottom w:val="double" w:sz="4" w:space="0" w:color="auto"/>
              <w:right w:val="single" w:sz="4" w:space="0" w:color="auto"/>
            </w:tcBorders>
            <w:shd w:val="clear" w:color="auto" w:fill="auto"/>
            <w:noWrap/>
            <w:vAlign w:val="bottom"/>
            <w:hideMark/>
          </w:tcPr>
          <w:p w:rsidR="00CC1A08" w:rsidRPr="00D0375C" w:rsidP="00CC1A08" w14:paraId="3C83C6D4" w14:textId="77777777">
            <w:pPr>
              <w:widowControl/>
              <w:autoSpaceDE/>
              <w:autoSpaceDN/>
              <w:adjustRightInd/>
              <w:jc w:val="center"/>
            </w:pPr>
            <w:r w:rsidRPr="00D0375C">
              <w:t>6</w:t>
            </w:r>
          </w:p>
        </w:tc>
        <w:tc>
          <w:tcPr>
            <w:tcW w:w="1177" w:type="dxa"/>
            <w:tcBorders>
              <w:top w:val="nil"/>
              <w:left w:val="nil"/>
              <w:bottom w:val="double" w:sz="4" w:space="0" w:color="auto"/>
              <w:right w:val="nil"/>
            </w:tcBorders>
            <w:shd w:val="clear" w:color="auto" w:fill="auto"/>
            <w:noWrap/>
            <w:vAlign w:val="bottom"/>
            <w:hideMark/>
          </w:tcPr>
          <w:p w:rsidR="00CC1A08" w:rsidRPr="00D0375C" w:rsidP="00CC1A08" w14:paraId="266F8AC2" w14:textId="77777777">
            <w:pPr>
              <w:widowControl/>
              <w:autoSpaceDE/>
              <w:autoSpaceDN/>
              <w:adjustRightInd/>
              <w:jc w:val="center"/>
            </w:pPr>
            <w:r w:rsidRPr="00D0375C">
              <w:t>-</w:t>
            </w:r>
          </w:p>
        </w:tc>
        <w:tc>
          <w:tcPr>
            <w:tcW w:w="1163" w:type="dxa"/>
            <w:tcBorders>
              <w:top w:val="nil"/>
              <w:left w:val="single" w:sz="4" w:space="0" w:color="auto"/>
              <w:bottom w:val="double" w:sz="4" w:space="0" w:color="auto"/>
              <w:right w:val="single" w:sz="4" w:space="0" w:color="auto"/>
            </w:tcBorders>
            <w:shd w:val="clear" w:color="auto" w:fill="auto"/>
            <w:noWrap/>
            <w:vAlign w:val="bottom"/>
            <w:hideMark/>
          </w:tcPr>
          <w:p w:rsidR="00CC1A08" w:rsidRPr="00D0375C" w:rsidP="00CC1A08" w14:paraId="202B02DB" w14:textId="77777777">
            <w:pPr>
              <w:widowControl/>
              <w:autoSpaceDE/>
              <w:autoSpaceDN/>
              <w:adjustRightInd/>
              <w:jc w:val="center"/>
            </w:pPr>
            <w:r w:rsidRPr="00D0375C">
              <w:t>10</w:t>
            </w:r>
          </w:p>
        </w:tc>
        <w:tc>
          <w:tcPr>
            <w:tcW w:w="1170" w:type="dxa"/>
            <w:tcBorders>
              <w:top w:val="nil"/>
              <w:left w:val="nil"/>
              <w:bottom w:val="double" w:sz="4" w:space="0" w:color="auto"/>
              <w:right w:val="single" w:sz="4" w:space="0" w:color="auto"/>
            </w:tcBorders>
            <w:shd w:val="clear" w:color="auto" w:fill="auto"/>
            <w:noWrap/>
            <w:vAlign w:val="bottom"/>
            <w:hideMark/>
          </w:tcPr>
          <w:p w:rsidR="00CC1A08" w:rsidRPr="00D0375C" w:rsidP="00CC1A08" w14:paraId="2D193EE3" w14:textId="77777777">
            <w:pPr>
              <w:widowControl/>
              <w:autoSpaceDE/>
              <w:autoSpaceDN/>
              <w:adjustRightInd/>
              <w:jc w:val="center"/>
            </w:pPr>
            <w:r w:rsidRPr="00D0375C">
              <w:t>$0.05</w:t>
            </w:r>
          </w:p>
        </w:tc>
        <w:tc>
          <w:tcPr>
            <w:tcW w:w="1421" w:type="dxa"/>
            <w:tcBorders>
              <w:top w:val="nil"/>
              <w:left w:val="nil"/>
              <w:bottom w:val="double" w:sz="4" w:space="0" w:color="auto"/>
              <w:right w:val="single" w:sz="4" w:space="0" w:color="auto"/>
            </w:tcBorders>
            <w:shd w:val="clear" w:color="auto" w:fill="auto"/>
            <w:noWrap/>
            <w:vAlign w:val="bottom"/>
            <w:hideMark/>
          </w:tcPr>
          <w:p w:rsidR="00CC1A08" w:rsidRPr="00D0375C" w:rsidP="00CC1A08" w14:paraId="3C8E4E33" w14:textId="77777777">
            <w:pPr>
              <w:widowControl/>
              <w:autoSpaceDE/>
              <w:autoSpaceDN/>
              <w:adjustRightInd/>
              <w:jc w:val="center"/>
            </w:pPr>
            <w:r w:rsidRPr="00D0375C">
              <w:t>$6.89</w:t>
            </w:r>
          </w:p>
        </w:tc>
        <w:tc>
          <w:tcPr>
            <w:tcW w:w="1459" w:type="dxa"/>
            <w:tcBorders>
              <w:top w:val="single" w:sz="4" w:space="0" w:color="auto"/>
              <w:left w:val="nil"/>
              <w:bottom w:val="double" w:sz="6" w:space="0" w:color="auto"/>
              <w:right w:val="single" w:sz="4" w:space="0" w:color="auto"/>
            </w:tcBorders>
            <w:shd w:val="clear" w:color="auto" w:fill="auto"/>
            <w:noWrap/>
            <w:vAlign w:val="bottom"/>
            <w:hideMark/>
          </w:tcPr>
          <w:p w:rsidR="00CC1A08" w:rsidRPr="00D0375C" w:rsidP="00CC1A08" w14:paraId="3A5ADC29" w14:textId="77777777">
            <w:pPr>
              <w:widowControl/>
              <w:autoSpaceDE/>
              <w:autoSpaceDN/>
              <w:adjustRightInd/>
              <w:jc w:val="center"/>
            </w:pPr>
            <w:r w:rsidRPr="00D0375C">
              <w:t>$44</w:t>
            </w:r>
          </w:p>
        </w:tc>
      </w:tr>
      <w:tr w14:paraId="63E363DC" w14:textId="77777777" w:rsidTr="00D0375C">
        <w:tblPrEx>
          <w:tblW w:w="9720" w:type="dxa"/>
          <w:tblInd w:w="715" w:type="dxa"/>
          <w:tblLayout w:type="fixed"/>
          <w:tblLook w:val="04A0"/>
        </w:tblPrEx>
        <w:trPr>
          <w:trHeight w:val="270"/>
        </w:trPr>
        <w:tc>
          <w:tcPr>
            <w:tcW w:w="1980" w:type="dxa"/>
            <w:tcBorders>
              <w:top w:val="single" w:sz="4" w:space="0" w:color="auto"/>
              <w:left w:val="single" w:sz="4" w:space="0" w:color="auto"/>
              <w:bottom w:val="single" w:sz="4" w:space="0" w:color="auto"/>
              <w:right w:val="nil"/>
            </w:tcBorders>
            <w:shd w:val="clear" w:color="auto" w:fill="auto"/>
            <w:noWrap/>
            <w:vAlign w:val="bottom"/>
            <w:hideMark/>
          </w:tcPr>
          <w:p w:rsidR="00CC1A08" w:rsidRPr="00D0375C" w:rsidP="00CC1A08" w14:paraId="4AABB54F" w14:textId="3526F3E1">
            <w:pPr>
              <w:widowControl/>
              <w:autoSpaceDE/>
              <w:autoSpaceDN/>
              <w:adjustRightInd/>
              <w:rPr>
                <w:b/>
                <w:bCs/>
              </w:rPr>
            </w:pPr>
            <w:r w:rsidRPr="00D0375C">
              <w:rPr>
                <w:b/>
                <w:bCs/>
              </w:rPr>
              <w:t>Total</w:t>
            </w:r>
          </w:p>
        </w:tc>
        <w:tc>
          <w:tcPr>
            <w:tcW w:w="135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CC1A08" w:rsidRPr="00D0375C" w:rsidP="00D0375C" w14:paraId="38576686" w14:textId="6AA14831">
            <w:pPr>
              <w:widowControl/>
              <w:autoSpaceDE/>
              <w:autoSpaceDN/>
              <w:adjustRightInd/>
              <w:jc w:val="center"/>
            </w:pPr>
            <w:r w:rsidRPr="00F11446">
              <w:t>-</w:t>
            </w:r>
          </w:p>
        </w:tc>
        <w:tc>
          <w:tcPr>
            <w:tcW w:w="1177" w:type="dxa"/>
            <w:tcBorders>
              <w:top w:val="double" w:sz="4" w:space="0" w:color="auto"/>
              <w:left w:val="nil"/>
              <w:bottom w:val="single" w:sz="4" w:space="0" w:color="auto"/>
              <w:right w:val="nil"/>
            </w:tcBorders>
            <w:shd w:val="clear" w:color="auto" w:fill="auto"/>
            <w:noWrap/>
            <w:vAlign w:val="bottom"/>
            <w:hideMark/>
          </w:tcPr>
          <w:p w:rsidR="00CC1A08" w:rsidRPr="00D0375C" w:rsidP="00F11446" w14:paraId="0C04FFD2" w14:textId="50DDDC54">
            <w:pPr>
              <w:widowControl/>
              <w:autoSpaceDE/>
              <w:autoSpaceDN/>
              <w:adjustRightInd/>
              <w:jc w:val="center"/>
            </w:pPr>
            <w:r w:rsidRPr="00D0375C">
              <w:t>-</w:t>
            </w:r>
          </w:p>
        </w:tc>
        <w:tc>
          <w:tcPr>
            <w:tcW w:w="1163"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CC1A08" w:rsidRPr="00D0375C" w:rsidP="00D0375C" w14:paraId="36D6C64C" w14:textId="485B7E21">
            <w:pPr>
              <w:widowControl/>
              <w:autoSpaceDE/>
              <w:autoSpaceDN/>
              <w:adjustRightInd/>
              <w:jc w:val="center"/>
              <w:rPr>
                <w:rFonts w:ascii="Arial" w:hAnsi="Arial" w:cs="Arial"/>
              </w:rPr>
            </w:pPr>
            <w:r w:rsidRPr="00F11446">
              <w:rPr>
                <w:rFonts w:ascii="Arial" w:hAnsi="Arial" w:cs="Arial"/>
              </w:rPr>
              <w:t>-</w:t>
            </w:r>
          </w:p>
        </w:tc>
        <w:tc>
          <w:tcPr>
            <w:tcW w:w="1170" w:type="dxa"/>
            <w:tcBorders>
              <w:top w:val="double" w:sz="4" w:space="0" w:color="auto"/>
              <w:left w:val="nil"/>
              <w:bottom w:val="single" w:sz="4" w:space="0" w:color="auto"/>
              <w:right w:val="single" w:sz="4" w:space="0" w:color="auto"/>
            </w:tcBorders>
            <w:shd w:val="clear" w:color="auto" w:fill="auto"/>
            <w:noWrap/>
            <w:vAlign w:val="bottom"/>
            <w:hideMark/>
          </w:tcPr>
          <w:p w:rsidR="00CC1A08" w:rsidRPr="00D0375C" w:rsidP="00D0375C" w14:paraId="6882357D" w14:textId="79029B44">
            <w:pPr>
              <w:widowControl/>
              <w:autoSpaceDE/>
              <w:autoSpaceDN/>
              <w:adjustRightInd/>
              <w:jc w:val="center"/>
              <w:rPr>
                <w:rFonts w:ascii="Arial" w:hAnsi="Arial" w:cs="Arial"/>
              </w:rPr>
            </w:pPr>
            <w:r w:rsidRPr="00F11446">
              <w:rPr>
                <w:rFonts w:ascii="Arial" w:hAnsi="Arial" w:cs="Arial"/>
              </w:rPr>
              <w:t>-</w:t>
            </w:r>
          </w:p>
        </w:tc>
        <w:tc>
          <w:tcPr>
            <w:tcW w:w="1421" w:type="dxa"/>
            <w:tcBorders>
              <w:top w:val="double" w:sz="4" w:space="0" w:color="auto"/>
              <w:left w:val="nil"/>
              <w:bottom w:val="single" w:sz="4" w:space="0" w:color="auto"/>
              <w:right w:val="single" w:sz="4" w:space="0" w:color="auto"/>
            </w:tcBorders>
            <w:shd w:val="clear" w:color="auto" w:fill="auto"/>
            <w:noWrap/>
            <w:vAlign w:val="bottom"/>
            <w:hideMark/>
          </w:tcPr>
          <w:p w:rsidR="00CC1A08" w:rsidRPr="00D0375C" w:rsidP="00D0375C" w14:paraId="664ADB1E" w14:textId="740B7364">
            <w:pPr>
              <w:widowControl/>
              <w:autoSpaceDE/>
              <w:autoSpaceDN/>
              <w:adjustRightInd/>
              <w:jc w:val="center"/>
              <w:rPr>
                <w:rFonts w:ascii="Arial" w:hAnsi="Arial" w:cs="Arial"/>
              </w:rPr>
            </w:pPr>
            <w:r w:rsidRPr="00F11446">
              <w:rPr>
                <w:rFonts w:ascii="Arial" w:hAnsi="Arial" w:cs="Arial"/>
              </w:rPr>
              <w:t>-</w:t>
            </w:r>
          </w:p>
        </w:tc>
        <w:tc>
          <w:tcPr>
            <w:tcW w:w="1459" w:type="dxa"/>
            <w:tcBorders>
              <w:top w:val="nil"/>
              <w:left w:val="nil"/>
              <w:bottom w:val="single" w:sz="4" w:space="0" w:color="auto"/>
              <w:right w:val="single" w:sz="4" w:space="0" w:color="auto"/>
            </w:tcBorders>
            <w:shd w:val="clear" w:color="auto" w:fill="auto"/>
            <w:noWrap/>
            <w:vAlign w:val="bottom"/>
            <w:hideMark/>
          </w:tcPr>
          <w:p w:rsidR="00CC1A08" w:rsidRPr="00D0375C" w:rsidP="00CC1A08" w14:paraId="60C4FE84" w14:textId="77777777">
            <w:pPr>
              <w:widowControl/>
              <w:autoSpaceDE/>
              <w:autoSpaceDN/>
              <w:adjustRightInd/>
              <w:jc w:val="center"/>
              <w:rPr>
                <w:b/>
                <w:bCs/>
              </w:rPr>
            </w:pPr>
            <w:r w:rsidRPr="00D0375C">
              <w:rPr>
                <w:b/>
                <w:bCs/>
              </w:rPr>
              <w:t>$175,044</w:t>
            </w:r>
          </w:p>
        </w:tc>
      </w:tr>
    </w:tbl>
    <w:p w:rsidR="00CC1A08" w:rsidP="00D0375C" w14:paraId="56BAAEA2" w14:textId="77777777">
      <w:pPr>
        <w:pStyle w:val="ListParagraph"/>
        <w:ind w:left="1440"/>
      </w:pPr>
    </w:p>
    <w:p w:rsidR="002B0AA2" w:rsidP="00C56640" w14:paraId="1284F4AD" w14:textId="75A7CEA0">
      <w:pPr>
        <w:widowControl/>
      </w:pPr>
      <w:r>
        <w:tab/>
        <w:t xml:space="preserve">The total cost burden associated with this information collection is $175,044. </w:t>
      </w:r>
    </w:p>
    <w:p w:rsidR="00420049" w:rsidP="00C56640" w14:paraId="0B99ED7C" w14:textId="77777777">
      <w:pPr>
        <w:pStyle w:val="Quick1"/>
        <w:widowControl/>
        <w:numPr>
          <w:ilvl w:val="0"/>
          <w:numId w:val="0"/>
        </w:numPr>
        <w:rPr>
          <w:i w:val="0"/>
        </w:rPr>
      </w:pPr>
    </w:p>
    <w:p w:rsidR="00587F64" w:rsidP="001500FC" w14:paraId="2B3856BC" w14:textId="7163CA2D">
      <w:pPr>
        <w:pStyle w:val="Quick1"/>
        <w:widowControl/>
        <w:numPr>
          <w:ilvl w:val="0"/>
          <w:numId w:val="14"/>
        </w:numPr>
        <w:rPr>
          <w:b/>
          <w:i w:val="0"/>
          <w:sz w:val="24"/>
        </w:rPr>
      </w:pPr>
      <w:r w:rsidRPr="001500FC">
        <w:rPr>
          <w:b/>
          <w:i w:val="0"/>
          <w:sz w:val="24"/>
        </w:rPr>
        <w:t>Provide estimates of annualized cost to the Federal government. Also, provide a</w:t>
      </w:r>
      <w:r w:rsidR="00FB1364">
        <w:rPr>
          <w:b/>
          <w:i w:val="0"/>
          <w:sz w:val="24"/>
        </w:rPr>
        <w:t xml:space="preserve"> </w:t>
      </w:r>
    </w:p>
    <w:p w:rsidR="00601A67" w:rsidRPr="001500FC" w:rsidP="00196272" w14:paraId="2B6435FA" w14:textId="2DB6F08F">
      <w:pPr>
        <w:pStyle w:val="Quick1"/>
        <w:widowControl/>
        <w:numPr>
          <w:ilvl w:val="0"/>
          <w:numId w:val="0"/>
        </w:numPr>
        <w:ind w:left="720"/>
        <w:rPr>
          <w:b/>
          <w:i w:val="0"/>
          <w:sz w:val="24"/>
        </w:rPr>
      </w:pPr>
      <w:r w:rsidRPr="001500FC">
        <w:rPr>
          <w:b/>
          <w:i w:val="0"/>
          <w:sz w:val="24"/>
        </w:rPr>
        <w:t>description of the method used to estimate cost, which should include quantification</w:t>
      </w:r>
      <w:r w:rsidR="003F1E0E">
        <w:rPr>
          <w:b/>
          <w:i w:val="0"/>
          <w:sz w:val="24"/>
        </w:rPr>
        <w:t xml:space="preserve">   </w:t>
      </w:r>
      <w:r w:rsidR="00587F64">
        <w:rPr>
          <w:b/>
          <w:i w:val="0"/>
          <w:sz w:val="24"/>
        </w:rPr>
        <w:t xml:space="preserve"> </w:t>
      </w:r>
      <w:r w:rsidRPr="001500FC">
        <w:rPr>
          <w:b/>
          <w:i w:val="0"/>
          <w:sz w:val="24"/>
        </w:rPr>
        <w:t>of hours, operational expenses (such as equipment, overhead, printing, and support</w:t>
      </w:r>
      <w:r w:rsidR="003F1E0E">
        <w:rPr>
          <w:b/>
          <w:i w:val="0"/>
          <w:sz w:val="24"/>
        </w:rPr>
        <w:t xml:space="preserve">   </w:t>
      </w:r>
      <w:r w:rsidR="00587F64">
        <w:rPr>
          <w:b/>
          <w:i w:val="0"/>
          <w:sz w:val="24"/>
        </w:rPr>
        <w:t xml:space="preserve"> </w:t>
      </w:r>
      <w:r w:rsidRPr="001500FC">
        <w:rPr>
          <w:b/>
          <w:i w:val="0"/>
          <w:sz w:val="24"/>
        </w:rPr>
        <w:t>staff), and any other expense that would not have been incurred without this</w:t>
      </w:r>
      <w:r w:rsidR="003F1E0E">
        <w:rPr>
          <w:b/>
          <w:i w:val="0"/>
          <w:sz w:val="24"/>
        </w:rPr>
        <w:t xml:space="preserve">      </w:t>
      </w:r>
      <w:r w:rsidR="00587F64">
        <w:rPr>
          <w:b/>
          <w:i w:val="0"/>
          <w:sz w:val="24"/>
        </w:rPr>
        <w:t xml:space="preserve"> </w:t>
      </w:r>
      <w:r w:rsidRPr="001500FC">
        <w:rPr>
          <w:b/>
          <w:i w:val="0"/>
          <w:sz w:val="24"/>
        </w:rPr>
        <w:t>collection of information. Agencies also may aggregate cost estimates from Items 12, 13, and 14 in a single table.</w:t>
      </w:r>
    </w:p>
    <w:p w:rsidR="00601A67" w:rsidP="00C56640" w14:paraId="3E777CD4" w14:textId="77777777">
      <w:pPr>
        <w:widowControl/>
      </w:pPr>
    </w:p>
    <w:p w:rsidR="00CD5152" w:rsidP="0077053B" w14:paraId="5DBB0388" w14:textId="45FC3A0E">
      <w:pPr>
        <w:widowControl/>
        <w:ind w:left="720"/>
      </w:pPr>
      <w:r>
        <w:t>T</w:t>
      </w:r>
      <w:r>
        <w:t xml:space="preserve">he Department stores archived records pertaining to advisory opinion requests at the National Archives, resulting in a </w:t>
      </w:r>
      <w:r w:rsidR="00CC1A08">
        <w:t>line-item</w:t>
      </w:r>
      <w:r>
        <w:t xml:space="preserve"> budget charge. </w:t>
      </w:r>
      <w:r w:rsidRPr="00887FE9">
        <w:t>Th</w:t>
      </w:r>
      <w:r w:rsidR="00CC1A08">
        <w:t>e annual cost to the government</w:t>
      </w:r>
      <w:r>
        <w:t xml:space="preserve"> is derived as follows:</w:t>
      </w:r>
    </w:p>
    <w:p w:rsidR="00CD5152" w:rsidP="00C56640" w14:paraId="6A835816" w14:textId="77777777">
      <w:pPr>
        <w:widowControl/>
      </w:pPr>
    </w:p>
    <w:p w:rsidR="00CC1A08" w:rsidP="00CC1A08" w14:paraId="49CF500B" w14:textId="5CFB4137">
      <w:pPr>
        <w:pStyle w:val="ListParagraph"/>
        <w:widowControl/>
        <w:numPr>
          <w:ilvl w:val="0"/>
          <w:numId w:val="29"/>
        </w:numPr>
      </w:pPr>
      <w:r w:rsidRPr="00887FE9">
        <w:t xml:space="preserve">Discussions with the Department of Labor’s administrative officials indicate that for the </w:t>
      </w:r>
      <w:r w:rsidRPr="00887FE9" w:rsidR="002E78B6">
        <w:t xml:space="preserve">August </w:t>
      </w:r>
      <w:r w:rsidRPr="00887FE9" w:rsidR="00887FE9">
        <w:t>202</w:t>
      </w:r>
      <w:r w:rsidR="00887FE9">
        <w:t>4</w:t>
      </w:r>
      <w:r w:rsidRPr="00887FE9">
        <w:t>, EBSA was charged $</w:t>
      </w:r>
      <w:r w:rsidRPr="00887FE9" w:rsidR="0062218D">
        <w:t>5,215</w:t>
      </w:r>
      <w:r w:rsidRPr="00887FE9" w:rsidR="002E78B6">
        <w:t xml:space="preserve"> </w:t>
      </w:r>
      <w:r w:rsidRPr="00887FE9">
        <w:t>for storage of records at the National Archives.</w:t>
      </w:r>
      <w:r w:rsidRPr="00887FE9" w:rsidR="00FB1364">
        <w:t xml:space="preserve"> </w:t>
      </w:r>
      <w:r w:rsidRPr="00887FE9">
        <w:t>This monthly cost would result in a</w:t>
      </w:r>
      <w:r w:rsidRPr="00887FE9" w:rsidR="00E85320">
        <w:t xml:space="preserve"> full</w:t>
      </w:r>
      <w:r w:rsidRPr="00887FE9">
        <w:t xml:space="preserve"> year charge of $</w:t>
      </w:r>
      <w:r w:rsidRPr="00887FE9" w:rsidR="00887FE9">
        <w:t>62,5</w:t>
      </w:r>
      <w:r w:rsidR="007C1AD1">
        <w:t>80</w:t>
      </w:r>
      <w:r w:rsidRPr="00887FE9">
        <w:t>.</w:t>
      </w:r>
      <w:r>
        <w:rPr>
          <w:rStyle w:val="FootnoteReference"/>
          <w:vertAlign w:val="superscript"/>
        </w:rPr>
        <w:footnoteReference w:id="6"/>
      </w:r>
      <w:r w:rsidRPr="00887FE9">
        <w:t xml:space="preserve"> </w:t>
      </w:r>
    </w:p>
    <w:p w:rsidR="00CC1A08" w:rsidP="00D0375C" w14:paraId="33D8DC2A" w14:textId="77777777">
      <w:pPr>
        <w:pStyle w:val="ListParagraph"/>
        <w:widowControl/>
        <w:ind w:left="1440"/>
      </w:pPr>
    </w:p>
    <w:p w:rsidR="00CD5152" w:rsidP="00CC1A08" w14:paraId="4BD74279" w14:textId="38CDE2EC">
      <w:pPr>
        <w:pStyle w:val="ListParagraph"/>
        <w:widowControl/>
        <w:numPr>
          <w:ilvl w:val="0"/>
          <w:numId w:val="29"/>
        </w:numPr>
      </w:pPr>
      <w:r w:rsidRPr="00887FE9">
        <w:t>The archived records include documents from all EBSA offices. Discussions with the office tasked with delivery of records to the National Archives indicate that the documents related to the ERISA Procedure constitute no more than 5 percent of the total documents stored at the Archives by EBSA</w:t>
      </w:r>
      <w:r w:rsidR="00CC1A08">
        <w:t>.</w:t>
      </w:r>
    </w:p>
    <w:p w:rsidR="00CC1A08" w:rsidP="00D0375C" w14:paraId="350D166F" w14:textId="77777777">
      <w:pPr>
        <w:pStyle w:val="ListParagraph"/>
      </w:pPr>
    </w:p>
    <w:p w:rsidR="00CC1A08" w:rsidP="00CC1A08" w14:paraId="24784573" w14:textId="7617BB6E">
      <w:pPr>
        <w:pStyle w:val="ListParagraph"/>
        <w:widowControl/>
        <w:numPr>
          <w:ilvl w:val="0"/>
          <w:numId w:val="29"/>
        </w:numPr>
      </w:pPr>
      <w:r>
        <w:t xml:space="preserve">See Table 4 for calculations and burden totals. </w:t>
      </w:r>
    </w:p>
    <w:p w:rsidR="00F07D12" w:rsidP="00D0375C" w14:paraId="401038DD" w14:textId="77777777">
      <w:pPr>
        <w:widowControl/>
      </w:pPr>
    </w:p>
    <w:p w:rsidR="00BB1299" w:rsidP="00D0375C" w14:paraId="73129141" w14:textId="77777777">
      <w:pPr>
        <w:ind w:left="720"/>
        <w:rPr>
          <w:b/>
          <w:bCs/>
        </w:rPr>
      </w:pPr>
    </w:p>
    <w:p w:rsidR="00BB1299" w:rsidP="00D0375C" w14:paraId="0E155D29" w14:textId="77777777">
      <w:pPr>
        <w:ind w:left="720"/>
        <w:rPr>
          <w:b/>
          <w:bCs/>
        </w:rPr>
      </w:pPr>
    </w:p>
    <w:p w:rsidR="00BB1299" w:rsidP="00D0375C" w14:paraId="7344B8C3" w14:textId="77777777">
      <w:pPr>
        <w:ind w:left="720"/>
        <w:rPr>
          <w:b/>
          <w:bCs/>
        </w:rPr>
      </w:pPr>
    </w:p>
    <w:p w:rsidR="00CC1A08" w:rsidRPr="00D0375C" w:rsidP="00D0375C" w14:paraId="49286403" w14:textId="64A39980">
      <w:pPr>
        <w:ind w:left="720"/>
        <w:rPr>
          <w:b/>
          <w:bCs/>
        </w:rPr>
      </w:pPr>
      <w:r w:rsidRPr="00D0375C">
        <w:rPr>
          <w:b/>
          <w:bCs/>
        </w:rPr>
        <w:t>Table 4. Cost to Government</w:t>
      </w:r>
    </w:p>
    <w:p w:rsidR="00F07D12" w:rsidP="00D0375C" w14:paraId="1DB272D0" w14:textId="77777777">
      <w:pPr>
        <w:ind w:left="720"/>
      </w:pPr>
    </w:p>
    <w:tbl>
      <w:tblPr>
        <w:tblW w:w="8640" w:type="dxa"/>
        <w:tblInd w:w="720" w:type="dxa"/>
        <w:tblLook w:val="04A0"/>
      </w:tblPr>
      <w:tblGrid>
        <w:gridCol w:w="2920"/>
        <w:gridCol w:w="1100"/>
        <w:gridCol w:w="2620"/>
        <w:gridCol w:w="2000"/>
      </w:tblGrid>
      <w:tr w14:paraId="03EA671C" w14:textId="77777777" w:rsidTr="00234836">
        <w:tblPrEx>
          <w:tblW w:w="8640" w:type="dxa"/>
          <w:tblInd w:w="720" w:type="dxa"/>
          <w:tblLook w:val="04A0"/>
        </w:tblPrEx>
        <w:trPr>
          <w:trHeight w:val="764"/>
        </w:trPr>
        <w:tc>
          <w:tcPr>
            <w:tcW w:w="2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20290B9D" w14:textId="77777777">
            <w:pPr>
              <w:widowControl/>
              <w:autoSpaceDE/>
              <w:autoSpaceDN/>
              <w:adjustRightInd/>
              <w:jc w:val="center"/>
            </w:pPr>
            <w:r w:rsidRPr="00F07D12">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61AF5888" w14:textId="00289926">
            <w:pPr>
              <w:widowControl/>
              <w:autoSpaceDE/>
              <w:autoSpaceDN/>
              <w:adjustRightInd/>
              <w:jc w:val="center"/>
              <w:rPr>
                <w:b/>
                <w:bCs/>
              </w:rPr>
            </w:pPr>
            <w:r>
              <w:rPr>
                <w:b/>
                <w:bCs/>
              </w:rPr>
              <w:t>Annual</w:t>
            </w:r>
            <w:r w:rsidRPr="00F07D12">
              <w:rPr>
                <w:b/>
                <w:bCs/>
              </w:rPr>
              <w:t xml:space="preserve"> Charge </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1EE432B9" w14:textId="019E6D22">
            <w:pPr>
              <w:widowControl/>
              <w:autoSpaceDE/>
              <w:autoSpaceDN/>
              <w:adjustRightInd/>
              <w:jc w:val="center"/>
              <w:rPr>
                <w:b/>
                <w:bCs/>
              </w:rPr>
            </w:pPr>
            <w:r w:rsidRPr="00F07D12">
              <w:rPr>
                <w:b/>
                <w:bCs/>
              </w:rPr>
              <w:t xml:space="preserve">Percent of </w:t>
            </w:r>
            <w:r w:rsidR="0070100D">
              <w:rPr>
                <w:b/>
                <w:bCs/>
              </w:rPr>
              <w:t>T</w:t>
            </w:r>
            <w:r w:rsidRPr="00F07D12">
              <w:rPr>
                <w:b/>
                <w:bCs/>
              </w:rPr>
              <w:t xml:space="preserve">otal </w:t>
            </w:r>
            <w:r w:rsidR="0070100D">
              <w:rPr>
                <w:b/>
                <w:bCs/>
              </w:rPr>
              <w:t>D</w:t>
            </w:r>
            <w:r w:rsidRPr="00F07D12">
              <w:rPr>
                <w:b/>
                <w:bCs/>
              </w:rPr>
              <w:t xml:space="preserve">ocuments </w:t>
            </w:r>
            <w:r w:rsidR="0070100D">
              <w:rPr>
                <w:b/>
                <w:bCs/>
              </w:rPr>
              <w:t>S</w:t>
            </w:r>
            <w:r w:rsidRPr="00F07D12">
              <w:rPr>
                <w:b/>
                <w:bCs/>
              </w:rPr>
              <w:t>tored at the Archives by EBSA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337AAA77" w14:textId="4C843AF7">
            <w:pPr>
              <w:widowControl/>
              <w:autoSpaceDE/>
              <w:autoSpaceDN/>
              <w:adjustRightInd/>
              <w:jc w:val="center"/>
              <w:rPr>
                <w:b/>
                <w:bCs/>
              </w:rPr>
            </w:pPr>
            <w:r>
              <w:rPr>
                <w:b/>
                <w:bCs/>
              </w:rPr>
              <w:t>Total Cost</w:t>
            </w:r>
          </w:p>
        </w:tc>
      </w:tr>
      <w:tr w14:paraId="778B181C" w14:textId="77777777" w:rsidTr="00D0375C">
        <w:tblPrEx>
          <w:tblW w:w="8640" w:type="dxa"/>
          <w:tblInd w:w="720" w:type="dxa"/>
          <w:tblLook w:val="04A0"/>
        </w:tblPrEx>
        <w:trPr>
          <w:trHeight w:val="260"/>
        </w:trPr>
        <w:tc>
          <w:tcPr>
            <w:tcW w:w="2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52824269" w14:textId="77777777">
            <w:pPr>
              <w:widowControl/>
              <w:autoSpaceDE/>
              <w:autoSpaceDN/>
              <w:adjustRightInd/>
              <w:jc w:val="center"/>
            </w:pPr>
            <w:r w:rsidRPr="00F07D12">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6A3A9A8C" w14:textId="77777777">
            <w:pPr>
              <w:widowControl/>
              <w:autoSpaceDE/>
              <w:autoSpaceDN/>
              <w:adjustRightInd/>
              <w:jc w:val="center"/>
              <w:rPr>
                <w:b/>
                <w:bCs/>
              </w:rPr>
            </w:pPr>
            <w:r w:rsidRPr="00F07D12">
              <w:rPr>
                <w:b/>
                <w:bCs/>
              </w:rPr>
              <w:t>(A)</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6547D5FB" w14:textId="77777777">
            <w:pPr>
              <w:widowControl/>
              <w:autoSpaceDE/>
              <w:autoSpaceDN/>
              <w:adjustRightInd/>
              <w:jc w:val="center"/>
              <w:rPr>
                <w:b/>
                <w:bCs/>
              </w:rPr>
            </w:pPr>
            <w:r w:rsidRPr="00F07D12">
              <w:rPr>
                <w:b/>
                <w:bCs/>
              </w:rPr>
              <w:t>(B)</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0FE8F852" w14:textId="77777777">
            <w:pPr>
              <w:widowControl/>
              <w:autoSpaceDE/>
              <w:autoSpaceDN/>
              <w:adjustRightInd/>
              <w:jc w:val="center"/>
              <w:rPr>
                <w:b/>
                <w:bCs/>
              </w:rPr>
            </w:pPr>
            <w:r w:rsidRPr="00F07D12">
              <w:rPr>
                <w:b/>
                <w:bCs/>
              </w:rPr>
              <w:t>(A x B)</w:t>
            </w:r>
          </w:p>
        </w:tc>
      </w:tr>
      <w:tr w14:paraId="24284325" w14:textId="77777777" w:rsidTr="00D0375C">
        <w:tblPrEx>
          <w:tblW w:w="8640" w:type="dxa"/>
          <w:tblInd w:w="720" w:type="dxa"/>
          <w:tblLook w:val="04A0"/>
        </w:tblPrEx>
        <w:trPr>
          <w:trHeight w:val="320"/>
        </w:trPr>
        <w:tc>
          <w:tcPr>
            <w:tcW w:w="2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D12" w:rsidRPr="00F07D12" w:rsidP="00F07D12" w14:paraId="2E28DE76" w14:textId="77777777">
            <w:pPr>
              <w:widowControl/>
              <w:autoSpaceDE/>
              <w:autoSpaceDN/>
              <w:adjustRightInd/>
            </w:pPr>
            <w:r w:rsidRPr="00F07D12">
              <w:t>Storage of Records</w:t>
            </w:r>
          </w:p>
        </w:tc>
        <w:tc>
          <w:tcPr>
            <w:tcW w:w="1100" w:type="dxa"/>
            <w:tcBorders>
              <w:top w:val="single" w:sz="4" w:space="0" w:color="auto"/>
              <w:left w:val="nil"/>
              <w:bottom w:val="double" w:sz="4" w:space="0" w:color="auto"/>
              <w:right w:val="single" w:sz="4" w:space="0" w:color="auto"/>
            </w:tcBorders>
            <w:shd w:val="clear" w:color="auto" w:fill="auto"/>
            <w:vAlign w:val="bottom"/>
            <w:hideMark/>
          </w:tcPr>
          <w:p w:rsidR="00F07D12" w:rsidRPr="00F07D12" w:rsidP="00F07D12" w14:paraId="70EB2B1B" w14:textId="77777777">
            <w:pPr>
              <w:widowControl/>
              <w:autoSpaceDE/>
              <w:autoSpaceDN/>
              <w:adjustRightInd/>
              <w:jc w:val="center"/>
            </w:pPr>
            <w:r w:rsidRPr="00F07D12">
              <w:t>$62,580</w:t>
            </w:r>
          </w:p>
        </w:tc>
        <w:tc>
          <w:tcPr>
            <w:tcW w:w="2620" w:type="dxa"/>
            <w:tcBorders>
              <w:top w:val="single" w:sz="4" w:space="0" w:color="auto"/>
              <w:left w:val="nil"/>
              <w:bottom w:val="double" w:sz="4" w:space="0" w:color="auto"/>
              <w:right w:val="single" w:sz="4" w:space="0" w:color="auto"/>
            </w:tcBorders>
            <w:shd w:val="clear" w:color="auto" w:fill="auto"/>
            <w:vAlign w:val="bottom"/>
            <w:hideMark/>
          </w:tcPr>
          <w:p w:rsidR="00F07D12" w:rsidRPr="00F07D12" w:rsidP="00F07D12" w14:paraId="08E1ADA3" w14:textId="77777777">
            <w:pPr>
              <w:widowControl/>
              <w:autoSpaceDE/>
              <w:autoSpaceDN/>
              <w:adjustRightInd/>
              <w:jc w:val="center"/>
            </w:pPr>
            <w:r w:rsidRPr="00F07D12">
              <w:t>5%</w:t>
            </w:r>
          </w:p>
        </w:tc>
        <w:tc>
          <w:tcPr>
            <w:tcW w:w="2000" w:type="dxa"/>
            <w:tcBorders>
              <w:top w:val="single" w:sz="4" w:space="0" w:color="auto"/>
              <w:left w:val="nil"/>
              <w:bottom w:val="double" w:sz="6" w:space="0" w:color="auto"/>
              <w:right w:val="single" w:sz="4" w:space="0" w:color="auto"/>
            </w:tcBorders>
            <w:shd w:val="clear" w:color="auto" w:fill="auto"/>
            <w:vAlign w:val="bottom"/>
            <w:hideMark/>
          </w:tcPr>
          <w:p w:rsidR="00F07D12" w:rsidRPr="00F07D12" w:rsidP="00F07D12" w14:paraId="54CEFF62" w14:textId="77777777">
            <w:pPr>
              <w:widowControl/>
              <w:autoSpaceDE/>
              <w:autoSpaceDN/>
              <w:adjustRightInd/>
              <w:jc w:val="center"/>
            </w:pPr>
            <w:r w:rsidRPr="00F07D12">
              <w:t>$3,129</w:t>
            </w:r>
          </w:p>
        </w:tc>
      </w:tr>
      <w:tr w14:paraId="6E074644" w14:textId="77777777" w:rsidTr="00D0375C">
        <w:tblPrEx>
          <w:tblW w:w="8640" w:type="dxa"/>
          <w:tblInd w:w="720" w:type="dxa"/>
          <w:tblLook w:val="04A0"/>
        </w:tblPrEx>
        <w:trPr>
          <w:trHeight w:val="32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F07D12" w:rsidRPr="00F07D12" w:rsidP="00F07D12" w14:paraId="37A4B58A" w14:textId="77777777">
            <w:pPr>
              <w:widowControl/>
              <w:autoSpaceDE/>
              <w:autoSpaceDN/>
              <w:adjustRightInd/>
              <w:rPr>
                <w:b/>
                <w:bCs/>
              </w:rPr>
            </w:pPr>
            <w:r w:rsidRPr="00F07D12">
              <w:rPr>
                <w:b/>
                <w:bCs/>
              </w:rPr>
              <w:t>Total</w:t>
            </w:r>
          </w:p>
        </w:tc>
        <w:tc>
          <w:tcPr>
            <w:tcW w:w="1100" w:type="dxa"/>
            <w:tcBorders>
              <w:top w:val="double" w:sz="4" w:space="0" w:color="auto"/>
              <w:left w:val="nil"/>
              <w:bottom w:val="single" w:sz="4" w:space="0" w:color="auto"/>
              <w:right w:val="single" w:sz="4" w:space="0" w:color="auto"/>
            </w:tcBorders>
            <w:shd w:val="clear" w:color="auto" w:fill="auto"/>
            <w:noWrap/>
            <w:vAlign w:val="bottom"/>
            <w:hideMark/>
          </w:tcPr>
          <w:p w:rsidR="00F07D12" w:rsidRPr="00F07D12" w:rsidP="00F07D12" w14:paraId="44D53378" w14:textId="77777777">
            <w:pPr>
              <w:widowControl/>
              <w:autoSpaceDE/>
              <w:autoSpaceDN/>
              <w:adjustRightInd/>
              <w:jc w:val="center"/>
            </w:pPr>
            <w:r w:rsidRPr="00F07D12">
              <w:t>-</w:t>
            </w:r>
          </w:p>
        </w:tc>
        <w:tc>
          <w:tcPr>
            <w:tcW w:w="2620" w:type="dxa"/>
            <w:tcBorders>
              <w:top w:val="double" w:sz="4" w:space="0" w:color="auto"/>
              <w:left w:val="nil"/>
              <w:bottom w:val="single" w:sz="4" w:space="0" w:color="auto"/>
              <w:right w:val="single" w:sz="4" w:space="0" w:color="auto"/>
            </w:tcBorders>
            <w:shd w:val="clear" w:color="auto" w:fill="auto"/>
            <w:noWrap/>
            <w:vAlign w:val="bottom"/>
            <w:hideMark/>
          </w:tcPr>
          <w:p w:rsidR="00F07D12" w:rsidRPr="00F07D12" w:rsidP="00F07D12" w14:paraId="42244F3F" w14:textId="77777777">
            <w:pPr>
              <w:widowControl/>
              <w:autoSpaceDE/>
              <w:autoSpaceDN/>
              <w:adjustRightInd/>
              <w:jc w:val="center"/>
              <w:rPr>
                <w:b/>
                <w:bCs/>
              </w:rPr>
            </w:pPr>
            <w:r w:rsidRPr="00F07D12">
              <w:rPr>
                <w:b/>
                <w:bCs/>
              </w:rPr>
              <w:t>-</w:t>
            </w:r>
          </w:p>
        </w:tc>
        <w:tc>
          <w:tcPr>
            <w:tcW w:w="2000" w:type="dxa"/>
            <w:tcBorders>
              <w:top w:val="nil"/>
              <w:left w:val="nil"/>
              <w:bottom w:val="single" w:sz="4" w:space="0" w:color="auto"/>
              <w:right w:val="single" w:sz="4" w:space="0" w:color="auto"/>
            </w:tcBorders>
            <w:shd w:val="clear" w:color="auto" w:fill="auto"/>
            <w:noWrap/>
            <w:vAlign w:val="bottom"/>
            <w:hideMark/>
          </w:tcPr>
          <w:p w:rsidR="00F07D12" w:rsidRPr="00F07D12" w:rsidP="00F07D12" w14:paraId="0600F6C3" w14:textId="77777777">
            <w:pPr>
              <w:widowControl/>
              <w:autoSpaceDE/>
              <w:autoSpaceDN/>
              <w:adjustRightInd/>
              <w:jc w:val="center"/>
              <w:rPr>
                <w:b/>
                <w:bCs/>
              </w:rPr>
            </w:pPr>
            <w:r w:rsidRPr="00F07D12">
              <w:rPr>
                <w:b/>
                <w:bCs/>
              </w:rPr>
              <w:t>$3,129</w:t>
            </w:r>
          </w:p>
        </w:tc>
      </w:tr>
    </w:tbl>
    <w:p w:rsidR="00CD5152" w:rsidRPr="00887FE9" w:rsidP="00C56640" w14:paraId="1C1DE6D0" w14:textId="77777777">
      <w:pPr>
        <w:widowControl/>
      </w:pPr>
    </w:p>
    <w:p w:rsidR="00CD5152" w:rsidP="00587F64" w14:paraId="422C7EA6" w14:textId="2CECA407">
      <w:pPr>
        <w:widowControl/>
        <w:ind w:left="720"/>
      </w:pPr>
      <w:r w:rsidRPr="00887FE9">
        <w:t>The total annual cost to the Department for the information collection is $</w:t>
      </w:r>
      <w:r w:rsidRPr="00887FE9" w:rsidR="0062218D">
        <w:t>3,129</w:t>
      </w:r>
      <w:r w:rsidRPr="00887FE9" w:rsidR="007C7F1B">
        <w:t>.</w:t>
      </w:r>
      <w:r w:rsidR="002E78B6">
        <w:t xml:space="preserve"> </w:t>
      </w:r>
    </w:p>
    <w:p w:rsidR="005E3ACE" w:rsidRPr="00587F64" w:rsidP="00C56640" w14:paraId="039EF229" w14:textId="77777777">
      <w:pPr>
        <w:widowControl/>
        <w:rPr>
          <w:b/>
        </w:rPr>
      </w:pPr>
    </w:p>
    <w:p w:rsidR="00587F64" w:rsidP="001500FC" w14:paraId="03BCBA35" w14:textId="77777777">
      <w:pPr>
        <w:pStyle w:val="Quick1"/>
        <w:widowControl/>
        <w:numPr>
          <w:ilvl w:val="0"/>
          <w:numId w:val="14"/>
        </w:numPr>
        <w:rPr>
          <w:b/>
          <w:i w:val="0"/>
          <w:sz w:val="24"/>
        </w:rPr>
      </w:pPr>
      <w:r w:rsidRPr="00587F64">
        <w:rPr>
          <w:b/>
          <w:i w:val="0"/>
          <w:sz w:val="24"/>
        </w:rPr>
        <w:t>Explain the reasons for any program changes or adjustments reported in Items 1</w:t>
      </w:r>
      <w:r w:rsidRPr="00587F64" w:rsidR="00927E2B">
        <w:rPr>
          <w:b/>
          <w:i w:val="0"/>
          <w:sz w:val="24"/>
        </w:rPr>
        <w:t xml:space="preserve">2 </w:t>
      </w:r>
    </w:p>
    <w:p w:rsidR="00601A67" w:rsidRPr="00587F64" w:rsidP="00587F64" w14:paraId="7A403647" w14:textId="77777777">
      <w:pPr>
        <w:pStyle w:val="Quick1"/>
        <w:widowControl/>
        <w:numPr>
          <w:ilvl w:val="0"/>
          <w:numId w:val="0"/>
        </w:numPr>
        <w:ind w:firstLine="720"/>
        <w:rPr>
          <w:b/>
          <w:i w:val="0"/>
          <w:sz w:val="24"/>
        </w:rPr>
      </w:pPr>
      <w:r w:rsidRPr="00587F64">
        <w:rPr>
          <w:b/>
          <w:i w:val="0"/>
          <w:sz w:val="24"/>
        </w:rPr>
        <w:t>or 1</w:t>
      </w:r>
      <w:r w:rsidRPr="00587F64">
        <w:rPr>
          <w:b/>
          <w:i w:val="0"/>
          <w:sz w:val="24"/>
        </w:rPr>
        <w:t>3.</w:t>
      </w:r>
    </w:p>
    <w:p w:rsidR="00601A67" w:rsidP="00C56640" w14:paraId="0C6F3663" w14:textId="77777777">
      <w:pPr>
        <w:widowControl/>
      </w:pPr>
    </w:p>
    <w:p w:rsidR="00CD5152" w:rsidP="00587F64" w14:paraId="2186195B" w14:textId="2916F437">
      <w:pPr>
        <w:widowControl/>
        <w:ind w:left="720"/>
      </w:pPr>
      <w:r w:rsidRPr="00D4423E">
        <w:t xml:space="preserve">The Department </w:t>
      </w:r>
      <w:r>
        <w:t>has</w:t>
      </w:r>
      <w:r w:rsidRPr="00D4423E">
        <w:t xml:space="preserve"> updated its estimates of labor rates </w:t>
      </w:r>
      <w:r>
        <w:t xml:space="preserve">as well as postage </w:t>
      </w:r>
      <w:r w:rsidRPr="00D4423E">
        <w:t>and other costs.</w:t>
      </w:r>
      <w:r>
        <w:t xml:space="preserve"> </w:t>
      </w:r>
      <w:r w:rsidR="00EF5F93">
        <w:t>T</w:t>
      </w:r>
      <w:r>
        <w:t xml:space="preserve">he Department </w:t>
      </w:r>
      <w:r w:rsidR="00D47F2C">
        <w:t xml:space="preserve">has also </w:t>
      </w:r>
      <w:r>
        <w:t xml:space="preserve">updated its estimate of the number of requests it received. </w:t>
      </w:r>
      <w:r w:rsidRPr="00D4423E">
        <w:t>Using historical dat</w:t>
      </w:r>
      <w:r w:rsidRPr="00D4423E" w:rsidR="00EF5F93">
        <w:t>a</w:t>
      </w:r>
      <w:r w:rsidRPr="00D4423E">
        <w:t xml:space="preserve"> from the last three years the Department estimates that it </w:t>
      </w:r>
      <w:r w:rsidRPr="00D4423E" w:rsidR="0013268C">
        <w:t xml:space="preserve">will </w:t>
      </w:r>
      <w:r w:rsidRPr="00D4423E">
        <w:t xml:space="preserve">receive </w:t>
      </w:r>
      <w:r w:rsidR="00D4423E">
        <w:t>6</w:t>
      </w:r>
      <w:r w:rsidRPr="00D4423E" w:rsidR="00D4423E">
        <w:t xml:space="preserve"> </w:t>
      </w:r>
      <w:r w:rsidRPr="00D4423E">
        <w:t xml:space="preserve">requests per year; this estimate is </w:t>
      </w:r>
      <w:r w:rsidR="00D4423E">
        <w:t>down</w:t>
      </w:r>
      <w:r w:rsidRPr="00D4423E" w:rsidR="00D4423E">
        <w:t xml:space="preserve"> </w:t>
      </w:r>
      <w:r w:rsidRPr="00D4423E">
        <w:t xml:space="preserve">from the previous estimate of </w:t>
      </w:r>
      <w:r w:rsidRPr="00D4423E" w:rsidR="00D4423E">
        <w:t>1</w:t>
      </w:r>
      <w:r w:rsidR="00D4423E">
        <w:t>8</w:t>
      </w:r>
      <w:r w:rsidRPr="00D4423E" w:rsidR="00D4423E">
        <w:t xml:space="preserve"> </w:t>
      </w:r>
      <w:r w:rsidRPr="00D4423E">
        <w:t xml:space="preserve">requests for year. </w:t>
      </w:r>
      <w:r w:rsidR="0070100D">
        <w:t>Therefore</w:t>
      </w:r>
      <w:r>
        <w:t xml:space="preserve">, the hour burden has decreased by 119 hours and </w:t>
      </w:r>
      <w:r w:rsidR="00D47F2C">
        <w:t xml:space="preserve">the cost burden has decreased by </w:t>
      </w:r>
      <w:r>
        <w:t xml:space="preserve">$302,045. </w:t>
      </w:r>
    </w:p>
    <w:p w:rsidR="00CD5152" w:rsidRPr="00587F64" w:rsidP="00C56640" w14:paraId="3087840A" w14:textId="77777777">
      <w:pPr>
        <w:widowControl/>
        <w:rPr>
          <w:b/>
        </w:rPr>
      </w:pPr>
    </w:p>
    <w:p w:rsidR="00587F64" w:rsidRPr="00587F64" w:rsidP="001500FC" w14:paraId="59E12E27" w14:textId="77777777">
      <w:pPr>
        <w:pStyle w:val="Quick1"/>
        <w:widowControl/>
        <w:numPr>
          <w:ilvl w:val="0"/>
          <w:numId w:val="14"/>
        </w:numPr>
        <w:rPr>
          <w:b/>
          <w:i w:val="0"/>
          <w:sz w:val="24"/>
        </w:rPr>
      </w:pPr>
      <w:r w:rsidRPr="00587F64">
        <w:rPr>
          <w:b/>
          <w:i w:val="0"/>
          <w:sz w:val="24"/>
        </w:rPr>
        <w:t xml:space="preserve">For collections of information whose results will be published, outline plans for </w:t>
      </w:r>
    </w:p>
    <w:p w:rsidR="00601A67" w:rsidRPr="00587F64" w:rsidP="00587F64" w14:paraId="2EB462B0" w14:textId="6FD5D249">
      <w:pPr>
        <w:pStyle w:val="Quick1"/>
        <w:widowControl/>
        <w:numPr>
          <w:ilvl w:val="0"/>
          <w:numId w:val="0"/>
        </w:numPr>
        <w:ind w:left="720"/>
        <w:rPr>
          <w:b/>
          <w:i w:val="0"/>
          <w:sz w:val="24"/>
        </w:rPr>
      </w:pPr>
      <w:r w:rsidRPr="00587F64">
        <w:rPr>
          <w:b/>
          <w:i w:val="0"/>
          <w:sz w:val="24"/>
        </w:rPr>
        <w:t>tabulation, and publication. Address any complex analytical techniques that will be used.</w:t>
      </w:r>
      <w:r w:rsidR="00FB1364">
        <w:rPr>
          <w:b/>
          <w:i w:val="0"/>
          <w:sz w:val="24"/>
        </w:rPr>
        <w:t xml:space="preserve"> </w:t>
      </w:r>
      <w:r w:rsidRPr="00587F64">
        <w:rPr>
          <w:b/>
          <w:i w:val="0"/>
          <w:sz w:val="24"/>
        </w:rPr>
        <w:t>Provide the time schedule for the entire project, including beginning and ending dates of the collection of information, completion of report, publication dates, and other actions.</w:t>
      </w:r>
    </w:p>
    <w:p w:rsidR="00601A67" w:rsidP="00C56640" w14:paraId="593ACF94" w14:textId="77777777">
      <w:pPr>
        <w:widowControl/>
      </w:pPr>
    </w:p>
    <w:p w:rsidR="00601A67" w:rsidP="00587F64" w14:paraId="403A5235" w14:textId="77777777">
      <w:pPr>
        <w:widowControl/>
        <w:ind w:left="720"/>
      </w:pPr>
      <w:r>
        <w:t>This is not a collection of information for statistical use and there are no plans to publish the results of this collection.</w:t>
      </w:r>
    </w:p>
    <w:p w:rsidR="00772FA4" w:rsidRPr="00587F64" w:rsidP="00C56640" w14:paraId="1870953F" w14:textId="77777777">
      <w:pPr>
        <w:widowControl/>
        <w:rPr>
          <w:b/>
        </w:rPr>
      </w:pPr>
    </w:p>
    <w:p w:rsidR="00587F64" w:rsidRPr="00587F64" w:rsidP="001500FC" w14:paraId="321A4B22" w14:textId="77777777">
      <w:pPr>
        <w:pStyle w:val="Quick1"/>
        <w:widowControl/>
        <w:numPr>
          <w:ilvl w:val="0"/>
          <w:numId w:val="14"/>
        </w:numPr>
        <w:rPr>
          <w:b/>
          <w:i w:val="0"/>
          <w:sz w:val="24"/>
        </w:rPr>
      </w:pPr>
      <w:r w:rsidRPr="00587F64">
        <w:rPr>
          <w:b/>
          <w:i w:val="0"/>
          <w:sz w:val="24"/>
        </w:rPr>
        <w:t xml:space="preserve">If seeking approval to not display the expiration date for OMB approval of the </w:t>
      </w:r>
    </w:p>
    <w:p w:rsidR="00601A67" w:rsidRPr="00587F64" w:rsidP="00587F64" w14:paraId="35C12880" w14:textId="77777777">
      <w:pPr>
        <w:pStyle w:val="Quick1"/>
        <w:widowControl/>
        <w:numPr>
          <w:ilvl w:val="0"/>
          <w:numId w:val="0"/>
        </w:numPr>
        <w:ind w:firstLine="720"/>
        <w:rPr>
          <w:b/>
          <w:i w:val="0"/>
          <w:sz w:val="24"/>
        </w:rPr>
      </w:pPr>
      <w:r w:rsidRPr="00587F64">
        <w:rPr>
          <w:b/>
          <w:i w:val="0"/>
          <w:sz w:val="24"/>
        </w:rPr>
        <w:t>information collection, explain the reasons that display would be inappropriate.</w:t>
      </w:r>
    </w:p>
    <w:p w:rsidR="00601A67" w:rsidP="00C56640" w14:paraId="4E3B8579" w14:textId="77777777">
      <w:pPr>
        <w:widowControl/>
      </w:pPr>
    </w:p>
    <w:p w:rsidR="007632A7" w:rsidP="00587F64" w14:paraId="5C7C5E07" w14:textId="306A8597">
      <w:pPr>
        <w:pStyle w:val="BodyText"/>
        <w:widowControl/>
        <w:ind w:left="720"/>
      </w:pPr>
      <w:r>
        <w:t>The Department is not seeking approval to not display the expiration date.</w:t>
      </w:r>
    </w:p>
    <w:p w:rsidR="00601A67" w:rsidP="00C56640" w14:paraId="2A30220A" w14:textId="77777777">
      <w:pPr>
        <w:widowControl/>
      </w:pPr>
    </w:p>
    <w:p w:rsidR="00601A67" w:rsidRPr="00E73BCE" w:rsidP="00E73BCE" w14:paraId="38B6941D" w14:textId="3FE4DD1F">
      <w:pPr>
        <w:pStyle w:val="Quick1"/>
        <w:widowControl/>
        <w:numPr>
          <w:ilvl w:val="0"/>
          <w:numId w:val="14"/>
        </w:numPr>
      </w:pPr>
      <w:r w:rsidRPr="00587F64">
        <w:rPr>
          <w:b/>
          <w:i w:val="0"/>
          <w:sz w:val="24"/>
        </w:rPr>
        <w:t xml:space="preserve">Explain each exception to the </w:t>
      </w:r>
      <w:r w:rsidR="00E73BCE">
        <w:rPr>
          <w:b/>
          <w:i w:val="0"/>
          <w:sz w:val="24"/>
        </w:rPr>
        <w:t xml:space="preserve">certification statement. </w:t>
      </w:r>
    </w:p>
    <w:p w:rsidR="00E73BCE" w:rsidP="00E73BCE" w14:paraId="3A2CD487" w14:textId="77777777">
      <w:pPr>
        <w:pStyle w:val="Quick1"/>
        <w:widowControl/>
        <w:numPr>
          <w:ilvl w:val="0"/>
          <w:numId w:val="0"/>
        </w:numPr>
      </w:pPr>
    </w:p>
    <w:p w:rsidR="00601A67" w:rsidP="00E73BCE" w14:paraId="3CFCEBB1" w14:textId="5395F9FF">
      <w:pPr>
        <w:widowControl/>
        <w:ind w:firstLine="720"/>
      </w:pPr>
      <w:r w:rsidRPr="00E73BCE">
        <w:t>There are no exceptions to the certification statement identified in Item 19.</w:t>
      </w:r>
    </w:p>
    <w:p w:rsidR="00E73BCE" w:rsidP="00E73BCE" w14:paraId="34FCE453" w14:textId="77777777">
      <w:pPr>
        <w:widowControl/>
        <w:ind w:firstLine="720"/>
      </w:pPr>
    </w:p>
    <w:p w:rsidR="00E714DE" w:rsidP="00C56640" w14:paraId="4DEACA74" w14:textId="77777777">
      <w:pPr>
        <w:widowControl/>
        <w:tabs>
          <w:tab w:val="left" w:pos="-1440"/>
        </w:tabs>
        <w:ind w:hanging="720"/>
      </w:pPr>
      <w:r>
        <w:rPr>
          <w:b/>
        </w:rPr>
        <w:tab/>
        <w:t>B.</w:t>
      </w:r>
      <w:r>
        <w:rPr>
          <w:b/>
        </w:rPr>
        <w:tab/>
      </w:r>
      <w:r w:rsidR="00587F64">
        <w:rPr>
          <w:b/>
        </w:rPr>
        <w:t>COLLECTIONS OF INFORMATION EMPLOYING STATISTICAL METHODS</w:t>
      </w:r>
    </w:p>
    <w:p w:rsidR="00E714DE" w:rsidP="00C56640" w14:paraId="4365A639" w14:textId="77777777">
      <w:pPr>
        <w:pStyle w:val="BodyText"/>
        <w:widowControl/>
      </w:pPr>
    </w:p>
    <w:p w:rsidR="00E714DE" w:rsidP="00E73BCE" w14:paraId="2DA6A9A2" w14:textId="77AB5BA3">
      <w:pPr>
        <w:pStyle w:val="BodyText"/>
        <w:widowControl/>
        <w:ind w:left="720"/>
      </w:pPr>
      <w:r w:rsidRPr="00E73BCE">
        <w:t>There are no statistical methods used in this information collection.</w:t>
      </w:r>
    </w:p>
    <w:sectPr w:rsidSect="00036CD3">
      <w:headerReference w:type="default" r:id="rId9"/>
      <w:footerReference w:type="even" r:id="rId10"/>
      <w:footerReference w:type="default" r:id="rId11"/>
      <w:pgSz w:w="12240" w:h="15840"/>
      <w:pgMar w:top="135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591" w:rsidP="00B07DF1" w14:paraId="5314FE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5591" w14:paraId="6784AD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591" w14:paraId="54A677C5" w14:textId="77777777">
    <w:pPr>
      <w:spacing w:line="240" w:lineRule="exact"/>
    </w:pPr>
  </w:p>
  <w:p w:rsidR="005E5591" w:rsidP="00554D53" w14:paraId="114D9A42" w14:textId="2531003E">
    <w:pPr>
      <w:framePr w:wrap="around" w:vAnchor="text" w:hAnchor="margin" w:xAlign="center" w:y="1"/>
      <w:jc w:val="center"/>
    </w:pPr>
    <w:r>
      <w:fldChar w:fldCharType="begin"/>
    </w:r>
    <w:r>
      <w:instrText xml:space="preserve">PAGE </w:instrText>
    </w:r>
    <w:r>
      <w:fldChar w:fldCharType="separate"/>
    </w:r>
    <w:r w:rsidR="00A952A4">
      <w:rPr>
        <w:noProof/>
      </w:rPr>
      <w:t>11</w:t>
    </w:r>
    <w:r>
      <w:fldChar w:fldCharType="end"/>
    </w:r>
  </w:p>
  <w:p w:rsidR="005E5591" w14:paraId="692399B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14F1" w14:paraId="6F40DFCE" w14:textId="77777777">
      <w:r>
        <w:separator/>
      </w:r>
    </w:p>
  </w:footnote>
  <w:footnote w:type="continuationSeparator" w:id="1">
    <w:p w:rsidR="00FF14F1" w14:paraId="1A0409E7" w14:textId="77777777">
      <w:r>
        <w:continuationSeparator/>
      </w:r>
    </w:p>
  </w:footnote>
  <w:footnote w:id="2">
    <w:p w:rsidR="005E5591" w:rsidP="00266F3F" w14:paraId="2D8D86DE" w14:textId="4E7E0E47">
      <w:pPr>
        <w:pStyle w:val="FootnoteText"/>
      </w:pPr>
      <w:r w:rsidRPr="00CD5152">
        <w:rPr>
          <w:rStyle w:val="FootnoteReference"/>
          <w:vertAlign w:val="superscript"/>
        </w:rPr>
        <w:footnoteRef/>
      </w:r>
      <w:r w:rsidRPr="00CD5152">
        <w:rPr>
          <w:vertAlign w:val="superscript"/>
        </w:rPr>
        <w:t xml:space="preserve"> </w:t>
      </w:r>
      <w:r>
        <w:t xml:space="preserve">This estimate is based on the average number of requests for advisory opinions and information letters that the Department received </w:t>
      </w:r>
      <w:r w:rsidRPr="00BB5312">
        <w:t xml:space="preserve">during </w:t>
      </w:r>
      <w:r w:rsidRPr="00BB5312" w:rsidR="00EF48B9">
        <w:t>2021</w:t>
      </w:r>
      <w:r w:rsidRPr="00BB5312" w:rsidR="001202A6">
        <w:t>-</w:t>
      </w:r>
      <w:r w:rsidRPr="00BB5312" w:rsidR="00EF48B9">
        <w:t>2023</w:t>
      </w:r>
      <w:r w:rsidRPr="00BB5312">
        <w:t>.</w:t>
      </w:r>
      <w:r w:rsidR="001C0292">
        <w:t xml:space="preserve"> </w:t>
      </w:r>
      <w:r w:rsidR="001C0292">
        <w:t>For the purpose of</w:t>
      </w:r>
      <w:r w:rsidR="001C0292">
        <w:t xml:space="preserve"> this analysis, this estimate has been rounded. </w:t>
      </w:r>
    </w:p>
  </w:footnote>
  <w:footnote w:id="3">
    <w:p w:rsidR="0062108E" w:rsidRPr="0062108E" w14:paraId="23EA4B81" w14:textId="21E4F9E1">
      <w:pPr>
        <w:pStyle w:val="FootnoteText"/>
      </w:pPr>
      <w:r w:rsidRPr="00D0375C">
        <w:rPr>
          <w:rStyle w:val="FootnoteReference"/>
          <w:vertAlign w:val="superscript"/>
        </w:rPr>
        <w:footnoteRef/>
      </w:r>
      <w:r w:rsidRPr="00D0375C">
        <w:rPr>
          <w:vertAlign w:val="superscript"/>
        </w:rPr>
        <w:t xml:space="preserve"> </w:t>
      </w:r>
      <w:r w:rsidRPr="00545F04">
        <w:t>Internal DOL calculation based on 202</w:t>
      </w:r>
      <w:r>
        <w:t>4</w:t>
      </w:r>
      <w:r w:rsidRPr="00545F04">
        <w:t xml:space="preserve"> labor cost data. For a description of DOL’s methodology for calculating wage rates, see </w:t>
      </w:r>
      <w:hyperlink r:id="rId1" w:history="1">
        <w:r w:rsidRPr="000B38BB">
          <w:rPr>
            <w:rStyle w:val="Hyperlink"/>
          </w:rPr>
          <w:t>https://www.dol.gov/sites/dolgov/files/EBSA/laws-and-regulations/rules-and-regulations/technical-appendices/labor-cost-inputs-used-in-ebsa-opr-ria-and-pra-burden-calculations-june-2019.pdf</w:t>
        </w:r>
      </w:hyperlink>
      <w:r w:rsidRPr="00545F04">
        <w:t>.</w:t>
      </w:r>
    </w:p>
  </w:footnote>
  <w:footnote w:id="4">
    <w:p w:rsidR="00F87604" w:rsidP="00F87604" w14:paraId="44C9AF40" w14:textId="77777777">
      <w:pPr>
        <w:pStyle w:val="FootnoteText"/>
      </w:pPr>
      <w:r w:rsidRPr="00EE52A8">
        <w:rPr>
          <w:rStyle w:val="FootnoteReference"/>
          <w:vertAlign w:val="superscript"/>
        </w:rPr>
        <w:footnoteRef/>
      </w:r>
      <w:r w:rsidRPr="00EE52A8">
        <w:rPr>
          <w:vertAlign w:val="superscript"/>
        </w:rPr>
        <w:t xml:space="preserve"> </w:t>
      </w:r>
      <w:r>
        <w:t>Departmental Estimate.</w:t>
      </w:r>
    </w:p>
  </w:footnote>
  <w:footnote w:id="5">
    <w:p w:rsidR="00CC1A08" w:rsidRPr="00B0385C" w14:paraId="04F784A8" w14:textId="00C684DA">
      <w:pPr>
        <w:pStyle w:val="FootnoteText"/>
      </w:pPr>
      <w:r w:rsidRPr="00D0375C">
        <w:rPr>
          <w:rStyle w:val="FootnoteReference"/>
          <w:vertAlign w:val="superscript"/>
        </w:rPr>
        <w:footnoteRef/>
      </w:r>
      <w:r w:rsidRPr="00D0375C">
        <w:rPr>
          <w:vertAlign w:val="superscript"/>
        </w:rPr>
        <w:t xml:space="preserve"> </w:t>
      </w:r>
      <w:r>
        <w:t xml:space="preserve">The postage of a </w:t>
      </w:r>
      <w:r>
        <w:t>first-class</w:t>
      </w:r>
      <w:r>
        <w:t xml:space="preserve"> mail </w:t>
      </w:r>
      <w:r>
        <w:t xml:space="preserve">(weight not over 3 ounces) is $2.04 and the postage for certified mail is $4.85. Thus, the mailing cost per request is $6.89 ($2.04 + $4.85). </w:t>
      </w:r>
      <w:r w:rsidR="00870D21">
        <w:t>(</w:t>
      </w:r>
      <w:r w:rsidRPr="00D0375C">
        <w:rPr>
          <w:i/>
          <w:iCs/>
        </w:rPr>
        <w:t>Source</w:t>
      </w:r>
      <w:r>
        <w:t xml:space="preserve">: United States Postal Service, </w:t>
      </w:r>
      <w:r w:rsidRPr="00D0375C">
        <w:rPr>
          <w:i/>
          <w:iCs/>
        </w:rPr>
        <w:t>Price List</w:t>
      </w:r>
      <w:r>
        <w:t xml:space="preserve">, </w:t>
      </w:r>
      <w:hyperlink r:id="rId2" w:history="1">
        <w:r w:rsidRPr="004863FA">
          <w:rPr>
            <w:rStyle w:val="Hyperlink"/>
          </w:rPr>
          <w:t>https://pe.usps.com/text/dmm300/Notice123.htm</w:t>
        </w:r>
      </w:hyperlink>
      <w:r>
        <w:t>.</w:t>
      </w:r>
      <w:r w:rsidR="00870D21">
        <w:t>)</w:t>
      </w:r>
    </w:p>
  </w:footnote>
  <w:footnote w:id="6">
    <w:p w:rsidR="007C1AD1" w14:paraId="5312F520" w14:textId="5804463D">
      <w:pPr>
        <w:pStyle w:val="FootnoteText"/>
      </w:pPr>
      <w:r w:rsidRPr="00D0375C">
        <w:rPr>
          <w:rStyle w:val="FootnoteReference"/>
          <w:vertAlign w:val="superscript"/>
        </w:rPr>
        <w:footnoteRef/>
      </w:r>
      <w:r>
        <w:t xml:space="preserve"> $5,215 per month x 12 months = $62,580.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591" w:rsidP="000E7A2B" w14:paraId="40F32487" w14:textId="77777777">
    <w:pPr>
      <w:pStyle w:val="Header"/>
      <w:rPr>
        <w:color w:val="5F5F5F"/>
        <w:sz w:val="20"/>
        <w:szCs w:val="20"/>
      </w:rPr>
    </w:pPr>
    <w:r>
      <w:rPr>
        <w:color w:val="5F5F5F"/>
        <w:sz w:val="20"/>
        <w:szCs w:val="20"/>
      </w:rPr>
      <w:t>ERISA Advisory Opinion Procedure 76-1</w:t>
    </w:r>
  </w:p>
  <w:p w:rsidR="00D367AF" w:rsidP="000E7A2B" w14:paraId="7F71013B" w14:textId="6D476C49">
    <w:pPr>
      <w:pStyle w:val="Header"/>
      <w:rPr>
        <w:color w:val="5F5F5F"/>
        <w:sz w:val="20"/>
        <w:szCs w:val="20"/>
      </w:rPr>
    </w:pPr>
    <w:r>
      <w:rPr>
        <w:color w:val="5F5F5F"/>
        <w:sz w:val="20"/>
        <w:szCs w:val="20"/>
      </w:rPr>
      <w:t>OMB Control N</w:t>
    </w:r>
    <w:r>
      <w:rPr>
        <w:color w:val="5F5F5F"/>
        <w:sz w:val="20"/>
        <w:szCs w:val="20"/>
      </w:rPr>
      <w:t>umber:</w:t>
    </w:r>
    <w:r>
      <w:rPr>
        <w:color w:val="5F5F5F"/>
        <w:sz w:val="20"/>
        <w:szCs w:val="20"/>
      </w:rPr>
      <w:t xml:space="preserve"> 1210-0066</w:t>
    </w:r>
  </w:p>
  <w:p w:rsidR="00D367AF" w:rsidP="000E7A2B" w14:paraId="27961E4F" w14:textId="6B5837D9">
    <w:pPr>
      <w:pStyle w:val="Header"/>
      <w:rPr>
        <w:color w:val="5F5F5F"/>
        <w:sz w:val="20"/>
        <w:szCs w:val="20"/>
      </w:rPr>
    </w:pPr>
    <w:r>
      <w:rPr>
        <w:color w:val="5F5F5F"/>
        <w:sz w:val="20"/>
        <w:szCs w:val="20"/>
      </w:rPr>
      <w:t>Expiration Date: 11/30/2024</w:t>
    </w:r>
  </w:p>
  <w:p w:rsidR="00C56640" w:rsidRPr="00554D53" w:rsidP="00554D53" w14:paraId="3CEB0929" w14:textId="77777777">
    <w:pPr>
      <w:pStyle w:val="Header"/>
      <w:jc w:val="right"/>
      <w:rPr>
        <w:color w:val="5F5F5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CC8EECA4"/>
    <w:lvl w:ilvl="0">
      <w:start w:val="1"/>
      <w:numFmt w:val="decimal"/>
      <w:pStyle w:val="Quick1"/>
      <w:lvlText w:val="%1."/>
      <w:lvlJc w:val="left"/>
      <w:pPr>
        <w:tabs>
          <w:tab w:val="num" w:pos="720"/>
        </w:tabs>
      </w:pPr>
      <w:rPr>
        <w:rFonts w:ascii="Times New Roman" w:hAnsi="Times New Roman" w:cs="Times New Roman"/>
        <w:i/>
        <w:iCs/>
        <w:sz w:val="24"/>
        <w:szCs w:val="24"/>
      </w:rPr>
    </w:lvl>
  </w:abstractNum>
  <w:abstractNum w:abstractNumId="1">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292283A"/>
    <w:multiLevelType w:val="hybridMultilevel"/>
    <w:tmpl w:val="C46036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436BED"/>
    <w:multiLevelType w:val="hybridMultilevel"/>
    <w:tmpl w:val="44840CBC"/>
    <w:lvl w:ilvl="0">
      <w:start w:val="1"/>
      <w:numFmt w:val="bullet"/>
      <w:lvlText w:val=""/>
      <w:lvlJc w:val="left"/>
      <w:pPr>
        <w:tabs>
          <w:tab w:val="num" w:pos="1440"/>
        </w:tabs>
        <w:ind w:left="1440" w:hanging="72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30683A54"/>
    <w:multiLevelType w:val="hybridMultilevel"/>
    <w:tmpl w:val="14FA0D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57E3CE2"/>
    <w:multiLevelType w:val="hybridMultilevel"/>
    <w:tmpl w:val="DD10635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21F04DB"/>
    <w:multiLevelType w:val="hybridMultilevel"/>
    <w:tmpl w:val="C8A61EBC"/>
    <w:lvl w:ilvl="0">
      <w:start w:val="1"/>
      <w:numFmt w:val="bullet"/>
      <w:lvlText w:val=""/>
      <w:lvlJc w:val="left"/>
      <w:pPr>
        <w:tabs>
          <w:tab w:val="num" w:pos="1440"/>
        </w:tabs>
        <w:ind w:left="1440" w:hanging="72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6C84542B"/>
    <w:multiLevelType w:val="hybridMultilevel"/>
    <w:tmpl w:val="68865CD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6ECF5B51"/>
    <w:multiLevelType w:val="hybridMultilevel"/>
    <w:tmpl w:val="07545F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3678576">
    <w:abstractNumId w:val="0"/>
    <w:lvlOverride w:ilvl="0">
      <w:startOverride w:val="1"/>
      <w:lvl w:ilvl="0">
        <w:start w:val="1"/>
        <w:numFmt w:val="decimal"/>
        <w:pStyle w:val="Quick1"/>
        <w:lvlText w:val="%1."/>
        <w:lvlJc w:val="left"/>
      </w:lvl>
    </w:lvlOverride>
  </w:num>
  <w:num w:numId="2" w16cid:durableId="164788687">
    <w:abstractNumId w:val="0"/>
    <w:lvlOverride w:ilvl="0">
      <w:startOverride w:val="5"/>
      <w:lvl w:ilvl="0">
        <w:start w:val="5"/>
        <w:numFmt w:val="decimal"/>
        <w:pStyle w:val="Quick1"/>
        <w:lvlText w:val="%1."/>
        <w:lvlJc w:val="left"/>
        <w:rPr>
          <w:i w:val="0"/>
        </w:rPr>
      </w:lvl>
    </w:lvlOverride>
  </w:num>
  <w:num w:numId="3" w16cid:durableId="572349018">
    <w:abstractNumId w:val="0"/>
    <w:lvlOverride w:ilvl="0">
      <w:startOverride w:val="7"/>
      <w:lvl w:ilvl="0">
        <w:start w:val="7"/>
        <w:numFmt w:val="decimal"/>
        <w:pStyle w:val="Quick1"/>
        <w:lvlText w:val="%1."/>
        <w:lvlJc w:val="left"/>
        <w:rPr>
          <w:i/>
        </w:rPr>
      </w:lvl>
    </w:lvlOverride>
  </w:num>
  <w:num w:numId="4" w16cid:durableId="268314234">
    <w:abstractNumId w:val="0"/>
    <w:lvlOverride w:ilvl="0">
      <w:startOverride w:val="9"/>
      <w:lvl w:ilvl="0">
        <w:start w:val="9"/>
        <w:numFmt w:val="decimal"/>
        <w:pStyle w:val="Quick1"/>
        <w:lvlText w:val="%1."/>
        <w:lvlJc w:val="left"/>
      </w:lvl>
    </w:lvlOverride>
  </w:num>
  <w:num w:numId="5" w16cid:durableId="1474567696">
    <w:abstractNumId w:val="0"/>
    <w:lvlOverride w:ilvl="0">
      <w:lvl w:ilvl="0">
        <w:start w:val="1"/>
        <w:numFmt w:val="decimal"/>
        <w:pStyle w:val="Quick1"/>
        <w:lvlText w:val="%1."/>
        <w:lvlJc w:val="left"/>
        <w:pPr>
          <w:tabs>
            <w:tab w:val="num" w:pos="0"/>
          </w:tabs>
          <w:ind w:left="0" w:firstLine="0"/>
        </w:pPr>
        <w:rPr>
          <w:rFonts w:hint="default"/>
          <w:b w:val="0"/>
          <w:i/>
        </w:rPr>
      </w:lvl>
    </w:lvlOverride>
  </w:num>
  <w:num w:numId="6" w16cid:durableId="1425833379">
    <w:abstractNumId w:val="0"/>
    <w:lvlOverride w:ilvl="0">
      <w:startOverride w:val="13"/>
      <w:lvl w:ilvl="0">
        <w:start w:val="13"/>
        <w:numFmt w:val="decimal"/>
        <w:pStyle w:val="Quick1"/>
        <w:lvlText w:val="%1."/>
        <w:lvlJc w:val="left"/>
      </w:lvl>
    </w:lvlOverride>
  </w:num>
  <w:num w:numId="7" w16cid:durableId="1169250008">
    <w:abstractNumId w:val="0"/>
    <w:lvlOverride w:ilvl="0">
      <w:startOverride w:val="13"/>
      <w:lvl w:ilvl="0">
        <w:start w:val="13"/>
        <w:numFmt w:val="decimal"/>
        <w:pStyle w:val="Quick1"/>
        <w:lvlText w:val="%1."/>
        <w:lvlJc w:val="left"/>
      </w:lvl>
    </w:lvlOverride>
  </w:num>
  <w:num w:numId="8" w16cid:durableId="443965245">
    <w:abstractNumId w:val="0"/>
    <w:lvlOverride w:ilvl="0">
      <w:startOverride w:val="13"/>
      <w:lvl w:ilvl="0">
        <w:start w:val="13"/>
        <w:numFmt w:val="decimal"/>
        <w:pStyle w:val="Quick1"/>
        <w:lvlText w:val="%1."/>
        <w:lvlJc w:val="left"/>
      </w:lvl>
    </w:lvlOverride>
  </w:num>
  <w:num w:numId="9" w16cid:durableId="524443015">
    <w:abstractNumId w:val="10"/>
  </w:num>
  <w:num w:numId="10" w16cid:durableId="510491209">
    <w:abstractNumId w:val="5"/>
  </w:num>
  <w:num w:numId="11" w16cid:durableId="444036435">
    <w:abstractNumId w:val="11"/>
  </w:num>
  <w:num w:numId="12" w16cid:durableId="625238154">
    <w:abstractNumId w:val="7"/>
  </w:num>
  <w:num w:numId="13" w16cid:durableId="452479902">
    <w:abstractNumId w:val="0"/>
    <w:lvlOverride w:ilvl="0">
      <w:startOverride w:val="10"/>
      <w:lvl w:ilvl="0">
        <w:start w:val="10"/>
        <w:numFmt w:val="decimal"/>
        <w:pStyle w:val="Quick1"/>
        <w:lvlText w:val="%1."/>
        <w:lvlJc w:val="left"/>
      </w:lvl>
    </w:lvlOverride>
  </w:num>
  <w:num w:numId="14" w16cid:durableId="1661420827">
    <w:abstractNumId w:val="0"/>
    <w:lvlOverride w:ilvl="0">
      <w:startOverride w:val="10"/>
      <w:lvl w:ilvl="0">
        <w:start w:val="10"/>
        <w:numFmt w:val="decimal"/>
        <w:pStyle w:val="Quick1"/>
        <w:lvlText w:val="%1."/>
        <w:lvlJc w:val="left"/>
        <w:rPr>
          <w:b/>
          <w:i w:val="0"/>
          <w:sz w:val="24"/>
          <w:szCs w:val="24"/>
        </w:rPr>
      </w:lvl>
    </w:lvlOverride>
  </w:num>
  <w:num w:numId="15" w16cid:durableId="501167421">
    <w:abstractNumId w:val="0"/>
    <w:lvlOverride w:ilvl="0">
      <w:startOverride w:val="11"/>
      <w:lvl w:ilvl="0">
        <w:start w:val="11"/>
        <w:numFmt w:val="decimal"/>
        <w:pStyle w:val="Quick1"/>
        <w:lvlText w:val="%1."/>
        <w:lvlJc w:val="left"/>
      </w:lvl>
    </w:lvlOverride>
  </w:num>
  <w:num w:numId="16" w16cid:durableId="1847207041">
    <w:abstractNumId w:val="0"/>
    <w:lvlOverride w:ilvl="0">
      <w:startOverride w:val="11"/>
      <w:lvl w:ilvl="0">
        <w:start w:val="11"/>
        <w:numFmt w:val="decimal"/>
        <w:pStyle w:val="Quick1"/>
        <w:lvlText w:val="%1."/>
        <w:lvlJc w:val="left"/>
      </w:lvl>
    </w:lvlOverride>
  </w:num>
  <w:num w:numId="17" w16cid:durableId="793451150">
    <w:abstractNumId w:val="12"/>
  </w:num>
  <w:num w:numId="18" w16cid:durableId="47843303">
    <w:abstractNumId w:val="0"/>
    <w:lvlOverride w:ilvl="0">
      <w:startOverride w:val="11"/>
      <w:lvl w:ilvl="0">
        <w:start w:val="11"/>
        <w:numFmt w:val="decimal"/>
        <w:pStyle w:val="Quick1"/>
        <w:lvlText w:val="%1."/>
        <w:lvlJc w:val="left"/>
      </w:lvl>
    </w:lvlOverride>
  </w:num>
  <w:num w:numId="19" w16cid:durableId="74057487">
    <w:abstractNumId w:val="0"/>
    <w:lvlOverride w:ilvl="0">
      <w:startOverride w:val="11"/>
      <w:lvl w:ilvl="0">
        <w:start w:val="11"/>
        <w:numFmt w:val="decimal"/>
        <w:pStyle w:val="Quick1"/>
        <w:lvlText w:val="%1."/>
        <w:lvlJc w:val="left"/>
      </w:lvl>
    </w:lvlOverride>
  </w:num>
  <w:num w:numId="20" w16cid:durableId="848637580">
    <w:abstractNumId w:val="0"/>
    <w:lvlOverride w:ilvl="0">
      <w:startOverride w:val="11"/>
      <w:lvl w:ilvl="0">
        <w:start w:val="11"/>
        <w:numFmt w:val="decimal"/>
        <w:pStyle w:val="Quick1"/>
        <w:lvlText w:val="%1."/>
        <w:lvlJc w:val="left"/>
      </w:lvl>
    </w:lvlOverride>
  </w:num>
  <w:num w:numId="21" w16cid:durableId="2106686673">
    <w:abstractNumId w:val="0"/>
    <w:lvlOverride w:ilvl="0">
      <w:startOverride w:val="6"/>
      <w:lvl w:ilvl="0">
        <w:start w:val="6"/>
        <w:numFmt w:val="decimal"/>
        <w:pStyle w:val="Quick1"/>
        <w:lvlText w:val="%1."/>
        <w:lvlJc w:val="left"/>
        <w:rPr>
          <w:i w:val="0"/>
        </w:rPr>
      </w:lvl>
    </w:lvlOverride>
  </w:num>
  <w:num w:numId="22" w16cid:durableId="1321930541">
    <w:abstractNumId w:val="0"/>
    <w:lvlOverride w:ilvl="0">
      <w:startOverride w:val="7"/>
      <w:lvl w:ilvl="0">
        <w:start w:val="7"/>
        <w:numFmt w:val="decimal"/>
        <w:pStyle w:val="Quick1"/>
        <w:lvlText w:val="%1."/>
        <w:lvlJc w:val="left"/>
        <w:rPr>
          <w:i w:val="0"/>
        </w:rPr>
      </w:lvl>
    </w:lvlOverride>
  </w:num>
  <w:num w:numId="23" w16cid:durableId="384329624">
    <w:abstractNumId w:val="9"/>
  </w:num>
  <w:num w:numId="24" w16cid:durableId="1500271186">
    <w:abstractNumId w:val="8"/>
  </w:num>
  <w:num w:numId="25" w16cid:durableId="2066372378">
    <w:abstractNumId w:val="4"/>
  </w:num>
  <w:num w:numId="26" w16cid:durableId="173419921">
    <w:abstractNumId w:val="1"/>
  </w:num>
  <w:num w:numId="27" w16cid:durableId="188642660">
    <w:abstractNumId w:val="3"/>
  </w:num>
  <w:num w:numId="28" w16cid:durableId="339770480">
    <w:abstractNumId w:val="6"/>
  </w:num>
  <w:num w:numId="29" w16cid:durableId="27657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67"/>
    <w:rsid w:val="000045FD"/>
    <w:rsid w:val="00011E8C"/>
    <w:rsid w:val="00012B5B"/>
    <w:rsid w:val="00032725"/>
    <w:rsid w:val="00034220"/>
    <w:rsid w:val="0003654D"/>
    <w:rsid w:val="00036CD3"/>
    <w:rsid w:val="0006066D"/>
    <w:rsid w:val="00065384"/>
    <w:rsid w:val="00075770"/>
    <w:rsid w:val="00081B4D"/>
    <w:rsid w:val="00087D73"/>
    <w:rsid w:val="000A7A52"/>
    <w:rsid w:val="000B10AF"/>
    <w:rsid w:val="000B38BB"/>
    <w:rsid w:val="000C4406"/>
    <w:rsid w:val="000C6942"/>
    <w:rsid w:val="000D0D7F"/>
    <w:rsid w:val="000D1E33"/>
    <w:rsid w:val="000D5CAC"/>
    <w:rsid w:val="000E7655"/>
    <w:rsid w:val="000E7A2B"/>
    <w:rsid w:val="000F0202"/>
    <w:rsid w:val="000F1EE8"/>
    <w:rsid w:val="000F34AC"/>
    <w:rsid w:val="00105DB0"/>
    <w:rsid w:val="00115655"/>
    <w:rsid w:val="001202A6"/>
    <w:rsid w:val="0012592D"/>
    <w:rsid w:val="00126784"/>
    <w:rsid w:val="0013268C"/>
    <w:rsid w:val="00136C0B"/>
    <w:rsid w:val="00137381"/>
    <w:rsid w:val="00140082"/>
    <w:rsid w:val="00142B42"/>
    <w:rsid w:val="001500FC"/>
    <w:rsid w:val="00154841"/>
    <w:rsid w:val="001579E4"/>
    <w:rsid w:val="00162E91"/>
    <w:rsid w:val="0017245A"/>
    <w:rsid w:val="0017436A"/>
    <w:rsid w:val="001817D5"/>
    <w:rsid w:val="00191669"/>
    <w:rsid w:val="00194224"/>
    <w:rsid w:val="001960CA"/>
    <w:rsid w:val="00196272"/>
    <w:rsid w:val="001B19DE"/>
    <w:rsid w:val="001B3F4C"/>
    <w:rsid w:val="001B602B"/>
    <w:rsid w:val="001C0292"/>
    <w:rsid w:val="001D109D"/>
    <w:rsid w:val="001D3772"/>
    <w:rsid w:val="001D488D"/>
    <w:rsid w:val="001D59CF"/>
    <w:rsid w:val="001D7504"/>
    <w:rsid w:val="001D786A"/>
    <w:rsid w:val="001D7903"/>
    <w:rsid w:val="001D7931"/>
    <w:rsid w:val="001E6AB5"/>
    <w:rsid w:val="001F4684"/>
    <w:rsid w:val="002059F6"/>
    <w:rsid w:val="00217AE7"/>
    <w:rsid w:val="00224402"/>
    <w:rsid w:val="00234836"/>
    <w:rsid w:val="002545F5"/>
    <w:rsid w:val="002551AD"/>
    <w:rsid w:val="00255C17"/>
    <w:rsid w:val="0025626F"/>
    <w:rsid w:val="00262F81"/>
    <w:rsid w:val="00266F3F"/>
    <w:rsid w:val="00286DB7"/>
    <w:rsid w:val="0029090E"/>
    <w:rsid w:val="0029659E"/>
    <w:rsid w:val="002B0AA2"/>
    <w:rsid w:val="002B1FF5"/>
    <w:rsid w:val="002B599D"/>
    <w:rsid w:val="002B5AD4"/>
    <w:rsid w:val="002C1EAD"/>
    <w:rsid w:val="002C3448"/>
    <w:rsid w:val="002C578D"/>
    <w:rsid w:val="002D0DE1"/>
    <w:rsid w:val="002E78B6"/>
    <w:rsid w:val="002F07CF"/>
    <w:rsid w:val="002F3C82"/>
    <w:rsid w:val="002F4510"/>
    <w:rsid w:val="0030435D"/>
    <w:rsid w:val="003070A1"/>
    <w:rsid w:val="00307C0F"/>
    <w:rsid w:val="00310DEC"/>
    <w:rsid w:val="00313A44"/>
    <w:rsid w:val="00320498"/>
    <w:rsid w:val="00325F94"/>
    <w:rsid w:val="003262AC"/>
    <w:rsid w:val="0033390C"/>
    <w:rsid w:val="003342A3"/>
    <w:rsid w:val="0034177B"/>
    <w:rsid w:val="0034715D"/>
    <w:rsid w:val="00352895"/>
    <w:rsid w:val="0035561D"/>
    <w:rsid w:val="00363F70"/>
    <w:rsid w:val="00380DFC"/>
    <w:rsid w:val="00384694"/>
    <w:rsid w:val="003949D1"/>
    <w:rsid w:val="00394BE8"/>
    <w:rsid w:val="003C131F"/>
    <w:rsid w:val="003C6324"/>
    <w:rsid w:val="003E281B"/>
    <w:rsid w:val="003E39F8"/>
    <w:rsid w:val="003E6B09"/>
    <w:rsid w:val="003F1721"/>
    <w:rsid w:val="003F1E0E"/>
    <w:rsid w:val="00420049"/>
    <w:rsid w:val="00420B4C"/>
    <w:rsid w:val="0042559F"/>
    <w:rsid w:val="004260DE"/>
    <w:rsid w:val="00433C8B"/>
    <w:rsid w:val="00437DB0"/>
    <w:rsid w:val="004455AD"/>
    <w:rsid w:val="00447757"/>
    <w:rsid w:val="00461161"/>
    <w:rsid w:val="00470F13"/>
    <w:rsid w:val="004715A3"/>
    <w:rsid w:val="00485D9E"/>
    <w:rsid w:val="004863FA"/>
    <w:rsid w:val="00492D06"/>
    <w:rsid w:val="00494B66"/>
    <w:rsid w:val="004A528B"/>
    <w:rsid w:val="004B049F"/>
    <w:rsid w:val="004C5F38"/>
    <w:rsid w:val="004D2C9B"/>
    <w:rsid w:val="004E0486"/>
    <w:rsid w:val="004F105E"/>
    <w:rsid w:val="004F18AD"/>
    <w:rsid w:val="004F70D3"/>
    <w:rsid w:val="004F79A2"/>
    <w:rsid w:val="00502229"/>
    <w:rsid w:val="00502DBE"/>
    <w:rsid w:val="005047FE"/>
    <w:rsid w:val="005132C8"/>
    <w:rsid w:val="0051421B"/>
    <w:rsid w:val="00514FA1"/>
    <w:rsid w:val="005226D6"/>
    <w:rsid w:val="00526DC0"/>
    <w:rsid w:val="00536CF5"/>
    <w:rsid w:val="00540472"/>
    <w:rsid w:val="00545F04"/>
    <w:rsid w:val="00554D53"/>
    <w:rsid w:val="005574A3"/>
    <w:rsid w:val="00562EFB"/>
    <w:rsid w:val="0057485F"/>
    <w:rsid w:val="005778FC"/>
    <w:rsid w:val="0058421B"/>
    <w:rsid w:val="00587F64"/>
    <w:rsid w:val="00590EDB"/>
    <w:rsid w:val="00592CE5"/>
    <w:rsid w:val="005A09D5"/>
    <w:rsid w:val="005B3C4C"/>
    <w:rsid w:val="005B4506"/>
    <w:rsid w:val="005B47DC"/>
    <w:rsid w:val="005C0820"/>
    <w:rsid w:val="005C3477"/>
    <w:rsid w:val="005C5956"/>
    <w:rsid w:val="005E3ACE"/>
    <w:rsid w:val="005E5591"/>
    <w:rsid w:val="005F3738"/>
    <w:rsid w:val="005F46A2"/>
    <w:rsid w:val="005F74A5"/>
    <w:rsid w:val="00601A67"/>
    <w:rsid w:val="006115CD"/>
    <w:rsid w:val="00616F50"/>
    <w:rsid w:val="0062108E"/>
    <w:rsid w:val="0062218D"/>
    <w:rsid w:val="0062335D"/>
    <w:rsid w:val="00624F1A"/>
    <w:rsid w:val="006332D5"/>
    <w:rsid w:val="00634397"/>
    <w:rsid w:val="006405C2"/>
    <w:rsid w:val="006451C6"/>
    <w:rsid w:val="00661CCE"/>
    <w:rsid w:val="00662744"/>
    <w:rsid w:val="00670513"/>
    <w:rsid w:val="00674D2D"/>
    <w:rsid w:val="00677A33"/>
    <w:rsid w:val="0068036D"/>
    <w:rsid w:val="00686260"/>
    <w:rsid w:val="0069734B"/>
    <w:rsid w:val="006C6D72"/>
    <w:rsid w:val="006D3CB3"/>
    <w:rsid w:val="006D45AC"/>
    <w:rsid w:val="006D61C1"/>
    <w:rsid w:val="006E4FA0"/>
    <w:rsid w:val="006F2FF4"/>
    <w:rsid w:val="006F79F6"/>
    <w:rsid w:val="0070100D"/>
    <w:rsid w:val="00722433"/>
    <w:rsid w:val="00724445"/>
    <w:rsid w:val="007360C6"/>
    <w:rsid w:val="00741B34"/>
    <w:rsid w:val="00751F97"/>
    <w:rsid w:val="00753CCF"/>
    <w:rsid w:val="0075421D"/>
    <w:rsid w:val="007632A7"/>
    <w:rsid w:val="0077053B"/>
    <w:rsid w:val="00772FA4"/>
    <w:rsid w:val="0078336E"/>
    <w:rsid w:val="007878C5"/>
    <w:rsid w:val="0079771A"/>
    <w:rsid w:val="007B5C39"/>
    <w:rsid w:val="007C05C0"/>
    <w:rsid w:val="007C1AD1"/>
    <w:rsid w:val="007C55CE"/>
    <w:rsid w:val="007C738E"/>
    <w:rsid w:val="007C7F1B"/>
    <w:rsid w:val="007D7D36"/>
    <w:rsid w:val="007E4360"/>
    <w:rsid w:val="008067F6"/>
    <w:rsid w:val="008116EC"/>
    <w:rsid w:val="0082186A"/>
    <w:rsid w:val="00833E13"/>
    <w:rsid w:val="008368E2"/>
    <w:rsid w:val="00841153"/>
    <w:rsid w:val="00843D15"/>
    <w:rsid w:val="00846E78"/>
    <w:rsid w:val="00862E09"/>
    <w:rsid w:val="00870D21"/>
    <w:rsid w:val="0087436E"/>
    <w:rsid w:val="0088474A"/>
    <w:rsid w:val="00887FE4"/>
    <w:rsid w:val="00887FE9"/>
    <w:rsid w:val="00890FE8"/>
    <w:rsid w:val="008A2F12"/>
    <w:rsid w:val="008B20A1"/>
    <w:rsid w:val="008C5E05"/>
    <w:rsid w:val="008C6509"/>
    <w:rsid w:val="008D164F"/>
    <w:rsid w:val="008D2B63"/>
    <w:rsid w:val="008E0AB6"/>
    <w:rsid w:val="008E2216"/>
    <w:rsid w:val="008E3AFD"/>
    <w:rsid w:val="008E488C"/>
    <w:rsid w:val="008F5528"/>
    <w:rsid w:val="0090143B"/>
    <w:rsid w:val="00904DFD"/>
    <w:rsid w:val="009132CB"/>
    <w:rsid w:val="009171FF"/>
    <w:rsid w:val="00927E2B"/>
    <w:rsid w:val="00933784"/>
    <w:rsid w:val="00941067"/>
    <w:rsid w:val="00944C7F"/>
    <w:rsid w:val="0094731B"/>
    <w:rsid w:val="00960C0C"/>
    <w:rsid w:val="00967046"/>
    <w:rsid w:val="00970F3D"/>
    <w:rsid w:val="00977B3B"/>
    <w:rsid w:val="00980CCE"/>
    <w:rsid w:val="009A3BA7"/>
    <w:rsid w:val="009A6482"/>
    <w:rsid w:val="009B2F32"/>
    <w:rsid w:val="009B36E8"/>
    <w:rsid w:val="009B698C"/>
    <w:rsid w:val="009C119F"/>
    <w:rsid w:val="009C40D6"/>
    <w:rsid w:val="009D085B"/>
    <w:rsid w:val="009D61D6"/>
    <w:rsid w:val="009D7290"/>
    <w:rsid w:val="009F7451"/>
    <w:rsid w:val="00A30808"/>
    <w:rsid w:val="00A65613"/>
    <w:rsid w:val="00A77028"/>
    <w:rsid w:val="00A85436"/>
    <w:rsid w:val="00A87EA6"/>
    <w:rsid w:val="00A952A4"/>
    <w:rsid w:val="00AA16EF"/>
    <w:rsid w:val="00AA46BC"/>
    <w:rsid w:val="00AA4CC4"/>
    <w:rsid w:val="00AB5EA8"/>
    <w:rsid w:val="00AD2565"/>
    <w:rsid w:val="00AD32BA"/>
    <w:rsid w:val="00AD3F4E"/>
    <w:rsid w:val="00AE1F28"/>
    <w:rsid w:val="00B024B4"/>
    <w:rsid w:val="00B0385C"/>
    <w:rsid w:val="00B07DF1"/>
    <w:rsid w:val="00B102B2"/>
    <w:rsid w:val="00B11C7C"/>
    <w:rsid w:val="00B126A5"/>
    <w:rsid w:val="00B17F7A"/>
    <w:rsid w:val="00B21470"/>
    <w:rsid w:val="00B25A69"/>
    <w:rsid w:val="00B34D1D"/>
    <w:rsid w:val="00B34DD5"/>
    <w:rsid w:val="00B44EBF"/>
    <w:rsid w:val="00B45778"/>
    <w:rsid w:val="00B51F6A"/>
    <w:rsid w:val="00B63BFD"/>
    <w:rsid w:val="00B70587"/>
    <w:rsid w:val="00B728B0"/>
    <w:rsid w:val="00B955AC"/>
    <w:rsid w:val="00B95E6E"/>
    <w:rsid w:val="00BA403F"/>
    <w:rsid w:val="00BA64C6"/>
    <w:rsid w:val="00BB0052"/>
    <w:rsid w:val="00BB1299"/>
    <w:rsid w:val="00BB5312"/>
    <w:rsid w:val="00BC52A1"/>
    <w:rsid w:val="00BC7F57"/>
    <w:rsid w:val="00BF3433"/>
    <w:rsid w:val="00C01392"/>
    <w:rsid w:val="00C100BF"/>
    <w:rsid w:val="00C242D5"/>
    <w:rsid w:val="00C426FA"/>
    <w:rsid w:val="00C43859"/>
    <w:rsid w:val="00C442E5"/>
    <w:rsid w:val="00C445F0"/>
    <w:rsid w:val="00C44E38"/>
    <w:rsid w:val="00C44E7B"/>
    <w:rsid w:val="00C5317E"/>
    <w:rsid w:val="00C5568D"/>
    <w:rsid w:val="00C56640"/>
    <w:rsid w:val="00C60B7D"/>
    <w:rsid w:val="00C61BE1"/>
    <w:rsid w:val="00C629A2"/>
    <w:rsid w:val="00C63F3D"/>
    <w:rsid w:val="00C704B3"/>
    <w:rsid w:val="00C827D6"/>
    <w:rsid w:val="00C90315"/>
    <w:rsid w:val="00CC0BC9"/>
    <w:rsid w:val="00CC1A08"/>
    <w:rsid w:val="00CC6572"/>
    <w:rsid w:val="00CD434D"/>
    <w:rsid w:val="00CD4CB1"/>
    <w:rsid w:val="00CD5152"/>
    <w:rsid w:val="00CE3D39"/>
    <w:rsid w:val="00CE511E"/>
    <w:rsid w:val="00CF32AF"/>
    <w:rsid w:val="00D0375C"/>
    <w:rsid w:val="00D051D1"/>
    <w:rsid w:val="00D06E54"/>
    <w:rsid w:val="00D10338"/>
    <w:rsid w:val="00D24B05"/>
    <w:rsid w:val="00D3613D"/>
    <w:rsid w:val="00D367AF"/>
    <w:rsid w:val="00D419CC"/>
    <w:rsid w:val="00D4423E"/>
    <w:rsid w:val="00D47F2C"/>
    <w:rsid w:val="00D51060"/>
    <w:rsid w:val="00D53D60"/>
    <w:rsid w:val="00D61E98"/>
    <w:rsid w:val="00D63C3D"/>
    <w:rsid w:val="00D64AEF"/>
    <w:rsid w:val="00D749F4"/>
    <w:rsid w:val="00D75D0B"/>
    <w:rsid w:val="00D824D6"/>
    <w:rsid w:val="00D84BE1"/>
    <w:rsid w:val="00D8560E"/>
    <w:rsid w:val="00D95159"/>
    <w:rsid w:val="00D959BF"/>
    <w:rsid w:val="00D95D72"/>
    <w:rsid w:val="00D979ED"/>
    <w:rsid w:val="00DA24F5"/>
    <w:rsid w:val="00DA344D"/>
    <w:rsid w:val="00DB78ED"/>
    <w:rsid w:val="00DC5118"/>
    <w:rsid w:val="00DD39E2"/>
    <w:rsid w:val="00DD557B"/>
    <w:rsid w:val="00DE019B"/>
    <w:rsid w:val="00DE0996"/>
    <w:rsid w:val="00DE4FF5"/>
    <w:rsid w:val="00DE5E69"/>
    <w:rsid w:val="00DF012C"/>
    <w:rsid w:val="00E245D1"/>
    <w:rsid w:val="00E35889"/>
    <w:rsid w:val="00E45DF6"/>
    <w:rsid w:val="00E53C80"/>
    <w:rsid w:val="00E5434E"/>
    <w:rsid w:val="00E714DE"/>
    <w:rsid w:val="00E73A6D"/>
    <w:rsid w:val="00E73BCE"/>
    <w:rsid w:val="00E85320"/>
    <w:rsid w:val="00E86953"/>
    <w:rsid w:val="00E951E7"/>
    <w:rsid w:val="00EA52D3"/>
    <w:rsid w:val="00EE1CDF"/>
    <w:rsid w:val="00EE52A8"/>
    <w:rsid w:val="00EE607C"/>
    <w:rsid w:val="00EF4764"/>
    <w:rsid w:val="00EF48B9"/>
    <w:rsid w:val="00EF5B3F"/>
    <w:rsid w:val="00EF5F93"/>
    <w:rsid w:val="00F061CB"/>
    <w:rsid w:val="00F07D12"/>
    <w:rsid w:val="00F11446"/>
    <w:rsid w:val="00F1650F"/>
    <w:rsid w:val="00F33557"/>
    <w:rsid w:val="00F335A6"/>
    <w:rsid w:val="00F33AB8"/>
    <w:rsid w:val="00F43A5D"/>
    <w:rsid w:val="00F45027"/>
    <w:rsid w:val="00F72F3F"/>
    <w:rsid w:val="00F753D6"/>
    <w:rsid w:val="00F87604"/>
    <w:rsid w:val="00F97EA4"/>
    <w:rsid w:val="00FA0EE0"/>
    <w:rsid w:val="00FA23BF"/>
    <w:rsid w:val="00FA313C"/>
    <w:rsid w:val="00FA45F5"/>
    <w:rsid w:val="00FB1364"/>
    <w:rsid w:val="00FC2FAC"/>
    <w:rsid w:val="00FC7126"/>
    <w:rsid w:val="00FD04C2"/>
    <w:rsid w:val="00FD6610"/>
    <w:rsid w:val="00FE4684"/>
    <w:rsid w:val="00FE4F69"/>
    <w:rsid w:val="00FE5B43"/>
    <w:rsid w:val="00FF1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5CA3A3"/>
  <w15:chartTrackingRefBased/>
  <w15:docId w15:val="{467A6EF4-829C-4593-BC5B-516D53DC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D5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554D53"/>
    <w:pPr>
      <w:numPr>
        <w:numId w:val="5"/>
      </w:numPr>
    </w:pPr>
    <w:rPr>
      <w:i/>
      <w:sz w:val="20"/>
    </w:rPr>
  </w:style>
  <w:style w:type="paragraph" w:styleId="Header">
    <w:name w:val="header"/>
    <w:basedOn w:val="Normal"/>
    <w:rsid w:val="00590EDB"/>
    <w:pPr>
      <w:tabs>
        <w:tab w:val="center" w:pos="4320"/>
        <w:tab w:val="right" w:pos="8640"/>
      </w:tabs>
    </w:pPr>
  </w:style>
  <w:style w:type="paragraph" w:styleId="Footer">
    <w:name w:val="footer"/>
    <w:basedOn w:val="Normal"/>
    <w:rsid w:val="00590EDB"/>
    <w:pPr>
      <w:tabs>
        <w:tab w:val="center" w:pos="4320"/>
        <w:tab w:val="right" w:pos="8640"/>
      </w:tabs>
    </w:pPr>
  </w:style>
  <w:style w:type="paragraph" w:styleId="FootnoteText">
    <w:name w:val="footnote text"/>
    <w:basedOn w:val="Normal"/>
    <w:semiHidden/>
    <w:rsid w:val="00FE4F69"/>
    <w:rPr>
      <w:sz w:val="20"/>
      <w:szCs w:val="20"/>
    </w:rPr>
  </w:style>
  <w:style w:type="paragraph" w:styleId="BalloonText">
    <w:name w:val="Balloon Text"/>
    <w:basedOn w:val="Normal"/>
    <w:semiHidden/>
    <w:rsid w:val="00E86953"/>
    <w:rPr>
      <w:rFonts w:ascii="Tahoma" w:hAnsi="Tahoma" w:cs="Tahoma"/>
      <w:sz w:val="16"/>
      <w:szCs w:val="16"/>
    </w:rPr>
  </w:style>
  <w:style w:type="character" w:styleId="PageNumber">
    <w:name w:val="page number"/>
    <w:basedOn w:val="DefaultParagraphFont"/>
    <w:rsid w:val="00554D53"/>
  </w:style>
  <w:style w:type="paragraph" w:styleId="BodyText">
    <w:name w:val="Body Text"/>
    <w:basedOn w:val="Normal"/>
    <w:rsid w:val="00E714DE"/>
  </w:style>
  <w:style w:type="character" w:styleId="CommentReference">
    <w:name w:val="annotation reference"/>
    <w:semiHidden/>
    <w:rsid w:val="001D59CF"/>
    <w:rPr>
      <w:sz w:val="16"/>
      <w:szCs w:val="16"/>
    </w:rPr>
  </w:style>
  <w:style w:type="paragraph" w:styleId="CommentText">
    <w:name w:val="annotation text"/>
    <w:basedOn w:val="Normal"/>
    <w:semiHidden/>
    <w:rsid w:val="001D59CF"/>
    <w:rPr>
      <w:sz w:val="20"/>
      <w:szCs w:val="20"/>
    </w:rPr>
  </w:style>
  <w:style w:type="paragraph" w:styleId="CommentSubject">
    <w:name w:val="annotation subject"/>
    <w:basedOn w:val="CommentText"/>
    <w:next w:val="CommentText"/>
    <w:semiHidden/>
    <w:rsid w:val="001D59CF"/>
    <w:rPr>
      <w:b/>
      <w:bCs/>
    </w:rPr>
  </w:style>
  <w:style w:type="character" w:styleId="Hyperlink">
    <w:name w:val="Hyperlink"/>
    <w:uiPriority w:val="99"/>
    <w:rsid w:val="002B599D"/>
    <w:rPr>
      <w:color w:val="0000FF"/>
      <w:u w:val="single"/>
    </w:rPr>
  </w:style>
  <w:style w:type="character" w:styleId="FollowedHyperlink">
    <w:name w:val="FollowedHyperlink"/>
    <w:rsid w:val="005B3C4C"/>
    <w:rPr>
      <w:color w:val="800080"/>
      <w:u w:val="single"/>
    </w:rPr>
  </w:style>
  <w:style w:type="paragraph" w:styleId="Revision">
    <w:name w:val="Revision"/>
    <w:hidden/>
    <w:uiPriority w:val="99"/>
    <w:semiHidden/>
    <w:rsid w:val="00D367AF"/>
    <w:rPr>
      <w:sz w:val="24"/>
      <w:szCs w:val="24"/>
    </w:rPr>
  </w:style>
  <w:style w:type="paragraph" w:styleId="ListParagraph">
    <w:name w:val="List Paragraph"/>
    <w:basedOn w:val="Normal"/>
    <w:uiPriority w:val="34"/>
    <w:qFormat/>
    <w:rsid w:val="00363F70"/>
    <w:pPr>
      <w:ind w:left="720"/>
      <w:contextualSpacing/>
    </w:pPr>
  </w:style>
  <w:style w:type="character" w:styleId="UnresolvedMention">
    <w:name w:val="Unresolved Mention"/>
    <w:basedOn w:val="DefaultParagraphFont"/>
    <w:uiPriority w:val="99"/>
    <w:semiHidden/>
    <w:unhideWhenUsed/>
    <w:rsid w:val="00CC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pe.usps.com/text/dmm300/Notice1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4F23-1866-4B32-9AE3-E615A413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51BDF-77EA-421A-93B8-A6F7E863534C}">
  <ds:schemaRefs>
    <ds:schemaRef ds:uri="http://www.w3.org/XML/1998/namespace"/>
    <ds:schemaRef ds:uri="http://purl.org/dc/elements/1.1/"/>
    <ds:schemaRef ds:uri="http://schemas.microsoft.com/office/2006/metadata/properties"/>
    <ds:schemaRef ds:uri="http://purl.org/dc/dcmitype/"/>
    <ds:schemaRef ds:uri="2b487234-2a61-45b0-86e3-998bf12a0e9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a1ba486-ff2f-4459-80ac-1ab5aa17f82f"/>
  </ds:schemaRefs>
</ds:datastoreItem>
</file>

<file path=customXml/itemProps3.xml><?xml version="1.0" encoding="utf-8"?>
<ds:datastoreItem xmlns:ds="http://schemas.openxmlformats.org/officeDocument/2006/customXml" ds:itemID="{2FCE7377-9C07-4974-AA60-457FE11A9DD2}">
  <ds:schemaRefs>
    <ds:schemaRef ds:uri="http://schemas.microsoft.com/sharepoint/v3/contenttype/forms"/>
  </ds:schemaRefs>
</ds:datastoreItem>
</file>

<file path=customXml/itemProps4.xml><?xml version="1.0" encoding="utf-8"?>
<ds:datastoreItem xmlns:ds="http://schemas.openxmlformats.org/officeDocument/2006/customXml" ds:itemID="{4711AA12-C90F-4FCA-BCED-8EAB895A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3815</Words>
  <Characters>21264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EBSA</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Susan Lahne</dc:creator>
  <cp:lastModifiedBy>Mariam Khan- EBSA</cp:lastModifiedBy>
  <cp:revision>4</cp:revision>
  <cp:lastPrinted>2018-05-23T12:43:00Z</cp:lastPrinted>
  <dcterms:created xsi:type="dcterms:W3CDTF">2024-10-01T14:30:00Z</dcterms:created>
  <dcterms:modified xsi:type="dcterms:W3CDTF">2024-10-01T14:32:00Z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