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pPr w:leftFromText="180" w:rightFromText="180" w:vertAnchor="page" w:horzAnchor="margin" w:tblpXSpec="center" w:tblpY="1319"/>
        <w:tblW w:w="10890" w:type="dxa"/>
        <w:tblLook w:val="04A0"/>
      </w:tblPr>
      <w:tblGrid>
        <w:gridCol w:w="3192"/>
        <w:gridCol w:w="3192"/>
        <w:gridCol w:w="4506"/>
      </w:tblGrid>
      <w:tr w14:paraId="7E9F4927" w14:textId="77777777" w:rsidTr="00812C2B">
        <w:tblPrEx>
          <w:tblW w:w="10890" w:type="dxa"/>
          <w:tblLook w:val="04A0"/>
        </w:tblPrEx>
        <w:tc>
          <w:tcPr>
            <w:tcW w:w="10890" w:type="dxa"/>
            <w:gridSpan w:val="3"/>
          </w:tcPr>
          <w:p w:rsidR="00A628A8" w:rsidRPr="00DE5D3C" w:rsidP="00A628A8" w14:paraId="6AD211BA" w14:textId="77777777">
            <w:pPr>
              <w:jc w:val="center"/>
              <w:rPr>
                <w:b/>
              </w:rPr>
            </w:pPr>
            <w:r w:rsidRPr="00DE5D3C">
              <w:rPr>
                <w:b/>
              </w:rPr>
              <w:t>Summary of ATUS Nonresponse Bias Studies</w:t>
            </w:r>
          </w:p>
          <w:p w:rsidR="00A628A8" w:rsidRPr="00DE5D3C" w:rsidP="00A628A8" w14:paraId="17FEFC71" w14:textId="28EA7467">
            <w:pPr>
              <w:jc w:val="center"/>
            </w:pPr>
            <w:r w:rsidRPr="00DE5D3C">
              <w:t xml:space="preserve">Last updated </w:t>
            </w:r>
            <w:r w:rsidR="0092717B">
              <w:t>Ma</w:t>
            </w:r>
            <w:r w:rsidR="0020068B">
              <w:t>rch 2022</w:t>
            </w:r>
          </w:p>
          <w:p w:rsidR="00A628A8" w:rsidRPr="00DE5D3C" w:rsidP="00A628A8" w14:paraId="2C2735DF" w14:textId="77777777">
            <w:pPr>
              <w:jc w:val="center"/>
            </w:pPr>
          </w:p>
          <w:p w:rsidR="00A628A8" w:rsidRPr="00DE5D3C" w:rsidP="00A628A8" w14:paraId="774A760A" w14:textId="77777777">
            <w:pPr>
              <w:jc w:val="center"/>
            </w:pPr>
          </w:p>
        </w:tc>
      </w:tr>
      <w:tr w14:paraId="211B8CA9" w14:textId="77777777" w:rsidTr="00812C2B">
        <w:tblPrEx>
          <w:tblW w:w="10890" w:type="dxa"/>
          <w:tblLook w:val="04A0"/>
        </w:tblPrEx>
        <w:tc>
          <w:tcPr>
            <w:tcW w:w="3192" w:type="dxa"/>
          </w:tcPr>
          <w:p w:rsidR="008C33B3" w:rsidRPr="00821AA8" w:rsidP="00821AA8" w14:paraId="3FC6502F" w14:textId="77777777">
            <w:pPr>
              <w:jc w:val="center"/>
              <w:rPr>
                <w:b/>
              </w:rPr>
            </w:pPr>
            <w:r w:rsidRPr="00821AA8">
              <w:rPr>
                <w:b/>
              </w:rPr>
              <w:t>Study</w:t>
            </w:r>
          </w:p>
        </w:tc>
        <w:tc>
          <w:tcPr>
            <w:tcW w:w="3192" w:type="dxa"/>
          </w:tcPr>
          <w:p w:rsidR="008C33B3" w:rsidRPr="00821AA8" w:rsidP="00821AA8" w14:paraId="35FEEE05" w14:textId="77777777">
            <w:pPr>
              <w:jc w:val="center"/>
              <w:rPr>
                <w:b/>
              </w:rPr>
            </w:pPr>
            <w:r w:rsidRPr="00821AA8">
              <w:rPr>
                <w:b/>
              </w:rPr>
              <w:t>Summary</w:t>
            </w:r>
          </w:p>
        </w:tc>
        <w:tc>
          <w:tcPr>
            <w:tcW w:w="4506" w:type="dxa"/>
          </w:tcPr>
          <w:p w:rsidR="008C33B3" w:rsidRPr="00821AA8" w:rsidP="00821AA8" w14:paraId="0FFE1295" w14:textId="77777777">
            <w:pPr>
              <w:jc w:val="center"/>
              <w:rPr>
                <w:b/>
              </w:rPr>
            </w:pPr>
            <w:r w:rsidRPr="00821AA8">
              <w:rPr>
                <w:b/>
              </w:rPr>
              <w:t>Major Findings and Suggestions for Further Research</w:t>
            </w:r>
          </w:p>
        </w:tc>
      </w:tr>
      <w:tr w14:paraId="0BC6D70D" w14:textId="77777777" w:rsidTr="00812C2B">
        <w:tblPrEx>
          <w:tblW w:w="10890" w:type="dxa"/>
          <w:tblLook w:val="04A0"/>
        </w:tblPrEx>
        <w:tc>
          <w:tcPr>
            <w:tcW w:w="3192" w:type="dxa"/>
          </w:tcPr>
          <w:p w:rsidR="008C33B3" w:rsidRPr="00FC039B" w:rsidP="007260C2" w14:paraId="38F00184" w14:textId="24CD28A3">
            <w:r w:rsidRPr="00957A41">
              <w:rPr>
                <w:rFonts w:cs="Tahoma"/>
                <w:b/>
                <w:bCs/>
              </w:rPr>
              <w:t>Response Analysis Survey: A Qualitative look at Response and Nonresponse in the American Time Use Survey</w:t>
            </w:r>
            <w:r w:rsidRPr="00957A41">
              <w:rPr>
                <w:rFonts w:cs="Tahoma"/>
              </w:rPr>
              <w:t> (</w:t>
            </w:r>
            <w:hyperlink r:id="rId5" w:history="1">
              <w:r w:rsidRPr="00957A41">
                <w:rPr>
                  <w:rStyle w:val="Hyperlink"/>
                  <w:rFonts w:cs="Tahoma"/>
                </w:rPr>
                <w:t>HT</w:t>
              </w:r>
              <w:r w:rsidRPr="00957A41">
                <w:rPr>
                  <w:rStyle w:val="Hyperlink"/>
                  <w:rFonts w:cs="Tahoma"/>
                </w:rPr>
                <w:t>M</w:t>
              </w:r>
              <w:r w:rsidRPr="00957A41">
                <w:rPr>
                  <w:rStyle w:val="Hyperlink"/>
                  <w:rFonts w:cs="Tahoma"/>
                </w:rPr>
                <w:t>L</w:t>
              </w:r>
            </w:hyperlink>
            <w:r w:rsidRPr="00957A41">
              <w:rPr>
                <w:rFonts w:cs="Tahoma"/>
              </w:rPr>
              <w:t>)</w:t>
            </w:r>
            <w:r w:rsidRPr="00957A41">
              <w:rPr>
                <w:rFonts w:cs="Tahoma"/>
              </w:rPr>
              <w:br/>
              <w:t xml:space="preserve">Grace O'Neill and Jessica </w:t>
            </w:r>
            <w:r w:rsidRPr="00957A41">
              <w:rPr>
                <w:rFonts w:cs="Tahoma"/>
              </w:rPr>
              <w:t>Sincavage</w:t>
            </w:r>
            <w:r w:rsidRPr="00957A41">
              <w:rPr>
                <w:rFonts w:cs="Tahoma"/>
              </w:rPr>
              <w:t>. U.S. Bureau of Labor Statistics. Statistical Survey Paper. 2004.</w:t>
            </w:r>
          </w:p>
        </w:tc>
        <w:tc>
          <w:tcPr>
            <w:tcW w:w="3192" w:type="dxa"/>
          </w:tcPr>
          <w:p w:rsidR="008C33B3" w:rsidRPr="004C1E75" w:rsidP="007260C2" w14:paraId="6A7701C9" w14:textId="77777777">
            <w:r w:rsidRPr="004C1E75">
              <w:t xml:space="preserve">Response Analysis Study (RAS) conducted in 2004 to understand response propensity of ATUS </w:t>
            </w:r>
            <w:r w:rsidRPr="004C1E75" w:rsidR="00504D05">
              <w:t>respondents and nonrespondents</w:t>
            </w:r>
            <w:r w:rsidRPr="004C1E75">
              <w:t xml:space="preserve"> </w:t>
            </w:r>
          </w:p>
          <w:p w:rsidR="008C33B3" w:rsidRPr="004C1E75" w:rsidP="007260C2" w14:paraId="728C7E3E" w14:textId="77777777"/>
        </w:tc>
        <w:tc>
          <w:tcPr>
            <w:tcW w:w="4506" w:type="dxa"/>
          </w:tcPr>
          <w:p w:rsidR="008C33B3" w:rsidRPr="004C1E75" w:rsidP="007260C2" w14:paraId="12D404E4" w14:textId="77777777">
            <w:r w:rsidRPr="004C1E75">
              <w:t>Reasons for responding to ATUS:</w:t>
            </w:r>
          </w:p>
          <w:p w:rsidR="008C33B3" w:rsidRPr="004C1E75" w:rsidP="007260C2" w14:paraId="6ACC55C0" w14:textId="77777777">
            <w:pPr>
              <w:pStyle w:val="ListParagraph"/>
              <w:numPr>
                <w:ilvl w:val="0"/>
                <w:numId w:val="1"/>
              </w:numPr>
            </w:pPr>
            <w:r w:rsidRPr="004C1E75">
              <w:t>No specific reason (24%)</w:t>
            </w:r>
          </w:p>
          <w:p w:rsidR="008C33B3" w:rsidRPr="004C1E75" w:rsidP="007260C2" w14:paraId="3C02860F" w14:textId="77777777">
            <w:pPr>
              <w:pStyle w:val="ListParagraph"/>
              <w:numPr>
                <w:ilvl w:val="0"/>
                <w:numId w:val="1"/>
              </w:numPr>
            </w:pPr>
            <w:r w:rsidRPr="004C1E75">
              <w:t>General, survey-related reasons (28%)</w:t>
            </w:r>
          </w:p>
          <w:p w:rsidR="008C33B3" w:rsidRPr="004C1E75" w:rsidP="007260C2" w14:paraId="47DDC916" w14:textId="77777777">
            <w:pPr>
              <w:pStyle w:val="ListParagraph"/>
              <w:numPr>
                <w:ilvl w:val="0"/>
                <w:numId w:val="1"/>
              </w:numPr>
            </w:pPr>
            <w:r w:rsidRPr="004C1E75">
              <w:t>Government/Census Bureau sponsorship (20%)</w:t>
            </w:r>
          </w:p>
          <w:p w:rsidR="008C33B3" w:rsidRPr="004C1E75" w:rsidP="007260C2" w14:paraId="22783074" w14:textId="77777777">
            <w:pPr>
              <w:pStyle w:val="ListParagraph"/>
              <w:numPr>
                <w:ilvl w:val="0"/>
                <w:numId w:val="1"/>
              </w:numPr>
            </w:pPr>
            <w:r w:rsidRPr="004C1E75">
              <w:t>CPS participation (9%)</w:t>
            </w:r>
          </w:p>
          <w:p w:rsidR="008C33B3" w:rsidRPr="004C1E75" w:rsidP="007260C2" w14:paraId="77E79559" w14:textId="77777777">
            <w:pPr>
              <w:pStyle w:val="ListParagraph"/>
              <w:numPr>
                <w:ilvl w:val="0"/>
                <w:numId w:val="1"/>
              </w:numPr>
            </w:pPr>
            <w:r w:rsidRPr="004C1E75">
              <w:t>Interviewer (9%)</w:t>
            </w:r>
          </w:p>
          <w:p w:rsidR="008C33B3" w:rsidRPr="004C1E75" w:rsidP="007260C2" w14:paraId="0A5974EA" w14:textId="77777777">
            <w:pPr>
              <w:pStyle w:val="ListParagraph"/>
              <w:numPr>
                <w:ilvl w:val="0"/>
                <w:numId w:val="1"/>
              </w:numPr>
            </w:pPr>
            <w:r w:rsidRPr="004C1E75">
              <w:t>Topic (7%) and Advance Letter (2%)</w:t>
            </w:r>
          </w:p>
          <w:p w:rsidR="008C33B3" w:rsidRPr="004C1E75" w:rsidP="007260C2" w14:paraId="24E6F8F8" w14:textId="77777777"/>
          <w:p w:rsidR="008C33B3" w:rsidRPr="004C1E75" w:rsidP="007260C2" w14:paraId="4BEA1244" w14:textId="77777777">
            <w:r w:rsidRPr="004C1E75">
              <w:t>Reasons for not responding to ATUS:</w:t>
            </w:r>
          </w:p>
          <w:p w:rsidR="008C33B3" w:rsidRPr="004C1E75" w:rsidP="007260C2" w14:paraId="6DCBA22D" w14:textId="77777777">
            <w:pPr>
              <w:pStyle w:val="ListParagraph"/>
              <w:numPr>
                <w:ilvl w:val="0"/>
                <w:numId w:val="1"/>
              </w:numPr>
            </w:pPr>
            <w:r w:rsidRPr="004C1E75">
              <w:t>Tired of doing CPS (33%)</w:t>
            </w:r>
          </w:p>
          <w:p w:rsidR="008C33B3" w:rsidRPr="004C1E75" w:rsidP="007260C2" w14:paraId="381992A2" w14:textId="77777777">
            <w:pPr>
              <w:pStyle w:val="ListParagraph"/>
              <w:numPr>
                <w:ilvl w:val="0"/>
                <w:numId w:val="1"/>
              </w:numPr>
            </w:pPr>
            <w:r w:rsidRPr="004C1E75">
              <w:t>T</w:t>
            </w:r>
            <w:r w:rsidRPr="004C1E75">
              <w:t>oo busy to complete ATUS (16%)</w:t>
            </w:r>
          </w:p>
          <w:p w:rsidR="008C33B3" w:rsidRPr="004C1E75" w:rsidP="007260C2" w14:paraId="481B151C" w14:textId="77777777">
            <w:pPr>
              <w:pStyle w:val="ListParagraph"/>
              <w:numPr>
                <w:ilvl w:val="0"/>
                <w:numId w:val="1"/>
              </w:numPr>
            </w:pPr>
            <w:r w:rsidRPr="004C1E75">
              <w:t>Other non-ATUS related reasons (14%)</w:t>
            </w:r>
          </w:p>
          <w:p w:rsidR="008C33B3" w:rsidRPr="004C1E75" w:rsidP="007260C2" w14:paraId="5205BF38" w14:textId="77777777">
            <w:pPr>
              <w:pStyle w:val="ListParagraph"/>
              <w:numPr>
                <w:ilvl w:val="0"/>
                <w:numId w:val="1"/>
              </w:numPr>
            </w:pPr>
            <w:r w:rsidRPr="004C1E75">
              <w:t>Other reasons for not responding: inconvenient call times, topic was too private/none of government’s business, Census/government sponsorship, interviewer, survey difficulty, and general disdain of surveys</w:t>
            </w:r>
          </w:p>
          <w:p w:rsidR="008C33B3" w:rsidRPr="004C1E75" w:rsidP="007260C2" w14:paraId="41859E56" w14:textId="77777777"/>
          <w:p w:rsidR="008C33B3" w:rsidRPr="004C1E75" w:rsidP="007260C2" w14:paraId="3E181EA9" w14:textId="77777777">
            <w:r w:rsidRPr="004C1E75">
              <w:t>Suggestions for Further Research:</w:t>
            </w:r>
          </w:p>
          <w:p w:rsidR="008C33B3" w:rsidRPr="004C1E75" w:rsidP="007260C2" w14:paraId="3E5D15EE" w14:textId="77777777">
            <w:pPr>
              <w:pStyle w:val="ListParagraph"/>
              <w:numPr>
                <w:ilvl w:val="0"/>
                <w:numId w:val="2"/>
              </w:numPr>
            </w:pPr>
            <w:r w:rsidRPr="004C1E75">
              <w:t>Conduct new/updated RAS</w:t>
            </w:r>
          </w:p>
          <w:p w:rsidR="008C33B3" w:rsidRPr="004C1E75" w:rsidP="007260C2" w14:paraId="141F31D1" w14:textId="77777777">
            <w:pPr>
              <w:pStyle w:val="ListParagraph"/>
            </w:pPr>
          </w:p>
        </w:tc>
      </w:tr>
      <w:tr w14:paraId="0D512281" w14:textId="77777777" w:rsidTr="00812C2B">
        <w:tblPrEx>
          <w:tblW w:w="10890" w:type="dxa"/>
          <w:tblLook w:val="04A0"/>
        </w:tblPrEx>
        <w:trPr>
          <w:trHeight w:val="4940"/>
        </w:trPr>
        <w:tc>
          <w:tcPr>
            <w:tcW w:w="3192" w:type="dxa"/>
          </w:tcPr>
          <w:p w:rsidR="00957A41" w:rsidRPr="00957A41" w:rsidP="00957A41" w14:paraId="3C48E0DC" w14:textId="5F8FB1C1">
            <w:r w:rsidRPr="00957A41">
              <w:rPr>
                <w:b/>
                <w:bCs/>
              </w:rPr>
              <w:t>Nonresponse in the American Time Use Survey: Who Is Missing from the Data and How Much Does It Matter?</w:t>
            </w:r>
            <w:r>
              <w:rPr>
                <w:b/>
                <w:bCs/>
              </w:rPr>
              <w:t xml:space="preserve"> </w:t>
            </w:r>
            <w:r w:rsidRPr="00FC039B">
              <w:rPr>
                <w:rStyle w:val="Strong"/>
                <w:rFonts w:asciiTheme="minorHAnsi" w:hAnsiTheme="minorHAnsi"/>
                <w:b w:val="0"/>
              </w:rPr>
              <w:t>(</w:t>
            </w:r>
            <w:hyperlink r:id="rId6" w:history="1">
              <w:r>
                <w:rPr>
                  <w:rStyle w:val="Hyperlink"/>
                  <w:rFonts w:cs="Times New Roman"/>
                </w:rPr>
                <w:t>HTML</w:t>
              </w:r>
            </w:hyperlink>
            <w:r w:rsidRPr="00FC039B">
              <w:rPr>
                <w:rStyle w:val="Strong"/>
                <w:rFonts w:asciiTheme="minorHAnsi" w:hAnsiTheme="minorHAnsi"/>
                <w:b w:val="0"/>
              </w:rPr>
              <w:t>)</w:t>
            </w:r>
            <w:r w:rsidRPr="00957A41">
              <w:br/>
              <w:t xml:space="preserve">Katharine G. Abraham, Aaron </w:t>
            </w:r>
            <w:r w:rsidRPr="00957A41">
              <w:t>Maitland</w:t>
            </w:r>
            <w:r w:rsidRPr="00957A41">
              <w:t xml:space="preserve"> and Suzanne M. Bianchi. Public Opinion Quarterly. Volume 70, No. 5/2006.</w:t>
            </w:r>
          </w:p>
          <w:p w:rsidR="008C33B3" w:rsidRPr="00DE5D3C" w:rsidP="00957A41" w14:paraId="6634C312" w14:textId="4E5AF79F"/>
        </w:tc>
        <w:tc>
          <w:tcPr>
            <w:tcW w:w="3192" w:type="dxa"/>
          </w:tcPr>
          <w:p w:rsidR="00236B95" w:rsidRPr="004C1E75" w:rsidP="00236B95" w14:paraId="112C6FF8" w14:textId="77777777">
            <w:pPr>
              <w:pStyle w:val="ListParagraph"/>
              <w:numPr>
                <w:ilvl w:val="0"/>
                <w:numId w:val="2"/>
              </w:numPr>
            </w:pPr>
            <w:r w:rsidRPr="004C1E75">
              <w:t>Tabulated response outcomes for people with different characteristics</w:t>
            </w:r>
          </w:p>
          <w:p w:rsidR="00236B95" w:rsidRPr="004C1E75" w:rsidP="00236B95" w14:paraId="70D03C2E" w14:textId="77777777">
            <w:pPr>
              <w:pStyle w:val="ListParagraph"/>
              <w:numPr>
                <w:ilvl w:val="0"/>
                <w:numId w:val="2"/>
              </w:numPr>
            </w:pPr>
            <w:r w:rsidRPr="004C1E75">
              <w:t>Estimates multivariate logistic regressions of the factors that determine response outcome</w:t>
            </w:r>
          </w:p>
          <w:p w:rsidR="008C33B3" w:rsidRPr="004C1E75" w:rsidP="007260C2" w14:paraId="7FA1AEA9" w14:textId="77777777">
            <w:r w:rsidRPr="004C1E75">
              <w:t>Tested 2 hypotheses:</w:t>
            </w:r>
          </w:p>
          <w:p w:rsidR="008C33B3" w:rsidRPr="004C1E75" w:rsidP="007260C2" w14:paraId="78B696A2" w14:textId="77777777">
            <w:pPr>
              <w:pStyle w:val="ListParagraph"/>
              <w:numPr>
                <w:ilvl w:val="0"/>
                <w:numId w:val="3"/>
              </w:numPr>
            </w:pPr>
            <w:r w:rsidRPr="004C1E75">
              <w:t>Busy people are less likely to respond (people who work longer hours, have children in home, have spouses who work longer hours</w:t>
            </w:r>
          </w:p>
          <w:p w:rsidR="008C33B3" w:rsidRPr="004C1E75" w:rsidP="007260C2" w14:paraId="0FBDADD4" w14:textId="77777777">
            <w:pPr>
              <w:pStyle w:val="ListParagraph"/>
              <w:numPr>
                <w:ilvl w:val="0"/>
                <w:numId w:val="3"/>
              </w:numPr>
            </w:pPr>
            <w:r w:rsidRPr="004C1E75">
              <w:t xml:space="preserve">People who are weakly integrated into their communities are less likely to respond </w:t>
            </w:r>
            <w:r w:rsidRPr="004C1E75">
              <w:t>(Renters, Separated or Never Married, Out of Labor Force, Households without children, Households with adults that are not related to householder</w:t>
            </w:r>
          </w:p>
          <w:p w:rsidR="008C33B3" w:rsidRPr="004C1E75" w:rsidP="007260C2" w14:paraId="7AC263EC" w14:textId="77777777">
            <w:pPr>
              <w:pStyle w:val="ListParagraph"/>
              <w:numPr>
                <w:ilvl w:val="0"/>
                <w:numId w:val="3"/>
              </w:numPr>
            </w:pPr>
            <w:r w:rsidRPr="004C1E75">
              <w:t>Also looked at sex, age, race/ethnicity, household income, education, region, and telephone status</w:t>
            </w:r>
          </w:p>
          <w:p w:rsidR="008C33B3" w:rsidRPr="004C1E75" w:rsidP="00254BD6" w14:paraId="0E8040A2" w14:textId="77777777">
            <w:pPr>
              <w:pStyle w:val="ListParagraph"/>
              <w:numPr>
                <w:ilvl w:val="0"/>
                <w:numId w:val="17"/>
              </w:numPr>
            </w:pPr>
            <w:r w:rsidRPr="004C1E75">
              <w:t xml:space="preserve">Examines whether reweighting the data to account for differences in response propensities </w:t>
            </w:r>
            <w:r w:rsidRPr="004C1E75" w:rsidR="00254BD6">
              <w:t>a</w:t>
            </w:r>
            <w:r w:rsidRPr="004C1E75">
              <w:t>ffects time use estimates</w:t>
            </w:r>
          </w:p>
        </w:tc>
        <w:tc>
          <w:tcPr>
            <w:tcW w:w="4506" w:type="dxa"/>
          </w:tcPr>
          <w:p w:rsidR="008C33B3" w:rsidRPr="004C1E75" w:rsidP="007260C2" w14:paraId="693C4FE8" w14:textId="77777777">
            <w:pPr>
              <w:pStyle w:val="ListParagraph"/>
              <w:numPr>
                <w:ilvl w:val="0"/>
                <w:numId w:val="2"/>
              </w:numPr>
            </w:pPr>
            <w:r w:rsidRPr="004C1E75">
              <w:t>Found little support for hypothesis that busy people are less likely to respond to the ATUS</w:t>
            </w:r>
          </w:p>
          <w:p w:rsidR="008C33B3" w:rsidRPr="004C1E75" w:rsidP="007260C2" w14:paraId="49D254F1" w14:textId="77777777">
            <w:pPr>
              <w:pStyle w:val="ListParagraph"/>
              <w:numPr>
                <w:ilvl w:val="0"/>
                <w:numId w:val="2"/>
              </w:numPr>
            </w:pPr>
            <w:r w:rsidRPr="004C1E75">
              <w:t>There are differences in response rates across groups for social integration hypothesis.  Lower response rates for those: out of labor force, separated or never married, renters, living in urban areas, in households that include adults not related to them.  Noncontact accounts for most of these differences</w:t>
            </w:r>
          </w:p>
          <w:p w:rsidR="008C33B3" w:rsidRPr="004C1E75" w:rsidP="007260C2" w14:paraId="25117D57" w14:textId="77777777">
            <w:pPr>
              <w:pStyle w:val="ListParagraph"/>
              <w:numPr>
                <w:ilvl w:val="0"/>
                <w:numId w:val="2"/>
              </w:numPr>
            </w:pPr>
            <w:r w:rsidRPr="004C1E75">
              <w:t xml:space="preserve">When the authors reweighted the data to account for differences in response propensities, found there was </w:t>
            </w:r>
            <w:r w:rsidRPr="004C1E75" w:rsidR="007260C2">
              <w:t>little effect on aggregate estimates of time use</w:t>
            </w:r>
          </w:p>
          <w:p w:rsidR="008C33B3" w:rsidRPr="004C1E75" w:rsidP="007260C2" w14:paraId="2B0239A4" w14:textId="77777777"/>
          <w:p w:rsidR="007260C2" w:rsidRPr="004C1E75" w:rsidP="007260C2" w14:paraId="0F6A038D" w14:textId="77777777">
            <w:r w:rsidRPr="004C1E75">
              <w:t>Suggestions for further research:</w:t>
            </w:r>
          </w:p>
          <w:p w:rsidR="007260C2" w:rsidRPr="004C1E75" w:rsidP="007260C2" w14:paraId="7116E9D3" w14:textId="77777777">
            <w:pPr>
              <w:pStyle w:val="ListParagraph"/>
              <w:numPr>
                <w:ilvl w:val="0"/>
                <w:numId w:val="4"/>
              </w:numPr>
            </w:pPr>
            <w:r w:rsidRPr="004C1E75">
              <w:t>Compare recent movers (those that moved between 5</w:t>
            </w:r>
            <w:r w:rsidRPr="004C1E75">
              <w:rPr>
                <w:vertAlign w:val="superscript"/>
              </w:rPr>
              <w:t>th</w:t>
            </w:r>
            <w:r w:rsidRPr="004C1E75">
              <w:t xml:space="preserve"> and 8</w:t>
            </w:r>
            <w:r w:rsidRPr="004C1E75">
              <w:rPr>
                <w:vertAlign w:val="superscript"/>
              </w:rPr>
              <w:t>th</w:t>
            </w:r>
            <w:r w:rsidRPr="004C1E75">
              <w:t xml:space="preserve"> survey </w:t>
            </w:r>
            <w:r w:rsidRPr="004C1E75">
              <w:t xml:space="preserve">waves) to non-movers </w:t>
            </w:r>
          </w:p>
          <w:p w:rsidR="007260C2" w:rsidRPr="004C1E75" w:rsidP="007260C2" w14:paraId="171526EF" w14:textId="77777777">
            <w:pPr>
              <w:pStyle w:val="ListParagraph"/>
              <w:numPr>
                <w:ilvl w:val="0"/>
                <w:numId w:val="4"/>
              </w:numPr>
            </w:pPr>
            <w:r w:rsidRPr="004C1E75">
              <w:t>Compare “difficult” versus “easy” respondents (# of call attempts)</w:t>
            </w:r>
          </w:p>
          <w:p w:rsidR="007260C2" w:rsidRPr="004C1E75" w:rsidP="007260C2" w14:paraId="21836C3A" w14:textId="77777777">
            <w:pPr>
              <w:pStyle w:val="ListParagraph"/>
              <w:numPr>
                <w:ilvl w:val="0"/>
                <w:numId w:val="4"/>
              </w:numPr>
            </w:pPr>
            <w:r w:rsidRPr="004C1E75">
              <w:t>Add questions to outgoing CPS rotation group to gain better information about those selected for ATUS who end up not responding</w:t>
            </w:r>
          </w:p>
          <w:p w:rsidR="007260C2" w:rsidRPr="004C1E75" w:rsidP="007260C2" w14:paraId="49DBB8E6" w14:textId="77777777">
            <w:pPr>
              <w:pStyle w:val="ListParagraph"/>
            </w:pPr>
          </w:p>
        </w:tc>
      </w:tr>
      <w:tr w14:paraId="7A9AE9A4" w14:textId="77777777" w:rsidTr="00812C2B">
        <w:tblPrEx>
          <w:tblW w:w="10890" w:type="dxa"/>
          <w:tblLook w:val="04A0"/>
        </w:tblPrEx>
        <w:trPr>
          <w:trHeight w:val="530"/>
        </w:trPr>
        <w:tc>
          <w:tcPr>
            <w:tcW w:w="3192" w:type="dxa"/>
          </w:tcPr>
          <w:p w:rsidR="009E734D" w:rsidRPr="00DE5D3C" w:rsidP="009E734D" w14:paraId="7CA56542" w14:textId="17E6BA95">
            <w:r w:rsidRPr="00957A41">
              <w:rPr>
                <w:rFonts w:cs="Tahoma"/>
                <w:b/>
                <w:bCs/>
              </w:rPr>
              <w:t>Nonresponse bias in the American Time Use Survey</w:t>
            </w:r>
            <w:r w:rsidR="009B721D">
              <w:rPr>
                <w:rFonts w:cs="Tahoma"/>
                <w:b/>
                <w:bCs/>
              </w:rPr>
              <w:t xml:space="preserve"> </w:t>
            </w:r>
            <w:r w:rsidRPr="00FC039B" w:rsidR="009B721D">
              <w:rPr>
                <w:rStyle w:val="Strong"/>
                <w:rFonts w:asciiTheme="minorHAnsi" w:hAnsiTheme="minorHAnsi" w:cs="Tahoma"/>
                <w:b w:val="0"/>
              </w:rPr>
              <w:t>(</w:t>
            </w:r>
            <w:hyperlink r:id="rId7" w:history="1">
              <w:r w:rsidRPr="00FC039B" w:rsidR="009B721D">
                <w:rPr>
                  <w:rStyle w:val="Hyperlink"/>
                  <w:rFonts w:cs="Tahoma"/>
                </w:rPr>
                <w:t>P</w:t>
              </w:r>
              <w:r w:rsidRPr="00FC039B" w:rsidR="009B721D">
                <w:rPr>
                  <w:rStyle w:val="Hyperlink"/>
                  <w:rFonts w:cs="Tahoma"/>
                </w:rPr>
                <w:t>D</w:t>
              </w:r>
              <w:r w:rsidRPr="00FC039B" w:rsidR="009B721D">
                <w:rPr>
                  <w:rStyle w:val="Hyperlink"/>
                  <w:rFonts w:cs="Tahoma"/>
                </w:rPr>
                <w:t>F</w:t>
              </w:r>
            </w:hyperlink>
            <w:r w:rsidRPr="00FC039B" w:rsidR="009B721D">
              <w:rPr>
                <w:rStyle w:val="Strong"/>
                <w:rFonts w:asciiTheme="minorHAnsi" w:hAnsiTheme="minorHAnsi" w:cs="Tahoma"/>
                <w:b w:val="0"/>
              </w:rPr>
              <w:t>)</w:t>
            </w:r>
            <w:r w:rsidRPr="00957A41">
              <w:rPr>
                <w:rFonts w:cs="Tahoma"/>
              </w:rPr>
              <w:br/>
              <w:t>Grace O’Neill and John Dixon. American Statistical Association Proceedings. 2005.</w:t>
            </w:r>
            <w:r w:rsidR="00790310">
              <w:rPr>
                <w:rFonts w:cs="Tahoma"/>
              </w:rPr>
              <w:t xml:space="preserve"> </w:t>
            </w:r>
          </w:p>
          <w:p w:rsidR="009E734D" w:rsidRPr="00DE5D3C" w:rsidP="007260C2" w14:paraId="702A903B" w14:textId="77777777"/>
        </w:tc>
        <w:tc>
          <w:tcPr>
            <w:tcW w:w="3192" w:type="dxa"/>
          </w:tcPr>
          <w:p w:rsidR="009E734D" w:rsidRPr="00DE5D3C" w:rsidP="009E734D" w14:paraId="2BEC1FFF" w14:textId="77777777">
            <w:pPr>
              <w:pStyle w:val="ListParagraph"/>
              <w:numPr>
                <w:ilvl w:val="0"/>
                <w:numId w:val="5"/>
              </w:numPr>
              <w:rPr>
                <w:rFonts w:cs="Tahoma"/>
              </w:rPr>
            </w:pPr>
            <w:r w:rsidRPr="00DE5D3C">
              <w:rPr>
                <w:rFonts w:cs="Tahoma"/>
              </w:rPr>
              <w:t>Describes nonresponse by demographic characteristics (using CPS data)</w:t>
            </w:r>
          </w:p>
          <w:p w:rsidR="009E734D" w:rsidRPr="00DE5D3C" w:rsidP="009E734D" w14:paraId="1C943728" w14:textId="77777777">
            <w:pPr>
              <w:pStyle w:val="ListParagraph"/>
              <w:numPr>
                <w:ilvl w:val="0"/>
                <w:numId w:val="5"/>
              </w:numPr>
              <w:rPr>
                <w:rFonts w:cs="Tahoma"/>
              </w:rPr>
            </w:pPr>
            <w:r w:rsidRPr="00DE5D3C">
              <w:rPr>
                <w:rFonts w:cs="Tahoma"/>
              </w:rPr>
              <w:t>Uses logistic analysis to examine correlates of nonresponse, such as demographic and interviewer characteristics</w:t>
            </w:r>
          </w:p>
          <w:p w:rsidR="009E734D" w:rsidRPr="00DE5D3C" w:rsidP="009E734D" w14:paraId="7D14B1E0" w14:textId="77777777">
            <w:pPr>
              <w:pStyle w:val="ListParagraph"/>
              <w:numPr>
                <w:ilvl w:val="0"/>
                <w:numId w:val="5"/>
              </w:numPr>
              <w:rPr>
                <w:rFonts w:cs="Tahoma"/>
              </w:rPr>
            </w:pPr>
            <w:r w:rsidRPr="00DE5D3C">
              <w:rPr>
                <w:rFonts w:cs="Tahoma"/>
              </w:rPr>
              <w:t>Uses a propensity score model to examine differences in time-use patterns and to assess the extent of nonresponse bias</w:t>
            </w:r>
          </w:p>
          <w:p w:rsidR="009E734D" w:rsidRPr="00DE5D3C" w:rsidP="009E734D" w14:paraId="1DF8CEFF" w14:textId="77777777">
            <w:pPr>
              <w:pStyle w:val="ListParagraph"/>
              <w:numPr>
                <w:ilvl w:val="0"/>
                <w:numId w:val="5"/>
              </w:numPr>
              <w:rPr>
                <w:rFonts w:cs="Tahoma"/>
              </w:rPr>
            </w:pPr>
            <w:r w:rsidRPr="00DE5D3C">
              <w:rPr>
                <w:rFonts w:cs="Tahoma"/>
              </w:rPr>
              <w:t>Uses ATUS data from 2003</w:t>
            </w:r>
          </w:p>
          <w:p w:rsidR="009E734D" w:rsidP="009E734D" w14:paraId="6D29C069" w14:textId="77777777">
            <w:pPr>
              <w:pStyle w:val="ListParagraph"/>
            </w:pPr>
          </w:p>
        </w:tc>
        <w:tc>
          <w:tcPr>
            <w:tcW w:w="4506" w:type="dxa"/>
          </w:tcPr>
          <w:p w:rsidR="009E734D" w:rsidRPr="00DE5D3C" w:rsidP="009E734D" w14:paraId="75C769B0" w14:textId="77777777">
            <w:pPr>
              <w:pStyle w:val="ListParagraph"/>
              <w:numPr>
                <w:ilvl w:val="0"/>
                <w:numId w:val="6"/>
              </w:numPr>
              <w:rPr>
                <w:rFonts w:cs="Tahoma"/>
              </w:rPr>
            </w:pPr>
            <w:r w:rsidRPr="00DE5D3C">
              <w:rPr>
                <w:rFonts w:cs="Tahoma"/>
              </w:rPr>
              <w:t>Race is the strongest predictor of refusals and noncontacts among ATUS respondents:  those who were not white or black were less likely to complete the survey</w:t>
            </w:r>
          </w:p>
          <w:p w:rsidR="009E734D" w:rsidRPr="00DE5D3C" w:rsidP="009E734D" w14:paraId="7E2E745A" w14:textId="77777777">
            <w:pPr>
              <w:pStyle w:val="ListParagraph"/>
              <w:numPr>
                <w:ilvl w:val="0"/>
                <w:numId w:val="6"/>
              </w:numPr>
              <w:rPr>
                <w:rFonts w:cs="Tahoma"/>
              </w:rPr>
            </w:pPr>
            <w:r w:rsidRPr="00DE5D3C">
              <w:rPr>
                <w:rFonts w:cs="Tahoma"/>
              </w:rPr>
              <w:t>Age also is an important factor in the nonresponse rates, with both refusal and noncontact rates increasing as age increases</w:t>
            </w:r>
          </w:p>
          <w:p w:rsidR="009E734D" w:rsidRPr="00DE5D3C" w:rsidP="009E734D" w14:paraId="5732A4CB" w14:textId="77777777">
            <w:pPr>
              <w:pStyle w:val="ListParagraph"/>
              <w:numPr>
                <w:ilvl w:val="0"/>
                <w:numId w:val="6"/>
              </w:numPr>
            </w:pPr>
            <w:r w:rsidRPr="00DE5D3C">
              <w:rPr>
                <w:rFonts w:cs="Tahoma"/>
              </w:rPr>
              <w:t>Estimates of refusal and noncontact bias were small relative to the total time spent in the activities (e.g., in 2003, it was estimated that the population spent an average of 12.4 hours in personal care activities; of this total, there was an estimated refusal bias of 6 minutes and noncontact bias of 12 minutes)</w:t>
            </w:r>
          </w:p>
          <w:p w:rsidR="009E734D" w:rsidRPr="00DE5D3C" w:rsidP="009E734D" w14:paraId="4CE8E293" w14:textId="77777777"/>
          <w:p w:rsidR="009E734D" w:rsidRPr="00DE5D3C" w:rsidP="009E734D" w14:paraId="1D4911A6" w14:textId="77777777">
            <w:r w:rsidRPr="00DE5D3C">
              <w:t>Suggestions for further research:</w:t>
            </w:r>
          </w:p>
          <w:p w:rsidR="009E734D" w:rsidRPr="00DE5D3C" w:rsidP="009E734D" w14:paraId="1736C488" w14:textId="77777777">
            <w:pPr>
              <w:pStyle w:val="ListParagraph"/>
              <w:numPr>
                <w:ilvl w:val="0"/>
                <w:numId w:val="7"/>
              </w:numPr>
            </w:pPr>
            <w:r w:rsidRPr="00DE5D3C">
              <w:t>Examine the assumption that the propensity model represents nonresponse</w:t>
            </w:r>
          </w:p>
          <w:p w:rsidR="009E734D" w:rsidRPr="00DE5D3C" w:rsidP="009E734D" w14:paraId="2B1E43DD" w14:textId="77777777">
            <w:pPr>
              <w:pStyle w:val="ListParagraph"/>
              <w:numPr>
                <w:ilvl w:val="0"/>
                <w:numId w:val="7"/>
              </w:numPr>
            </w:pPr>
            <w:r w:rsidRPr="00DE5D3C">
              <w:t>Focus on better evaluations for activities in which few people participate on a given day (those data that have non-normal distributions)</w:t>
            </w:r>
          </w:p>
          <w:p w:rsidR="009E734D" w:rsidRPr="00DE5D3C" w:rsidP="009E734D" w14:paraId="431E4070" w14:textId="77777777">
            <w:pPr>
              <w:pStyle w:val="ListParagraph"/>
              <w:numPr>
                <w:ilvl w:val="0"/>
                <w:numId w:val="2"/>
              </w:numPr>
            </w:pPr>
            <w:r w:rsidRPr="00DE5D3C">
              <w:t>Examine differences in the relationships between the time-use categories (elasticities) for respondents and nonrespondents</w:t>
            </w:r>
          </w:p>
        </w:tc>
      </w:tr>
      <w:tr w14:paraId="1481F2DD" w14:textId="77777777" w:rsidTr="00812C2B">
        <w:tblPrEx>
          <w:tblW w:w="10890" w:type="dxa"/>
          <w:tblLook w:val="04A0"/>
        </w:tblPrEx>
        <w:trPr>
          <w:trHeight w:val="530"/>
        </w:trPr>
        <w:tc>
          <w:tcPr>
            <w:tcW w:w="3192" w:type="dxa"/>
          </w:tcPr>
          <w:p w:rsidR="004842B0" w:rsidP="009E734D" w14:paraId="7B2A18A2" w14:textId="3814ADB2">
            <w:pPr>
              <w:rPr>
                <w:rFonts w:cs="Tahoma"/>
                <w:bCs/>
              </w:rPr>
            </w:pPr>
            <w:r w:rsidRPr="007F607A">
              <w:rPr>
                <w:rFonts w:cs="Tahoma"/>
                <w:b/>
              </w:rPr>
              <w:t>Nonresponse Bias for the Relationships Between Activities in the American Time Use Survey</w:t>
            </w:r>
            <w:r w:rsidR="00CF38C6">
              <w:rPr>
                <w:rFonts w:cs="Tahoma"/>
                <w:b/>
              </w:rPr>
              <w:t xml:space="preserve"> </w:t>
            </w:r>
            <w:r w:rsidRPr="004842B0">
              <w:rPr>
                <w:rFonts w:cs="Tahoma"/>
                <w:bCs/>
              </w:rPr>
              <w:t>(</w:t>
            </w:r>
            <w:hyperlink r:id="rId8" w:history="1">
              <w:r w:rsidRPr="004842B0">
                <w:rPr>
                  <w:rStyle w:val="Hyperlink"/>
                  <w:rFonts w:cs="Tahoma"/>
                  <w:bCs/>
                </w:rPr>
                <w:t>HT</w:t>
              </w:r>
              <w:r w:rsidRPr="004842B0">
                <w:rPr>
                  <w:rStyle w:val="Hyperlink"/>
                  <w:rFonts w:cs="Tahoma"/>
                  <w:bCs/>
                </w:rPr>
                <w:t>M</w:t>
              </w:r>
              <w:r w:rsidRPr="004842B0">
                <w:rPr>
                  <w:rStyle w:val="Hyperlink"/>
                  <w:rFonts w:cs="Tahoma"/>
                  <w:bCs/>
                </w:rPr>
                <w:t>L</w:t>
              </w:r>
            </w:hyperlink>
            <w:r w:rsidRPr="004842B0">
              <w:rPr>
                <w:rFonts w:cs="Tahoma"/>
                <w:bCs/>
              </w:rPr>
              <w:t>)</w:t>
            </w:r>
          </w:p>
          <w:p w:rsidR="00CF38C6" w:rsidRPr="004842B0" w:rsidP="009E734D" w14:paraId="0C585F0F" w14:textId="07FF15F1">
            <w:pPr>
              <w:rPr>
                <w:rFonts w:cs="Tahoma"/>
                <w:bCs/>
              </w:rPr>
            </w:pPr>
            <w:r>
              <w:rPr>
                <w:rFonts w:cs="Tahoma"/>
              </w:rPr>
              <w:t>John Dixon</w:t>
            </w:r>
            <w:r>
              <w:rPr>
                <w:rFonts w:cs="Tahoma"/>
              </w:rPr>
              <w:t xml:space="preserve">. </w:t>
            </w:r>
            <w:r w:rsidRPr="00957A41">
              <w:rPr>
                <w:rFonts w:cs="Tahoma"/>
              </w:rPr>
              <w:t xml:space="preserve"> </w:t>
            </w:r>
            <w:r w:rsidRPr="00957A41">
              <w:rPr>
                <w:rFonts w:cs="Tahoma"/>
              </w:rPr>
              <w:t>U.S. Bureau of Labor Statistics. Statistical Survey Paper.</w:t>
            </w:r>
            <w:r>
              <w:rPr>
                <w:rFonts w:cs="Tahoma"/>
              </w:rPr>
              <w:t xml:space="preserve"> 2006</w:t>
            </w:r>
            <w:r>
              <w:rPr>
                <w:rFonts w:cs="Tahoma"/>
              </w:rPr>
              <w:t>.</w:t>
            </w:r>
          </w:p>
          <w:p w:rsidR="007F607A" w:rsidP="009E734D" w14:paraId="04885F90" w14:textId="77777777">
            <w:pPr>
              <w:rPr>
                <w:rFonts w:cs="Tahoma"/>
              </w:rPr>
            </w:pPr>
          </w:p>
          <w:p w:rsidR="007F607A" w:rsidP="009E734D" w14:paraId="7EC6C35E" w14:textId="77777777">
            <w:pPr>
              <w:rPr>
                <w:rFonts w:cs="Tahoma"/>
              </w:rPr>
            </w:pPr>
          </w:p>
          <w:p w:rsidR="007F607A" w:rsidP="009E734D" w14:paraId="2A41E5DC" w14:textId="77777777">
            <w:pPr>
              <w:rPr>
                <w:rFonts w:cs="Tahoma"/>
              </w:rPr>
            </w:pPr>
          </w:p>
          <w:p w:rsidR="007F607A" w:rsidP="009E734D" w14:paraId="3D1BF460" w14:textId="77777777">
            <w:pPr>
              <w:rPr>
                <w:rFonts w:cs="Tahoma"/>
              </w:rPr>
            </w:pPr>
          </w:p>
          <w:p w:rsidR="007F607A" w:rsidRPr="00DE5D3C" w:rsidP="009E734D" w14:paraId="747ADD57" w14:textId="77777777">
            <w:pPr>
              <w:rPr>
                <w:rFonts w:cs="Tahoma"/>
              </w:rPr>
            </w:pPr>
          </w:p>
        </w:tc>
        <w:tc>
          <w:tcPr>
            <w:tcW w:w="3192" w:type="dxa"/>
          </w:tcPr>
          <w:p w:rsidR="00FF3AFD" w:rsidRPr="00DE5D3C" w:rsidP="00FF3AFD" w14:paraId="288A43F9" w14:textId="77777777">
            <w:pPr>
              <w:pStyle w:val="ListParagraph"/>
              <w:numPr>
                <w:ilvl w:val="0"/>
                <w:numId w:val="5"/>
              </w:numPr>
              <w:rPr>
                <w:rFonts w:cs="Tahoma"/>
              </w:rPr>
            </w:pPr>
            <w:r>
              <w:rPr>
                <w:rFonts w:cs="Tahoma"/>
              </w:rPr>
              <w:t>This paper follows up on the 2005 study that John Dixon and Grace O'Neill conducted</w:t>
            </w:r>
          </w:p>
          <w:p w:rsidR="007F607A" w:rsidP="009E734D" w14:paraId="5B5E7A8D" w14:textId="77777777">
            <w:pPr>
              <w:pStyle w:val="ListParagraph"/>
              <w:numPr>
                <w:ilvl w:val="0"/>
                <w:numId w:val="5"/>
              </w:numPr>
              <w:rPr>
                <w:rFonts w:cs="Tahoma"/>
              </w:rPr>
            </w:pPr>
            <w:r>
              <w:rPr>
                <w:rFonts w:cs="Tahoma"/>
              </w:rPr>
              <w:t>Focuses on nonresponse rates and nonresponse bias in the relationship between time-use categories</w:t>
            </w:r>
          </w:p>
          <w:p w:rsidR="00FF3AFD" w:rsidRPr="00FF3AFD" w:rsidP="001546E6" w14:paraId="52905DEB" w14:textId="77777777">
            <w:pPr>
              <w:pStyle w:val="ListParagraph"/>
              <w:numPr>
                <w:ilvl w:val="0"/>
                <w:numId w:val="5"/>
              </w:numPr>
              <w:rPr>
                <w:rFonts w:cs="Tahoma"/>
              </w:rPr>
            </w:pPr>
            <w:r>
              <w:rPr>
                <w:rFonts w:cs="Tahoma"/>
              </w:rPr>
              <w:t>Uses ATUS data from 2004</w:t>
            </w:r>
          </w:p>
        </w:tc>
        <w:tc>
          <w:tcPr>
            <w:tcW w:w="4506" w:type="dxa"/>
          </w:tcPr>
          <w:p w:rsidR="009616F7" w:rsidP="00821F3B" w14:paraId="076FF364" w14:textId="77777777">
            <w:pPr>
              <w:pStyle w:val="ListParagraph"/>
              <w:numPr>
                <w:ilvl w:val="0"/>
                <w:numId w:val="6"/>
              </w:numPr>
              <w:rPr>
                <w:rFonts w:cs="Tahoma"/>
              </w:rPr>
            </w:pPr>
            <w:r>
              <w:rPr>
                <w:rFonts w:cs="Tahoma"/>
              </w:rPr>
              <w:t>There were no nonresponse biases in the time-use estimates, probability of use of time categories, or the relationship between the categories</w:t>
            </w:r>
          </w:p>
          <w:p w:rsidR="00821F3B" w:rsidP="00821F3B" w14:paraId="6CD8EFD5" w14:textId="77777777">
            <w:pPr>
              <w:pStyle w:val="ListParagraph"/>
              <w:numPr>
                <w:ilvl w:val="0"/>
                <w:numId w:val="6"/>
              </w:numPr>
              <w:rPr>
                <w:rFonts w:cs="Tahoma"/>
              </w:rPr>
            </w:pPr>
            <w:r>
              <w:rPr>
                <w:rFonts w:cs="Tahoma"/>
              </w:rPr>
              <w:t>The potential biases that were identified were small for the most part</w:t>
            </w:r>
          </w:p>
          <w:p w:rsidR="0026061C" w:rsidRPr="001546E6" w:rsidP="001546E6" w14:paraId="5975BA89" w14:textId="77777777">
            <w:pPr>
              <w:pStyle w:val="ListParagraph"/>
              <w:numPr>
                <w:ilvl w:val="0"/>
                <w:numId w:val="6"/>
              </w:numPr>
              <w:rPr>
                <w:rFonts w:cs="Tahoma"/>
              </w:rPr>
            </w:pPr>
            <w:r>
              <w:rPr>
                <w:rFonts w:cs="Tahoma"/>
              </w:rPr>
              <w:t>Potential biases were usually in opposite directions for refusal and noncontact, which mitigates the overall effect</w:t>
            </w:r>
          </w:p>
        </w:tc>
      </w:tr>
      <w:tr w14:paraId="2413E1F2" w14:textId="77777777" w:rsidTr="00812C2B">
        <w:tblPrEx>
          <w:tblW w:w="10890" w:type="dxa"/>
          <w:tblLook w:val="04A0"/>
        </w:tblPrEx>
        <w:trPr>
          <w:trHeight w:val="8972"/>
        </w:trPr>
        <w:tc>
          <w:tcPr>
            <w:tcW w:w="3192" w:type="dxa"/>
          </w:tcPr>
          <w:p w:rsidR="00812C2B" w:rsidP="00FC039B" w14:paraId="0B1AE8A2" w14:textId="77777777">
            <w:pPr>
              <w:autoSpaceDE w:val="0"/>
              <w:autoSpaceDN w:val="0"/>
              <w:adjustRightInd w:val="0"/>
              <w:rPr>
                <w:rStyle w:val="Strong"/>
                <w:rFonts w:asciiTheme="minorHAnsi" w:hAnsiTheme="minorHAnsi"/>
              </w:rPr>
            </w:pPr>
            <w:r w:rsidRPr="00DE5D3C">
              <w:rPr>
                <w:rStyle w:val="Strong"/>
                <w:rFonts w:asciiTheme="minorHAnsi" w:hAnsiTheme="minorHAnsi"/>
              </w:rPr>
              <w:t>Nonresponse in the American Time Use Survey</w:t>
            </w:r>
            <w:r>
              <w:rPr>
                <w:rStyle w:val="Strong"/>
                <w:rFonts w:asciiTheme="minorHAnsi" w:hAnsiTheme="minorHAnsi"/>
              </w:rPr>
              <w:t xml:space="preserve"> </w:t>
            </w:r>
          </w:p>
          <w:p w:rsidR="00812C2B" w:rsidRPr="00DE5D3C" w:rsidP="004471EE" w14:paraId="3BA1BB9F" w14:textId="225B55A9">
            <w:r w:rsidRPr="009B721D">
              <w:rPr>
                <w:rFonts w:cstheme="minorHAnsi"/>
                <w:color w:val="333333"/>
                <w:shd w:val="clear" w:color="auto" w:fill="FFFFFF"/>
              </w:rPr>
              <w:t>Phawn</w:t>
            </w:r>
            <w:r w:rsidRPr="009B721D">
              <w:rPr>
                <w:rFonts w:cstheme="minorHAnsi"/>
                <w:color w:val="333333"/>
                <w:shd w:val="clear" w:color="auto" w:fill="FFFFFF"/>
              </w:rPr>
              <w:t xml:space="preserve"> M. Letourneau and Andrew </w:t>
            </w:r>
            <w:r w:rsidRPr="009B721D">
              <w:rPr>
                <w:rFonts w:cstheme="minorHAnsi"/>
                <w:color w:val="333333"/>
                <w:shd w:val="clear" w:color="auto" w:fill="FFFFFF"/>
              </w:rPr>
              <w:t>Zbikowski</w:t>
            </w:r>
            <w:r w:rsidRPr="009B721D">
              <w:rPr>
                <w:rFonts w:cstheme="minorHAnsi"/>
                <w:color w:val="333333"/>
                <w:shd w:val="clear" w:color="auto" w:fill="FFFFFF"/>
              </w:rPr>
              <w:t>. American Statistical Association Proceedings. 2008.</w:t>
            </w:r>
          </w:p>
        </w:tc>
        <w:tc>
          <w:tcPr>
            <w:tcW w:w="3192" w:type="dxa"/>
          </w:tcPr>
          <w:p w:rsidR="00812C2B" w:rsidP="00D27E4E" w14:paraId="24F200D3" w14:textId="77777777">
            <w:pPr>
              <w:pStyle w:val="ListParagraph"/>
              <w:numPr>
                <w:ilvl w:val="0"/>
                <w:numId w:val="16"/>
              </w:numPr>
            </w:pPr>
            <w:r w:rsidRPr="00DE5D3C">
              <w:t>Analysis of nonresponse</w:t>
            </w:r>
            <w:r>
              <w:t xml:space="preserve"> using 2006 ATUS data – comparing results</w:t>
            </w:r>
            <w:r w:rsidRPr="00DE5D3C">
              <w:t xml:space="preserve"> to earlier studies</w:t>
            </w:r>
          </w:p>
          <w:p w:rsidR="00812C2B" w:rsidP="00D27E4E" w14:paraId="73165C9E" w14:textId="77777777">
            <w:pPr>
              <w:pStyle w:val="ListParagraph"/>
              <w:numPr>
                <w:ilvl w:val="0"/>
                <w:numId w:val="16"/>
              </w:numPr>
            </w:pPr>
            <w:r>
              <w:t>Uses logistic regression to model response propensities</w:t>
            </w:r>
          </w:p>
          <w:p w:rsidR="00812C2B" w:rsidP="007260C2" w14:paraId="3BEBFB8E" w14:textId="77777777"/>
          <w:p w:rsidR="00812C2B" w:rsidRPr="00DE5D3C" w:rsidP="007260C2" w14:paraId="1AEB9F8F" w14:textId="77777777"/>
        </w:tc>
        <w:tc>
          <w:tcPr>
            <w:tcW w:w="4506" w:type="dxa"/>
          </w:tcPr>
          <w:p w:rsidR="00812C2B" w:rsidRPr="00DE5D3C" w:rsidP="0026342F" w14:paraId="671E4EA0" w14:textId="77777777">
            <w:r w:rsidRPr="00DE5D3C">
              <w:t>Findings similar to earlier studies:</w:t>
            </w:r>
          </w:p>
          <w:p w:rsidR="00812C2B" w:rsidRPr="00DE5D3C" w:rsidP="0026342F" w14:paraId="10BB3A60" w14:textId="77777777">
            <w:pPr>
              <w:pStyle w:val="ListParagraph"/>
              <w:numPr>
                <w:ilvl w:val="0"/>
                <w:numId w:val="12"/>
              </w:numPr>
            </w:pPr>
            <w:r w:rsidRPr="00DE5D3C">
              <w:t>Lower response rates for people living in a central city and renters</w:t>
            </w:r>
          </w:p>
          <w:p w:rsidR="00812C2B" w:rsidRPr="00DE5D3C" w:rsidP="0026342F" w14:paraId="79BB3E14" w14:textId="77777777">
            <w:pPr>
              <w:pStyle w:val="ListParagraph"/>
              <w:numPr>
                <w:ilvl w:val="0"/>
                <w:numId w:val="12"/>
              </w:numPr>
            </w:pPr>
            <w:r w:rsidRPr="00DE5D3C">
              <w:t>Lower contact rates for people with less education, lower incomes, and in younger age groups</w:t>
            </w:r>
          </w:p>
          <w:p w:rsidR="00812C2B" w:rsidRPr="00DE5D3C" w:rsidP="0026342F" w14:paraId="1F4970DD" w14:textId="77777777">
            <w:pPr>
              <w:pStyle w:val="ListParagraph"/>
              <w:numPr>
                <w:ilvl w:val="0"/>
                <w:numId w:val="12"/>
              </w:numPr>
            </w:pPr>
            <w:r w:rsidRPr="00DE5D3C">
              <w:t>Higher refusal rates for people missing household income in the CPS</w:t>
            </w:r>
          </w:p>
          <w:p w:rsidR="00812C2B" w:rsidRPr="00DE5D3C" w:rsidP="0026342F" w14:paraId="5F7BA1D4" w14:textId="77777777">
            <w:pPr>
              <w:pStyle w:val="ListParagraph"/>
              <w:numPr>
                <w:ilvl w:val="0"/>
                <w:numId w:val="12"/>
              </w:numPr>
            </w:pPr>
            <w:r w:rsidRPr="00DE5D3C">
              <w:t>Higher response rates and contact rates for people living in Midwest</w:t>
            </w:r>
          </w:p>
          <w:p w:rsidR="00812C2B" w:rsidRPr="00DE5D3C" w:rsidP="0026342F" w14:paraId="24FC302A" w14:textId="77777777">
            <w:pPr>
              <w:pStyle w:val="ListParagraph"/>
              <w:numPr>
                <w:ilvl w:val="0"/>
                <w:numId w:val="12"/>
              </w:numPr>
            </w:pPr>
            <w:r w:rsidRPr="00DE5D3C">
              <w:t>Lower response rates and cooperation rates for males</w:t>
            </w:r>
          </w:p>
          <w:p w:rsidR="00812C2B" w:rsidRPr="00DE5D3C" w:rsidP="0026342F" w14:paraId="79D06F2E" w14:textId="77777777">
            <w:pPr>
              <w:pStyle w:val="ListParagraph"/>
            </w:pPr>
          </w:p>
          <w:p w:rsidR="00812C2B" w:rsidRPr="00DE5D3C" w:rsidP="0026342F" w14:paraId="4C463331" w14:textId="77777777">
            <w:r w:rsidRPr="00DE5D3C">
              <w:t>Findings different from earlier studies:</w:t>
            </w:r>
          </w:p>
          <w:p w:rsidR="00812C2B" w:rsidRPr="00DE5D3C" w:rsidP="0026342F" w14:paraId="3C26C5D4" w14:textId="77777777">
            <w:pPr>
              <w:pStyle w:val="ListParagraph"/>
              <w:numPr>
                <w:ilvl w:val="0"/>
                <w:numId w:val="13"/>
              </w:numPr>
            </w:pPr>
            <w:r w:rsidRPr="00DE5D3C">
              <w:t xml:space="preserve">No significant effect on response rates for people who are unemployed or not in labor force, separated, or never married.  </w:t>
            </w:r>
          </w:p>
          <w:p w:rsidR="00812C2B" w:rsidRPr="00DE5D3C" w:rsidP="0026342F" w14:paraId="3680267D" w14:textId="77777777">
            <w:pPr>
              <w:pStyle w:val="ListParagraph"/>
              <w:numPr>
                <w:ilvl w:val="0"/>
                <w:numId w:val="13"/>
              </w:numPr>
            </w:pPr>
            <w:r w:rsidRPr="00DE5D3C">
              <w:t xml:space="preserve">No significant effect on contact rates for people who work longer hours, are Hispanic or black </w:t>
            </w:r>
          </w:p>
          <w:p w:rsidR="00812C2B" w:rsidRPr="00DE5D3C" w:rsidP="007260C2" w14:paraId="30220483" w14:textId="77777777"/>
        </w:tc>
      </w:tr>
      <w:tr w14:paraId="406C4C78" w14:textId="77777777" w:rsidTr="00812C2B">
        <w:tblPrEx>
          <w:tblW w:w="10890" w:type="dxa"/>
          <w:tblLook w:val="04A0"/>
        </w:tblPrEx>
        <w:trPr>
          <w:trHeight w:val="1700"/>
        </w:trPr>
        <w:tc>
          <w:tcPr>
            <w:tcW w:w="3192" w:type="dxa"/>
          </w:tcPr>
          <w:p w:rsidR="00812C2B" w:rsidP="007260C2" w14:paraId="66D21A7D" w14:textId="77777777">
            <w:r w:rsidRPr="00DE5D3C">
              <w:rPr>
                <w:rStyle w:val="Strong"/>
                <w:rFonts w:asciiTheme="minorHAnsi" w:hAnsiTheme="minorHAnsi"/>
              </w:rPr>
              <w:t>How Social Processes Distort Measurement: The Impact of Survey Nonresponse on Estimates of Volunteer Work</w:t>
            </w:r>
            <w:r>
              <w:rPr>
                <w:rStyle w:val="Strong"/>
                <w:rFonts w:asciiTheme="minorHAnsi" w:hAnsiTheme="minorHAnsi"/>
              </w:rPr>
              <w:t xml:space="preserve"> </w:t>
            </w:r>
            <w:r>
              <w:rPr>
                <w:rStyle w:val="Strong"/>
                <w:rFonts w:asciiTheme="minorHAnsi" w:hAnsiTheme="minorHAnsi"/>
                <w:b w:val="0"/>
              </w:rPr>
              <w:t>(</w:t>
            </w:r>
            <w:hyperlink r:id="rId9" w:history="1">
              <w:r>
                <w:rPr>
                  <w:rStyle w:val="Hyperlink"/>
                  <w:rFonts w:cs="Times New Roman"/>
                </w:rPr>
                <w:t>HT</w:t>
              </w:r>
              <w:r>
                <w:rPr>
                  <w:rStyle w:val="Hyperlink"/>
                  <w:rFonts w:cs="Times New Roman"/>
                </w:rPr>
                <w:t>M</w:t>
              </w:r>
              <w:r>
                <w:rPr>
                  <w:rStyle w:val="Hyperlink"/>
                  <w:rFonts w:cs="Times New Roman"/>
                </w:rPr>
                <w:t>L</w:t>
              </w:r>
            </w:hyperlink>
            <w:r>
              <w:rPr>
                <w:rStyle w:val="Strong"/>
                <w:rFonts w:asciiTheme="minorHAnsi" w:hAnsiTheme="minorHAnsi"/>
                <w:b w:val="0"/>
              </w:rPr>
              <w:t xml:space="preserve">) </w:t>
            </w:r>
            <w:r w:rsidRPr="00DE5D3C">
              <w:t xml:space="preserve"> </w:t>
            </w:r>
          </w:p>
          <w:p w:rsidR="00812C2B" w:rsidRPr="00957A41" w:rsidP="007260C2" w14:paraId="254F1989" w14:textId="77777777">
            <w:pPr>
              <w:rPr>
                <w:rFonts w:cstheme="minorHAnsi"/>
              </w:rPr>
            </w:pPr>
            <w:r w:rsidRPr="00DE5D3C">
              <w:t>Katharine G. Abraham, Sara E. Helms, and Stanley Presser</w:t>
            </w:r>
            <w:r>
              <w:t>.</w:t>
            </w:r>
            <w:r w:rsidRPr="00DE5D3C">
              <w:t xml:space="preserve"> </w:t>
            </w:r>
            <w:r w:rsidRPr="00957A41">
              <w:rPr>
                <w:rFonts w:cstheme="minorHAnsi"/>
                <w:color w:val="333333"/>
                <w:shd w:val="clear" w:color="auto" w:fill="FFFFFF"/>
              </w:rPr>
              <w:t>American Journal of Sociology. Volume 114, No. 4/January 2009.</w:t>
            </w:r>
          </w:p>
          <w:p w:rsidR="00812C2B" w:rsidP="007260C2" w14:paraId="6693545D" w14:textId="77777777"/>
          <w:p w:rsidR="00812C2B" w:rsidRPr="009B721D" w:rsidP="00FC039B" w14:paraId="29CFB7EA" w14:textId="6D516665">
            <w:pPr>
              <w:autoSpaceDE w:val="0"/>
              <w:autoSpaceDN w:val="0"/>
              <w:adjustRightInd w:val="0"/>
              <w:rPr>
                <w:rFonts w:cstheme="minorHAnsi"/>
              </w:rPr>
            </w:pPr>
          </w:p>
        </w:tc>
        <w:tc>
          <w:tcPr>
            <w:tcW w:w="3192" w:type="dxa"/>
          </w:tcPr>
          <w:p w:rsidR="00812C2B" w:rsidRPr="00DE5D3C" w:rsidP="00233DBB" w14:paraId="3D186B72" w14:textId="77777777">
            <w:pPr>
              <w:pStyle w:val="ListParagraph"/>
              <w:numPr>
                <w:ilvl w:val="0"/>
                <w:numId w:val="8"/>
              </w:numPr>
            </w:pPr>
            <w:r w:rsidRPr="00DE5D3C">
              <w:t>Examines whether higher measures of volunteerism are associated with lower survey response</w:t>
            </w:r>
          </w:p>
          <w:p w:rsidR="00812C2B" w:rsidRPr="00DE5D3C" w:rsidP="00233DBB" w14:paraId="6CDED153" w14:textId="77777777">
            <w:pPr>
              <w:pStyle w:val="ListParagraph"/>
              <w:numPr>
                <w:ilvl w:val="0"/>
                <w:numId w:val="8"/>
              </w:numPr>
            </w:pPr>
            <w:r w:rsidRPr="00DE5D3C">
              <w:t xml:space="preserve">Links 2003-04 ATUS data to the September 2003 CPS Volunteer Supplement </w:t>
            </w:r>
          </w:p>
          <w:p w:rsidR="00812C2B" w:rsidRPr="00DE5D3C" w:rsidP="00233DBB" w14:paraId="3B113FFC" w14:textId="77777777">
            <w:pPr>
              <w:pStyle w:val="ListParagraph"/>
              <w:numPr>
                <w:ilvl w:val="0"/>
                <w:numId w:val="8"/>
              </w:numPr>
            </w:pPr>
            <w:r w:rsidRPr="00DE5D3C">
              <w:t>Examines ATUS respondents and nonrespondents in the context of their responses to the Volunteer Supplement</w:t>
            </w:r>
          </w:p>
          <w:p w:rsidR="00812C2B" w:rsidRPr="00DE5D3C" w:rsidP="007260C2" w14:paraId="2A825AAF" w14:textId="77777777"/>
        </w:tc>
        <w:tc>
          <w:tcPr>
            <w:tcW w:w="4506" w:type="dxa"/>
          </w:tcPr>
          <w:p w:rsidR="00812C2B" w:rsidRPr="00DE5D3C" w:rsidP="00233DBB" w14:paraId="1FD07081" w14:textId="77777777">
            <w:r w:rsidRPr="00DE5D3C">
              <w:t>Findings:</w:t>
            </w:r>
          </w:p>
          <w:p w:rsidR="00812C2B" w:rsidRPr="00DE5D3C" w:rsidP="00233DBB" w14:paraId="1A78C30E" w14:textId="77777777">
            <w:pPr>
              <w:pStyle w:val="ListParagraph"/>
              <w:numPr>
                <w:ilvl w:val="0"/>
                <w:numId w:val="5"/>
              </w:numPr>
            </w:pPr>
            <w:r w:rsidRPr="00DE5D3C">
              <w:t>ATUS respondents were more likely to volunteer, and they spent more time volunteering, than did ATUS non-respondents (there is evidence of this within demographic and other subgroups)</w:t>
            </w:r>
          </w:p>
          <w:p w:rsidR="00812C2B" w:rsidRPr="00DE5D3C" w:rsidP="00233DBB" w14:paraId="25DFC0C9" w14:textId="77777777">
            <w:pPr>
              <w:pStyle w:val="ListParagraph"/>
              <w:numPr>
                <w:ilvl w:val="0"/>
                <w:numId w:val="5"/>
              </w:numPr>
            </w:pPr>
            <w:r>
              <w:t>The</w:t>
            </w:r>
            <w:r w:rsidRPr="00DE5D3C">
              <w:t xml:space="preserve"> ATUS estimate of volunteer hours suffers from nonresponse bias that makes it too high</w:t>
            </w:r>
          </w:p>
          <w:p w:rsidR="00812C2B" w:rsidRPr="00DE5D3C" w:rsidP="00233DBB" w14:paraId="13F3AA8D" w14:textId="77777777">
            <w:pPr>
              <w:pStyle w:val="ListParagraph"/>
              <w:numPr>
                <w:ilvl w:val="0"/>
                <w:numId w:val="5"/>
              </w:numPr>
            </w:pPr>
            <w:r w:rsidRPr="00DE5D3C">
              <w:t>ATUS estimates of the associations between respondent characteristics and volunteer hours are similar to those from CPS</w:t>
            </w:r>
          </w:p>
          <w:p w:rsidR="00812C2B" w:rsidRPr="00DE5D3C" w:rsidP="007260C2" w14:paraId="2F11295B" w14:textId="77777777"/>
        </w:tc>
      </w:tr>
      <w:tr w14:paraId="3BECAEED" w14:textId="77777777" w:rsidTr="00812C2B">
        <w:tblPrEx>
          <w:tblW w:w="10890" w:type="dxa"/>
          <w:tblLook w:val="04A0"/>
        </w:tblPrEx>
        <w:tc>
          <w:tcPr>
            <w:tcW w:w="3192" w:type="dxa"/>
          </w:tcPr>
          <w:p w:rsidR="00812C2B" w:rsidP="00812C2B" w14:paraId="05E29A4C" w14:textId="77777777">
            <w:r w:rsidRPr="00DE5D3C">
              <w:rPr>
                <w:b/>
              </w:rPr>
              <w:t>The Relationship Between Response Propensity and Data Quality in the Current Population Survey and the American Time Use Survey</w:t>
            </w:r>
            <w:r>
              <w:rPr>
                <w:b/>
              </w:rPr>
              <w:t xml:space="preserve"> </w:t>
            </w:r>
            <w:r w:rsidRPr="00C11CBF">
              <w:t>(</w:t>
            </w:r>
            <w:hyperlink r:id="rId10" w:history="1">
              <w:r>
                <w:rPr>
                  <w:rStyle w:val="Hyperlink"/>
                </w:rPr>
                <w:t>HTML</w:t>
              </w:r>
            </w:hyperlink>
            <w:r w:rsidRPr="00C11CBF">
              <w:t>)</w:t>
            </w:r>
          </w:p>
          <w:p w:rsidR="00812C2B" w:rsidRPr="009B721D" w:rsidP="00812C2B" w14:paraId="61461C7D" w14:textId="77777777">
            <w:pPr>
              <w:rPr>
                <w:rFonts w:cstheme="minorHAnsi"/>
              </w:rPr>
            </w:pPr>
            <w:r w:rsidRPr="009B721D">
              <w:rPr>
                <w:rFonts w:cstheme="minorHAnsi"/>
              </w:rPr>
              <w:t xml:space="preserve">Scott S. Fricker and Roger Tourangeau. </w:t>
            </w:r>
            <w:r w:rsidRPr="009B721D">
              <w:rPr>
                <w:rFonts w:cstheme="minorHAnsi"/>
                <w:color w:val="333333"/>
              </w:rPr>
              <w:t xml:space="preserve"> Public Opinion Quarterly. Volume 74, No. 5/December 2010.</w:t>
            </w:r>
          </w:p>
          <w:p w:rsidR="00812C2B" w:rsidRPr="00DE5D3C" w:rsidP="007260C2" w14:paraId="27ACBFB2" w14:textId="40E809F5"/>
        </w:tc>
        <w:tc>
          <w:tcPr>
            <w:tcW w:w="3192" w:type="dxa"/>
          </w:tcPr>
          <w:p w:rsidR="00812C2B" w:rsidRPr="00DE5D3C" w:rsidP="00812C2B" w14:paraId="59BFE12B" w14:textId="77777777">
            <w:pPr>
              <w:pStyle w:val="ListParagraph"/>
              <w:numPr>
                <w:ilvl w:val="0"/>
                <w:numId w:val="9"/>
              </w:numPr>
              <w:autoSpaceDE w:val="0"/>
              <w:autoSpaceDN w:val="0"/>
              <w:adjustRightInd w:val="0"/>
            </w:pPr>
            <w:r w:rsidRPr="00DE5D3C">
              <w:rPr>
                <w:rFonts w:cs="TimesNewRoman"/>
              </w:rPr>
              <w:t>Examine</w:t>
            </w:r>
            <w:r>
              <w:rPr>
                <w:rFonts w:cs="TimesNewRoman"/>
              </w:rPr>
              <w:t>d</w:t>
            </w:r>
            <w:r w:rsidRPr="00DE5D3C">
              <w:rPr>
                <w:rFonts w:cs="TimesNewRoman"/>
              </w:rPr>
              <w:t xml:space="preserve"> characteristics that affect nonresponse in the ATUS</w:t>
            </w:r>
          </w:p>
          <w:p w:rsidR="00812C2B" w:rsidRPr="00DE5D3C" w:rsidP="00812C2B" w14:paraId="312E0ED5" w14:textId="77777777">
            <w:pPr>
              <w:pStyle w:val="ListParagraph"/>
              <w:numPr>
                <w:ilvl w:val="0"/>
                <w:numId w:val="9"/>
              </w:numPr>
              <w:autoSpaceDE w:val="0"/>
              <w:autoSpaceDN w:val="0"/>
              <w:adjustRightInd w:val="0"/>
            </w:pPr>
            <w:r w:rsidRPr="00DE5D3C">
              <w:t xml:space="preserve">Also </w:t>
            </w:r>
            <w:r w:rsidRPr="00DE5D3C">
              <w:rPr>
                <w:rFonts w:cs="TimesNewRoman"/>
              </w:rPr>
              <w:t>examined how survey results changed</w:t>
            </w:r>
          </w:p>
          <w:p w:rsidR="00812C2B" w:rsidP="00812C2B" w14:paraId="4EFBBD8C" w14:textId="77777777">
            <w:pPr>
              <w:pStyle w:val="ListParagraph"/>
              <w:rPr>
                <w:rFonts w:cs="TimesNewRoman"/>
              </w:rPr>
            </w:pPr>
            <w:r w:rsidRPr="00DE5D3C">
              <w:rPr>
                <w:rFonts w:cs="TimesNewRoman"/>
              </w:rPr>
              <w:t>when high nonresponse propensity cases were excluded from the respondent pool</w:t>
            </w:r>
          </w:p>
          <w:p w:rsidR="00812C2B" w:rsidRPr="00DE5D3C" w:rsidP="00812C2B" w14:paraId="2AA3783B" w14:textId="77777777">
            <w:pPr>
              <w:pStyle w:val="ListParagraph"/>
              <w:numPr>
                <w:ilvl w:val="0"/>
                <w:numId w:val="15"/>
              </w:numPr>
            </w:pPr>
            <w:r>
              <w:t>Uses ATUS data from 2003</w:t>
            </w:r>
          </w:p>
          <w:p w:rsidR="00812C2B" w:rsidRPr="00DE5D3C" w:rsidP="007260C2" w14:paraId="44FE4204" w14:textId="77777777"/>
        </w:tc>
        <w:tc>
          <w:tcPr>
            <w:tcW w:w="4506" w:type="dxa"/>
          </w:tcPr>
          <w:p w:rsidR="00812C2B" w:rsidRPr="00DE5D3C" w:rsidP="00812C2B" w14:paraId="5C483723" w14:textId="77777777">
            <w:pPr>
              <w:pStyle w:val="ListParagraph"/>
              <w:numPr>
                <w:ilvl w:val="0"/>
                <w:numId w:val="10"/>
              </w:numPr>
              <w:autoSpaceDE w:val="0"/>
              <w:autoSpaceDN w:val="0"/>
              <w:adjustRightInd w:val="0"/>
              <w:rPr>
                <w:rFonts w:cs="TimesNewRoman"/>
              </w:rPr>
            </w:pPr>
            <w:r w:rsidRPr="00DE5D3C">
              <w:rPr>
                <w:rFonts w:cs="TimesNewRoman"/>
              </w:rPr>
              <w:t>Findings consistent with earlier studies: higher response rates for those who are non-Hispanic, older, and having higher levels of family income</w:t>
            </w:r>
          </w:p>
          <w:p w:rsidR="00812C2B" w:rsidRPr="00DE5D3C" w:rsidP="00812C2B" w14:paraId="59783366" w14:textId="77777777">
            <w:pPr>
              <w:pStyle w:val="ListParagraph"/>
              <w:numPr>
                <w:ilvl w:val="0"/>
                <w:numId w:val="10"/>
              </w:numPr>
              <w:autoSpaceDE w:val="0"/>
              <w:autoSpaceDN w:val="0"/>
              <w:adjustRightInd w:val="0"/>
              <w:rPr>
                <w:rFonts w:cs="TimesNewRoman"/>
              </w:rPr>
            </w:pPr>
            <w:r w:rsidRPr="00DE5D3C">
              <w:rPr>
                <w:rFonts w:cs="TimesNewRoman"/>
              </w:rPr>
              <w:t xml:space="preserve">Higher </w:t>
            </w:r>
            <w:r w:rsidRPr="00DE5D3C">
              <w:rPr>
                <w:rFonts w:cs="TimesNewRoman"/>
              </w:rPr>
              <w:t>nonreponse</w:t>
            </w:r>
            <w:r w:rsidRPr="00DE5D3C">
              <w:rPr>
                <w:rFonts w:cs="TimesNewRoman"/>
              </w:rPr>
              <w:t xml:space="preserve"> for those who skipped the CPS family income question, had been a CPS nonrespondent, or were not the respondent in the last CPS interview</w:t>
            </w:r>
          </w:p>
          <w:p w:rsidR="00812C2B" w:rsidRPr="004C1E75" w:rsidP="00812C2B" w14:paraId="7358A94B" w14:textId="77777777">
            <w:pPr>
              <w:pStyle w:val="ListParagraph"/>
              <w:numPr>
                <w:ilvl w:val="0"/>
                <w:numId w:val="10"/>
              </w:numPr>
              <w:autoSpaceDE w:val="0"/>
              <w:autoSpaceDN w:val="0"/>
              <w:adjustRightInd w:val="0"/>
              <w:rPr>
                <w:rFonts w:cs="TimesNewRoman"/>
              </w:rPr>
            </w:pPr>
            <w:r w:rsidRPr="00DE5D3C">
              <w:rPr>
                <w:rFonts w:cs="TimesNewRoman"/>
              </w:rPr>
              <w:t xml:space="preserve">ATUS nonresponse propensity </w:t>
            </w:r>
            <w:r w:rsidRPr="004C1E75">
              <w:rPr>
                <w:rFonts w:cs="TimesNewRoman"/>
              </w:rPr>
              <w:t>increased as function of the number of call attempts and of the timing of</w:t>
            </w:r>
          </w:p>
          <w:p w:rsidR="00812C2B" w:rsidRPr="004C1E75" w:rsidP="00812C2B" w14:paraId="2B6388E6" w14:textId="77777777">
            <w:pPr>
              <w:pStyle w:val="ListParagraph"/>
              <w:autoSpaceDE w:val="0"/>
              <w:autoSpaceDN w:val="0"/>
              <w:adjustRightInd w:val="0"/>
              <w:rPr>
                <w:rFonts w:cs="TimesNewRoman"/>
              </w:rPr>
            </w:pPr>
            <w:r w:rsidRPr="004C1E75">
              <w:rPr>
                <w:rFonts w:cs="TimesNewRoman"/>
              </w:rPr>
              <w:t>those calls</w:t>
            </w:r>
          </w:p>
          <w:p w:rsidR="00812C2B" w:rsidRPr="004C1E75" w:rsidP="00812C2B" w14:paraId="2487B3B3" w14:textId="77777777">
            <w:pPr>
              <w:pStyle w:val="ListParagraph"/>
              <w:numPr>
                <w:ilvl w:val="0"/>
                <w:numId w:val="11"/>
              </w:numPr>
              <w:autoSpaceDE w:val="0"/>
              <w:autoSpaceDN w:val="0"/>
              <w:adjustRightInd w:val="0"/>
              <w:rPr>
                <w:rFonts w:cs="TimesNewRoman"/>
              </w:rPr>
            </w:pPr>
            <w:r w:rsidRPr="004C1E75">
              <w:rPr>
                <w:rFonts w:cs="TimesNewRoman"/>
              </w:rPr>
              <w:t>Absence of findings supporting the busyness account of ATUS participation also is consistent with results reported in Abraham et al. (2006)</w:t>
            </w:r>
          </w:p>
          <w:p w:rsidR="00812C2B" w:rsidRPr="00DE5D3C" w:rsidP="00812C2B" w14:paraId="0505B332" w14:textId="77777777">
            <w:pPr>
              <w:pStyle w:val="ListParagraph"/>
              <w:numPr>
                <w:ilvl w:val="0"/>
                <w:numId w:val="11"/>
              </w:numPr>
              <w:autoSpaceDE w:val="0"/>
              <w:autoSpaceDN w:val="0"/>
              <w:adjustRightInd w:val="0"/>
              <w:rPr>
                <w:rFonts w:cs="TimesNewRoman"/>
              </w:rPr>
            </w:pPr>
            <w:r w:rsidRPr="004C1E75">
              <w:rPr>
                <w:rFonts w:cs="TimesNewRoman"/>
              </w:rPr>
              <w:t>Despite strong indications at the bivariate level that ATUS nonresponse was related to social capital variables, the results of the multivariate social</w:t>
            </w:r>
            <w:r w:rsidRPr="00DE5D3C">
              <w:rPr>
                <w:rFonts w:cs="TimesNewRoman"/>
              </w:rPr>
              <w:t xml:space="preserve"> capital model failed to find the predicted effects. This is contrary to the findings of Abraham et al. (2006)</w:t>
            </w:r>
          </w:p>
          <w:p w:rsidR="00812C2B" w:rsidP="00812C2B" w14:paraId="46B83E7C" w14:textId="313812F8">
            <w:pPr>
              <w:pStyle w:val="ListParagraph"/>
              <w:numPr>
                <w:ilvl w:val="0"/>
                <w:numId w:val="11"/>
              </w:numPr>
              <w:autoSpaceDE w:val="0"/>
              <w:autoSpaceDN w:val="0"/>
              <w:adjustRightInd w:val="0"/>
              <w:rPr>
                <w:rFonts w:cs="TimesNewRoman"/>
              </w:rPr>
            </w:pPr>
            <w:r w:rsidRPr="00DE5D3C">
              <w:rPr>
                <w:rFonts w:cs="TimesNewRoman"/>
              </w:rPr>
              <w:t>Removing high nonresponse propensity cases produced small, though significant, changes in a variety of mean estimates and estimates of the associations between variables (i.e., regression coefficients)</w:t>
            </w:r>
          </w:p>
          <w:p w:rsidR="00812C2B" w:rsidP="00812C2B" w14:paraId="4F3C7C66" w14:textId="4C427071">
            <w:pPr>
              <w:autoSpaceDE w:val="0"/>
              <w:autoSpaceDN w:val="0"/>
              <w:adjustRightInd w:val="0"/>
              <w:rPr>
                <w:rFonts w:cs="TimesNewRoman"/>
              </w:rPr>
            </w:pPr>
          </w:p>
          <w:p w:rsidR="00812C2B" w:rsidRPr="00812C2B" w:rsidP="00812C2B" w14:paraId="2BE08302" w14:textId="77777777">
            <w:pPr>
              <w:autoSpaceDE w:val="0"/>
              <w:autoSpaceDN w:val="0"/>
              <w:adjustRightInd w:val="0"/>
              <w:rPr>
                <w:rFonts w:cs="TimesNewRoman"/>
              </w:rPr>
            </w:pPr>
          </w:p>
          <w:p w:rsidR="00812C2B" w:rsidRPr="00DE5D3C" w:rsidP="007260C2" w14:paraId="04B8ADB5" w14:textId="77777777"/>
        </w:tc>
      </w:tr>
      <w:tr w14:paraId="411744DE" w14:textId="77777777" w:rsidTr="00812C2B">
        <w:tblPrEx>
          <w:tblW w:w="10890" w:type="dxa"/>
          <w:tblLook w:val="04A0"/>
        </w:tblPrEx>
        <w:tc>
          <w:tcPr>
            <w:tcW w:w="3192" w:type="dxa"/>
          </w:tcPr>
          <w:p w:rsidR="00812C2B" w:rsidP="00812C2B" w14:paraId="2541F32A" w14:textId="6D764751">
            <w:r w:rsidRPr="0027202B">
              <w:rPr>
                <w:b/>
              </w:rPr>
              <w:t>Total Survey Error in the American Time Use Survey</w:t>
            </w:r>
            <w:r>
              <w:t xml:space="preserve"> (</w:t>
            </w:r>
            <w:hyperlink r:id="rId11" w:history="1">
              <w:r w:rsidRPr="00327096">
                <w:rPr>
                  <w:rStyle w:val="Hyperlink"/>
                </w:rPr>
                <w:t>P</w:t>
              </w:r>
              <w:r w:rsidRPr="00327096">
                <w:rPr>
                  <w:rStyle w:val="Hyperlink"/>
                </w:rPr>
                <w:t>D</w:t>
              </w:r>
              <w:r w:rsidRPr="00327096">
                <w:rPr>
                  <w:rStyle w:val="Hyperlink"/>
                </w:rPr>
                <w:t>F</w:t>
              </w:r>
            </w:hyperlink>
            <w:r>
              <w:t>)</w:t>
            </w:r>
          </w:p>
          <w:p w:rsidR="00812C2B" w:rsidRPr="00DE5D3C" w:rsidP="00812C2B" w14:paraId="28162ED2" w14:textId="6E1A5D1C">
            <w:pPr>
              <w:rPr>
                <w:rStyle w:val="Strong"/>
                <w:rFonts w:asciiTheme="minorHAnsi" w:hAnsiTheme="minorHAnsi"/>
              </w:rPr>
            </w:pPr>
            <w:r>
              <w:t>John Dixon and Brian Meekins</w:t>
            </w:r>
            <w:r>
              <w:t xml:space="preserve">. </w:t>
            </w:r>
            <w:r>
              <w:t>2012</w:t>
            </w:r>
            <w:r>
              <w:t>.</w:t>
            </w:r>
          </w:p>
        </w:tc>
        <w:tc>
          <w:tcPr>
            <w:tcW w:w="3192" w:type="dxa"/>
          </w:tcPr>
          <w:p w:rsidR="00812C2B" w:rsidRPr="00F22397" w:rsidP="00812C2B" w14:paraId="0472E69F" w14:textId="77777777">
            <w:pPr>
              <w:pStyle w:val="ListParagraph"/>
              <w:numPr>
                <w:ilvl w:val="0"/>
                <w:numId w:val="19"/>
              </w:numPr>
              <w:autoSpaceDE w:val="0"/>
              <w:autoSpaceDN w:val="0"/>
              <w:adjustRightInd w:val="0"/>
              <w:ind w:left="768"/>
              <w:rPr>
                <w:rFonts w:cstheme="minorHAnsi"/>
              </w:rPr>
            </w:pPr>
            <w:r w:rsidRPr="00F22397">
              <w:rPr>
                <w:rFonts w:cstheme="minorHAnsi"/>
              </w:rPr>
              <w:t>Used logistic analysis to examine correlates of nonresponse, including</w:t>
            </w:r>
          </w:p>
          <w:p w:rsidR="00812C2B" w:rsidRPr="00F22397" w:rsidP="00812C2B" w14:paraId="47062785" w14:textId="77777777">
            <w:pPr>
              <w:pStyle w:val="ListParagraph"/>
              <w:autoSpaceDE w:val="0"/>
              <w:autoSpaceDN w:val="0"/>
              <w:adjustRightInd w:val="0"/>
              <w:ind w:left="768"/>
              <w:rPr>
                <w:rFonts w:cstheme="minorHAnsi"/>
              </w:rPr>
            </w:pPr>
            <w:r w:rsidRPr="00F22397">
              <w:rPr>
                <w:rFonts w:cstheme="minorHAnsi"/>
              </w:rPr>
              <w:t xml:space="preserve">demographic and contact history characteristics. </w:t>
            </w:r>
          </w:p>
          <w:p w:rsidR="00812C2B" w:rsidRPr="00F22397" w:rsidP="00812C2B" w14:paraId="5226F747" w14:textId="77777777">
            <w:pPr>
              <w:pStyle w:val="ListParagraph"/>
              <w:numPr>
                <w:ilvl w:val="0"/>
                <w:numId w:val="19"/>
              </w:numPr>
              <w:tabs>
                <w:tab w:val="left" w:pos="678"/>
              </w:tabs>
              <w:autoSpaceDE w:val="0"/>
              <w:autoSpaceDN w:val="0"/>
              <w:adjustRightInd w:val="0"/>
              <w:ind w:left="768" w:hanging="402"/>
              <w:rPr>
                <w:rFonts w:cstheme="minorHAnsi"/>
              </w:rPr>
            </w:pPr>
            <w:r w:rsidRPr="00F22397">
              <w:rPr>
                <w:rFonts w:cstheme="minorHAnsi"/>
              </w:rPr>
              <w:t xml:space="preserve">Utilized a propensity score model to examine differences in </w:t>
            </w:r>
            <w:r w:rsidRPr="00F22397">
              <w:rPr>
                <w:rFonts w:cstheme="minorHAnsi"/>
              </w:rPr>
              <w:t>timeuse</w:t>
            </w:r>
          </w:p>
          <w:p w:rsidR="00812C2B" w:rsidRPr="00F22397" w:rsidP="00812C2B" w14:paraId="3BE93017" w14:textId="77777777">
            <w:pPr>
              <w:tabs>
                <w:tab w:val="left" w:pos="678"/>
              </w:tabs>
              <w:autoSpaceDE w:val="0"/>
              <w:autoSpaceDN w:val="0"/>
              <w:adjustRightInd w:val="0"/>
              <w:ind w:left="768"/>
              <w:rPr>
                <w:rFonts w:cstheme="minorHAnsi"/>
              </w:rPr>
            </w:pPr>
            <w:r w:rsidRPr="00F22397">
              <w:rPr>
                <w:rFonts w:cstheme="minorHAnsi"/>
              </w:rPr>
              <w:t xml:space="preserve">patterns and to assess the extent of nonresponse bias. </w:t>
            </w:r>
          </w:p>
          <w:p w:rsidR="00812C2B" w:rsidRPr="00DE5D3C" w:rsidP="00812C2B" w14:paraId="760EF432" w14:textId="7BE6BF43">
            <w:pPr>
              <w:pStyle w:val="ListParagraph"/>
            </w:pPr>
            <w:r w:rsidRPr="00F22397">
              <w:rPr>
                <w:rFonts w:cstheme="minorHAnsi"/>
              </w:rPr>
              <w:t>Assessed measurement error with indicators based on item nonresponse and interviewer judgement.</w:t>
            </w:r>
          </w:p>
        </w:tc>
        <w:tc>
          <w:tcPr>
            <w:tcW w:w="4506" w:type="dxa"/>
          </w:tcPr>
          <w:p w:rsidR="00812C2B" w:rsidP="00812C2B" w14:paraId="5E447688" w14:textId="77777777">
            <w:r>
              <w:t>Findings:</w:t>
            </w:r>
          </w:p>
          <w:p w:rsidR="00812C2B" w:rsidP="00812C2B" w14:paraId="03842FBA" w14:textId="77777777">
            <w:pPr>
              <w:pStyle w:val="ListParagraph"/>
              <w:numPr>
                <w:ilvl w:val="0"/>
                <w:numId w:val="18"/>
              </w:numPr>
            </w:pPr>
            <w:r>
              <w:t>Found some demographic characteristics were significant predictors of refusing the ATUS.  Specifically, white respondents less likely to refuse, while married and older respondents more likely to refuse.</w:t>
            </w:r>
          </w:p>
          <w:p w:rsidR="00812C2B" w:rsidP="00812C2B" w14:paraId="0127B0C4" w14:textId="77777777">
            <w:pPr>
              <w:pStyle w:val="ListParagraph"/>
              <w:numPr>
                <w:ilvl w:val="0"/>
                <w:numId w:val="18"/>
              </w:numPr>
              <w:rPr>
                <w:rFonts w:cstheme="minorHAnsi"/>
              </w:rPr>
            </w:pPr>
            <w:r>
              <w:t xml:space="preserve">Estimates of bias were very small from all sources.  </w:t>
            </w:r>
            <w:r w:rsidRPr="00F22397">
              <w:rPr>
                <w:rFonts w:cstheme="minorHAnsi"/>
              </w:rPr>
              <w:t xml:space="preserve">Noncontact had the largest effect. </w:t>
            </w:r>
          </w:p>
          <w:p w:rsidR="00812C2B" w:rsidP="00812C2B" w14:paraId="6AB4F989" w14:textId="77777777">
            <w:pPr>
              <w:pStyle w:val="ListParagraph"/>
              <w:rPr>
                <w:rFonts w:cstheme="minorHAnsi"/>
              </w:rPr>
            </w:pPr>
          </w:p>
          <w:p w:rsidR="00812C2B" w:rsidRPr="00DE5D3C" w:rsidP="00812C2B" w14:paraId="36BB0E10" w14:textId="77777777"/>
        </w:tc>
      </w:tr>
      <w:tr w14:paraId="10F864F5" w14:textId="77777777" w:rsidTr="00812C2B">
        <w:tblPrEx>
          <w:tblW w:w="10890" w:type="dxa"/>
          <w:tblLook w:val="04A0"/>
        </w:tblPrEx>
        <w:tc>
          <w:tcPr>
            <w:tcW w:w="3192" w:type="dxa"/>
          </w:tcPr>
          <w:p w:rsidR="00812C2B" w:rsidP="00812C2B" w14:paraId="1931B24C" w14:textId="77777777">
            <w:pPr>
              <w:rPr>
                <w:rFonts w:cstheme="minorHAnsi"/>
              </w:rPr>
            </w:pPr>
            <w:r w:rsidRPr="00686265">
              <w:rPr>
                <w:rFonts w:cstheme="minorHAnsi"/>
                <w:b/>
              </w:rPr>
              <w:t xml:space="preserve">Cell Phones and </w:t>
            </w:r>
            <w:r w:rsidRPr="00686265">
              <w:rPr>
                <w:rFonts w:cstheme="minorHAnsi"/>
                <w:b/>
              </w:rPr>
              <w:t>Nonsampling</w:t>
            </w:r>
            <w:r w:rsidRPr="00686265">
              <w:rPr>
                <w:rFonts w:cstheme="minorHAnsi"/>
                <w:b/>
              </w:rPr>
              <w:t xml:space="preserve"> Error in the American Time Use Survey</w:t>
            </w:r>
            <w:r>
              <w:rPr>
                <w:rFonts w:cstheme="minorHAnsi"/>
                <w:b/>
              </w:rPr>
              <w:t xml:space="preserve"> </w:t>
            </w:r>
            <w:r>
              <w:rPr>
                <w:rFonts w:cstheme="minorHAnsi"/>
              </w:rPr>
              <w:t>(</w:t>
            </w:r>
            <w:hyperlink r:id="rId12" w:history="1">
              <w:r w:rsidRPr="004755C4">
                <w:rPr>
                  <w:rStyle w:val="Hyperlink"/>
                  <w:rFonts w:cstheme="minorHAnsi"/>
                </w:rPr>
                <w:t>P</w:t>
              </w:r>
              <w:r w:rsidRPr="004755C4">
                <w:rPr>
                  <w:rStyle w:val="Hyperlink"/>
                  <w:rFonts w:cstheme="minorHAnsi"/>
                </w:rPr>
                <w:t>D</w:t>
              </w:r>
              <w:r w:rsidRPr="004755C4">
                <w:rPr>
                  <w:rStyle w:val="Hyperlink"/>
                  <w:rFonts w:cstheme="minorHAnsi"/>
                </w:rPr>
                <w:t>F</w:t>
              </w:r>
            </w:hyperlink>
            <w:r w:rsidRPr="004755C4">
              <w:rPr>
                <w:rFonts w:cstheme="minorHAnsi"/>
              </w:rPr>
              <w:t>)</w:t>
            </w:r>
          </w:p>
          <w:p w:rsidR="00812C2B" w:rsidRPr="00DE5D3C" w:rsidP="00812C2B" w14:paraId="01FFA074" w14:textId="2291CC7A">
            <w:r w:rsidRPr="00686265">
              <w:rPr>
                <w:rFonts w:cstheme="minorHAnsi"/>
              </w:rPr>
              <w:t>Brian Meekins and Stephanie Dent</w:t>
            </w:r>
            <w:r>
              <w:rPr>
                <w:rFonts w:cstheme="minorHAnsi"/>
              </w:rPr>
              <w:t>on</w:t>
            </w:r>
            <w:r>
              <w:rPr>
                <w:rFonts w:cstheme="minorHAnsi"/>
              </w:rPr>
              <w:t xml:space="preserve">. </w:t>
            </w:r>
            <w:r w:rsidRPr="00957A41">
              <w:rPr>
                <w:rFonts w:cs="Tahoma"/>
              </w:rPr>
              <w:t xml:space="preserve"> </w:t>
            </w:r>
            <w:r w:rsidRPr="00957A41">
              <w:rPr>
                <w:rFonts w:cs="Tahoma"/>
              </w:rPr>
              <w:t>U.S. Bureau of Labor Statistics. Statistical Survey Paper.</w:t>
            </w:r>
            <w:r>
              <w:rPr>
                <w:rFonts w:cs="Tahoma"/>
              </w:rPr>
              <w:t xml:space="preserve"> </w:t>
            </w:r>
            <w:r>
              <w:rPr>
                <w:rFonts w:cstheme="minorHAnsi"/>
              </w:rPr>
              <w:t>2012</w:t>
            </w:r>
            <w:r>
              <w:rPr>
                <w:rFonts w:cstheme="minorHAnsi"/>
              </w:rPr>
              <w:t>.</w:t>
            </w:r>
          </w:p>
        </w:tc>
        <w:tc>
          <w:tcPr>
            <w:tcW w:w="3192" w:type="dxa"/>
          </w:tcPr>
          <w:p w:rsidR="00812C2B" w:rsidRPr="00686265" w:rsidP="00812C2B" w14:paraId="0D0B4488" w14:textId="77777777">
            <w:pPr>
              <w:pStyle w:val="ListParagraph"/>
              <w:numPr>
                <w:ilvl w:val="0"/>
                <w:numId w:val="20"/>
              </w:numPr>
              <w:rPr>
                <w:rFonts w:cstheme="minorHAnsi"/>
              </w:rPr>
            </w:pPr>
            <w:r w:rsidRPr="00686265">
              <w:rPr>
                <w:rFonts w:cstheme="minorHAnsi"/>
              </w:rPr>
              <w:t xml:space="preserve">Authors examine the impact of calling cell phone numbers on nonresponse and measurement error </w:t>
            </w:r>
          </w:p>
          <w:p w:rsidR="00812C2B" w:rsidRPr="00F22397" w:rsidP="00812C2B" w14:paraId="5DE2CC00" w14:textId="4E5E2702">
            <w:pPr>
              <w:pStyle w:val="ListParagraph"/>
              <w:numPr>
                <w:ilvl w:val="0"/>
                <w:numId w:val="19"/>
              </w:numPr>
              <w:autoSpaceDE w:val="0"/>
              <w:autoSpaceDN w:val="0"/>
              <w:adjustRightInd w:val="0"/>
              <w:ind w:left="768"/>
              <w:rPr>
                <w:rFonts w:ascii="Times New Roman" w:hAnsi="Times New Roman" w:cs="Times New Roman"/>
                <w:sz w:val="20"/>
                <w:szCs w:val="20"/>
              </w:rPr>
            </w:pPr>
          </w:p>
        </w:tc>
        <w:tc>
          <w:tcPr>
            <w:tcW w:w="4506" w:type="dxa"/>
          </w:tcPr>
          <w:p w:rsidR="00812C2B" w:rsidRPr="00686265" w:rsidP="00812C2B" w14:paraId="0450CFDB" w14:textId="77777777">
            <w:pPr>
              <w:rPr>
                <w:rFonts w:cstheme="minorHAnsi"/>
              </w:rPr>
            </w:pPr>
            <w:r w:rsidRPr="00686265">
              <w:rPr>
                <w:rFonts w:cstheme="minorHAnsi"/>
              </w:rPr>
              <w:t xml:space="preserve">Findings: </w:t>
            </w:r>
          </w:p>
          <w:p w:rsidR="00812C2B" w:rsidRPr="00686265" w:rsidP="00812C2B" w14:paraId="2B42ABBF" w14:textId="77777777">
            <w:pPr>
              <w:pStyle w:val="ListParagraph"/>
              <w:numPr>
                <w:ilvl w:val="0"/>
                <w:numId w:val="21"/>
              </w:numPr>
              <w:rPr>
                <w:rFonts w:cstheme="minorHAnsi"/>
              </w:rPr>
            </w:pPr>
            <w:r w:rsidRPr="00686265">
              <w:rPr>
                <w:rFonts w:cstheme="minorHAnsi"/>
              </w:rPr>
              <w:t>Cell phone volunteers are less likely to  complete ATUS interviews due to noncontact</w:t>
            </w:r>
          </w:p>
          <w:p w:rsidR="00812C2B" w:rsidRPr="00686265" w:rsidP="00812C2B" w14:paraId="37C39827" w14:textId="77777777">
            <w:pPr>
              <w:pStyle w:val="ListParagraph"/>
              <w:numPr>
                <w:ilvl w:val="0"/>
                <w:numId w:val="21"/>
              </w:numPr>
              <w:rPr>
                <w:rFonts w:cstheme="minorHAnsi"/>
              </w:rPr>
            </w:pPr>
            <w:r w:rsidRPr="00686265">
              <w:rPr>
                <w:rFonts w:cstheme="minorHAnsi"/>
              </w:rPr>
              <w:t>Refusal rate of cell phone volunteers is similar to those volunteering a landline number</w:t>
            </w:r>
          </w:p>
          <w:p w:rsidR="00812C2B" w:rsidRPr="00DE5D3C" w:rsidP="00812C2B" w14:paraId="44AF37B1" w14:textId="65B0DADF">
            <w:pPr>
              <w:pStyle w:val="ListParagraph"/>
            </w:pPr>
            <w:r w:rsidRPr="00686265">
              <w:rPr>
                <w:rFonts w:cstheme="minorHAnsi"/>
              </w:rPr>
              <w:t>Differences in measurement error appear to be negligible.  There are some differences in the estimates of time use, but these are largely due to demographic differences</w:t>
            </w:r>
          </w:p>
        </w:tc>
      </w:tr>
      <w:tr w14:paraId="2A300D95" w14:textId="77777777" w:rsidTr="00812C2B">
        <w:tblPrEx>
          <w:tblW w:w="10890" w:type="dxa"/>
          <w:tblLook w:val="04A0"/>
        </w:tblPrEx>
        <w:tc>
          <w:tcPr>
            <w:tcW w:w="3192" w:type="dxa"/>
          </w:tcPr>
          <w:p w:rsidR="00812C2B" w:rsidP="00812C2B" w14:paraId="686E3487" w14:textId="77777777">
            <w:pPr>
              <w:rPr>
                <w:rFonts w:cstheme="minorHAnsi"/>
              </w:rPr>
            </w:pPr>
            <w:r>
              <w:rPr>
                <w:rFonts w:cstheme="minorHAnsi"/>
                <w:b/>
              </w:rPr>
              <w:t>Nonresponse Patterns and B</w:t>
            </w:r>
            <w:r w:rsidRPr="00AB7574">
              <w:rPr>
                <w:rFonts w:cstheme="minorHAnsi"/>
                <w:b/>
              </w:rPr>
              <w:t>ias in the American Time Use Survey</w:t>
            </w:r>
            <w:r>
              <w:rPr>
                <w:rFonts w:cstheme="minorHAnsi"/>
              </w:rPr>
              <w:t xml:space="preserve"> </w:t>
            </w:r>
          </w:p>
          <w:p w:rsidR="00812C2B" w:rsidRPr="00E72780" w:rsidP="00812C2B" w14:paraId="66E214AE" w14:textId="77777777">
            <w:r>
              <w:rPr>
                <w:rFonts w:cstheme="minorHAnsi"/>
              </w:rPr>
              <w:t xml:space="preserve">John Dixon. </w:t>
            </w:r>
            <w:r w:rsidRPr="00957A41">
              <w:rPr>
                <w:rFonts w:cs="Tahoma"/>
              </w:rPr>
              <w:t xml:space="preserve"> </w:t>
            </w:r>
            <w:r>
              <w:rPr>
                <w:rFonts w:cs="Tahoma"/>
              </w:rPr>
              <w:t>Joint</w:t>
            </w:r>
            <w:r w:rsidRPr="00957A41">
              <w:rPr>
                <w:rFonts w:cs="Tahoma"/>
              </w:rPr>
              <w:t xml:space="preserve"> Statistical </w:t>
            </w:r>
            <w:r>
              <w:rPr>
                <w:rFonts w:cs="Tahoma"/>
              </w:rPr>
              <w:t xml:space="preserve">Meetings </w:t>
            </w:r>
            <w:r w:rsidRPr="00957A41">
              <w:rPr>
                <w:rFonts w:cs="Tahoma"/>
              </w:rPr>
              <w:t>Proceeding</w:t>
            </w:r>
            <w:r>
              <w:rPr>
                <w:rFonts w:cs="Tahoma"/>
              </w:rPr>
              <w:t xml:space="preserve">. </w:t>
            </w:r>
            <w:r>
              <w:rPr>
                <w:rFonts w:cstheme="minorHAnsi"/>
              </w:rPr>
              <w:t xml:space="preserve">2014. </w:t>
            </w:r>
          </w:p>
          <w:p w:rsidR="00812C2B" w:rsidP="00812C2B" w14:paraId="0A4037CC" w14:textId="77777777">
            <w:pPr>
              <w:rPr>
                <w:rFonts w:cstheme="minorHAnsi"/>
                <w:b/>
              </w:rPr>
            </w:pPr>
          </w:p>
          <w:p w:rsidR="00812C2B" w:rsidRPr="00686265" w:rsidP="00812C2B" w14:paraId="2445D4CF" w14:textId="4CC97A86">
            <w:pPr>
              <w:rPr>
                <w:rFonts w:cstheme="minorHAnsi"/>
              </w:rPr>
            </w:pPr>
          </w:p>
        </w:tc>
        <w:tc>
          <w:tcPr>
            <w:tcW w:w="3192" w:type="dxa"/>
          </w:tcPr>
          <w:p w:rsidR="00812C2B" w:rsidRPr="00196FE3" w:rsidP="00812C2B" w14:paraId="5CA945C1" w14:textId="77777777">
            <w:pPr>
              <w:pStyle w:val="ListParagraph"/>
              <w:numPr>
                <w:ilvl w:val="0"/>
                <w:numId w:val="23"/>
              </w:numPr>
              <w:rPr>
                <w:rFonts w:cstheme="minorHAnsi"/>
              </w:rPr>
            </w:pPr>
            <w:r>
              <w:t>Using 2012 data, examines</w:t>
            </w:r>
            <w:r w:rsidRPr="00196FE3">
              <w:t xml:space="preserve"> nonresponse using propensity models for overall nonresponse as well as its components: refusal and noncontact. </w:t>
            </w:r>
          </w:p>
          <w:p w:rsidR="00812C2B" w:rsidRPr="00196FE3" w:rsidP="00812C2B" w14:paraId="64E5E33D" w14:textId="77777777">
            <w:pPr>
              <w:pStyle w:val="ListParagraph"/>
              <w:numPr>
                <w:ilvl w:val="0"/>
                <w:numId w:val="23"/>
              </w:numPr>
              <w:rPr>
                <w:rFonts w:cstheme="minorHAnsi"/>
              </w:rPr>
            </w:pPr>
            <w:r>
              <w:t>Examines</w:t>
            </w:r>
            <w:r w:rsidRPr="00196FE3">
              <w:t xml:space="preserve"> nonresponse based on hurdle models. </w:t>
            </w:r>
          </w:p>
          <w:p w:rsidR="00812C2B" w:rsidRPr="00E01CCE" w:rsidP="00812C2B" w14:paraId="624B8B1A" w14:textId="77777777">
            <w:pPr>
              <w:pStyle w:val="ListParagraph"/>
              <w:numPr>
                <w:ilvl w:val="0"/>
                <w:numId w:val="23"/>
              </w:numPr>
              <w:rPr>
                <w:rFonts w:cstheme="minorHAnsi"/>
              </w:rPr>
            </w:pPr>
            <w:r>
              <w:t>Assessed</w:t>
            </w:r>
            <w:r w:rsidRPr="00196FE3">
              <w:t xml:space="preserve"> interrelationship between indicators of me</w:t>
            </w:r>
            <w:r>
              <w:t>asurement error and nonresponse.</w:t>
            </w:r>
          </w:p>
          <w:p w:rsidR="00812C2B" w:rsidRPr="00686265" w:rsidP="00812C2B" w14:paraId="30F42DDE" w14:textId="07244C86">
            <w:pPr>
              <w:pStyle w:val="ListParagraph"/>
              <w:rPr>
                <w:rFonts w:cstheme="minorHAnsi"/>
              </w:rPr>
            </w:pPr>
            <w:r w:rsidRPr="00E01CCE">
              <w:rPr>
                <w:rFonts w:cstheme="minorHAnsi"/>
              </w:rPr>
              <w:t xml:space="preserve">To explore the possibility that nonresponse may be biasing the estimates due to the </w:t>
            </w:r>
            <w:r w:rsidRPr="00E01CCE">
              <w:rPr>
                <w:rFonts w:cstheme="minorHAnsi"/>
              </w:rPr>
              <w:t>amount</w:t>
            </w:r>
            <w:r w:rsidRPr="00E01CCE">
              <w:rPr>
                <w:rFonts w:cstheme="minorHAnsi"/>
              </w:rPr>
              <w:t xml:space="preserve"> of zeroes reported, compared the </w:t>
            </w:r>
            <w:r w:rsidRPr="00E01CCE">
              <w:rPr>
                <w:rFonts w:cstheme="minorHAnsi"/>
              </w:rPr>
              <w:t>proportion of zeroes between the groups.</w:t>
            </w:r>
          </w:p>
        </w:tc>
        <w:tc>
          <w:tcPr>
            <w:tcW w:w="4506" w:type="dxa"/>
          </w:tcPr>
          <w:p w:rsidR="00812C2B" w:rsidP="00812C2B" w14:paraId="70FEF06A" w14:textId="77777777">
            <w:pPr>
              <w:rPr>
                <w:rFonts w:cstheme="minorHAnsi"/>
              </w:rPr>
            </w:pPr>
            <w:r>
              <w:rPr>
                <w:rFonts w:cstheme="minorHAnsi"/>
              </w:rPr>
              <w:t xml:space="preserve">Findings: </w:t>
            </w:r>
          </w:p>
          <w:p w:rsidR="00812C2B" w:rsidP="00812C2B" w14:paraId="7F5A018C" w14:textId="77777777">
            <w:pPr>
              <w:pStyle w:val="ListParagraph"/>
              <w:numPr>
                <w:ilvl w:val="0"/>
                <w:numId w:val="22"/>
              </w:numPr>
              <w:rPr>
                <w:rFonts w:cstheme="minorHAnsi"/>
              </w:rPr>
            </w:pPr>
            <w:r w:rsidRPr="00AB7574">
              <w:rPr>
                <w:rFonts w:cstheme="minorHAnsi"/>
              </w:rPr>
              <w:t xml:space="preserve">No nonresponse bias was found, but the level of potential bias differed by activity. </w:t>
            </w:r>
          </w:p>
          <w:p w:rsidR="00812C2B" w:rsidP="00812C2B" w14:paraId="3AFA5F8E" w14:textId="77777777">
            <w:pPr>
              <w:pStyle w:val="ListParagraph"/>
              <w:numPr>
                <w:ilvl w:val="0"/>
                <w:numId w:val="22"/>
              </w:numPr>
              <w:rPr>
                <w:rFonts w:cstheme="minorHAnsi"/>
              </w:rPr>
            </w:pPr>
            <w:r w:rsidRPr="00AB7574">
              <w:rPr>
                <w:rFonts w:cstheme="minorHAnsi"/>
              </w:rPr>
              <w:t>The measurement error indicators correlated to different activity categories, and work needs to be done before reporting potential biases.</w:t>
            </w:r>
          </w:p>
          <w:p w:rsidR="00812C2B" w:rsidRPr="00686265" w:rsidP="00812C2B" w14:paraId="2175404A" w14:textId="3230A2A1">
            <w:pPr>
              <w:pStyle w:val="ListParagraph"/>
              <w:numPr>
                <w:ilvl w:val="0"/>
                <w:numId w:val="21"/>
              </w:numPr>
              <w:rPr>
                <w:rFonts w:cstheme="minorHAnsi"/>
              </w:rPr>
            </w:pPr>
            <w:r w:rsidRPr="00D27A61">
              <w:t>The differences between the reported zeroes from the survey and the estimated zeroes for nonresponse were very small, suggesting that reasons for doing the activity were likely not related to the reasons for nonresponse.</w:t>
            </w:r>
          </w:p>
        </w:tc>
      </w:tr>
      <w:tr w14:paraId="3B0C13A3" w14:textId="77777777" w:rsidTr="00812C2B">
        <w:tblPrEx>
          <w:tblW w:w="10890" w:type="dxa"/>
          <w:tblLook w:val="04A0"/>
        </w:tblPrEx>
        <w:tc>
          <w:tcPr>
            <w:tcW w:w="3192" w:type="dxa"/>
          </w:tcPr>
          <w:p w:rsidR="00812C2B" w:rsidP="00812C2B" w14:paraId="0EDBBE60" w14:textId="77777777">
            <w:pPr>
              <w:rPr>
                <w:rFonts w:cstheme="minorHAnsi"/>
                <w:b/>
              </w:rPr>
            </w:pPr>
            <w:r w:rsidRPr="006F6A53">
              <w:rPr>
                <w:rFonts w:cstheme="minorHAnsi"/>
                <w:b/>
              </w:rPr>
              <w:t>Enhancing the Understanding of the Relationship Between Social Integration and Nonresponse in Household Surveys</w:t>
            </w:r>
            <w:r w:rsidRPr="00960CF3">
              <w:rPr>
                <w:rFonts w:cstheme="minorHAnsi"/>
                <w:bCs/>
              </w:rPr>
              <w:t xml:space="preserve"> </w:t>
            </w:r>
            <w:r w:rsidRPr="00960CF3">
              <w:rPr>
                <w:rFonts w:cstheme="minorHAnsi"/>
                <w:bCs/>
              </w:rPr>
              <w:t>(</w:t>
            </w:r>
            <w:hyperlink r:id="rId13" w:history="1">
              <w:r w:rsidRPr="00960CF3">
                <w:rPr>
                  <w:rStyle w:val="Hyperlink"/>
                  <w:rFonts w:cstheme="minorHAnsi"/>
                  <w:bCs/>
                </w:rPr>
                <w:t>HTML</w:t>
              </w:r>
            </w:hyperlink>
            <w:r w:rsidRPr="00960CF3">
              <w:rPr>
                <w:rFonts w:cstheme="minorHAnsi"/>
                <w:bCs/>
              </w:rPr>
              <w:t>)</w:t>
            </w:r>
          </w:p>
          <w:p w:rsidR="00812C2B" w:rsidRPr="004F2A34" w:rsidP="00812C2B" w14:paraId="18DAC81E" w14:textId="1F233215">
            <w:pPr>
              <w:rPr>
                <w:rFonts w:cstheme="minorHAnsi"/>
              </w:rPr>
            </w:pPr>
            <w:r>
              <w:rPr>
                <w:rFonts w:cstheme="minorHAnsi"/>
              </w:rPr>
              <w:t xml:space="preserve">AE Amaya. </w:t>
            </w:r>
            <w:r w:rsidRPr="0071785A">
              <w:rPr>
                <w:rFonts w:cstheme="minorHAnsi"/>
              </w:rPr>
              <w:t xml:space="preserve"> </w:t>
            </w:r>
            <w:r w:rsidRPr="0071785A">
              <w:rPr>
                <w:rFonts w:cstheme="minorHAnsi"/>
              </w:rPr>
              <w:t>Dissertation for Joint Program in Survey Methodology, University of Maryland</w:t>
            </w:r>
            <w:r>
              <w:rPr>
                <w:rFonts w:cstheme="minorHAnsi"/>
              </w:rPr>
              <w:t>. 2015.</w:t>
            </w:r>
          </w:p>
        </w:tc>
        <w:tc>
          <w:tcPr>
            <w:tcW w:w="3192" w:type="dxa"/>
          </w:tcPr>
          <w:p w:rsidR="00812C2B" w:rsidRPr="00196FE3" w:rsidP="00812C2B" w14:paraId="2C01C6DA" w14:textId="093E35D5">
            <w:pPr>
              <w:pStyle w:val="ListParagraph"/>
              <w:numPr>
                <w:ilvl w:val="0"/>
                <w:numId w:val="23"/>
              </w:numPr>
              <w:rPr>
                <w:rFonts w:cstheme="minorHAnsi"/>
              </w:rPr>
            </w:pPr>
            <w:r w:rsidRPr="007A52E9">
              <w:rPr>
                <w:rFonts w:cstheme="minorHAnsi"/>
              </w:rPr>
              <w:t>Examined the components of integration and the components of nonresponse in the ATUS</w:t>
            </w:r>
            <w:r>
              <w:rPr>
                <w:rFonts w:cstheme="minorHAnsi"/>
              </w:rPr>
              <w:t xml:space="preserve"> and SHARE</w:t>
            </w:r>
          </w:p>
        </w:tc>
        <w:tc>
          <w:tcPr>
            <w:tcW w:w="4506" w:type="dxa"/>
          </w:tcPr>
          <w:p w:rsidR="00812C2B" w:rsidP="00812C2B" w14:paraId="56DAA32F" w14:textId="77777777">
            <w:pPr>
              <w:rPr>
                <w:rFonts w:cstheme="minorHAnsi"/>
              </w:rPr>
            </w:pPr>
            <w:r>
              <w:rPr>
                <w:rFonts w:cstheme="minorHAnsi"/>
              </w:rPr>
              <w:t xml:space="preserve">Findings: </w:t>
            </w:r>
          </w:p>
          <w:p w:rsidR="00812C2B" w:rsidP="00812C2B" w14:paraId="1CB31732" w14:textId="77777777">
            <w:pPr>
              <w:pStyle w:val="ListParagraph"/>
              <w:numPr>
                <w:ilvl w:val="0"/>
                <w:numId w:val="25"/>
              </w:numPr>
              <w:rPr>
                <w:rFonts w:cstheme="minorHAnsi"/>
              </w:rPr>
            </w:pPr>
            <w:r w:rsidRPr="007A52E9">
              <w:rPr>
                <w:rFonts w:cstheme="minorHAnsi"/>
              </w:rPr>
              <w:t>While integration was predictive of nonresponse in both surveys, the details</w:t>
            </w:r>
            <w:r>
              <w:rPr>
                <w:rFonts w:cstheme="minorHAnsi"/>
              </w:rPr>
              <w:t xml:space="preserve"> </w:t>
            </w:r>
            <w:r w:rsidRPr="007A52E9">
              <w:rPr>
                <w:rFonts w:cstheme="minorHAnsi"/>
              </w:rPr>
              <w:t>were inconsistent.</w:t>
            </w:r>
          </w:p>
          <w:p w:rsidR="00812C2B" w:rsidP="00812C2B" w14:paraId="1D8D99D4" w14:textId="77777777">
            <w:pPr>
              <w:pStyle w:val="ListParagraph"/>
              <w:numPr>
                <w:ilvl w:val="0"/>
                <w:numId w:val="25"/>
              </w:numPr>
              <w:rPr>
                <w:rFonts w:cstheme="minorHAnsi"/>
              </w:rPr>
            </w:pPr>
            <w:r>
              <w:rPr>
                <w:rFonts w:cstheme="minorHAnsi"/>
              </w:rPr>
              <w:t>C</w:t>
            </w:r>
            <w:r w:rsidRPr="007A52E9">
              <w:rPr>
                <w:rFonts w:cstheme="minorHAnsi"/>
              </w:rPr>
              <w:t>ivically engaged individuals were significantly more likely to</w:t>
            </w:r>
            <w:r>
              <w:rPr>
                <w:rFonts w:cstheme="minorHAnsi"/>
              </w:rPr>
              <w:t xml:space="preserve"> </w:t>
            </w:r>
            <w:r w:rsidRPr="007A52E9">
              <w:rPr>
                <w:rFonts w:cstheme="minorHAnsi"/>
              </w:rPr>
              <w:t>respond to ATUS, suggesting that individuals integrated through other routes are not</w:t>
            </w:r>
          </w:p>
          <w:p w:rsidR="00812C2B" w:rsidRPr="007A52E9" w:rsidP="00812C2B" w14:paraId="5C532A7D" w14:textId="77777777">
            <w:pPr>
              <w:pStyle w:val="ListParagraph"/>
              <w:rPr>
                <w:rFonts w:cstheme="minorHAnsi"/>
              </w:rPr>
            </w:pPr>
          </w:p>
          <w:p w:rsidR="00812C2B" w:rsidRPr="00D27A61" w:rsidP="00812C2B" w14:paraId="68CA7C36" w14:textId="7D91DA65">
            <w:pPr>
              <w:pStyle w:val="ListParagraph"/>
              <w:numPr>
                <w:ilvl w:val="0"/>
                <w:numId w:val="22"/>
              </w:numPr>
              <w:rPr>
                <w:rFonts w:cstheme="minorHAnsi"/>
              </w:rPr>
            </w:pPr>
            <w:r w:rsidRPr="007A52E9">
              <w:rPr>
                <w:rFonts w:cstheme="minorHAnsi"/>
              </w:rPr>
              <w:t>more likely to respond than isolated individuals.</w:t>
            </w:r>
          </w:p>
        </w:tc>
      </w:tr>
      <w:tr w14:paraId="69FB38A4" w14:textId="77777777" w:rsidTr="00812C2B">
        <w:tblPrEx>
          <w:tblW w:w="10890" w:type="dxa"/>
          <w:tblLook w:val="04A0"/>
        </w:tblPrEx>
        <w:tc>
          <w:tcPr>
            <w:tcW w:w="3192" w:type="dxa"/>
          </w:tcPr>
          <w:p w:rsidR="00812C2B" w:rsidRPr="000642D9" w:rsidP="00812C2B" w14:paraId="0F1852E8" w14:textId="098E2D89">
            <w:pPr>
              <w:rPr>
                <w:rFonts w:cstheme="minorHAnsi"/>
                <w:b/>
              </w:rPr>
            </w:pPr>
            <w:r w:rsidRPr="00960CF3">
              <w:rPr>
                <w:rFonts w:cstheme="minorHAnsi"/>
                <w:b/>
                <w:bCs/>
              </w:rPr>
              <w:t>American Time Use Survey Nonresponse Bias Analysis</w:t>
            </w:r>
            <w:r>
              <w:rPr>
                <w:rFonts w:cstheme="minorHAnsi"/>
              </w:rPr>
              <w:t xml:space="preserve"> Morgan Earp and Jennifer Edgar (2016) </w:t>
            </w:r>
          </w:p>
        </w:tc>
        <w:tc>
          <w:tcPr>
            <w:tcW w:w="3192" w:type="dxa"/>
          </w:tcPr>
          <w:p w:rsidR="00812C2B" w:rsidP="00812C2B" w14:paraId="70631F71" w14:textId="77777777">
            <w:pPr>
              <w:pStyle w:val="ListParagraph"/>
              <w:numPr>
                <w:ilvl w:val="0"/>
                <w:numId w:val="23"/>
              </w:numPr>
            </w:pPr>
            <w:r>
              <w:t>Compared the characteristics of ATUS respondents and nonrespondents using a regression tree model using demographic variables from the CPS</w:t>
            </w:r>
          </w:p>
          <w:p w:rsidR="00812C2B" w:rsidRPr="007A52E9" w:rsidP="00812C2B" w14:paraId="33315371" w14:textId="25BA3554">
            <w:pPr>
              <w:pStyle w:val="ListParagraph"/>
              <w:numPr>
                <w:ilvl w:val="0"/>
                <w:numId w:val="22"/>
              </w:numPr>
              <w:autoSpaceDE w:val="0"/>
              <w:autoSpaceDN w:val="0"/>
              <w:adjustRightInd w:val="0"/>
              <w:rPr>
                <w:rFonts w:cstheme="minorHAnsi"/>
              </w:rPr>
            </w:pPr>
            <w:r>
              <w:t>Examines</w:t>
            </w:r>
            <w:r w:rsidRPr="00A96816">
              <w:t xml:space="preserve"> </w:t>
            </w:r>
            <w:r>
              <w:t xml:space="preserve">the </w:t>
            </w:r>
            <w:r w:rsidRPr="00A96816">
              <w:t xml:space="preserve">relationship </w:t>
            </w:r>
            <w:r>
              <w:t xml:space="preserve">between these characteristics and </w:t>
            </w:r>
            <w:r w:rsidRPr="00A96816">
              <w:t>employment status</w:t>
            </w:r>
            <w:r>
              <w:t xml:space="preserve"> (from the CPS), since employment status is expected to be related to time use to assess potential for nonresponse bias</w:t>
            </w:r>
          </w:p>
        </w:tc>
        <w:tc>
          <w:tcPr>
            <w:tcW w:w="4506" w:type="dxa"/>
          </w:tcPr>
          <w:p w:rsidR="00812C2B" w:rsidP="00812C2B" w14:paraId="58E5F46D" w14:textId="77777777">
            <w:pPr>
              <w:rPr>
                <w:rFonts w:cstheme="minorHAnsi"/>
              </w:rPr>
            </w:pPr>
            <w:r>
              <w:rPr>
                <w:rFonts w:cstheme="minorHAnsi"/>
              </w:rPr>
              <w:t xml:space="preserve">Findings: </w:t>
            </w:r>
          </w:p>
          <w:p w:rsidR="00812C2B" w:rsidRPr="007A52E9" w:rsidP="00812C2B" w14:paraId="2061FB87" w14:textId="08DED756">
            <w:pPr>
              <w:pStyle w:val="ListParagraph"/>
              <w:rPr>
                <w:rFonts w:cstheme="minorHAnsi"/>
              </w:rPr>
            </w:pPr>
            <w:r w:rsidRPr="0092717B">
              <w:rPr>
                <w:rFonts w:cstheme="minorHAnsi"/>
              </w:rPr>
              <w:t xml:space="preserve">No significant differences in employment rate were found between ATUS respondents and nonrespondents in the overall sample or within the eight varying response propensity groups, indicating that ATUS estimates correlated with CPS employment status also may not exhibit nonresponse bias.   </w:t>
            </w:r>
          </w:p>
        </w:tc>
      </w:tr>
      <w:tr w14:paraId="47528614" w14:textId="77777777" w:rsidTr="00812C2B">
        <w:tblPrEx>
          <w:tblW w:w="10890" w:type="dxa"/>
          <w:tblLook w:val="04A0"/>
        </w:tblPrEx>
        <w:tc>
          <w:tcPr>
            <w:tcW w:w="3192" w:type="dxa"/>
          </w:tcPr>
          <w:p w:rsidR="00812C2B" w:rsidP="00812C2B" w14:paraId="25BFC221" w14:textId="77777777">
            <w:pPr>
              <w:rPr>
                <w:rFonts w:eastAsia="Times New Roman"/>
              </w:rPr>
            </w:pPr>
            <w:r w:rsidRPr="00960CF3">
              <w:rPr>
                <w:rFonts w:eastAsia="Times New Roman"/>
                <w:b/>
                <w:bCs/>
              </w:rPr>
              <w:t>Comparison of weighting procedures in the presence of unit nonresponse: a simulation study based on data from the American Time Use Survey</w:t>
            </w:r>
            <w:r>
              <w:rPr>
                <w:rFonts w:eastAsia="Times New Roman"/>
              </w:rPr>
              <w:t xml:space="preserve"> (HTML)</w:t>
            </w:r>
          </w:p>
          <w:p w:rsidR="00812C2B" w:rsidP="00812C2B" w14:paraId="48872755" w14:textId="77777777">
            <w:pPr>
              <w:rPr>
                <w:rFonts w:eastAsia="Times New Roman"/>
              </w:rPr>
            </w:pPr>
            <w:r>
              <w:rPr>
                <w:rFonts w:eastAsia="Times New Roman"/>
              </w:rPr>
              <w:t xml:space="preserve">Morgan Earp </w:t>
            </w:r>
            <w:r>
              <w:rPr>
                <w:rFonts w:eastAsia="Times New Roman"/>
              </w:rPr>
              <w:t>and  David</w:t>
            </w:r>
            <w:r>
              <w:rPr>
                <w:rFonts w:eastAsia="Times New Roman"/>
              </w:rPr>
              <w:t xml:space="preserve"> </w:t>
            </w:r>
            <w:r>
              <w:rPr>
                <w:rFonts w:eastAsia="Times New Roman"/>
              </w:rPr>
              <w:t>Haziza</w:t>
            </w:r>
            <w:r>
              <w:rPr>
                <w:rFonts w:eastAsia="Times New Roman"/>
              </w:rPr>
              <w:t xml:space="preserve">. </w:t>
            </w:r>
            <w:r w:rsidRPr="00957A41">
              <w:rPr>
                <w:rFonts w:cs="Tahoma"/>
              </w:rPr>
              <w:t xml:space="preserve"> </w:t>
            </w:r>
            <w:r w:rsidRPr="00957A41">
              <w:rPr>
                <w:rFonts w:cs="Tahoma"/>
              </w:rPr>
              <w:t>U.S. Bureau of Labor Statistics. Statistical Survey Paper.</w:t>
            </w:r>
            <w:r>
              <w:rPr>
                <w:rFonts w:cs="Tahoma"/>
              </w:rPr>
              <w:t xml:space="preserve"> </w:t>
            </w:r>
            <w:r>
              <w:rPr>
                <w:rFonts w:cstheme="minorHAnsi"/>
              </w:rPr>
              <w:t>201</w:t>
            </w:r>
            <w:r>
              <w:rPr>
                <w:rFonts w:cstheme="minorHAnsi"/>
              </w:rPr>
              <w:t>9</w:t>
            </w:r>
            <w:r>
              <w:rPr>
                <w:rFonts w:cstheme="minorHAnsi"/>
              </w:rPr>
              <w:t>.</w:t>
            </w:r>
          </w:p>
          <w:p w:rsidR="00812C2B" w:rsidP="00812C2B" w14:paraId="65B8DA2C" w14:textId="67F7BAA2">
            <w:pPr>
              <w:rPr>
                <w:rFonts w:cstheme="minorHAnsi"/>
              </w:rPr>
            </w:pPr>
          </w:p>
        </w:tc>
        <w:tc>
          <w:tcPr>
            <w:tcW w:w="3192" w:type="dxa"/>
          </w:tcPr>
          <w:p w:rsidR="00812C2B" w:rsidP="00812C2B" w14:paraId="51AD2099" w14:textId="11D18AD5">
            <w:pPr>
              <w:pStyle w:val="ListParagraph"/>
              <w:numPr>
                <w:ilvl w:val="0"/>
                <w:numId w:val="23"/>
              </w:numPr>
            </w:pPr>
            <w:r>
              <w:rPr>
                <w:rFonts w:eastAsia="Times New Roman"/>
              </w:rPr>
              <w:t>Uses ATUS data to c</w:t>
            </w:r>
            <w:r w:rsidRPr="00A37FCB">
              <w:rPr>
                <w:rFonts w:eastAsia="Times New Roman"/>
              </w:rPr>
              <w:t xml:space="preserve">ompares two weighting procedures in terms </w:t>
            </w:r>
            <w:r>
              <w:rPr>
                <w:rFonts w:eastAsia="Times New Roman"/>
              </w:rPr>
              <w:t xml:space="preserve">of </w:t>
            </w:r>
            <w:r w:rsidRPr="00A37FCB">
              <w:rPr>
                <w:rFonts w:eastAsia="Times New Roman"/>
              </w:rPr>
              <w:t xml:space="preserve">bias and efficiency using a simulation study </w:t>
            </w:r>
          </w:p>
        </w:tc>
        <w:tc>
          <w:tcPr>
            <w:tcW w:w="4506" w:type="dxa"/>
          </w:tcPr>
          <w:p w:rsidR="00812C2B" w:rsidP="00812C2B" w14:paraId="3EA63598" w14:textId="77777777">
            <w:pPr>
              <w:rPr>
                <w:rFonts w:cstheme="minorHAnsi"/>
              </w:rPr>
            </w:pPr>
            <w:r>
              <w:rPr>
                <w:rFonts w:cstheme="minorHAnsi"/>
              </w:rPr>
              <w:t>Findings:</w:t>
            </w:r>
          </w:p>
          <w:p w:rsidR="00812C2B" w:rsidRPr="00960CF3" w:rsidP="00812C2B" w14:paraId="0962EB5A" w14:textId="77777777">
            <w:pPr>
              <w:pStyle w:val="ListParagraph"/>
              <w:numPr>
                <w:ilvl w:val="0"/>
                <w:numId w:val="23"/>
              </w:numPr>
              <w:rPr>
                <w:rFonts w:cstheme="minorHAnsi"/>
              </w:rPr>
            </w:pPr>
            <w:r>
              <w:t xml:space="preserve">Regression tree weights tended to result in less bias than logistic regression, class, or ATUS weights, however they also tended to have higher variance both in terms of the weights themselves, and in terms of the estimates with respect to mean square error values. </w:t>
            </w:r>
          </w:p>
          <w:p w:rsidR="00812C2B" w:rsidRPr="00960CF3" w:rsidP="00812C2B" w14:paraId="32EB9B16" w14:textId="77777777">
            <w:pPr>
              <w:pStyle w:val="ListParagraph"/>
              <w:numPr>
                <w:ilvl w:val="0"/>
                <w:numId w:val="23"/>
              </w:numPr>
              <w:rPr>
                <w:rFonts w:cstheme="minorHAnsi"/>
              </w:rPr>
            </w:pPr>
            <w:r>
              <w:t xml:space="preserve">Depending on how nonresponse is simulated, trees may perform worse overall </w:t>
            </w:r>
            <w:r>
              <w:t>with regard to</w:t>
            </w:r>
            <w:r>
              <w:t xml:space="preserve"> mean square error or it may vary based on the estimate. </w:t>
            </w:r>
          </w:p>
          <w:p w:rsidR="00812C2B" w:rsidRPr="00D62D0F" w:rsidP="00812C2B" w14:paraId="1A8A5102" w14:textId="13A96819">
            <w:pPr>
              <w:pStyle w:val="ListParagraph"/>
              <w:numPr>
                <w:ilvl w:val="0"/>
                <w:numId w:val="24"/>
              </w:numPr>
              <w:rPr>
                <w:rFonts w:cstheme="minorHAnsi"/>
              </w:rPr>
            </w:pPr>
            <w:r>
              <w:t xml:space="preserve">Given that ATUS is used to produce trend estimates of how Americans spend their time, very careful consideration would have to be given to changing the weighting method used </w:t>
            </w:r>
            <w:r>
              <w:t>to adjust for nonresponse, since it would require reweighting previous datasets or making a break in the time series.</w:t>
            </w:r>
          </w:p>
        </w:tc>
      </w:tr>
      <w:tr w14:paraId="69BA7124" w14:textId="77777777" w:rsidTr="00812C2B">
        <w:tblPrEx>
          <w:tblW w:w="10890" w:type="dxa"/>
          <w:tblLook w:val="04A0"/>
        </w:tblPrEx>
        <w:tc>
          <w:tcPr>
            <w:tcW w:w="3192" w:type="dxa"/>
          </w:tcPr>
          <w:p w:rsidR="00812C2B" w:rsidP="00812C2B" w14:paraId="58EE00EF" w14:textId="77777777">
            <w:pPr>
              <w:rPr>
                <w:rFonts w:cstheme="minorHAnsi"/>
              </w:rPr>
            </w:pPr>
          </w:p>
        </w:tc>
        <w:tc>
          <w:tcPr>
            <w:tcW w:w="3192" w:type="dxa"/>
          </w:tcPr>
          <w:p w:rsidR="00812C2B" w:rsidP="00812C2B" w14:paraId="3DA6B0A8" w14:textId="0C96E6A5"/>
        </w:tc>
        <w:tc>
          <w:tcPr>
            <w:tcW w:w="4506" w:type="dxa"/>
          </w:tcPr>
          <w:p w:rsidR="00812C2B" w:rsidRPr="00812C2B" w:rsidP="00812C2B" w14:paraId="6687259A" w14:textId="498BA071">
            <w:pPr>
              <w:ind w:left="360"/>
              <w:rPr>
                <w:rFonts w:cstheme="minorHAnsi"/>
              </w:rPr>
            </w:pPr>
          </w:p>
        </w:tc>
      </w:tr>
    </w:tbl>
    <w:p w:rsidR="00885F64" w14:paraId="30935702" w14:textId="77777777"/>
    <w:sectPr w:rsidSect="00514657">
      <w:footerReference w:type="default" r:id="rId14"/>
      <w:pgSz w:w="12240" w:h="15840"/>
      <w:pgMar w:top="900" w:right="1440" w:bottom="1440"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7063"/>
      <w:docPartObj>
        <w:docPartGallery w:val="Page Numbers (Bottom of Page)"/>
        <w:docPartUnique/>
      </w:docPartObj>
    </w:sdtPr>
    <w:sdtContent>
      <w:p w:rsidR="00A83319" w14:paraId="1C8924C9" w14:textId="77777777">
        <w:pPr>
          <w:pStyle w:val="Footer"/>
          <w:jc w:val="right"/>
        </w:pPr>
        <w:r>
          <w:fldChar w:fldCharType="begin"/>
        </w:r>
        <w:r>
          <w:instrText xml:space="preserve"> PAGE   \* MERGEFORMAT </w:instrText>
        </w:r>
        <w:r>
          <w:fldChar w:fldCharType="separate"/>
        </w:r>
        <w:r w:rsidR="004C1E75">
          <w:rPr>
            <w:noProof/>
          </w:rPr>
          <w:t>6</w:t>
        </w:r>
        <w:r>
          <w:rPr>
            <w:noProof/>
          </w:rPr>
          <w:fldChar w:fldCharType="end"/>
        </w:r>
      </w:p>
    </w:sdtContent>
  </w:sdt>
  <w:p w:rsidR="00A83319" w14:paraId="5454F42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67375"/>
    <w:multiLevelType w:val="hybridMultilevel"/>
    <w:tmpl w:val="33D4D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5B72B6"/>
    <w:multiLevelType w:val="hybridMultilevel"/>
    <w:tmpl w:val="E642FD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363E1E"/>
    <w:multiLevelType w:val="hybridMultilevel"/>
    <w:tmpl w:val="1F5E98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083D12"/>
    <w:multiLevelType w:val="hybridMultilevel"/>
    <w:tmpl w:val="8FB6B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A803AB"/>
    <w:multiLevelType w:val="hybridMultilevel"/>
    <w:tmpl w:val="B4D87B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2719D2"/>
    <w:multiLevelType w:val="multilevel"/>
    <w:tmpl w:val="6DC2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3071D9"/>
    <w:multiLevelType w:val="hybridMultilevel"/>
    <w:tmpl w:val="C600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ED1D35"/>
    <w:multiLevelType w:val="hybridMultilevel"/>
    <w:tmpl w:val="50FC3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1916A29"/>
    <w:multiLevelType w:val="hybridMultilevel"/>
    <w:tmpl w:val="9C7008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426B13"/>
    <w:multiLevelType w:val="hybridMultilevel"/>
    <w:tmpl w:val="FC2E0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FC6657"/>
    <w:multiLevelType w:val="hybridMultilevel"/>
    <w:tmpl w:val="A454CF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396313D"/>
    <w:multiLevelType w:val="hybridMultilevel"/>
    <w:tmpl w:val="747883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8809D5"/>
    <w:multiLevelType w:val="hybridMultilevel"/>
    <w:tmpl w:val="E86889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7207FB6"/>
    <w:multiLevelType w:val="hybridMultilevel"/>
    <w:tmpl w:val="829E81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4B4E42"/>
    <w:multiLevelType w:val="hybridMultilevel"/>
    <w:tmpl w:val="DFFC70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337626"/>
    <w:multiLevelType w:val="hybridMultilevel"/>
    <w:tmpl w:val="DA3A75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5525E5"/>
    <w:multiLevelType w:val="hybridMultilevel"/>
    <w:tmpl w:val="E7A8ACF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7">
    <w:nsid w:val="4B00131D"/>
    <w:multiLevelType w:val="hybridMultilevel"/>
    <w:tmpl w:val="E280C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F4F5373"/>
    <w:multiLevelType w:val="hybridMultilevel"/>
    <w:tmpl w:val="403E1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242011B"/>
    <w:multiLevelType w:val="hybridMultilevel"/>
    <w:tmpl w:val="0BB6BF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E2D1BB2"/>
    <w:multiLevelType w:val="hybridMultilevel"/>
    <w:tmpl w:val="485EA5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F7A15CF"/>
    <w:multiLevelType w:val="hybridMultilevel"/>
    <w:tmpl w:val="A30EDD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14B5165"/>
    <w:multiLevelType w:val="hybridMultilevel"/>
    <w:tmpl w:val="71C409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FB5559D"/>
    <w:multiLevelType w:val="hybridMultilevel"/>
    <w:tmpl w:val="681C81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FE44429"/>
    <w:multiLevelType w:val="hybridMultilevel"/>
    <w:tmpl w:val="143CA4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03400C"/>
    <w:multiLevelType w:val="hybridMultilevel"/>
    <w:tmpl w:val="48D6C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8"/>
  </w:num>
  <w:num w:numId="4">
    <w:abstractNumId w:val="12"/>
  </w:num>
  <w:num w:numId="5">
    <w:abstractNumId w:val="3"/>
  </w:num>
  <w:num w:numId="6">
    <w:abstractNumId w:val="10"/>
  </w:num>
  <w:num w:numId="7">
    <w:abstractNumId w:val="13"/>
  </w:num>
  <w:num w:numId="8">
    <w:abstractNumId w:val="19"/>
  </w:num>
  <w:num w:numId="9">
    <w:abstractNumId w:val="23"/>
  </w:num>
  <w:num w:numId="10">
    <w:abstractNumId w:val="16"/>
  </w:num>
  <w:num w:numId="11">
    <w:abstractNumId w:val="11"/>
  </w:num>
  <w:num w:numId="12">
    <w:abstractNumId w:val="20"/>
  </w:num>
  <w:num w:numId="13">
    <w:abstractNumId w:val="6"/>
  </w:num>
  <w:num w:numId="14">
    <w:abstractNumId w:val="0"/>
  </w:num>
  <w:num w:numId="15">
    <w:abstractNumId w:val="14"/>
  </w:num>
  <w:num w:numId="16">
    <w:abstractNumId w:val="17"/>
  </w:num>
  <w:num w:numId="17">
    <w:abstractNumId w:val="18"/>
  </w:num>
  <w:num w:numId="18">
    <w:abstractNumId w:val="7"/>
  </w:num>
  <w:num w:numId="19">
    <w:abstractNumId w:val="15"/>
  </w:num>
  <w:num w:numId="20">
    <w:abstractNumId w:val="1"/>
  </w:num>
  <w:num w:numId="21">
    <w:abstractNumId w:val="24"/>
  </w:num>
  <w:num w:numId="22">
    <w:abstractNumId w:val="25"/>
  </w:num>
  <w:num w:numId="23">
    <w:abstractNumId w:val="4"/>
  </w:num>
  <w:num w:numId="24">
    <w:abstractNumId w:val="2"/>
  </w:num>
  <w:num w:numId="25">
    <w:abstractNumId w:val="2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EC"/>
    <w:rsid w:val="0004421F"/>
    <w:rsid w:val="00047D99"/>
    <w:rsid w:val="000642D9"/>
    <w:rsid w:val="000D44C7"/>
    <w:rsid w:val="000E776F"/>
    <w:rsid w:val="000E7937"/>
    <w:rsid w:val="001546E6"/>
    <w:rsid w:val="00190E0B"/>
    <w:rsid w:val="00196FE3"/>
    <w:rsid w:val="001F51FE"/>
    <w:rsid w:val="0020068B"/>
    <w:rsid w:val="00233DBB"/>
    <w:rsid w:val="0023419F"/>
    <w:rsid w:val="00236B95"/>
    <w:rsid w:val="00254BD6"/>
    <w:rsid w:val="0026061C"/>
    <w:rsid w:val="0026342F"/>
    <w:rsid w:val="0027202B"/>
    <w:rsid w:val="002F256A"/>
    <w:rsid w:val="00327096"/>
    <w:rsid w:val="003608E3"/>
    <w:rsid w:val="00383E44"/>
    <w:rsid w:val="003C3DFD"/>
    <w:rsid w:val="004071C0"/>
    <w:rsid w:val="004471EE"/>
    <w:rsid w:val="004755C4"/>
    <w:rsid w:val="004842B0"/>
    <w:rsid w:val="004C1E75"/>
    <w:rsid w:val="004C4835"/>
    <w:rsid w:val="004C59E1"/>
    <w:rsid w:val="004F2A34"/>
    <w:rsid w:val="00504D05"/>
    <w:rsid w:val="00514657"/>
    <w:rsid w:val="005445FE"/>
    <w:rsid w:val="005B7228"/>
    <w:rsid w:val="00686265"/>
    <w:rsid w:val="006E2D58"/>
    <w:rsid w:val="006F6A53"/>
    <w:rsid w:val="0071785A"/>
    <w:rsid w:val="007260C2"/>
    <w:rsid w:val="00790310"/>
    <w:rsid w:val="007A52E9"/>
    <w:rsid w:val="007F607A"/>
    <w:rsid w:val="0080070B"/>
    <w:rsid w:val="0080213A"/>
    <w:rsid w:val="00812C2B"/>
    <w:rsid w:val="00821AA8"/>
    <w:rsid w:val="00821F3B"/>
    <w:rsid w:val="00875851"/>
    <w:rsid w:val="00885F64"/>
    <w:rsid w:val="008C33B3"/>
    <w:rsid w:val="0092717B"/>
    <w:rsid w:val="009511BC"/>
    <w:rsid w:val="00957A41"/>
    <w:rsid w:val="00960CF3"/>
    <w:rsid w:val="009616F7"/>
    <w:rsid w:val="009B721D"/>
    <w:rsid w:val="009E1D8C"/>
    <w:rsid w:val="009E734D"/>
    <w:rsid w:val="00A02D3D"/>
    <w:rsid w:val="00A16DAD"/>
    <w:rsid w:val="00A25EA2"/>
    <w:rsid w:val="00A37FCB"/>
    <w:rsid w:val="00A628A8"/>
    <w:rsid w:val="00A62F02"/>
    <w:rsid w:val="00A83319"/>
    <w:rsid w:val="00A96816"/>
    <w:rsid w:val="00AB7574"/>
    <w:rsid w:val="00AD25DD"/>
    <w:rsid w:val="00AD3AD1"/>
    <w:rsid w:val="00B05FA6"/>
    <w:rsid w:val="00B62ECF"/>
    <w:rsid w:val="00B661AB"/>
    <w:rsid w:val="00B95BE0"/>
    <w:rsid w:val="00BB1FAA"/>
    <w:rsid w:val="00C11CBF"/>
    <w:rsid w:val="00C440B0"/>
    <w:rsid w:val="00CF38C6"/>
    <w:rsid w:val="00D27A61"/>
    <w:rsid w:val="00D27E4E"/>
    <w:rsid w:val="00D62D0F"/>
    <w:rsid w:val="00DE5D3C"/>
    <w:rsid w:val="00E01CCE"/>
    <w:rsid w:val="00E26EEC"/>
    <w:rsid w:val="00E72780"/>
    <w:rsid w:val="00EE5DE9"/>
    <w:rsid w:val="00EF415A"/>
    <w:rsid w:val="00F22397"/>
    <w:rsid w:val="00F81A14"/>
    <w:rsid w:val="00FC039B"/>
    <w:rsid w:val="00FF3A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1AB28A"/>
  <w15:docId w15:val="{76C09562-6AFE-40BB-BCD9-BB0967FE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F6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26EEC"/>
    <w:rPr>
      <w:rFonts w:ascii="Times New Roman" w:hAnsi="Times New Roman" w:cs="Times New Roman" w:hint="default"/>
      <w:b/>
      <w:bCs/>
    </w:rPr>
  </w:style>
  <w:style w:type="paragraph" w:styleId="ListParagraph">
    <w:name w:val="List Paragraph"/>
    <w:basedOn w:val="Normal"/>
    <w:uiPriority w:val="34"/>
    <w:qFormat/>
    <w:rsid w:val="00E26EEC"/>
    <w:pPr>
      <w:ind w:left="720"/>
      <w:contextualSpacing/>
    </w:pPr>
  </w:style>
  <w:style w:type="character" w:styleId="Hyperlink">
    <w:name w:val="Hyperlink"/>
    <w:basedOn w:val="DefaultParagraphFont"/>
    <w:uiPriority w:val="99"/>
    <w:unhideWhenUsed/>
    <w:rsid w:val="00FC039B"/>
    <w:rPr>
      <w:color w:val="0000FF" w:themeColor="hyperlink"/>
      <w:u w:val="single"/>
    </w:rPr>
  </w:style>
  <w:style w:type="paragraph" w:styleId="Header">
    <w:name w:val="header"/>
    <w:basedOn w:val="Normal"/>
    <w:link w:val="HeaderChar"/>
    <w:uiPriority w:val="99"/>
    <w:semiHidden/>
    <w:unhideWhenUsed/>
    <w:rsid w:val="005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4657"/>
  </w:style>
  <w:style w:type="paragraph" w:styleId="Footer">
    <w:name w:val="footer"/>
    <w:basedOn w:val="Normal"/>
    <w:link w:val="FooterChar"/>
    <w:uiPriority w:val="99"/>
    <w:unhideWhenUsed/>
    <w:rsid w:val="00514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657"/>
  </w:style>
  <w:style w:type="paragraph" w:styleId="Revision">
    <w:name w:val="Revision"/>
    <w:hidden/>
    <w:uiPriority w:val="99"/>
    <w:semiHidden/>
    <w:rsid w:val="009E734D"/>
    <w:pPr>
      <w:spacing w:after="0" w:line="240" w:lineRule="auto"/>
    </w:pPr>
  </w:style>
  <w:style w:type="paragraph" w:styleId="BalloonText">
    <w:name w:val="Balloon Text"/>
    <w:basedOn w:val="Normal"/>
    <w:link w:val="BalloonTextChar"/>
    <w:uiPriority w:val="99"/>
    <w:semiHidden/>
    <w:unhideWhenUsed/>
    <w:rsid w:val="009E7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34D"/>
    <w:rPr>
      <w:rFonts w:ascii="Tahoma" w:hAnsi="Tahoma" w:cs="Tahoma"/>
      <w:sz w:val="16"/>
      <w:szCs w:val="16"/>
    </w:rPr>
  </w:style>
  <w:style w:type="character" w:styleId="FollowedHyperlink">
    <w:name w:val="FollowedHyperlink"/>
    <w:basedOn w:val="DefaultParagraphFont"/>
    <w:uiPriority w:val="99"/>
    <w:semiHidden/>
    <w:unhideWhenUsed/>
    <w:rsid w:val="00C11CBF"/>
    <w:rPr>
      <w:color w:val="800080" w:themeColor="followedHyperlink"/>
      <w:u w:val="single"/>
    </w:rPr>
  </w:style>
  <w:style w:type="character" w:styleId="UnresolvedMention">
    <w:name w:val="Unresolved Mention"/>
    <w:basedOn w:val="DefaultParagraphFont"/>
    <w:uiPriority w:val="99"/>
    <w:semiHidden/>
    <w:unhideWhenUsed/>
    <w:rsid w:val="00484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jstor.org/stable/40985411?seq=1" TargetMode="External" /><Relationship Id="rId11" Type="http://schemas.openxmlformats.org/officeDocument/2006/relationships/hyperlink" Target="https://nces.ed.gov/FCSM/pdf/Dixon_2012FCSM_X-C.pdf" TargetMode="External" /><Relationship Id="rId12" Type="http://schemas.openxmlformats.org/officeDocument/2006/relationships/hyperlink" Target="https://www.bls.gov/osmr/research-papers/2012/pdf/st120100.pdf" TargetMode="External" /><Relationship Id="rId13" Type="http://schemas.openxmlformats.org/officeDocument/2006/relationships/hyperlink" Target="https://drum.lib.umd.edu/handle/1903/17305"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smr/research-papers/2004/st040140.htm" TargetMode="External" /><Relationship Id="rId6" Type="http://schemas.openxmlformats.org/officeDocument/2006/relationships/hyperlink" Target="https://www.jstor.org/stable/4124221?seq=1" TargetMode="External" /><Relationship Id="rId7" Type="http://schemas.openxmlformats.org/officeDocument/2006/relationships/hyperlink" Target="http://www.asasrms.org/Proceedings/y2005/files/JSM2005-000193.pdf" TargetMode="External" /><Relationship Id="rId8" Type="http://schemas.openxmlformats.org/officeDocument/2006/relationships/hyperlink" Target="https://www.bls.gov/osmr/research-papers/2006/st060270.htm" TargetMode="External" /><Relationship Id="rId9" Type="http://schemas.openxmlformats.org/officeDocument/2006/relationships/hyperlink" Target="https://www.journals.uchicago.edu/doi/10.1086/59594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FFCD5-B9F9-4D43-8471-28CAB168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denton_s</dc:creator>
  <cp:lastModifiedBy>Denton, Stephanie - BLS</cp:lastModifiedBy>
  <cp:revision>5</cp:revision>
  <cp:lastPrinted>2013-05-16T17:35:00Z</cp:lastPrinted>
  <dcterms:created xsi:type="dcterms:W3CDTF">2022-03-28T15:53:00Z</dcterms:created>
  <dcterms:modified xsi:type="dcterms:W3CDTF">2022-03-28T16:24:00Z</dcterms:modified>
</cp:coreProperties>
</file>