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B03" w14:paraId="0605A128" w14:textId="77777777"/>
    <w:p w:rsidR="00970B03" w14:paraId="3B74AFE7" w14:textId="77777777"/>
    <w:p w:rsidR="00970B03" w14:paraId="6CD6DB27" w14:textId="77777777"/>
    <w:p w:rsidR="00970B03" w:rsidRPr="00970B03" w:rsidP="00970B03" w14:paraId="3592A2C6" w14:textId="402D503E">
      <w:pPr>
        <w:jc w:val="center"/>
        <w:rPr>
          <w:b/>
          <w:bCs/>
          <w:sz w:val="28"/>
          <w:szCs w:val="28"/>
        </w:rPr>
      </w:pPr>
      <w:r>
        <w:rPr>
          <w:b/>
          <w:bCs/>
          <w:sz w:val="28"/>
          <w:szCs w:val="28"/>
        </w:rPr>
        <w:t>Evaluation of an Experiment Testing</w:t>
      </w:r>
      <w:r w:rsidRPr="00970B03">
        <w:rPr>
          <w:b/>
          <w:bCs/>
          <w:sz w:val="28"/>
          <w:szCs w:val="28"/>
        </w:rPr>
        <w:t xml:space="preserve"> the Use of Prepaid Monetary Incentives in the American Time Use Survey</w:t>
      </w:r>
    </w:p>
    <w:p w:rsidR="00970B03" w:rsidP="00970B03" w14:paraId="3D7942AF" w14:textId="7F40BFA5">
      <w:pPr>
        <w:jc w:val="center"/>
      </w:pPr>
      <w:r>
        <w:t xml:space="preserve">November </w:t>
      </w:r>
      <w:r>
        <w:t>2022</w:t>
      </w:r>
    </w:p>
    <w:p w:rsidR="00387088" w:rsidP="00970B03" w14:paraId="6218F6D2" w14:textId="77777777">
      <w:pPr>
        <w:jc w:val="center"/>
      </w:pPr>
    </w:p>
    <w:p w:rsidR="00970B03" w:rsidP="00387088" w14:paraId="7A326D6F" w14:textId="7476018D">
      <w:pPr>
        <w:spacing w:after="120"/>
        <w:jc w:val="center"/>
      </w:pPr>
      <w:r>
        <w:t>Douglas Williams</w:t>
      </w:r>
    </w:p>
    <w:p w:rsidR="00387088" w:rsidP="00387088" w14:paraId="6E267069" w14:textId="79289F43">
      <w:pPr>
        <w:jc w:val="center"/>
      </w:pPr>
      <w:r>
        <w:t>Robin Kaplan</w:t>
      </w:r>
    </w:p>
    <w:p w:rsidR="00387088" w:rsidP="00387088" w14:paraId="2672D590" w14:textId="6D79A5B9">
      <w:pPr>
        <w:jc w:val="center"/>
      </w:pPr>
      <w:r>
        <w:t>Office of Survey Methods Research</w:t>
      </w:r>
    </w:p>
    <w:p w:rsidR="004E1C5B" w14:paraId="5D66B24A" w14:textId="3FFF048E"/>
    <w:p w:rsidR="00A53868" w14:paraId="355E9C05" w14:textId="77777777"/>
    <w:p w:rsidR="00A53868" w14:paraId="2C54D0A5" w14:textId="77777777">
      <w:pPr>
        <w:sectPr w:rsidSect="00A53868">
          <w:footerReference w:type="default" r:id="rId6"/>
          <w:pgSz w:w="12240" w:h="15840"/>
          <w:pgMar w:top="1440" w:right="1440" w:bottom="1440" w:left="1440" w:header="720" w:footer="720" w:gutter="0"/>
          <w:cols w:space="720"/>
          <w:titlePg/>
          <w:docGrid w:linePitch="360"/>
        </w:sectPr>
      </w:pPr>
    </w:p>
    <w:p w:rsidR="0087281E" w14:paraId="4317F7D8" w14:textId="77777777">
      <w:pPr>
        <w:rPr>
          <w:b/>
          <w:bCs/>
          <w:sz w:val="24"/>
          <w:szCs w:val="24"/>
        </w:rPr>
      </w:pPr>
      <w:r>
        <w:rPr>
          <w:b/>
          <w:bCs/>
          <w:sz w:val="24"/>
          <w:szCs w:val="24"/>
        </w:rPr>
        <w:t>Executive Summary</w:t>
      </w:r>
    </w:p>
    <w:p w:rsidR="0087281E" w14:paraId="27B75995" w14:textId="03941231">
      <w:r>
        <w:t xml:space="preserve">Since 2003, the American Time Use Survey (ATUS) has produced a valuable time series on how Americans spend their time, being the only federal survey to provide information on unpaid, nonmarket work. Since its inception, ATUS has used a promised incentive, in the form of </w:t>
      </w:r>
      <w:r w:rsidR="003547BA">
        <w:t>debit</w:t>
      </w:r>
      <w:r w:rsidR="003547BA">
        <w:t xml:space="preserve"> </w:t>
      </w:r>
      <w:r>
        <w:t xml:space="preserve">cards, to encourage households for which a telephone number is not available </w:t>
      </w:r>
      <w:r w:rsidR="00523856">
        <w:t>(</w:t>
      </w:r>
      <w:r w:rsidRPr="00B26C1A" w:rsidR="00523856">
        <w:rPr>
          <w:i/>
          <w:iCs/>
        </w:rPr>
        <w:t>regular incentive</w:t>
      </w:r>
      <w:r w:rsidR="00523856">
        <w:t xml:space="preserve"> cases) </w:t>
      </w:r>
      <w:r>
        <w:t>to call</w:t>
      </w:r>
      <w:r w:rsidR="00B26C1A">
        <w:t xml:space="preserve"> </w:t>
      </w:r>
      <w:r w:rsidR="00523856">
        <w:t>in</w:t>
      </w:r>
      <w:r>
        <w:t xml:space="preserve"> and participate in the ATUS. Due to the substantial costs associated with managing, monitoring, and administering physical </w:t>
      </w:r>
      <w:r w:rsidR="003547BA">
        <w:t>debit</w:t>
      </w:r>
      <w:r>
        <w:t xml:space="preserve"> cards, the ATUS program investigated the use of alternative, prepaid cash incentives.</w:t>
      </w:r>
    </w:p>
    <w:p w:rsidR="00095AAB" w14:paraId="085A2C06" w14:textId="58F7ED77">
      <w:r>
        <w:t>The prepaid incentive experiment tested three conditions, including $5 and $10 versus no incentive.</w:t>
      </w:r>
      <w:r w:rsidR="00C45452">
        <w:t xml:space="preserve"> This experiment was in place of the use of $40 </w:t>
      </w:r>
      <w:r w:rsidR="003547BA">
        <w:t>debit</w:t>
      </w:r>
      <w:r w:rsidR="00C45452">
        <w:t xml:space="preserve"> cards. Given the potential cost savings with the prepaid incentives, the experiment was expanded to include cases with the largest decreases in response, which included sampled persons (designated persons or DPs) age 15 to 24</w:t>
      </w:r>
      <w:r w:rsidR="00B26C1A">
        <w:t xml:space="preserve"> (</w:t>
      </w:r>
      <w:r w:rsidRPr="00B26C1A" w:rsidR="00B26C1A">
        <w:rPr>
          <w:i/>
          <w:iCs/>
        </w:rPr>
        <w:t>hard to reach</w:t>
      </w:r>
      <w:r w:rsidR="00B26C1A">
        <w:t xml:space="preserve"> cases)</w:t>
      </w:r>
      <w:r w:rsidR="00C45452">
        <w:t xml:space="preserve">. The experiment was conducted from December </w:t>
      </w:r>
      <w:r w:rsidR="00A83A7E">
        <w:t xml:space="preserve">2019 </w:t>
      </w:r>
      <w:r w:rsidR="00C45452">
        <w:t>through September 2021. The data collection period had been extended from the original end date of September 2020 due to disruptions from the COVID-19 pandemic.</w:t>
      </w:r>
    </w:p>
    <w:p w:rsidR="00C45452" w14:paraId="6DDB1C26" w14:textId="4216BF98">
      <w:r>
        <w:t>Analyses were conducted to evaluate the effectiveness of each prepaid incenti</w:t>
      </w:r>
      <w:r w:rsidR="004D2452">
        <w:t>ve amount</w:t>
      </w:r>
      <w:r w:rsidR="00975ECD">
        <w:t xml:space="preserve"> on response, respondent compositions, and key measures. Comparisons are also made to response with the use of </w:t>
      </w:r>
      <w:r w:rsidR="00B26C1A">
        <w:t xml:space="preserve">a </w:t>
      </w:r>
      <w:r w:rsidR="00975ECD">
        <w:t xml:space="preserve">$40 </w:t>
      </w:r>
      <w:r w:rsidR="003547BA">
        <w:t>debit</w:t>
      </w:r>
      <w:r w:rsidR="00975ECD">
        <w:t xml:space="preserve"> card for previous years to assess whether prepaid incentives result in equivalent levels of response.</w:t>
      </w:r>
    </w:p>
    <w:p w:rsidR="00975ECD" w14:paraId="18BD37FC" w14:textId="0268652E">
      <w:r>
        <w:rPr>
          <w:b/>
          <w:bCs/>
        </w:rPr>
        <w:t xml:space="preserve">Response: </w:t>
      </w:r>
      <w:r>
        <w:t>Both the $5 and $10 incentive conditions had positive effects on response for both regular incentive and hard to reach cases. Only the $10 condition yielded response that was significantly greater than the no incentive condition. The percentage point increase in response was greater for regular incentive cases than hard to reach cases</w:t>
      </w:r>
      <w:r w:rsidR="00041685">
        <w:t xml:space="preserve"> as response was initially lower for regular incentive cases</w:t>
      </w:r>
      <w:r>
        <w:t>. Increases in response for hard to reach cases was driven by increases for DPs age 15 to 19.</w:t>
      </w:r>
      <w:r w:rsidR="007D6BC2">
        <w:t xml:space="preserve"> While the $10 prepaid incentive yielded significantly higher response, when compared to response from prior years using </w:t>
      </w:r>
      <w:r w:rsidR="003547BA">
        <w:t>debit</w:t>
      </w:r>
      <w:r w:rsidR="007D6BC2">
        <w:t xml:space="preserve"> cards and adjusting for expected declines in response, the $10 prepaid incentive is expected to be about 6 to 7 percentage points lower tha</w:t>
      </w:r>
      <w:r w:rsidR="00523856">
        <w:t>n</w:t>
      </w:r>
      <w:r w:rsidR="007D6BC2">
        <w:t xml:space="preserve"> what would be expected with a promised $40 </w:t>
      </w:r>
      <w:r w:rsidR="003547BA">
        <w:t>debit</w:t>
      </w:r>
      <w:r w:rsidR="007D6BC2">
        <w:t xml:space="preserve"> card.</w:t>
      </w:r>
    </w:p>
    <w:p w:rsidR="00B26C1A" w:rsidRPr="00B26C1A" w14:paraId="6EC5CC34" w14:textId="1959F94E">
      <w:r w:rsidRPr="00041685">
        <w:rPr>
          <w:b/>
          <w:bCs/>
        </w:rPr>
        <w:t>Respondent Compositions:</w:t>
      </w:r>
      <w:r>
        <w:t xml:space="preserve"> </w:t>
      </w:r>
      <w:r w:rsidR="00632EC3">
        <w:t>T</w:t>
      </w:r>
      <w:r w:rsidR="00041685">
        <w:t xml:space="preserve">he significantly higher response for the $10 incentive condition yielded differences in respondent compositions, suggesting the incentive brings in different types of respondents from those that </w:t>
      </w:r>
      <w:r w:rsidR="001E50CD">
        <w:t xml:space="preserve">responded </w:t>
      </w:r>
      <w:r w:rsidR="00041685">
        <w:t>without an incentive. The regular incentive group saw increases in younger DPs, those that are Black or African American, and those with lower socioeconomic status. For the hard to reach group, there were fewer changes in respondent compositions, with small increases in those with some college or income between $25 thousand and $50 thousand.</w:t>
      </w:r>
    </w:p>
    <w:p w:rsidR="00975ECD" w14:paraId="553026EF" w14:textId="551399D7">
      <w:r w:rsidRPr="007D6BC2">
        <w:rPr>
          <w:b/>
          <w:bCs/>
        </w:rPr>
        <w:t>Key Measures:</w:t>
      </w:r>
      <w:r>
        <w:t xml:space="preserve"> Questions collecting employment status and school enrollment were used as key measures to see how these are affected by prepaid incentives. For regular incentive cases, the $10 incentive yielded more respondents </w:t>
      </w:r>
      <w:r w:rsidR="007D6BC2">
        <w:t>who are not in the labor force and more reporting currently enrolled in high school or college. For the hard to reach cases, differences for employment status were opposite that for regular incentive cases with increases in those reporting being currently employed. The opposite pattern reflects differences likely inherent between the regular incentive and hard to reach groups, since the hard to reach group includes only those age 15 to 24.</w:t>
      </w:r>
    </w:p>
    <w:p w:rsidR="00975ECD" w14:paraId="7EAF5AA2" w14:textId="6417E245">
      <w:r w:rsidRPr="00721593">
        <w:rPr>
          <w:b/>
          <w:bCs/>
        </w:rPr>
        <w:t>Salience and Level of Effort:</w:t>
      </w:r>
      <w:r>
        <w:t xml:space="preserve"> </w:t>
      </w:r>
      <w:r w:rsidR="00771C6D">
        <w:t>Regular incentive cases were required to call in, since there was no telephone number available, thus assessing any increases in salience or changes in level of effort were restricted to hard to reach cases. Overall, salience was high across all conditions, exceeding 80%, as measured by whether the respondent recalled receiving the advance materials. Recall of the mail materials was highest for those in the $10 incentive condition. Level of effort was measured as the number of contact</w:t>
      </w:r>
      <w:r w:rsidR="00721593">
        <w:t>s</w:t>
      </w:r>
      <w:r w:rsidR="00771C6D">
        <w:t xml:space="preserve"> required across all eligible cases per completed interview. </w:t>
      </w:r>
      <w:r w:rsidR="00721593">
        <w:t>The number of contacts was lowest for the $10 incentive condition, potentially yielding a savings that could nearly cover the cost of the prepaid incentive.</w:t>
      </w:r>
    </w:p>
    <w:p w:rsidR="00B26C1A" w:rsidP="00B26C1A" w14:paraId="4E2F4B0C" w14:textId="4F6C1A33">
      <w:r w:rsidRPr="00721593">
        <w:rPr>
          <w:b/>
          <w:bCs/>
        </w:rPr>
        <w:t>Conclusion:</w:t>
      </w:r>
      <w:r>
        <w:t xml:space="preserve"> The $10 prepaid incentive was effective at significantly increasing response for both regular incentive and hard to reach cases. However, it is not projected to yield rates of response equivalent to that previously observed for $40 promised </w:t>
      </w:r>
      <w:r w:rsidR="003547BA">
        <w:t>debit</w:t>
      </w:r>
      <w:r>
        <w:t xml:space="preserve"> cards for regular incentive cases. The prepaid incentive does address cost issues associated with the labor for processing and managing </w:t>
      </w:r>
      <w:r w:rsidR="003547BA">
        <w:t>debit</w:t>
      </w:r>
      <w:r>
        <w:t xml:space="preserve"> cards,</w:t>
      </w:r>
      <w:r w:rsidR="00523856">
        <w:t xml:space="preserve"> and funding losses due to crossing fiscal years for cards that are not utilized.</w:t>
      </w:r>
      <w:r>
        <w:t xml:space="preserve"> </w:t>
      </w:r>
      <w:r w:rsidR="00523856">
        <w:t>Further research is recommended to identify approaches to increasing the saliency of a prepaid incentive or amounts to increase response.</w:t>
      </w:r>
    </w:p>
    <w:p w:rsidR="00975ECD" w:rsidRPr="0087281E" w14:paraId="484EB1EA" w14:textId="77777777"/>
    <w:p w:rsidR="00721593" w14:paraId="7891EEEE" w14:textId="77777777">
      <w:pPr>
        <w:sectPr w:rsidSect="00721593">
          <w:footerReference w:type="default" r:id="rId7"/>
          <w:pgSz w:w="12240" w:h="15840"/>
          <w:pgMar w:top="1440" w:right="1440" w:bottom="1440" w:left="1440" w:header="720" w:footer="720" w:gutter="0"/>
          <w:pgNumType w:fmt="lowerRoman" w:start="1"/>
          <w:cols w:space="720"/>
          <w:docGrid w:linePitch="360"/>
        </w:sectPr>
      </w:pPr>
    </w:p>
    <w:p w:rsidR="001E7E35" w:rsidRPr="00710D5F" w14:paraId="613BDB2E" w14:textId="792B3BAB">
      <w:pPr>
        <w:rPr>
          <w:b/>
          <w:bCs/>
          <w:sz w:val="24"/>
          <w:szCs w:val="24"/>
        </w:rPr>
      </w:pPr>
      <w:r w:rsidRPr="00710D5F">
        <w:rPr>
          <w:b/>
          <w:bCs/>
          <w:sz w:val="24"/>
          <w:szCs w:val="24"/>
        </w:rPr>
        <w:t>Background</w:t>
      </w:r>
    </w:p>
    <w:p w:rsidR="00385362" w:rsidP="00A07F2A" w14:paraId="1A481B7B" w14:textId="5D91F178">
      <w:r>
        <w:t xml:space="preserve">The American Time Use Survey (ATUS) measures how people in the United States allocate their time across various </w:t>
      </w:r>
      <w:r w:rsidR="00374B6C">
        <w:t xml:space="preserve">activities </w:t>
      </w:r>
      <w:r>
        <w:t xml:space="preserve">on a given day. </w:t>
      </w:r>
      <w:r>
        <w:t>Additionally, information is collected</w:t>
      </w:r>
      <w:r w:rsidR="00372988">
        <w:t xml:space="preserve"> about where and with whom each activity occurred.</w:t>
      </w:r>
      <w:r>
        <w:t xml:space="preserve"> This information makes ATUS the only federal survey to provide information on unpaid, nonmarket work.</w:t>
      </w:r>
    </w:p>
    <w:p w:rsidR="00380D3C" w:rsidP="00A07F2A" w14:paraId="7DDBC017" w14:textId="16B43081">
      <w:r>
        <w:t xml:space="preserve">Data collection for the ATUS has been conducted continuously since 2003 producing a valuable time-series useful for identifying changes in how people spend their time. Interviews are conducted by telephone through Computer Assisted Telephone Interviewing (CATI). </w:t>
      </w:r>
      <w:r w:rsidR="002B071A">
        <w:t>Persons selected for the ATUS are drawn from households completing the closing wave (8</w:t>
      </w:r>
      <w:r w:rsidRPr="002B071A" w:rsidR="002B071A">
        <w:rPr>
          <w:vertAlign w:val="superscript"/>
        </w:rPr>
        <w:t>th</w:t>
      </w:r>
      <w:r w:rsidR="002B071A">
        <w:t xml:space="preserve"> wave) of the Current Population Survey (CPS). These participants are asked to report on activities that occurred on the previous day of the interview.</w:t>
      </w:r>
    </w:p>
    <w:p w:rsidR="002B071A" w:rsidP="00A07F2A" w14:paraId="19B578DB" w14:textId="05EA68D3">
      <w:r>
        <w:t>While the ATUS sample is drawn from households participating in the CPS, for many cases a phone number may not be available. This can be due to the household not having telephone access, or refusal to provide a telephone number. The CPS overcomes this with in-person interviewing, however the ATUS is only conducted via CATI. To ensure the ATUS is representative of all persons in the U.S., additional efforts are required to reach these sample members.</w:t>
      </w:r>
    </w:p>
    <w:p w:rsidR="00CF1A92" w:rsidP="00A07F2A" w14:paraId="0CC42C30" w14:textId="299F3FB6">
      <w:r>
        <w:t xml:space="preserve">Since </w:t>
      </w:r>
      <w:r w:rsidR="00EE0756">
        <w:t xml:space="preserve">data collection started </w:t>
      </w:r>
      <w:r w:rsidR="000834AF">
        <w:t>in 2003, ATUS has mailed $40 debit cards as a promised incentive to sample members for which a phone number is unavailable. These mailings include an appeal to call in to complete the survey, a brochure about ATUS, and an inactive $40 debit card. Upon completing the survey, respondents are provided a PIN to activate the card.</w:t>
      </w:r>
      <w:r w:rsidR="001E7E35">
        <w:t xml:space="preserve"> Starting in </w:t>
      </w:r>
      <w:r w:rsidR="00A83A7E">
        <w:t>20</w:t>
      </w:r>
      <w:r w:rsidR="003547BA">
        <w:t>08</w:t>
      </w:r>
      <w:r w:rsidR="001E7E35">
        <w:t xml:space="preserve">, the promised incentive was expanded to include cases for which </w:t>
      </w:r>
      <w:r w:rsidR="00EE0756">
        <w:t>a</w:t>
      </w:r>
      <w:r w:rsidR="001E7E35">
        <w:t xml:space="preserve"> phone number </w:t>
      </w:r>
      <w:r w:rsidR="00EE0756">
        <w:t xml:space="preserve">was available, but </w:t>
      </w:r>
      <w:r w:rsidR="001E7E35">
        <w:t>was determined to be in a non-working status during ATUS data collection. These cases were mailed the same materials as no telephone cases, but not until the nonworking status was determined. These case</w:t>
      </w:r>
      <w:r w:rsidR="00623268">
        <w:t xml:space="preserve"> groups</w:t>
      </w:r>
      <w:r w:rsidR="001E7E35">
        <w:t xml:space="preserve"> accounted for 8.3 percent of the ATUS sample during 2014-</w:t>
      </w:r>
      <w:r w:rsidR="00FF1F51">
        <w:t>20</w:t>
      </w:r>
      <w:r w:rsidR="001E7E35">
        <w:t>16.</w:t>
      </w:r>
    </w:p>
    <w:p w:rsidR="00A11F6E" w14:paraId="2C68EB1E" w14:textId="4650403A">
      <w:r>
        <w:t>Since ATUS sample members are from households previously completing the CPS, descriptive information is available on cases without a telephone, or with a non-working number. A review of compositions showed that</w:t>
      </w:r>
      <w:r w:rsidR="00F0010C">
        <w:t>,</w:t>
      </w:r>
      <w:r>
        <w:t xml:space="preserve"> </w:t>
      </w:r>
      <w:r w:rsidR="00F0010C">
        <w:t xml:space="preserve">for the 2014-16 sample, </w:t>
      </w:r>
      <w:r>
        <w:t>these cases tend</w:t>
      </w:r>
      <w:r w:rsidR="00F0010C">
        <w:t>ed</w:t>
      </w:r>
      <w:r>
        <w:t xml:space="preserve"> to include </w:t>
      </w:r>
      <w:r w:rsidR="00F0010C">
        <w:t xml:space="preserve">more </w:t>
      </w:r>
      <w:r>
        <w:t>minorities</w:t>
      </w:r>
      <w:r w:rsidR="00F0010C">
        <w:t>, younger persons,</w:t>
      </w:r>
      <w:r>
        <w:t xml:space="preserve"> or have lower socioeconomic status.</w:t>
      </w:r>
      <w:r w:rsidR="00F0010C">
        <w:t xml:space="preserve"> Efforts to include these groups are important to minimize any potential bias in ATUS data.</w:t>
      </w:r>
    </w:p>
    <w:p w:rsidR="00F0010C" w14:paraId="6933337D" w14:textId="0B5C7061">
      <w:r>
        <w:t xml:space="preserve">While the use of </w:t>
      </w:r>
      <w:r w:rsidR="003547BA">
        <w:t>debit</w:t>
      </w:r>
      <w:r>
        <w:t xml:space="preserve"> cards has been successful for eliciting participation from sample members who ATUS would otherwise be unable to contact, their use includes substantial labor costs for managing</w:t>
      </w:r>
      <w:r w:rsidR="00EA323B">
        <w:t xml:space="preserve">, monitoring, and administering the </w:t>
      </w:r>
      <w:r w:rsidR="003547BA">
        <w:t>debit</w:t>
      </w:r>
      <w:r w:rsidR="00EA323B">
        <w:t xml:space="preserve"> cards. These labor costs exceed the total value of the </w:t>
      </w:r>
      <w:r w:rsidR="003547BA">
        <w:t>debit</w:t>
      </w:r>
      <w:r w:rsidR="00EA323B">
        <w:t xml:space="preserve"> cards. Further, due to the fiscal year funding of ATUS, unused </w:t>
      </w:r>
      <w:r w:rsidR="003547BA">
        <w:t>debit</w:t>
      </w:r>
      <w:r w:rsidR="00EA323B">
        <w:t xml:space="preserve"> cards that cross </w:t>
      </w:r>
      <w:r w:rsidR="003436E3">
        <w:t>in</w:t>
      </w:r>
      <w:r w:rsidR="00623268">
        <w:t>to</w:t>
      </w:r>
      <w:r w:rsidR="003436E3">
        <w:t xml:space="preserve"> another</w:t>
      </w:r>
      <w:r w:rsidR="00EA323B">
        <w:t xml:space="preserve"> fiscal year cannot be used</w:t>
      </w:r>
      <w:r w:rsidR="003436E3">
        <w:t xml:space="preserve"> to fund </w:t>
      </w:r>
      <w:r w:rsidR="003547BA">
        <w:t>debit</w:t>
      </w:r>
      <w:r w:rsidR="003436E3">
        <w:t xml:space="preserve"> cards outside the funded fiscal year. </w:t>
      </w:r>
      <w:r w:rsidR="004C26CF">
        <w:t xml:space="preserve">Overall, approximately one-third of </w:t>
      </w:r>
      <w:r w:rsidR="003547BA">
        <w:t>debit</w:t>
      </w:r>
      <w:r w:rsidR="004C26CF">
        <w:t xml:space="preserve"> cards are cashed (reflecting respondents completing the ATUS and given the activation PIN). </w:t>
      </w:r>
      <w:r w:rsidR="003436E3">
        <w:t xml:space="preserve">This results in a substantial monetary loss to the ATUS program. </w:t>
      </w:r>
      <w:r w:rsidR="00D57505">
        <w:t xml:space="preserve">For a detailed review of the use of </w:t>
      </w:r>
      <w:r w:rsidR="003547BA">
        <w:t>debit</w:t>
      </w:r>
      <w:r w:rsidR="00D57505">
        <w:t xml:space="preserve"> card incentives, compositions, and cost see</w:t>
      </w:r>
      <w:r w:rsidR="00C118F3">
        <w:t xml:space="preserve"> the</w:t>
      </w:r>
      <w:r w:rsidR="00D57505">
        <w:t xml:space="preserve"> </w:t>
      </w:r>
      <w:hyperlink r:id="rId8" w:history="1">
        <w:r w:rsidRPr="00D57505" w:rsidR="00D57505">
          <w:rPr>
            <w:rStyle w:val="Hyperlink"/>
          </w:rPr>
          <w:t>ATUS Incentive Study Proposal</w:t>
        </w:r>
      </w:hyperlink>
      <w:r w:rsidR="00D57505">
        <w:t>.</w:t>
      </w:r>
    </w:p>
    <w:p w:rsidR="00D57505" w:rsidRPr="00D57505" w14:paraId="1C4BD718" w14:textId="22622BB1">
      <w:pPr>
        <w:rPr>
          <w:b/>
          <w:bCs/>
        </w:rPr>
      </w:pPr>
      <w:r>
        <w:rPr>
          <w:b/>
          <w:bCs/>
        </w:rPr>
        <w:t>Pre-paid Cash</w:t>
      </w:r>
      <w:r w:rsidRPr="00D57505">
        <w:rPr>
          <w:b/>
          <w:bCs/>
        </w:rPr>
        <w:t xml:space="preserve"> Incentive Experiment</w:t>
      </w:r>
    </w:p>
    <w:p w:rsidR="00D57505" w14:paraId="6A0B4C9E" w14:textId="138EBAB1">
      <w:r>
        <w:t xml:space="preserve">As an alternative to </w:t>
      </w:r>
      <w:r w:rsidR="003547BA">
        <w:t>debit</w:t>
      </w:r>
      <w:r>
        <w:t xml:space="preserve"> cards, the ATUS program considered prepaid cash incentives. Switching to prepaid cash incentives would not eliminate labor costs, but would greatly reduce these costs since the tracking and reporting of </w:t>
      </w:r>
      <w:r w:rsidR="003547BA">
        <w:t>debit</w:t>
      </w:r>
      <w:r>
        <w:t xml:space="preserve"> cards would no longer be needed. </w:t>
      </w:r>
      <w:r w:rsidR="00305BC5">
        <w:t xml:space="preserve">Losses due to crossing fiscal years </w:t>
      </w:r>
      <w:r w:rsidR="00305BC5">
        <w:t xml:space="preserve">would also be avoided. </w:t>
      </w:r>
      <w:r>
        <w:t xml:space="preserve">The </w:t>
      </w:r>
      <w:r w:rsidR="00B917C0">
        <w:t xml:space="preserve">ATUS </w:t>
      </w:r>
      <w:r>
        <w:t>program considered using either a $5 prepaid incentive or a $10 prepaid incentive. With each</w:t>
      </w:r>
      <w:r w:rsidR="00A754A8">
        <w:t xml:space="preserve"> amount</w:t>
      </w:r>
      <w:r>
        <w:t xml:space="preserve"> the cost to the ATUS program would be roughly one-half to two-thirds the cost of </w:t>
      </w:r>
      <w:r w:rsidR="003547BA">
        <w:t>debit</w:t>
      </w:r>
      <w:r>
        <w:t xml:space="preserve"> cards.</w:t>
      </w:r>
      <w:r w:rsidR="00305BC5">
        <w:t xml:space="preserve"> The ATUS program proposed using this saving</w:t>
      </w:r>
      <w:r w:rsidR="00142B0E">
        <w:t>s</w:t>
      </w:r>
      <w:r w:rsidR="00305BC5">
        <w:t xml:space="preserve"> to expand the use of incentives to other groups with the lowest response to the ATUS.</w:t>
      </w:r>
    </w:p>
    <w:p w:rsidR="00305BC5" w14:paraId="0F3C1FA4" w14:textId="07F3C2E9">
      <w:r>
        <w:t>The projected cost savings to the ATUS program will be beneficial</w:t>
      </w:r>
      <w:r w:rsidR="00200D15">
        <w:t>, but only</w:t>
      </w:r>
      <w:r>
        <w:t xml:space="preserve"> if the alternative use of </w:t>
      </w:r>
      <w:r w:rsidR="0011149D">
        <w:t xml:space="preserve">prepaid </w:t>
      </w:r>
      <w:r>
        <w:t xml:space="preserve">cash incentives </w:t>
      </w:r>
      <w:r w:rsidR="00200D15">
        <w:t>motivate</w:t>
      </w:r>
      <w:r w:rsidR="00D33AD4">
        <w:t>s</w:t>
      </w:r>
      <w:r w:rsidR="00200D15">
        <w:t xml:space="preserve"> response similar to that observed for </w:t>
      </w:r>
      <w:r w:rsidR="003547BA">
        <w:t>debit</w:t>
      </w:r>
      <w:r w:rsidR="00200D15">
        <w:t xml:space="preserve"> cards. </w:t>
      </w:r>
      <w:r w:rsidR="0011149D">
        <w:t>Prepaid incentives are known to be more effective than promised incentives</w:t>
      </w:r>
      <w:r w:rsidR="006A7CE6">
        <w:t xml:space="preserve"> (see Mercer et al. 2015; Singer and Ye 2013)</w:t>
      </w:r>
      <w:r w:rsidR="0011149D">
        <w:t>, however, it is important to empirically demonstrate</w:t>
      </w:r>
      <w:r w:rsidR="006A7CE6">
        <w:t xml:space="preserve"> what effect this will have</w:t>
      </w:r>
      <w:r w:rsidR="005B28B5">
        <w:t xml:space="preserve"> on the ATUS program</w:t>
      </w:r>
      <w:r w:rsidR="0011149D">
        <w:t xml:space="preserve">. </w:t>
      </w:r>
      <w:r w:rsidR="00200D15">
        <w:t xml:space="preserve">To measure the effect of prepaid cash incentives, the ATUS program worked with the Office of Survey Methods Research (OSMR) to design </w:t>
      </w:r>
      <w:r w:rsidR="00D33AD4">
        <w:t>a study</w:t>
      </w:r>
      <w:r w:rsidR="00200D15">
        <w:t xml:space="preserve"> testing different </w:t>
      </w:r>
      <w:r w:rsidR="00D33AD4">
        <w:t xml:space="preserve">prepaid </w:t>
      </w:r>
      <w:r w:rsidR="00200D15">
        <w:t>amounts. This followed the amounts specified above and a control condition that did not receive an</w:t>
      </w:r>
      <w:r w:rsidR="00E37592">
        <w:t>y</w:t>
      </w:r>
      <w:r w:rsidR="00200D15">
        <w:t xml:space="preserve"> incentive.</w:t>
      </w:r>
      <w:r w:rsidR="00677A40">
        <w:t xml:space="preserve"> This study </w:t>
      </w:r>
      <w:r w:rsidR="00E232DB">
        <w:t>focused</w:t>
      </w:r>
      <w:r w:rsidR="00677A40">
        <w:t xml:space="preserve"> </w:t>
      </w:r>
      <w:r w:rsidR="00277C74">
        <w:t xml:space="preserve">on </w:t>
      </w:r>
      <w:r w:rsidR="00677A40">
        <w:t xml:space="preserve">the same group that </w:t>
      </w:r>
      <w:r w:rsidR="00E232DB">
        <w:t xml:space="preserve">has historically been </w:t>
      </w:r>
      <w:r w:rsidR="0011149D">
        <w:t xml:space="preserve">sent a $40 </w:t>
      </w:r>
      <w:r w:rsidR="003547BA">
        <w:t>debit</w:t>
      </w:r>
      <w:r w:rsidR="0011149D">
        <w:t xml:space="preserve"> card (no telephone</w:t>
      </w:r>
      <w:r w:rsidR="00E232DB">
        <w:t xml:space="preserve"> cases</w:t>
      </w:r>
      <w:r w:rsidR="0011149D">
        <w:t>). To determine if</w:t>
      </w:r>
      <w:r w:rsidR="00E37592">
        <w:t xml:space="preserve"> the use of incentives could be expanded to other underrepresented groups, the study also targeted 15 to 24 year old sample members. This group has shown the largest decrease in response over time to the ATUS, with a 24 percentage point decrease between 2003 and 2017.</w:t>
      </w:r>
      <w:r w:rsidR="007D292B">
        <w:t xml:space="preserve"> The objectives of the ATUS incentive study are summarized below:</w:t>
      </w:r>
    </w:p>
    <w:p w:rsidR="007D292B" w:rsidP="007D292B" w14:paraId="266247FA" w14:textId="1D107DF2">
      <w:pPr>
        <w:pStyle w:val="ListParagraph"/>
        <w:numPr>
          <w:ilvl w:val="0"/>
          <w:numId w:val="1"/>
        </w:numPr>
      </w:pPr>
      <w:r>
        <w:t>To test the effectiveness of different prepaid monetary incentive amounts on response to the ATUS.</w:t>
      </w:r>
    </w:p>
    <w:p w:rsidR="007D292B" w:rsidP="007D292B" w14:paraId="1CBC7AEB" w14:textId="27453B6E">
      <w:pPr>
        <w:pStyle w:val="ListParagraph"/>
        <w:numPr>
          <w:ilvl w:val="1"/>
          <w:numId w:val="1"/>
        </w:numPr>
      </w:pPr>
      <w:r>
        <w:t>Compared to no incentive, is $5 or $10 more effective in motivating response</w:t>
      </w:r>
      <w:r w:rsidR="00B35DA6">
        <w:t>?</w:t>
      </w:r>
    </w:p>
    <w:p w:rsidR="007D292B" w:rsidP="007D292B" w14:paraId="4B6E08A4" w14:textId="7C8F9731">
      <w:pPr>
        <w:pStyle w:val="ListParagraph"/>
        <w:numPr>
          <w:ilvl w:val="1"/>
          <w:numId w:val="1"/>
        </w:numPr>
      </w:pPr>
      <w:r>
        <w:t>How do</w:t>
      </w:r>
      <w:r>
        <w:t xml:space="preserve"> any increases in response to a prepaid incentive compare to the historical use of $40 promised </w:t>
      </w:r>
      <w:r w:rsidR="003547BA">
        <w:t>debit</w:t>
      </w:r>
      <w:r>
        <w:t xml:space="preserve"> cards</w:t>
      </w:r>
      <w:r>
        <w:t>?</w:t>
      </w:r>
    </w:p>
    <w:p w:rsidR="007D292B" w:rsidP="007D292B" w14:paraId="4BD19115" w14:textId="5B94494C">
      <w:pPr>
        <w:pStyle w:val="ListParagraph"/>
        <w:numPr>
          <w:ilvl w:val="0"/>
          <w:numId w:val="1"/>
        </w:numPr>
      </w:pPr>
      <w:r>
        <w:t xml:space="preserve">Are prepaid incentives effective for </w:t>
      </w:r>
      <w:r w:rsidR="00B35DA6">
        <w:t>motivating response in hard to reach, underrepresented group</w:t>
      </w:r>
      <w:r w:rsidR="009C5F82">
        <w:t>s</w:t>
      </w:r>
      <w:r w:rsidR="00B35DA6">
        <w:t>, specifically 15</w:t>
      </w:r>
      <w:r w:rsidR="00277C74">
        <w:t xml:space="preserve"> to </w:t>
      </w:r>
      <w:r w:rsidR="00B35DA6">
        <w:t>24-year-old sample members.</w:t>
      </w:r>
    </w:p>
    <w:p w:rsidR="00B35DA6" w:rsidP="00DF043A" w14:paraId="6E9144F6" w14:textId="0B173797">
      <w:pPr>
        <w:pStyle w:val="ListParagraph"/>
        <w:numPr>
          <w:ilvl w:val="1"/>
          <w:numId w:val="1"/>
        </w:numPr>
        <w:spacing w:after="0"/>
      </w:pPr>
      <w:r>
        <w:t>Compared to no incentive, is $5 or $10 more effective in motivating response?</w:t>
      </w:r>
    </w:p>
    <w:p w:rsidR="00DF043A" w:rsidP="00DF043A" w14:paraId="14BC5B19" w14:textId="18FF8D40"/>
    <w:p w:rsidR="00B35DA6" w:rsidRPr="00710D5F" w:rsidP="00B35DA6" w14:paraId="6456BCAE" w14:textId="6352D8C8">
      <w:pPr>
        <w:rPr>
          <w:b/>
          <w:bCs/>
          <w:sz w:val="24"/>
          <w:szCs w:val="24"/>
        </w:rPr>
      </w:pPr>
      <w:r w:rsidRPr="00710D5F">
        <w:rPr>
          <w:b/>
          <w:bCs/>
          <w:sz w:val="24"/>
          <w:szCs w:val="24"/>
        </w:rPr>
        <w:t>Methods</w:t>
      </w:r>
    </w:p>
    <w:p w:rsidR="00A754A8" w:rsidP="00B35DA6" w14:paraId="7C536072" w14:textId="48CF0CFF">
      <w:r>
        <w:t xml:space="preserve">As described </w:t>
      </w:r>
      <w:r w:rsidR="00E36001">
        <w:t xml:space="preserve">previously, </w:t>
      </w:r>
      <w:r>
        <w:t xml:space="preserve">there were two groups eligible for the incentive study. The first group included sampled cases without a telephone number, referred to as </w:t>
      </w:r>
      <w:r>
        <w:rPr>
          <w:i/>
          <w:iCs/>
        </w:rPr>
        <w:t>regular incentive</w:t>
      </w:r>
      <w:r>
        <w:t xml:space="preserve"> cases. Cases that are found to have some form of non-working phone number were not eligible for the study. These are referred to as </w:t>
      </w:r>
      <w:r>
        <w:rPr>
          <w:i/>
          <w:iCs/>
        </w:rPr>
        <w:t>expanded incentive</w:t>
      </w:r>
      <w:r>
        <w:t xml:space="preserve"> cases. All expanded incentive cases received a mailing with $5 and an appeal to call in to complete the survey. The second group included sampled cases where the selected household member (designated person </w:t>
      </w:r>
      <w:r w:rsidR="001C2C3C">
        <w:t>[DP]) was aged 15 to 24</w:t>
      </w:r>
      <w:r w:rsidR="003805CE">
        <w:t xml:space="preserve"> and a phone number was provided for the case</w:t>
      </w:r>
      <w:r w:rsidR="001C2C3C">
        <w:t xml:space="preserve">, referred to for this study as </w:t>
      </w:r>
      <w:r w:rsidR="001C2C3C">
        <w:rPr>
          <w:i/>
          <w:iCs/>
        </w:rPr>
        <w:t>hard to reach</w:t>
      </w:r>
      <w:r w:rsidR="001C2C3C">
        <w:t xml:space="preserve"> </w:t>
      </w:r>
      <w:r w:rsidRPr="00E36001" w:rsidR="001C2C3C">
        <w:rPr>
          <w:i/>
          <w:iCs/>
        </w:rPr>
        <w:t>(HTR)</w:t>
      </w:r>
      <w:r w:rsidR="001C2C3C">
        <w:t xml:space="preserve"> cases.</w:t>
      </w:r>
    </w:p>
    <w:p w:rsidR="001C2C3C" w:rsidP="00B35DA6" w14:paraId="6CF8281F" w14:textId="7663057E">
      <w:r>
        <w:t xml:space="preserve">The first group, regular incentive cases, </w:t>
      </w:r>
      <w:r w:rsidR="00DF043A">
        <w:t xml:space="preserve">included 1,800 sampled DPs that </w:t>
      </w:r>
      <w:r>
        <w:t>were randomly assigned to one of the three incentive conditions: $0 (no incentive), $5, or $10. Assignment to an incentive condition, occurred once a designated person</w:t>
      </w:r>
      <w:r w:rsidR="003805CE">
        <w:t xml:space="preserve"> was selected</w:t>
      </w:r>
      <w:r w:rsidR="00E232DB">
        <w:t xml:space="preserve"> during the ATUS sample process</w:t>
      </w:r>
      <w:r w:rsidR="003805CE">
        <w:t xml:space="preserve">. </w:t>
      </w:r>
      <w:r w:rsidR="00682671">
        <w:t>T</w:t>
      </w:r>
      <w:r w:rsidR="003805CE">
        <w:t xml:space="preserve">he second group, hard to reach cases, </w:t>
      </w:r>
      <w:r w:rsidR="00DF043A">
        <w:t>included 4,400 sampled DPs</w:t>
      </w:r>
      <w:r>
        <w:rPr>
          <w:rStyle w:val="FootnoteReference"/>
        </w:rPr>
        <w:footnoteReference w:id="2"/>
      </w:r>
      <w:r w:rsidR="00DF043A">
        <w:t xml:space="preserve"> that</w:t>
      </w:r>
      <w:r w:rsidR="003805CE">
        <w:t xml:space="preserve"> were separately randomly assigned to one of the </w:t>
      </w:r>
      <w:r w:rsidR="003805CE">
        <w:t xml:space="preserve">three incentive conditions: $0 (no incentive), $5, or $10. Assignment </w:t>
      </w:r>
      <w:r w:rsidR="00E232DB">
        <w:t xml:space="preserve">again </w:t>
      </w:r>
      <w:r w:rsidR="003805CE">
        <w:t xml:space="preserve">occurred after a designated person was selected. </w:t>
      </w:r>
    </w:p>
    <w:p w:rsidR="00E232DB" w:rsidP="00B35DA6" w14:paraId="75277AAD" w14:textId="1F839F8D">
      <w:r>
        <w:t>All cases sampled for ATUS are mailed advance materials. For cases in the incentive study, these materials were modified</w:t>
      </w:r>
      <w:r w:rsidR="00216EDA">
        <w:t xml:space="preserve"> to reference the prepaid incentive (if assigned to an incentive condition) and an appeal to call in and make an appointment to complete the ATUS.</w:t>
      </w:r>
      <w:r w:rsidR="00D7676F">
        <w:t xml:space="preserve"> The advance mailing includes a letter indicating who was selected and a brochure about the survey.</w:t>
      </w:r>
      <w:r w:rsidR="00216EDA">
        <w:t xml:space="preserve"> During the ATUS interview, respondents </w:t>
      </w:r>
      <w:r w:rsidR="00D7676F">
        <w:t>we</w:t>
      </w:r>
      <w:r w:rsidR="00216EDA">
        <w:t>re asked whether they received the advance</w:t>
      </w:r>
      <w:r w:rsidR="00D7676F">
        <w:t xml:space="preserve"> mailing. While response to this is not recorded as a data file output, this information was collected as paradata by Census.</w:t>
      </w:r>
    </w:p>
    <w:p w:rsidR="00891155" w:rsidP="00B35DA6" w14:paraId="178CA39D" w14:textId="6ECF0E18">
      <w:r>
        <w:t>Data collection for the incentive study ran from</w:t>
      </w:r>
      <w:r w:rsidR="004B5978">
        <w:t xml:space="preserve"> December 2019 through September 2021.</w:t>
      </w:r>
      <w:r>
        <w:t xml:space="preserve"> Originally, data collection was to end in September 2020, however the COVID-19 pandemic disrupted data collection activities. All data collection activities for ATUS were placed on hold on March 19, 2020</w:t>
      </w:r>
      <w:r w:rsidR="00883EE0">
        <w:t xml:space="preserve"> and did not resume until May 2020. Due to the time required to resume mailing operations, ATUS data collection and the incentive study did not resume until the June 2020 sample. This resulted in the loss </w:t>
      </w:r>
      <w:r w:rsidR="00655A8F">
        <w:t>of sample for the</w:t>
      </w:r>
      <w:r w:rsidR="00883EE0">
        <w:t xml:space="preserve"> month</w:t>
      </w:r>
      <w:r w:rsidR="00496BC1">
        <w:t>s</w:t>
      </w:r>
      <w:r w:rsidR="00883EE0">
        <w:t xml:space="preserve"> of January</w:t>
      </w:r>
      <w:r w:rsidR="00496BC1">
        <w:t xml:space="preserve"> 2020</w:t>
      </w:r>
      <w:r w:rsidR="00883EE0">
        <w:t xml:space="preserve"> through May 2020.</w:t>
      </w:r>
    </w:p>
    <w:p w:rsidR="00655A8F" w:rsidP="00B35DA6" w14:paraId="185C8F3B" w14:textId="313442B4">
      <w:r>
        <w:t xml:space="preserve">This report provides findings from an analysis of the </w:t>
      </w:r>
      <w:r w:rsidR="002B3F09">
        <w:t xml:space="preserve">data collected from the </w:t>
      </w:r>
      <w:r>
        <w:t xml:space="preserve">incentive study. Results </w:t>
      </w:r>
      <w:r w:rsidR="00DE3DE8">
        <w:t xml:space="preserve">examine the effect of different prepaid incentive amounts on response, respondent compositions, and key measures. Comparisons are made to response with the use of $40 </w:t>
      </w:r>
      <w:r w:rsidR="003547BA">
        <w:t>debit</w:t>
      </w:r>
      <w:r w:rsidR="00DE3DE8">
        <w:t xml:space="preserve"> cards for previous years to assess whether prepaid incentives </w:t>
      </w:r>
      <w:r w:rsidR="002B3F09">
        <w:t xml:space="preserve">result in equivalent levels of response. These comparisons to historical response should be viewed with caution. </w:t>
      </w:r>
      <w:r w:rsidR="0083403C">
        <w:t xml:space="preserve">Response to the ATUS, like many other surveys, has observed declines in response. </w:t>
      </w:r>
      <w:r w:rsidR="00710D5F">
        <w:t>Examining response since 2003, ATUS response has declined approximately 1 percentage point per year. Specifically, i</w:t>
      </w:r>
      <w:r w:rsidR="0083403C">
        <w:t>n 2017, response to the ATUS was 45.6 percent, compared to 2021 with a response rate of 39.4 percent.</w:t>
      </w:r>
      <w:r w:rsidR="00710D5F">
        <w:t xml:space="preserve"> This period also covers disruption due to the COVID-19 pandemic, which may have accelerated these declines.</w:t>
      </w:r>
    </w:p>
    <w:p w:rsidR="00CF6B11" w:rsidP="00B35DA6" w14:paraId="5C8FA498" w14:textId="77777777"/>
    <w:p w:rsidR="00710D5F" w:rsidP="00B35DA6" w14:paraId="77E54FD6" w14:textId="38D5F842">
      <w:pPr>
        <w:rPr>
          <w:b/>
          <w:bCs/>
          <w:sz w:val="24"/>
          <w:szCs w:val="24"/>
        </w:rPr>
      </w:pPr>
      <w:r w:rsidRPr="00710D5F">
        <w:rPr>
          <w:b/>
          <w:bCs/>
          <w:sz w:val="24"/>
          <w:szCs w:val="24"/>
        </w:rPr>
        <w:t>Findings</w:t>
      </w:r>
    </w:p>
    <w:p w:rsidR="006C496B" w:rsidRPr="006C496B" w:rsidP="006C496B" w14:paraId="03A1BD2B" w14:textId="62332908">
      <w:pPr>
        <w:ind w:left="180"/>
        <w:rPr>
          <w:b/>
          <w:bCs/>
        </w:rPr>
      </w:pPr>
      <w:r w:rsidRPr="006C496B">
        <w:rPr>
          <w:b/>
          <w:bCs/>
        </w:rPr>
        <w:t>Response Rates</w:t>
      </w:r>
    </w:p>
    <w:p w:rsidR="007C6B58" w:rsidP="00B35DA6" w14:paraId="04432FF8" w14:textId="279170DC">
      <w:r>
        <w:t xml:space="preserve">The primary research question for the ATUS incentive study is </w:t>
      </w:r>
      <w:r w:rsidR="00F466DF">
        <w:t xml:space="preserve">whether prepaid cash monetary incentives motivate participation, and if so, is there a differential </w:t>
      </w:r>
      <w:r w:rsidR="008D26E5">
        <w:t>e</w:t>
      </w:r>
      <w:r w:rsidR="00F466DF">
        <w:t>ffect by amount? Table 1 presents response rates for regular incentive (no telephone number available) and hard to reach groups (</w:t>
      </w:r>
      <w:r w:rsidR="000F0759">
        <w:t>DPs</w:t>
      </w:r>
      <w:r w:rsidR="00F466DF">
        <w:t xml:space="preserve"> age 15 to 24).</w:t>
      </w:r>
      <w:r w:rsidR="000D3727">
        <w:t xml:space="preserve"> Both the $5 and $10 conditions yielded positive increases in response compared to no incentive. However, only the $10 condition yielded statistically significant increases</w:t>
      </w:r>
      <w:r w:rsidR="007368D8">
        <w:t xml:space="preserve">. For the regular incentive group, response was </w:t>
      </w:r>
      <w:r w:rsidR="00F27817">
        <w:t>6</w:t>
      </w:r>
      <w:r w:rsidR="007368D8">
        <w:t xml:space="preserve"> percentage points higher than the no incentive condition</w:t>
      </w:r>
      <w:r w:rsidR="000D3727">
        <w:t xml:space="preserve"> (</w:t>
      </w:r>
      <w:r w:rsidR="000F0759">
        <w:t>F</w:t>
      </w:r>
      <w:r w:rsidR="000D3727">
        <w:t xml:space="preserve"> = </w:t>
      </w:r>
      <w:r w:rsidR="00F27817">
        <w:t>7.5</w:t>
      </w:r>
      <w:r w:rsidR="000D3727">
        <w:t xml:space="preserve">, </w:t>
      </w:r>
      <w:r w:rsidR="000D3727">
        <w:rPr>
          <w:i/>
          <w:iCs/>
        </w:rPr>
        <w:t>p</w:t>
      </w:r>
      <w:r w:rsidR="000D3727">
        <w:t xml:space="preserve"> &lt; 0.0</w:t>
      </w:r>
      <w:r w:rsidR="00F27817">
        <w:t>1</w:t>
      </w:r>
      <w:r w:rsidR="007368D8">
        <w:t xml:space="preserve">) and </w:t>
      </w:r>
      <w:r w:rsidR="00F27817">
        <w:t>4.5</w:t>
      </w:r>
      <w:r w:rsidR="007368D8">
        <w:t xml:space="preserve"> percentage point</w:t>
      </w:r>
      <w:r w:rsidR="00E1489A">
        <w:t>s</w:t>
      </w:r>
      <w:r w:rsidR="007368D8">
        <w:t xml:space="preserve"> higher than the $5</w:t>
      </w:r>
      <w:r w:rsidR="004E7D09">
        <w:t xml:space="preserve"> condition</w:t>
      </w:r>
      <w:r w:rsidR="007368D8">
        <w:t xml:space="preserve">. For the hard to reach group, response was </w:t>
      </w:r>
      <w:r w:rsidR="00F27817">
        <w:t>3.6</w:t>
      </w:r>
      <w:r w:rsidR="007368D8">
        <w:t xml:space="preserve"> percentage points higher than the no incentive condition (</w:t>
      </w:r>
      <w:r w:rsidRPr="000F0759" w:rsidR="000F0759">
        <w:t xml:space="preserve">F </w:t>
      </w:r>
      <w:r w:rsidR="000D3727">
        <w:t xml:space="preserve">= </w:t>
      </w:r>
      <w:r w:rsidR="007368D8">
        <w:t>4.</w:t>
      </w:r>
      <w:r w:rsidR="00F27817">
        <w:t>38</w:t>
      </w:r>
      <w:r w:rsidR="007368D8">
        <w:t xml:space="preserve">, </w:t>
      </w:r>
      <w:r w:rsidR="007368D8">
        <w:rPr>
          <w:i/>
          <w:iCs/>
        </w:rPr>
        <w:t>p</w:t>
      </w:r>
      <w:r w:rsidR="007368D8">
        <w:t xml:space="preserve"> &lt; 0.05) and </w:t>
      </w:r>
      <w:r w:rsidR="00F27817">
        <w:t>0.6</w:t>
      </w:r>
      <w:r w:rsidR="007368D8">
        <w:t xml:space="preserve"> percentage point</w:t>
      </w:r>
      <w:r w:rsidR="00F27817">
        <w:t>s</w:t>
      </w:r>
      <w:r w:rsidR="007368D8">
        <w:t xml:space="preserve"> higher than the $5 condit</w:t>
      </w:r>
      <w:r w:rsidR="00E1489A">
        <w:t>i</w:t>
      </w:r>
      <w:r w:rsidR="007368D8">
        <w:t>on.</w:t>
      </w:r>
    </w:p>
    <w:p w:rsidR="00DF043A" w:rsidRPr="007368D8" w:rsidP="00B35DA6" w14:paraId="336DA6C4" w14:textId="77777777"/>
    <w:p w:rsidR="00DF043A" w14:paraId="6C58447A" w14:textId="77777777">
      <w:r>
        <w:br w:type="page"/>
      </w:r>
    </w:p>
    <w:p w:rsidR="007C6B58" w:rsidRPr="00AC48CB" w:rsidP="007C6B58" w14:paraId="77CEB5B0" w14:textId="74C2FF0D">
      <w:pPr>
        <w:rPr>
          <w:vertAlign w:val="superscript"/>
        </w:rPr>
      </w:pPr>
      <w:r>
        <w:t xml:space="preserve">Table 1: Response rates for </w:t>
      </w:r>
      <w:r w:rsidR="005141B1">
        <w:t>regular incentive</w:t>
      </w:r>
      <w:r>
        <w:t xml:space="preserve"> and </w:t>
      </w:r>
      <w:r w:rsidR="00D1007A">
        <w:t>hard to reach</w:t>
      </w:r>
      <w:r>
        <w:t xml:space="preserve"> age groups by incentive condition</w:t>
      </w:r>
      <w:r w:rsidR="00AC48CB">
        <w:rPr>
          <w:vertAlign w:val="superscript"/>
        </w:rPr>
        <w:t>1</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37"/>
        <w:gridCol w:w="2337"/>
        <w:gridCol w:w="2338"/>
        <w:gridCol w:w="2338"/>
      </w:tblGrid>
      <w:tr w14:paraId="6E61A57A" w14:textId="77777777" w:rsidTr="00DF043A">
        <w:tblPrEx>
          <w:tblW w:w="0" w:type="auto"/>
          <w:tblBorders>
            <w:left w:val="none" w:sz="0" w:space="0" w:color="auto"/>
            <w:right w:val="none" w:sz="0" w:space="0" w:color="auto"/>
            <w:insideH w:val="none" w:sz="0" w:space="0" w:color="auto"/>
            <w:insideV w:val="none" w:sz="0" w:space="0" w:color="auto"/>
          </w:tblBorders>
          <w:tblLook w:val="04A0"/>
        </w:tblPrEx>
        <w:trPr>
          <w:trHeight w:val="335"/>
        </w:trPr>
        <w:tc>
          <w:tcPr>
            <w:tcW w:w="2337" w:type="dxa"/>
            <w:tcBorders>
              <w:bottom w:val="single" w:sz="4" w:space="0" w:color="auto"/>
            </w:tcBorders>
          </w:tcPr>
          <w:p w:rsidR="007C6B58" w:rsidP="00235E40" w14:paraId="7C94CFBE" w14:textId="77777777"/>
        </w:tc>
        <w:tc>
          <w:tcPr>
            <w:tcW w:w="2337" w:type="dxa"/>
            <w:tcBorders>
              <w:bottom w:val="single" w:sz="4" w:space="0" w:color="auto"/>
            </w:tcBorders>
            <w:vAlign w:val="bottom"/>
          </w:tcPr>
          <w:p w:rsidR="007C6B58" w:rsidP="00235E40" w14:paraId="73F29B97" w14:textId="77777777">
            <w:pPr>
              <w:jc w:val="center"/>
            </w:pPr>
            <w:r>
              <w:t>$0</w:t>
            </w:r>
          </w:p>
        </w:tc>
        <w:tc>
          <w:tcPr>
            <w:tcW w:w="2338" w:type="dxa"/>
            <w:tcBorders>
              <w:bottom w:val="single" w:sz="4" w:space="0" w:color="auto"/>
            </w:tcBorders>
            <w:vAlign w:val="bottom"/>
          </w:tcPr>
          <w:p w:rsidR="007C6B58" w:rsidP="00235E40" w14:paraId="3D47DB87" w14:textId="77777777">
            <w:pPr>
              <w:jc w:val="center"/>
            </w:pPr>
            <w:r>
              <w:t>$5</w:t>
            </w:r>
          </w:p>
        </w:tc>
        <w:tc>
          <w:tcPr>
            <w:tcW w:w="2338" w:type="dxa"/>
            <w:tcBorders>
              <w:bottom w:val="single" w:sz="4" w:space="0" w:color="auto"/>
            </w:tcBorders>
            <w:vAlign w:val="bottom"/>
          </w:tcPr>
          <w:p w:rsidR="007C6B58" w:rsidP="00235E40" w14:paraId="08BDA4A3" w14:textId="77777777">
            <w:pPr>
              <w:jc w:val="center"/>
            </w:pPr>
            <w:r>
              <w:t>$10</w:t>
            </w:r>
          </w:p>
        </w:tc>
      </w:tr>
      <w:tr w14:paraId="2A0B3AE2" w14:textId="77777777" w:rsidTr="00AC48CB">
        <w:tblPrEx>
          <w:tblW w:w="0" w:type="auto"/>
          <w:tblLook w:val="04A0"/>
        </w:tblPrEx>
        <w:trPr>
          <w:trHeight w:val="361"/>
        </w:trPr>
        <w:tc>
          <w:tcPr>
            <w:tcW w:w="2337" w:type="dxa"/>
            <w:tcBorders>
              <w:top w:val="single" w:sz="4" w:space="0" w:color="auto"/>
              <w:bottom w:val="nil"/>
            </w:tcBorders>
            <w:vAlign w:val="center"/>
          </w:tcPr>
          <w:p w:rsidR="007C6B58" w:rsidRPr="00D1007A" w:rsidP="00235E40" w14:paraId="3316363A" w14:textId="1C5C77AA">
            <w:pPr>
              <w:rPr>
                <w:b/>
                <w:bCs/>
              </w:rPr>
            </w:pPr>
            <w:r w:rsidRPr="00D1007A">
              <w:rPr>
                <w:b/>
                <w:bCs/>
              </w:rPr>
              <w:t>Regular incentive</w:t>
            </w:r>
            <w:r w:rsidR="00AC48CB">
              <w:rPr>
                <w:b/>
                <w:bCs/>
              </w:rPr>
              <w:t xml:space="preserve"> (n)</w:t>
            </w:r>
          </w:p>
        </w:tc>
        <w:tc>
          <w:tcPr>
            <w:tcW w:w="2337" w:type="dxa"/>
            <w:tcBorders>
              <w:top w:val="single" w:sz="4" w:space="0" w:color="auto"/>
              <w:bottom w:val="nil"/>
            </w:tcBorders>
            <w:vAlign w:val="center"/>
          </w:tcPr>
          <w:p w:rsidR="007C6B58" w:rsidP="00235E40" w14:paraId="762B211D" w14:textId="16358C56">
            <w:pPr>
              <w:jc w:val="center"/>
            </w:pPr>
            <w:r>
              <w:t>600</w:t>
            </w:r>
          </w:p>
        </w:tc>
        <w:tc>
          <w:tcPr>
            <w:tcW w:w="2338" w:type="dxa"/>
            <w:tcBorders>
              <w:top w:val="single" w:sz="4" w:space="0" w:color="auto"/>
              <w:bottom w:val="nil"/>
            </w:tcBorders>
            <w:vAlign w:val="center"/>
          </w:tcPr>
          <w:p w:rsidR="007C6B58" w:rsidP="00235E40" w14:paraId="6FA251C4" w14:textId="2144FD2C">
            <w:pPr>
              <w:jc w:val="center"/>
            </w:pPr>
            <w:r>
              <w:t>600</w:t>
            </w:r>
          </w:p>
        </w:tc>
        <w:tc>
          <w:tcPr>
            <w:tcW w:w="2338" w:type="dxa"/>
            <w:tcBorders>
              <w:top w:val="single" w:sz="4" w:space="0" w:color="auto"/>
              <w:bottom w:val="nil"/>
            </w:tcBorders>
            <w:vAlign w:val="center"/>
          </w:tcPr>
          <w:p w:rsidR="007C6B58" w:rsidRPr="00DF043A" w:rsidP="00031EB1" w14:paraId="4127AC56" w14:textId="6ACB239F">
            <w:pPr>
              <w:jc w:val="center"/>
            </w:pPr>
            <w:r>
              <w:t>600</w:t>
            </w:r>
          </w:p>
        </w:tc>
      </w:tr>
      <w:tr w14:paraId="1AADEE30" w14:textId="77777777" w:rsidTr="00AC48CB">
        <w:tblPrEx>
          <w:tblW w:w="0" w:type="auto"/>
          <w:tblLook w:val="04A0"/>
        </w:tblPrEx>
        <w:trPr>
          <w:trHeight w:val="361"/>
        </w:trPr>
        <w:tc>
          <w:tcPr>
            <w:tcW w:w="2337" w:type="dxa"/>
            <w:tcBorders>
              <w:top w:val="nil"/>
              <w:bottom w:val="nil"/>
            </w:tcBorders>
            <w:vAlign w:val="center"/>
          </w:tcPr>
          <w:p w:rsidR="00DF043A" w:rsidRPr="00AC48CB" w:rsidP="00AC48CB" w14:paraId="5E64F65C" w14:textId="67214F6C">
            <w:pPr>
              <w:ind w:left="165"/>
            </w:pPr>
            <w:r w:rsidRPr="00AC48CB">
              <w:t>All cases</w:t>
            </w:r>
          </w:p>
        </w:tc>
        <w:tc>
          <w:tcPr>
            <w:tcW w:w="2337" w:type="dxa"/>
            <w:tcBorders>
              <w:top w:val="nil"/>
              <w:bottom w:val="nil"/>
            </w:tcBorders>
            <w:vAlign w:val="center"/>
          </w:tcPr>
          <w:p w:rsidR="00DF043A" w:rsidP="00235E40" w14:paraId="624C08C1" w14:textId="26FE567C">
            <w:pPr>
              <w:jc w:val="center"/>
            </w:pPr>
            <w:r>
              <w:t>14.6%</w:t>
            </w:r>
          </w:p>
        </w:tc>
        <w:tc>
          <w:tcPr>
            <w:tcW w:w="2338" w:type="dxa"/>
            <w:tcBorders>
              <w:top w:val="nil"/>
              <w:bottom w:val="nil"/>
            </w:tcBorders>
            <w:vAlign w:val="center"/>
          </w:tcPr>
          <w:p w:rsidR="00DF043A" w:rsidP="00235E40" w14:paraId="19F8AC15" w14:textId="24CAD0C1">
            <w:pPr>
              <w:jc w:val="center"/>
            </w:pPr>
            <w:r>
              <w:t>16.1%</w:t>
            </w:r>
          </w:p>
        </w:tc>
        <w:tc>
          <w:tcPr>
            <w:tcW w:w="2338" w:type="dxa"/>
            <w:tcBorders>
              <w:top w:val="nil"/>
              <w:bottom w:val="nil"/>
            </w:tcBorders>
            <w:vAlign w:val="center"/>
          </w:tcPr>
          <w:p w:rsidR="00DF043A" w:rsidP="00031EB1" w14:paraId="73EE5E8B" w14:textId="2A1C9E76">
            <w:pPr>
              <w:jc w:val="center"/>
              <w:rPr>
                <w:b/>
                <w:bCs/>
                <w:i/>
                <w:iCs/>
              </w:rPr>
            </w:pPr>
            <w:r>
              <w:rPr>
                <w:b/>
                <w:bCs/>
                <w:i/>
                <w:iCs/>
              </w:rPr>
              <w:t>20.6</w:t>
            </w:r>
            <w:r w:rsidRPr="009256EC">
              <w:rPr>
                <w:b/>
                <w:bCs/>
                <w:i/>
                <w:iCs/>
              </w:rPr>
              <w:t>%</w:t>
            </w:r>
          </w:p>
        </w:tc>
      </w:tr>
      <w:tr w14:paraId="72877F33" w14:textId="77777777" w:rsidTr="00AC48CB">
        <w:tblPrEx>
          <w:tblW w:w="0" w:type="auto"/>
          <w:tblLook w:val="04A0"/>
        </w:tblPrEx>
        <w:trPr>
          <w:trHeight w:val="361"/>
        </w:trPr>
        <w:tc>
          <w:tcPr>
            <w:tcW w:w="2337" w:type="dxa"/>
            <w:tcBorders>
              <w:top w:val="nil"/>
            </w:tcBorders>
            <w:vAlign w:val="center"/>
          </w:tcPr>
          <w:p w:rsidR="007C6B58" w:rsidRPr="00D1007A" w:rsidP="00235E40" w14:paraId="0BDEA933" w14:textId="55109BDB">
            <w:pPr>
              <w:rPr>
                <w:b/>
                <w:bCs/>
              </w:rPr>
            </w:pPr>
            <w:r w:rsidRPr="00D1007A">
              <w:rPr>
                <w:b/>
                <w:bCs/>
              </w:rPr>
              <w:t>Hard to reach</w:t>
            </w:r>
            <w:r w:rsidR="00AC48CB">
              <w:rPr>
                <w:b/>
                <w:bCs/>
              </w:rPr>
              <w:t xml:space="preserve"> (n)</w:t>
            </w:r>
          </w:p>
        </w:tc>
        <w:tc>
          <w:tcPr>
            <w:tcW w:w="2337" w:type="dxa"/>
            <w:tcBorders>
              <w:top w:val="nil"/>
            </w:tcBorders>
            <w:vAlign w:val="center"/>
          </w:tcPr>
          <w:p w:rsidR="007C6B58" w:rsidP="00235E40" w14:paraId="780DCCBC" w14:textId="55960B40">
            <w:pPr>
              <w:jc w:val="center"/>
            </w:pPr>
            <w:r>
              <w:t>1,500</w:t>
            </w:r>
          </w:p>
        </w:tc>
        <w:tc>
          <w:tcPr>
            <w:tcW w:w="2338" w:type="dxa"/>
            <w:tcBorders>
              <w:top w:val="nil"/>
            </w:tcBorders>
            <w:vAlign w:val="center"/>
          </w:tcPr>
          <w:p w:rsidR="007C6B58" w:rsidP="00235E40" w14:paraId="447445E0" w14:textId="294AFE90">
            <w:pPr>
              <w:jc w:val="center"/>
            </w:pPr>
            <w:r>
              <w:t>1,500</w:t>
            </w:r>
          </w:p>
        </w:tc>
        <w:tc>
          <w:tcPr>
            <w:tcW w:w="2338" w:type="dxa"/>
            <w:tcBorders>
              <w:top w:val="nil"/>
            </w:tcBorders>
            <w:vAlign w:val="center"/>
          </w:tcPr>
          <w:p w:rsidR="007C6B58" w:rsidRPr="00DF043A" w:rsidP="00031EB1" w14:paraId="3BA98CB3" w14:textId="6AF5CC9A">
            <w:pPr>
              <w:jc w:val="center"/>
            </w:pPr>
            <w:r>
              <w:t>1,400</w:t>
            </w:r>
          </w:p>
        </w:tc>
      </w:tr>
      <w:tr w14:paraId="4B555F11" w14:textId="77777777" w:rsidTr="00AC48CB">
        <w:tblPrEx>
          <w:tblW w:w="0" w:type="auto"/>
          <w:tblLook w:val="04A0"/>
        </w:tblPrEx>
        <w:trPr>
          <w:trHeight w:val="361"/>
        </w:trPr>
        <w:tc>
          <w:tcPr>
            <w:tcW w:w="2337" w:type="dxa"/>
            <w:tcBorders>
              <w:top w:val="nil"/>
            </w:tcBorders>
            <w:vAlign w:val="center"/>
          </w:tcPr>
          <w:p w:rsidR="00DF043A" w:rsidRPr="00AC48CB" w:rsidP="00AC48CB" w14:paraId="145C9CC8" w14:textId="72B0CF37">
            <w:pPr>
              <w:ind w:left="165"/>
            </w:pPr>
            <w:r w:rsidRPr="00AC48CB">
              <w:t>All cases</w:t>
            </w:r>
          </w:p>
        </w:tc>
        <w:tc>
          <w:tcPr>
            <w:tcW w:w="2337" w:type="dxa"/>
            <w:tcBorders>
              <w:top w:val="nil"/>
            </w:tcBorders>
            <w:vAlign w:val="center"/>
          </w:tcPr>
          <w:p w:rsidR="00DF043A" w:rsidP="00235E40" w14:paraId="3FF76DDD" w14:textId="72B72FC5">
            <w:pPr>
              <w:jc w:val="center"/>
            </w:pPr>
            <w:r>
              <w:t>27.4</w:t>
            </w:r>
            <w:r w:rsidR="00AC48CB">
              <w:t>%</w:t>
            </w:r>
          </w:p>
        </w:tc>
        <w:tc>
          <w:tcPr>
            <w:tcW w:w="2338" w:type="dxa"/>
            <w:tcBorders>
              <w:top w:val="nil"/>
            </w:tcBorders>
            <w:vAlign w:val="center"/>
          </w:tcPr>
          <w:p w:rsidR="00DF043A" w:rsidP="00235E40" w14:paraId="123E7C86" w14:textId="78B09445">
            <w:pPr>
              <w:jc w:val="center"/>
            </w:pPr>
            <w:r>
              <w:t>30.4</w:t>
            </w:r>
            <w:r w:rsidR="00AC48CB">
              <w:t>%</w:t>
            </w:r>
          </w:p>
        </w:tc>
        <w:tc>
          <w:tcPr>
            <w:tcW w:w="2338" w:type="dxa"/>
            <w:tcBorders>
              <w:top w:val="nil"/>
            </w:tcBorders>
            <w:vAlign w:val="center"/>
          </w:tcPr>
          <w:p w:rsidR="00DF043A" w:rsidP="00031EB1" w14:paraId="023BCDDE" w14:textId="29351713">
            <w:pPr>
              <w:jc w:val="center"/>
              <w:rPr>
                <w:b/>
                <w:bCs/>
                <w:i/>
                <w:iCs/>
              </w:rPr>
            </w:pPr>
            <w:r>
              <w:rPr>
                <w:b/>
                <w:bCs/>
                <w:i/>
                <w:iCs/>
              </w:rPr>
              <w:t>31.0</w:t>
            </w:r>
            <w:r w:rsidR="00AC48CB">
              <w:rPr>
                <w:b/>
                <w:bCs/>
                <w:i/>
                <w:iCs/>
              </w:rPr>
              <w:t>%</w:t>
            </w:r>
          </w:p>
        </w:tc>
      </w:tr>
      <w:tr w14:paraId="5A014BCD" w14:textId="77777777" w:rsidTr="00AC48CB">
        <w:tblPrEx>
          <w:tblW w:w="0" w:type="auto"/>
          <w:tblLook w:val="04A0"/>
        </w:tblPrEx>
        <w:trPr>
          <w:trHeight w:val="361"/>
        </w:trPr>
        <w:tc>
          <w:tcPr>
            <w:tcW w:w="2337" w:type="dxa"/>
            <w:vAlign w:val="center"/>
          </w:tcPr>
          <w:p w:rsidR="007C6B58" w:rsidP="00235E40" w14:paraId="5327AF01" w14:textId="16AECAAF">
            <w:pPr>
              <w:ind w:left="162"/>
            </w:pPr>
            <w:r>
              <w:t xml:space="preserve">Age </w:t>
            </w:r>
            <w:r>
              <w:t>15</w:t>
            </w:r>
            <w:r w:rsidR="000A2482">
              <w:t xml:space="preserve"> to </w:t>
            </w:r>
            <w:r>
              <w:t>19</w:t>
            </w:r>
          </w:p>
        </w:tc>
        <w:tc>
          <w:tcPr>
            <w:tcW w:w="2337" w:type="dxa"/>
            <w:vAlign w:val="center"/>
          </w:tcPr>
          <w:p w:rsidR="007C6B58" w:rsidP="00235E40" w14:paraId="34718D5C" w14:textId="0350C7BF">
            <w:pPr>
              <w:jc w:val="center"/>
            </w:pPr>
            <w:r>
              <w:t>2</w:t>
            </w:r>
            <w:r w:rsidR="00F27817">
              <w:t>6.4</w:t>
            </w:r>
          </w:p>
        </w:tc>
        <w:tc>
          <w:tcPr>
            <w:tcW w:w="2338" w:type="dxa"/>
            <w:vAlign w:val="center"/>
          </w:tcPr>
          <w:p w:rsidR="007C6B58" w:rsidRPr="009256EC" w:rsidP="00235E40" w14:paraId="0348CDA7" w14:textId="43D8A707">
            <w:pPr>
              <w:jc w:val="center"/>
            </w:pPr>
            <w:r w:rsidRPr="009256EC">
              <w:t>3</w:t>
            </w:r>
            <w:r w:rsidR="00F27817">
              <w:t>0.5</w:t>
            </w:r>
          </w:p>
        </w:tc>
        <w:tc>
          <w:tcPr>
            <w:tcW w:w="2338" w:type="dxa"/>
            <w:vAlign w:val="center"/>
          </w:tcPr>
          <w:p w:rsidR="007C6B58" w:rsidRPr="009256EC" w:rsidP="00031EB1" w14:paraId="1B06413C" w14:textId="1229F609">
            <w:pPr>
              <w:jc w:val="center"/>
              <w:rPr>
                <w:b/>
                <w:bCs/>
                <w:i/>
                <w:iCs/>
              </w:rPr>
            </w:pPr>
            <w:r w:rsidRPr="009256EC">
              <w:rPr>
                <w:b/>
                <w:bCs/>
                <w:i/>
                <w:iCs/>
              </w:rPr>
              <w:t>3</w:t>
            </w:r>
            <w:r w:rsidR="00F27817">
              <w:rPr>
                <w:b/>
                <w:bCs/>
                <w:i/>
                <w:iCs/>
              </w:rPr>
              <w:t>1.0</w:t>
            </w:r>
          </w:p>
        </w:tc>
      </w:tr>
      <w:tr w14:paraId="2B9AE412" w14:textId="77777777" w:rsidTr="00AC48CB">
        <w:tblPrEx>
          <w:tblW w:w="0" w:type="auto"/>
          <w:tblLook w:val="04A0"/>
        </w:tblPrEx>
        <w:trPr>
          <w:trHeight w:val="361"/>
        </w:trPr>
        <w:tc>
          <w:tcPr>
            <w:tcW w:w="2337" w:type="dxa"/>
            <w:vAlign w:val="center"/>
          </w:tcPr>
          <w:p w:rsidR="007C6B58" w:rsidP="00235E40" w14:paraId="7EC5E05E" w14:textId="4B13EE06">
            <w:pPr>
              <w:ind w:left="162"/>
            </w:pPr>
            <w:r>
              <w:t xml:space="preserve">Age </w:t>
            </w:r>
            <w:r>
              <w:t>20</w:t>
            </w:r>
            <w:r w:rsidR="000A2482">
              <w:t xml:space="preserve"> to </w:t>
            </w:r>
            <w:r>
              <w:t>24</w:t>
            </w:r>
          </w:p>
        </w:tc>
        <w:tc>
          <w:tcPr>
            <w:tcW w:w="2337" w:type="dxa"/>
            <w:vAlign w:val="center"/>
          </w:tcPr>
          <w:p w:rsidR="007C6B58" w:rsidP="00235E40" w14:paraId="083D81BE" w14:textId="4D0B898E">
            <w:pPr>
              <w:jc w:val="center"/>
            </w:pPr>
            <w:r>
              <w:t>28.6</w:t>
            </w:r>
          </w:p>
        </w:tc>
        <w:tc>
          <w:tcPr>
            <w:tcW w:w="2338" w:type="dxa"/>
            <w:vAlign w:val="center"/>
          </w:tcPr>
          <w:p w:rsidR="007C6B58" w:rsidP="00235E40" w14:paraId="3AA718C9" w14:textId="4EA8FC02">
            <w:pPr>
              <w:jc w:val="center"/>
            </w:pPr>
            <w:r>
              <w:t>3</w:t>
            </w:r>
            <w:r w:rsidR="00F27817">
              <w:t>0.2</w:t>
            </w:r>
          </w:p>
        </w:tc>
        <w:tc>
          <w:tcPr>
            <w:tcW w:w="2338" w:type="dxa"/>
            <w:vAlign w:val="center"/>
          </w:tcPr>
          <w:p w:rsidR="007C6B58" w:rsidP="00031EB1" w14:paraId="376EAACA" w14:textId="5B2D7071">
            <w:pPr>
              <w:jc w:val="center"/>
            </w:pPr>
            <w:r>
              <w:t>30.9</w:t>
            </w:r>
            <w:r>
              <w:t>%</w:t>
            </w:r>
          </w:p>
        </w:tc>
      </w:tr>
    </w:tbl>
    <w:p w:rsidR="007C6B58" w:rsidP="00E639A5" w14:paraId="68BFC8D8" w14:textId="28D353E4">
      <w:pPr>
        <w:spacing w:before="60"/>
        <w:ind w:left="360" w:hanging="360"/>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p w:rsidR="00D82DF8" w:rsidP="00B35DA6" w14:paraId="3B46E161" w14:textId="77777777"/>
    <w:p w:rsidR="007C6B58" w:rsidP="00B35DA6" w14:paraId="40F7A701" w14:textId="103ACFE9">
      <w:r>
        <w:t xml:space="preserve">Looking closer at the hard to reach group, the significant increase in response for the $10 condition was driven by </w:t>
      </w:r>
      <w:r w:rsidR="004E7D09">
        <w:t>the youngest DPs</w:t>
      </w:r>
      <w:r w:rsidR="000F0759">
        <w:t xml:space="preserve">. For DPs age 15 to 19, the increase in response was significantly higher at </w:t>
      </w:r>
      <w:r w:rsidR="00A77BCC">
        <w:t>4.6</w:t>
      </w:r>
      <w:r w:rsidR="000F0759">
        <w:t xml:space="preserve"> percentage points (F = </w:t>
      </w:r>
      <w:r w:rsidR="00F27817">
        <w:t>3.95</w:t>
      </w:r>
      <w:r w:rsidR="0091351B">
        <w:t xml:space="preserve">, </w:t>
      </w:r>
      <w:r w:rsidR="0091351B">
        <w:rPr>
          <w:i/>
          <w:iCs/>
        </w:rPr>
        <w:t>p</w:t>
      </w:r>
      <w:r w:rsidR="0091351B">
        <w:t xml:space="preserve"> &lt; 0.05)</w:t>
      </w:r>
      <w:r w:rsidR="000F0759">
        <w:t>, compared to DP</w:t>
      </w:r>
      <w:r w:rsidR="0091351B">
        <w:t>s age 20-24</w:t>
      </w:r>
      <w:r w:rsidR="004E7D09">
        <w:t xml:space="preserve"> that yielded</w:t>
      </w:r>
      <w:r w:rsidR="0091351B">
        <w:t xml:space="preserve"> a nominal increase of 2.3 percentage points.</w:t>
      </w:r>
      <w:r w:rsidR="004B26B6">
        <w:t xml:space="preserve"> </w:t>
      </w:r>
    </w:p>
    <w:p w:rsidR="004B26B6" w:rsidP="00B35DA6" w14:paraId="7B1C22B8" w14:textId="1B26B52F">
      <w:r>
        <w:t>Another important research question</w:t>
      </w:r>
      <w:r w:rsidR="00415962">
        <w:t xml:space="preserve"> is how prepaid incentives compare to historical use of </w:t>
      </w:r>
      <w:r>
        <w:t xml:space="preserve">a </w:t>
      </w:r>
      <w:r w:rsidR="00415962">
        <w:t xml:space="preserve">promised incentive in the form of a </w:t>
      </w:r>
      <w:r w:rsidR="003547BA">
        <w:t>debit</w:t>
      </w:r>
      <w:r w:rsidR="00415962">
        <w:t xml:space="preserve"> card with a greater value of $40. </w:t>
      </w:r>
      <w:r w:rsidR="00813878">
        <w:t>Table 2 shows response for regular incentive cases between 2017 and 2019.</w:t>
      </w:r>
    </w:p>
    <w:p w:rsidR="00D82DF8" w:rsidP="00B35DA6" w14:paraId="3CFF1114" w14:textId="77777777"/>
    <w:p w:rsidR="00813878" w:rsidP="00813878" w14:paraId="3AE7B5D5" w14:textId="53C67536">
      <w:r>
        <w:t xml:space="preserve">Table 2: Yearly response rates for regular incentive cases with promised </w:t>
      </w:r>
      <w:r w:rsidR="003547BA">
        <w:t>debit</w:t>
      </w:r>
      <w:r>
        <w:t xml:space="preserve"> card incentives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37"/>
        <w:gridCol w:w="2337"/>
        <w:gridCol w:w="2338"/>
        <w:gridCol w:w="2338"/>
      </w:tblGrid>
      <w:tr w14:paraId="444F5DF5" w14:textId="77777777" w:rsidTr="00AC756A">
        <w:tblPrEx>
          <w:tblW w:w="0" w:type="auto"/>
          <w:tblBorders>
            <w:left w:val="none" w:sz="0" w:space="0" w:color="auto"/>
            <w:right w:val="none" w:sz="0" w:space="0" w:color="auto"/>
            <w:insideH w:val="none" w:sz="0" w:space="0" w:color="auto"/>
            <w:insideV w:val="none" w:sz="0" w:space="0" w:color="auto"/>
          </w:tblBorders>
          <w:tblLook w:val="04A0"/>
        </w:tblPrEx>
        <w:trPr>
          <w:trHeight w:val="335"/>
        </w:trPr>
        <w:tc>
          <w:tcPr>
            <w:tcW w:w="2337" w:type="dxa"/>
            <w:tcBorders>
              <w:bottom w:val="single" w:sz="4" w:space="0" w:color="auto"/>
            </w:tcBorders>
          </w:tcPr>
          <w:p w:rsidR="00813878" w:rsidP="00235E40" w14:paraId="6637810C" w14:textId="77777777"/>
        </w:tc>
        <w:tc>
          <w:tcPr>
            <w:tcW w:w="2337" w:type="dxa"/>
            <w:tcBorders>
              <w:bottom w:val="single" w:sz="4" w:space="0" w:color="auto"/>
            </w:tcBorders>
            <w:vAlign w:val="bottom"/>
          </w:tcPr>
          <w:p w:rsidR="00813878" w:rsidP="00235E40" w14:paraId="7A5E8CF0" w14:textId="5C411287">
            <w:pPr>
              <w:jc w:val="center"/>
            </w:pPr>
            <w:r>
              <w:t>2017</w:t>
            </w:r>
          </w:p>
        </w:tc>
        <w:tc>
          <w:tcPr>
            <w:tcW w:w="2338" w:type="dxa"/>
            <w:tcBorders>
              <w:bottom w:val="single" w:sz="4" w:space="0" w:color="auto"/>
            </w:tcBorders>
            <w:vAlign w:val="bottom"/>
          </w:tcPr>
          <w:p w:rsidR="00813878" w:rsidP="00235E40" w14:paraId="1851BC64" w14:textId="5546F586">
            <w:pPr>
              <w:jc w:val="center"/>
            </w:pPr>
            <w:r>
              <w:t>2018</w:t>
            </w:r>
          </w:p>
        </w:tc>
        <w:tc>
          <w:tcPr>
            <w:tcW w:w="2338" w:type="dxa"/>
            <w:tcBorders>
              <w:bottom w:val="single" w:sz="4" w:space="0" w:color="auto"/>
            </w:tcBorders>
            <w:vAlign w:val="bottom"/>
          </w:tcPr>
          <w:p w:rsidR="00813878" w:rsidP="00235E40" w14:paraId="12B4FCB5" w14:textId="31F5BBDB">
            <w:pPr>
              <w:jc w:val="center"/>
            </w:pPr>
            <w:r>
              <w:t>2019</w:t>
            </w:r>
          </w:p>
        </w:tc>
      </w:tr>
      <w:tr w14:paraId="4B18E116" w14:textId="77777777" w:rsidTr="00AC48CB">
        <w:tblPrEx>
          <w:tblW w:w="0" w:type="auto"/>
          <w:tblLook w:val="04A0"/>
        </w:tblPrEx>
        <w:trPr>
          <w:trHeight w:val="368"/>
        </w:trPr>
        <w:tc>
          <w:tcPr>
            <w:tcW w:w="2337" w:type="dxa"/>
            <w:tcBorders>
              <w:top w:val="single" w:sz="4" w:space="0" w:color="auto"/>
              <w:bottom w:val="single" w:sz="4" w:space="0" w:color="auto"/>
            </w:tcBorders>
            <w:vAlign w:val="center"/>
          </w:tcPr>
          <w:p w:rsidR="00813878" w:rsidRPr="00D1007A" w:rsidP="00235E40" w14:paraId="33D44E4E" w14:textId="407A204A">
            <w:pPr>
              <w:rPr>
                <w:b/>
                <w:bCs/>
              </w:rPr>
            </w:pPr>
            <w:r>
              <w:rPr>
                <w:b/>
                <w:bCs/>
              </w:rPr>
              <w:t>Response</w:t>
            </w:r>
          </w:p>
        </w:tc>
        <w:tc>
          <w:tcPr>
            <w:tcW w:w="2337" w:type="dxa"/>
            <w:tcBorders>
              <w:top w:val="single" w:sz="4" w:space="0" w:color="auto"/>
              <w:bottom w:val="single" w:sz="4" w:space="0" w:color="auto"/>
            </w:tcBorders>
            <w:vAlign w:val="center"/>
          </w:tcPr>
          <w:p w:rsidR="00813878" w:rsidP="00235E40" w14:paraId="72CCD90E" w14:textId="2794299B">
            <w:pPr>
              <w:jc w:val="center"/>
            </w:pPr>
            <w:r>
              <w:t>38.5%</w:t>
            </w:r>
          </w:p>
        </w:tc>
        <w:tc>
          <w:tcPr>
            <w:tcW w:w="2338" w:type="dxa"/>
            <w:tcBorders>
              <w:top w:val="single" w:sz="4" w:space="0" w:color="auto"/>
              <w:bottom w:val="single" w:sz="4" w:space="0" w:color="auto"/>
            </w:tcBorders>
            <w:vAlign w:val="center"/>
          </w:tcPr>
          <w:p w:rsidR="00813878" w:rsidP="00235E40" w14:paraId="37AFDC4E" w14:textId="4680F0E3">
            <w:pPr>
              <w:jc w:val="center"/>
            </w:pPr>
            <w:r>
              <w:t>32.5</w:t>
            </w:r>
            <w:r>
              <w:t>%</w:t>
            </w:r>
          </w:p>
        </w:tc>
        <w:tc>
          <w:tcPr>
            <w:tcW w:w="2338" w:type="dxa"/>
            <w:tcBorders>
              <w:top w:val="single" w:sz="4" w:space="0" w:color="auto"/>
              <w:bottom w:val="single" w:sz="4" w:space="0" w:color="auto"/>
            </w:tcBorders>
            <w:vAlign w:val="center"/>
          </w:tcPr>
          <w:p w:rsidR="00813878" w:rsidRPr="00AC756A" w:rsidP="00235E40" w14:paraId="70A37DAA" w14:textId="1119D885">
            <w:pPr>
              <w:jc w:val="center"/>
            </w:pPr>
            <w:r>
              <w:t>33.1</w:t>
            </w:r>
            <w:r w:rsidRPr="00AC756A">
              <w:t>%</w:t>
            </w:r>
          </w:p>
        </w:tc>
      </w:tr>
    </w:tbl>
    <w:p w:rsidR="00813878" w:rsidRPr="00E639A5" w:rsidP="00E639A5" w14:paraId="04CE3B91" w14:textId="056C615B">
      <w:pPr>
        <w:spacing w:before="60"/>
        <w:rPr>
          <w:sz w:val="18"/>
          <w:szCs w:val="18"/>
        </w:rPr>
      </w:pPr>
      <w:r w:rsidRPr="00E639A5">
        <w:rPr>
          <w:sz w:val="18"/>
          <w:szCs w:val="18"/>
        </w:rPr>
        <w:t>Source: ATUS Case History file 2017 through 2019 (</w:t>
      </w:r>
      <w:r w:rsidR="00774B20">
        <w:rPr>
          <w:sz w:val="18"/>
          <w:szCs w:val="18"/>
        </w:rPr>
        <w:t xml:space="preserve">public use files </w:t>
      </w:r>
      <w:r w:rsidRPr="00E639A5">
        <w:rPr>
          <w:sz w:val="18"/>
          <w:szCs w:val="18"/>
        </w:rPr>
        <w:t>accessed from: https://www.bls.gov/tus/#data)</w:t>
      </w:r>
    </w:p>
    <w:p w:rsidR="00D82DF8" w:rsidP="00B35DA6" w14:paraId="43A3637D" w14:textId="77777777"/>
    <w:p w:rsidR="00813878" w:rsidP="00B35DA6" w14:paraId="1F2A756E" w14:textId="4FE3CF4F">
      <w:r>
        <w:t>Compar</w:t>
      </w:r>
      <w:r w:rsidR="00462EE0">
        <w:t>ing the observed significantly higher rate of response for the $10 condition of 20.6% to even the lowest observed rate of 32.5% shows a much lower level of survey response</w:t>
      </w:r>
      <w:r w:rsidR="00722D77">
        <w:t xml:space="preserve"> with the prepaid incentive</w:t>
      </w:r>
      <w:r w:rsidR="00462EE0">
        <w:t>. As noted earlier, ATUS continues to experience declines in response over time. Table 2 shows a decrease of 6 percentage points between 2017 and 2018</w:t>
      </w:r>
      <w:r w:rsidR="00E62935">
        <w:t xml:space="preserve"> (with a small increase between 2018 and 2019) for regular incentive cases. Due to the</w:t>
      </w:r>
      <w:r w:rsidR="002008DF">
        <w:t xml:space="preserve"> prepaid</w:t>
      </w:r>
      <w:r w:rsidR="00E62935">
        <w:t xml:space="preserve"> incentive experiment</w:t>
      </w:r>
      <w:r w:rsidR="00722D77">
        <w:t>,</w:t>
      </w:r>
      <w:r w:rsidR="00E62935">
        <w:t xml:space="preserve"> direct comparisons cannot be made</w:t>
      </w:r>
      <w:r w:rsidR="00C709D0">
        <w:t xml:space="preserve"> to corresponding time periods</w:t>
      </w:r>
      <w:r w:rsidR="00E62935">
        <w:t xml:space="preserve">. Additionally, there may have been </w:t>
      </w:r>
      <w:r w:rsidR="008D26E5">
        <w:t>further</w:t>
      </w:r>
      <w:r w:rsidR="00E62935">
        <w:t xml:space="preserve"> effects on response due to the COVID-19 pandemic</w:t>
      </w:r>
      <w:r w:rsidR="00C709D0">
        <w:t xml:space="preserve"> that affected the prepaid incentive study</w:t>
      </w:r>
      <w:r w:rsidR="00E62935">
        <w:t xml:space="preserve">. Excluding 2020, when ATUS data collection was shut down for three months, response to the ATUS </w:t>
      </w:r>
      <w:r w:rsidR="00C709D0">
        <w:t xml:space="preserve">(overall response) </w:t>
      </w:r>
      <w:r w:rsidR="00E62935">
        <w:t>decreased from 42.0% in 2019 to 39.4% in 2021.</w:t>
      </w:r>
      <w:r w:rsidR="00C709D0">
        <w:t xml:space="preserve"> Assuming a </w:t>
      </w:r>
      <w:r w:rsidR="005623AC">
        <w:t xml:space="preserve">continuing </w:t>
      </w:r>
      <w:r w:rsidR="00C709D0">
        <w:t xml:space="preserve">rate of decline similar to that observed </w:t>
      </w:r>
      <w:r w:rsidR="00386435">
        <w:t xml:space="preserve">for regular incentive cases </w:t>
      </w:r>
      <w:r w:rsidR="00C709D0">
        <w:t>between 2017 and 2018</w:t>
      </w:r>
      <w:r w:rsidR="00386435">
        <w:t>, a projected rate for 2021</w:t>
      </w:r>
      <w:r w:rsidR="005623AC">
        <w:t xml:space="preserve"> (using </w:t>
      </w:r>
      <w:r w:rsidR="003547BA">
        <w:t>debit</w:t>
      </w:r>
      <w:r w:rsidR="005623AC">
        <w:t xml:space="preserve"> cards)</w:t>
      </w:r>
      <w:r w:rsidR="00386435">
        <w:t xml:space="preserve"> would</w:t>
      </w:r>
      <w:r w:rsidR="005623AC">
        <w:t xml:space="preserve"> likely</w:t>
      </w:r>
      <w:r w:rsidR="00386435">
        <w:t xml:space="preserve"> still be </w:t>
      </w:r>
      <w:r w:rsidR="00985BF4">
        <w:t xml:space="preserve">at least </w:t>
      </w:r>
      <w:r w:rsidR="00386435">
        <w:t xml:space="preserve">6 to 7 percentage points higher than the rate of 20.6% observed for the $10 prepaid condition. </w:t>
      </w:r>
    </w:p>
    <w:p w:rsidR="004E7D09" w:rsidRPr="001B6596" w:rsidP="00B35DA6" w14:paraId="0A03D39E" w14:textId="6FE91E1C">
      <w:pPr>
        <w:rPr>
          <w:i/>
          <w:iCs/>
        </w:rPr>
      </w:pPr>
      <w:r w:rsidRPr="001B6596">
        <w:rPr>
          <w:i/>
          <w:iCs/>
        </w:rPr>
        <w:t xml:space="preserve">Summary </w:t>
      </w:r>
      <w:r w:rsidRPr="001B6596">
        <w:rPr>
          <w:i/>
          <w:iCs/>
        </w:rPr>
        <w:t xml:space="preserve">Findings: </w:t>
      </w:r>
      <w:r w:rsidRPr="001B6596" w:rsidR="00CF6B11">
        <w:rPr>
          <w:i/>
          <w:iCs/>
        </w:rPr>
        <w:t>Response to the ATUS.</w:t>
      </w:r>
    </w:p>
    <w:p w:rsidR="004E7D09" w:rsidRPr="006C496B" w:rsidP="006C496B" w14:paraId="20BED8E8" w14:textId="5EA28625">
      <w:pPr>
        <w:ind w:left="720" w:right="720"/>
        <w:rPr>
          <w:b/>
          <w:bCs/>
          <w:i/>
          <w:iCs/>
        </w:rPr>
      </w:pPr>
      <w:r w:rsidRPr="006C496B">
        <w:rPr>
          <w:b/>
          <w:bCs/>
          <w:i/>
          <w:iCs/>
        </w:rPr>
        <w:t>Considering the effect of prepaid incentives, $10 was observed to significantly increase response for both the regular incentive cases and hard to reach cases.</w:t>
      </w:r>
    </w:p>
    <w:p w:rsidR="004E7D09" w:rsidP="006C496B" w14:paraId="0247FA6A" w14:textId="4D48C153">
      <w:pPr>
        <w:ind w:left="720" w:right="720"/>
        <w:rPr>
          <w:b/>
          <w:bCs/>
          <w:i/>
          <w:iCs/>
        </w:rPr>
      </w:pPr>
      <w:r w:rsidRPr="006C496B">
        <w:rPr>
          <w:b/>
          <w:bCs/>
          <w:i/>
          <w:iCs/>
        </w:rPr>
        <w:t>While a prepaid incentive of $10 significantly increased response for regular incentive cases, compared to no incentive, the level of response achieved is likely to be at least six to seven percentage points</w:t>
      </w:r>
      <w:r w:rsidRPr="006C496B" w:rsidR="006C496B">
        <w:rPr>
          <w:b/>
          <w:bCs/>
          <w:i/>
          <w:iCs/>
        </w:rPr>
        <w:t xml:space="preserve"> lower than</w:t>
      </w:r>
      <w:r w:rsidRPr="006C496B">
        <w:rPr>
          <w:b/>
          <w:bCs/>
          <w:i/>
          <w:iCs/>
        </w:rPr>
        <w:t xml:space="preserve"> what could be expected from the use of a </w:t>
      </w:r>
      <w:r w:rsidRPr="006C496B" w:rsidR="006C496B">
        <w:rPr>
          <w:b/>
          <w:bCs/>
          <w:i/>
          <w:iCs/>
        </w:rPr>
        <w:t xml:space="preserve">promised </w:t>
      </w:r>
      <w:r w:rsidRPr="006C496B">
        <w:rPr>
          <w:b/>
          <w:bCs/>
          <w:i/>
          <w:iCs/>
        </w:rPr>
        <w:t xml:space="preserve">$40 </w:t>
      </w:r>
      <w:r w:rsidR="003547BA">
        <w:rPr>
          <w:b/>
          <w:bCs/>
          <w:i/>
          <w:iCs/>
        </w:rPr>
        <w:t>debit</w:t>
      </w:r>
      <w:r w:rsidRPr="006C496B">
        <w:rPr>
          <w:b/>
          <w:bCs/>
          <w:i/>
          <w:iCs/>
        </w:rPr>
        <w:t xml:space="preserve"> card.</w:t>
      </w:r>
    </w:p>
    <w:p w:rsidR="00CF6B11" w:rsidRPr="00CF6B11" w:rsidP="00CF6B11" w14:paraId="35334982" w14:textId="77777777">
      <w:pPr>
        <w:ind w:right="720"/>
      </w:pPr>
    </w:p>
    <w:p w:rsidR="006C496B" w:rsidRPr="006C496B" w:rsidP="006C496B" w14:paraId="3636F24A" w14:textId="5C0FFEE8">
      <w:pPr>
        <w:ind w:left="180"/>
        <w:rPr>
          <w:b/>
          <w:bCs/>
        </w:rPr>
      </w:pPr>
      <w:r w:rsidRPr="006C496B">
        <w:rPr>
          <w:b/>
          <w:bCs/>
        </w:rPr>
        <w:t>Respondent Compositions</w:t>
      </w:r>
    </w:p>
    <w:p w:rsidR="00821614" w14:paraId="10A4E5A0" w14:textId="746B1AE4">
      <w:r>
        <w:t xml:space="preserve">Respondent compositions are compared for each incentive condition to the compositions for the sample. This was done as there is concern that monetary incentives elicit participation from sample members with similar demographic compositions. That is, </w:t>
      </w:r>
      <w:r w:rsidR="00CF6B11">
        <w:t xml:space="preserve">bringing in more </w:t>
      </w:r>
      <w:r>
        <w:t xml:space="preserve">respondents who are similar to those that participate without an incentive. Due to the generally low rate of response across all conditions, no group closely matches the </w:t>
      </w:r>
      <w:r w:rsidR="00CF6B11">
        <w:t>distribution for the sample</w:t>
      </w:r>
      <w:r>
        <w:t xml:space="preserve">. Generally, weighting </w:t>
      </w:r>
      <w:r w:rsidR="00F8617F">
        <w:t>adjusts</w:t>
      </w:r>
      <w:r>
        <w:t xml:space="preserve"> for these differences, however those with low representation would require larger weights</w:t>
      </w:r>
      <w:r w:rsidR="00990E98">
        <w:t xml:space="preserve"> and thus increas</w:t>
      </w:r>
      <w:r w:rsidR="005F1BBA">
        <w:t>e</w:t>
      </w:r>
      <w:r w:rsidR="00990E98">
        <w:t xml:space="preserve"> variance. If monetary incentives can elicit participation from underrepresented groups, this can improve the utility of the collected data.</w:t>
      </w:r>
    </w:p>
    <w:p w:rsidR="00D82DF8" w14:paraId="4BF380A2" w14:textId="77777777"/>
    <w:p w:rsidR="00821614" w:rsidP="00CE3C8B" w14:paraId="2BDFE928" w14:textId="09DF7243">
      <w:pPr>
        <w:ind w:left="810" w:hanging="810"/>
      </w:pPr>
      <w:r>
        <w:t xml:space="preserve">Table </w:t>
      </w:r>
      <w:r w:rsidR="004611E5">
        <w:t>3</w:t>
      </w:r>
      <w:r>
        <w:t xml:space="preserve">: </w:t>
      </w:r>
      <w:r w:rsidR="004611E5">
        <w:t xml:space="preserve">Distribution of </w:t>
      </w:r>
      <w:r w:rsidR="00CE3C8B">
        <w:t>sample compositions and compositions for respondents in each incentive condition for regular incentive group</w:t>
      </w:r>
    </w:p>
    <w:tbl>
      <w:tblPr>
        <w:tblStyle w:val="TableGrid"/>
        <w:tblW w:w="9360" w:type="dxa"/>
        <w:tblBorders>
          <w:left w:val="none" w:sz="0" w:space="0" w:color="auto"/>
          <w:right w:val="none" w:sz="0" w:space="0" w:color="auto"/>
          <w:insideH w:val="none" w:sz="0" w:space="0" w:color="auto"/>
          <w:insideV w:val="none" w:sz="0" w:space="0" w:color="auto"/>
        </w:tblBorders>
        <w:tblLook w:val="04A0"/>
      </w:tblPr>
      <w:tblGrid>
        <w:gridCol w:w="3510"/>
        <w:gridCol w:w="1462"/>
        <w:gridCol w:w="1463"/>
        <w:gridCol w:w="1462"/>
        <w:gridCol w:w="1463"/>
      </w:tblGrid>
      <w:tr w14:paraId="465FDAA5" w14:textId="77777777" w:rsidTr="00D82DF8">
        <w:tblPrEx>
          <w:tblW w:w="9360" w:type="dxa"/>
          <w:tblBorders>
            <w:left w:val="none" w:sz="0" w:space="0" w:color="auto"/>
            <w:right w:val="none" w:sz="0" w:space="0" w:color="auto"/>
            <w:insideH w:val="none" w:sz="0" w:space="0" w:color="auto"/>
            <w:insideV w:val="none" w:sz="0" w:space="0" w:color="auto"/>
          </w:tblBorders>
          <w:tblLook w:val="04A0"/>
        </w:tblPrEx>
        <w:trPr>
          <w:trHeight w:val="343"/>
          <w:tblHeader/>
        </w:trPr>
        <w:tc>
          <w:tcPr>
            <w:tcW w:w="3510" w:type="dxa"/>
            <w:tcBorders>
              <w:bottom w:val="single" w:sz="4" w:space="0" w:color="auto"/>
            </w:tcBorders>
          </w:tcPr>
          <w:p w:rsidR="00821614" w:rsidP="00235E40" w14:paraId="48005E16" w14:textId="77777777"/>
        </w:tc>
        <w:tc>
          <w:tcPr>
            <w:tcW w:w="1462" w:type="dxa"/>
            <w:tcBorders>
              <w:bottom w:val="single" w:sz="4" w:space="0" w:color="auto"/>
            </w:tcBorders>
            <w:vAlign w:val="bottom"/>
          </w:tcPr>
          <w:p w:rsidR="00821614" w:rsidP="00821614" w14:paraId="1A3EFFFB" w14:textId="5C27F9E6">
            <w:pPr>
              <w:jc w:val="center"/>
            </w:pPr>
            <w:r>
              <w:t>Sample</w:t>
            </w:r>
          </w:p>
        </w:tc>
        <w:tc>
          <w:tcPr>
            <w:tcW w:w="1463" w:type="dxa"/>
            <w:tcBorders>
              <w:bottom w:val="single" w:sz="4" w:space="0" w:color="auto"/>
            </w:tcBorders>
            <w:vAlign w:val="bottom"/>
          </w:tcPr>
          <w:p w:rsidR="00821614" w:rsidP="00235E40" w14:paraId="51265D2D" w14:textId="47621EA8">
            <w:pPr>
              <w:jc w:val="center"/>
            </w:pPr>
            <w:r>
              <w:t>$0</w:t>
            </w:r>
          </w:p>
        </w:tc>
        <w:tc>
          <w:tcPr>
            <w:tcW w:w="1462" w:type="dxa"/>
            <w:tcBorders>
              <w:bottom w:val="single" w:sz="4" w:space="0" w:color="auto"/>
            </w:tcBorders>
            <w:vAlign w:val="bottom"/>
          </w:tcPr>
          <w:p w:rsidR="00821614" w:rsidP="00235E40" w14:paraId="47D16E26" w14:textId="77777777">
            <w:pPr>
              <w:jc w:val="center"/>
            </w:pPr>
            <w:r>
              <w:t>$5</w:t>
            </w:r>
          </w:p>
        </w:tc>
        <w:tc>
          <w:tcPr>
            <w:tcW w:w="1463" w:type="dxa"/>
            <w:tcBorders>
              <w:bottom w:val="single" w:sz="4" w:space="0" w:color="auto"/>
            </w:tcBorders>
            <w:vAlign w:val="bottom"/>
          </w:tcPr>
          <w:p w:rsidR="00821614" w:rsidP="00235E40" w14:paraId="487B89BC" w14:textId="77777777">
            <w:pPr>
              <w:jc w:val="center"/>
            </w:pPr>
            <w:r>
              <w:t>$10</w:t>
            </w:r>
          </w:p>
        </w:tc>
      </w:tr>
      <w:tr w14:paraId="5CB2D20A" w14:textId="77777777" w:rsidTr="001170B6">
        <w:tblPrEx>
          <w:tblW w:w="9360" w:type="dxa"/>
          <w:tblLook w:val="04A0"/>
        </w:tblPrEx>
        <w:trPr>
          <w:trHeight w:val="343"/>
        </w:trPr>
        <w:tc>
          <w:tcPr>
            <w:tcW w:w="3510" w:type="dxa"/>
            <w:tcBorders>
              <w:top w:val="single" w:sz="4" w:space="0" w:color="auto"/>
              <w:bottom w:val="nil"/>
            </w:tcBorders>
            <w:vAlign w:val="center"/>
          </w:tcPr>
          <w:p w:rsidR="00821614" w:rsidRPr="00D1007A" w:rsidP="00235E40" w14:paraId="6653D49D" w14:textId="6D56552D">
            <w:pPr>
              <w:rPr>
                <w:b/>
                <w:bCs/>
                <w:vertAlign w:val="superscript"/>
              </w:rPr>
            </w:pPr>
            <w:r>
              <w:rPr>
                <w:b/>
                <w:bCs/>
              </w:rPr>
              <w:t>Regular Incentive</w:t>
            </w:r>
            <w:r w:rsidRPr="00D1007A">
              <w:rPr>
                <w:b/>
                <w:bCs/>
              </w:rPr>
              <w:t xml:space="preserve"> Group</w:t>
            </w:r>
            <w:r w:rsidRPr="00D1007A" w:rsidR="00AF4077">
              <w:rPr>
                <w:b/>
                <w:bCs/>
              </w:rPr>
              <w:t xml:space="preserve"> (n)</w:t>
            </w:r>
            <w:r w:rsidRPr="00D1007A" w:rsidR="005141B1">
              <w:rPr>
                <w:b/>
                <w:bCs/>
                <w:vertAlign w:val="superscript"/>
              </w:rPr>
              <w:t>1</w:t>
            </w:r>
          </w:p>
        </w:tc>
        <w:tc>
          <w:tcPr>
            <w:tcW w:w="1462" w:type="dxa"/>
            <w:tcBorders>
              <w:top w:val="single" w:sz="4" w:space="0" w:color="auto"/>
              <w:bottom w:val="nil"/>
            </w:tcBorders>
            <w:vAlign w:val="center"/>
          </w:tcPr>
          <w:p w:rsidR="00821614" w:rsidP="00821614" w14:paraId="53A1A515" w14:textId="58163754">
            <w:pPr>
              <w:jc w:val="center"/>
            </w:pPr>
            <w:r>
              <w:t>1,</w:t>
            </w:r>
            <w:r w:rsidR="004611E5">
              <w:t>8</w:t>
            </w:r>
            <w:r>
              <w:t>00</w:t>
            </w:r>
          </w:p>
        </w:tc>
        <w:tc>
          <w:tcPr>
            <w:tcW w:w="1463" w:type="dxa"/>
            <w:tcBorders>
              <w:top w:val="single" w:sz="4" w:space="0" w:color="auto"/>
              <w:bottom w:val="nil"/>
            </w:tcBorders>
            <w:vAlign w:val="center"/>
          </w:tcPr>
          <w:p w:rsidR="00821614" w:rsidP="00235E40" w14:paraId="391081B9" w14:textId="3B5A65C6">
            <w:pPr>
              <w:jc w:val="center"/>
            </w:pPr>
            <w:r>
              <w:t>100</w:t>
            </w:r>
          </w:p>
        </w:tc>
        <w:tc>
          <w:tcPr>
            <w:tcW w:w="1462" w:type="dxa"/>
            <w:tcBorders>
              <w:top w:val="single" w:sz="4" w:space="0" w:color="auto"/>
              <w:bottom w:val="nil"/>
            </w:tcBorders>
            <w:vAlign w:val="center"/>
          </w:tcPr>
          <w:p w:rsidR="00821614" w:rsidP="00235E40" w14:paraId="494D6542" w14:textId="0E1DF4BB">
            <w:pPr>
              <w:jc w:val="center"/>
            </w:pPr>
            <w:r>
              <w:t>100</w:t>
            </w:r>
          </w:p>
        </w:tc>
        <w:tc>
          <w:tcPr>
            <w:tcW w:w="1463" w:type="dxa"/>
            <w:tcBorders>
              <w:top w:val="single" w:sz="4" w:space="0" w:color="auto"/>
              <w:bottom w:val="nil"/>
            </w:tcBorders>
            <w:vAlign w:val="center"/>
          </w:tcPr>
          <w:p w:rsidR="00821614" w:rsidRPr="00821614" w:rsidP="00235E40" w14:paraId="393260A8" w14:textId="3973FE33">
            <w:pPr>
              <w:jc w:val="center"/>
            </w:pPr>
            <w:r>
              <w:t>150</w:t>
            </w:r>
          </w:p>
        </w:tc>
      </w:tr>
      <w:tr w14:paraId="0A844317" w14:textId="77777777" w:rsidTr="001170B6">
        <w:tblPrEx>
          <w:tblW w:w="9360" w:type="dxa"/>
          <w:tblLook w:val="04A0"/>
        </w:tblPrEx>
        <w:trPr>
          <w:trHeight w:val="343"/>
        </w:trPr>
        <w:tc>
          <w:tcPr>
            <w:tcW w:w="3510" w:type="dxa"/>
            <w:tcBorders>
              <w:top w:val="nil"/>
              <w:bottom w:val="nil"/>
            </w:tcBorders>
            <w:vAlign w:val="center"/>
          </w:tcPr>
          <w:p w:rsidR="00821614" w:rsidRPr="00D1007A" w:rsidP="009A61D3" w14:paraId="22C2D77F" w14:textId="1B1D0166">
            <w:pPr>
              <w:rPr>
                <w:b/>
                <w:bCs/>
              </w:rPr>
            </w:pPr>
            <w:r w:rsidRPr="00D1007A">
              <w:rPr>
                <w:b/>
                <w:bCs/>
              </w:rPr>
              <w:t>Age</w:t>
            </w:r>
          </w:p>
        </w:tc>
        <w:tc>
          <w:tcPr>
            <w:tcW w:w="1462" w:type="dxa"/>
            <w:tcBorders>
              <w:top w:val="nil"/>
              <w:bottom w:val="nil"/>
            </w:tcBorders>
            <w:vAlign w:val="center"/>
          </w:tcPr>
          <w:p w:rsidR="00821614" w:rsidP="00821614" w14:paraId="27D1E573" w14:textId="77777777">
            <w:pPr>
              <w:jc w:val="center"/>
            </w:pPr>
          </w:p>
        </w:tc>
        <w:tc>
          <w:tcPr>
            <w:tcW w:w="1463" w:type="dxa"/>
            <w:tcBorders>
              <w:top w:val="nil"/>
              <w:bottom w:val="nil"/>
            </w:tcBorders>
            <w:vAlign w:val="center"/>
          </w:tcPr>
          <w:p w:rsidR="00821614" w:rsidP="00235E40" w14:paraId="3A5C3D1A" w14:textId="77777777">
            <w:pPr>
              <w:jc w:val="center"/>
            </w:pPr>
          </w:p>
        </w:tc>
        <w:tc>
          <w:tcPr>
            <w:tcW w:w="1462" w:type="dxa"/>
            <w:tcBorders>
              <w:top w:val="nil"/>
              <w:bottom w:val="nil"/>
            </w:tcBorders>
            <w:vAlign w:val="center"/>
          </w:tcPr>
          <w:p w:rsidR="00821614" w:rsidP="00235E40" w14:paraId="7FA0DD7E" w14:textId="77777777">
            <w:pPr>
              <w:jc w:val="center"/>
            </w:pPr>
          </w:p>
        </w:tc>
        <w:tc>
          <w:tcPr>
            <w:tcW w:w="1463" w:type="dxa"/>
            <w:tcBorders>
              <w:top w:val="nil"/>
              <w:bottom w:val="nil"/>
            </w:tcBorders>
            <w:vAlign w:val="center"/>
          </w:tcPr>
          <w:p w:rsidR="00821614" w:rsidRPr="00821614" w:rsidP="00235E40" w14:paraId="595E1CD0" w14:textId="77777777">
            <w:pPr>
              <w:jc w:val="center"/>
            </w:pPr>
          </w:p>
        </w:tc>
      </w:tr>
      <w:tr w14:paraId="7DA33685" w14:textId="77777777" w:rsidTr="001170B6">
        <w:tblPrEx>
          <w:tblW w:w="9360" w:type="dxa"/>
          <w:tblLook w:val="04A0"/>
        </w:tblPrEx>
        <w:trPr>
          <w:trHeight w:val="343"/>
        </w:trPr>
        <w:tc>
          <w:tcPr>
            <w:tcW w:w="3510" w:type="dxa"/>
            <w:tcBorders>
              <w:top w:val="nil"/>
              <w:bottom w:val="nil"/>
            </w:tcBorders>
            <w:vAlign w:val="center"/>
          </w:tcPr>
          <w:p w:rsidR="00821614" w:rsidP="009A61D3" w14:paraId="27473140" w14:textId="2734B420">
            <w:pPr>
              <w:ind w:left="165"/>
            </w:pPr>
            <w:r>
              <w:t>Not provided</w:t>
            </w:r>
          </w:p>
        </w:tc>
        <w:tc>
          <w:tcPr>
            <w:tcW w:w="1462" w:type="dxa"/>
            <w:tcBorders>
              <w:top w:val="nil"/>
              <w:bottom w:val="nil"/>
            </w:tcBorders>
            <w:vAlign w:val="center"/>
          </w:tcPr>
          <w:p w:rsidR="00821614" w:rsidP="00821614" w14:paraId="71391B2B" w14:textId="49310B22">
            <w:pPr>
              <w:jc w:val="center"/>
            </w:pPr>
            <w:r>
              <w:t>8.6</w:t>
            </w:r>
            <w:r w:rsidR="001F79D8">
              <w:t>%</w:t>
            </w:r>
          </w:p>
        </w:tc>
        <w:tc>
          <w:tcPr>
            <w:tcW w:w="1463" w:type="dxa"/>
            <w:tcBorders>
              <w:top w:val="nil"/>
              <w:bottom w:val="nil"/>
            </w:tcBorders>
            <w:vAlign w:val="center"/>
          </w:tcPr>
          <w:p w:rsidR="00821614" w:rsidP="00235E40" w14:paraId="36D4464B" w14:textId="7984F622">
            <w:pPr>
              <w:jc w:val="center"/>
            </w:pPr>
            <w:r>
              <w:t>4.5</w:t>
            </w:r>
            <w:r w:rsidR="001F79D8">
              <w:t>%</w:t>
            </w:r>
          </w:p>
        </w:tc>
        <w:tc>
          <w:tcPr>
            <w:tcW w:w="1462" w:type="dxa"/>
            <w:tcBorders>
              <w:top w:val="nil"/>
              <w:bottom w:val="nil"/>
            </w:tcBorders>
            <w:vAlign w:val="center"/>
          </w:tcPr>
          <w:p w:rsidR="00821614" w:rsidP="00235E40" w14:paraId="089986E3" w14:textId="7CE36DEF">
            <w:pPr>
              <w:jc w:val="center"/>
            </w:pPr>
            <w:r>
              <w:t>3.1</w:t>
            </w:r>
            <w:r w:rsidR="001F79D8">
              <w:t>%</w:t>
            </w:r>
          </w:p>
        </w:tc>
        <w:tc>
          <w:tcPr>
            <w:tcW w:w="1463" w:type="dxa"/>
            <w:tcBorders>
              <w:top w:val="nil"/>
              <w:bottom w:val="nil"/>
            </w:tcBorders>
            <w:vAlign w:val="center"/>
          </w:tcPr>
          <w:p w:rsidR="00821614" w:rsidRPr="00821614" w:rsidP="00235E40" w14:paraId="04D86B90" w14:textId="3BFD6621">
            <w:pPr>
              <w:jc w:val="center"/>
            </w:pPr>
            <w:r>
              <w:t>2.4</w:t>
            </w:r>
            <w:r w:rsidR="001F79D8">
              <w:t>%</w:t>
            </w:r>
          </w:p>
        </w:tc>
      </w:tr>
      <w:tr w14:paraId="1612895F" w14:textId="77777777" w:rsidTr="001170B6">
        <w:tblPrEx>
          <w:tblW w:w="9360" w:type="dxa"/>
          <w:tblLook w:val="04A0"/>
        </w:tblPrEx>
        <w:trPr>
          <w:trHeight w:val="343"/>
        </w:trPr>
        <w:tc>
          <w:tcPr>
            <w:tcW w:w="3510" w:type="dxa"/>
            <w:tcBorders>
              <w:top w:val="nil"/>
              <w:bottom w:val="nil"/>
            </w:tcBorders>
            <w:vAlign w:val="center"/>
          </w:tcPr>
          <w:p w:rsidR="00821614" w:rsidP="009A61D3" w14:paraId="425DC207" w14:textId="2FD91D74">
            <w:pPr>
              <w:ind w:left="165"/>
            </w:pPr>
            <w:r>
              <w:t>15</w:t>
            </w:r>
            <w:r w:rsidR="000A2482">
              <w:t xml:space="preserve"> to </w:t>
            </w:r>
            <w:r>
              <w:t>24</w:t>
            </w:r>
          </w:p>
        </w:tc>
        <w:tc>
          <w:tcPr>
            <w:tcW w:w="1462" w:type="dxa"/>
            <w:tcBorders>
              <w:top w:val="nil"/>
              <w:bottom w:val="nil"/>
            </w:tcBorders>
            <w:vAlign w:val="center"/>
          </w:tcPr>
          <w:p w:rsidR="00821614" w:rsidP="00821614" w14:paraId="21E96495" w14:textId="09FEA030">
            <w:pPr>
              <w:jc w:val="center"/>
            </w:pPr>
            <w:r>
              <w:t>10.1</w:t>
            </w:r>
          </w:p>
        </w:tc>
        <w:tc>
          <w:tcPr>
            <w:tcW w:w="1463" w:type="dxa"/>
            <w:tcBorders>
              <w:top w:val="nil"/>
              <w:bottom w:val="nil"/>
            </w:tcBorders>
            <w:vAlign w:val="center"/>
          </w:tcPr>
          <w:p w:rsidR="00821614" w:rsidP="00235E40" w14:paraId="11C45A09" w14:textId="79EC1CB8">
            <w:pPr>
              <w:jc w:val="center"/>
            </w:pPr>
            <w:r>
              <w:t>3.4</w:t>
            </w:r>
          </w:p>
        </w:tc>
        <w:tc>
          <w:tcPr>
            <w:tcW w:w="1462" w:type="dxa"/>
            <w:tcBorders>
              <w:top w:val="nil"/>
              <w:bottom w:val="nil"/>
            </w:tcBorders>
            <w:vAlign w:val="center"/>
          </w:tcPr>
          <w:p w:rsidR="00821614" w:rsidP="00235E40" w14:paraId="34BEBDB3" w14:textId="5B857FD3">
            <w:pPr>
              <w:jc w:val="center"/>
            </w:pPr>
            <w:r>
              <w:t>10.3</w:t>
            </w:r>
          </w:p>
        </w:tc>
        <w:tc>
          <w:tcPr>
            <w:tcW w:w="1463" w:type="dxa"/>
            <w:tcBorders>
              <w:top w:val="nil"/>
              <w:bottom w:val="nil"/>
            </w:tcBorders>
            <w:vAlign w:val="center"/>
          </w:tcPr>
          <w:p w:rsidR="00821614" w:rsidRPr="00821614" w:rsidP="00235E40" w14:paraId="148038DF" w14:textId="1ECCE18B">
            <w:pPr>
              <w:jc w:val="center"/>
            </w:pPr>
            <w:r>
              <w:t>11.2</w:t>
            </w:r>
          </w:p>
        </w:tc>
      </w:tr>
      <w:tr w14:paraId="3D5A1023" w14:textId="77777777" w:rsidTr="001170B6">
        <w:tblPrEx>
          <w:tblW w:w="9360" w:type="dxa"/>
          <w:tblLook w:val="04A0"/>
        </w:tblPrEx>
        <w:trPr>
          <w:trHeight w:val="343"/>
        </w:trPr>
        <w:tc>
          <w:tcPr>
            <w:tcW w:w="3510" w:type="dxa"/>
            <w:tcBorders>
              <w:top w:val="nil"/>
              <w:bottom w:val="nil"/>
            </w:tcBorders>
            <w:vAlign w:val="center"/>
          </w:tcPr>
          <w:p w:rsidR="00821614" w:rsidP="009A61D3" w14:paraId="0252BC49" w14:textId="63AF3813">
            <w:pPr>
              <w:ind w:left="165"/>
            </w:pPr>
            <w:r>
              <w:t>25</w:t>
            </w:r>
            <w:r w:rsidR="000A2482">
              <w:t xml:space="preserve"> to </w:t>
            </w:r>
            <w:r>
              <w:t>34</w:t>
            </w:r>
          </w:p>
        </w:tc>
        <w:tc>
          <w:tcPr>
            <w:tcW w:w="1462" w:type="dxa"/>
            <w:tcBorders>
              <w:top w:val="nil"/>
              <w:bottom w:val="nil"/>
            </w:tcBorders>
            <w:vAlign w:val="center"/>
          </w:tcPr>
          <w:p w:rsidR="00821614" w:rsidP="00821614" w14:paraId="3B0DED86" w14:textId="71A5D9AC">
            <w:pPr>
              <w:jc w:val="center"/>
            </w:pPr>
            <w:r>
              <w:t>15.8</w:t>
            </w:r>
          </w:p>
        </w:tc>
        <w:tc>
          <w:tcPr>
            <w:tcW w:w="1463" w:type="dxa"/>
            <w:tcBorders>
              <w:top w:val="nil"/>
              <w:bottom w:val="nil"/>
            </w:tcBorders>
            <w:vAlign w:val="center"/>
          </w:tcPr>
          <w:p w:rsidR="00821614" w:rsidP="00235E40" w14:paraId="205DFF95" w14:textId="66D7600D">
            <w:pPr>
              <w:jc w:val="center"/>
            </w:pPr>
            <w:r>
              <w:t>18.0</w:t>
            </w:r>
          </w:p>
        </w:tc>
        <w:tc>
          <w:tcPr>
            <w:tcW w:w="1462" w:type="dxa"/>
            <w:tcBorders>
              <w:top w:val="nil"/>
              <w:bottom w:val="nil"/>
            </w:tcBorders>
            <w:vAlign w:val="center"/>
          </w:tcPr>
          <w:p w:rsidR="00821614" w:rsidP="00235E40" w14:paraId="5122AFB3" w14:textId="442E0E3E">
            <w:pPr>
              <w:jc w:val="center"/>
            </w:pPr>
            <w:r>
              <w:t>10.3</w:t>
            </w:r>
          </w:p>
        </w:tc>
        <w:tc>
          <w:tcPr>
            <w:tcW w:w="1463" w:type="dxa"/>
            <w:tcBorders>
              <w:top w:val="nil"/>
              <w:bottom w:val="nil"/>
            </w:tcBorders>
            <w:vAlign w:val="center"/>
          </w:tcPr>
          <w:p w:rsidR="00821614" w:rsidRPr="00821614" w:rsidP="00235E40" w14:paraId="3ABB4530" w14:textId="0EA6255F">
            <w:pPr>
              <w:jc w:val="center"/>
            </w:pPr>
            <w:r>
              <w:t>12.0</w:t>
            </w:r>
          </w:p>
        </w:tc>
      </w:tr>
      <w:tr w14:paraId="050137D9" w14:textId="77777777" w:rsidTr="001170B6">
        <w:tblPrEx>
          <w:tblW w:w="9360" w:type="dxa"/>
          <w:tblLook w:val="04A0"/>
        </w:tblPrEx>
        <w:trPr>
          <w:trHeight w:val="343"/>
        </w:trPr>
        <w:tc>
          <w:tcPr>
            <w:tcW w:w="3510" w:type="dxa"/>
            <w:tcBorders>
              <w:top w:val="nil"/>
              <w:bottom w:val="nil"/>
            </w:tcBorders>
            <w:vAlign w:val="center"/>
          </w:tcPr>
          <w:p w:rsidR="00821614" w:rsidP="009A61D3" w14:paraId="1A87BD83" w14:textId="7D6655F1">
            <w:pPr>
              <w:ind w:left="165"/>
            </w:pPr>
            <w:r>
              <w:t>35</w:t>
            </w:r>
            <w:r w:rsidR="000A2482">
              <w:t xml:space="preserve"> to </w:t>
            </w:r>
            <w:r>
              <w:t>44</w:t>
            </w:r>
          </w:p>
        </w:tc>
        <w:tc>
          <w:tcPr>
            <w:tcW w:w="1462" w:type="dxa"/>
            <w:tcBorders>
              <w:top w:val="nil"/>
              <w:bottom w:val="nil"/>
            </w:tcBorders>
            <w:vAlign w:val="center"/>
          </w:tcPr>
          <w:p w:rsidR="00821614" w:rsidP="00821614" w14:paraId="647DF79F" w14:textId="4C3E89FF">
            <w:pPr>
              <w:jc w:val="center"/>
            </w:pPr>
            <w:r>
              <w:t>14.</w:t>
            </w:r>
            <w:r w:rsidR="004611E5">
              <w:t>3</w:t>
            </w:r>
          </w:p>
        </w:tc>
        <w:tc>
          <w:tcPr>
            <w:tcW w:w="1463" w:type="dxa"/>
            <w:tcBorders>
              <w:top w:val="nil"/>
              <w:bottom w:val="nil"/>
            </w:tcBorders>
            <w:vAlign w:val="center"/>
          </w:tcPr>
          <w:p w:rsidR="00821614" w:rsidP="00235E40" w14:paraId="4F916EF8" w14:textId="7B1A8338">
            <w:pPr>
              <w:jc w:val="center"/>
            </w:pPr>
            <w:r>
              <w:t>19.1</w:t>
            </w:r>
          </w:p>
        </w:tc>
        <w:tc>
          <w:tcPr>
            <w:tcW w:w="1462" w:type="dxa"/>
            <w:tcBorders>
              <w:top w:val="nil"/>
              <w:bottom w:val="nil"/>
            </w:tcBorders>
            <w:vAlign w:val="center"/>
          </w:tcPr>
          <w:p w:rsidR="00821614" w:rsidP="00235E40" w14:paraId="195B02A1" w14:textId="43264D0F">
            <w:pPr>
              <w:jc w:val="center"/>
            </w:pPr>
            <w:r>
              <w:t>15.5</w:t>
            </w:r>
          </w:p>
        </w:tc>
        <w:tc>
          <w:tcPr>
            <w:tcW w:w="1463" w:type="dxa"/>
            <w:tcBorders>
              <w:top w:val="nil"/>
              <w:bottom w:val="nil"/>
            </w:tcBorders>
            <w:vAlign w:val="center"/>
          </w:tcPr>
          <w:p w:rsidR="00821614" w:rsidRPr="00821614" w:rsidP="00235E40" w14:paraId="5380887E" w14:textId="0D57CF29">
            <w:pPr>
              <w:jc w:val="center"/>
            </w:pPr>
            <w:r>
              <w:t>9.6</w:t>
            </w:r>
          </w:p>
        </w:tc>
      </w:tr>
      <w:tr w14:paraId="13CEAC2A" w14:textId="77777777" w:rsidTr="001170B6">
        <w:tblPrEx>
          <w:tblW w:w="9360" w:type="dxa"/>
          <w:tblLook w:val="04A0"/>
        </w:tblPrEx>
        <w:trPr>
          <w:trHeight w:val="343"/>
        </w:trPr>
        <w:tc>
          <w:tcPr>
            <w:tcW w:w="3510" w:type="dxa"/>
            <w:tcBorders>
              <w:top w:val="nil"/>
              <w:bottom w:val="nil"/>
            </w:tcBorders>
            <w:vAlign w:val="center"/>
          </w:tcPr>
          <w:p w:rsidR="00821614" w:rsidP="009A61D3" w14:paraId="5E4571C5" w14:textId="2CF42040">
            <w:pPr>
              <w:ind w:left="165"/>
            </w:pPr>
            <w:r>
              <w:t>45</w:t>
            </w:r>
            <w:r w:rsidR="000A2482">
              <w:t xml:space="preserve"> to </w:t>
            </w:r>
            <w:r>
              <w:t>54</w:t>
            </w:r>
          </w:p>
        </w:tc>
        <w:tc>
          <w:tcPr>
            <w:tcW w:w="1462" w:type="dxa"/>
            <w:tcBorders>
              <w:top w:val="nil"/>
              <w:bottom w:val="nil"/>
            </w:tcBorders>
            <w:vAlign w:val="center"/>
          </w:tcPr>
          <w:p w:rsidR="00821614" w:rsidP="00821614" w14:paraId="292A746D" w14:textId="71FB73B8">
            <w:pPr>
              <w:jc w:val="center"/>
            </w:pPr>
            <w:r>
              <w:t>13.5</w:t>
            </w:r>
          </w:p>
        </w:tc>
        <w:tc>
          <w:tcPr>
            <w:tcW w:w="1463" w:type="dxa"/>
            <w:tcBorders>
              <w:top w:val="nil"/>
              <w:bottom w:val="nil"/>
            </w:tcBorders>
            <w:vAlign w:val="center"/>
          </w:tcPr>
          <w:p w:rsidR="00821614" w:rsidP="00235E40" w14:paraId="5CC1359D" w14:textId="08EF8790">
            <w:pPr>
              <w:jc w:val="center"/>
            </w:pPr>
            <w:r>
              <w:t>12.4</w:t>
            </w:r>
          </w:p>
        </w:tc>
        <w:tc>
          <w:tcPr>
            <w:tcW w:w="1462" w:type="dxa"/>
            <w:tcBorders>
              <w:top w:val="nil"/>
              <w:bottom w:val="nil"/>
            </w:tcBorders>
            <w:vAlign w:val="center"/>
          </w:tcPr>
          <w:p w:rsidR="00821614" w:rsidP="00235E40" w14:paraId="7B32B4D4" w14:textId="1C68B740">
            <w:pPr>
              <w:jc w:val="center"/>
            </w:pPr>
            <w:r>
              <w:t>9.3</w:t>
            </w:r>
          </w:p>
        </w:tc>
        <w:tc>
          <w:tcPr>
            <w:tcW w:w="1463" w:type="dxa"/>
            <w:tcBorders>
              <w:top w:val="nil"/>
              <w:bottom w:val="nil"/>
            </w:tcBorders>
            <w:vAlign w:val="center"/>
          </w:tcPr>
          <w:p w:rsidR="00821614" w:rsidRPr="00821614" w:rsidP="00235E40" w14:paraId="63501F53" w14:textId="7C87C4D2">
            <w:pPr>
              <w:jc w:val="center"/>
            </w:pPr>
            <w:r>
              <w:t>16.8</w:t>
            </w:r>
          </w:p>
        </w:tc>
      </w:tr>
      <w:tr w14:paraId="110A2331" w14:textId="77777777" w:rsidTr="001170B6">
        <w:tblPrEx>
          <w:tblW w:w="9360" w:type="dxa"/>
          <w:tblLook w:val="04A0"/>
        </w:tblPrEx>
        <w:trPr>
          <w:trHeight w:val="343"/>
        </w:trPr>
        <w:tc>
          <w:tcPr>
            <w:tcW w:w="3510" w:type="dxa"/>
            <w:tcBorders>
              <w:top w:val="nil"/>
              <w:bottom w:val="nil"/>
            </w:tcBorders>
            <w:vAlign w:val="center"/>
          </w:tcPr>
          <w:p w:rsidR="00821614" w:rsidP="009A61D3" w14:paraId="5083AFC1" w14:textId="2952CBC6">
            <w:pPr>
              <w:ind w:left="165"/>
            </w:pPr>
            <w:r>
              <w:t>55</w:t>
            </w:r>
            <w:r w:rsidR="000A2482">
              <w:t xml:space="preserve"> to </w:t>
            </w:r>
            <w:r>
              <w:t>64</w:t>
            </w:r>
          </w:p>
        </w:tc>
        <w:tc>
          <w:tcPr>
            <w:tcW w:w="1462" w:type="dxa"/>
            <w:tcBorders>
              <w:top w:val="nil"/>
              <w:bottom w:val="nil"/>
            </w:tcBorders>
            <w:vAlign w:val="center"/>
          </w:tcPr>
          <w:p w:rsidR="00821614" w:rsidP="00821614" w14:paraId="66FA6DB5" w14:textId="6D21A277">
            <w:pPr>
              <w:jc w:val="center"/>
            </w:pPr>
            <w:r>
              <w:t>14.0</w:t>
            </w:r>
          </w:p>
        </w:tc>
        <w:tc>
          <w:tcPr>
            <w:tcW w:w="1463" w:type="dxa"/>
            <w:tcBorders>
              <w:top w:val="nil"/>
              <w:bottom w:val="nil"/>
            </w:tcBorders>
            <w:vAlign w:val="center"/>
          </w:tcPr>
          <w:p w:rsidR="00821614" w:rsidP="00235E40" w14:paraId="304F967E" w14:textId="224B49CA">
            <w:pPr>
              <w:jc w:val="center"/>
            </w:pPr>
            <w:r>
              <w:t>10.1</w:t>
            </w:r>
          </w:p>
        </w:tc>
        <w:tc>
          <w:tcPr>
            <w:tcW w:w="1462" w:type="dxa"/>
            <w:tcBorders>
              <w:top w:val="nil"/>
              <w:bottom w:val="nil"/>
            </w:tcBorders>
            <w:vAlign w:val="center"/>
          </w:tcPr>
          <w:p w:rsidR="00821614" w:rsidP="00235E40" w14:paraId="784D1C2A" w14:textId="48362F0E">
            <w:pPr>
              <w:jc w:val="center"/>
            </w:pPr>
            <w:r>
              <w:t>19.6</w:t>
            </w:r>
          </w:p>
        </w:tc>
        <w:tc>
          <w:tcPr>
            <w:tcW w:w="1463" w:type="dxa"/>
            <w:tcBorders>
              <w:top w:val="nil"/>
              <w:bottom w:val="nil"/>
            </w:tcBorders>
            <w:vAlign w:val="center"/>
          </w:tcPr>
          <w:p w:rsidR="00821614" w:rsidRPr="00821614" w:rsidP="00235E40" w14:paraId="413E6088" w14:textId="7A7F4D23">
            <w:pPr>
              <w:jc w:val="center"/>
            </w:pPr>
            <w:r>
              <w:t>16.8</w:t>
            </w:r>
          </w:p>
        </w:tc>
      </w:tr>
      <w:tr w14:paraId="52F57C10" w14:textId="77777777" w:rsidTr="001170B6">
        <w:tblPrEx>
          <w:tblW w:w="9360" w:type="dxa"/>
          <w:tblLook w:val="04A0"/>
        </w:tblPrEx>
        <w:trPr>
          <w:trHeight w:val="343"/>
        </w:trPr>
        <w:tc>
          <w:tcPr>
            <w:tcW w:w="3510" w:type="dxa"/>
            <w:tcBorders>
              <w:top w:val="nil"/>
              <w:bottom w:val="nil"/>
            </w:tcBorders>
            <w:vAlign w:val="center"/>
          </w:tcPr>
          <w:p w:rsidR="00AF4077" w:rsidP="009A61D3" w14:paraId="7C99D362" w14:textId="7082CE37">
            <w:pPr>
              <w:ind w:left="165"/>
            </w:pPr>
            <w:r>
              <w:t>65</w:t>
            </w:r>
            <w:r w:rsidR="000A2482">
              <w:t xml:space="preserve"> to </w:t>
            </w:r>
            <w:r>
              <w:t>74</w:t>
            </w:r>
          </w:p>
        </w:tc>
        <w:tc>
          <w:tcPr>
            <w:tcW w:w="1462" w:type="dxa"/>
            <w:tcBorders>
              <w:top w:val="nil"/>
              <w:bottom w:val="nil"/>
            </w:tcBorders>
            <w:vAlign w:val="center"/>
          </w:tcPr>
          <w:p w:rsidR="00AF4077" w:rsidP="00821614" w14:paraId="344F4CB1" w14:textId="40590853">
            <w:pPr>
              <w:jc w:val="center"/>
            </w:pPr>
            <w:r>
              <w:t>12.1</w:t>
            </w:r>
          </w:p>
        </w:tc>
        <w:tc>
          <w:tcPr>
            <w:tcW w:w="1463" w:type="dxa"/>
            <w:tcBorders>
              <w:top w:val="nil"/>
              <w:bottom w:val="nil"/>
            </w:tcBorders>
            <w:vAlign w:val="center"/>
          </w:tcPr>
          <w:p w:rsidR="00AF4077" w:rsidP="00235E40" w14:paraId="613DDFF7" w14:textId="41EAEEFB">
            <w:pPr>
              <w:jc w:val="center"/>
            </w:pPr>
            <w:r>
              <w:t>20.2</w:t>
            </w:r>
          </w:p>
        </w:tc>
        <w:tc>
          <w:tcPr>
            <w:tcW w:w="1462" w:type="dxa"/>
            <w:tcBorders>
              <w:top w:val="nil"/>
              <w:bottom w:val="nil"/>
            </w:tcBorders>
            <w:vAlign w:val="center"/>
          </w:tcPr>
          <w:p w:rsidR="00AF4077" w:rsidP="00235E40" w14:paraId="1DC5F361" w14:textId="30151CBB">
            <w:pPr>
              <w:jc w:val="center"/>
            </w:pPr>
            <w:r>
              <w:t>13.4</w:t>
            </w:r>
          </w:p>
        </w:tc>
        <w:tc>
          <w:tcPr>
            <w:tcW w:w="1463" w:type="dxa"/>
            <w:tcBorders>
              <w:top w:val="nil"/>
              <w:bottom w:val="nil"/>
            </w:tcBorders>
            <w:vAlign w:val="center"/>
          </w:tcPr>
          <w:p w:rsidR="00AF4077" w:rsidRPr="00821614" w:rsidP="00235E40" w14:paraId="4E169240" w14:textId="5CDB2164">
            <w:pPr>
              <w:jc w:val="center"/>
            </w:pPr>
            <w:r>
              <w:t>16.0</w:t>
            </w:r>
          </w:p>
        </w:tc>
      </w:tr>
      <w:tr w14:paraId="676B61AA" w14:textId="77777777" w:rsidTr="001170B6">
        <w:tblPrEx>
          <w:tblW w:w="9360" w:type="dxa"/>
          <w:tblLook w:val="04A0"/>
        </w:tblPrEx>
        <w:trPr>
          <w:trHeight w:val="343"/>
        </w:trPr>
        <w:tc>
          <w:tcPr>
            <w:tcW w:w="3510" w:type="dxa"/>
            <w:tcBorders>
              <w:top w:val="nil"/>
              <w:bottom w:val="nil"/>
            </w:tcBorders>
            <w:vAlign w:val="center"/>
          </w:tcPr>
          <w:p w:rsidR="00AF4077" w:rsidP="009A61D3" w14:paraId="54A543F3" w14:textId="02BE7E65">
            <w:pPr>
              <w:ind w:left="165"/>
            </w:pPr>
            <w:r>
              <w:t>75</w:t>
            </w:r>
            <w:r w:rsidR="000A2482">
              <w:t xml:space="preserve"> and over</w:t>
            </w:r>
          </w:p>
        </w:tc>
        <w:tc>
          <w:tcPr>
            <w:tcW w:w="1462" w:type="dxa"/>
            <w:tcBorders>
              <w:top w:val="nil"/>
              <w:bottom w:val="nil"/>
            </w:tcBorders>
            <w:vAlign w:val="center"/>
          </w:tcPr>
          <w:p w:rsidR="00AF4077" w:rsidP="00821614" w14:paraId="632C9B6A" w14:textId="7E0FD486">
            <w:pPr>
              <w:jc w:val="center"/>
            </w:pPr>
            <w:r>
              <w:t>11.</w:t>
            </w:r>
            <w:r w:rsidR="004611E5">
              <w:t>6</w:t>
            </w:r>
          </w:p>
        </w:tc>
        <w:tc>
          <w:tcPr>
            <w:tcW w:w="1463" w:type="dxa"/>
            <w:tcBorders>
              <w:top w:val="nil"/>
              <w:bottom w:val="nil"/>
            </w:tcBorders>
            <w:vAlign w:val="center"/>
          </w:tcPr>
          <w:p w:rsidR="00AF4077" w:rsidP="00235E40" w14:paraId="41531F0E" w14:textId="05A29085">
            <w:pPr>
              <w:jc w:val="center"/>
            </w:pPr>
            <w:r>
              <w:t>12.4</w:t>
            </w:r>
          </w:p>
        </w:tc>
        <w:tc>
          <w:tcPr>
            <w:tcW w:w="1462" w:type="dxa"/>
            <w:tcBorders>
              <w:top w:val="nil"/>
              <w:bottom w:val="nil"/>
            </w:tcBorders>
            <w:vAlign w:val="center"/>
          </w:tcPr>
          <w:p w:rsidR="00AF4077" w:rsidP="00235E40" w14:paraId="2CDB24FE" w14:textId="4C5736B0">
            <w:pPr>
              <w:jc w:val="center"/>
            </w:pPr>
            <w:r>
              <w:t>18.6</w:t>
            </w:r>
          </w:p>
        </w:tc>
        <w:tc>
          <w:tcPr>
            <w:tcW w:w="1463" w:type="dxa"/>
            <w:tcBorders>
              <w:top w:val="nil"/>
              <w:bottom w:val="nil"/>
            </w:tcBorders>
            <w:vAlign w:val="center"/>
          </w:tcPr>
          <w:p w:rsidR="00AF4077" w:rsidRPr="00821614" w:rsidP="00235E40" w14:paraId="6E26F3FF" w14:textId="75822DD5">
            <w:pPr>
              <w:jc w:val="center"/>
            </w:pPr>
            <w:r>
              <w:t>15.2</w:t>
            </w:r>
          </w:p>
        </w:tc>
      </w:tr>
      <w:tr w14:paraId="7C0CCD76" w14:textId="77777777" w:rsidTr="001170B6">
        <w:tblPrEx>
          <w:tblW w:w="9360" w:type="dxa"/>
          <w:tblLook w:val="04A0"/>
        </w:tblPrEx>
        <w:trPr>
          <w:trHeight w:val="343"/>
        </w:trPr>
        <w:tc>
          <w:tcPr>
            <w:tcW w:w="3510" w:type="dxa"/>
            <w:tcBorders>
              <w:top w:val="nil"/>
            </w:tcBorders>
            <w:vAlign w:val="center"/>
          </w:tcPr>
          <w:p w:rsidR="00821614" w:rsidRPr="00D1007A" w:rsidP="00235E40" w14:paraId="5330AEA3" w14:textId="6DA940B0">
            <w:pPr>
              <w:rPr>
                <w:b/>
                <w:bCs/>
              </w:rPr>
            </w:pPr>
            <w:r w:rsidRPr="00D1007A">
              <w:rPr>
                <w:b/>
                <w:bCs/>
              </w:rPr>
              <w:t>Sex</w:t>
            </w:r>
          </w:p>
        </w:tc>
        <w:tc>
          <w:tcPr>
            <w:tcW w:w="1462" w:type="dxa"/>
            <w:tcBorders>
              <w:top w:val="nil"/>
            </w:tcBorders>
            <w:vAlign w:val="center"/>
          </w:tcPr>
          <w:p w:rsidR="00821614" w:rsidP="00821614" w14:paraId="6C97F0D9" w14:textId="77777777">
            <w:pPr>
              <w:jc w:val="center"/>
            </w:pPr>
          </w:p>
        </w:tc>
        <w:tc>
          <w:tcPr>
            <w:tcW w:w="1463" w:type="dxa"/>
            <w:tcBorders>
              <w:top w:val="nil"/>
            </w:tcBorders>
            <w:vAlign w:val="center"/>
          </w:tcPr>
          <w:p w:rsidR="00821614" w:rsidP="00235E40" w14:paraId="0DA8775D" w14:textId="7B46F7A8">
            <w:pPr>
              <w:jc w:val="center"/>
            </w:pPr>
          </w:p>
        </w:tc>
        <w:tc>
          <w:tcPr>
            <w:tcW w:w="1462" w:type="dxa"/>
            <w:tcBorders>
              <w:top w:val="nil"/>
            </w:tcBorders>
            <w:vAlign w:val="center"/>
          </w:tcPr>
          <w:p w:rsidR="00821614" w:rsidP="00235E40" w14:paraId="12F7DD97" w14:textId="3DB52446">
            <w:pPr>
              <w:jc w:val="center"/>
            </w:pPr>
          </w:p>
        </w:tc>
        <w:tc>
          <w:tcPr>
            <w:tcW w:w="1463" w:type="dxa"/>
            <w:tcBorders>
              <w:top w:val="nil"/>
            </w:tcBorders>
            <w:vAlign w:val="center"/>
          </w:tcPr>
          <w:p w:rsidR="00821614" w:rsidRPr="00821614" w:rsidP="00235E40" w14:paraId="49FCA32D" w14:textId="23BDA6CF">
            <w:pPr>
              <w:jc w:val="center"/>
            </w:pPr>
          </w:p>
        </w:tc>
      </w:tr>
      <w:tr w14:paraId="221B51E0" w14:textId="77777777" w:rsidTr="001170B6">
        <w:tblPrEx>
          <w:tblW w:w="9360" w:type="dxa"/>
          <w:tblLook w:val="04A0"/>
        </w:tblPrEx>
        <w:trPr>
          <w:trHeight w:val="343"/>
        </w:trPr>
        <w:tc>
          <w:tcPr>
            <w:tcW w:w="3510" w:type="dxa"/>
            <w:vAlign w:val="center"/>
          </w:tcPr>
          <w:p w:rsidR="00821614" w:rsidP="00235E40" w14:paraId="12331916" w14:textId="780112BB">
            <w:pPr>
              <w:ind w:left="162"/>
            </w:pPr>
            <w:r>
              <w:t>Male</w:t>
            </w:r>
          </w:p>
        </w:tc>
        <w:tc>
          <w:tcPr>
            <w:tcW w:w="1462" w:type="dxa"/>
            <w:vAlign w:val="center"/>
          </w:tcPr>
          <w:p w:rsidR="00821614" w:rsidP="00821614" w14:paraId="39F9813A" w14:textId="36B6C284">
            <w:pPr>
              <w:jc w:val="center"/>
            </w:pPr>
            <w:r>
              <w:t>47.3</w:t>
            </w:r>
          </w:p>
        </w:tc>
        <w:tc>
          <w:tcPr>
            <w:tcW w:w="1463" w:type="dxa"/>
            <w:vAlign w:val="center"/>
          </w:tcPr>
          <w:p w:rsidR="00821614" w:rsidP="00235E40" w14:paraId="4D562627" w14:textId="40CCB4F2">
            <w:pPr>
              <w:jc w:val="center"/>
            </w:pPr>
            <w:r>
              <w:t>44.9</w:t>
            </w:r>
          </w:p>
        </w:tc>
        <w:tc>
          <w:tcPr>
            <w:tcW w:w="1462" w:type="dxa"/>
            <w:vAlign w:val="center"/>
          </w:tcPr>
          <w:p w:rsidR="00821614" w:rsidRPr="009256EC" w:rsidP="00235E40" w14:paraId="7D0272BE" w14:textId="5C13DC4F">
            <w:pPr>
              <w:jc w:val="center"/>
            </w:pPr>
            <w:r>
              <w:t>44.3</w:t>
            </w:r>
          </w:p>
        </w:tc>
        <w:tc>
          <w:tcPr>
            <w:tcW w:w="1463" w:type="dxa"/>
            <w:vAlign w:val="center"/>
          </w:tcPr>
          <w:p w:rsidR="00821614" w:rsidRPr="00821614" w:rsidP="00235E40" w14:paraId="61F8D54A" w14:textId="19BEE5E0">
            <w:pPr>
              <w:jc w:val="center"/>
            </w:pPr>
            <w:r>
              <w:t>52.8</w:t>
            </w:r>
          </w:p>
        </w:tc>
      </w:tr>
      <w:tr w14:paraId="1634FF17" w14:textId="77777777" w:rsidTr="001170B6">
        <w:tblPrEx>
          <w:tblW w:w="9360" w:type="dxa"/>
          <w:tblLook w:val="04A0"/>
        </w:tblPrEx>
        <w:trPr>
          <w:trHeight w:val="343"/>
        </w:trPr>
        <w:tc>
          <w:tcPr>
            <w:tcW w:w="3510" w:type="dxa"/>
            <w:vAlign w:val="center"/>
          </w:tcPr>
          <w:p w:rsidR="00821614" w:rsidP="00235E40" w14:paraId="0D20B7A0" w14:textId="58826738">
            <w:pPr>
              <w:ind w:left="162"/>
            </w:pPr>
            <w:r>
              <w:t>Female</w:t>
            </w:r>
          </w:p>
        </w:tc>
        <w:tc>
          <w:tcPr>
            <w:tcW w:w="1462" w:type="dxa"/>
            <w:vAlign w:val="center"/>
          </w:tcPr>
          <w:p w:rsidR="00821614" w:rsidP="00821614" w14:paraId="1B68D56A" w14:textId="13786827">
            <w:pPr>
              <w:jc w:val="center"/>
            </w:pPr>
            <w:r>
              <w:t>52.7</w:t>
            </w:r>
          </w:p>
        </w:tc>
        <w:tc>
          <w:tcPr>
            <w:tcW w:w="1463" w:type="dxa"/>
            <w:vAlign w:val="center"/>
          </w:tcPr>
          <w:p w:rsidR="00821614" w:rsidP="00235E40" w14:paraId="3B311FE9" w14:textId="6111DA15">
            <w:pPr>
              <w:jc w:val="center"/>
            </w:pPr>
            <w:r>
              <w:t>55.1</w:t>
            </w:r>
          </w:p>
        </w:tc>
        <w:tc>
          <w:tcPr>
            <w:tcW w:w="1462" w:type="dxa"/>
            <w:vAlign w:val="center"/>
          </w:tcPr>
          <w:p w:rsidR="00821614" w:rsidP="00235E40" w14:paraId="66A1FC9E" w14:textId="2CBE1C07">
            <w:pPr>
              <w:jc w:val="center"/>
            </w:pPr>
            <w:r>
              <w:t>55.7</w:t>
            </w:r>
          </w:p>
        </w:tc>
        <w:tc>
          <w:tcPr>
            <w:tcW w:w="1463" w:type="dxa"/>
            <w:vAlign w:val="center"/>
          </w:tcPr>
          <w:p w:rsidR="00821614" w:rsidP="00235E40" w14:paraId="6F652478" w14:textId="04082924">
            <w:pPr>
              <w:jc w:val="center"/>
            </w:pPr>
            <w:r>
              <w:t>47.2</w:t>
            </w:r>
          </w:p>
        </w:tc>
      </w:tr>
      <w:tr w14:paraId="2C0E63B3" w14:textId="77777777" w:rsidTr="001170B6">
        <w:tblPrEx>
          <w:tblW w:w="9360" w:type="dxa"/>
          <w:tblLook w:val="04A0"/>
        </w:tblPrEx>
        <w:trPr>
          <w:trHeight w:val="343"/>
        </w:trPr>
        <w:tc>
          <w:tcPr>
            <w:tcW w:w="3510" w:type="dxa"/>
            <w:vAlign w:val="center"/>
          </w:tcPr>
          <w:p w:rsidR="001170B6" w:rsidRPr="00D1007A" w:rsidP="001170B6" w14:paraId="5F464980" w14:textId="4DC5D256">
            <w:pPr>
              <w:rPr>
                <w:b/>
                <w:bCs/>
              </w:rPr>
            </w:pPr>
            <w:r w:rsidRPr="00D1007A">
              <w:rPr>
                <w:b/>
                <w:bCs/>
              </w:rPr>
              <w:t>Race</w:t>
            </w:r>
          </w:p>
        </w:tc>
        <w:tc>
          <w:tcPr>
            <w:tcW w:w="1462" w:type="dxa"/>
            <w:vAlign w:val="center"/>
          </w:tcPr>
          <w:p w:rsidR="001170B6" w:rsidP="00821614" w14:paraId="267EA518" w14:textId="77777777">
            <w:pPr>
              <w:jc w:val="center"/>
            </w:pPr>
          </w:p>
        </w:tc>
        <w:tc>
          <w:tcPr>
            <w:tcW w:w="1463" w:type="dxa"/>
            <w:vAlign w:val="center"/>
          </w:tcPr>
          <w:p w:rsidR="001170B6" w:rsidP="00235E40" w14:paraId="63904B47" w14:textId="77777777">
            <w:pPr>
              <w:jc w:val="center"/>
            </w:pPr>
          </w:p>
        </w:tc>
        <w:tc>
          <w:tcPr>
            <w:tcW w:w="1462" w:type="dxa"/>
            <w:vAlign w:val="center"/>
          </w:tcPr>
          <w:p w:rsidR="001170B6" w:rsidP="00235E40" w14:paraId="31A4E086" w14:textId="77777777">
            <w:pPr>
              <w:jc w:val="center"/>
            </w:pPr>
          </w:p>
        </w:tc>
        <w:tc>
          <w:tcPr>
            <w:tcW w:w="1463" w:type="dxa"/>
            <w:vAlign w:val="center"/>
          </w:tcPr>
          <w:p w:rsidR="001170B6" w:rsidP="00235E40" w14:paraId="1D464694" w14:textId="77777777">
            <w:pPr>
              <w:jc w:val="center"/>
            </w:pPr>
          </w:p>
        </w:tc>
      </w:tr>
      <w:tr w14:paraId="2A811F0D" w14:textId="77777777" w:rsidTr="001170B6">
        <w:tblPrEx>
          <w:tblW w:w="9360" w:type="dxa"/>
          <w:tblLook w:val="04A0"/>
        </w:tblPrEx>
        <w:trPr>
          <w:trHeight w:val="343"/>
        </w:trPr>
        <w:tc>
          <w:tcPr>
            <w:tcW w:w="3510" w:type="dxa"/>
            <w:vAlign w:val="center"/>
          </w:tcPr>
          <w:p w:rsidR="001170B6" w:rsidP="00235E40" w14:paraId="52B1D918" w14:textId="76C60324">
            <w:pPr>
              <w:ind w:left="162"/>
            </w:pPr>
            <w:r>
              <w:t>White only</w:t>
            </w:r>
          </w:p>
        </w:tc>
        <w:tc>
          <w:tcPr>
            <w:tcW w:w="1462" w:type="dxa"/>
            <w:vAlign w:val="center"/>
          </w:tcPr>
          <w:p w:rsidR="001170B6" w:rsidP="00821614" w14:paraId="0BE24AEF" w14:textId="0304522C">
            <w:pPr>
              <w:jc w:val="center"/>
            </w:pPr>
            <w:r>
              <w:t>69.5</w:t>
            </w:r>
          </w:p>
        </w:tc>
        <w:tc>
          <w:tcPr>
            <w:tcW w:w="1463" w:type="dxa"/>
            <w:vAlign w:val="center"/>
          </w:tcPr>
          <w:p w:rsidR="001170B6" w:rsidP="00235E40" w14:paraId="036164CE" w14:textId="5414CAA4">
            <w:pPr>
              <w:jc w:val="center"/>
            </w:pPr>
            <w:r>
              <w:t>76.4</w:t>
            </w:r>
          </w:p>
        </w:tc>
        <w:tc>
          <w:tcPr>
            <w:tcW w:w="1462" w:type="dxa"/>
            <w:vAlign w:val="center"/>
          </w:tcPr>
          <w:p w:rsidR="001170B6" w:rsidP="00235E40" w14:paraId="4A64EC3B" w14:textId="0BAE0A41">
            <w:pPr>
              <w:jc w:val="center"/>
            </w:pPr>
            <w:r>
              <w:t>72.2</w:t>
            </w:r>
          </w:p>
        </w:tc>
        <w:tc>
          <w:tcPr>
            <w:tcW w:w="1463" w:type="dxa"/>
            <w:vAlign w:val="center"/>
          </w:tcPr>
          <w:p w:rsidR="001170B6" w:rsidP="00235E40" w14:paraId="1CC77285" w14:textId="1CCBDADE">
            <w:pPr>
              <w:jc w:val="center"/>
            </w:pPr>
            <w:r>
              <w:t>76.0</w:t>
            </w:r>
          </w:p>
        </w:tc>
      </w:tr>
      <w:tr w14:paraId="546AA4BD" w14:textId="77777777" w:rsidTr="001170B6">
        <w:tblPrEx>
          <w:tblW w:w="9360" w:type="dxa"/>
          <w:tblLook w:val="04A0"/>
        </w:tblPrEx>
        <w:trPr>
          <w:trHeight w:val="343"/>
        </w:trPr>
        <w:tc>
          <w:tcPr>
            <w:tcW w:w="3510" w:type="dxa"/>
            <w:vAlign w:val="center"/>
          </w:tcPr>
          <w:p w:rsidR="001170B6" w:rsidP="00235E40" w14:paraId="0AED00C2" w14:textId="6EA06BD8">
            <w:pPr>
              <w:ind w:left="162"/>
            </w:pPr>
            <w:r>
              <w:t>Black or African Am</w:t>
            </w:r>
            <w:r w:rsidR="005141B1">
              <w:t>erican</w:t>
            </w:r>
          </w:p>
        </w:tc>
        <w:tc>
          <w:tcPr>
            <w:tcW w:w="1462" w:type="dxa"/>
            <w:vAlign w:val="center"/>
          </w:tcPr>
          <w:p w:rsidR="001170B6" w:rsidP="00821614" w14:paraId="4142BE9C" w14:textId="2CA7F03E">
            <w:pPr>
              <w:jc w:val="center"/>
            </w:pPr>
            <w:r>
              <w:t>23.9</w:t>
            </w:r>
          </w:p>
        </w:tc>
        <w:tc>
          <w:tcPr>
            <w:tcW w:w="1463" w:type="dxa"/>
            <w:vAlign w:val="center"/>
          </w:tcPr>
          <w:p w:rsidR="001170B6" w:rsidP="00235E40" w14:paraId="38973FFD" w14:textId="2041D145">
            <w:pPr>
              <w:jc w:val="center"/>
            </w:pPr>
            <w:r>
              <w:t>18.0</w:t>
            </w:r>
          </w:p>
        </w:tc>
        <w:tc>
          <w:tcPr>
            <w:tcW w:w="1462" w:type="dxa"/>
            <w:vAlign w:val="center"/>
          </w:tcPr>
          <w:p w:rsidR="001170B6" w:rsidP="00235E40" w14:paraId="1D7E942B" w14:textId="04358AFB">
            <w:pPr>
              <w:jc w:val="center"/>
            </w:pPr>
            <w:r>
              <w:t>18.6</w:t>
            </w:r>
          </w:p>
        </w:tc>
        <w:tc>
          <w:tcPr>
            <w:tcW w:w="1463" w:type="dxa"/>
            <w:vAlign w:val="center"/>
          </w:tcPr>
          <w:p w:rsidR="001170B6" w:rsidP="00235E40" w14:paraId="1C07057F" w14:textId="547A896F">
            <w:pPr>
              <w:jc w:val="center"/>
            </w:pPr>
            <w:r>
              <w:t>18.4</w:t>
            </w:r>
          </w:p>
        </w:tc>
      </w:tr>
      <w:tr w14:paraId="56FEA7EC" w14:textId="77777777" w:rsidTr="001170B6">
        <w:tblPrEx>
          <w:tblW w:w="9360" w:type="dxa"/>
          <w:tblLook w:val="04A0"/>
        </w:tblPrEx>
        <w:trPr>
          <w:trHeight w:val="343"/>
        </w:trPr>
        <w:tc>
          <w:tcPr>
            <w:tcW w:w="3510" w:type="dxa"/>
            <w:vAlign w:val="center"/>
          </w:tcPr>
          <w:p w:rsidR="001170B6" w:rsidP="00235E40" w14:paraId="2AAB602F" w14:textId="0912831A">
            <w:pPr>
              <w:ind w:left="162"/>
            </w:pPr>
            <w:r>
              <w:t>Other</w:t>
            </w:r>
          </w:p>
        </w:tc>
        <w:tc>
          <w:tcPr>
            <w:tcW w:w="1462" w:type="dxa"/>
            <w:vAlign w:val="center"/>
          </w:tcPr>
          <w:p w:rsidR="001170B6" w:rsidP="00821614" w14:paraId="0B95A67F" w14:textId="3F9EF5EA">
            <w:pPr>
              <w:jc w:val="center"/>
            </w:pPr>
            <w:r>
              <w:t>6.7</w:t>
            </w:r>
          </w:p>
        </w:tc>
        <w:tc>
          <w:tcPr>
            <w:tcW w:w="1463" w:type="dxa"/>
            <w:vAlign w:val="center"/>
          </w:tcPr>
          <w:p w:rsidR="001170B6" w:rsidP="00235E40" w14:paraId="07210B31" w14:textId="03E16C14">
            <w:pPr>
              <w:jc w:val="center"/>
            </w:pPr>
            <w:r>
              <w:t>5.6</w:t>
            </w:r>
          </w:p>
        </w:tc>
        <w:tc>
          <w:tcPr>
            <w:tcW w:w="1462" w:type="dxa"/>
            <w:vAlign w:val="center"/>
          </w:tcPr>
          <w:p w:rsidR="001170B6" w:rsidP="00235E40" w14:paraId="19B6FAFE" w14:textId="07C727B9">
            <w:pPr>
              <w:jc w:val="center"/>
            </w:pPr>
            <w:r>
              <w:t>9.3</w:t>
            </w:r>
          </w:p>
        </w:tc>
        <w:tc>
          <w:tcPr>
            <w:tcW w:w="1463" w:type="dxa"/>
            <w:vAlign w:val="center"/>
          </w:tcPr>
          <w:p w:rsidR="001170B6" w:rsidP="00235E40" w14:paraId="1BC7B1DA" w14:textId="3E34529F">
            <w:pPr>
              <w:jc w:val="center"/>
            </w:pPr>
            <w:r>
              <w:t>5.6</w:t>
            </w:r>
          </w:p>
        </w:tc>
      </w:tr>
      <w:tr w14:paraId="11D30BBC" w14:textId="77777777" w:rsidTr="001170B6">
        <w:tblPrEx>
          <w:tblW w:w="9360" w:type="dxa"/>
          <w:tblLook w:val="04A0"/>
        </w:tblPrEx>
        <w:trPr>
          <w:trHeight w:val="343"/>
        </w:trPr>
        <w:tc>
          <w:tcPr>
            <w:tcW w:w="3510" w:type="dxa"/>
            <w:vAlign w:val="center"/>
          </w:tcPr>
          <w:p w:rsidR="001170B6" w:rsidRPr="00D1007A" w:rsidP="001170B6" w14:paraId="65BFF14B" w14:textId="62B22471">
            <w:pPr>
              <w:rPr>
                <w:b/>
                <w:bCs/>
              </w:rPr>
            </w:pPr>
            <w:r w:rsidRPr="00D1007A">
              <w:rPr>
                <w:b/>
                <w:bCs/>
              </w:rPr>
              <w:t>Ethnicity</w:t>
            </w:r>
          </w:p>
        </w:tc>
        <w:tc>
          <w:tcPr>
            <w:tcW w:w="1462" w:type="dxa"/>
            <w:vAlign w:val="center"/>
          </w:tcPr>
          <w:p w:rsidR="001170B6" w:rsidP="00821614" w14:paraId="0F98B76B" w14:textId="77777777">
            <w:pPr>
              <w:jc w:val="center"/>
            </w:pPr>
          </w:p>
        </w:tc>
        <w:tc>
          <w:tcPr>
            <w:tcW w:w="1463" w:type="dxa"/>
            <w:vAlign w:val="center"/>
          </w:tcPr>
          <w:p w:rsidR="001170B6" w:rsidP="00235E40" w14:paraId="70C1504C" w14:textId="77777777">
            <w:pPr>
              <w:jc w:val="center"/>
            </w:pPr>
          </w:p>
        </w:tc>
        <w:tc>
          <w:tcPr>
            <w:tcW w:w="1462" w:type="dxa"/>
            <w:vAlign w:val="center"/>
          </w:tcPr>
          <w:p w:rsidR="001170B6" w:rsidP="00235E40" w14:paraId="433257F0" w14:textId="77777777">
            <w:pPr>
              <w:jc w:val="center"/>
            </w:pPr>
          </w:p>
        </w:tc>
        <w:tc>
          <w:tcPr>
            <w:tcW w:w="1463" w:type="dxa"/>
            <w:vAlign w:val="center"/>
          </w:tcPr>
          <w:p w:rsidR="001170B6" w:rsidP="00235E40" w14:paraId="7D64746A" w14:textId="77777777">
            <w:pPr>
              <w:jc w:val="center"/>
            </w:pPr>
          </w:p>
        </w:tc>
      </w:tr>
      <w:tr w14:paraId="601FFEFC" w14:textId="77777777" w:rsidTr="001170B6">
        <w:tblPrEx>
          <w:tblW w:w="9360" w:type="dxa"/>
          <w:tblLook w:val="04A0"/>
        </w:tblPrEx>
        <w:trPr>
          <w:trHeight w:val="343"/>
        </w:trPr>
        <w:tc>
          <w:tcPr>
            <w:tcW w:w="3510" w:type="dxa"/>
            <w:vAlign w:val="center"/>
          </w:tcPr>
          <w:p w:rsidR="001170B6" w:rsidP="00235E40" w14:paraId="67AB9C7B" w14:textId="37B465F6">
            <w:pPr>
              <w:ind w:left="162"/>
            </w:pPr>
            <w:r>
              <w:t>Hispanic or Latino</w:t>
            </w:r>
          </w:p>
        </w:tc>
        <w:tc>
          <w:tcPr>
            <w:tcW w:w="1462" w:type="dxa"/>
            <w:vAlign w:val="center"/>
          </w:tcPr>
          <w:p w:rsidR="001170B6" w:rsidP="00821614" w14:paraId="3D9EFA98" w14:textId="354F4A44">
            <w:pPr>
              <w:jc w:val="center"/>
            </w:pPr>
            <w:r>
              <w:t>20.2</w:t>
            </w:r>
          </w:p>
        </w:tc>
        <w:tc>
          <w:tcPr>
            <w:tcW w:w="1463" w:type="dxa"/>
            <w:vAlign w:val="center"/>
          </w:tcPr>
          <w:p w:rsidR="001170B6" w:rsidP="00235E40" w14:paraId="17005FE1" w14:textId="75E5BFFC">
            <w:pPr>
              <w:jc w:val="center"/>
            </w:pPr>
            <w:r>
              <w:t>20.2</w:t>
            </w:r>
          </w:p>
        </w:tc>
        <w:tc>
          <w:tcPr>
            <w:tcW w:w="1462" w:type="dxa"/>
            <w:vAlign w:val="center"/>
          </w:tcPr>
          <w:p w:rsidR="001170B6" w:rsidP="00235E40" w14:paraId="046AF93C" w14:textId="4082E2F7">
            <w:pPr>
              <w:jc w:val="center"/>
            </w:pPr>
            <w:r>
              <w:t>18.6</w:t>
            </w:r>
          </w:p>
        </w:tc>
        <w:tc>
          <w:tcPr>
            <w:tcW w:w="1463" w:type="dxa"/>
            <w:vAlign w:val="center"/>
          </w:tcPr>
          <w:p w:rsidR="001170B6" w:rsidP="00235E40" w14:paraId="16E812A5" w14:textId="090C9A38">
            <w:pPr>
              <w:jc w:val="center"/>
            </w:pPr>
            <w:r>
              <w:t>16.0</w:t>
            </w:r>
          </w:p>
        </w:tc>
      </w:tr>
      <w:tr w14:paraId="2704B26B" w14:textId="77777777" w:rsidTr="001170B6">
        <w:tblPrEx>
          <w:tblW w:w="9360" w:type="dxa"/>
          <w:tblLook w:val="04A0"/>
        </w:tblPrEx>
        <w:trPr>
          <w:trHeight w:val="343"/>
        </w:trPr>
        <w:tc>
          <w:tcPr>
            <w:tcW w:w="3510" w:type="dxa"/>
            <w:vAlign w:val="center"/>
          </w:tcPr>
          <w:p w:rsidR="001170B6" w:rsidP="00235E40" w14:paraId="644C6BA1" w14:textId="05E391EB">
            <w:pPr>
              <w:ind w:left="162"/>
            </w:pPr>
            <w:r>
              <w:t>Non-Hispanic</w:t>
            </w:r>
          </w:p>
        </w:tc>
        <w:tc>
          <w:tcPr>
            <w:tcW w:w="1462" w:type="dxa"/>
            <w:vAlign w:val="center"/>
          </w:tcPr>
          <w:p w:rsidR="001170B6" w:rsidP="00821614" w14:paraId="62C9EEE8" w14:textId="417C5104">
            <w:pPr>
              <w:jc w:val="center"/>
            </w:pPr>
            <w:r>
              <w:t>79.8</w:t>
            </w:r>
          </w:p>
        </w:tc>
        <w:tc>
          <w:tcPr>
            <w:tcW w:w="1463" w:type="dxa"/>
            <w:vAlign w:val="center"/>
          </w:tcPr>
          <w:p w:rsidR="001170B6" w:rsidP="00235E40" w14:paraId="77DF17F0" w14:textId="482A4EDF">
            <w:pPr>
              <w:jc w:val="center"/>
            </w:pPr>
            <w:r>
              <w:t>79.8</w:t>
            </w:r>
          </w:p>
        </w:tc>
        <w:tc>
          <w:tcPr>
            <w:tcW w:w="1462" w:type="dxa"/>
            <w:vAlign w:val="center"/>
          </w:tcPr>
          <w:p w:rsidR="001170B6" w:rsidP="00235E40" w14:paraId="44A65457" w14:textId="0D2E9C13">
            <w:pPr>
              <w:jc w:val="center"/>
            </w:pPr>
            <w:r>
              <w:t>81.4</w:t>
            </w:r>
          </w:p>
        </w:tc>
        <w:tc>
          <w:tcPr>
            <w:tcW w:w="1463" w:type="dxa"/>
            <w:vAlign w:val="center"/>
          </w:tcPr>
          <w:p w:rsidR="001170B6" w:rsidP="00235E40" w14:paraId="3BFE54B7" w14:textId="73E9D425">
            <w:pPr>
              <w:jc w:val="center"/>
            </w:pPr>
            <w:r>
              <w:t>84.0</w:t>
            </w:r>
          </w:p>
        </w:tc>
      </w:tr>
      <w:tr w14:paraId="453582F9" w14:textId="77777777" w:rsidTr="001170B6">
        <w:tblPrEx>
          <w:tblW w:w="9360" w:type="dxa"/>
          <w:tblLook w:val="04A0"/>
        </w:tblPrEx>
        <w:trPr>
          <w:trHeight w:val="343"/>
        </w:trPr>
        <w:tc>
          <w:tcPr>
            <w:tcW w:w="3510" w:type="dxa"/>
            <w:vAlign w:val="center"/>
          </w:tcPr>
          <w:p w:rsidR="001170B6" w:rsidRPr="00D1007A" w:rsidP="001170B6" w14:paraId="15C4E044" w14:textId="1120FD22">
            <w:pPr>
              <w:rPr>
                <w:b/>
                <w:bCs/>
              </w:rPr>
            </w:pPr>
            <w:r w:rsidRPr="00D1007A">
              <w:rPr>
                <w:b/>
                <w:bCs/>
              </w:rPr>
              <w:t>Educational Attain</w:t>
            </w:r>
            <w:r w:rsidR="00D1007A">
              <w:rPr>
                <w:b/>
                <w:bCs/>
              </w:rPr>
              <w:t>ment</w:t>
            </w:r>
          </w:p>
        </w:tc>
        <w:tc>
          <w:tcPr>
            <w:tcW w:w="1462" w:type="dxa"/>
            <w:vAlign w:val="center"/>
          </w:tcPr>
          <w:p w:rsidR="001170B6" w:rsidP="00821614" w14:paraId="3CDC4F7E" w14:textId="77777777">
            <w:pPr>
              <w:jc w:val="center"/>
            </w:pPr>
          </w:p>
        </w:tc>
        <w:tc>
          <w:tcPr>
            <w:tcW w:w="1463" w:type="dxa"/>
            <w:vAlign w:val="center"/>
          </w:tcPr>
          <w:p w:rsidR="001170B6" w:rsidP="00235E40" w14:paraId="6AE276DA" w14:textId="77777777">
            <w:pPr>
              <w:jc w:val="center"/>
            </w:pPr>
          </w:p>
        </w:tc>
        <w:tc>
          <w:tcPr>
            <w:tcW w:w="1462" w:type="dxa"/>
            <w:vAlign w:val="center"/>
          </w:tcPr>
          <w:p w:rsidR="001170B6" w:rsidP="00235E40" w14:paraId="0CF6807C" w14:textId="77777777">
            <w:pPr>
              <w:jc w:val="center"/>
            </w:pPr>
          </w:p>
        </w:tc>
        <w:tc>
          <w:tcPr>
            <w:tcW w:w="1463" w:type="dxa"/>
            <w:vAlign w:val="center"/>
          </w:tcPr>
          <w:p w:rsidR="001170B6" w:rsidP="00235E40" w14:paraId="67ABCF1D" w14:textId="77777777">
            <w:pPr>
              <w:jc w:val="center"/>
            </w:pPr>
          </w:p>
        </w:tc>
      </w:tr>
      <w:tr w14:paraId="254A616A" w14:textId="77777777" w:rsidTr="001170B6">
        <w:tblPrEx>
          <w:tblW w:w="9360" w:type="dxa"/>
          <w:tblLook w:val="04A0"/>
        </w:tblPrEx>
        <w:trPr>
          <w:trHeight w:val="343"/>
        </w:trPr>
        <w:tc>
          <w:tcPr>
            <w:tcW w:w="3510" w:type="dxa"/>
            <w:vAlign w:val="center"/>
          </w:tcPr>
          <w:p w:rsidR="001170B6" w:rsidP="00235E40" w14:paraId="6C7FDA79" w14:textId="28C77F1D">
            <w:pPr>
              <w:ind w:left="162"/>
            </w:pPr>
            <w:r>
              <w:t>High school diploma or less</w:t>
            </w:r>
          </w:p>
        </w:tc>
        <w:tc>
          <w:tcPr>
            <w:tcW w:w="1462" w:type="dxa"/>
            <w:vAlign w:val="center"/>
          </w:tcPr>
          <w:p w:rsidR="001170B6" w:rsidP="00821614" w14:paraId="7FED4C10" w14:textId="7D7BB858">
            <w:pPr>
              <w:jc w:val="center"/>
            </w:pPr>
            <w:r>
              <w:t>48.4</w:t>
            </w:r>
          </w:p>
        </w:tc>
        <w:tc>
          <w:tcPr>
            <w:tcW w:w="1463" w:type="dxa"/>
            <w:vAlign w:val="center"/>
          </w:tcPr>
          <w:p w:rsidR="001170B6" w:rsidP="00235E40" w14:paraId="4D8C089C" w14:textId="124FAD25">
            <w:pPr>
              <w:jc w:val="center"/>
            </w:pPr>
            <w:r>
              <w:t>28.1</w:t>
            </w:r>
          </w:p>
        </w:tc>
        <w:tc>
          <w:tcPr>
            <w:tcW w:w="1462" w:type="dxa"/>
            <w:vAlign w:val="center"/>
          </w:tcPr>
          <w:p w:rsidR="001170B6" w:rsidP="00235E40" w14:paraId="103319D3" w14:textId="6FC8CCB4">
            <w:pPr>
              <w:jc w:val="center"/>
            </w:pPr>
            <w:r>
              <w:t>39.2</w:t>
            </w:r>
          </w:p>
        </w:tc>
        <w:tc>
          <w:tcPr>
            <w:tcW w:w="1463" w:type="dxa"/>
            <w:vAlign w:val="center"/>
          </w:tcPr>
          <w:p w:rsidR="001170B6" w:rsidP="00235E40" w14:paraId="13725C44" w14:textId="0F9D3690">
            <w:pPr>
              <w:jc w:val="center"/>
            </w:pPr>
            <w:r>
              <w:t>36.0</w:t>
            </w:r>
          </w:p>
        </w:tc>
      </w:tr>
      <w:tr w14:paraId="5CEAC219" w14:textId="77777777" w:rsidTr="001170B6">
        <w:tblPrEx>
          <w:tblW w:w="9360" w:type="dxa"/>
          <w:tblLook w:val="04A0"/>
        </w:tblPrEx>
        <w:trPr>
          <w:trHeight w:val="343"/>
        </w:trPr>
        <w:tc>
          <w:tcPr>
            <w:tcW w:w="3510" w:type="dxa"/>
            <w:vAlign w:val="center"/>
          </w:tcPr>
          <w:p w:rsidR="001170B6" w:rsidP="00235E40" w14:paraId="672A60BE" w14:textId="13689289">
            <w:pPr>
              <w:ind w:left="162"/>
            </w:pPr>
            <w:r>
              <w:t>Some college or associate</w:t>
            </w:r>
            <w:r w:rsidR="005623AC">
              <w:t>’</w:t>
            </w:r>
            <w:r>
              <w:t>s degree</w:t>
            </w:r>
          </w:p>
        </w:tc>
        <w:tc>
          <w:tcPr>
            <w:tcW w:w="1462" w:type="dxa"/>
            <w:vAlign w:val="center"/>
          </w:tcPr>
          <w:p w:rsidR="001170B6" w:rsidP="00821614" w14:paraId="5FCE58A0" w14:textId="0DBA7CB5">
            <w:pPr>
              <w:jc w:val="center"/>
            </w:pPr>
            <w:r>
              <w:t>24.5</w:t>
            </w:r>
          </w:p>
        </w:tc>
        <w:tc>
          <w:tcPr>
            <w:tcW w:w="1463" w:type="dxa"/>
            <w:vAlign w:val="center"/>
          </w:tcPr>
          <w:p w:rsidR="001170B6" w:rsidP="00235E40" w14:paraId="0A2AD8C8" w14:textId="5C340153">
            <w:pPr>
              <w:jc w:val="center"/>
            </w:pPr>
            <w:r>
              <w:t>27.0</w:t>
            </w:r>
          </w:p>
        </w:tc>
        <w:tc>
          <w:tcPr>
            <w:tcW w:w="1462" w:type="dxa"/>
            <w:vAlign w:val="center"/>
          </w:tcPr>
          <w:p w:rsidR="001170B6" w:rsidP="00235E40" w14:paraId="28CB1E4A" w14:textId="4CC5B487">
            <w:pPr>
              <w:jc w:val="center"/>
            </w:pPr>
            <w:r>
              <w:t>27.8</w:t>
            </w:r>
          </w:p>
        </w:tc>
        <w:tc>
          <w:tcPr>
            <w:tcW w:w="1463" w:type="dxa"/>
            <w:vAlign w:val="center"/>
          </w:tcPr>
          <w:p w:rsidR="001170B6" w:rsidP="00235E40" w14:paraId="1355C81D" w14:textId="1725C89B">
            <w:pPr>
              <w:jc w:val="center"/>
            </w:pPr>
            <w:r>
              <w:t>25.6</w:t>
            </w:r>
          </w:p>
        </w:tc>
      </w:tr>
      <w:tr w14:paraId="41600BBF" w14:textId="77777777" w:rsidTr="001170B6">
        <w:tblPrEx>
          <w:tblW w:w="9360" w:type="dxa"/>
          <w:tblLook w:val="04A0"/>
        </w:tblPrEx>
        <w:trPr>
          <w:trHeight w:val="343"/>
        </w:trPr>
        <w:tc>
          <w:tcPr>
            <w:tcW w:w="3510" w:type="dxa"/>
            <w:vAlign w:val="center"/>
          </w:tcPr>
          <w:p w:rsidR="001170B6" w:rsidP="00235E40" w14:paraId="1B9875A6" w14:textId="639AFED4">
            <w:pPr>
              <w:ind w:left="162"/>
            </w:pPr>
            <w:r>
              <w:t>Bachelor’s degree or higher</w:t>
            </w:r>
          </w:p>
        </w:tc>
        <w:tc>
          <w:tcPr>
            <w:tcW w:w="1462" w:type="dxa"/>
            <w:vAlign w:val="center"/>
          </w:tcPr>
          <w:p w:rsidR="001170B6" w:rsidP="00821614" w14:paraId="42E61F7F" w14:textId="7FCAF90B">
            <w:pPr>
              <w:jc w:val="center"/>
            </w:pPr>
            <w:r>
              <w:t>27.1</w:t>
            </w:r>
          </w:p>
        </w:tc>
        <w:tc>
          <w:tcPr>
            <w:tcW w:w="1463" w:type="dxa"/>
            <w:vAlign w:val="center"/>
          </w:tcPr>
          <w:p w:rsidR="001170B6" w:rsidP="00235E40" w14:paraId="11531BD6" w14:textId="1A86DA58">
            <w:pPr>
              <w:jc w:val="center"/>
            </w:pPr>
            <w:r>
              <w:t>44.9</w:t>
            </w:r>
          </w:p>
        </w:tc>
        <w:tc>
          <w:tcPr>
            <w:tcW w:w="1462" w:type="dxa"/>
            <w:vAlign w:val="center"/>
          </w:tcPr>
          <w:p w:rsidR="001170B6" w:rsidP="00235E40" w14:paraId="3C5FAC45" w14:textId="4DBAB907">
            <w:pPr>
              <w:jc w:val="center"/>
            </w:pPr>
            <w:r>
              <w:t>33.0</w:t>
            </w:r>
          </w:p>
        </w:tc>
        <w:tc>
          <w:tcPr>
            <w:tcW w:w="1463" w:type="dxa"/>
            <w:vAlign w:val="center"/>
          </w:tcPr>
          <w:p w:rsidR="001170B6" w:rsidP="00235E40" w14:paraId="3D60B081" w14:textId="1C3A619E">
            <w:pPr>
              <w:jc w:val="center"/>
            </w:pPr>
            <w:r>
              <w:t>38.4</w:t>
            </w:r>
          </w:p>
        </w:tc>
      </w:tr>
      <w:tr w14:paraId="72A953EA" w14:textId="77777777" w:rsidTr="001170B6">
        <w:tblPrEx>
          <w:tblW w:w="9360" w:type="dxa"/>
          <w:tblLook w:val="04A0"/>
        </w:tblPrEx>
        <w:trPr>
          <w:trHeight w:val="343"/>
        </w:trPr>
        <w:tc>
          <w:tcPr>
            <w:tcW w:w="3510" w:type="dxa"/>
            <w:vAlign w:val="center"/>
          </w:tcPr>
          <w:p w:rsidR="001170B6" w:rsidRPr="00D1007A" w:rsidP="001170B6" w14:paraId="2D9F50EE" w14:textId="6F0B975A">
            <w:pPr>
              <w:ind w:left="-15"/>
              <w:rPr>
                <w:b/>
                <w:bCs/>
              </w:rPr>
            </w:pPr>
            <w:r w:rsidRPr="00D1007A">
              <w:rPr>
                <w:b/>
                <w:bCs/>
              </w:rPr>
              <w:t>Annual Income</w:t>
            </w:r>
          </w:p>
        </w:tc>
        <w:tc>
          <w:tcPr>
            <w:tcW w:w="1462" w:type="dxa"/>
            <w:vAlign w:val="center"/>
          </w:tcPr>
          <w:p w:rsidR="001170B6" w:rsidP="00821614" w14:paraId="53F088FC" w14:textId="77777777">
            <w:pPr>
              <w:jc w:val="center"/>
            </w:pPr>
          </w:p>
        </w:tc>
        <w:tc>
          <w:tcPr>
            <w:tcW w:w="1463" w:type="dxa"/>
            <w:vAlign w:val="center"/>
          </w:tcPr>
          <w:p w:rsidR="001170B6" w:rsidP="00235E40" w14:paraId="4DC4132C" w14:textId="77777777">
            <w:pPr>
              <w:jc w:val="center"/>
            </w:pPr>
          </w:p>
        </w:tc>
        <w:tc>
          <w:tcPr>
            <w:tcW w:w="1462" w:type="dxa"/>
            <w:vAlign w:val="center"/>
          </w:tcPr>
          <w:p w:rsidR="001170B6" w:rsidP="00235E40" w14:paraId="762060D6" w14:textId="77777777">
            <w:pPr>
              <w:jc w:val="center"/>
            </w:pPr>
          </w:p>
        </w:tc>
        <w:tc>
          <w:tcPr>
            <w:tcW w:w="1463" w:type="dxa"/>
            <w:vAlign w:val="center"/>
          </w:tcPr>
          <w:p w:rsidR="001170B6" w:rsidP="00235E40" w14:paraId="532FFA7C" w14:textId="77777777">
            <w:pPr>
              <w:jc w:val="center"/>
            </w:pPr>
          </w:p>
        </w:tc>
      </w:tr>
      <w:tr w14:paraId="3BEBA221" w14:textId="77777777" w:rsidTr="001170B6">
        <w:tblPrEx>
          <w:tblW w:w="9360" w:type="dxa"/>
          <w:tblLook w:val="04A0"/>
        </w:tblPrEx>
        <w:trPr>
          <w:trHeight w:val="343"/>
        </w:trPr>
        <w:tc>
          <w:tcPr>
            <w:tcW w:w="3510" w:type="dxa"/>
            <w:vAlign w:val="center"/>
          </w:tcPr>
          <w:p w:rsidR="001170B6" w:rsidP="00235E40" w14:paraId="70C62302" w14:textId="32C4C152">
            <w:pPr>
              <w:ind w:left="162"/>
            </w:pPr>
            <w:r>
              <w:t>Less than $25,000</w:t>
            </w:r>
          </w:p>
        </w:tc>
        <w:tc>
          <w:tcPr>
            <w:tcW w:w="1462" w:type="dxa"/>
            <w:vAlign w:val="center"/>
          </w:tcPr>
          <w:p w:rsidR="001170B6" w:rsidP="00821614" w14:paraId="7C39FA2F" w14:textId="572A0C01">
            <w:pPr>
              <w:jc w:val="center"/>
            </w:pPr>
            <w:r>
              <w:t>29.1</w:t>
            </w:r>
          </w:p>
        </w:tc>
        <w:tc>
          <w:tcPr>
            <w:tcW w:w="1463" w:type="dxa"/>
            <w:vAlign w:val="center"/>
          </w:tcPr>
          <w:p w:rsidR="001170B6" w:rsidP="00235E40" w14:paraId="573FE405" w14:textId="75E82AFF">
            <w:pPr>
              <w:jc w:val="center"/>
            </w:pPr>
            <w:r>
              <w:t>11.2</w:t>
            </w:r>
          </w:p>
        </w:tc>
        <w:tc>
          <w:tcPr>
            <w:tcW w:w="1462" w:type="dxa"/>
            <w:vAlign w:val="center"/>
          </w:tcPr>
          <w:p w:rsidR="001170B6" w:rsidP="00235E40" w14:paraId="491B72E6" w14:textId="659C4927">
            <w:pPr>
              <w:jc w:val="center"/>
            </w:pPr>
            <w:r>
              <w:t>23.7</w:t>
            </w:r>
          </w:p>
        </w:tc>
        <w:tc>
          <w:tcPr>
            <w:tcW w:w="1463" w:type="dxa"/>
            <w:vAlign w:val="center"/>
          </w:tcPr>
          <w:p w:rsidR="001170B6" w:rsidP="00235E40" w14:paraId="3D13CEA7" w14:textId="5675E01F">
            <w:pPr>
              <w:jc w:val="center"/>
            </w:pPr>
            <w:r>
              <w:t>17.6</w:t>
            </w:r>
          </w:p>
        </w:tc>
      </w:tr>
      <w:tr w14:paraId="2611E035" w14:textId="77777777" w:rsidTr="001170B6">
        <w:tblPrEx>
          <w:tblW w:w="9360" w:type="dxa"/>
          <w:tblLook w:val="04A0"/>
        </w:tblPrEx>
        <w:trPr>
          <w:trHeight w:val="343"/>
        </w:trPr>
        <w:tc>
          <w:tcPr>
            <w:tcW w:w="3510" w:type="dxa"/>
            <w:vAlign w:val="center"/>
          </w:tcPr>
          <w:p w:rsidR="00035AA6" w:rsidP="00235E40" w14:paraId="3778CA1F" w14:textId="1B1C1C4D">
            <w:pPr>
              <w:ind w:left="162"/>
            </w:pPr>
            <w:r>
              <w:t>$25,000 to $49,999</w:t>
            </w:r>
          </w:p>
        </w:tc>
        <w:tc>
          <w:tcPr>
            <w:tcW w:w="1462" w:type="dxa"/>
            <w:vAlign w:val="center"/>
          </w:tcPr>
          <w:p w:rsidR="00035AA6" w:rsidP="00821614" w14:paraId="2FEED8DC" w14:textId="4C9E7DB3">
            <w:pPr>
              <w:jc w:val="center"/>
            </w:pPr>
            <w:r>
              <w:t>29.</w:t>
            </w:r>
            <w:r w:rsidR="004611E5">
              <w:t>2</w:t>
            </w:r>
          </w:p>
        </w:tc>
        <w:tc>
          <w:tcPr>
            <w:tcW w:w="1463" w:type="dxa"/>
            <w:vAlign w:val="center"/>
          </w:tcPr>
          <w:p w:rsidR="00035AA6" w:rsidP="00235E40" w14:paraId="79024257" w14:textId="34398806">
            <w:pPr>
              <w:jc w:val="center"/>
            </w:pPr>
            <w:r>
              <w:t>33.7</w:t>
            </w:r>
          </w:p>
        </w:tc>
        <w:tc>
          <w:tcPr>
            <w:tcW w:w="1462" w:type="dxa"/>
            <w:vAlign w:val="center"/>
          </w:tcPr>
          <w:p w:rsidR="00035AA6" w:rsidP="00235E40" w14:paraId="66B7FC50" w14:textId="38E0AE0D">
            <w:pPr>
              <w:jc w:val="center"/>
            </w:pPr>
            <w:r>
              <w:t>23.7</w:t>
            </w:r>
          </w:p>
        </w:tc>
        <w:tc>
          <w:tcPr>
            <w:tcW w:w="1463" w:type="dxa"/>
            <w:vAlign w:val="center"/>
          </w:tcPr>
          <w:p w:rsidR="00035AA6" w:rsidP="00235E40" w14:paraId="3B577AE1" w14:textId="2C22E029">
            <w:pPr>
              <w:jc w:val="center"/>
            </w:pPr>
            <w:r>
              <w:t>35.2</w:t>
            </w:r>
          </w:p>
        </w:tc>
      </w:tr>
      <w:tr w14:paraId="238E6433" w14:textId="77777777" w:rsidTr="001170B6">
        <w:tblPrEx>
          <w:tblW w:w="9360" w:type="dxa"/>
          <w:tblLook w:val="04A0"/>
        </w:tblPrEx>
        <w:trPr>
          <w:trHeight w:val="343"/>
        </w:trPr>
        <w:tc>
          <w:tcPr>
            <w:tcW w:w="3510" w:type="dxa"/>
            <w:vAlign w:val="center"/>
          </w:tcPr>
          <w:p w:rsidR="00035AA6" w:rsidP="00235E40" w14:paraId="7BFD5D53" w14:textId="0EDB730D">
            <w:pPr>
              <w:ind w:left="162"/>
            </w:pPr>
            <w:r>
              <w:t>$50,000 to 74,999</w:t>
            </w:r>
          </w:p>
        </w:tc>
        <w:tc>
          <w:tcPr>
            <w:tcW w:w="1462" w:type="dxa"/>
            <w:vAlign w:val="center"/>
          </w:tcPr>
          <w:p w:rsidR="00035AA6" w:rsidP="00821614" w14:paraId="41F23310" w14:textId="49A510A7">
            <w:pPr>
              <w:jc w:val="center"/>
            </w:pPr>
            <w:r>
              <w:t>15.</w:t>
            </w:r>
            <w:r w:rsidR="004611E5">
              <w:t>1</w:t>
            </w:r>
          </w:p>
        </w:tc>
        <w:tc>
          <w:tcPr>
            <w:tcW w:w="1463" w:type="dxa"/>
            <w:vAlign w:val="center"/>
          </w:tcPr>
          <w:p w:rsidR="00035AA6" w:rsidP="00235E40" w14:paraId="039DB4AC" w14:textId="21AE6FE3">
            <w:pPr>
              <w:jc w:val="center"/>
            </w:pPr>
            <w:r>
              <w:t>14.6</w:t>
            </w:r>
          </w:p>
        </w:tc>
        <w:tc>
          <w:tcPr>
            <w:tcW w:w="1462" w:type="dxa"/>
            <w:vAlign w:val="center"/>
          </w:tcPr>
          <w:p w:rsidR="00035AA6" w:rsidP="00235E40" w14:paraId="5428E561" w14:textId="18F0A4CE">
            <w:pPr>
              <w:jc w:val="center"/>
            </w:pPr>
            <w:r>
              <w:t>15.5</w:t>
            </w:r>
          </w:p>
        </w:tc>
        <w:tc>
          <w:tcPr>
            <w:tcW w:w="1463" w:type="dxa"/>
            <w:vAlign w:val="center"/>
          </w:tcPr>
          <w:p w:rsidR="00035AA6" w:rsidP="00235E40" w14:paraId="3FF48B3C" w14:textId="700FE4F9">
            <w:pPr>
              <w:jc w:val="center"/>
            </w:pPr>
            <w:r>
              <w:t>16.0</w:t>
            </w:r>
          </w:p>
        </w:tc>
      </w:tr>
      <w:tr w14:paraId="1B570ECE" w14:textId="77777777" w:rsidTr="001170B6">
        <w:tblPrEx>
          <w:tblW w:w="9360" w:type="dxa"/>
          <w:tblLook w:val="04A0"/>
        </w:tblPrEx>
        <w:trPr>
          <w:trHeight w:val="343"/>
        </w:trPr>
        <w:tc>
          <w:tcPr>
            <w:tcW w:w="3510" w:type="dxa"/>
            <w:vAlign w:val="center"/>
          </w:tcPr>
          <w:p w:rsidR="00035AA6" w:rsidP="00235E40" w14:paraId="11EDA239" w14:textId="7B32D53C">
            <w:pPr>
              <w:ind w:left="162"/>
            </w:pPr>
            <w:r>
              <w:t>$75,000 or more</w:t>
            </w:r>
          </w:p>
        </w:tc>
        <w:tc>
          <w:tcPr>
            <w:tcW w:w="1462" w:type="dxa"/>
            <w:vAlign w:val="center"/>
          </w:tcPr>
          <w:p w:rsidR="00035AA6" w:rsidP="00821614" w14:paraId="64751077" w14:textId="29DE1BCB">
            <w:pPr>
              <w:jc w:val="center"/>
            </w:pPr>
            <w:r>
              <w:t>26.6</w:t>
            </w:r>
          </w:p>
        </w:tc>
        <w:tc>
          <w:tcPr>
            <w:tcW w:w="1463" w:type="dxa"/>
            <w:vAlign w:val="center"/>
          </w:tcPr>
          <w:p w:rsidR="00035AA6" w:rsidP="00235E40" w14:paraId="7A058210" w14:textId="0B65D518">
            <w:pPr>
              <w:jc w:val="center"/>
            </w:pPr>
            <w:r>
              <w:t>40.5</w:t>
            </w:r>
          </w:p>
        </w:tc>
        <w:tc>
          <w:tcPr>
            <w:tcW w:w="1462" w:type="dxa"/>
            <w:vAlign w:val="center"/>
          </w:tcPr>
          <w:p w:rsidR="00035AA6" w:rsidP="00235E40" w14:paraId="405BA20A" w14:textId="3D3EC81F">
            <w:pPr>
              <w:jc w:val="center"/>
            </w:pPr>
            <w:r>
              <w:t>37.1</w:t>
            </w:r>
          </w:p>
        </w:tc>
        <w:tc>
          <w:tcPr>
            <w:tcW w:w="1463" w:type="dxa"/>
            <w:vAlign w:val="center"/>
          </w:tcPr>
          <w:p w:rsidR="00035AA6" w:rsidP="00235E40" w14:paraId="166427C9" w14:textId="4A10E32B">
            <w:pPr>
              <w:jc w:val="center"/>
            </w:pPr>
            <w:r>
              <w:t>31.2</w:t>
            </w:r>
          </w:p>
        </w:tc>
      </w:tr>
    </w:tbl>
    <w:p w:rsidR="00821614" w:rsidP="00E639A5" w14:paraId="0A2AD3A0" w14:textId="4BC22BFA">
      <w:pPr>
        <w:spacing w:before="60"/>
        <w:ind w:left="360" w:hanging="360"/>
        <w:rPr>
          <w:sz w:val="18"/>
          <w:szCs w:val="18"/>
        </w:rPr>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p w:rsidR="00D82DF8" w:rsidP="00E639A5" w14:paraId="731DEFE2" w14:textId="77777777">
      <w:pPr>
        <w:spacing w:before="60"/>
        <w:ind w:left="360" w:hanging="360"/>
      </w:pPr>
    </w:p>
    <w:p w:rsidR="00D82DF8" w:rsidP="00D82DF8" w14:paraId="066F3C5B" w14:textId="5B9822AA">
      <w:r>
        <w:t>For regular incentive cases, Table 3 shows that without an</w:t>
      </w:r>
      <w:r w:rsidR="00985BF4">
        <w:t>y</w:t>
      </w:r>
      <w:r>
        <w:t xml:space="preserve"> incentive, groups that are underrepresented tend to be young, male, Black or African American, and have lower socioeconomic status (lower educational attainment or lower annual income). By comparison, the $10 incentive condition increased representation of some of these groups, specifically those who are younger and of lower socioeconomic status. Conversely, males and those who are non-Hispanic were overrepresented. Interestingly, distributions for race were similar, continuing to overrepresent those who identify as White only.</w:t>
      </w:r>
    </w:p>
    <w:p w:rsidR="00D82DF8" w:rsidP="00D82DF8" w14:paraId="5743FD3D" w14:textId="77777777">
      <w:r>
        <w:t>For hard to reach cases, Table 4 shows fewer differences between the no incentive and $10 incentive condition. Both show lower proportions of respondents in the lowest socioeconomic groups (educational attainment and annual income). As with regular incentive cases, there are larger proportions observed for males and non-Hispanics.</w:t>
      </w:r>
    </w:p>
    <w:p w:rsidR="00CF6B11" w:rsidP="00CF6B11" w14:paraId="3DE5E208" w14:textId="47E1B224">
      <w:pPr>
        <w:ind w:left="810" w:hanging="810"/>
      </w:pPr>
      <w:r>
        <w:t xml:space="preserve">Table 4: Distribution of sample compositions and compositions for respondents in each incentive condition for </w:t>
      </w:r>
      <w:r w:rsidR="00A53868">
        <w:t>hard to reach group</w:t>
      </w:r>
    </w:p>
    <w:tbl>
      <w:tblPr>
        <w:tblStyle w:val="TableGrid"/>
        <w:tblW w:w="9360" w:type="dxa"/>
        <w:tblBorders>
          <w:left w:val="none" w:sz="0" w:space="0" w:color="auto"/>
          <w:right w:val="none" w:sz="0" w:space="0" w:color="auto"/>
          <w:insideH w:val="none" w:sz="0" w:space="0" w:color="auto"/>
          <w:insideV w:val="none" w:sz="0" w:space="0" w:color="auto"/>
        </w:tblBorders>
        <w:tblLook w:val="04A0"/>
      </w:tblPr>
      <w:tblGrid>
        <w:gridCol w:w="3510"/>
        <w:gridCol w:w="1462"/>
        <w:gridCol w:w="1463"/>
        <w:gridCol w:w="1462"/>
        <w:gridCol w:w="1463"/>
      </w:tblGrid>
      <w:tr w14:paraId="5838D4EC" w14:textId="77777777" w:rsidTr="00D82DF8">
        <w:tblPrEx>
          <w:tblW w:w="9360" w:type="dxa"/>
          <w:tblBorders>
            <w:left w:val="none" w:sz="0" w:space="0" w:color="auto"/>
            <w:right w:val="none" w:sz="0" w:space="0" w:color="auto"/>
            <w:insideH w:val="none" w:sz="0" w:space="0" w:color="auto"/>
            <w:insideV w:val="none" w:sz="0" w:space="0" w:color="auto"/>
          </w:tblBorders>
          <w:tblLook w:val="04A0"/>
        </w:tblPrEx>
        <w:trPr>
          <w:trHeight w:val="343"/>
          <w:tblHeader/>
        </w:trPr>
        <w:tc>
          <w:tcPr>
            <w:tcW w:w="3510" w:type="dxa"/>
            <w:tcBorders>
              <w:bottom w:val="single" w:sz="4" w:space="0" w:color="auto"/>
            </w:tcBorders>
          </w:tcPr>
          <w:p w:rsidR="00CF6B11" w:rsidP="008C1B96" w14:paraId="371D26AC" w14:textId="77777777"/>
        </w:tc>
        <w:tc>
          <w:tcPr>
            <w:tcW w:w="1462" w:type="dxa"/>
            <w:tcBorders>
              <w:bottom w:val="single" w:sz="4" w:space="0" w:color="auto"/>
            </w:tcBorders>
            <w:vAlign w:val="bottom"/>
          </w:tcPr>
          <w:p w:rsidR="00CF6B11" w:rsidP="008C1B96" w14:paraId="74615F2F" w14:textId="77777777">
            <w:pPr>
              <w:jc w:val="center"/>
            </w:pPr>
            <w:r>
              <w:t>Sample</w:t>
            </w:r>
          </w:p>
        </w:tc>
        <w:tc>
          <w:tcPr>
            <w:tcW w:w="1463" w:type="dxa"/>
            <w:tcBorders>
              <w:bottom w:val="single" w:sz="4" w:space="0" w:color="auto"/>
            </w:tcBorders>
            <w:vAlign w:val="bottom"/>
          </w:tcPr>
          <w:p w:rsidR="00CF6B11" w:rsidP="008C1B96" w14:paraId="568D91F2" w14:textId="77777777">
            <w:pPr>
              <w:jc w:val="center"/>
            </w:pPr>
            <w:r>
              <w:t>$0</w:t>
            </w:r>
          </w:p>
        </w:tc>
        <w:tc>
          <w:tcPr>
            <w:tcW w:w="1462" w:type="dxa"/>
            <w:tcBorders>
              <w:bottom w:val="single" w:sz="4" w:space="0" w:color="auto"/>
            </w:tcBorders>
            <w:vAlign w:val="bottom"/>
          </w:tcPr>
          <w:p w:rsidR="00CF6B11" w:rsidP="008C1B96" w14:paraId="1024E522" w14:textId="77777777">
            <w:pPr>
              <w:jc w:val="center"/>
            </w:pPr>
            <w:r>
              <w:t>$5</w:t>
            </w:r>
          </w:p>
        </w:tc>
        <w:tc>
          <w:tcPr>
            <w:tcW w:w="1463" w:type="dxa"/>
            <w:tcBorders>
              <w:bottom w:val="single" w:sz="4" w:space="0" w:color="auto"/>
            </w:tcBorders>
            <w:vAlign w:val="bottom"/>
          </w:tcPr>
          <w:p w:rsidR="00CF6B11" w:rsidP="008C1B96" w14:paraId="7276F242" w14:textId="77777777">
            <w:pPr>
              <w:jc w:val="center"/>
            </w:pPr>
            <w:r>
              <w:t>$10</w:t>
            </w:r>
          </w:p>
        </w:tc>
      </w:tr>
      <w:tr w14:paraId="447C5B8C" w14:textId="77777777" w:rsidTr="008C1B96">
        <w:tblPrEx>
          <w:tblW w:w="9360" w:type="dxa"/>
          <w:tblLook w:val="04A0"/>
        </w:tblPrEx>
        <w:trPr>
          <w:trHeight w:val="343"/>
        </w:trPr>
        <w:tc>
          <w:tcPr>
            <w:tcW w:w="3510" w:type="dxa"/>
            <w:tcBorders>
              <w:top w:val="single" w:sz="4" w:space="0" w:color="auto"/>
              <w:bottom w:val="nil"/>
            </w:tcBorders>
            <w:vAlign w:val="center"/>
          </w:tcPr>
          <w:p w:rsidR="00CF6B11" w:rsidRPr="00D1007A" w:rsidP="008C1B96" w14:paraId="174D40D2" w14:textId="4D861646">
            <w:pPr>
              <w:rPr>
                <w:b/>
                <w:bCs/>
                <w:vertAlign w:val="superscript"/>
              </w:rPr>
            </w:pPr>
            <w:r>
              <w:rPr>
                <w:b/>
                <w:bCs/>
              </w:rPr>
              <w:t>Hard to Reach</w:t>
            </w:r>
            <w:r w:rsidRPr="00D1007A">
              <w:rPr>
                <w:b/>
                <w:bCs/>
              </w:rPr>
              <w:t xml:space="preserve"> Group (n)</w:t>
            </w:r>
            <w:r w:rsidRPr="00D1007A">
              <w:rPr>
                <w:b/>
                <w:bCs/>
                <w:vertAlign w:val="superscript"/>
              </w:rPr>
              <w:t>1</w:t>
            </w:r>
          </w:p>
        </w:tc>
        <w:tc>
          <w:tcPr>
            <w:tcW w:w="1462" w:type="dxa"/>
            <w:tcBorders>
              <w:top w:val="single" w:sz="4" w:space="0" w:color="auto"/>
              <w:bottom w:val="nil"/>
            </w:tcBorders>
            <w:vAlign w:val="center"/>
          </w:tcPr>
          <w:p w:rsidR="00CF6B11" w:rsidP="008C1B96" w14:paraId="09BC7F06" w14:textId="6E4499A5">
            <w:pPr>
              <w:jc w:val="center"/>
            </w:pPr>
            <w:r>
              <w:t>4,400</w:t>
            </w:r>
          </w:p>
        </w:tc>
        <w:tc>
          <w:tcPr>
            <w:tcW w:w="1463" w:type="dxa"/>
            <w:tcBorders>
              <w:top w:val="single" w:sz="4" w:space="0" w:color="auto"/>
              <w:bottom w:val="nil"/>
            </w:tcBorders>
            <w:vAlign w:val="center"/>
          </w:tcPr>
          <w:p w:rsidR="00CF6B11" w:rsidP="008C1B96" w14:paraId="1F61CEA4" w14:textId="0BFF6D0D">
            <w:pPr>
              <w:jc w:val="center"/>
            </w:pPr>
            <w:r>
              <w:t>400</w:t>
            </w:r>
          </w:p>
        </w:tc>
        <w:tc>
          <w:tcPr>
            <w:tcW w:w="1462" w:type="dxa"/>
            <w:tcBorders>
              <w:top w:val="single" w:sz="4" w:space="0" w:color="auto"/>
              <w:bottom w:val="nil"/>
            </w:tcBorders>
            <w:vAlign w:val="center"/>
          </w:tcPr>
          <w:p w:rsidR="00CF6B11" w:rsidP="008C1B96" w14:paraId="06412BAB" w14:textId="72A059E9">
            <w:pPr>
              <w:jc w:val="center"/>
            </w:pPr>
            <w:r>
              <w:t>450</w:t>
            </w:r>
          </w:p>
        </w:tc>
        <w:tc>
          <w:tcPr>
            <w:tcW w:w="1463" w:type="dxa"/>
            <w:tcBorders>
              <w:top w:val="single" w:sz="4" w:space="0" w:color="auto"/>
              <w:bottom w:val="nil"/>
            </w:tcBorders>
            <w:vAlign w:val="center"/>
          </w:tcPr>
          <w:p w:rsidR="00CF6B11" w:rsidRPr="00821614" w:rsidP="008C1B96" w14:paraId="0D34FA8B" w14:textId="3FDD7AF8">
            <w:pPr>
              <w:jc w:val="center"/>
            </w:pPr>
            <w:r>
              <w:t>450</w:t>
            </w:r>
          </w:p>
        </w:tc>
      </w:tr>
      <w:tr w14:paraId="41817CA3" w14:textId="77777777" w:rsidTr="008C1B96">
        <w:tblPrEx>
          <w:tblW w:w="9360" w:type="dxa"/>
          <w:tblLook w:val="04A0"/>
        </w:tblPrEx>
        <w:trPr>
          <w:trHeight w:val="343"/>
        </w:trPr>
        <w:tc>
          <w:tcPr>
            <w:tcW w:w="3510" w:type="dxa"/>
            <w:tcBorders>
              <w:top w:val="nil"/>
            </w:tcBorders>
            <w:vAlign w:val="center"/>
          </w:tcPr>
          <w:p w:rsidR="00CF6B11" w:rsidRPr="00D1007A" w:rsidP="008C1B96" w14:paraId="700F593A" w14:textId="77777777">
            <w:pPr>
              <w:rPr>
                <w:b/>
                <w:bCs/>
              </w:rPr>
            </w:pPr>
            <w:r w:rsidRPr="00D1007A">
              <w:rPr>
                <w:b/>
                <w:bCs/>
              </w:rPr>
              <w:t>Sex</w:t>
            </w:r>
          </w:p>
        </w:tc>
        <w:tc>
          <w:tcPr>
            <w:tcW w:w="1462" w:type="dxa"/>
            <w:tcBorders>
              <w:top w:val="nil"/>
            </w:tcBorders>
            <w:vAlign w:val="center"/>
          </w:tcPr>
          <w:p w:rsidR="00CF6B11" w:rsidP="008C1B96" w14:paraId="17DEF784" w14:textId="77777777">
            <w:pPr>
              <w:jc w:val="center"/>
            </w:pPr>
          </w:p>
        </w:tc>
        <w:tc>
          <w:tcPr>
            <w:tcW w:w="1463" w:type="dxa"/>
            <w:tcBorders>
              <w:top w:val="nil"/>
            </w:tcBorders>
            <w:vAlign w:val="center"/>
          </w:tcPr>
          <w:p w:rsidR="00CF6B11" w:rsidP="008C1B96" w14:paraId="5FCA36BA" w14:textId="77777777">
            <w:pPr>
              <w:jc w:val="center"/>
            </w:pPr>
          </w:p>
        </w:tc>
        <w:tc>
          <w:tcPr>
            <w:tcW w:w="1462" w:type="dxa"/>
            <w:tcBorders>
              <w:top w:val="nil"/>
            </w:tcBorders>
            <w:vAlign w:val="center"/>
          </w:tcPr>
          <w:p w:rsidR="00CF6B11" w:rsidP="008C1B96" w14:paraId="6BA26B1D" w14:textId="77777777">
            <w:pPr>
              <w:jc w:val="center"/>
            </w:pPr>
          </w:p>
        </w:tc>
        <w:tc>
          <w:tcPr>
            <w:tcW w:w="1463" w:type="dxa"/>
            <w:tcBorders>
              <w:top w:val="nil"/>
            </w:tcBorders>
            <w:vAlign w:val="center"/>
          </w:tcPr>
          <w:p w:rsidR="00CF6B11" w:rsidRPr="00821614" w:rsidP="008C1B96" w14:paraId="50F426CE" w14:textId="77777777">
            <w:pPr>
              <w:jc w:val="center"/>
            </w:pPr>
          </w:p>
        </w:tc>
      </w:tr>
      <w:tr w14:paraId="35EA2A72" w14:textId="77777777" w:rsidTr="008C1B96">
        <w:tblPrEx>
          <w:tblW w:w="9360" w:type="dxa"/>
          <w:tblLook w:val="04A0"/>
        </w:tblPrEx>
        <w:trPr>
          <w:trHeight w:val="343"/>
        </w:trPr>
        <w:tc>
          <w:tcPr>
            <w:tcW w:w="3510" w:type="dxa"/>
            <w:vAlign w:val="center"/>
          </w:tcPr>
          <w:p w:rsidR="00CF6B11" w:rsidP="008C1B96" w14:paraId="1F973DDA" w14:textId="77777777">
            <w:pPr>
              <w:ind w:left="162"/>
            </w:pPr>
            <w:r>
              <w:t>Male</w:t>
            </w:r>
          </w:p>
        </w:tc>
        <w:tc>
          <w:tcPr>
            <w:tcW w:w="1462" w:type="dxa"/>
            <w:vAlign w:val="center"/>
          </w:tcPr>
          <w:p w:rsidR="00CF6B11" w:rsidP="008C1B96" w14:paraId="082C965C" w14:textId="0343E705">
            <w:pPr>
              <w:jc w:val="center"/>
            </w:pPr>
            <w:r>
              <w:t>49.9</w:t>
            </w:r>
            <w:r w:rsidR="001F79D8">
              <w:t>%</w:t>
            </w:r>
          </w:p>
        </w:tc>
        <w:tc>
          <w:tcPr>
            <w:tcW w:w="1463" w:type="dxa"/>
            <w:vAlign w:val="center"/>
          </w:tcPr>
          <w:p w:rsidR="00CF6B11" w:rsidP="008C1B96" w14:paraId="319109CF" w14:textId="5F0254ED">
            <w:pPr>
              <w:jc w:val="center"/>
            </w:pPr>
            <w:r>
              <w:t>47.0</w:t>
            </w:r>
            <w:r w:rsidR="001F79D8">
              <w:t>%</w:t>
            </w:r>
          </w:p>
        </w:tc>
        <w:tc>
          <w:tcPr>
            <w:tcW w:w="1462" w:type="dxa"/>
            <w:vAlign w:val="center"/>
          </w:tcPr>
          <w:p w:rsidR="00CF6B11" w:rsidRPr="009256EC" w:rsidP="008C1B96" w14:paraId="2432217E" w14:textId="7780E515">
            <w:pPr>
              <w:jc w:val="center"/>
            </w:pPr>
            <w:r>
              <w:t>56.2</w:t>
            </w:r>
            <w:r w:rsidR="001F79D8">
              <w:t>%</w:t>
            </w:r>
          </w:p>
        </w:tc>
        <w:tc>
          <w:tcPr>
            <w:tcW w:w="1463" w:type="dxa"/>
            <w:vAlign w:val="center"/>
          </w:tcPr>
          <w:p w:rsidR="00CF6B11" w:rsidRPr="00821614" w:rsidP="008C1B96" w14:paraId="323BA9B4" w14:textId="26E1576F">
            <w:pPr>
              <w:jc w:val="center"/>
            </w:pPr>
            <w:r>
              <w:t>52.5</w:t>
            </w:r>
            <w:r w:rsidR="001F79D8">
              <w:t>%</w:t>
            </w:r>
          </w:p>
        </w:tc>
      </w:tr>
      <w:tr w14:paraId="72B213AE" w14:textId="77777777" w:rsidTr="008C1B96">
        <w:tblPrEx>
          <w:tblW w:w="9360" w:type="dxa"/>
          <w:tblLook w:val="04A0"/>
        </w:tblPrEx>
        <w:trPr>
          <w:trHeight w:val="343"/>
        </w:trPr>
        <w:tc>
          <w:tcPr>
            <w:tcW w:w="3510" w:type="dxa"/>
            <w:vAlign w:val="center"/>
          </w:tcPr>
          <w:p w:rsidR="00CF6B11" w:rsidP="008C1B96" w14:paraId="736B18E6" w14:textId="77777777">
            <w:pPr>
              <w:ind w:left="162"/>
            </w:pPr>
            <w:r>
              <w:t>Female</w:t>
            </w:r>
          </w:p>
        </w:tc>
        <w:tc>
          <w:tcPr>
            <w:tcW w:w="1462" w:type="dxa"/>
            <w:vAlign w:val="center"/>
          </w:tcPr>
          <w:p w:rsidR="00CF6B11" w:rsidP="008C1B96" w14:paraId="6EA72650" w14:textId="03B52081">
            <w:pPr>
              <w:jc w:val="center"/>
            </w:pPr>
            <w:r>
              <w:t>50.2</w:t>
            </w:r>
          </w:p>
        </w:tc>
        <w:tc>
          <w:tcPr>
            <w:tcW w:w="1463" w:type="dxa"/>
            <w:vAlign w:val="center"/>
          </w:tcPr>
          <w:p w:rsidR="00CF6B11" w:rsidP="008C1B96" w14:paraId="1D75C785" w14:textId="38F43FF1">
            <w:pPr>
              <w:jc w:val="center"/>
            </w:pPr>
            <w:r>
              <w:t>53.0</w:t>
            </w:r>
          </w:p>
        </w:tc>
        <w:tc>
          <w:tcPr>
            <w:tcW w:w="1462" w:type="dxa"/>
            <w:vAlign w:val="center"/>
          </w:tcPr>
          <w:p w:rsidR="00CF6B11" w:rsidP="008C1B96" w14:paraId="4A7407EA" w14:textId="3DC192FE">
            <w:pPr>
              <w:jc w:val="center"/>
            </w:pPr>
            <w:r>
              <w:t>43.8</w:t>
            </w:r>
          </w:p>
        </w:tc>
        <w:tc>
          <w:tcPr>
            <w:tcW w:w="1463" w:type="dxa"/>
            <w:vAlign w:val="center"/>
          </w:tcPr>
          <w:p w:rsidR="00CF6B11" w:rsidP="008C1B96" w14:paraId="60608A9A" w14:textId="00D3EE41">
            <w:pPr>
              <w:jc w:val="center"/>
            </w:pPr>
            <w:r>
              <w:t>47.5</w:t>
            </w:r>
          </w:p>
        </w:tc>
      </w:tr>
      <w:tr w14:paraId="557C6D6D" w14:textId="77777777" w:rsidTr="008C1B96">
        <w:tblPrEx>
          <w:tblW w:w="9360" w:type="dxa"/>
          <w:tblLook w:val="04A0"/>
        </w:tblPrEx>
        <w:trPr>
          <w:trHeight w:val="343"/>
        </w:trPr>
        <w:tc>
          <w:tcPr>
            <w:tcW w:w="3510" w:type="dxa"/>
            <w:vAlign w:val="center"/>
          </w:tcPr>
          <w:p w:rsidR="00CF6B11" w:rsidRPr="00D1007A" w:rsidP="008C1B96" w14:paraId="34A9DCF8" w14:textId="77777777">
            <w:pPr>
              <w:rPr>
                <w:b/>
                <w:bCs/>
              </w:rPr>
            </w:pPr>
            <w:r w:rsidRPr="00D1007A">
              <w:rPr>
                <w:b/>
                <w:bCs/>
              </w:rPr>
              <w:t>Race</w:t>
            </w:r>
          </w:p>
        </w:tc>
        <w:tc>
          <w:tcPr>
            <w:tcW w:w="1462" w:type="dxa"/>
            <w:vAlign w:val="center"/>
          </w:tcPr>
          <w:p w:rsidR="00CF6B11" w:rsidP="008C1B96" w14:paraId="738ED927" w14:textId="77777777">
            <w:pPr>
              <w:jc w:val="center"/>
            </w:pPr>
          </w:p>
        </w:tc>
        <w:tc>
          <w:tcPr>
            <w:tcW w:w="1463" w:type="dxa"/>
            <w:vAlign w:val="center"/>
          </w:tcPr>
          <w:p w:rsidR="00CF6B11" w:rsidP="008C1B96" w14:paraId="4A2D9CD0" w14:textId="77777777">
            <w:pPr>
              <w:jc w:val="center"/>
            </w:pPr>
          </w:p>
        </w:tc>
        <w:tc>
          <w:tcPr>
            <w:tcW w:w="1462" w:type="dxa"/>
            <w:vAlign w:val="center"/>
          </w:tcPr>
          <w:p w:rsidR="00CF6B11" w:rsidP="008C1B96" w14:paraId="52E5A3EA" w14:textId="77777777">
            <w:pPr>
              <w:jc w:val="center"/>
            </w:pPr>
          </w:p>
        </w:tc>
        <w:tc>
          <w:tcPr>
            <w:tcW w:w="1463" w:type="dxa"/>
            <w:vAlign w:val="center"/>
          </w:tcPr>
          <w:p w:rsidR="00CF6B11" w:rsidP="008C1B96" w14:paraId="4ECE255E" w14:textId="77777777">
            <w:pPr>
              <w:jc w:val="center"/>
            </w:pPr>
          </w:p>
        </w:tc>
      </w:tr>
      <w:tr w14:paraId="62ABAA97" w14:textId="77777777" w:rsidTr="008C1B96">
        <w:tblPrEx>
          <w:tblW w:w="9360" w:type="dxa"/>
          <w:tblLook w:val="04A0"/>
        </w:tblPrEx>
        <w:trPr>
          <w:trHeight w:val="343"/>
        </w:trPr>
        <w:tc>
          <w:tcPr>
            <w:tcW w:w="3510" w:type="dxa"/>
            <w:vAlign w:val="center"/>
          </w:tcPr>
          <w:p w:rsidR="00CF6B11" w:rsidP="008C1B96" w14:paraId="217EC61E" w14:textId="77777777">
            <w:pPr>
              <w:ind w:left="162"/>
            </w:pPr>
            <w:r>
              <w:t>White only</w:t>
            </w:r>
          </w:p>
        </w:tc>
        <w:tc>
          <w:tcPr>
            <w:tcW w:w="1462" w:type="dxa"/>
            <w:vAlign w:val="center"/>
          </w:tcPr>
          <w:p w:rsidR="00CF6B11" w:rsidP="008C1B96" w14:paraId="1783265F" w14:textId="759A7090">
            <w:pPr>
              <w:jc w:val="center"/>
            </w:pPr>
            <w:r>
              <w:t>74.0</w:t>
            </w:r>
          </w:p>
        </w:tc>
        <w:tc>
          <w:tcPr>
            <w:tcW w:w="1463" w:type="dxa"/>
            <w:vAlign w:val="center"/>
          </w:tcPr>
          <w:p w:rsidR="00CF6B11" w:rsidP="008C1B96" w14:paraId="1D63CA34" w14:textId="46298E47">
            <w:pPr>
              <w:jc w:val="center"/>
            </w:pPr>
            <w:r>
              <w:t>76.8</w:t>
            </w:r>
          </w:p>
        </w:tc>
        <w:tc>
          <w:tcPr>
            <w:tcW w:w="1462" w:type="dxa"/>
            <w:vAlign w:val="center"/>
          </w:tcPr>
          <w:p w:rsidR="00CF6B11" w:rsidP="008C1B96" w14:paraId="1850EF81" w14:textId="5FCFF555">
            <w:pPr>
              <w:jc w:val="center"/>
            </w:pPr>
            <w:r>
              <w:t>79.6</w:t>
            </w:r>
          </w:p>
        </w:tc>
        <w:tc>
          <w:tcPr>
            <w:tcW w:w="1463" w:type="dxa"/>
            <w:vAlign w:val="center"/>
          </w:tcPr>
          <w:p w:rsidR="00CF6B11" w:rsidP="008C1B96" w14:paraId="7400EDB2" w14:textId="6B405505">
            <w:pPr>
              <w:jc w:val="center"/>
            </w:pPr>
            <w:r>
              <w:t>74.9</w:t>
            </w:r>
          </w:p>
        </w:tc>
      </w:tr>
      <w:tr w14:paraId="61316603" w14:textId="77777777" w:rsidTr="008C1B96">
        <w:tblPrEx>
          <w:tblW w:w="9360" w:type="dxa"/>
          <w:tblLook w:val="04A0"/>
        </w:tblPrEx>
        <w:trPr>
          <w:trHeight w:val="343"/>
        </w:trPr>
        <w:tc>
          <w:tcPr>
            <w:tcW w:w="3510" w:type="dxa"/>
            <w:vAlign w:val="center"/>
          </w:tcPr>
          <w:p w:rsidR="00CF6B11" w:rsidP="008C1B96" w14:paraId="6EBC5678" w14:textId="77777777">
            <w:pPr>
              <w:ind w:left="162"/>
            </w:pPr>
            <w:r>
              <w:t>Black or African American</w:t>
            </w:r>
          </w:p>
        </w:tc>
        <w:tc>
          <w:tcPr>
            <w:tcW w:w="1462" w:type="dxa"/>
            <w:vAlign w:val="center"/>
          </w:tcPr>
          <w:p w:rsidR="00CF6B11" w:rsidP="008C1B96" w14:paraId="4A4E1DD9" w14:textId="7B7EDE3C">
            <w:pPr>
              <w:jc w:val="center"/>
            </w:pPr>
            <w:r>
              <w:t>15.9</w:t>
            </w:r>
          </w:p>
        </w:tc>
        <w:tc>
          <w:tcPr>
            <w:tcW w:w="1463" w:type="dxa"/>
            <w:vAlign w:val="center"/>
          </w:tcPr>
          <w:p w:rsidR="00CF6B11" w:rsidP="008C1B96" w14:paraId="31DBE92C" w14:textId="7C2E7C4E">
            <w:pPr>
              <w:jc w:val="center"/>
            </w:pPr>
            <w:r>
              <w:t>11.0</w:t>
            </w:r>
          </w:p>
        </w:tc>
        <w:tc>
          <w:tcPr>
            <w:tcW w:w="1462" w:type="dxa"/>
            <w:vAlign w:val="center"/>
          </w:tcPr>
          <w:p w:rsidR="00CF6B11" w:rsidP="008C1B96" w14:paraId="5C8D0091" w14:textId="6CC84CF5">
            <w:pPr>
              <w:jc w:val="center"/>
            </w:pPr>
            <w:r>
              <w:t>11.0</w:t>
            </w:r>
          </w:p>
        </w:tc>
        <w:tc>
          <w:tcPr>
            <w:tcW w:w="1463" w:type="dxa"/>
            <w:vAlign w:val="center"/>
          </w:tcPr>
          <w:p w:rsidR="00CF6B11" w:rsidP="008C1B96" w14:paraId="285BB4BC" w14:textId="61A1B76B">
            <w:pPr>
              <w:jc w:val="center"/>
            </w:pPr>
            <w:r>
              <w:t>11.4</w:t>
            </w:r>
          </w:p>
        </w:tc>
      </w:tr>
      <w:tr w14:paraId="669C8D2B" w14:textId="77777777" w:rsidTr="008C1B96">
        <w:tblPrEx>
          <w:tblW w:w="9360" w:type="dxa"/>
          <w:tblLook w:val="04A0"/>
        </w:tblPrEx>
        <w:trPr>
          <w:trHeight w:val="343"/>
        </w:trPr>
        <w:tc>
          <w:tcPr>
            <w:tcW w:w="3510" w:type="dxa"/>
            <w:vAlign w:val="center"/>
          </w:tcPr>
          <w:p w:rsidR="00CF6B11" w:rsidP="008C1B96" w14:paraId="3F237980" w14:textId="77777777">
            <w:pPr>
              <w:ind w:left="162"/>
            </w:pPr>
            <w:r>
              <w:t>Other</w:t>
            </w:r>
          </w:p>
        </w:tc>
        <w:tc>
          <w:tcPr>
            <w:tcW w:w="1462" w:type="dxa"/>
            <w:vAlign w:val="center"/>
          </w:tcPr>
          <w:p w:rsidR="00CF6B11" w:rsidP="008C1B96" w14:paraId="4EF8F95E" w14:textId="650598D4">
            <w:pPr>
              <w:jc w:val="center"/>
            </w:pPr>
            <w:r>
              <w:t>10.0</w:t>
            </w:r>
          </w:p>
        </w:tc>
        <w:tc>
          <w:tcPr>
            <w:tcW w:w="1463" w:type="dxa"/>
            <w:vAlign w:val="center"/>
          </w:tcPr>
          <w:p w:rsidR="00CF6B11" w:rsidP="008C1B96" w14:paraId="40836B22" w14:textId="1F072751">
            <w:pPr>
              <w:jc w:val="center"/>
            </w:pPr>
            <w:r>
              <w:t>12.3</w:t>
            </w:r>
          </w:p>
        </w:tc>
        <w:tc>
          <w:tcPr>
            <w:tcW w:w="1462" w:type="dxa"/>
            <w:vAlign w:val="center"/>
          </w:tcPr>
          <w:p w:rsidR="00CF6B11" w:rsidP="008C1B96" w14:paraId="0CB1C4FB" w14:textId="08C04D7A">
            <w:pPr>
              <w:jc w:val="center"/>
            </w:pPr>
            <w:r>
              <w:t>9.4</w:t>
            </w:r>
          </w:p>
        </w:tc>
        <w:tc>
          <w:tcPr>
            <w:tcW w:w="1463" w:type="dxa"/>
            <w:vAlign w:val="center"/>
          </w:tcPr>
          <w:p w:rsidR="00CF6B11" w:rsidP="008C1B96" w14:paraId="1ADE8B8E" w14:textId="18E02A47">
            <w:pPr>
              <w:jc w:val="center"/>
            </w:pPr>
            <w:r>
              <w:t>13.7</w:t>
            </w:r>
          </w:p>
        </w:tc>
      </w:tr>
      <w:tr w14:paraId="18435B33" w14:textId="77777777" w:rsidTr="008C1B96">
        <w:tblPrEx>
          <w:tblW w:w="9360" w:type="dxa"/>
          <w:tblLook w:val="04A0"/>
        </w:tblPrEx>
        <w:trPr>
          <w:trHeight w:val="343"/>
        </w:trPr>
        <w:tc>
          <w:tcPr>
            <w:tcW w:w="3510" w:type="dxa"/>
            <w:vAlign w:val="center"/>
          </w:tcPr>
          <w:p w:rsidR="00CF6B11" w:rsidRPr="00D1007A" w:rsidP="008C1B96" w14:paraId="1EE08882" w14:textId="77777777">
            <w:pPr>
              <w:rPr>
                <w:b/>
                <w:bCs/>
              </w:rPr>
            </w:pPr>
            <w:r w:rsidRPr="00D1007A">
              <w:rPr>
                <w:b/>
                <w:bCs/>
              </w:rPr>
              <w:t>Ethnicity</w:t>
            </w:r>
          </w:p>
        </w:tc>
        <w:tc>
          <w:tcPr>
            <w:tcW w:w="1462" w:type="dxa"/>
            <w:vAlign w:val="center"/>
          </w:tcPr>
          <w:p w:rsidR="00CF6B11" w:rsidP="008C1B96" w14:paraId="26E1AD8F" w14:textId="77777777">
            <w:pPr>
              <w:jc w:val="center"/>
            </w:pPr>
          </w:p>
        </w:tc>
        <w:tc>
          <w:tcPr>
            <w:tcW w:w="1463" w:type="dxa"/>
            <w:vAlign w:val="center"/>
          </w:tcPr>
          <w:p w:rsidR="00CF6B11" w:rsidP="008C1B96" w14:paraId="3ACC019E" w14:textId="77777777">
            <w:pPr>
              <w:jc w:val="center"/>
            </w:pPr>
          </w:p>
        </w:tc>
        <w:tc>
          <w:tcPr>
            <w:tcW w:w="1462" w:type="dxa"/>
            <w:vAlign w:val="center"/>
          </w:tcPr>
          <w:p w:rsidR="00CF6B11" w:rsidP="008C1B96" w14:paraId="3F66ECDB" w14:textId="77777777">
            <w:pPr>
              <w:jc w:val="center"/>
            </w:pPr>
          </w:p>
        </w:tc>
        <w:tc>
          <w:tcPr>
            <w:tcW w:w="1463" w:type="dxa"/>
            <w:vAlign w:val="center"/>
          </w:tcPr>
          <w:p w:rsidR="00CF6B11" w:rsidP="008C1B96" w14:paraId="6A995AF5" w14:textId="77777777">
            <w:pPr>
              <w:jc w:val="center"/>
            </w:pPr>
          </w:p>
        </w:tc>
      </w:tr>
      <w:tr w14:paraId="52DCA204" w14:textId="77777777" w:rsidTr="008C1B96">
        <w:tblPrEx>
          <w:tblW w:w="9360" w:type="dxa"/>
          <w:tblLook w:val="04A0"/>
        </w:tblPrEx>
        <w:trPr>
          <w:trHeight w:val="343"/>
        </w:trPr>
        <w:tc>
          <w:tcPr>
            <w:tcW w:w="3510" w:type="dxa"/>
            <w:vAlign w:val="center"/>
          </w:tcPr>
          <w:p w:rsidR="00CF6B11" w:rsidP="008C1B96" w14:paraId="6B0E601B" w14:textId="77777777">
            <w:pPr>
              <w:ind w:left="162"/>
            </w:pPr>
            <w:r>
              <w:t>Hispanic or Latino</w:t>
            </w:r>
          </w:p>
        </w:tc>
        <w:tc>
          <w:tcPr>
            <w:tcW w:w="1462" w:type="dxa"/>
            <w:vAlign w:val="center"/>
          </w:tcPr>
          <w:p w:rsidR="00CF6B11" w:rsidP="008C1B96" w14:paraId="2189EEEF" w14:textId="1C515C9C">
            <w:pPr>
              <w:jc w:val="center"/>
            </w:pPr>
            <w:r>
              <w:t>24.5</w:t>
            </w:r>
          </w:p>
        </w:tc>
        <w:tc>
          <w:tcPr>
            <w:tcW w:w="1463" w:type="dxa"/>
            <w:vAlign w:val="center"/>
          </w:tcPr>
          <w:p w:rsidR="00CF6B11" w:rsidP="008C1B96" w14:paraId="43A01BDE" w14:textId="5A7B2972">
            <w:pPr>
              <w:jc w:val="center"/>
            </w:pPr>
            <w:r>
              <w:t>22.5</w:t>
            </w:r>
          </w:p>
        </w:tc>
        <w:tc>
          <w:tcPr>
            <w:tcW w:w="1462" w:type="dxa"/>
            <w:vAlign w:val="center"/>
          </w:tcPr>
          <w:p w:rsidR="00CF6B11" w:rsidP="008C1B96" w14:paraId="7059F3B4" w14:textId="523CBD0F">
            <w:pPr>
              <w:jc w:val="center"/>
            </w:pPr>
            <w:r>
              <w:t>24.5</w:t>
            </w:r>
          </w:p>
        </w:tc>
        <w:tc>
          <w:tcPr>
            <w:tcW w:w="1463" w:type="dxa"/>
            <w:vAlign w:val="center"/>
          </w:tcPr>
          <w:p w:rsidR="00CF6B11" w:rsidP="008C1B96" w14:paraId="45E73B59" w14:textId="7809323E">
            <w:pPr>
              <w:jc w:val="center"/>
            </w:pPr>
            <w:r>
              <w:t>19.7</w:t>
            </w:r>
          </w:p>
        </w:tc>
      </w:tr>
      <w:tr w14:paraId="0EEF299E" w14:textId="77777777" w:rsidTr="008C1B96">
        <w:tblPrEx>
          <w:tblW w:w="9360" w:type="dxa"/>
          <w:tblLook w:val="04A0"/>
        </w:tblPrEx>
        <w:trPr>
          <w:trHeight w:val="343"/>
        </w:trPr>
        <w:tc>
          <w:tcPr>
            <w:tcW w:w="3510" w:type="dxa"/>
            <w:vAlign w:val="center"/>
          </w:tcPr>
          <w:p w:rsidR="00CF6B11" w:rsidP="008C1B96" w14:paraId="754067BD" w14:textId="77777777">
            <w:pPr>
              <w:ind w:left="162"/>
            </w:pPr>
            <w:r>
              <w:t>Non-Hispanic</w:t>
            </w:r>
          </w:p>
        </w:tc>
        <w:tc>
          <w:tcPr>
            <w:tcW w:w="1462" w:type="dxa"/>
            <w:vAlign w:val="center"/>
          </w:tcPr>
          <w:p w:rsidR="00CF6B11" w:rsidP="008C1B96" w14:paraId="42D8BA44" w14:textId="7398468D">
            <w:pPr>
              <w:jc w:val="center"/>
            </w:pPr>
            <w:r>
              <w:t>75.5</w:t>
            </w:r>
          </w:p>
        </w:tc>
        <w:tc>
          <w:tcPr>
            <w:tcW w:w="1463" w:type="dxa"/>
            <w:vAlign w:val="center"/>
          </w:tcPr>
          <w:p w:rsidR="00CF6B11" w:rsidP="008C1B96" w14:paraId="0F6E9F3E" w14:textId="3A8DC2F0">
            <w:pPr>
              <w:jc w:val="center"/>
            </w:pPr>
            <w:r>
              <w:t>77.5</w:t>
            </w:r>
          </w:p>
        </w:tc>
        <w:tc>
          <w:tcPr>
            <w:tcW w:w="1462" w:type="dxa"/>
            <w:vAlign w:val="center"/>
          </w:tcPr>
          <w:p w:rsidR="00CF6B11" w:rsidP="008C1B96" w14:paraId="21DFCD84" w14:textId="0BDEB505">
            <w:pPr>
              <w:jc w:val="center"/>
            </w:pPr>
            <w:r>
              <w:t>75.5</w:t>
            </w:r>
          </w:p>
        </w:tc>
        <w:tc>
          <w:tcPr>
            <w:tcW w:w="1463" w:type="dxa"/>
            <w:vAlign w:val="center"/>
          </w:tcPr>
          <w:p w:rsidR="00CF6B11" w:rsidP="008C1B96" w14:paraId="21DBF914" w14:textId="4B7182C3">
            <w:pPr>
              <w:jc w:val="center"/>
            </w:pPr>
            <w:r>
              <w:t>80.3</w:t>
            </w:r>
          </w:p>
        </w:tc>
      </w:tr>
      <w:tr w14:paraId="04350DAA" w14:textId="77777777" w:rsidTr="008C1B96">
        <w:tblPrEx>
          <w:tblW w:w="9360" w:type="dxa"/>
          <w:tblLook w:val="04A0"/>
        </w:tblPrEx>
        <w:trPr>
          <w:trHeight w:val="343"/>
        </w:trPr>
        <w:tc>
          <w:tcPr>
            <w:tcW w:w="3510" w:type="dxa"/>
            <w:vAlign w:val="center"/>
          </w:tcPr>
          <w:p w:rsidR="00CF6B11" w:rsidRPr="00D1007A" w:rsidP="008C1B96" w14:paraId="081C5277" w14:textId="77777777">
            <w:pPr>
              <w:rPr>
                <w:b/>
                <w:bCs/>
              </w:rPr>
            </w:pPr>
            <w:r w:rsidRPr="00D1007A">
              <w:rPr>
                <w:b/>
                <w:bCs/>
              </w:rPr>
              <w:t>Educational Attain</w:t>
            </w:r>
            <w:r>
              <w:rPr>
                <w:b/>
                <w:bCs/>
              </w:rPr>
              <w:t>ment</w:t>
            </w:r>
          </w:p>
        </w:tc>
        <w:tc>
          <w:tcPr>
            <w:tcW w:w="1462" w:type="dxa"/>
            <w:vAlign w:val="center"/>
          </w:tcPr>
          <w:p w:rsidR="00CF6B11" w:rsidP="008C1B96" w14:paraId="41945E52" w14:textId="77777777">
            <w:pPr>
              <w:jc w:val="center"/>
            </w:pPr>
          </w:p>
        </w:tc>
        <w:tc>
          <w:tcPr>
            <w:tcW w:w="1463" w:type="dxa"/>
            <w:vAlign w:val="center"/>
          </w:tcPr>
          <w:p w:rsidR="00CF6B11" w:rsidP="008C1B96" w14:paraId="73F34761" w14:textId="77777777">
            <w:pPr>
              <w:jc w:val="center"/>
            </w:pPr>
          </w:p>
        </w:tc>
        <w:tc>
          <w:tcPr>
            <w:tcW w:w="1462" w:type="dxa"/>
            <w:vAlign w:val="center"/>
          </w:tcPr>
          <w:p w:rsidR="00CF6B11" w:rsidP="008C1B96" w14:paraId="57063B0A" w14:textId="77777777">
            <w:pPr>
              <w:jc w:val="center"/>
            </w:pPr>
          </w:p>
        </w:tc>
        <w:tc>
          <w:tcPr>
            <w:tcW w:w="1463" w:type="dxa"/>
            <w:vAlign w:val="center"/>
          </w:tcPr>
          <w:p w:rsidR="00CF6B11" w:rsidP="008C1B96" w14:paraId="2513D091" w14:textId="77777777">
            <w:pPr>
              <w:jc w:val="center"/>
            </w:pPr>
          </w:p>
        </w:tc>
      </w:tr>
      <w:tr w14:paraId="05FAE677" w14:textId="77777777" w:rsidTr="008C1B96">
        <w:tblPrEx>
          <w:tblW w:w="9360" w:type="dxa"/>
          <w:tblLook w:val="04A0"/>
        </w:tblPrEx>
        <w:trPr>
          <w:trHeight w:val="343"/>
        </w:trPr>
        <w:tc>
          <w:tcPr>
            <w:tcW w:w="3510" w:type="dxa"/>
            <w:vAlign w:val="center"/>
          </w:tcPr>
          <w:p w:rsidR="00CF6B11" w:rsidP="008C1B96" w14:paraId="0259F513" w14:textId="77777777">
            <w:pPr>
              <w:ind w:left="162"/>
            </w:pPr>
            <w:r>
              <w:t>High school diploma or less</w:t>
            </w:r>
          </w:p>
        </w:tc>
        <w:tc>
          <w:tcPr>
            <w:tcW w:w="1462" w:type="dxa"/>
            <w:vAlign w:val="center"/>
          </w:tcPr>
          <w:p w:rsidR="00CF6B11" w:rsidP="008C1B96" w14:paraId="501B83DD" w14:textId="58DAB35C">
            <w:pPr>
              <w:jc w:val="center"/>
            </w:pPr>
            <w:r>
              <w:t>66.1</w:t>
            </w:r>
          </w:p>
        </w:tc>
        <w:tc>
          <w:tcPr>
            <w:tcW w:w="1463" w:type="dxa"/>
            <w:vAlign w:val="center"/>
          </w:tcPr>
          <w:p w:rsidR="00CF6B11" w:rsidP="008C1B96" w14:paraId="4A9E8456" w14:textId="6CF9A0C0">
            <w:pPr>
              <w:jc w:val="center"/>
            </w:pPr>
            <w:r>
              <w:t>61.5</w:t>
            </w:r>
          </w:p>
        </w:tc>
        <w:tc>
          <w:tcPr>
            <w:tcW w:w="1462" w:type="dxa"/>
            <w:vAlign w:val="center"/>
          </w:tcPr>
          <w:p w:rsidR="00CF6B11" w:rsidP="008C1B96" w14:paraId="3E47B9EC" w14:textId="046621FE">
            <w:pPr>
              <w:jc w:val="center"/>
            </w:pPr>
            <w:r>
              <w:t>61.8</w:t>
            </w:r>
          </w:p>
        </w:tc>
        <w:tc>
          <w:tcPr>
            <w:tcW w:w="1463" w:type="dxa"/>
            <w:vAlign w:val="center"/>
          </w:tcPr>
          <w:p w:rsidR="00CF6B11" w:rsidP="008C1B96" w14:paraId="60B4750A" w14:textId="1B5D6914">
            <w:pPr>
              <w:jc w:val="center"/>
            </w:pPr>
            <w:r>
              <w:t>60.5</w:t>
            </w:r>
          </w:p>
        </w:tc>
      </w:tr>
      <w:tr w14:paraId="6CA9C6EC" w14:textId="77777777" w:rsidTr="008C1B96">
        <w:tblPrEx>
          <w:tblW w:w="9360" w:type="dxa"/>
          <w:tblLook w:val="04A0"/>
        </w:tblPrEx>
        <w:trPr>
          <w:trHeight w:val="343"/>
        </w:trPr>
        <w:tc>
          <w:tcPr>
            <w:tcW w:w="3510" w:type="dxa"/>
            <w:vAlign w:val="center"/>
          </w:tcPr>
          <w:p w:rsidR="00CF6B11" w:rsidP="008C1B96" w14:paraId="056810F1" w14:textId="5CC5EF30">
            <w:pPr>
              <w:ind w:left="162"/>
            </w:pPr>
            <w:r>
              <w:t>Some college or associate</w:t>
            </w:r>
            <w:r w:rsidR="005623AC">
              <w:t>’</w:t>
            </w:r>
            <w:r>
              <w:t>s degree</w:t>
            </w:r>
          </w:p>
        </w:tc>
        <w:tc>
          <w:tcPr>
            <w:tcW w:w="1462" w:type="dxa"/>
            <w:vAlign w:val="center"/>
          </w:tcPr>
          <w:p w:rsidR="00CF6B11" w:rsidP="008C1B96" w14:paraId="045E9963" w14:textId="7BF69931">
            <w:pPr>
              <w:jc w:val="center"/>
            </w:pPr>
            <w:r>
              <w:t>25.9</w:t>
            </w:r>
          </w:p>
        </w:tc>
        <w:tc>
          <w:tcPr>
            <w:tcW w:w="1463" w:type="dxa"/>
            <w:vAlign w:val="center"/>
          </w:tcPr>
          <w:p w:rsidR="00CF6B11" w:rsidP="008C1B96" w14:paraId="3C2F2868" w14:textId="679A22D9">
            <w:pPr>
              <w:jc w:val="center"/>
            </w:pPr>
            <w:r>
              <w:t>26.5</w:t>
            </w:r>
          </w:p>
        </w:tc>
        <w:tc>
          <w:tcPr>
            <w:tcW w:w="1462" w:type="dxa"/>
            <w:vAlign w:val="center"/>
          </w:tcPr>
          <w:p w:rsidR="00CF6B11" w:rsidP="008C1B96" w14:paraId="782DF585" w14:textId="04019471">
            <w:pPr>
              <w:jc w:val="center"/>
            </w:pPr>
            <w:r>
              <w:t>25.4</w:t>
            </w:r>
          </w:p>
        </w:tc>
        <w:tc>
          <w:tcPr>
            <w:tcW w:w="1463" w:type="dxa"/>
            <w:vAlign w:val="center"/>
          </w:tcPr>
          <w:p w:rsidR="00CF6B11" w:rsidP="008C1B96" w14:paraId="1630E40F" w14:textId="28F1B68D">
            <w:pPr>
              <w:jc w:val="center"/>
            </w:pPr>
            <w:r>
              <w:t>28.3</w:t>
            </w:r>
          </w:p>
        </w:tc>
      </w:tr>
      <w:tr w14:paraId="7C6AB420" w14:textId="77777777" w:rsidTr="008C1B96">
        <w:tblPrEx>
          <w:tblW w:w="9360" w:type="dxa"/>
          <w:tblLook w:val="04A0"/>
        </w:tblPrEx>
        <w:trPr>
          <w:trHeight w:val="343"/>
        </w:trPr>
        <w:tc>
          <w:tcPr>
            <w:tcW w:w="3510" w:type="dxa"/>
            <w:vAlign w:val="center"/>
          </w:tcPr>
          <w:p w:rsidR="00CF6B11" w:rsidP="008C1B96" w14:paraId="484143C5" w14:textId="77777777">
            <w:pPr>
              <w:ind w:left="162"/>
            </w:pPr>
            <w:r>
              <w:t>Bachelor’s degree or higher</w:t>
            </w:r>
          </w:p>
        </w:tc>
        <w:tc>
          <w:tcPr>
            <w:tcW w:w="1462" w:type="dxa"/>
            <w:vAlign w:val="center"/>
          </w:tcPr>
          <w:p w:rsidR="00CF6B11" w:rsidP="008C1B96" w14:paraId="0AD1B61C" w14:textId="2F2D1EF7">
            <w:pPr>
              <w:jc w:val="center"/>
            </w:pPr>
            <w:r>
              <w:t>8.0</w:t>
            </w:r>
          </w:p>
        </w:tc>
        <w:tc>
          <w:tcPr>
            <w:tcW w:w="1463" w:type="dxa"/>
            <w:vAlign w:val="center"/>
          </w:tcPr>
          <w:p w:rsidR="00CF6B11" w:rsidP="008C1B96" w14:paraId="2A4405F9" w14:textId="3366BCBB">
            <w:pPr>
              <w:jc w:val="center"/>
            </w:pPr>
            <w:r>
              <w:t>12.0</w:t>
            </w:r>
          </w:p>
        </w:tc>
        <w:tc>
          <w:tcPr>
            <w:tcW w:w="1462" w:type="dxa"/>
            <w:vAlign w:val="center"/>
          </w:tcPr>
          <w:p w:rsidR="00CF6B11" w:rsidP="008C1B96" w14:paraId="0EA5E4F9" w14:textId="402FA417">
            <w:pPr>
              <w:jc w:val="center"/>
            </w:pPr>
            <w:r>
              <w:t>12.8</w:t>
            </w:r>
          </w:p>
        </w:tc>
        <w:tc>
          <w:tcPr>
            <w:tcW w:w="1463" w:type="dxa"/>
            <w:vAlign w:val="center"/>
          </w:tcPr>
          <w:p w:rsidR="00CF6B11" w:rsidP="008C1B96" w14:paraId="0D4DCAD3" w14:textId="3D2C5474">
            <w:pPr>
              <w:jc w:val="center"/>
            </w:pPr>
            <w:r>
              <w:t>11.2</w:t>
            </w:r>
          </w:p>
        </w:tc>
      </w:tr>
      <w:tr w14:paraId="73001E34" w14:textId="77777777" w:rsidTr="008C1B96">
        <w:tblPrEx>
          <w:tblW w:w="9360" w:type="dxa"/>
          <w:tblLook w:val="04A0"/>
        </w:tblPrEx>
        <w:trPr>
          <w:trHeight w:val="343"/>
        </w:trPr>
        <w:tc>
          <w:tcPr>
            <w:tcW w:w="3510" w:type="dxa"/>
            <w:vAlign w:val="center"/>
          </w:tcPr>
          <w:p w:rsidR="00CF6B11" w:rsidRPr="00D1007A" w:rsidP="008C1B96" w14:paraId="248D27AA" w14:textId="77777777">
            <w:pPr>
              <w:ind w:left="-15"/>
              <w:rPr>
                <w:b/>
                <w:bCs/>
              </w:rPr>
            </w:pPr>
            <w:r w:rsidRPr="00D1007A">
              <w:rPr>
                <w:b/>
                <w:bCs/>
              </w:rPr>
              <w:t>Annual Income</w:t>
            </w:r>
          </w:p>
        </w:tc>
        <w:tc>
          <w:tcPr>
            <w:tcW w:w="1462" w:type="dxa"/>
            <w:vAlign w:val="center"/>
          </w:tcPr>
          <w:p w:rsidR="00CF6B11" w:rsidP="008C1B96" w14:paraId="563757EF" w14:textId="77777777">
            <w:pPr>
              <w:jc w:val="center"/>
            </w:pPr>
          </w:p>
        </w:tc>
        <w:tc>
          <w:tcPr>
            <w:tcW w:w="1463" w:type="dxa"/>
            <w:vAlign w:val="center"/>
          </w:tcPr>
          <w:p w:rsidR="00CF6B11" w:rsidP="008C1B96" w14:paraId="243547FD" w14:textId="77777777">
            <w:pPr>
              <w:jc w:val="center"/>
            </w:pPr>
          </w:p>
        </w:tc>
        <w:tc>
          <w:tcPr>
            <w:tcW w:w="1462" w:type="dxa"/>
            <w:vAlign w:val="center"/>
          </w:tcPr>
          <w:p w:rsidR="00CF6B11" w:rsidP="008C1B96" w14:paraId="2B17786C" w14:textId="77777777">
            <w:pPr>
              <w:jc w:val="center"/>
            </w:pPr>
          </w:p>
        </w:tc>
        <w:tc>
          <w:tcPr>
            <w:tcW w:w="1463" w:type="dxa"/>
            <w:vAlign w:val="center"/>
          </w:tcPr>
          <w:p w:rsidR="00CF6B11" w:rsidP="008C1B96" w14:paraId="3E7393F6" w14:textId="77777777">
            <w:pPr>
              <w:jc w:val="center"/>
            </w:pPr>
          </w:p>
        </w:tc>
      </w:tr>
      <w:tr w14:paraId="7A2BBA28" w14:textId="77777777" w:rsidTr="008C1B96">
        <w:tblPrEx>
          <w:tblW w:w="9360" w:type="dxa"/>
          <w:tblLook w:val="04A0"/>
        </w:tblPrEx>
        <w:trPr>
          <w:trHeight w:val="343"/>
        </w:trPr>
        <w:tc>
          <w:tcPr>
            <w:tcW w:w="3510" w:type="dxa"/>
            <w:vAlign w:val="center"/>
          </w:tcPr>
          <w:p w:rsidR="00CF6B11" w:rsidP="008C1B96" w14:paraId="6693A8EC" w14:textId="77777777">
            <w:pPr>
              <w:ind w:left="162"/>
            </w:pPr>
            <w:r>
              <w:t>Less than $25,000</w:t>
            </w:r>
          </w:p>
        </w:tc>
        <w:tc>
          <w:tcPr>
            <w:tcW w:w="1462" w:type="dxa"/>
            <w:vAlign w:val="center"/>
          </w:tcPr>
          <w:p w:rsidR="00CF6B11" w:rsidP="008C1B96" w14:paraId="49C465A3" w14:textId="2C6E4F69">
            <w:pPr>
              <w:jc w:val="center"/>
            </w:pPr>
            <w:r>
              <w:t>19.6</w:t>
            </w:r>
          </w:p>
        </w:tc>
        <w:tc>
          <w:tcPr>
            <w:tcW w:w="1463" w:type="dxa"/>
            <w:vAlign w:val="center"/>
          </w:tcPr>
          <w:p w:rsidR="00CF6B11" w:rsidP="008C1B96" w14:paraId="0E7BFA61" w14:textId="6CE38220">
            <w:pPr>
              <w:jc w:val="center"/>
            </w:pPr>
            <w:r>
              <w:t>17.0</w:t>
            </w:r>
          </w:p>
        </w:tc>
        <w:tc>
          <w:tcPr>
            <w:tcW w:w="1462" w:type="dxa"/>
            <w:vAlign w:val="center"/>
          </w:tcPr>
          <w:p w:rsidR="00CF6B11" w:rsidP="008C1B96" w14:paraId="45411EC0" w14:textId="342877F3">
            <w:pPr>
              <w:jc w:val="center"/>
            </w:pPr>
            <w:r>
              <w:t>19.1</w:t>
            </w:r>
          </w:p>
        </w:tc>
        <w:tc>
          <w:tcPr>
            <w:tcW w:w="1463" w:type="dxa"/>
            <w:vAlign w:val="center"/>
          </w:tcPr>
          <w:p w:rsidR="00CF6B11" w:rsidP="008C1B96" w14:paraId="6E457879" w14:textId="61D917D6">
            <w:pPr>
              <w:jc w:val="center"/>
            </w:pPr>
            <w:r>
              <w:t>15.7</w:t>
            </w:r>
          </w:p>
        </w:tc>
      </w:tr>
      <w:tr w14:paraId="56F9F0BA" w14:textId="77777777" w:rsidTr="008C1B96">
        <w:tblPrEx>
          <w:tblW w:w="9360" w:type="dxa"/>
          <w:tblLook w:val="04A0"/>
        </w:tblPrEx>
        <w:trPr>
          <w:trHeight w:val="343"/>
        </w:trPr>
        <w:tc>
          <w:tcPr>
            <w:tcW w:w="3510" w:type="dxa"/>
            <w:vAlign w:val="center"/>
          </w:tcPr>
          <w:p w:rsidR="00CF6B11" w:rsidP="008C1B96" w14:paraId="7A9188A3" w14:textId="77777777">
            <w:pPr>
              <w:ind w:left="162"/>
            </w:pPr>
            <w:r>
              <w:t>$25,000 to $49,999</w:t>
            </w:r>
          </w:p>
        </w:tc>
        <w:tc>
          <w:tcPr>
            <w:tcW w:w="1462" w:type="dxa"/>
            <w:vAlign w:val="center"/>
          </w:tcPr>
          <w:p w:rsidR="00CF6B11" w:rsidP="008C1B96" w14:paraId="3C33DC03" w14:textId="01E0C62B">
            <w:pPr>
              <w:jc w:val="center"/>
            </w:pPr>
            <w:r>
              <w:t>23.9</w:t>
            </w:r>
          </w:p>
        </w:tc>
        <w:tc>
          <w:tcPr>
            <w:tcW w:w="1463" w:type="dxa"/>
            <w:vAlign w:val="center"/>
          </w:tcPr>
          <w:p w:rsidR="00CF6B11" w:rsidP="008C1B96" w14:paraId="2C8C303D" w14:textId="34EC7687">
            <w:pPr>
              <w:jc w:val="center"/>
            </w:pPr>
            <w:r>
              <w:t>19.5</w:t>
            </w:r>
          </w:p>
        </w:tc>
        <w:tc>
          <w:tcPr>
            <w:tcW w:w="1462" w:type="dxa"/>
            <w:vAlign w:val="center"/>
          </w:tcPr>
          <w:p w:rsidR="00CF6B11" w:rsidP="008C1B96" w14:paraId="19236323" w14:textId="2A829071">
            <w:pPr>
              <w:jc w:val="center"/>
            </w:pPr>
            <w:r>
              <w:t>19.1</w:t>
            </w:r>
          </w:p>
        </w:tc>
        <w:tc>
          <w:tcPr>
            <w:tcW w:w="1463" w:type="dxa"/>
            <w:vAlign w:val="center"/>
          </w:tcPr>
          <w:p w:rsidR="00CF6B11" w:rsidP="008C1B96" w14:paraId="7D9EFA6C" w14:textId="527214E1">
            <w:pPr>
              <w:jc w:val="center"/>
            </w:pPr>
            <w:r>
              <w:t>25.1</w:t>
            </w:r>
          </w:p>
        </w:tc>
      </w:tr>
      <w:tr w14:paraId="1384C9BE" w14:textId="77777777" w:rsidTr="008C1B96">
        <w:tblPrEx>
          <w:tblW w:w="9360" w:type="dxa"/>
          <w:tblLook w:val="04A0"/>
        </w:tblPrEx>
        <w:trPr>
          <w:trHeight w:val="343"/>
        </w:trPr>
        <w:tc>
          <w:tcPr>
            <w:tcW w:w="3510" w:type="dxa"/>
            <w:vAlign w:val="center"/>
          </w:tcPr>
          <w:p w:rsidR="00CF6B11" w:rsidP="008C1B96" w14:paraId="4D94F433" w14:textId="77777777">
            <w:pPr>
              <w:ind w:left="162"/>
            </w:pPr>
            <w:r>
              <w:t>$50,000 to 74,999</w:t>
            </w:r>
          </w:p>
        </w:tc>
        <w:tc>
          <w:tcPr>
            <w:tcW w:w="1462" w:type="dxa"/>
            <w:vAlign w:val="center"/>
          </w:tcPr>
          <w:p w:rsidR="00CF6B11" w:rsidP="008C1B96" w14:paraId="66692031" w14:textId="3FF022BE">
            <w:pPr>
              <w:jc w:val="center"/>
            </w:pPr>
            <w:r>
              <w:t>18.1</w:t>
            </w:r>
          </w:p>
        </w:tc>
        <w:tc>
          <w:tcPr>
            <w:tcW w:w="1463" w:type="dxa"/>
            <w:vAlign w:val="center"/>
          </w:tcPr>
          <w:p w:rsidR="00CF6B11" w:rsidP="008C1B96" w14:paraId="6A04E592" w14:textId="6D577EB2">
            <w:pPr>
              <w:jc w:val="center"/>
            </w:pPr>
            <w:r>
              <w:t>18.8</w:t>
            </w:r>
          </w:p>
        </w:tc>
        <w:tc>
          <w:tcPr>
            <w:tcW w:w="1462" w:type="dxa"/>
            <w:vAlign w:val="center"/>
          </w:tcPr>
          <w:p w:rsidR="00CF6B11" w:rsidP="008C1B96" w14:paraId="58E7EFD9" w14:textId="0B248DF8">
            <w:pPr>
              <w:jc w:val="center"/>
            </w:pPr>
            <w:r>
              <w:t>18.0</w:t>
            </w:r>
          </w:p>
        </w:tc>
        <w:tc>
          <w:tcPr>
            <w:tcW w:w="1463" w:type="dxa"/>
            <w:vAlign w:val="center"/>
          </w:tcPr>
          <w:p w:rsidR="00CF6B11" w:rsidP="008C1B96" w14:paraId="54E9418E" w14:textId="6FA5276A">
            <w:pPr>
              <w:jc w:val="center"/>
            </w:pPr>
            <w:r>
              <w:t>14.6</w:t>
            </w:r>
          </w:p>
        </w:tc>
      </w:tr>
      <w:tr w14:paraId="526647F4" w14:textId="77777777" w:rsidTr="008C1B96">
        <w:tblPrEx>
          <w:tblW w:w="9360" w:type="dxa"/>
          <w:tblLook w:val="04A0"/>
        </w:tblPrEx>
        <w:trPr>
          <w:trHeight w:val="343"/>
        </w:trPr>
        <w:tc>
          <w:tcPr>
            <w:tcW w:w="3510" w:type="dxa"/>
            <w:vAlign w:val="center"/>
          </w:tcPr>
          <w:p w:rsidR="00CF6B11" w:rsidP="008C1B96" w14:paraId="683C39BD" w14:textId="77777777">
            <w:pPr>
              <w:ind w:left="162"/>
            </w:pPr>
            <w:r>
              <w:t>$75,000 or more</w:t>
            </w:r>
          </w:p>
        </w:tc>
        <w:tc>
          <w:tcPr>
            <w:tcW w:w="1462" w:type="dxa"/>
            <w:vAlign w:val="center"/>
          </w:tcPr>
          <w:p w:rsidR="00CF6B11" w:rsidP="008C1B96" w14:paraId="697FFEF2" w14:textId="71855D5A">
            <w:pPr>
              <w:jc w:val="center"/>
            </w:pPr>
            <w:r>
              <w:t>38.4</w:t>
            </w:r>
          </w:p>
        </w:tc>
        <w:tc>
          <w:tcPr>
            <w:tcW w:w="1463" w:type="dxa"/>
            <w:vAlign w:val="center"/>
          </w:tcPr>
          <w:p w:rsidR="00CF6B11" w:rsidP="008C1B96" w14:paraId="6E646A58" w14:textId="14E427FF">
            <w:pPr>
              <w:jc w:val="center"/>
            </w:pPr>
            <w:r>
              <w:t>44.8</w:t>
            </w:r>
          </w:p>
        </w:tc>
        <w:tc>
          <w:tcPr>
            <w:tcW w:w="1462" w:type="dxa"/>
            <w:vAlign w:val="center"/>
          </w:tcPr>
          <w:p w:rsidR="00CF6B11" w:rsidP="008C1B96" w14:paraId="1D50A968" w14:textId="4C1DD655">
            <w:pPr>
              <w:jc w:val="center"/>
            </w:pPr>
            <w:r>
              <w:t>43.8</w:t>
            </w:r>
          </w:p>
        </w:tc>
        <w:tc>
          <w:tcPr>
            <w:tcW w:w="1463" w:type="dxa"/>
            <w:vAlign w:val="center"/>
          </w:tcPr>
          <w:p w:rsidR="00CF6B11" w:rsidP="008C1B96" w14:paraId="3A7FC2F0" w14:textId="347D221F">
            <w:pPr>
              <w:jc w:val="center"/>
            </w:pPr>
            <w:r>
              <w:t>44.6</w:t>
            </w:r>
          </w:p>
        </w:tc>
      </w:tr>
    </w:tbl>
    <w:p w:rsidR="00CF6B11" w:rsidP="00E639A5" w14:paraId="38E34285" w14:textId="095A8AD0">
      <w:pPr>
        <w:spacing w:before="60"/>
        <w:ind w:left="360" w:hanging="360"/>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p w:rsidR="00D82DF8" w:rsidP="00B35DA6" w14:paraId="672A27C1" w14:textId="77777777"/>
    <w:p w:rsidR="001F79D8" w:rsidP="00B35DA6" w14:paraId="551ABEC5" w14:textId="6CF0967D">
      <w:r>
        <w:t xml:space="preserve">Recalling Table 1, the effectiveness of the $10 incentive was observed for those age 15 to 19 </w:t>
      </w:r>
      <w:r w:rsidR="004B0C6B">
        <w:t>relative</w:t>
      </w:r>
      <w:r>
        <w:t xml:space="preserve"> to those age 20 to 24. </w:t>
      </w:r>
      <w:r w:rsidR="00700D1E">
        <w:t>This would have been expected to result in a higher proportion of respondents with a high school diploma or less</w:t>
      </w:r>
      <w:r>
        <w:t xml:space="preserve">. Table 5 shows response rates for each category of educational attainment and annual income. </w:t>
      </w:r>
      <w:r w:rsidR="00566B6E">
        <w:t>The difference in distributions is due to the differential effect of the incentive across educational attainment and annual income categories. T</w:t>
      </w:r>
      <w:r>
        <w:t>hose with some college or an associate</w:t>
      </w:r>
      <w:r w:rsidR="005623AC">
        <w:t>’</w:t>
      </w:r>
      <w:r>
        <w:t>s degree</w:t>
      </w:r>
      <w:r w:rsidR="00566B6E">
        <w:t xml:space="preserve"> and </w:t>
      </w:r>
      <w:r w:rsidR="001B6596">
        <w:t xml:space="preserve">those with </w:t>
      </w:r>
      <w:r w:rsidR="00566B6E">
        <w:t>an annual income between $25,000 and $49,999</w:t>
      </w:r>
      <w:r>
        <w:t xml:space="preserve"> </w:t>
      </w:r>
      <w:r w:rsidR="00566B6E">
        <w:t>had the largest increase (6.1 and 8.1 percentage point</w:t>
      </w:r>
      <w:r w:rsidR="00387088">
        <w:t>s</w:t>
      </w:r>
      <w:r w:rsidR="00566B6E">
        <w:t xml:space="preserve"> respectively).</w:t>
      </w:r>
    </w:p>
    <w:p w:rsidR="001F79D8" w:rsidP="001F79D8" w14:paraId="56902E8C" w14:textId="001D62FA">
      <w:pPr>
        <w:ind w:left="810" w:hanging="810"/>
      </w:pPr>
      <w:r>
        <w:t>Table 5: Response by educational attainment and annual income for hard to reach cases</w:t>
      </w:r>
    </w:p>
    <w:tbl>
      <w:tblPr>
        <w:tblStyle w:val="TableGrid"/>
        <w:tblW w:w="9360" w:type="dxa"/>
        <w:tblBorders>
          <w:left w:val="none" w:sz="0" w:space="0" w:color="auto"/>
          <w:right w:val="none" w:sz="0" w:space="0" w:color="auto"/>
          <w:insideH w:val="none" w:sz="0" w:space="0" w:color="auto"/>
          <w:insideV w:val="none" w:sz="0" w:space="0" w:color="auto"/>
        </w:tblBorders>
        <w:tblLook w:val="04A0"/>
      </w:tblPr>
      <w:tblGrid>
        <w:gridCol w:w="3510"/>
        <w:gridCol w:w="1462"/>
        <w:gridCol w:w="1463"/>
        <w:gridCol w:w="1462"/>
        <w:gridCol w:w="1463"/>
      </w:tblGrid>
      <w:tr w14:paraId="7DE8D174" w14:textId="606FFBBC" w:rsidTr="001F79D8">
        <w:tblPrEx>
          <w:tblW w:w="9360" w:type="dxa"/>
          <w:tblBorders>
            <w:left w:val="none" w:sz="0" w:space="0" w:color="auto"/>
            <w:right w:val="none" w:sz="0" w:space="0" w:color="auto"/>
            <w:insideH w:val="none" w:sz="0" w:space="0" w:color="auto"/>
            <w:insideV w:val="none" w:sz="0" w:space="0" w:color="auto"/>
          </w:tblBorders>
          <w:tblLook w:val="04A0"/>
        </w:tblPrEx>
        <w:trPr>
          <w:trHeight w:val="343"/>
        </w:trPr>
        <w:tc>
          <w:tcPr>
            <w:tcW w:w="3510" w:type="dxa"/>
            <w:tcBorders>
              <w:bottom w:val="single" w:sz="4" w:space="0" w:color="auto"/>
            </w:tcBorders>
          </w:tcPr>
          <w:p w:rsidR="001F79D8" w:rsidP="008C1B96" w14:paraId="7456A4B2" w14:textId="77777777"/>
        </w:tc>
        <w:tc>
          <w:tcPr>
            <w:tcW w:w="1462" w:type="dxa"/>
            <w:tcBorders>
              <w:bottom w:val="single" w:sz="4" w:space="0" w:color="auto"/>
            </w:tcBorders>
            <w:vAlign w:val="bottom"/>
          </w:tcPr>
          <w:p w:rsidR="001F79D8" w:rsidP="008C1B96" w14:paraId="062C228E" w14:textId="77777777">
            <w:pPr>
              <w:jc w:val="center"/>
            </w:pPr>
            <w:r>
              <w:t>$0</w:t>
            </w:r>
          </w:p>
        </w:tc>
        <w:tc>
          <w:tcPr>
            <w:tcW w:w="1463" w:type="dxa"/>
            <w:tcBorders>
              <w:bottom w:val="single" w:sz="4" w:space="0" w:color="auto"/>
            </w:tcBorders>
            <w:vAlign w:val="bottom"/>
          </w:tcPr>
          <w:p w:rsidR="001F79D8" w:rsidP="008C1B96" w14:paraId="66365F53" w14:textId="77777777">
            <w:pPr>
              <w:jc w:val="center"/>
            </w:pPr>
            <w:r>
              <w:t>$5</w:t>
            </w:r>
          </w:p>
        </w:tc>
        <w:tc>
          <w:tcPr>
            <w:tcW w:w="1462" w:type="dxa"/>
            <w:tcBorders>
              <w:top w:val="single" w:sz="4" w:space="0" w:color="auto"/>
              <w:bottom w:val="single" w:sz="4" w:space="0" w:color="auto"/>
              <w:right w:val="dotted" w:sz="4" w:space="0" w:color="auto"/>
            </w:tcBorders>
            <w:vAlign w:val="bottom"/>
          </w:tcPr>
          <w:p w:rsidR="001F79D8" w:rsidP="008C1B96" w14:paraId="4EF3E6C4" w14:textId="77777777">
            <w:pPr>
              <w:jc w:val="center"/>
            </w:pPr>
            <w:r>
              <w:t>$10</w:t>
            </w:r>
          </w:p>
        </w:tc>
        <w:tc>
          <w:tcPr>
            <w:tcW w:w="1463" w:type="dxa"/>
            <w:tcBorders>
              <w:top w:val="single" w:sz="4" w:space="0" w:color="auto"/>
              <w:left w:val="dotted" w:sz="4" w:space="0" w:color="auto"/>
              <w:bottom w:val="single" w:sz="4" w:space="0" w:color="auto"/>
            </w:tcBorders>
            <w:vAlign w:val="bottom"/>
          </w:tcPr>
          <w:p w:rsidR="001F79D8" w:rsidP="001F79D8" w14:paraId="43193F67" w14:textId="41747D0A">
            <w:pPr>
              <w:jc w:val="center"/>
            </w:pPr>
            <w:r>
              <w:t>$10</w:t>
            </w:r>
            <w:r w:rsidR="00D31D66">
              <w:t xml:space="preserve"> - $0</w:t>
            </w:r>
          </w:p>
        </w:tc>
      </w:tr>
      <w:tr w14:paraId="20E39529" w14:textId="3AA21FAB" w:rsidTr="001F79D8">
        <w:tblPrEx>
          <w:tblW w:w="9360" w:type="dxa"/>
          <w:tblLook w:val="04A0"/>
        </w:tblPrEx>
        <w:trPr>
          <w:trHeight w:val="343"/>
        </w:trPr>
        <w:tc>
          <w:tcPr>
            <w:tcW w:w="3510" w:type="dxa"/>
            <w:tcBorders>
              <w:top w:val="single" w:sz="4" w:space="0" w:color="auto"/>
              <w:bottom w:val="nil"/>
            </w:tcBorders>
            <w:vAlign w:val="center"/>
          </w:tcPr>
          <w:p w:rsidR="001F79D8" w:rsidRPr="00D1007A" w:rsidP="008C1B96" w14:paraId="67B850B1" w14:textId="77777777">
            <w:pPr>
              <w:rPr>
                <w:b/>
                <w:bCs/>
                <w:vertAlign w:val="superscript"/>
              </w:rPr>
            </w:pPr>
            <w:r>
              <w:rPr>
                <w:b/>
                <w:bCs/>
              </w:rPr>
              <w:t>Hard to Reach</w:t>
            </w:r>
            <w:r w:rsidRPr="00D1007A">
              <w:rPr>
                <w:b/>
                <w:bCs/>
              </w:rPr>
              <w:t xml:space="preserve"> Group (n)</w:t>
            </w:r>
            <w:r w:rsidRPr="00D1007A">
              <w:rPr>
                <w:b/>
                <w:bCs/>
                <w:vertAlign w:val="superscript"/>
              </w:rPr>
              <w:t>1</w:t>
            </w:r>
          </w:p>
        </w:tc>
        <w:tc>
          <w:tcPr>
            <w:tcW w:w="1462" w:type="dxa"/>
            <w:tcBorders>
              <w:top w:val="single" w:sz="4" w:space="0" w:color="auto"/>
              <w:bottom w:val="nil"/>
            </w:tcBorders>
            <w:vAlign w:val="center"/>
          </w:tcPr>
          <w:p w:rsidR="001F79D8" w:rsidP="008C1B96" w14:paraId="03BD22E0" w14:textId="1DEEC48E">
            <w:pPr>
              <w:jc w:val="center"/>
            </w:pPr>
            <w:r>
              <w:t>1,500</w:t>
            </w:r>
          </w:p>
        </w:tc>
        <w:tc>
          <w:tcPr>
            <w:tcW w:w="1463" w:type="dxa"/>
            <w:tcBorders>
              <w:top w:val="single" w:sz="4" w:space="0" w:color="auto"/>
              <w:bottom w:val="nil"/>
            </w:tcBorders>
            <w:vAlign w:val="center"/>
          </w:tcPr>
          <w:p w:rsidR="001F79D8" w:rsidP="008C1B96" w14:paraId="09EF95DD" w14:textId="54BA3445">
            <w:pPr>
              <w:jc w:val="center"/>
            </w:pPr>
            <w:r>
              <w:t>1,500</w:t>
            </w:r>
          </w:p>
        </w:tc>
        <w:tc>
          <w:tcPr>
            <w:tcW w:w="1462" w:type="dxa"/>
            <w:tcBorders>
              <w:top w:val="single" w:sz="4" w:space="0" w:color="auto"/>
              <w:bottom w:val="nil"/>
              <w:right w:val="dotted" w:sz="4" w:space="0" w:color="auto"/>
            </w:tcBorders>
            <w:vAlign w:val="center"/>
          </w:tcPr>
          <w:p w:rsidR="001F79D8" w:rsidRPr="00821614" w:rsidP="008C1B96" w14:paraId="4754F263" w14:textId="3F678172">
            <w:pPr>
              <w:jc w:val="center"/>
            </w:pPr>
            <w:r>
              <w:t>1,400</w:t>
            </w:r>
          </w:p>
        </w:tc>
        <w:tc>
          <w:tcPr>
            <w:tcW w:w="1463" w:type="dxa"/>
            <w:tcBorders>
              <w:top w:val="single" w:sz="4" w:space="0" w:color="auto"/>
              <w:left w:val="dotted" w:sz="4" w:space="0" w:color="auto"/>
              <w:bottom w:val="nil"/>
            </w:tcBorders>
            <w:vAlign w:val="center"/>
          </w:tcPr>
          <w:p w:rsidR="001F79D8" w:rsidRPr="00821614" w:rsidP="001F79D8" w14:paraId="78A5C75F" w14:textId="10EA94F7">
            <w:pPr>
              <w:jc w:val="center"/>
            </w:pPr>
            <w:r>
              <w:t>--</w:t>
            </w:r>
          </w:p>
        </w:tc>
      </w:tr>
      <w:tr w14:paraId="34C8CCAC" w14:textId="0ADE8911" w:rsidTr="001F79D8">
        <w:tblPrEx>
          <w:tblW w:w="9360" w:type="dxa"/>
          <w:tblLook w:val="04A0"/>
        </w:tblPrEx>
        <w:trPr>
          <w:trHeight w:val="343"/>
        </w:trPr>
        <w:tc>
          <w:tcPr>
            <w:tcW w:w="3510" w:type="dxa"/>
            <w:vAlign w:val="center"/>
          </w:tcPr>
          <w:p w:rsidR="001F79D8" w:rsidRPr="00D1007A" w:rsidP="008C1B96" w14:paraId="5B06AC80" w14:textId="77777777">
            <w:pPr>
              <w:rPr>
                <w:b/>
                <w:bCs/>
              </w:rPr>
            </w:pPr>
            <w:r w:rsidRPr="00D1007A">
              <w:rPr>
                <w:b/>
                <w:bCs/>
              </w:rPr>
              <w:t>Educational Attain</w:t>
            </w:r>
            <w:r>
              <w:rPr>
                <w:b/>
                <w:bCs/>
              </w:rPr>
              <w:t>ment</w:t>
            </w:r>
          </w:p>
        </w:tc>
        <w:tc>
          <w:tcPr>
            <w:tcW w:w="1462" w:type="dxa"/>
            <w:vAlign w:val="center"/>
          </w:tcPr>
          <w:p w:rsidR="001F79D8" w:rsidP="008C1B96" w14:paraId="6F8A9642" w14:textId="77777777">
            <w:pPr>
              <w:jc w:val="center"/>
            </w:pPr>
          </w:p>
        </w:tc>
        <w:tc>
          <w:tcPr>
            <w:tcW w:w="1463" w:type="dxa"/>
            <w:vAlign w:val="center"/>
          </w:tcPr>
          <w:p w:rsidR="001F79D8" w:rsidP="008C1B96" w14:paraId="32B35A16" w14:textId="77777777">
            <w:pPr>
              <w:jc w:val="center"/>
            </w:pPr>
          </w:p>
        </w:tc>
        <w:tc>
          <w:tcPr>
            <w:tcW w:w="1462" w:type="dxa"/>
            <w:tcBorders>
              <w:right w:val="dotted" w:sz="4" w:space="0" w:color="auto"/>
            </w:tcBorders>
            <w:vAlign w:val="center"/>
          </w:tcPr>
          <w:p w:rsidR="001F79D8" w:rsidP="008C1B96" w14:paraId="2593DE6D" w14:textId="77777777">
            <w:pPr>
              <w:jc w:val="center"/>
            </w:pPr>
          </w:p>
        </w:tc>
        <w:tc>
          <w:tcPr>
            <w:tcW w:w="1463" w:type="dxa"/>
            <w:tcBorders>
              <w:left w:val="dotted" w:sz="4" w:space="0" w:color="auto"/>
            </w:tcBorders>
            <w:vAlign w:val="center"/>
          </w:tcPr>
          <w:p w:rsidR="001F79D8" w:rsidP="001F79D8" w14:paraId="163D06E7" w14:textId="77777777">
            <w:pPr>
              <w:jc w:val="center"/>
            </w:pPr>
          </w:p>
        </w:tc>
      </w:tr>
      <w:tr w14:paraId="6394CDDA" w14:textId="3E3E8876" w:rsidTr="001F79D8">
        <w:tblPrEx>
          <w:tblW w:w="9360" w:type="dxa"/>
          <w:tblLook w:val="04A0"/>
        </w:tblPrEx>
        <w:trPr>
          <w:trHeight w:val="343"/>
        </w:trPr>
        <w:tc>
          <w:tcPr>
            <w:tcW w:w="3510" w:type="dxa"/>
            <w:vAlign w:val="center"/>
          </w:tcPr>
          <w:p w:rsidR="001F79D8" w:rsidP="008C1B96" w14:paraId="1660AA7E" w14:textId="77777777">
            <w:pPr>
              <w:ind w:left="162"/>
            </w:pPr>
            <w:r>
              <w:t>High school diploma or less</w:t>
            </w:r>
          </w:p>
        </w:tc>
        <w:tc>
          <w:tcPr>
            <w:tcW w:w="1462" w:type="dxa"/>
            <w:vAlign w:val="center"/>
          </w:tcPr>
          <w:p w:rsidR="001F79D8" w:rsidP="008C1B96" w14:paraId="6E483F10" w14:textId="2DE3FA18">
            <w:pPr>
              <w:jc w:val="center"/>
            </w:pPr>
            <w:r>
              <w:t>25.4%</w:t>
            </w:r>
          </w:p>
        </w:tc>
        <w:tc>
          <w:tcPr>
            <w:tcW w:w="1463" w:type="dxa"/>
            <w:vAlign w:val="center"/>
          </w:tcPr>
          <w:p w:rsidR="001F79D8" w:rsidP="008C1B96" w14:paraId="64A830F6" w14:textId="1DFE2A1C">
            <w:pPr>
              <w:jc w:val="center"/>
            </w:pPr>
            <w:r>
              <w:t>28.8%</w:t>
            </w:r>
          </w:p>
        </w:tc>
        <w:tc>
          <w:tcPr>
            <w:tcW w:w="1462" w:type="dxa"/>
            <w:tcBorders>
              <w:right w:val="dotted" w:sz="4" w:space="0" w:color="auto"/>
            </w:tcBorders>
            <w:vAlign w:val="center"/>
          </w:tcPr>
          <w:p w:rsidR="001F79D8" w:rsidP="008C1B96" w14:paraId="236B39CA" w14:textId="3AA24146">
            <w:pPr>
              <w:jc w:val="center"/>
            </w:pPr>
            <w:r>
              <w:t>28.1%</w:t>
            </w:r>
          </w:p>
        </w:tc>
        <w:tc>
          <w:tcPr>
            <w:tcW w:w="1463" w:type="dxa"/>
            <w:tcBorders>
              <w:left w:val="dotted" w:sz="4" w:space="0" w:color="auto"/>
              <w:bottom w:val="nil"/>
            </w:tcBorders>
            <w:vAlign w:val="center"/>
          </w:tcPr>
          <w:p w:rsidR="001F79D8" w:rsidP="001F79D8" w14:paraId="0005E7B8" w14:textId="7DAEF0BE">
            <w:pPr>
              <w:jc w:val="center"/>
            </w:pPr>
            <w:r>
              <w:t>2.7%</w:t>
            </w:r>
          </w:p>
        </w:tc>
      </w:tr>
      <w:tr w14:paraId="218344AF" w14:textId="7D9730F1" w:rsidTr="001F79D8">
        <w:tblPrEx>
          <w:tblW w:w="9360" w:type="dxa"/>
          <w:tblLook w:val="04A0"/>
        </w:tblPrEx>
        <w:trPr>
          <w:trHeight w:val="343"/>
        </w:trPr>
        <w:tc>
          <w:tcPr>
            <w:tcW w:w="3510" w:type="dxa"/>
            <w:vAlign w:val="center"/>
          </w:tcPr>
          <w:p w:rsidR="001F79D8" w:rsidP="008C1B96" w14:paraId="5EAA0B5F" w14:textId="6B809F73">
            <w:pPr>
              <w:ind w:left="162"/>
            </w:pPr>
            <w:r>
              <w:t>Some college or associate</w:t>
            </w:r>
            <w:r w:rsidR="005623AC">
              <w:t>’</w:t>
            </w:r>
            <w:r>
              <w:t>s degree</w:t>
            </w:r>
          </w:p>
        </w:tc>
        <w:tc>
          <w:tcPr>
            <w:tcW w:w="1462" w:type="dxa"/>
            <w:vAlign w:val="center"/>
          </w:tcPr>
          <w:p w:rsidR="001F79D8" w:rsidP="008C1B96" w14:paraId="0C86477B" w14:textId="54AA43C6">
            <w:pPr>
              <w:jc w:val="center"/>
            </w:pPr>
            <w:r>
              <w:t>28.1</w:t>
            </w:r>
          </w:p>
        </w:tc>
        <w:tc>
          <w:tcPr>
            <w:tcW w:w="1463" w:type="dxa"/>
            <w:vAlign w:val="center"/>
          </w:tcPr>
          <w:p w:rsidR="001F79D8" w:rsidP="008C1B96" w14:paraId="1670FDDF" w14:textId="58EFCF0B">
            <w:pPr>
              <w:jc w:val="center"/>
            </w:pPr>
            <w:r>
              <w:t>29.3</w:t>
            </w:r>
          </w:p>
        </w:tc>
        <w:tc>
          <w:tcPr>
            <w:tcW w:w="1462" w:type="dxa"/>
            <w:tcBorders>
              <w:right w:val="dotted" w:sz="4" w:space="0" w:color="auto"/>
            </w:tcBorders>
            <w:vAlign w:val="center"/>
          </w:tcPr>
          <w:p w:rsidR="001F79D8" w:rsidP="008C1B96" w14:paraId="07C812BB" w14:textId="5FFB6609">
            <w:pPr>
              <w:jc w:val="center"/>
            </w:pPr>
            <w:r>
              <w:t>34.2</w:t>
            </w:r>
          </w:p>
        </w:tc>
        <w:tc>
          <w:tcPr>
            <w:tcW w:w="1463" w:type="dxa"/>
            <w:tcBorders>
              <w:top w:val="nil"/>
              <w:left w:val="dotted" w:sz="4" w:space="0" w:color="auto"/>
              <w:bottom w:val="nil"/>
            </w:tcBorders>
            <w:shd w:val="pct5" w:color="auto" w:fill="auto"/>
            <w:vAlign w:val="center"/>
          </w:tcPr>
          <w:p w:rsidR="001F79D8" w:rsidP="001F79D8" w14:paraId="2C3D891C" w14:textId="2F270882">
            <w:pPr>
              <w:jc w:val="center"/>
            </w:pPr>
            <w:r>
              <w:t>6.1</w:t>
            </w:r>
          </w:p>
        </w:tc>
      </w:tr>
      <w:tr w14:paraId="7657B01F" w14:textId="4FC1CCAA" w:rsidTr="001F79D8">
        <w:tblPrEx>
          <w:tblW w:w="9360" w:type="dxa"/>
          <w:tblLook w:val="04A0"/>
        </w:tblPrEx>
        <w:trPr>
          <w:trHeight w:val="343"/>
        </w:trPr>
        <w:tc>
          <w:tcPr>
            <w:tcW w:w="3510" w:type="dxa"/>
            <w:vAlign w:val="center"/>
          </w:tcPr>
          <w:p w:rsidR="001F79D8" w:rsidP="008C1B96" w14:paraId="43EEC29E" w14:textId="77777777">
            <w:pPr>
              <w:ind w:left="162"/>
            </w:pPr>
            <w:r>
              <w:t>Bachelor’s degree or higher</w:t>
            </w:r>
          </w:p>
        </w:tc>
        <w:tc>
          <w:tcPr>
            <w:tcW w:w="1462" w:type="dxa"/>
            <w:vAlign w:val="center"/>
          </w:tcPr>
          <w:p w:rsidR="001F79D8" w:rsidP="008C1B96" w14:paraId="3E03E819" w14:textId="61B05C51">
            <w:pPr>
              <w:jc w:val="center"/>
            </w:pPr>
            <w:r>
              <w:t>42.9</w:t>
            </w:r>
          </w:p>
        </w:tc>
        <w:tc>
          <w:tcPr>
            <w:tcW w:w="1463" w:type="dxa"/>
            <w:vAlign w:val="center"/>
          </w:tcPr>
          <w:p w:rsidR="001F79D8" w:rsidP="008C1B96" w14:paraId="36EBE3B2" w14:textId="393FAC66">
            <w:pPr>
              <w:jc w:val="center"/>
            </w:pPr>
            <w:r>
              <w:t>46.6</w:t>
            </w:r>
          </w:p>
        </w:tc>
        <w:tc>
          <w:tcPr>
            <w:tcW w:w="1462" w:type="dxa"/>
            <w:tcBorders>
              <w:right w:val="dotted" w:sz="4" w:space="0" w:color="auto"/>
            </w:tcBorders>
            <w:vAlign w:val="center"/>
          </w:tcPr>
          <w:p w:rsidR="001F79D8" w:rsidP="008C1B96" w14:paraId="128AEAA0" w14:textId="6117A0E9">
            <w:pPr>
              <w:jc w:val="center"/>
            </w:pPr>
            <w:r>
              <w:t>44.3</w:t>
            </w:r>
          </w:p>
        </w:tc>
        <w:tc>
          <w:tcPr>
            <w:tcW w:w="1463" w:type="dxa"/>
            <w:tcBorders>
              <w:top w:val="nil"/>
              <w:left w:val="dotted" w:sz="4" w:space="0" w:color="auto"/>
            </w:tcBorders>
            <w:vAlign w:val="center"/>
          </w:tcPr>
          <w:p w:rsidR="001F79D8" w:rsidP="001F79D8" w14:paraId="58D57943" w14:textId="38E45B75">
            <w:pPr>
              <w:jc w:val="center"/>
            </w:pPr>
            <w:r>
              <w:t>1.4</w:t>
            </w:r>
          </w:p>
        </w:tc>
      </w:tr>
      <w:tr w14:paraId="504466BC" w14:textId="1099E193" w:rsidTr="001F79D8">
        <w:tblPrEx>
          <w:tblW w:w="9360" w:type="dxa"/>
          <w:tblLook w:val="04A0"/>
        </w:tblPrEx>
        <w:trPr>
          <w:trHeight w:val="343"/>
        </w:trPr>
        <w:tc>
          <w:tcPr>
            <w:tcW w:w="3510" w:type="dxa"/>
            <w:vAlign w:val="center"/>
          </w:tcPr>
          <w:p w:rsidR="001F79D8" w:rsidRPr="00D1007A" w:rsidP="008C1B96" w14:paraId="1D0C97B7" w14:textId="77777777">
            <w:pPr>
              <w:ind w:left="-15"/>
              <w:rPr>
                <w:b/>
                <w:bCs/>
              </w:rPr>
            </w:pPr>
            <w:r w:rsidRPr="00D1007A">
              <w:rPr>
                <w:b/>
                <w:bCs/>
              </w:rPr>
              <w:t>Annual Income</w:t>
            </w:r>
          </w:p>
        </w:tc>
        <w:tc>
          <w:tcPr>
            <w:tcW w:w="1462" w:type="dxa"/>
            <w:vAlign w:val="center"/>
          </w:tcPr>
          <w:p w:rsidR="001F79D8" w:rsidP="008C1B96" w14:paraId="321B0AE6" w14:textId="77777777">
            <w:pPr>
              <w:jc w:val="center"/>
            </w:pPr>
          </w:p>
        </w:tc>
        <w:tc>
          <w:tcPr>
            <w:tcW w:w="1463" w:type="dxa"/>
            <w:vAlign w:val="center"/>
          </w:tcPr>
          <w:p w:rsidR="001F79D8" w:rsidP="008C1B96" w14:paraId="527DEEE6" w14:textId="77777777">
            <w:pPr>
              <w:jc w:val="center"/>
            </w:pPr>
          </w:p>
        </w:tc>
        <w:tc>
          <w:tcPr>
            <w:tcW w:w="1462" w:type="dxa"/>
            <w:tcBorders>
              <w:right w:val="dotted" w:sz="4" w:space="0" w:color="auto"/>
            </w:tcBorders>
            <w:vAlign w:val="center"/>
          </w:tcPr>
          <w:p w:rsidR="001F79D8" w:rsidP="008C1B96" w14:paraId="4442C31F" w14:textId="77777777">
            <w:pPr>
              <w:jc w:val="center"/>
            </w:pPr>
          </w:p>
        </w:tc>
        <w:tc>
          <w:tcPr>
            <w:tcW w:w="1463" w:type="dxa"/>
            <w:tcBorders>
              <w:left w:val="dotted" w:sz="4" w:space="0" w:color="auto"/>
            </w:tcBorders>
            <w:vAlign w:val="center"/>
          </w:tcPr>
          <w:p w:rsidR="001F79D8" w:rsidP="001F79D8" w14:paraId="7A6F7CE5" w14:textId="77777777">
            <w:pPr>
              <w:jc w:val="center"/>
            </w:pPr>
          </w:p>
        </w:tc>
      </w:tr>
      <w:tr w14:paraId="3B418347" w14:textId="22175BBF" w:rsidTr="001F79D8">
        <w:tblPrEx>
          <w:tblW w:w="9360" w:type="dxa"/>
          <w:tblLook w:val="04A0"/>
        </w:tblPrEx>
        <w:trPr>
          <w:trHeight w:val="343"/>
        </w:trPr>
        <w:tc>
          <w:tcPr>
            <w:tcW w:w="3510" w:type="dxa"/>
            <w:vAlign w:val="center"/>
          </w:tcPr>
          <w:p w:rsidR="001F79D8" w:rsidP="008C1B96" w14:paraId="6B261868" w14:textId="77777777">
            <w:pPr>
              <w:ind w:left="162"/>
            </w:pPr>
            <w:r>
              <w:t>Less than $25,000</w:t>
            </w:r>
          </w:p>
        </w:tc>
        <w:tc>
          <w:tcPr>
            <w:tcW w:w="1462" w:type="dxa"/>
            <w:vAlign w:val="center"/>
          </w:tcPr>
          <w:p w:rsidR="001F79D8" w:rsidP="008C1B96" w14:paraId="5662C732" w14:textId="028A561E">
            <w:pPr>
              <w:jc w:val="center"/>
            </w:pPr>
            <w:r>
              <w:t>23.9</w:t>
            </w:r>
          </w:p>
        </w:tc>
        <w:tc>
          <w:tcPr>
            <w:tcW w:w="1463" w:type="dxa"/>
            <w:vAlign w:val="center"/>
          </w:tcPr>
          <w:p w:rsidR="001F79D8" w:rsidP="008C1B96" w14:paraId="2680B3B7" w14:textId="3FB1E430">
            <w:pPr>
              <w:jc w:val="center"/>
            </w:pPr>
            <w:r>
              <w:t>29.5</w:t>
            </w:r>
          </w:p>
        </w:tc>
        <w:tc>
          <w:tcPr>
            <w:tcW w:w="1462" w:type="dxa"/>
            <w:tcBorders>
              <w:right w:val="dotted" w:sz="4" w:space="0" w:color="auto"/>
            </w:tcBorders>
            <w:vAlign w:val="center"/>
          </w:tcPr>
          <w:p w:rsidR="001F79D8" w:rsidP="008C1B96" w14:paraId="327B3232" w14:textId="76469405">
            <w:pPr>
              <w:jc w:val="center"/>
            </w:pPr>
            <w:r>
              <w:t>24.7</w:t>
            </w:r>
          </w:p>
        </w:tc>
        <w:tc>
          <w:tcPr>
            <w:tcW w:w="1463" w:type="dxa"/>
            <w:tcBorders>
              <w:left w:val="dotted" w:sz="4" w:space="0" w:color="auto"/>
              <w:bottom w:val="nil"/>
            </w:tcBorders>
            <w:vAlign w:val="center"/>
          </w:tcPr>
          <w:p w:rsidR="001F79D8" w:rsidP="001F79D8" w14:paraId="75278048" w14:textId="668793D3">
            <w:pPr>
              <w:jc w:val="center"/>
            </w:pPr>
            <w:r>
              <w:t>0.8</w:t>
            </w:r>
          </w:p>
        </w:tc>
      </w:tr>
      <w:tr w14:paraId="31BF4CF8" w14:textId="07713874" w:rsidTr="001F79D8">
        <w:tblPrEx>
          <w:tblW w:w="9360" w:type="dxa"/>
          <w:tblLook w:val="04A0"/>
        </w:tblPrEx>
        <w:trPr>
          <w:trHeight w:val="343"/>
        </w:trPr>
        <w:tc>
          <w:tcPr>
            <w:tcW w:w="3510" w:type="dxa"/>
            <w:vAlign w:val="center"/>
          </w:tcPr>
          <w:p w:rsidR="001F79D8" w:rsidP="008C1B96" w14:paraId="5B560FD6" w14:textId="77777777">
            <w:pPr>
              <w:ind w:left="162"/>
            </w:pPr>
            <w:r>
              <w:t>$25,000 to $49,999</w:t>
            </w:r>
          </w:p>
        </w:tc>
        <w:tc>
          <w:tcPr>
            <w:tcW w:w="1462" w:type="dxa"/>
            <w:vAlign w:val="center"/>
          </w:tcPr>
          <w:p w:rsidR="001F79D8" w:rsidP="008C1B96" w14:paraId="16E9E112" w14:textId="54C646DC">
            <w:pPr>
              <w:jc w:val="center"/>
            </w:pPr>
            <w:r>
              <w:t>22.5</w:t>
            </w:r>
          </w:p>
        </w:tc>
        <w:tc>
          <w:tcPr>
            <w:tcW w:w="1463" w:type="dxa"/>
            <w:vAlign w:val="center"/>
          </w:tcPr>
          <w:p w:rsidR="001F79D8" w:rsidP="008C1B96" w14:paraId="256C25CA" w14:textId="1DC1DCF9">
            <w:pPr>
              <w:jc w:val="center"/>
            </w:pPr>
            <w:r>
              <w:t>25.7</w:t>
            </w:r>
          </w:p>
        </w:tc>
        <w:tc>
          <w:tcPr>
            <w:tcW w:w="1462" w:type="dxa"/>
            <w:tcBorders>
              <w:right w:val="dotted" w:sz="4" w:space="0" w:color="auto"/>
            </w:tcBorders>
            <w:vAlign w:val="center"/>
          </w:tcPr>
          <w:p w:rsidR="001F79D8" w:rsidP="008C1B96" w14:paraId="40F27D57" w14:textId="33016288">
            <w:pPr>
              <w:jc w:val="center"/>
            </w:pPr>
            <w:r>
              <w:t>30.6</w:t>
            </w:r>
          </w:p>
        </w:tc>
        <w:tc>
          <w:tcPr>
            <w:tcW w:w="1463" w:type="dxa"/>
            <w:tcBorders>
              <w:top w:val="nil"/>
              <w:left w:val="dotted" w:sz="4" w:space="0" w:color="auto"/>
              <w:bottom w:val="nil"/>
            </w:tcBorders>
            <w:shd w:val="pct5" w:color="auto" w:fill="auto"/>
            <w:vAlign w:val="center"/>
          </w:tcPr>
          <w:p w:rsidR="001F79D8" w:rsidP="001F79D8" w14:paraId="1D8F7C01" w14:textId="3DAFF467">
            <w:pPr>
              <w:jc w:val="center"/>
            </w:pPr>
            <w:r>
              <w:t>8.1</w:t>
            </w:r>
          </w:p>
        </w:tc>
      </w:tr>
      <w:tr w14:paraId="62696075" w14:textId="2494FF3E" w:rsidTr="001F79D8">
        <w:tblPrEx>
          <w:tblW w:w="9360" w:type="dxa"/>
          <w:tblLook w:val="04A0"/>
        </w:tblPrEx>
        <w:trPr>
          <w:trHeight w:val="343"/>
        </w:trPr>
        <w:tc>
          <w:tcPr>
            <w:tcW w:w="3510" w:type="dxa"/>
            <w:vAlign w:val="center"/>
          </w:tcPr>
          <w:p w:rsidR="001F79D8" w:rsidP="008C1B96" w14:paraId="12F8A22F" w14:textId="77777777">
            <w:pPr>
              <w:ind w:left="162"/>
            </w:pPr>
            <w:r>
              <w:t>$50,000 to 74,999</w:t>
            </w:r>
          </w:p>
        </w:tc>
        <w:tc>
          <w:tcPr>
            <w:tcW w:w="1462" w:type="dxa"/>
            <w:vAlign w:val="center"/>
          </w:tcPr>
          <w:p w:rsidR="001F79D8" w:rsidP="008C1B96" w14:paraId="33AEFB3F" w14:textId="02675D06">
            <w:pPr>
              <w:jc w:val="center"/>
            </w:pPr>
            <w:r>
              <w:t>27.7</w:t>
            </w:r>
          </w:p>
        </w:tc>
        <w:tc>
          <w:tcPr>
            <w:tcW w:w="1463" w:type="dxa"/>
            <w:vAlign w:val="center"/>
          </w:tcPr>
          <w:p w:rsidR="001F79D8" w:rsidP="008C1B96" w14:paraId="5AE9795A" w14:textId="3334E12E">
            <w:pPr>
              <w:jc w:val="center"/>
            </w:pPr>
            <w:r>
              <w:t>28.6</w:t>
            </w:r>
          </w:p>
        </w:tc>
        <w:tc>
          <w:tcPr>
            <w:tcW w:w="1462" w:type="dxa"/>
            <w:tcBorders>
              <w:right w:val="dotted" w:sz="4" w:space="0" w:color="auto"/>
            </w:tcBorders>
            <w:vAlign w:val="center"/>
          </w:tcPr>
          <w:p w:rsidR="001F79D8" w:rsidP="008C1B96" w14:paraId="49E146E3" w14:textId="64E0A9BD">
            <w:pPr>
              <w:jc w:val="center"/>
            </w:pPr>
            <w:r>
              <w:t>27.3</w:t>
            </w:r>
          </w:p>
        </w:tc>
        <w:tc>
          <w:tcPr>
            <w:tcW w:w="1463" w:type="dxa"/>
            <w:tcBorders>
              <w:top w:val="nil"/>
              <w:left w:val="dotted" w:sz="4" w:space="0" w:color="auto"/>
            </w:tcBorders>
            <w:vAlign w:val="center"/>
          </w:tcPr>
          <w:p w:rsidR="001F79D8" w:rsidP="001F79D8" w14:paraId="0310AEF1" w14:textId="7D56ED05">
            <w:pPr>
              <w:jc w:val="center"/>
            </w:pPr>
            <w:r>
              <w:t>-0.4</w:t>
            </w:r>
          </w:p>
        </w:tc>
      </w:tr>
      <w:tr w14:paraId="7E0765D0" w14:textId="3213F69E" w:rsidTr="001F79D8">
        <w:tblPrEx>
          <w:tblW w:w="9360" w:type="dxa"/>
          <w:tblLook w:val="04A0"/>
        </w:tblPrEx>
        <w:trPr>
          <w:trHeight w:val="343"/>
        </w:trPr>
        <w:tc>
          <w:tcPr>
            <w:tcW w:w="3510" w:type="dxa"/>
            <w:vAlign w:val="center"/>
          </w:tcPr>
          <w:p w:rsidR="001F79D8" w:rsidP="008C1B96" w14:paraId="7FA65B37" w14:textId="77777777">
            <w:pPr>
              <w:ind w:left="162"/>
            </w:pPr>
            <w:r>
              <w:t>$75,000 or more</w:t>
            </w:r>
          </w:p>
        </w:tc>
        <w:tc>
          <w:tcPr>
            <w:tcW w:w="1462" w:type="dxa"/>
            <w:vAlign w:val="center"/>
          </w:tcPr>
          <w:p w:rsidR="001F79D8" w:rsidP="008C1B96" w14:paraId="0952EFD2" w14:textId="1FD29B64">
            <w:pPr>
              <w:jc w:val="center"/>
            </w:pPr>
            <w:r>
              <w:t>32.1</w:t>
            </w:r>
          </w:p>
        </w:tc>
        <w:tc>
          <w:tcPr>
            <w:tcW w:w="1463" w:type="dxa"/>
            <w:vAlign w:val="center"/>
          </w:tcPr>
          <w:p w:rsidR="001F79D8" w:rsidP="008C1B96" w14:paraId="4DC70A61" w14:textId="05A0B2B2">
            <w:pPr>
              <w:jc w:val="center"/>
            </w:pPr>
            <w:r>
              <w:t>34.5</w:t>
            </w:r>
          </w:p>
        </w:tc>
        <w:tc>
          <w:tcPr>
            <w:tcW w:w="1462" w:type="dxa"/>
            <w:tcBorders>
              <w:bottom w:val="single" w:sz="4" w:space="0" w:color="auto"/>
              <w:right w:val="dotted" w:sz="4" w:space="0" w:color="auto"/>
            </w:tcBorders>
            <w:vAlign w:val="center"/>
          </w:tcPr>
          <w:p w:rsidR="001F79D8" w:rsidP="008C1B96" w14:paraId="67E602D4" w14:textId="0ECE3BAB">
            <w:pPr>
              <w:jc w:val="center"/>
            </w:pPr>
            <w:r>
              <w:t>35.9</w:t>
            </w:r>
          </w:p>
        </w:tc>
        <w:tc>
          <w:tcPr>
            <w:tcW w:w="1463" w:type="dxa"/>
            <w:tcBorders>
              <w:left w:val="dotted" w:sz="4" w:space="0" w:color="auto"/>
              <w:bottom w:val="single" w:sz="4" w:space="0" w:color="auto"/>
            </w:tcBorders>
            <w:vAlign w:val="center"/>
          </w:tcPr>
          <w:p w:rsidR="001F79D8" w:rsidP="001F79D8" w14:paraId="42E8E58A" w14:textId="719DAE35">
            <w:pPr>
              <w:jc w:val="center"/>
            </w:pPr>
            <w:r>
              <w:t>3.8</w:t>
            </w:r>
          </w:p>
        </w:tc>
      </w:tr>
    </w:tbl>
    <w:p w:rsidR="001F79D8" w:rsidP="00E639A5" w14:paraId="7CD9E4DB" w14:textId="77777777">
      <w:pPr>
        <w:spacing w:before="60"/>
        <w:ind w:left="360" w:hanging="360"/>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p w:rsidR="001B6596" w:rsidRPr="001B6596" w:rsidP="001B6596" w14:paraId="331FF19A" w14:textId="158FCB97">
      <w:pPr>
        <w:rPr>
          <w:i/>
          <w:iCs/>
        </w:rPr>
      </w:pPr>
      <w:r w:rsidRPr="001B6596">
        <w:rPr>
          <w:i/>
          <w:iCs/>
        </w:rPr>
        <w:t xml:space="preserve">Summary Findings: </w:t>
      </w:r>
      <w:r>
        <w:rPr>
          <w:i/>
          <w:iCs/>
        </w:rPr>
        <w:t>Changes in Respondent Compositions</w:t>
      </w:r>
      <w:r w:rsidRPr="001B6596">
        <w:rPr>
          <w:i/>
          <w:iCs/>
        </w:rPr>
        <w:t>.</w:t>
      </w:r>
    </w:p>
    <w:p w:rsidR="001B6596" w:rsidRPr="006C496B" w:rsidP="001B6596" w14:paraId="6B8464AE" w14:textId="54C9B796">
      <w:pPr>
        <w:ind w:left="720" w:right="720"/>
        <w:rPr>
          <w:b/>
          <w:bCs/>
          <w:i/>
          <w:iCs/>
        </w:rPr>
      </w:pPr>
      <w:r>
        <w:rPr>
          <w:b/>
          <w:bCs/>
          <w:i/>
          <w:iCs/>
        </w:rPr>
        <w:t xml:space="preserve">For regular incentive cases, the prepaid $10 incentive </w:t>
      </w:r>
      <w:r w:rsidR="00932665">
        <w:rPr>
          <w:b/>
          <w:bCs/>
          <w:i/>
          <w:iCs/>
        </w:rPr>
        <w:t>provided a better representation of respondent compositions compared to the no incentive condition, especially for those with the lowest educational attainment and those with lowest annual income.</w:t>
      </w:r>
    </w:p>
    <w:p w:rsidR="001B6596" w:rsidP="001B6596" w14:paraId="511748D7" w14:textId="199DC613">
      <w:pPr>
        <w:ind w:left="720" w:right="720"/>
        <w:rPr>
          <w:b/>
          <w:bCs/>
          <w:i/>
          <w:iCs/>
        </w:rPr>
      </w:pPr>
      <w:r>
        <w:rPr>
          <w:b/>
          <w:bCs/>
          <w:i/>
          <w:iCs/>
        </w:rPr>
        <w:t xml:space="preserve">For hard to reach cases, the prepaid $10 incentive </w:t>
      </w:r>
      <w:r w:rsidR="008177F8">
        <w:rPr>
          <w:b/>
          <w:bCs/>
          <w:i/>
          <w:iCs/>
        </w:rPr>
        <w:t>did not show changes (with sex being an exception) in the distribution of respondent compositions compared to no incentive. The incentive was most effective at increasing participation from those with some college or an associates degree, and those in the second lowest annual income category.</w:t>
      </w:r>
    </w:p>
    <w:p w:rsidR="008177F8" w:rsidP="008177F8" w14:paraId="0796E04B" w14:textId="026AC832">
      <w:pPr>
        <w:ind w:right="720"/>
      </w:pPr>
    </w:p>
    <w:p w:rsidR="00F73134" w:rsidRPr="006C496B" w:rsidP="00F73134" w14:paraId="02E7ECAF" w14:textId="4861B800">
      <w:pPr>
        <w:ind w:left="180"/>
        <w:rPr>
          <w:b/>
          <w:bCs/>
        </w:rPr>
      </w:pPr>
      <w:r>
        <w:rPr>
          <w:b/>
          <w:bCs/>
        </w:rPr>
        <w:t xml:space="preserve">Key </w:t>
      </w:r>
      <w:r w:rsidR="003E1103">
        <w:rPr>
          <w:b/>
          <w:bCs/>
        </w:rPr>
        <w:t>Measures</w:t>
      </w:r>
    </w:p>
    <w:p w:rsidR="00F73134" w:rsidP="008177F8" w14:paraId="26DF2BA8" w14:textId="1C67FA93">
      <w:pPr>
        <w:ind w:right="720"/>
      </w:pPr>
      <w:r>
        <w:t xml:space="preserve">Key </w:t>
      </w:r>
      <w:r w:rsidR="003E1103">
        <w:t>measures</w:t>
      </w:r>
      <w:r>
        <w:t xml:space="preserve"> are reviewed to determine whether the </w:t>
      </w:r>
      <w:r w:rsidR="0088538A">
        <w:t xml:space="preserve">prepaid </w:t>
      </w:r>
      <w:r>
        <w:t>incentive affects distributions</w:t>
      </w:r>
      <w:r w:rsidR="0088538A">
        <w:t xml:space="preserve"> for these</w:t>
      </w:r>
      <w:r w:rsidR="00D82DF8">
        <w:t xml:space="preserve"> measures</w:t>
      </w:r>
      <w:r>
        <w:t xml:space="preserve">. This can be an indication that the incentive is bringing in different respondents. </w:t>
      </w:r>
      <w:r w:rsidR="0088538A">
        <w:t>The measures examined include labor force status and school enrollment (including high school and college).</w:t>
      </w:r>
    </w:p>
    <w:p w:rsidR="0088538A" w:rsidP="008177F8" w14:paraId="439ECBAF" w14:textId="5DBAC2A6">
      <w:pPr>
        <w:ind w:right="720"/>
      </w:pPr>
      <w:r>
        <w:t>Table 6 shows distributions of labor force status and school enrollment for regular incentive cases. Cases receiving a prepaid incentive show changes to both these distributions. Focusing on the $10 condition</w:t>
      </w:r>
      <w:r w:rsidR="004E02FE">
        <w:t xml:space="preserve"> compared to the no incentive condition</w:t>
      </w:r>
      <w:r>
        <w:t xml:space="preserve">, we see </w:t>
      </w:r>
      <w:r w:rsidR="004E02FE">
        <w:t xml:space="preserve">that </w:t>
      </w:r>
      <w:r>
        <w:t xml:space="preserve">for labor force status a lower percentage of employed </w:t>
      </w:r>
      <w:r w:rsidR="00985BF4">
        <w:t xml:space="preserve">DPs </w:t>
      </w:r>
      <w:r>
        <w:t>with a commiserate increase from those not in the labor force. The percentage of those enrolled in school is also much higher – more than double of those not receiving an incentive. Looking back to Table 3, these change</w:t>
      </w:r>
      <w:r w:rsidR="004E02FE">
        <w:t>s</w:t>
      </w:r>
      <w:r>
        <w:t xml:space="preserve"> make sense since the $10 incentive increased the percentage of respondents age 15 to 24. This age cohort has a greater likelihood of school enrollment and not </w:t>
      </w:r>
      <w:r w:rsidR="00A26316">
        <w:t xml:space="preserve">being </w:t>
      </w:r>
      <w:r>
        <w:t>in the labor force.</w:t>
      </w:r>
    </w:p>
    <w:p w:rsidR="00C03987" w:rsidP="00C03987" w14:paraId="4666F429" w14:textId="7426B46E">
      <w:pPr>
        <w:ind w:left="810" w:hanging="810"/>
      </w:pPr>
      <w:r>
        <w:t xml:space="preserve">Table 6: </w:t>
      </w:r>
      <w:r w:rsidR="001C763D">
        <w:t>Distribution of labor force status and school enrollment by incentive condition for regular incentive cases</w:t>
      </w:r>
    </w:p>
    <w:tbl>
      <w:tblPr>
        <w:tblStyle w:val="TableGrid"/>
        <w:tblW w:w="9360" w:type="dxa"/>
        <w:tblBorders>
          <w:left w:val="none" w:sz="0" w:space="0" w:color="auto"/>
          <w:right w:val="none" w:sz="0" w:space="0" w:color="auto"/>
          <w:insideH w:val="none" w:sz="0" w:space="0" w:color="auto"/>
          <w:insideV w:val="none" w:sz="0" w:space="0" w:color="auto"/>
        </w:tblBorders>
        <w:tblLook w:val="04A0"/>
      </w:tblPr>
      <w:tblGrid>
        <w:gridCol w:w="3510"/>
        <w:gridCol w:w="1462"/>
        <w:gridCol w:w="1463"/>
        <w:gridCol w:w="1462"/>
        <w:gridCol w:w="1463"/>
      </w:tblGrid>
      <w:tr w14:paraId="6EA73C66" w14:textId="77777777" w:rsidTr="001C7567">
        <w:tblPrEx>
          <w:tblW w:w="9360" w:type="dxa"/>
          <w:tblBorders>
            <w:left w:val="none" w:sz="0" w:space="0" w:color="auto"/>
            <w:right w:val="none" w:sz="0" w:space="0" w:color="auto"/>
            <w:insideH w:val="none" w:sz="0" w:space="0" w:color="auto"/>
            <w:insideV w:val="none" w:sz="0" w:space="0" w:color="auto"/>
          </w:tblBorders>
          <w:tblLook w:val="04A0"/>
        </w:tblPrEx>
        <w:trPr>
          <w:trHeight w:val="343"/>
        </w:trPr>
        <w:tc>
          <w:tcPr>
            <w:tcW w:w="3510" w:type="dxa"/>
            <w:tcBorders>
              <w:bottom w:val="single" w:sz="4" w:space="0" w:color="auto"/>
            </w:tcBorders>
          </w:tcPr>
          <w:p w:rsidR="00C03987" w:rsidP="009F2BD9" w14:paraId="76B19026" w14:textId="77777777"/>
        </w:tc>
        <w:tc>
          <w:tcPr>
            <w:tcW w:w="1462" w:type="dxa"/>
            <w:tcBorders>
              <w:bottom w:val="single" w:sz="4" w:space="0" w:color="auto"/>
            </w:tcBorders>
            <w:vAlign w:val="bottom"/>
          </w:tcPr>
          <w:p w:rsidR="00C03987" w:rsidP="009F2BD9" w14:paraId="14F3F80B" w14:textId="77777777">
            <w:pPr>
              <w:jc w:val="center"/>
            </w:pPr>
            <w:r>
              <w:t>$0</w:t>
            </w:r>
          </w:p>
        </w:tc>
        <w:tc>
          <w:tcPr>
            <w:tcW w:w="1463" w:type="dxa"/>
            <w:tcBorders>
              <w:bottom w:val="single" w:sz="4" w:space="0" w:color="auto"/>
            </w:tcBorders>
            <w:vAlign w:val="bottom"/>
          </w:tcPr>
          <w:p w:rsidR="00C03987" w:rsidP="009F2BD9" w14:paraId="6E7F89BF" w14:textId="77777777">
            <w:pPr>
              <w:jc w:val="center"/>
            </w:pPr>
            <w:r>
              <w:t>$5</w:t>
            </w:r>
          </w:p>
        </w:tc>
        <w:tc>
          <w:tcPr>
            <w:tcW w:w="1462" w:type="dxa"/>
            <w:tcBorders>
              <w:top w:val="single" w:sz="4" w:space="0" w:color="auto"/>
              <w:bottom w:val="single" w:sz="4" w:space="0" w:color="auto"/>
              <w:right w:val="dotted" w:sz="4" w:space="0" w:color="auto"/>
            </w:tcBorders>
            <w:vAlign w:val="bottom"/>
          </w:tcPr>
          <w:p w:rsidR="00C03987" w:rsidP="009F2BD9" w14:paraId="2DD456BB" w14:textId="77777777">
            <w:pPr>
              <w:jc w:val="center"/>
            </w:pPr>
            <w:r>
              <w:t>$10</w:t>
            </w:r>
          </w:p>
        </w:tc>
        <w:tc>
          <w:tcPr>
            <w:tcW w:w="1463" w:type="dxa"/>
            <w:tcBorders>
              <w:top w:val="single" w:sz="4" w:space="0" w:color="auto"/>
              <w:left w:val="dotted" w:sz="4" w:space="0" w:color="auto"/>
              <w:bottom w:val="single" w:sz="4" w:space="0" w:color="auto"/>
            </w:tcBorders>
            <w:vAlign w:val="bottom"/>
          </w:tcPr>
          <w:p w:rsidR="00C03987" w:rsidRPr="00983EC3" w:rsidP="009F2BD9" w14:paraId="460FFE9A" w14:textId="06E7005F">
            <w:pPr>
              <w:jc w:val="center"/>
              <w:rPr>
                <w:vertAlign w:val="superscript"/>
              </w:rPr>
            </w:pPr>
            <w:r>
              <w:t>2019</w:t>
            </w:r>
            <w:r w:rsidR="00983EC3">
              <w:rPr>
                <w:vertAlign w:val="superscript"/>
              </w:rPr>
              <w:t>2</w:t>
            </w:r>
          </w:p>
        </w:tc>
      </w:tr>
      <w:tr w14:paraId="389A9002" w14:textId="77777777" w:rsidTr="009F2BD9">
        <w:tblPrEx>
          <w:tblW w:w="9360" w:type="dxa"/>
          <w:tblLook w:val="04A0"/>
        </w:tblPrEx>
        <w:trPr>
          <w:trHeight w:val="343"/>
        </w:trPr>
        <w:tc>
          <w:tcPr>
            <w:tcW w:w="3510" w:type="dxa"/>
            <w:tcBorders>
              <w:top w:val="single" w:sz="4" w:space="0" w:color="auto"/>
              <w:bottom w:val="nil"/>
            </w:tcBorders>
            <w:vAlign w:val="center"/>
          </w:tcPr>
          <w:p w:rsidR="00C03987" w:rsidRPr="00D1007A" w:rsidP="009F2BD9" w14:paraId="20C508D2" w14:textId="22E4B6F7">
            <w:pPr>
              <w:rPr>
                <w:b/>
                <w:bCs/>
                <w:vertAlign w:val="superscript"/>
              </w:rPr>
            </w:pPr>
            <w:r>
              <w:rPr>
                <w:b/>
                <w:bCs/>
              </w:rPr>
              <w:t>Regular Incentive</w:t>
            </w:r>
            <w:r w:rsidRPr="00D1007A">
              <w:rPr>
                <w:b/>
                <w:bCs/>
              </w:rPr>
              <w:t xml:space="preserve"> (n)</w:t>
            </w:r>
            <w:r w:rsidRPr="00D1007A">
              <w:rPr>
                <w:b/>
                <w:bCs/>
                <w:vertAlign w:val="superscript"/>
              </w:rPr>
              <w:t>1</w:t>
            </w:r>
          </w:p>
        </w:tc>
        <w:tc>
          <w:tcPr>
            <w:tcW w:w="1462" w:type="dxa"/>
            <w:tcBorders>
              <w:top w:val="single" w:sz="4" w:space="0" w:color="auto"/>
              <w:bottom w:val="nil"/>
            </w:tcBorders>
            <w:vAlign w:val="center"/>
          </w:tcPr>
          <w:p w:rsidR="00C03987" w:rsidP="009F2BD9" w14:paraId="41F02C31" w14:textId="00F7D543">
            <w:pPr>
              <w:jc w:val="center"/>
            </w:pPr>
            <w:r>
              <w:t>100</w:t>
            </w:r>
          </w:p>
        </w:tc>
        <w:tc>
          <w:tcPr>
            <w:tcW w:w="1463" w:type="dxa"/>
            <w:tcBorders>
              <w:top w:val="single" w:sz="4" w:space="0" w:color="auto"/>
              <w:bottom w:val="nil"/>
            </w:tcBorders>
            <w:vAlign w:val="center"/>
          </w:tcPr>
          <w:p w:rsidR="00C03987" w:rsidP="009F2BD9" w14:paraId="35DC2DB7" w14:textId="6CCB99CD">
            <w:pPr>
              <w:jc w:val="center"/>
            </w:pPr>
            <w:r>
              <w:t>100</w:t>
            </w:r>
          </w:p>
        </w:tc>
        <w:tc>
          <w:tcPr>
            <w:tcW w:w="1462" w:type="dxa"/>
            <w:tcBorders>
              <w:top w:val="single" w:sz="4" w:space="0" w:color="auto"/>
              <w:bottom w:val="nil"/>
              <w:right w:val="dotted" w:sz="4" w:space="0" w:color="auto"/>
            </w:tcBorders>
            <w:vAlign w:val="center"/>
          </w:tcPr>
          <w:p w:rsidR="00C03987" w:rsidRPr="00821614" w:rsidP="009F2BD9" w14:paraId="5AD29E1F" w14:textId="2A30B2E3">
            <w:pPr>
              <w:jc w:val="center"/>
            </w:pPr>
            <w:r>
              <w:t>150</w:t>
            </w:r>
          </w:p>
        </w:tc>
        <w:tc>
          <w:tcPr>
            <w:tcW w:w="1463" w:type="dxa"/>
            <w:tcBorders>
              <w:top w:val="single" w:sz="4" w:space="0" w:color="auto"/>
              <w:left w:val="dotted" w:sz="4" w:space="0" w:color="auto"/>
              <w:bottom w:val="nil"/>
            </w:tcBorders>
            <w:vAlign w:val="center"/>
          </w:tcPr>
          <w:p w:rsidR="00C03987" w:rsidRPr="00821614" w:rsidP="009F2BD9" w14:paraId="5D08E087" w14:textId="705A262A">
            <w:pPr>
              <w:jc w:val="center"/>
            </w:pPr>
            <w:r>
              <w:t>418</w:t>
            </w:r>
          </w:p>
        </w:tc>
      </w:tr>
      <w:tr w14:paraId="0EA1CA3C" w14:textId="77777777" w:rsidTr="001C7567">
        <w:tblPrEx>
          <w:tblW w:w="9360" w:type="dxa"/>
          <w:tblLook w:val="04A0"/>
        </w:tblPrEx>
        <w:trPr>
          <w:trHeight w:val="343"/>
        </w:trPr>
        <w:tc>
          <w:tcPr>
            <w:tcW w:w="3510" w:type="dxa"/>
            <w:vAlign w:val="center"/>
          </w:tcPr>
          <w:p w:rsidR="00C03987" w:rsidRPr="00D1007A" w:rsidP="009F2BD9" w14:paraId="1C9364F6" w14:textId="7CA8D6A7">
            <w:pPr>
              <w:rPr>
                <w:b/>
                <w:bCs/>
              </w:rPr>
            </w:pPr>
            <w:r>
              <w:rPr>
                <w:b/>
                <w:bCs/>
              </w:rPr>
              <w:t>Labor Force Status</w:t>
            </w:r>
          </w:p>
        </w:tc>
        <w:tc>
          <w:tcPr>
            <w:tcW w:w="1462" w:type="dxa"/>
            <w:vAlign w:val="center"/>
          </w:tcPr>
          <w:p w:rsidR="00C03987" w:rsidP="009F2BD9" w14:paraId="5D94E8BD" w14:textId="77777777">
            <w:pPr>
              <w:jc w:val="center"/>
            </w:pPr>
          </w:p>
        </w:tc>
        <w:tc>
          <w:tcPr>
            <w:tcW w:w="1463" w:type="dxa"/>
            <w:vAlign w:val="center"/>
          </w:tcPr>
          <w:p w:rsidR="00C03987" w:rsidP="009F2BD9" w14:paraId="34B17D6B" w14:textId="77777777">
            <w:pPr>
              <w:jc w:val="center"/>
            </w:pPr>
          </w:p>
        </w:tc>
        <w:tc>
          <w:tcPr>
            <w:tcW w:w="1462" w:type="dxa"/>
            <w:tcBorders>
              <w:right w:val="dotted" w:sz="4" w:space="0" w:color="auto"/>
            </w:tcBorders>
            <w:vAlign w:val="center"/>
          </w:tcPr>
          <w:p w:rsidR="00C03987" w:rsidP="009F2BD9" w14:paraId="182534C9" w14:textId="77777777">
            <w:pPr>
              <w:jc w:val="center"/>
            </w:pPr>
          </w:p>
        </w:tc>
        <w:tc>
          <w:tcPr>
            <w:tcW w:w="1463" w:type="dxa"/>
            <w:tcBorders>
              <w:top w:val="nil"/>
              <w:left w:val="dotted" w:sz="4" w:space="0" w:color="auto"/>
              <w:bottom w:val="nil"/>
            </w:tcBorders>
            <w:vAlign w:val="center"/>
          </w:tcPr>
          <w:p w:rsidR="00C03987" w:rsidP="009F2BD9" w14:paraId="6666BE5C" w14:textId="77777777">
            <w:pPr>
              <w:jc w:val="center"/>
            </w:pPr>
          </w:p>
        </w:tc>
      </w:tr>
      <w:tr w14:paraId="55E893F4" w14:textId="77777777" w:rsidTr="001C7567">
        <w:tblPrEx>
          <w:tblW w:w="9360" w:type="dxa"/>
          <w:tblLook w:val="04A0"/>
        </w:tblPrEx>
        <w:trPr>
          <w:trHeight w:val="343"/>
        </w:trPr>
        <w:tc>
          <w:tcPr>
            <w:tcW w:w="3510" w:type="dxa"/>
            <w:vAlign w:val="center"/>
          </w:tcPr>
          <w:p w:rsidR="00C03987" w:rsidP="009F2BD9" w14:paraId="6FD8081B" w14:textId="2C7060BE">
            <w:pPr>
              <w:ind w:left="162"/>
            </w:pPr>
            <w:r>
              <w:t>Employed</w:t>
            </w:r>
          </w:p>
        </w:tc>
        <w:tc>
          <w:tcPr>
            <w:tcW w:w="1462" w:type="dxa"/>
            <w:vAlign w:val="center"/>
          </w:tcPr>
          <w:p w:rsidR="00C03987" w:rsidP="009F2BD9" w14:paraId="4DBBE95F" w14:textId="2C2689B2">
            <w:pPr>
              <w:jc w:val="center"/>
            </w:pPr>
            <w:r>
              <w:t>62.9</w:t>
            </w:r>
            <w:r w:rsidR="005623AC">
              <w:t>%</w:t>
            </w:r>
          </w:p>
        </w:tc>
        <w:tc>
          <w:tcPr>
            <w:tcW w:w="1463" w:type="dxa"/>
            <w:vAlign w:val="center"/>
          </w:tcPr>
          <w:p w:rsidR="00C03987" w:rsidP="009F2BD9" w14:paraId="3CF4BB34" w14:textId="5D7D370C">
            <w:pPr>
              <w:jc w:val="center"/>
            </w:pPr>
            <w:r>
              <w:t>47.4</w:t>
            </w:r>
            <w:r w:rsidR="005623AC">
              <w:t>%</w:t>
            </w:r>
          </w:p>
        </w:tc>
        <w:tc>
          <w:tcPr>
            <w:tcW w:w="1462" w:type="dxa"/>
            <w:tcBorders>
              <w:right w:val="dotted" w:sz="4" w:space="0" w:color="auto"/>
            </w:tcBorders>
            <w:vAlign w:val="center"/>
          </w:tcPr>
          <w:p w:rsidR="001C7567" w:rsidP="001C7567" w14:paraId="13BE7DA1" w14:textId="27B5A8D8">
            <w:pPr>
              <w:jc w:val="center"/>
            </w:pPr>
            <w:r>
              <w:t>51.2</w:t>
            </w:r>
            <w:r w:rsidR="005623AC">
              <w:t>%</w:t>
            </w:r>
          </w:p>
        </w:tc>
        <w:tc>
          <w:tcPr>
            <w:tcW w:w="1463" w:type="dxa"/>
            <w:tcBorders>
              <w:top w:val="nil"/>
              <w:left w:val="dotted" w:sz="4" w:space="0" w:color="auto"/>
              <w:bottom w:val="nil"/>
            </w:tcBorders>
            <w:shd w:val="clear" w:color="auto" w:fill="auto"/>
            <w:vAlign w:val="center"/>
          </w:tcPr>
          <w:p w:rsidR="00C03987" w:rsidP="009F2BD9" w14:paraId="0DE644C3" w14:textId="7F1B2601">
            <w:pPr>
              <w:jc w:val="center"/>
            </w:pPr>
            <w:r>
              <w:t>59.1</w:t>
            </w:r>
            <w:r w:rsidR="005623AC">
              <w:t>%</w:t>
            </w:r>
          </w:p>
        </w:tc>
      </w:tr>
      <w:tr w14:paraId="1381A6AC" w14:textId="77777777" w:rsidTr="00151C24">
        <w:tblPrEx>
          <w:tblW w:w="9360" w:type="dxa"/>
          <w:tblLook w:val="04A0"/>
        </w:tblPrEx>
        <w:trPr>
          <w:trHeight w:val="343"/>
        </w:trPr>
        <w:tc>
          <w:tcPr>
            <w:tcW w:w="3510" w:type="dxa"/>
            <w:vAlign w:val="center"/>
          </w:tcPr>
          <w:p w:rsidR="00C03987" w:rsidP="009F2BD9" w14:paraId="5680CA6F" w14:textId="592BDDEF">
            <w:pPr>
              <w:ind w:left="162"/>
            </w:pPr>
            <w:r>
              <w:t>Unemployed</w:t>
            </w:r>
          </w:p>
        </w:tc>
        <w:tc>
          <w:tcPr>
            <w:tcW w:w="1462" w:type="dxa"/>
            <w:vAlign w:val="center"/>
          </w:tcPr>
          <w:p w:rsidR="00C03987" w:rsidP="009F2BD9" w14:paraId="25E2F984" w14:textId="5F6AC9AA">
            <w:pPr>
              <w:jc w:val="center"/>
            </w:pPr>
            <w:r>
              <w:t>3.4</w:t>
            </w:r>
          </w:p>
        </w:tc>
        <w:tc>
          <w:tcPr>
            <w:tcW w:w="1463" w:type="dxa"/>
            <w:vAlign w:val="center"/>
          </w:tcPr>
          <w:p w:rsidR="00C03987" w:rsidP="009F2BD9" w14:paraId="0F8AF3BB" w14:textId="40AE6B08">
            <w:pPr>
              <w:jc w:val="center"/>
            </w:pPr>
            <w:r>
              <w:t>7.2</w:t>
            </w:r>
          </w:p>
        </w:tc>
        <w:tc>
          <w:tcPr>
            <w:tcW w:w="1462" w:type="dxa"/>
            <w:tcBorders>
              <w:right w:val="dotted" w:sz="4" w:space="0" w:color="auto"/>
            </w:tcBorders>
            <w:vAlign w:val="center"/>
          </w:tcPr>
          <w:p w:rsidR="00C03987" w:rsidP="009F2BD9" w14:paraId="60B4F7F1" w14:textId="36E923B0">
            <w:pPr>
              <w:jc w:val="center"/>
            </w:pPr>
            <w:r>
              <w:t>2.4</w:t>
            </w:r>
          </w:p>
        </w:tc>
        <w:tc>
          <w:tcPr>
            <w:tcW w:w="1463" w:type="dxa"/>
            <w:tcBorders>
              <w:top w:val="nil"/>
              <w:left w:val="dotted" w:sz="4" w:space="0" w:color="auto"/>
              <w:bottom w:val="nil"/>
            </w:tcBorders>
            <w:shd w:val="clear" w:color="auto" w:fill="auto"/>
            <w:vAlign w:val="center"/>
          </w:tcPr>
          <w:p w:rsidR="00C03987" w:rsidP="009F2BD9" w14:paraId="1998BC6F" w14:textId="667233DC">
            <w:pPr>
              <w:jc w:val="center"/>
            </w:pPr>
            <w:r>
              <w:t>3.4</w:t>
            </w:r>
          </w:p>
        </w:tc>
      </w:tr>
      <w:tr w14:paraId="1950CFB7" w14:textId="77777777" w:rsidTr="00151C24">
        <w:tblPrEx>
          <w:tblW w:w="9360" w:type="dxa"/>
          <w:tblLook w:val="04A0"/>
        </w:tblPrEx>
        <w:trPr>
          <w:trHeight w:val="343"/>
        </w:trPr>
        <w:tc>
          <w:tcPr>
            <w:tcW w:w="3510" w:type="dxa"/>
            <w:vAlign w:val="center"/>
          </w:tcPr>
          <w:p w:rsidR="00C03987" w:rsidP="009F2BD9" w14:paraId="6FE3DEBC" w14:textId="046624AB">
            <w:pPr>
              <w:ind w:left="162"/>
            </w:pPr>
            <w:r>
              <w:t>Not in labor force</w:t>
            </w:r>
          </w:p>
        </w:tc>
        <w:tc>
          <w:tcPr>
            <w:tcW w:w="1462" w:type="dxa"/>
            <w:vAlign w:val="center"/>
          </w:tcPr>
          <w:p w:rsidR="00C03987" w:rsidP="009F2BD9" w14:paraId="13E4D2BA" w14:textId="73A35F0C">
            <w:pPr>
              <w:jc w:val="center"/>
            </w:pPr>
            <w:r>
              <w:t>33.7</w:t>
            </w:r>
          </w:p>
        </w:tc>
        <w:tc>
          <w:tcPr>
            <w:tcW w:w="1463" w:type="dxa"/>
            <w:vAlign w:val="center"/>
          </w:tcPr>
          <w:p w:rsidR="00C03987" w:rsidP="009F2BD9" w14:paraId="4C74E9EF" w14:textId="30EF6EFF">
            <w:pPr>
              <w:jc w:val="center"/>
            </w:pPr>
            <w:r>
              <w:t>45.4</w:t>
            </w:r>
          </w:p>
        </w:tc>
        <w:tc>
          <w:tcPr>
            <w:tcW w:w="1462" w:type="dxa"/>
            <w:tcBorders>
              <w:right w:val="dotted" w:sz="4" w:space="0" w:color="auto"/>
            </w:tcBorders>
            <w:vAlign w:val="center"/>
          </w:tcPr>
          <w:p w:rsidR="00C03987" w:rsidP="009F2BD9" w14:paraId="3C3F50CA" w14:textId="7CDC9813">
            <w:pPr>
              <w:jc w:val="center"/>
            </w:pPr>
            <w:r>
              <w:t>46.4</w:t>
            </w:r>
          </w:p>
        </w:tc>
        <w:tc>
          <w:tcPr>
            <w:tcW w:w="1463" w:type="dxa"/>
            <w:tcBorders>
              <w:top w:val="nil"/>
              <w:left w:val="dotted" w:sz="4" w:space="0" w:color="auto"/>
              <w:bottom w:val="nil"/>
            </w:tcBorders>
            <w:shd w:val="clear" w:color="auto" w:fill="auto"/>
            <w:vAlign w:val="center"/>
          </w:tcPr>
          <w:p w:rsidR="00C03987" w:rsidP="009F2BD9" w14:paraId="640B1C7D" w14:textId="2FE5978A">
            <w:pPr>
              <w:jc w:val="center"/>
            </w:pPr>
            <w:r>
              <w:t>35.2</w:t>
            </w:r>
          </w:p>
        </w:tc>
      </w:tr>
      <w:tr w14:paraId="729EC54E" w14:textId="77777777" w:rsidTr="00151C24">
        <w:tblPrEx>
          <w:tblW w:w="9360" w:type="dxa"/>
          <w:tblLook w:val="04A0"/>
        </w:tblPrEx>
        <w:trPr>
          <w:trHeight w:val="343"/>
        </w:trPr>
        <w:tc>
          <w:tcPr>
            <w:tcW w:w="3510" w:type="dxa"/>
            <w:vAlign w:val="center"/>
          </w:tcPr>
          <w:p w:rsidR="00C03987" w:rsidRPr="00D1007A" w:rsidP="009F2BD9" w14:paraId="4C3D4CF6" w14:textId="16DEB29C">
            <w:pPr>
              <w:ind w:left="-15"/>
              <w:rPr>
                <w:b/>
                <w:bCs/>
              </w:rPr>
            </w:pPr>
            <w:r>
              <w:rPr>
                <w:b/>
                <w:bCs/>
              </w:rPr>
              <w:t>School Enrollment</w:t>
            </w:r>
          </w:p>
        </w:tc>
        <w:tc>
          <w:tcPr>
            <w:tcW w:w="1462" w:type="dxa"/>
            <w:vAlign w:val="center"/>
          </w:tcPr>
          <w:p w:rsidR="00C03987" w:rsidP="009F2BD9" w14:paraId="66BE5D05" w14:textId="77777777">
            <w:pPr>
              <w:jc w:val="center"/>
            </w:pPr>
          </w:p>
        </w:tc>
        <w:tc>
          <w:tcPr>
            <w:tcW w:w="1463" w:type="dxa"/>
            <w:vAlign w:val="center"/>
          </w:tcPr>
          <w:p w:rsidR="00C03987" w:rsidP="009F2BD9" w14:paraId="300378FC" w14:textId="77777777">
            <w:pPr>
              <w:jc w:val="center"/>
            </w:pPr>
          </w:p>
        </w:tc>
        <w:tc>
          <w:tcPr>
            <w:tcW w:w="1462" w:type="dxa"/>
            <w:tcBorders>
              <w:right w:val="dotted" w:sz="4" w:space="0" w:color="auto"/>
            </w:tcBorders>
            <w:vAlign w:val="center"/>
          </w:tcPr>
          <w:p w:rsidR="00C03987" w:rsidP="009F2BD9" w14:paraId="1045322B" w14:textId="77777777">
            <w:pPr>
              <w:jc w:val="center"/>
            </w:pPr>
          </w:p>
        </w:tc>
        <w:tc>
          <w:tcPr>
            <w:tcW w:w="1463" w:type="dxa"/>
            <w:tcBorders>
              <w:top w:val="nil"/>
              <w:left w:val="dotted" w:sz="4" w:space="0" w:color="auto"/>
              <w:bottom w:val="nil"/>
            </w:tcBorders>
            <w:shd w:val="clear" w:color="auto" w:fill="auto"/>
            <w:vAlign w:val="center"/>
          </w:tcPr>
          <w:p w:rsidR="00C03987" w:rsidRPr="007B562D" w:rsidP="009F2BD9" w14:paraId="49A24E33" w14:textId="6DCE8736">
            <w:pPr>
              <w:jc w:val="center"/>
              <w:rPr>
                <w:vertAlign w:val="superscript"/>
              </w:rPr>
            </w:pPr>
            <w:r>
              <w:t>250</w:t>
            </w:r>
            <w:r>
              <w:rPr>
                <w:vertAlign w:val="superscript"/>
              </w:rPr>
              <w:t>3</w:t>
            </w:r>
          </w:p>
        </w:tc>
      </w:tr>
      <w:tr w14:paraId="0A0E1DC1" w14:textId="77777777" w:rsidTr="001C7567">
        <w:tblPrEx>
          <w:tblW w:w="9360" w:type="dxa"/>
          <w:tblLook w:val="04A0"/>
        </w:tblPrEx>
        <w:trPr>
          <w:trHeight w:val="343"/>
        </w:trPr>
        <w:tc>
          <w:tcPr>
            <w:tcW w:w="3510" w:type="dxa"/>
            <w:vAlign w:val="center"/>
          </w:tcPr>
          <w:p w:rsidR="00C03987" w:rsidP="009F2BD9" w14:paraId="500425D0" w14:textId="326DC91E">
            <w:pPr>
              <w:ind w:left="162"/>
            </w:pPr>
            <w:r>
              <w:t>Enrolled (in HS or College)</w:t>
            </w:r>
          </w:p>
        </w:tc>
        <w:tc>
          <w:tcPr>
            <w:tcW w:w="1462" w:type="dxa"/>
            <w:vAlign w:val="center"/>
          </w:tcPr>
          <w:p w:rsidR="00C03987" w:rsidP="009F2BD9" w14:paraId="4A2B8CBB" w14:textId="591AE2A3">
            <w:pPr>
              <w:jc w:val="center"/>
            </w:pPr>
            <w:r>
              <w:t>11.9</w:t>
            </w:r>
          </w:p>
        </w:tc>
        <w:tc>
          <w:tcPr>
            <w:tcW w:w="1463" w:type="dxa"/>
            <w:vAlign w:val="center"/>
          </w:tcPr>
          <w:p w:rsidR="00C03987" w:rsidP="009F2BD9" w14:paraId="03C2B88E" w14:textId="5DB61971">
            <w:pPr>
              <w:jc w:val="center"/>
            </w:pPr>
            <w:r>
              <w:t>18.4</w:t>
            </w:r>
          </w:p>
        </w:tc>
        <w:tc>
          <w:tcPr>
            <w:tcW w:w="1462" w:type="dxa"/>
            <w:tcBorders>
              <w:right w:val="dotted" w:sz="4" w:space="0" w:color="auto"/>
            </w:tcBorders>
            <w:vAlign w:val="center"/>
          </w:tcPr>
          <w:p w:rsidR="00C03987" w:rsidP="009F2BD9" w14:paraId="602ED229" w14:textId="1E081F92">
            <w:pPr>
              <w:jc w:val="center"/>
            </w:pPr>
            <w:r>
              <w:t>27.8</w:t>
            </w:r>
          </w:p>
        </w:tc>
        <w:tc>
          <w:tcPr>
            <w:tcW w:w="1463" w:type="dxa"/>
            <w:tcBorders>
              <w:top w:val="nil"/>
              <w:left w:val="dotted" w:sz="4" w:space="0" w:color="auto"/>
              <w:bottom w:val="single" w:sz="4" w:space="0" w:color="auto"/>
            </w:tcBorders>
            <w:shd w:val="clear" w:color="auto" w:fill="auto"/>
            <w:vAlign w:val="center"/>
          </w:tcPr>
          <w:p w:rsidR="00C03987" w:rsidP="009F2BD9" w14:paraId="7F416008" w14:textId="3D110440">
            <w:pPr>
              <w:jc w:val="center"/>
            </w:pPr>
            <w:r>
              <w:t>13.6</w:t>
            </w:r>
          </w:p>
        </w:tc>
      </w:tr>
    </w:tbl>
    <w:p w:rsidR="00C03987" w:rsidP="00983EC3" w14:paraId="6AB1107A" w14:textId="62550944">
      <w:pPr>
        <w:spacing w:before="60" w:after="0"/>
        <w:ind w:left="360" w:hanging="360"/>
        <w:rPr>
          <w:sz w:val="18"/>
          <w:szCs w:val="18"/>
        </w:rPr>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p w:rsidR="00983EC3" w:rsidP="007B562D" w14:paraId="21C17B22" w14:textId="15008359">
      <w:pPr>
        <w:spacing w:after="0"/>
        <w:ind w:left="360" w:hanging="360"/>
        <w:rPr>
          <w:sz w:val="18"/>
          <w:szCs w:val="18"/>
        </w:rPr>
      </w:pPr>
      <w:r>
        <w:rPr>
          <w:sz w:val="18"/>
          <w:szCs w:val="18"/>
        </w:rPr>
        <w:t>2.</w:t>
      </w:r>
      <w:r>
        <w:rPr>
          <w:sz w:val="18"/>
          <w:szCs w:val="18"/>
        </w:rPr>
        <w:tab/>
      </w:r>
      <w:r w:rsidRPr="00E639A5">
        <w:rPr>
          <w:sz w:val="18"/>
          <w:szCs w:val="18"/>
        </w:rPr>
        <w:t xml:space="preserve">Source: ATUS </w:t>
      </w:r>
      <w:r>
        <w:rPr>
          <w:sz w:val="18"/>
          <w:szCs w:val="18"/>
        </w:rPr>
        <w:t>Respondent, Case, and Roster files for</w:t>
      </w:r>
      <w:r w:rsidRPr="00E639A5">
        <w:rPr>
          <w:sz w:val="18"/>
          <w:szCs w:val="18"/>
        </w:rPr>
        <w:t xml:space="preserve"> 2019 (</w:t>
      </w:r>
      <w:r>
        <w:rPr>
          <w:sz w:val="18"/>
          <w:szCs w:val="18"/>
        </w:rPr>
        <w:t xml:space="preserve">public use files </w:t>
      </w:r>
      <w:r w:rsidRPr="00E639A5">
        <w:rPr>
          <w:sz w:val="18"/>
          <w:szCs w:val="18"/>
        </w:rPr>
        <w:t xml:space="preserve">accessed from: </w:t>
      </w:r>
      <w:hyperlink r:id="rId9" w:history="1">
        <w:r w:rsidRPr="00425D26" w:rsidR="007B562D">
          <w:rPr>
            <w:rStyle w:val="Hyperlink"/>
            <w:sz w:val="18"/>
            <w:szCs w:val="18"/>
          </w:rPr>
          <w:t>https://www.bls.gov/tus/datafiles-2019.htm</w:t>
        </w:r>
      </w:hyperlink>
      <w:r w:rsidRPr="00E639A5">
        <w:rPr>
          <w:sz w:val="18"/>
          <w:szCs w:val="18"/>
        </w:rPr>
        <w:t>)</w:t>
      </w:r>
    </w:p>
    <w:p w:rsidR="007B562D" w:rsidRPr="00E639A5" w:rsidP="00983EC3" w14:paraId="58C6E2E4" w14:textId="2DC4A04E">
      <w:pPr>
        <w:ind w:left="360" w:hanging="360"/>
        <w:rPr>
          <w:sz w:val="18"/>
          <w:szCs w:val="18"/>
        </w:rPr>
      </w:pPr>
      <w:r>
        <w:rPr>
          <w:sz w:val="18"/>
          <w:szCs w:val="18"/>
        </w:rPr>
        <w:t>3.</w:t>
      </w:r>
      <w:r>
        <w:rPr>
          <w:sz w:val="18"/>
          <w:szCs w:val="18"/>
        </w:rPr>
        <w:tab/>
        <w:t xml:space="preserve">School enrollment is </w:t>
      </w:r>
      <w:r w:rsidR="0087281E">
        <w:rPr>
          <w:sz w:val="18"/>
          <w:szCs w:val="18"/>
        </w:rPr>
        <w:t>subset to respondents age 15 to 49 and thus these cases are a subset within regular incentive cases.</w:t>
      </w:r>
    </w:p>
    <w:p w:rsidR="00151C24" w:rsidP="00151C24" w14:paraId="262D654F" w14:textId="59CFA2B1">
      <w:pPr>
        <w:ind w:right="720"/>
      </w:pPr>
      <w:r>
        <w:t xml:space="preserve">Table 6 also includes the unweighted 2019 estimate for these measures. Caution should be taken with this comparison, as the COVID-19 pandemic resulted in dramatic effects on labor market participation. While the $10 incentive condition is much different for both measures, this could reflect true change, that the different incentive types ($10 prepaid cash vs $40 promised </w:t>
      </w:r>
      <w:r w:rsidR="003547BA">
        <w:t>debit</w:t>
      </w:r>
      <w:r>
        <w:t xml:space="preserve"> card) motivate different groups to participate, or differences due to differential response. While differences are observed, any cause is only speculative. The comparison is included for illustration.</w:t>
      </w:r>
    </w:p>
    <w:p w:rsidR="00983EC3" w:rsidP="00D50ADF" w14:paraId="6CD2979D" w14:textId="04297278">
      <w:pPr>
        <w:spacing w:before="60"/>
      </w:pPr>
      <w:r>
        <w:t xml:space="preserve">Table 7 provides the same comparisons for the hard to reach group. </w:t>
      </w:r>
      <w:r w:rsidR="00D50ADF">
        <w:t>Comparing the $10 incentive condition to the no incentive condition, there is an increase in the percent employed with a commiserate decrease from those not in the labor force. For the proportion enrolled in school the proportions are essentially the same.</w:t>
      </w:r>
      <w:r w:rsidR="00965962">
        <w:t xml:space="preserve"> The increase in employment is in line with Table 5 that shows a large increase for those with an annual income between $25,000 and $49,999. The equivalence for school enrollment is unexpected given that Table 5 shows a large increase from those with some college or an associate</w:t>
      </w:r>
      <w:r w:rsidR="00682671">
        <w:t>’</w:t>
      </w:r>
      <w:r w:rsidR="00965962">
        <w:t>s degree. This shows that the incentive, while bringing in more respondents, it is bringing in respondents similar to those that participated without an incentive.</w:t>
      </w:r>
    </w:p>
    <w:p w:rsidR="00965962" w:rsidP="00D50ADF" w14:paraId="2A266F39" w14:textId="45A9A52A">
      <w:pPr>
        <w:spacing w:before="60"/>
      </w:pPr>
      <w:r>
        <w:t xml:space="preserve">As with Table 6, unweighted distributions for these measures are provided for 2019 in Table 7. What is striking is how similar these are to the $10 incentive condition. Again, caution should be taken when drawing any conclusions from this. The hard to reach group in 2019 was not provided any incentive, so expectations are that this should most reflect the no incentive condition. As noted above, there are many alternative explanations for this observation. The </w:t>
      </w:r>
      <w:r w:rsidR="00387088">
        <w:t>COVID-19</w:t>
      </w:r>
      <w:r>
        <w:t xml:space="preserve"> pandemic had dramatic effects on the labor market</w:t>
      </w:r>
      <w:r w:rsidR="00A53868">
        <w:t xml:space="preserve"> where</w:t>
      </w:r>
      <w:r>
        <w:t xml:space="preserve"> the differences could reflect true change, or this could reflect changes in compositions due to </w:t>
      </w:r>
      <w:r w:rsidR="00655002">
        <w:t>differential response</w:t>
      </w:r>
      <w:r>
        <w:t>.</w:t>
      </w:r>
      <w:r w:rsidR="00655002">
        <w:t xml:space="preserve"> As with Table 6, comparisons to 2019 are for illustration only.</w:t>
      </w:r>
    </w:p>
    <w:p w:rsidR="00C03987" w:rsidP="008177F8" w14:paraId="664028B7" w14:textId="34664E80">
      <w:pPr>
        <w:ind w:right="720"/>
      </w:pPr>
    </w:p>
    <w:p w:rsidR="001C7567" w:rsidP="001C7567" w14:paraId="12D0988F" w14:textId="54B71390">
      <w:pPr>
        <w:ind w:left="810" w:hanging="810"/>
      </w:pPr>
      <w:r>
        <w:t xml:space="preserve">Table 7: </w:t>
      </w:r>
      <w:r w:rsidR="001C763D">
        <w:t>Distribution of labor force status and school enrollment by incentive condition for hard to reach cases</w:t>
      </w:r>
    </w:p>
    <w:tbl>
      <w:tblPr>
        <w:tblStyle w:val="TableGrid"/>
        <w:tblW w:w="9360" w:type="dxa"/>
        <w:tblBorders>
          <w:left w:val="none" w:sz="0" w:space="0" w:color="auto"/>
          <w:right w:val="none" w:sz="0" w:space="0" w:color="auto"/>
          <w:insideH w:val="none" w:sz="0" w:space="0" w:color="auto"/>
          <w:insideV w:val="none" w:sz="0" w:space="0" w:color="auto"/>
        </w:tblBorders>
        <w:tblLook w:val="04A0"/>
      </w:tblPr>
      <w:tblGrid>
        <w:gridCol w:w="3510"/>
        <w:gridCol w:w="1462"/>
        <w:gridCol w:w="1463"/>
        <w:gridCol w:w="1462"/>
        <w:gridCol w:w="1463"/>
      </w:tblGrid>
      <w:tr w14:paraId="2DC52D63" w14:textId="77777777" w:rsidTr="001C7567">
        <w:tblPrEx>
          <w:tblW w:w="9360" w:type="dxa"/>
          <w:tblBorders>
            <w:left w:val="none" w:sz="0" w:space="0" w:color="auto"/>
            <w:right w:val="none" w:sz="0" w:space="0" w:color="auto"/>
            <w:insideH w:val="none" w:sz="0" w:space="0" w:color="auto"/>
            <w:insideV w:val="none" w:sz="0" w:space="0" w:color="auto"/>
          </w:tblBorders>
          <w:tblLook w:val="04A0"/>
        </w:tblPrEx>
        <w:trPr>
          <w:trHeight w:val="343"/>
        </w:trPr>
        <w:tc>
          <w:tcPr>
            <w:tcW w:w="3510" w:type="dxa"/>
            <w:tcBorders>
              <w:bottom w:val="single" w:sz="4" w:space="0" w:color="auto"/>
            </w:tcBorders>
          </w:tcPr>
          <w:p w:rsidR="001C7567" w:rsidP="009F2BD9" w14:paraId="677965DC" w14:textId="77777777"/>
        </w:tc>
        <w:tc>
          <w:tcPr>
            <w:tcW w:w="1462" w:type="dxa"/>
            <w:tcBorders>
              <w:bottom w:val="single" w:sz="4" w:space="0" w:color="auto"/>
            </w:tcBorders>
            <w:vAlign w:val="bottom"/>
          </w:tcPr>
          <w:p w:rsidR="001C7567" w:rsidP="009F2BD9" w14:paraId="3745A6CD" w14:textId="77777777">
            <w:pPr>
              <w:jc w:val="center"/>
            </w:pPr>
            <w:r>
              <w:t>$0</w:t>
            </w:r>
          </w:p>
        </w:tc>
        <w:tc>
          <w:tcPr>
            <w:tcW w:w="1463" w:type="dxa"/>
            <w:tcBorders>
              <w:bottom w:val="single" w:sz="4" w:space="0" w:color="auto"/>
            </w:tcBorders>
            <w:vAlign w:val="bottom"/>
          </w:tcPr>
          <w:p w:rsidR="001C7567" w:rsidP="009F2BD9" w14:paraId="061CE64F" w14:textId="77777777">
            <w:pPr>
              <w:jc w:val="center"/>
            </w:pPr>
            <w:r>
              <w:t>$5</w:t>
            </w:r>
          </w:p>
        </w:tc>
        <w:tc>
          <w:tcPr>
            <w:tcW w:w="1462" w:type="dxa"/>
            <w:tcBorders>
              <w:top w:val="single" w:sz="4" w:space="0" w:color="auto"/>
              <w:bottom w:val="single" w:sz="4" w:space="0" w:color="auto"/>
              <w:right w:val="dotted" w:sz="4" w:space="0" w:color="auto"/>
            </w:tcBorders>
            <w:vAlign w:val="bottom"/>
          </w:tcPr>
          <w:p w:rsidR="001C7567" w:rsidP="009F2BD9" w14:paraId="1DBC2464" w14:textId="77777777">
            <w:pPr>
              <w:jc w:val="center"/>
            </w:pPr>
            <w:r>
              <w:t>$10</w:t>
            </w:r>
          </w:p>
        </w:tc>
        <w:tc>
          <w:tcPr>
            <w:tcW w:w="1463" w:type="dxa"/>
            <w:tcBorders>
              <w:top w:val="single" w:sz="4" w:space="0" w:color="auto"/>
              <w:left w:val="dotted" w:sz="4" w:space="0" w:color="auto"/>
              <w:bottom w:val="single" w:sz="4" w:space="0" w:color="auto"/>
            </w:tcBorders>
            <w:vAlign w:val="bottom"/>
          </w:tcPr>
          <w:p w:rsidR="001C7567" w:rsidRPr="00983EC3" w:rsidP="009F2BD9" w14:paraId="55CCD2F0" w14:textId="6705F767">
            <w:pPr>
              <w:jc w:val="center"/>
              <w:rPr>
                <w:vertAlign w:val="superscript"/>
              </w:rPr>
            </w:pPr>
            <w:r>
              <w:t>2019</w:t>
            </w:r>
            <w:r w:rsidR="00983EC3">
              <w:rPr>
                <w:vertAlign w:val="superscript"/>
              </w:rPr>
              <w:t>2</w:t>
            </w:r>
          </w:p>
        </w:tc>
      </w:tr>
      <w:tr w14:paraId="52C12FEC" w14:textId="77777777" w:rsidTr="001C7567">
        <w:tblPrEx>
          <w:tblW w:w="9360" w:type="dxa"/>
          <w:tblLook w:val="04A0"/>
        </w:tblPrEx>
        <w:trPr>
          <w:trHeight w:val="343"/>
        </w:trPr>
        <w:tc>
          <w:tcPr>
            <w:tcW w:w="3510" w:type="dxa"/>
            <w:tcBorders>
              <w:top w:val="single" w:sz="4" w:space="0" w:color="auto"/>
              <w:bottom w:val="nil"/>
            </w:tcBorders>
            <w:vAlign w:val="center"/>
          </w:tcPr>
          <w:p w:rsidR="001C7567" w:rsidRPr="00D1007A" w:rsidP="009F2BD9" w14:paraId="006AED89" w14:textId="7C77FF8B">
            <w:pPr>
              <w:rPr>
                <w:b/>
                <w:bCs/>
                <w:vertAlign w:val="superscript"/>
              </w:rPr>
            </w:pPr>
            <w:r>
              <w:rPr>
                <w:b/>
                <w:bCs/>
              </w:rPr>
              <w:t>Hard to Reach Group</w:t>
            </w:r>
            <w:r w:rsidRPr="00D1007A">
              <w:rPr>
                <w:b/>
                <w:bCs/>
              </w:rPr>
              <w:t xml:space="preserve"> (n)</w:t>
            </w:r>
            <w:r w:rsidRPr="00D1007A">
              <w:rPr>
                <w:b/>
                <w:bCs/>
                <w:vertAlign w:val="superscript"/>
              </w:rPr>
              <w:t>1</w:t>
            </w:r>
          </w:p>
        </w:tc>
        <w:tc>
          <w:tcPr>
            <w:tcW w:w="1462" w:type="dxa"/>
            <w:tcBorders>
              <w:top w:val="single" w:sz="4" w:space="0" w:color="auto"/>
              <w:bottom w:val="nil"/>
            </w:tcBorders>
            <w:vAlign w:val="center"/>
          </w:tcPr>
          <w:p w:rsidR="001C7567" w:rsidP="009F2BD9" w14:paraId="21274796" w14:textId="0A60291F">
            <w:pPr>
              <w:jc w:val="center"/>
            </w:pPr>
            <w:r>
              <w:t>400</w:t>
            </w:r>
          </w:p>
        </w:tc>
        <w:tc>
          <w:tcPr>
            <w:tcW w:w="1463" w:type="dxa"/>
            <w:tcBorders>
              <w:top w:val="single" w:sz="4" w:space="0" w:color="auto"/>
              <w:bottom w:val="nil"/>
            </w:tcBorders>
            <w:vAlign w:val="center"/>
          </w:tcPr>
          <w:p w:rsidR="001C7567" w:rsidP="009F2BD9" w14:paraId="7AF1FC6A" w14:textId="6F59013E">
            <w:pPr>
              <w:jc w:val="center"/>
            </w:pPr>
            <w:r>
              <w:t>450</w:t>
            </w:r>
          </w:p>
        </w:tc>
        <w:tc>
          <w:tcPr>
            <w:tcW w:w="1462" w:type="dxa"/>
            <w:tcBorders>
              <w:top w:val="single" w:sz="4" w:space="0" w:color="auto"/>
              <w:bottom w:val="nil"/>
              <w:right w:val="dotted" w:sz="4" w:space="0" w:color="auto"/>
            </w:tcBorders>
            <w:vAlign w:val="center"/>
          </w:tcPr>
          <w:p w:rsidR="001C7567" w:rsidRPr="00821614" w:rsidP="009F2BD9" w14:paraId="306D5952" w14:textId="37D7DC74">
            <w:pPr>
              <w:jc w:val="center"/>
            </w:pPr>
            <w:r>
              <w:t>450</w:t>
            </w:r>
          </w:p>
        </w:tc>
        <w:tc>
          <w:tcPr>
            <w:tcW w:w="1463" w:type="dxa"/>
            <w:tcBorders>
              <w:top w:val="single" w:sz="4" w:space="0" w:color="auto"/>
              <w:left w:val="dotted" w:sz="4" w:space="0" w:color="auto"/>
              <w:bottom w:val="nil"/>
            </w:tcBorders>
            <w:shd w:val="clear" w:color="auto" w:fill="auto"/>
            <w:vAlign w:val="center"/>
          </w:tcPr>
          <w:p w:rsidR="001C7567" w:rsidRPr="00821614" w:rsidP="009F2BD9" w14:paraId="6E0862BF" w14:textId="4BA328FC">
            <w:pPr>
              <w:jc w:val="center"/>
            </w:pPr>
            <w:r>
              <w:t>675</w:t>
            </w:r>
          </w:p>
        </w:tc>
      </w:tr>
      <w:tr w14:paraId="0A4709E2" w14:textId="77777777" w:rsidTr="001C7567">
        <w:tblPrEx>
          <w:tblW w:w="9360" w:type="dxa"/>
          <w:tblLook w:val="04A0"/>
        </w:tblPrEx>
        <w:trPr>
          <w:trHeight w:val="343"/>
        </w:trPr>
        <w:tc>
          <w:tcPr>
            <w:tcW w:w="3510" w:type="dxa"/>
            <w:vAlign w:val="center"/>
          </w:tcPr>
          <w:p w:rsidR="001C7567" w:rsidRPr="00D1007A" w:rsidP="009F2BD9" w14:paraId="5858585C" w14:textId="77777777">
            <w:pPr>
              <w:rPr>
                <w:b/>
                <w:bCs/>
              </w:rPr>
            </w:pPr>
            <w:r>
              <w:rPr>
                <w:b/>
                <w:bCs/>
              </w:rPr>
              <w:t>Labor Force Status</w:t>
            </w:r>
          </w:p>
        </w:tc>
        <w:tc>
          <w:tcPr>
            <w:tcW w:w="1462" w:type="dxa"/>
            <w:vAlign w:val="center"/>
          </w:tcPr>
          <w:p w:rsidR="001C7567" w:rsidP="009F2BD9" w14:paraId="5042A347" w14:textId="77777777">
            <w:pPr>
              <w:jc w:val="center"/>
            </w:pPr>
          </w:p>
        </w:tc>
        <w:tc>
          <w:tcPr>
            <w:tcW w:w="1463" w:type="dxa"/>
            <w:vAlign w:val="center"/>
          </w:tcPr>
          <w:p w:rsidR="001C7567" w:rsidP="009F2BD9" w14:paraId="277EBD2D" w14:textId="77777777">
            <w:pPr>
              <w:jc w:val="center"/>
            </w:pPr>
          </w:p>
        </w:tc>
        <w:tc>
          <w:tcPr>
            <w:tcW w:w="1462" w:type="dxa"/>
            <w:tcBorders>
              <w:right w:val="dotted" w:sz="4" w:space="0" w:color="auto"/>
            </w:tcBorders>
            <w:vAlign w:val="center"/>
          </w:tcPr>
          <w:p w:rsidR="001C7567" w:rsidP="009F2BD9" w14:paraId="442C2DC8" w14:textId="77777777">
            <w:pPr>
              <w:jc w:val="center"/>
            </w:pPr>
          </w:p>
        </w:tc>
        <w:tc>
          <w:tcPr>
            <w:tcW w:w="1463" w:type="dxa"/>
            <w:tcBorders>
              <w:top w:val="nil"/>
              <w:left w:val="dotted" w:sz="4" w:space="0" w:color="auto"/>
              <w:bottom w:val="nil"/>
            </w:tcBorders>
            <w:shd w:val="clear" w:color="auto" w:fill="auto"/>
            <w:vAlign w:val="center"/>
          </w:tcPr>
          <w:p w:rsidR="001C7567" w:rsidP="009F2BD9" w14:paraId="6DE5219A" w14:textId="77777777">
            <w:pPr>
              <w:jc w:val="center"/>
            </w:pPr>
          </w:p>
        </w:tc>
      </w:tr>
      <w:tr w14:paraId="09604BCA" w14:textId="77777777" w:rsidTr="001C7567">
        <w:tblPrEx>
          <w:tblW w:w="9360" w:type="dxa"/>
          <w:tblLook w:val="04A0"/>
        </w:tblPrEx>
        <w:trPr>
          <w:trHeight w:val="343"/>
        </w:trPr>
        <w:tc>
          <w:tcPr>
            <w:tcW w:w="3510" w:type="dxa"/>
            <w:vAlign w:val="center"/>
          </w:tcPr>
          <w:p w:rsidR="001C7567" w:rsidP="009F2BD9" w14:paraId="6252DD2B" w14:textId="77777777">
            <w:pPr>
              <w:ind w:left="162"/>
            </w:pPr>
            <w:r>
              <w:t>Employed</w:t>
            </w:r>
          </w:p>
        </w:tc>
        <w:tc>
          <w:tcPr>
            <w:tcW w:w="1462" w:type="dxa"/>
            <w:vAlign w:val="center"/>
          </w:tcPr>
          <w:p w:rsidR="001C7567" w:rsidP="009F2BD9" w14:paraId="1FFBB20F" w14:textId="2DCA46F8">
            <w:pPr>
              <w:jc w:val="center"/>
            </w:pPr>
            <w:r>
              <w:t>47.3</w:t>
            </w:r>
            <w:r w:rsidR="005623AC">
              <w:t>%</w:t>
            </w:r>
          </w:p>
        </w:tc>
        <w:tc>
          <w:tcPr>
            <w:tcW w:w="1463" w:type="dxa"/>
            <w:vAlign w:val="center"/>
          </w:tcPr>
          <w:p w:rsidR="001C7567" w:rsidP="009F2BD9" w14:paraId="15EAB175" w14:textId="44117096">
            <w:pPr>
              <w:jc w:val="center"/>
            </w:pPr>
            <w:r>
              <w:t>52.1</w:t>
            </w:r>
            <w:r w:rsidR="005623AC">
              <w:t>%</w:t>
            </w:r>
          </w:p>
        </w:tc>
        <w:tc>
          <w:tcPr>
            <w:tcW w:w="1462" w:type="dxa"/>
            <w:tcBorders>
              <w:right w:val="dotted" w:sz="4" w:space="0" w:color="auto"/>
            </w:tcBorders>
            <w:vAlign w:val="center"/>
          </w:tcPr>
          <w:p w:rsidR="001C7567" w:rsidP="009F2BD9" w14:paraId="67A69E55" w14:textId="6C18F1D2">
            <w:pPr>
              <w:jc w:val="center"/>
            </w:pPr>
            <w:r>
              <w:t>54.0</w:t>
            </w:r>
            <w:r w:rsidR="005623AC">
              <w:t>%</w:t>
            </w:r>
          </w:p>
        </w:tc>
        <w:tc>
          <w:tcPr>
            <w:tcW w:w="1463" w:type="dxa"/>
            <w:tcBorders>
              <w:top w:val="nil"/>
              <w:left w:val="dotted" w:sz="4" w:space="0" w:color="auto"/>
              <w:bottom w:val="nil"/>
            </w:tcBorders>
            <w:shd w:val="clear" w:color="auto" w:fill="auto"/>
            <w:vAlign w:val="center"/>
          </w:tcPr>
          <w:p w:rsidR="001C7567" w:rsidP="009F2BD9" w14:paraId="7E1511FE" w14:textId="1402027F">
            <w:pPr>
              <w:jc w:val="center"/>
            </w:pPr>
            <w:r>
              <w:t>54.1</w:t>
            </w:r>
            <w:r w:rsidR="005623AC">
              <w:t>%</w:t>
            </w:r>
          </w:p>
        </w:tc>
      </w:tr>
      <w:tr w14:paraId="55D60C79" w14:textId="77777777" w:rsidTr="001C7567">
        <w:tblPrEx>
          <w:tblW w:w="9360" w:type="dxa"/>
          <w:tblLook w:val="04A0"/>
        </w:tblPrEx>
        <w:trPr>
          <w:trHeight w:val="343"/>
        </w:trPr>
        <w:tc>
          <w:tcPr>
            <w:tcW w:w="3510" w:type="dxa"/>
            <w:vAlign w:val="center"/>
          </w:tcPr>
          <w:p w:rsidR="001C7567" w:rsidP="009F2BD9" w14:paraId="4E484A71" w14:textId="77777777">
            <w:pPr>
              <w:ind w:left="162"/>
            </w:pPr>
            <w:r>
              <w:t>Unemployed</w:t>
            </w:r>
          </w:p>
        </w:tc>
        <w:tc>
          <w:tcPr>
            <w:tcW w:w="1462" w:type="dxa"/>
            <w:vAlign w:val="center"/>
          </w:tcPr>
          <w:p w:rsidR="001C7567" w:rsidP="009F2BD9" w14:paraId="465CA485" w14:textId="70FCD643">
            <w:pPr>
              <w:jc w:val="center"/>
            </w:pPr>
            <w:r>
              <w:t>9.5</w:t>
            </w:r>
          </w:p>
        </w:tc>
        <w:tc>
          <w:tcPr>
            <w:tcW w:w="1463" w:type="dxa"/>
            <w:vAlign w:val="center"/>
          </w:tcPr>
          <w:p w:rsidR="001C7567" w:rsidP="009F2BD9" w14:paraId="6B20697E" w14:textId="25883BA2">
            <w:pPr>
              <w:jc w:val="center"/>
            </w:pPr>
            <w:r>
              <w:t>8.8</w:t>
            </w:r>
          </w:p>
        </w:tc>
        <w:tc>
          <w:tcPr>
            <w:tcW w:w="1462" w:type="dxa"/>
            <w:tcBorders>
              <w:right w:val="dotted" w:sz="4" w:space="0" w:color="auto"/>
            </w:tcBorders>
            <w:vAlign w:val="center"/>
          </w:tcPr>
          <w:p w:rsidR="001C7567" w:rsidP="009F2BD9" w14:paraId="557BE52F" w14:textId="078E6EA6">
            <w:pPr>
              <w:jc w:val="center"/>
            </w:pPr>
            <w:r>
              <w:t>9.6</w:t>
            </w:r>
          </w:p>
        </w:tc>
        <w:tc>
          <w:tcPr>
            <w:tcW w:w="1463" w:type="dxa"/>
            <w:tcBorders>
              <w:top w:val="nil"/>
              <w:left w:val="dotted" w:sz="4" w:space="0" w:color="auto"/>
              <w:bottom w:val="nil"/>
            </w:tcBorders>
            <w:shd w:val="clear" w:color="auto" w:fill="auto"/>
            <w:vAlign w:val="center"/>
          </w:tcPr>
          <w:p w:rsidR="001C7567" w:rsidP="009F2BD9" w14:paraId="0D1410D2" w14:textId="1E04B4D7">
            <w:pPr>
              <w:jc w:val="center"/>
            </w:pPr>
            <w:r>
              <w:t>8.4</w:t>
            </w:r>
          </w:p>
        </w:tc>
      </w:tr>
      <w:tr w14:paraId="0C75AAB9" w14:textId="77777777" w:rsidTr="001C7567">
        <w:tblPrEx>
          <w:tblW w:w="9360" w:type="dxa"/>
          <w:tblLook w:val="04A0"/>
        </w:tblPrEx>
        <w:trPr>
          <w:trHeight w:val="343"/>
        </w:trPr>
        <w:tc>
          <w:tcPr>
            <w:tcW w:w="3510" w:type="dxa"/>
            <w:vAlign w:val="center"/>
          </w:tcPr>
          <w:p w:rsidR="001C7567" w:rsidP="009F2BD9" w14:paraId="0FA9630A" w14:textId="77777777">
            <w:pPr>
              <w:ind w:left="162"/>
            </w:pPr>
            <w:r>
              <w:t>Not in labor force</w:t>
            </w:r>
          </w:p>
        </w:tc>
        <w:tc>
          <w:tcPr>
            <w:tcW w:w="1462" w:type="dxa"/>
            <w:vAlign w:val="center"/>
          </w:tcPr>
          <w:p w:rsidR="001C7567" w:rsidP="009F2BD9" w14:paraId="70492B61" w14:textId="40016BFF">
            <w:pPr>
              <w:jc w:val="center"/>
            </w:pPr>
            <w:r>
              <w:t>43.3</w:t>
            </w:r>
          </w:p>
        </w:tc>
        <w:tc>
          <w:tcPr>
            <w:tcW w:w="1463" w:type="dxa"/>
            <w:vAlign w:val="center"/>
          </w:tcPr>
          <w:p w:rsidR="001C7567" w:rsidP="009F2BD9" w14:paraId="421223A5" w14:textId="11D254B7">
            <w:pPr>
              <w:jc w:val="center"/>
            </w:pPr>
            <w:r>
              <w:t>39.1</w:t>
            </w:r>
          </w:p>
        </w:tc>
        <w:tc>
          <w:tcPr>
            <w:tcW w:w="1462" w:type="dxa"/>
            <w:tcBorders>
              <w:right w:val="dotted" w:sz="4" w:space="0" w:color="auto"/>
            </w:tcBorders>
            <w:vAlign w:val="center"/>
          </w:tcPr>
          <w:p w:rsidR="001C7567" w:rsidP="009F2BD9" w14:paraId="4CEE5113" w14:textId="4D0DC77E">
            <w:pPr>
              <w:jc w:val="center"/>
            </w:pPr>
            <w:r>
              <w:t>36.3</w:t>
            </w:r>
          </w:p>
        </w:tc>
        <w:tc>
          <w:tcPr>
            <w:tcW w:w="1463" w:type="dxa"/>
            <w:tcBorders>
              <w:top w:val="nil"/>
              <w:left w:val="dotted" w:sz="4" w:space="0" w:color="auto"/>
              <w:bottom w:val="nil"/>
            </w:tcBorders>
            <w:shd w:val="clear" w:color="auto" w:fill="auto"/>
            <w:vAlign w:val="center"/>
          </w:tcPr>
          <w:p w:rsidR="001C7567" w:rsidP="009F2BD9" w14:paraId="6DA92176" w14:textId="225002A8">
            <w:pPr>
              <w:jc w:val="center"/>
            </w:pPr>
            <w:r>
              <w:t>37.5</w:t>
            </w:r>
          </w:p>
        </w:tc>
      </w:tr>
      <w:tr w14:paraId="4BB0A02B" w14:textId="77777777" w:rsidTr="001C7567">
        <w:tblPrEx>
          <w:tblW w:w="9360" w:type="dxa"/>
          <w:tblLook w:val="04A0"/>
        </w:tblPrEx>
        <w:trPr>
          <w:trHeight w:val="343"/>
        </w:trPr>
        <w:tc>
          <w:tcPr>
            <w:tcW w:w="3510" w:type="dxa"/>
            <w:vAlign w:val="center"/>
          </w:tcPr>
          <w:p w:rsidR="001C7567" w:rsidRPr="00D1007A" w:rsidP="009F2BD9" w14:paraId="1923429E" w14:textId="77777777">
            <w:pPr>
              <w:ind w:left="-15"/>
              <w:rPr>
                <w:b/>
                <w:bCs/>
              </w:rPr>
            </w:pPr>
            <w:r>
              <w:rPr>
                <w:b/>
                <w:bCs/>
              </w:rPr>
              <w:t>School Enrollment</w:t>
            </w:r>
          </w:p>
        </w:tc>
        <w:tc>
          <w:tcPr>
            <w:tcW w:w="1462" w:type="dxa"/>
            <w:vAlign w:val="center"/>
          </w:tcPr>
          <w:p w:rsidR="001C7567" w:rsidP="009F2BD9" w14:paraId="78BF5ED8" w14:textId="77777777">
            <w:pPr>
              <w:jc w:val="center"/>
            </w:pPr>
          </w:p>
        </w:tc>
        <w:tc>
          <w:tcPr>
            <w:tcW w:w="1463" w:type="dxa"/>
            <w:vAlign w:val="center"/>
          </w:tcPr>
          <w:p w:rsidR="001C7567" w:rsidP="009F2BD9" w14:paraId="60A66E31" w14:textId="77777777">
            <w:pPr>
              <w:jc w:val="center"/>
            </w:pPr>
          </w:p>
        </w:tc>
        <w:tc>
          <w:tcPr>
            <w:tcW w:w="1462" w:type="dxa"/>
            <w:tcBorders>
              <w:right w:val="dotted" w:sz="4" w:space="0" w:color="auto"/>
            </w:tcBorders>
            <w:vAlign w:val="center"/>
          </w:tcPr>
          <w:p w:rsidR="001C7567" w:rsidP="009F2BD9" w14:paraId="6BDE3307" w14:textId="77777777">
            <w:pPr>
              <w:jc w:val="center"/>
            </w:pPr>
          </w:p>
        </w:tc>
        <w:tc>
          <w:tcPr>
            <w:tcW w:w="1463" w:type="dxa"/>
            <w:tcBorders>
              <w:top w:val="nil"/>
              <w:left w:val="dotted" w:sz="4" w:space="0" w:color="auto"/>
              <w:bottom w:val="nil"/>
            </w:tcBorders>
            <w:shd w:val="clear" w:color="auto" w:fill="auto"/>
            <w:vAlign w:val="center"/>
          </w:tcPr>
          <w:p w:rsidR="001C7567" w:rsidRPr="007B562D" w:rsidP="009F2BD9" w14:paraId="46587C98" w14:textId="24DFCABF">
            <w:pPr>
              <w:jc w:val="center"/>
            </w:pPr>
          </w:p>
        </w:tc>
      </w:tr>
      <w:tr w14:paraId="478CE404" w14:textId="77777777" w:rsidTr="001C7567">
        <w:tblPrEx>
          <w:tblW w:w="9360" w:type="dxa"/>
          <w:tblLook w:val="04A0"/>
        </w:tblPrEx>
        <w:trPr>
          <w:trHeight w:val="343"/>
        </w:trPr>
        <w:tc>
          <w:tcPr>
            <w:tcW w:w="3510" w:type="dxa"/>
            <w:vAlign w:val="center"/>
          </w:tcPr>
          <w:p w:rsidR="001C7567" w:rsidP="009F2BD9" w14:paraId="51FD805D" w14:textId="77777777">
            <w:pPr>
              <w:ind w:left="162"/>
            </w:pPr>
            <w:r>
              <w:t>Enrolled (in HS or College)</w:t>
            </w:r>
          </w:p>
        </w:tc>
        <w:tc>
          <w:tcPr>
            <w:tcW w:w="1462" w:type="dxa"/>
            <w:vAlign w:val="center"/>
          </w:tcPr>
          <w:p w:rsidR="001C7567" w:rsidP="009F2BD9" w14:paraId="05325B76" w14:textId="180DF5F9">
            <w:pPr>
              <w:jc w:val="center"/>
            </w:pPr>
            <w:r>
              <w:t>56.0</w:t>
            </w:r>
          </w:p>
        </w:tc>
        <w:tc>
          <w:tcPr>
            <w:tcW w:w="1463" w:type="dxa"/>
            <w:vAlign w:val="center"/>
          </w:tcPr>
          <w:p w:rsidR="001C7567" w:rsidP="009F2BD9" w14:paraId="77EB7204" w14:textId="55ED0D19">
            <w:pPr>
              <w:jc w:val="center"/>
            </w:pPr>
            <w:r>
              <w:t>54.6</w:t>
            </w:r>
          </w:p>
        </w:tc>
        <w:tc>
          <w:tcPr>
            <w:tcW w:w="1462" w:type="dxa"/>
            <w:tcBorders>
              <w:right w:val="dotted" w:sz="4" w:space="0" w:color="auto"/>
            </w:tcBorders>
            <w:vAlign w:val="center"/>
          </w:tcPr>
          <w:p w:rsidR="001C7567" w:rsidP="009F2BD9" w14:paraId="1E81ED7B" w14:textId="2D557DA2">
            <w:pPr>
              <w:jc w:val="center"/>
            </w:pPr>
            <w:r>
              <w:t>56.3</w:t>
            </w:r>
          </w:p>
        </w:tc>
        <w:tc>
          <w:tcPr>
            <w:tcW w:w="1463" w:type="dxa"/>
            <w:tcBorders>
              <w:top w:val="nil"/>
              <w:left w:val="dotted" w:sz="4" w:space="0" w:color="auto"/>
              <w:bottom w:val="single" w:sz="4" w:space="0" w:color="auto"/>
            </w:tcBorders>
            <w:shd w:val="clear" w:color="auto" w:fill="auto"/>
            <w:vAlign w:val="center"/>
          </w:tcPr>
          <w:p w:rsidR="001C7567" w:rsidP="009F2BD9" w14:paraId="79803C0E" w14:textId="011CDE43">
            <w:pPr>
              <w:jc w:val="center"/>
            </w:pPr>
            <w:r>
              <w:t>57.5</w:t>
            </w:r>
          </w:p>
        </w:tc>
      </w:tr>
    </w:tbl>
    <w:p w:rsidR="00983EC3" w:rsidP="00983EC3" w14:paraId="22E90988" w14:textId="77777777">
      <w:pPr>
        <w:spacing w:before="60" w:after="0"/>
        <w:ind w:left="360" w:hanging="360"/>
        <w:rPr>
          <w:sz w:val="18"/>
          <w:szCs w:val="18"/>
        </w:rPr>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p w:rsidR="00983EC3" w:rsidP="00983EC3" w14:paraId="611F7AEC" w14:textId="1429B0AF">
      <w:pPr>
        <w:ind w:left="360" w:hanging="360"/>
        <w:rPr>
          <w:sz w:val="18"/>
          <w:szCs w:val="18"/>
        </w:rPr>
      </w:pPr>
      <w:r>
        <w:rPr>
          <w:sz w:val="18"/>
          <w:szCs w:val="18"/>
        </w:rPr>
        <w:t>2.</w:t>
      </w:r>
      <w:r>
        <w:rPr>
          <w:sz w:val="18"/>
          <w:szCs w:val="18"/>
        </w:rPr>
        <w:tab/>
      </w:r>
      <w:r w:rsidRPr="00E639A5">
        <w:rPr>
          <w:sz w:val="18"/>
          <w:szCs w:val="18"/>
        </w:rPr>
        <w:t xml:space="preserve">Source: ATUS </w:t>
      </w:r>
      <w:r>
        <w:rPr>
          <w:sz w:val="18"/>
          <w:szCs w:val="18"/>
        </w:rPr>
        <w:t>Respondent, Case, and Roster files for</w:t>
      </w:r>
      <w:r w:rsidRPr="00E639A5">
        <w:rPr>
          <w:sz w:val="18"/>
          <w:szCs w:val="18"/>
        </w:rPr>
        <w:t xml:space="preserve"> 2019 (</w:t>
      </w:r>
      <w:r>
        <w:rPr>
          <w:sz w:val="18"/>
          <w:szCs w:val="18"/>
        </w:rPr>
        <w:t xml:space="preserve">public use files </w:t>
      </w:r>
      <w:r w:rsidRPr="00E639A5">
        <w:rPr>
          <w:sz w:val="18"/>
          <w:szCs w:val="18"/>
        </w:rPr>
        <w:t xml:space="preserve">accessed from: </w:t>
      </w:r>
      <w:hyperlink r:id="rId9" w:history="1">
        <w:r w:rsidRPr="00425D26" w:rsidR="007B562D">
          <w:rPr>
            <w:rStyle w:val="Hyperlink"/>
            <w:sz w:val="18"/>
            <w:szCs w:val="18"/>
          </w:rPr>
          <w:t>https://www.bls.gov/tus/datafiles-2019.htm</w:t>
        </w:r>
      </w:hyperlink>
      <w:r w:rsidRPr="00E639A5">
        <w:rPr>
          <w:sz w:val="18"/>
          <w:szCs w:val="18"/>
        </w:rPr>
        <w:t>)</w:t>
      </w:r>
    </w:p>
    <w:p w:rsidR="0087281E" w:rsidRPr="0087281E" w:rsidP="00655002" w14:paraId="0FB3A0C4" w14:textId="77777777"/>
    <w:p w:rsidR="00655002" w:rsidRPr="001B6596" w:rsidP="00655002" w14:paraId="77F76293" w14:textId="6B46A1A1">
      <w:pPr>
        <w:rPr>
          <w:i/>
          <w:iCs/>
        </w:rPr>
      </w:pPr>
      <w:r w:rsidRPr="001B6596">
        <w:rPr>
          <w:i/>
          <w:iCs/>
        </w:rPr>
        <w:t xml:space="preserve">Summary Findings: </w:t>
      </w:r>
      <w:r>
        <w:rPr>
          <w:i/>
          <w:iCs/>
        </w:rPr>
        <w:t>Key Estimates</w:t>
      </w:r>
      <w:r w:rsidRPr="001B6596">
        <w:rPr>
          <w:i/>
          <w:iCs/>
        </w:rPr>
        <w:t>.</w:t>
      </w:r>
    </w:p>
    <w:p w:rsidR="001E395A" w:rsidP="00655002" w14:paraId="78C6AFD0" w14:textId="4641151E">
      <w:pPr>
        <w:ind w:left="720" w:right="720"/>
        <w:rPr>
          <w:b/>
          <w:bCs/>
          <w:i/>
          <w:iCs/>
        </w:rPr>
      </w:pPr>
      <w:r>
        <w:rPr>
          <w:b/>
          <w:bCs/>
          <w:i/>
          <w:iCs/>
        </w:rPr>
        <w:t>Both the regular incentive and hard to reach cases show changes in labor force status when comparing the $10 incentive condition to no incentive. Changes were modest and in opposite directions for each group. The regular incentive cases saw a decrease in the proportion employed, while hard to reach cases saw an increase. For school enrollment, the regular incentive group saw a dramatic increase in the proportion enrolled, while hard to reach cases saw no change.</w:t>
      </w:r>
    </w:p>
    <w:p w:rsidR="001E395A" w:rsidP="00655002" w14:paraId="49D3EEF3" w14:textId="23F8BF11">
      <w:pPr>
        <w:ind w:left="720" w:right="720"/>
        <w:rPr>
          <w:b/>
          <w:bCs/>
          <w:i/>
          <w:iCs/>
        </w:rPr>
      </w:pPr>
      <w:r>
        <w:rPr>
          <w:b/>
          <w:bCs/>
          <w:i/>
          <w:iCs/>
        </w:rPr>
        <w:t>Overall, the prepaid $10 incentive appear</w:t>
      </w:r>
      <w:r w:rsidR="00F47E7F">
        <w:rPr>
          <w:b/>
          <w:bCs/>
          <w:i/>
          <w:iCs/>
        </w:rPr>
        <w:t>s</w:t>
      </w:r>
      <w:r>
        <w:rPr>
          <w:b/>
          <w:bCs/>
          <w:i/>
          <w:iCs/>
        </w:rPr>
        <w:t xml:space="preserve"> to bring in </w:t>
      </w:r>
      <w:r w:rsidR="003E1103">
        <w:rPr>
          <w:b/>
          <w:bCs/>
          <w:i/>
          <w:iCs/>
        </w:rPr>
        <w:t>respondents that differ for some key measures.</w:t>
      </w:r>
    </w:p>
    <w:p w:rsidR="00F73134" w:rsidRPr="00CF6B11" w:rsidP="008177F8" w14:paraId="78D1B994" w14:textId="77777777">
      <w:pPr>
        <w:ind w:right="720"/>
      </w:pPr>
    </w:p>
    <w:p w:rsidR="008177F8" w:rsidRPr="006C496B" w:rsidP="008177F8" w14:paraId="4227445C" w14:textId="7BC5EB27">
      <w:pPr>
        <w:ind w:left="180"/>
        <w:rPr>
          <w:b/>
          <w:bCs/>
        </w:rPr>
      </w:pPr>
      <w:r>
        <w:rPr>
          <w:b/>
          <w:bCs/>
        </w:rPr>
        <w:t>Salience and Level of Effort</w:t>
      </w:r>
    </w:p>
    <w:p w:rsidR="00060C6A" w:rsidP="008177F8" w14:paraId="006C3FAA" w14:textId="4BE2DE4C">
      <w:pPr>
        <w:ind w:right="720"/>
      </w:pPr>
      <w:r>
        <w:t>Another approach to assessing the effectiveness of incentives is to assess respondent recall of mail materials and any effects on level of effort, or in the case of ATUS, number of contacts required to obtain a completed interview. For these analyses, paradata is reviewed to assess whether recall of the letter increase</w:t>
      </w:r>
      <w:r w:rsidR="00152C78">
        <w:t>d</w:t>
      </w:r>
      <w:r>
        <w:t xml:space="preserve"> under incentive conditions, or if</w:t>
      </w:r>
      <w:r w:rsidR="00774B20">
        <w:t xml:space="preserve"> the</w:t>
      </w:r>
      <w:r>
        <w:t xml:space="preserve"> number of contacts to a completed interview were lower for incentive conditions.</w:t>
      </w:r>
      <w:r w:rsidR="00152C78">
        <w:t xml:space="preserve"> These analyses include only hard to reach cases, since regular incentives cases would require the respondent to call in</w:t>
      </w:r>
      <w:r>
        <w:rPr>
          <w:rStyle w:val="FootnoteReference"/>
        </w:rPr>
        <w:footnoteReference w:id="3"/>
      </w:r>
      <w:r w:rsidR="00152C78">
        <w:t>.</w:t>
      </w:r>
    </w:p>
    <w:p w:rsidR="001B6596" w:rsidP="008177F8" w14:paraId="05525406" w14:textId="40E71728">
      <w:pPr>
        <w:ind w:right="720"/>
      </w:pPr>
      <w:r>
        <w:t xml:space="preserve">Whether the </w:t>
      </w:r>
      <w:r w:rsidR="00152C78">
        <w:t>advance materials were</w:t>
      </w:r>
      <w:r>
        <w:t xml:space="preserve"> recalled by participating respondents </w:t>
      </w:r>
      <w:r w:rsidR="00152C78">
        <w:t xml:space="preserve">demonstrates if </w:t>
      </w:r>
      <w:r w:rsidR="00774B20">
        <w:t xml:space="preserve">an </w:t>
      </w:r>
      <w:r w:rsidR="00152C78">
        <w:t xml:space="preserve">incentive was effective at increasing the salience of these. </w:t>
      </w:r>
      <w:r w:rsidR="00F73134">
        <w:t xml:space="preserve">Incentives </w:t>
      </w:r>
      <w:r w:rsidR="00152C78">
        <w:t>can be expected to</w:t>
      </w:r>
      <w:r w:rsidR="00F73134">
        <w:t xml:space="preserve"> cause recipients to give more attention to the mail materials</w:t>
      </w:r>
      <w:r>
        <w:t xml:space="preserve"> and therefore give more consideration to the survey request. Additionally, the novelty of receiving cash may cause better recall of the materials when an interviewer makes contact.</w:t>
      </w:r>
      <w:r w:rsidR="00152C78">
        <w:t xml:space="preserve"> Similar effects are expected to reduce the number of contact</w:t>
      </w:r>
      <w:r w:rsidR="00774B20">
        <w:t>s</w:t>
      </w:r>
      <w:r w:rsidR="00152C78">
        <w:t xml:space="preserve"> required to complete an interview, since the respondent should have a better understanding of the purpose of the call and potentially expecting the contact.</w:t>
      </w:r>
    </w:p>
    <w:p w:rsidR="00151C24" w:rsidP="008177F8" w14:paraId="7C70322B" w14:textId="77777777">
      <w:pPr>
        <w:ind w:right="720"/>
      </w:pPr>
    </w:p>
    <w:p w:rsidR="00152C78" w:rsidP="00FD43A5" w14:paraId="2A4916FD" w14:textId="50699FEF">
      <w:pPr>
        <w:ind w:left="810" w:hanging="810"/>
      </w:pPr>
      <w:bookmarkStart w:id="0" w:name="_Hlk119498341"/>
      <w:r>
        <w:t xml:space="preserve">Table </w:t>
      </w:r>
      <w:r w:rsidR="00983EC3">
        <w:t>8</w:t>
      </w:r>
      <w:r>
        <w:t xml:space="preserve">: </w:t>
      </w:r>
      <w:r w:rsidR="00FD43A5">
        <w:t>Distribution for salience (recall of letter) and level of effort measures by incentive condition for hard to reach group</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37"/>
        <w:gridCol w:w="2337"/>
        <w:gridCol w:w="2338"/>
        <w:gridCol w:w="2338"/>
      </w:tblGrid>
      <w:tr w14:paraId="563815B0" w14:textId="77777777" w:rsidTr="003454AA">
        <w:tblPrEx>
          <w:tblW w:w="0" w:type="auto"/>
          <w:tblBorders>
            <w:left w:val="none" w:sz="0" w:space="0" w:color="auto"/>
            <w:right w:val="none" w:sz="0" w:space="0" w:color="auto"/>
            <w:insideH w:val="none" w:sz="0" w:space="0" w:color="auto"/>
            <w:insideV w:val="none" w:sz="0" w:space="0" w:color="auto"/>
          </w:tblBorders>
          <w:tblLook w:val="04A0"/>
        </w:tblPrEx>
        <w:trPr>
          <w:trHeight w:val="335"/>
        </w:trPr>
        <w:tc>
          <w:tcPr>
            <w:tcW w:w="2337" w:type="dxa"/>
            <w:tcBorders>
              <w:bottom w:val="single" w:sz="4" w:space="0" w:color="auto"/>
            </w:tcBorders>
          </w:tcPr>
          <w:p w:rsidR="00152C78" w:rsidP="003454AA" w14:paraId="5103BEC0" w14:textId="77777777"/>
        </w:tc>
        <w:tc>
          <w:tcPr>
            <w:tcW w:w="2337" w:type="dxa"/>
            <w:tcBorders>
              <w:bottom w:val="single" w:sz="4" w:space="0" w:color="auto"/>
            </w:tcBorders>
            <w:vAlign w:val="bottom"/>
          </w:tcPr>
          <w:p w:rsidR="00152C78" w:rsidP="003454AA" w14:paraId="17B9B999" w14:textId="77777777">
            <w:pPr>
              <w:jc w:val="center"/>
            </w:pPr>
            <w:r>
              <w:t>$0</w:t>
            </w:r>
          </w:p>
        </w:tc>
        <w:tc>
          <w:tcPr>
            <w:tcW w:w="2338" w:type="dxa"/>
            <w:tcBorders>
              <w:bottom w:val="single" w:sz="4" w:space="0" w:color="auto"/>
            </w:tcBorders>
            <w:vAlign w:val="bottom"/>
          </w:tcPr>
          <w:p w:rsidR="00152C78" w:rsidP="003454AA" w14:paraId="4B11E0FF" w14:textId="77777777">
            <w:pPr>
              <w:jc w:val="center"/>
            </w:pPr>
            <w:r>
              <w:t>$5</w:t>
            </w:r>
          </w:p>
        </w:tc>
        <w:tc>
          <w:tcPr>
            <w:tcW w:w="2338" w:type="dxa"/>
            <w:tcBorders>
              <w:bottom w:val="single" w:sz="4" w:space="0" w:color="auto"/>
            </w:tcBorders>
            <w:vAlign w:val="bottom"/>
          </w:tcPr>
          <w:p w:rsidR="00152C78" w:rsidP="003454AA" w14:paraId="07F17C3E" w14:textId="77777777">
            <w:pPr>
              <w:jc w:val="center"/>
            </w:pPr>
            <w:r>
              <w:t>$10</w:t>
            </w:r>
          </w:p>
        </w:tc>
      </w:tr>
      <w:tr w14:paraId="3E6A81AA" w14:textId="77777777" w:rsidTr="003454AA">
        <w:tblPrEx>
          <w:tblW w:w="0" w:type="auto"/>
          <w:tblLook w:val="04A0"/>
        </w:tblPrEx>
        <w:trPr>
          <w:trHeight w:val="335"/>
        </w:trPr>
        <w:tc>
          <w:tcPr>
            <w:tcW w:w="2337" w:type="dxa"/>
            <w:tcBorders>
              <w:top w:val="nil"/>
            </w:tcBorders>
            <w:vAlign w:val="center"/>
          </w:tcPr>
          <w:p w:rsidR="00152C78" w:rsidRPr="00151C24" w:rsidP="003454AA" w14:paraId="52111A57" w14:textId="63CFE7DE">
            <w:pPr>
              <w:rPr>
                <w:b/>
                <w:bCs/>
                <w:vertAlign w:val="superscript"/>
              </w:rPr>
            </w:pPr>
            <w:r w:rsidRPr="00D1007A">
              <w:rPr>
                <w:b/>
                <w:bCs/>
              </w:rPr>
              <w:t>Hard to reach</w:t>
            </w:r>
            <w:r w:rsidR="00151C24">
              <w:rPr>
                <w:b/>
                <w:bCs/>
              </w:rPr>
              <w:t xml:space="preserve"> (n)</w:t>
            </w:r>
            <w:r w:rsidR="00151C24">
              <w:rPr>
                <w:b/>
                <w:bCs/>
                <w:vertAlign w:val="superscript"/>
              </w:rPr>
              <w:t>1</w:t>
            </w:r>
          </w:p>
        </w:tc>
        <w:tc>
          <w:tcPr>
            <w:tcW w:w="2337" w:type="dxa"/>
            <w:tcBorders>
              <w:top w:val="nil"/>
            </w:tcBorders>
            <w:vAlign w:val="center"/>
          </w:tcPr>
          <w:p w:rsidR="00152C78" w:rsidP="003454AA" w14:paraId="752C5F68" w14:textId="337362E9">
            <w:pPr>
              <w:jc w:val="center"/>
            </w:pPr>
            <w:r>
              <w:t>400</w:t>
            </w:r>
          </w:p>
        </w:tc>
        <w:tc>
          <w:tcPr>
            <w:tcW w:w="2338" w:type="dxa"/>
            <w:tcBorders>
              <w:top w:val="nil"/>
            </w:tcBorders>
            <w:vAlign w:val="center"/>
          </w:tcPr>
          <w:p w:rsidR="00152C78" w:rsidP="003454AA" w14:paraId="425516E3" w14:textId="6AF16A19">
            <w:pPr>
              <w:jc w:val="center"/>
            </w:pPr>
            <w:r>
              <w:t>450</w:t>
            </w:r>
          </w:p>
        </w:tc>
        <w:tc>
          <w:tcPr>
            <w:tcW w:w="2338" w:type="dxa"/>
            <w:tcBorders>
              <w:top w:val="nil"/>
            </w:tcBorders>
            <w:vAlign w:val="center"/>
          </w:tcPr>
          <w:p w:rsidR="00152C78" w:rsidRPr="00152C78" w:rsidP="003454AA" w14:paraId="555BD0EA" w14:textId="280B7FF1">
            <w:pPr>
              <w:jc w:val="center"/>
            </w:pPr>
            <w:r>
              <w:t>450</w:t>
            </w:r>
          </w:p>
        </w:tc>
      </w:tr>
      <w:tr w14:paraId="2CFED463" w14:textId="77777777" w:rsidTr="003454AA">
        <w:tblPrEx>
          <w:tblW w:w="0" w:type="auto"/>
          <w:tblLook w:val="04A0"/>
        </w:tblPrEx>
        <w:trPr>
          <w:trHeight w:val="335"/>
        </w:trPr>
        <w:tc>
          <w:tcPr>
            <w:tcW w:w="2337" w:type="dxa"/>
            <w:vAlign w:val="center"/>
          </w:tcPr>
          <w:p w:rsidR="00152C78" w:rsidP="003454AA" w14:paraId="16FD3CBD" w14:textId="58CA8213">
            <w:pPr>
              <w:ind w:left="162"/>
            </w:pPr>
            <w:r>
              <w:t>Recalled letter</w:t>
            </w:r>
          </w:p>
        </w:tc>
        <w:tc>
          <w:tcPr>
            <w:tcW w:w="2337" w:type="dxa"/>
            <w:vAlign w:val="center"/>
          </w:tcPr>
          <w:p w:rsidR="00152C78" w:rsidP="003454AA" w14:paraId="0C0FDA4E" w14:textId="4206ADB2">
            <w:pPr>
              <w:jc w:val="center"/>
            </w:pPr>
            <w:r>
              <w:t>82.0</w:t>
            </w:r>
            <w:r w:rsidR="00B75767">
              <w:t>%</w:t>
            </w:r>
          </w:p>
        </w:tc>
        <w:tc>
          <w:tcPr>
            <w:tcW w:w="2338" w:type="dxa"/>
            <w:vAlign w:val="center"/>
          </w:tcPr>
          <w:p w:rsidR="00152C78" w:rsidRPr="009256EC" w:rsidP="003454AA" w14:paraId="5736AC4A" w14:textId="15426A85">
            <w:pPr>
              <w:jc w:val="center"/>
            </w:pPr>
            <w:r>
              <w:t>83.5</w:t>
            </w:r>
            <w:r w:rsidR="00B75767">
              <w:t>%</w:t>
            </w:r>
          </w:p>
        </w:tc>
        <w:tc>
          <w:tcPr>
            <w:tcW w:w="2338" w:type="dxa"/>
            <w:vAlign w:val="center"/>
          </w:tcPr>
          <w:p w:rsidR="00152C78" w:rsidRPr="00152C78" w:rsidP="003454AA" w14:paraId="677C776F" w14:textId="2FFD3687">
            <w:pPr>
              <w:jc w:val="center"/>
            </w:pPr>
            <w:r>
              <w:t>84.6</w:t>
            </w:r>
            <w:r w:rsidR="00B75767">
              <w:t>%</w:t>
            </w:r>
          </w:p>
        </w:tc>
      </w:tr>
      <w:tr w14:paraId="08044C67" w14:textId="77777777" w:rsidTr="003454AA">
        <w:tblPrEx>
          <w:tblW w:w="0" w:type="auto"/>
          <w:tblLook w:val="04A0"/>
        </w:tblPrEx>
        <w:trPr>
          <w:trHeight w:val="335"/>
        </w:trPr>
        <w:tc>
          <w:tcPr>
            <w:tcW w:w="2337" w:type="dxa"/>
            <w:vAlign w:val="center"/>
          </w:tcPr>
          <w:p w:rsidR="00152C78" w:rsidP="003454AA" w14:paraId="4726A57E" w14:textId="457423A7">
            <w:pPr>
              <w:ind w:left="162"/>
            </w:pPr>
            <w:r>
              <w:t>Contacts/Complete</w:t>
            </w:r>
          </w:p>
        </w:tc>
        <w:tc>
          <w:tcPr>
            <w:tcW w:w="2337" w:type="dxa"/>
            <w:vAlign w:val="center"/>
          </w:tcPr>
          <w:p w:rsidR="00152C78" w:rsidP="003454AA" w14:paraId="30A7B036" w14:textId="39176A05">
            <w:pPr>
              <w:jc w:val="center"/>
            </w:pPr>
            <w:r>
              <w:t>64.8</w:t>
            </w:r>
          </w:p>
        </w:tc>
        <w:tc>
          <w:tcPr>
            <w:tcW w:w="2338" w:type="dxa"/>
            <w:vAlign w:val="center"/>
          </w:tcPr>
          <w:p w:rsidR="00152C78" w:rsidP="003454AA" w14:paraId="2C1FCE80" w14:textId="20D5CF5E">
            <w:pPr>
              <w:jc w:val="center"/>
            </w:pPr>
            <w:r>
              <w:t>58.9</w:t>
            </w:r>
          </w:p>
        </w:tc>
        <w:tc>
          <w:tcPr>
            <w:tcW w:w="2338" w:type="dxa"/>
            <w:vAlign w:val="center"/>
          </w:tcPr>
          <w:p w:rsidR="00152C78" w:rsidP="003454AA" w14:paraId="5B41D7E5" w14:textId="6120F0DF">
            <w:pPr>
              <w:jc w:val="center"/>
            </w:pPr>
            <w:r>
              <w:t>57.4</w:t>
            </w:r>
          </w:p>
        </w:tc>
      </w:tr>
    </w:tbl>
    <w:p w:rsidR="00152C78" w:rsidP="00152C78" w14:paraId="27F3C796" w14:textId="77777777">
      <w:pPr>
        <w:spacing w:before="60"/>
        <w:ind w:left="360" w:hanging="360"/>
      </w:pPr>
      <w:r w:rsidRPr="005141B1">
        <w:rPr>
          <w:sz w:val="18"/>
          <w:szCs w:val="18"/>
        </w:rPr>
        <w:t>1.</w:t>
      </w:r>
      <w:r w:rsidRPr="005141B1">
        <w:rPr>
          <w:sz w:val="18"/>
          <w:szCs w:val="18"/>
        </w:rPr>
        <w:tab/>
        <w:t>The U.S. Census Bureau reviewed this data product for unauthorized disclosure of confidential information and approved the disclosure avoidance practices applied to this release. CBDRB-FY22-POP001-0160.</w:t>
      </w:r>
    </w:p>
    <w:bookmarkEnd w:id="0"/>
    <w:p w:rsidR="00151C24" w:rsidP="008177F8" w14:paraId="2A54675D" w14:textId="77777777">
      <w:pPr>
        <w:ind w:right="720"/>
      </w:pPr>
    </w:p>
    <w:p w:rsidR="00151C24" w:rsidP="00151C24" w14:paraId="030E3108" w14:textId="561FCDA7">
      <w:pPr>
        <w:ind w:right="720"/>
      </w:pPr>
      <w:r>
        <w:t xml:space="preserve">Table 8 shows the distributions for these measures for each incentive condition. Recall of the advance materials was generally high across all groups, exceeding 80 percent. For each incentive </w:t>
      </w:r>
      <w:r>
        <w:t xml:space="preserve">condition, increases are observed with the $10 condition showing the highest recall at 84.6 percent. For the average number of contacts to complete an interview, they were notably high across all conditions, peaking at nearly 65 contacts per completed interview. This demonstrates the difficulty of the telephone mode in reaching respondents and gaining cooperation. For each incentive condition the average decreases, indicating less effort to gain cooperation, with the lowest average for the $10 incentive condition with 57.4 </w:t>
      </w:r>
      <w:r w:rsidR="00A83A7E">
        <w:t>contacts per completed interview</w:t>
      </w:r>
      <w:r>
        <w:t>.</w:t>
      </w:r>
    </w:p>
    <w:p w:rsidR="00152C78" w:rsidP="008177F8" w14:paraId="6041D61F" w14:textId="075786AE">
      <w:pPr>
        <w:ind w:right="720"/>
      </w:pPr>
      <w:r>
        <w:t xml:space="preserve">While the average number of contacts per complete remains high across all conditions, the reduction of 7.4 contacts per complete for the $10 condition over the no incentive condition is substantial. The prepaid $10 incentive not only yields more completed interviews, but a monetary savings in interviewer time. For example, if each contact attempt cost $1, a reduction of 7.4 contact attempts ($7.40) nearly covers the cost of the </w:t>
      </w:r>
      <w:r w:rsidR="00B75767">
        <w:t xml:space="preserve">$10 </w:t>
      </w:r>
      <w:r>
        <w:t>incentive.</w:t>
      </w:r>
    </w:p>
    <w:p w:rsidR="00F47E7F" w:rsidRPr="001B6596" w:rsidP="00F47E7F" w14:paraId="580D9074" w14:textId="04A175BF">
      <w:pPr>
        <w:rPr>
          <w:i/>
          <w:iCs/>
        </w:rPr>
      </w:pPr>
      <w:r w:rsidRPr="001B6596">
        <w:rPr>
          <w:i/>
          <w:iCs/>
        </w:rPr>
        <w:t xml:space="preserve">Summary Findings: </w:t>
      </w:r>
      <w:r>
        <w:rPr>
          <w:i/>
          <w:iCs/>
        </w:rPr>
        <w:t>Salience and Level of Effort</w:t>
      </w:r>
      <w:r w:rsidRPr="001B6596">
        <w:rPr>
          <w:i/>
          <w:iCs/>
        </w:rPr>
        <w:t>.</w:t>
      </w:r>
    </w:p>
    <w:p w:rsidR="00152C78" w:rsidRPr="00CF6B11" w:rsidP="00F47E7F" w14:paraId="7CFA52D8" w14:textId="53E5788F">
      <w:pPr>
        <w:ind w:left="720" w:right="720"/>
      </w:pPr>
      <w:r>
        <w:rPr>
          <w:b/>
          <w:bCs/>
          <w:i/>
          <w:iCs/>
        </w:rPr>
        <w:t>For hard to reach cases (where a telephone number is available), the prepaid $10 incentive demonstrated a modest increase in salience as assessed by recall of the mailed materials. There was a substantial reduction in the level of effort, saving on average more than seven contacts per complete.</w:t>
      </w:r>
    </w:p>
    <w:p w:rsidR="006E2C8D" w:rsidP="00B35DA6" w14:paraId="39DA2CE8" w14:textId="28B423F9"/>
    <w:p w:rsidR="00F47E7F" w:rsidP="00F47E7F" w14:paraId="7AD78030" w14:textId="6926BD00">
      <w:pPr>
        <w:rPr>
          <w:b/>
          <w:bCs/>
          <w:sz w:val="24"/>
          <w:szCs w:val="24"/>
        </w:rPr>
      </w:pPr>
      <w:r>
        <w:rPr>
          <w:b/>
          <w:bCs/>
          <w:sz w:val="24"/>
          <w:szCs w:val="24"/>
        </w:rPr>
        <w:t>Conclusions and Recommendations</w:t>
      </w:r>
    </w:p>
    <w:p w:rsidR="00977A1C" w:rsidP="00F47E7F" w14:paraId="55D21A5A" w14:textId="6D321CBB">
      <w:r>
        <w:t xml:space="preserve">Due to the high cost of managing </w:t>
      </w:r>
      <w:r w:rsidR="003547BA">
        <w:t>debit</w:t>
      </w:r>
      <w:r>
        <w:t xml:space="preserve"> cards and the </w:t>
      </w:r>
      <w:r w:rsidR="00B80ED6">
        <w:t xml:space="preserve">financial </w:t>
      </w:r>
      <w:r>
        <w:t>loss associated with funds that cross fiscal years, the ATUS program conducted an experiment to test the effectiveness of cash prepaid incentives. This focused on regular incentive cases, those without a telephone number, yet because of the potential costs savings associated with prepaid incentives, the experiment was expanded to cover cases showing the greatest decline in response over time, called hard to reach</w:t>
      </w:r>
      <w:r w:rsidR="001F4822">
        <w:t xml:space="preserve"> cases</w:t>
      </w:r>
      <w:r>
        <w:t xml:space="preserve"> (DPs age 15 to 24).</w:t>
      </w:r>
    </w:p>
    <w:p w:rsidR="00977A1C" w:rsidP="00F47E7F" w14:paraId="5BF2099A" w14:textId="31BDB120">
      <w:r>
        <w:t xml:space="preserve">Considering response to the ATUS, only the $10 condition yielded significant increases in response, while increases for the $5 condition were nominal and in a positive direction. The increase in response was much larger for regular incentive cases at 6 percentage points compared to hard to reach cases at 3.6 percentage points. The differential effect is due to regular incentive cases </w:t>
      </w:r>
      <w:r w:rsidR="00300829">
        <w:t>having lower initial response, and therefore more room to grow; and that increases for the hard to reach group were largely driven by younger DPs (age 15 to 19).</w:t>
      </w:r>
    </w:p>
    <w:p w:rsidR="00977A1C" w:rsidP="00F47E7F" w14:paraId="4162A428" w14:textId="0B62FF87">
      <w:r>
        <w:t xml:space="preserve">The $10 incentive condition also showed differences in respondent compositions, suggesting the incentive is bringing in different types of respondents. This observed effect differed between the regular incentive and hard to reach groups. The regular incentive group saw increases in younger DPs, those that are Black or African American, and those with lower socioeconomic status. For the hard to reach group, there were fewer changes in respondent compositions, with small increases in those with some college or income between $25 </w:t>
      </w:r>
      <w:r w:rsidR="00710A09">
        <w:t xml:space="preserve">thousand </w:t>
      </w:r>
      <w:r>
        <w:t>and $50 thousand</w:t>
      </w:r>
      <w:r w:rsidR="00B80ED6">
        <w:t>.</w:t>
      </w:r>
    </w:p>
    <w:p w:rsidR="00B80ED6" w:rsidP="00F47E7F" w14:paraId="3001AB6D" w14:textId="7530F4C9">
      <w:r>
        <w:t>For the key measures of employment status and school enrollment, differences were again observed for the $10 incentive condition. For regular incentive cases, there were increases in those not in the labor force and those currently enrolled in high school or college. This is like</w:t>
      </w:r>
      <w:r w:rsidR="00710A09">
        <w:t>ly</w:t>
      </w:r>
      <w:r>
        <w:t xml:space="preserve"> a result of increases in response in the extremes for age. There was greater response from those 15 to 24 compared to no incentive, </w:t>
      </w:r>
      <w:r>
        <w:t xml:space="preserve">while an overrepresentation of those 65 and older compared to the sample. </w:t>
      </w:r>
      <w:r w:rsidR="00710A09">
        <w:t>These are g</w:t>
      </w:r>
      <w:r>
        <w:t xml:space="preserve">roups that </w:t>
      </w:r>
      <w:r w:rsidR="00710A09">
        <w:t>have a greater</w:t>
      </w:r>
      <w:r>
        <w:t xml:space="preserve"> likel</w:t>
      </w:r>
      <w:r w:rsidR="00710A09">
        <w:t>ihood</w:t>
      </w:r>
      <w:r>
        <w:t xml:space="preserve"> to not be in the labor force. For the hard to reach group, differences in employment status were in the opposite direction with an increase of those who are employed. This likely reflects an inherent difference since this group is comprised of DPs age 15 to 24 and the observation that the increase in response was largest for those with some college</w:t>
      </w:r>
      <w:r w:rsidR="00710A09">
        <w:t xml:space="preserve"> education.</w:t>
      </w:r>
    </w:p>
    <w:p w:rsidR="00F47E7F" w:rsidP="00F47E7F" w14:paraId="21D4C6B3" w14:textId="273EBB58">
      <w:r>
        <w:t>Measures to assess any increases in salience or decreases in level of effort were restricted to hard to reach cases. Regular incentive cases were required to call in and thus similar measure</w:t>
      </w:r>
      <w:r w:rsidR="00D637FD">
        <w:t>s</w:t>
      </w:r>
      <w:r>
        <w:t xml:space="preserve"> would not be meaningful. The differences observed for these measures show that a prepaid incentive resulted in small increases in recall of the letter which was already high, exceeding 80% of participating respondents. The decreases in level of effort were greater as measured by the average number of contact</w:t>
      </w:r>
      <w:r w:rsidR="00D637FD">
        <w:t>s</w:t>
      </w:r>
      <w:r>
        <w:t xml:space="preserve"> per completed case. This suggests that the cost of the incentive could nearly be covered by the reduction in effort of trying to reach and gain cooperation from respondents.</w:t>
      </w:r>
    </w:p>
    <w:p w:rsidR="00EC7962" w:rsidP="00F47E7F" w14:paraId="21E982CA" w14:textId="0A847F81">
      <w:r>
        <w:t xml:space="preserve">Overall, the findings from the ATUS prepaid incentive experiment </w:t>
      </w:r>
      <w:r w:rsidR="00EE0385">
        <w:t>support</w:t>
      </w:r>
      <w:r>
        <w:t xml:space="preserve"> offering a $10 prepaid incentive </w:t>
      </w:r>
      <w:r w:rsidR="00EE0385">
        <w:t>that was</w:t>
      </w:r>
      <w:r>
        <w:t xml:space="preserve"> most effective at increasing response, bringing in respondents with different compositions, and reducing the level of effort required to reach these respondents.</w:t>
      </w:r>
      <w:r w:rsidR="00EE0385">
        <w:t xml:space="preserve"> However, this neglects another objective of the incentive experiment, which was to compare the prepaid incentive to the historical use of </w:t>
      </w:r>
      <w:r w:rsidR="003547BA">
        <w:t>debit</w:t>
      </w:r>
      <w:r w:rsidR="00EE0385">
        <w:t xml:space="preserve"> cards provided in advance with the promise of $40 for regular incentive cases. While direct comparisons are not possible, comparisons were made to previous years. Even under conditions presuming large decreases in response, especially in the context of the COVID-19 pandemic, we conclude that the $10 prepaid incentive would still fall about 6 to 7 percentage points below the level of response expected with promised </w:t>
      </w:r>
      <w:r w:rsidR="003547BA">
        <w:t>debit</w:t>
      </w:r>
      <w:r w:rsidR="00EE0385">
        <w:t xml:space="preserve"> cards.</w:t>
      </w:r>
    </w:p>
    <w:p w:rsidR="000A42BB" w:rsidP="00F47E7F" w14:paraId="6E22ED33" w14:textId="56F499D7">
      <w:r>
        <w:t xml:space="preserve">The greater effect of the promised </w:t>
      </w:r>
      <w:r w:rsidR="003547BA">
        <w:t>debit</w:t>
      </w:r>
      <w:r>
        <w:t xml:space="preserve"> card compared to a prepaid incentive</w:t>
      </w:r>
      <w:r w:rsidR="00EE0385">
        <w:t xml:space="preserve"> is unexpected and counter to the survey literature (see for example Mercer et al</w:t>
      </w:r>
      <w:r w:rsidRPr="00CB4ED3" w:rsidR="00EE0385">
        <w:t>. 201</w:t>
      </w:r>
      <w:r w:rsidRPr="00CB4ED3" w:rsidR="00CB4ED3">
        <w:t>5</w:t>
      </w:r>
      <w:r w:rsidRPr="00CB4ED3" w:rsidR="00EE0385">
        <w:t xml:space="preserve"> and Singer and Ye 2013</w:t>
      </w:r>
      <w:r w:rsidR="00EE0385">
        <w:t>)</w:t>
      </w:r>
      <w:r>
        <w:t xml:space="preserve">. </w:t>
      </w:r>
      <w:r w:rsidR="005924BF">
        <w:t xml:space="preserve">There are several hypotheses for this observation. The first, is the large disparity in incentive amounts. The prepaid amount was $10, while the promised amount was $40. Lower prepaid incentive amounts are generally as or more effective than promised amounts of equal or greater value, however the disparity in these amounts may have been too much. Another hypothesis, is that the </w:t>
      </w:r>
      <w:r w:rsidR="003547BA">
        <w:t>debit</w:t>
      </w:r>
      <w:r w:rsidR="005924BF">
        <w:t xml:space="preserve"> card may have provided other mechanisms to induce potential respondents to open the advance materials. The </w:t>
      </w:r>
      <w:r w:rsidR="003547BA">
        <w:t>debit</w:t>
      </w:r>
      <w:r w:rsidR="005924BF">
        <w:t xml:space="preserve"> card is physically heavier and noticeable without opening the envelope. This may have elicited enough curiosity to get recipients to open the advance mailer and thus be exposed to the survey appeal.</w:t>
      </w:r>
    </w:p>
    <w:p w:rsidR="005924BF" w:rsidP="00F47E7F" w14:paraId="6E9982EE" w14:textId="4F6DE007">
      <w:r>
        <w:t>While the $10 prepaid incentive is not projected to be as effective</w:t>
      </w:r>
      <w:r w:rsidR="00721593">
        <w:t xml:space="preserve"> (in terms of survey response)</w:t>
      </w:r>
      <w:r>
        <w:t xml:space="preserve"> as the use of a $40 </w:t>
      </w:r>
      <w:r w:rsidR="003547BA">
        <w:t>debit</w:t>
      </w:r>
      <w:r>
        <w:t xml:space="preserve"> card, it did show positive benefits and addresses issues associated with the management and cost structure of </w:t>
      </w:r>
      <w:r w:rsidR="003547BA">
        <w:t>debit</w:t>
      </w:r>
      <w:r>
        <w:t xml:space="preserve"> cards. Any decision regarding the use of prepaid versus promised incentives should weigh the cost benefits of moving from </w:t>
      </w:r>
      <w:r w:rsidR="003547BA">
        <w:t>debit</w:t>
      </w:r>
      <w:r>
        <w:t xml:space="preserve"> cards with the likely decrease in response. It should be noted these decreases would be much greater without any incentive at all.</w:t>
      </w:r>
    </w:p>
    <w:p w:rsidR="00DE502E" w:rsidP="00F47E7F" w14:paraId="7BD63C6B" w14:textId="77777777"/>
    <w:p w:rsidR="007C54F9" w:rsidRPr="007C54F9" w:rsidP="007C54F9" w14:paraId="6A29EAD1" w14:textId="60064BC7">
      <w:pPr>
        <w:ind w:left="180"/>
        <w:rPr>
          <w:b/>
          <w:bCs/>
        </w:rPr>
      </w:pPr>
      <w:r w:rsidRPr="007C54F9">
        <w:rPr>
          <w:b/>
          <w:bCs/>
        </w:rPr>
        <w:t>Future Research</w:t>
      </w:r>
    </w:p>
    <w:p w:rsidR="006E2C8D" w:rsidP="00B35DA6" w14:paraId="15A42F64" w14:textId="42D8F44D">
      <w:r>
        <w:t xml:space="preserve">The prepaid incentive experiment clearly demonstrated that $10 was effective at motivating participation, and that $10 is near the minimum amount required. </w:t>
      </w:r>
      <w:r w:rsidR="00B34C0F">
        <w:t xml:space="preserve">The fact that the observed effectiveness was not equal to a promised incentive of greater value and that, for regular incentive </w:t>
      </w:r>
      <w:r w:rsidR="00B34C0F">
        <w:t>cases, response only reached 21 percent, suggest</w:t>
      </w:r>
      <w:r w:rsidR="00532D01">
        <w:t>s</w:t>
      </w:r>
      <w:r w:rsidR="00B34C0F">
        <w:t xml:space="preserve"> room for improvement.</w:t>
      </w:r>
      <w:r w:rsidR="00B93A03">
        <w:t xml:space="preserve"> Below we offer suggestion</w:t>
      </w:r>
      <w:r w:rsidR="00532D01">
        <w:t>s</w:t>
      </w:r>
      <w:r w:rsidR="00B93A03">
        <w:t xml:space="preserve"> for additional research aimed at increasing response or the saliency of the incentive.</w:t>
      </w:r>
    </w:p>
    <w:p w:rsidR="00B93A03" w:rsidP="00B93A03" w14:paraId="23157424" w14:textId="01DCFE18">
      <w:pPr>
        <w:pStyle w:val="ListParagraph"/>
        <w:numPr>
          <w:ilvl w:val="0"/>
          <w:numId w:val="3"/>
        </w:numPr>
      </w:pPr>
      <w:r>
        <w:t xml:space="preserve">Test a larger incentive amount, such as $20. The $10 condition was the minimally effective amount, compared to $5 that resulted in only nominal increases. A larger amount may be required to match the much larger amount promised by the </w:t>
      </w:r>
      <w:r w:rsidR="003547BA">
        <w:t>debit</w:t>
      </w:r>
      <w:r>
        <w:t xml:space="preserve"> card.</w:t>
      </w:r>
    </w:p>
    <w:p w:rsidR="00B93A03" w:rsidP="00B93A03" w14:paraId="058E25CA" w14:textId="182116CD">
      <w:pPr>
        <w:pStyle w:val="ListParagraph"/>
        <w:numPr>
          <w:ilvl w:val="0"/>
          <w:numId w:val="3"/>
        </w:numPr>
      </w:pPr>
      <w:r>
        <w:t>Test making the incentive visible. Previous research has shown that making the incentive visible through a window in the mailing increases the saliency and effectiveness of the incentive</w:t>
      </w:r>
      <w:r w:rsidR="0057097E">
        <w:t xml:space="preserve"> (DeBell 2020)</w:t>
      </w:r>
      <w:r>
        <w:rPr>
          <w:rStyle w:val="FootnoteReference"/>
        </w:rPr>
        <w:footnoteReference w:id="4"/>
      </w:r>
      <w:r>
        <w:t>.</w:t>
      </w:r>
      <w:r w:rsidR="0057097E">
        <w:t xml:space="preserve"> The ATUS program should consider a similar process, or other methods to inform the mail recipient an incentive is included in the mail material (e.g., messaging on the envelope).</w:t>
      </w:r>
    </w:p>
    <w:p w:rsidR="0057097E" w:rsidP="00B93A03" w14:paraId="26AD36D3" w14:textId="74B81486">
      <w:pPr>
        <w:pStyle w:val="ListParagraph"/>
        <w:numPr>
          <w:ilvl w:val="0"/>
          <w:numId w:val="3"/>
        </w:numPr>
      </w:pPr>
      <w:r>
        <w:t xml:space="preserve">Test the use of a dummy </w:t>
      </w:r>
      <w:r w:rsidR="003547BA">
        <w:t>debit</w:t>
      </w:r>
      <w:r>
        <w:t xml:space="preserve"> card. </w:t>
      </w:r>
      <w:r w:rsidR="00755FA4">
        <w:t xml:space="preserve">If, as hypothesized, the physical heft of a </w:t>
      </w:r>
      <w:r w:rsidR="003547BA">
        <w:t>debit</w:t>
      </w:r>
      <w:r w:rsidR="00755FA4">
        <w:t xml:space="preserve"> card in an envelope increases saliency, a dummy </w:t>
      </w:r>
      <w:r w:rsidR="003547BA">
        <w:t>debit</w:t>
      </w:r>
      <w:r w:rsidR="00755FA4">
        <w:t xml:space="preserve"> card can be included. Text within the letter would reference the cash </w:t>
      </w:r>
      <w:r w:rsidR="008A267A">
        <w:t xml:space="preserve">in lieu </w:t>
      </w:r>
      <w:r w:rsidR="00755FA4">
        <w:t xml:space="preserve">to provide an immediate </w:t>
      </w:r>
      <w:r w:rsidR="003547BA">
        <w:t>debit</w:t>
      </w:r>
      <w:r w:rsidR="00755FA4">
        <w:t xml:space="preserve"> or token of appreciat</w:t>
      </w:r>
      <w:r w:rsidR="008A267A">
        <w:t>ion</w:t>
      </w:r>
      <w:r w:rsidR="00755FA4">
        <w:t xml:space="preserve"> for their participation.</w:t>
      </w:r>
    </w:p>
    <w:p w:rsidR="00755FA4" w:rsidP="00B93A03" w14:paraId="46D17480" w14:textId="1049B963">
      <w:pPr>
        <w:pStyle w:val="ListParagraph"/>
        <w:numPr>
          <w:ilvl w:val="0"/>
          <w:numId w:val="3"/>
        </w:numPr>
      </w:pPr>
      <w:r>
        <w:t>Test a combine</w:t>
      </w:r>
      <w:r w:rsidR="00532D01">
        <w:t>d</w:t>
      </w:r>
      <w:r>
        <w:t xml:space="preserve"> prepaid and promised incentive. This continues the use of a </w:t>
      </w:r>
      <w:r w:rsidR="000D6068">
        <w:t>debit</w:t>
      </w:r>
      <w:r>
        <w:t xml:space="preserve"> card, but with a lower value (e.g., $10), combined with a prepaid $5 or $10 incentive. This leverages a larger amount, but the full amount is only provided to ATUS participants</w:t>
      </w:r>
      <w:r w:rsidR="008A267A">
        <w:t xml:space="preserve"> (and still less than $40)</w:t>
      </w:r>
      <w:r>
        <w:t xml:space="preserve">, and the potential salience from the heft of a </w:t>
      </w:r>
      <w:r w:rsidR="003547BA">
        <w:t>debit</w:t>
      </w:r>
      <w:r>
        <w:t xml:space="preserve"> card to open the mail materials. A $5 </w:t>
      </w:r>
      <w:r w:rsidR="008A267A">
        <w:t xml:space="preserve">prepaid </w:t>
      </w:r>
      <w:r>
        <w:t xml:space="preserve">amount is revisited as when combined with a promised incentive, may provide significant results. The continued use of a </w:t>
      </w:r>
      <w:r w:rsidR="000D6068">
        <w:t>debit</w:t>
      </w:r>
      <w:r>
        <w:t xml:space="preserve"> card does reintroduce the management and processing burden of </w:t>
      </w:r>
      <w:r w:rsidR="003547BA">
        <w:t>debit</w:t>
      </w:r>
      <w:r>
        <w:t xml:space="preserve"> cards. However, </w:t>
      </w:r>
      <w:r w:rsidR="00532D01">
        <w:t xml:space="preserve">the amount that needs to be covered is one-quarter the current </w:t>
      </w:r>
      <w:r w:rsidR="003547BA">
        <w:t>debit</w:t>
      </w:r>
      <w:r w:rsidR="00532D01">
        <w:t xml:space="preserve"> card amount, greatly reducing cross fiscal year funding loss.</w:t>
      </w:r>
    </w:p>
    <w:p w:rsidR="00532D01" w:rsidP="00532D01" w14:paraId="282E4FBD" w14:textId="0EE90518">
      <w:r>
        <w:t xml:space="preserve">Of these proposals, the second </w:t>
      </w:r>
      <w:r w:rsidR="008A267A">
        <w:t xml:space="preserve">proposal </w:t>
      </w:r>
      <w:r w:rsidR="00CB4ED3">
        <w:t>would introduce a known positive benefit to response (by making the incentive visible), and require minimal changes to mailing procedures, or cost.</w:t>
      </w:r>
    </w:p>
    <w:p w:rsidR="00CB4ED3" w14:paraId="1C75213E" w14:textId="548911DA">
      <w:r>
        <w:br w:type="page"/>
      </w:r>
    </w:p>
    <w:p w:rsidR="00CB4ED3" w:rsidRPr="00CB4ED3" w:rsidP="00532D01" w14:paraId="297EB93B" w14:textId="0F8D8690">
      <w:pPr>
        <w:rPr>
          <w:b/>
          <w:bCs/>
          <w:sz w:val="24"/>
          <w:szCs w:val="24"/>
        </w:rPr>
      </w:pPr>
      <w:r w:rsidRPr="00CB4ED3">
        <w:rPr>
          <w:b/>
          <w:bCs/>
          <w:sz w:val="24"/>
          <w:szCs w:val="24"/>
        </w:rPr>
        <w:t>References</w:t>
      </w:r>
    </w:p>
    <w:p w:rsidR="00CB4ED3" w:rsidP="00CB4ED3" w14:paraId="4FDDB071" w14:textId="566AA86E">
      <w:pPr>
        <w:ind w:left="720" w:hanging="720"/>
      </w:pPr>
      <w:r>
        <w:t xml:space="preserve">DeBell, M., Maisel, N., Edwards, B., Amsbary, M., and Meldener V. (2020). Improving Survey Response Rates with Visible Money. </w:t>
      </w:r>
      <w:r w:rsidRPr="00CB4ED3">
        <w:rPr>
          <w:i/>
          <w:iCs/>
        </w:rPr>
        <w:t>Journal of Survey Statistics and Methodology</w:t>
      </w:r>
      <w:r>
        <w:t>. 8(5), pp. 821-831.</w:t>
      </w:r>
    </w:p>
    <w:p w:rsidR="00CB4ED3" w:rsidP="00CB4ED3" w14:paraId="75145517" w14:textId="54CC636B">
      <w:pPr>
        <w:ind w:left="720" w:hanging="720"/>
      </w:pPr>
      <w:r>
        <w:t xml:space="preserve">Mercer, A., Caporaso, A., Cantor, D., and Townsend, R. (2015). How Much Gets You How Much? Monetary Incentives and Response Rates in household Surveys. </w:t>
      </w:r>
      <w:r w:rsidRPr="00CB4ED3">
        <w:rPr>
          <w:i/>
          <w:iCs/>
        </w:rPr>
        <w:t>Public Opinion Quarterly</w:t>
      </w:r>
      <w:r>
        <w:t>. 71(1), pp. 105-129.</w:t>
      </w:r>
    </w:p>
    <w:p w:rsidR="00CB4ED3" w:rsidRPr="001C2C3C" w:rsidP="00CB4ED3" w14:paraId="400EE972" w14:textId="5ACF751B">
      <w:pPr>
        <w:ind w:left="720" w:hanging="720"/>
      </w:pPr>
      <w:r>
        <w:t xml:space="preserve">Singer, E., and Ye, C. (2013). The Use and Effects of Incentives in Surveys. </w:t>
      </w:r>
      <w:r w:rsidRPr="00CB4ED3">
        <w:rPr>
          <w:i/>
          <w:iCs/>
        </w:rPr>
        <w:t>The ANNALS of the American Academy of Political and Social Science</w:t>
      </w:r>
      <w:r>
        <w:t>. 645(1), pp. 112-141.</w:t>
      </w:r>
    </w:p>
    <w:sectPr w:rsidSect="00A5386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7615032"/>
      <w:docPartObj>
        <w:docPartGallery w:val="Page Numbers (Bottom of Page)"/>
        <w:docPartUnique/>
      </w:docPartObj>
    </w:sdtPr>
    <w:sdtEndPr>
      <w:rPr>
        <w:noProof/>
      </w:rPr>
    </w:sdtEndPr>
    <w:sdtContent>
      <w:p w:rsidR="00A84737" w14:paraId="0C41B7D4" w14:textId="526FE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4737" w14:paraId="293F38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6127360"/>
      <w:docPartObj>
        <w:docPartGallery w:val="Page Numbers (Bottom of Page)"/>
        <w:docPartUnique/>
      </w:docPartObj>
    </w:sdtPr>
    <w:sdtEndPr>
      <w:rPr>
        <w:noProof/>
      </w:rPr>
    </w:sdtEndPr>
    <w:sdtContent>
      <w:p w:rsidR="00A53868" w14:paraId="5924A5A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53868" w14:paraId="6DF31C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4737" w:rsidP="00A84737" w14:paraId="6C9C3472" w14:textId="77777777">
      <w:pPr>
        <w:spacing w:after="0" w:line="240" w:lineRule="auto"/>
      </w:pPr>
      <w:r>
        <w:separator/>
      </w:r>
    </w:p>
  </w:footnote>
  <w:footnote w:type="continuationSeparator" w:id="1">
    <w:p w:rsidR="00A84737" w:rsidP="00A84737" w14:paraId="0703DECC" w14:textId="77777777">
      <w:pPr>
        <w:spacing w:after="0" w:line="240" w:lineRule="auto"/>
      </w:pPr>
      <w:r>
        <w:continuationSeparator/>
      </w:r>
    </w:p>
  </w:footnote>
  <w:footnote w:id="2">
    <w:p w:rsidR="00DF043A" w14:paraId="2FF2D097" w14:textId="084CF31C">
      <w:pPr>
        <w:pStyle w:val="FootnoteText"/>
      </w:pPr>
      <w:r>
        <w:rPr>
          <w:rStyle w:val="FootnoteReference"/>
        </w:rPr>
        <w:footnoteRef/>
      </w:r>
      <w:r>
        <w:t xml:space="preserve"> The sample sizes reported reflect rounding in accordance with Census disclosure avoidance practices. </w:t>
      </w:r>
      <w:r w:rsidRPr="00DF043A">
        <w:t>The U.S. Census Bureau reviewed this data product for unauthorized disclosure of confidential information and approved the disclosure avoidance practices applied to this release. CBDRB-FY22-POP001-0160.</w:t>
      </w:r>
    </w:p>
  </w:footnote>
  <w:footnote w:id="3">
    <w:p w:rsidR="00774B20" w14:paraId="5976E1CC" w14:textId="0516ADFA">
      <w:pPr>
        <w:pStyle w:val="FootnoteText"/>
      </w:pPr>
      <w:r>
        <w:rPr>
          <w:rStyle w:val="FootnoteReference"/>
        </w:rPr>
        <w:footnoteRef/>
      </w:r>
      <w:r>
        <w:t xml:space="preserve"> For mail material recall, only respondents are included since this data cannot be collected from nonrespondents. Contacts per complete is the sum of all contacts across</w:t>
      </w:r>
      <w:r w:rsidR="00983EC3">
        <w:t xml:space="preserve"> cases that are known</w:t>
      </w:r>
      <w:r>
        <w:t xml:space="preserve"> </w:t>
      </w:r>
      <w:r w:rsidR="00983EC3">
        <w:t xml:space="preserve">to be </w:t>
      </w:r>
      <w:r>
        <w:t xml:space="preserve">eligible and </w:t>
      </w:r>
      <w:r w:rsidR="00983EC3">
        <w:t xml:space="preserve">with </w:t>
      </w:r>
      <w:r>
        <w:t>unknown eligibility divided by the sum number of completed interviews.</w:t>
      </w:r>
    </w:p>
  </w:footnote>
  <w:footnote w:id="4">
    <w:p w:rsidR="00532D01" w14:paraId="48746E5E" w14:textId="16F492ED">
      <w:pPr>
        <w:pStyle w:val="FootnoteText"/>
      </w:pPr>
      <w:r>
        <w:rPr>
          <w:rStyle w:val="FootnoteReference"/>
        </w:rPr>
        <w:footnoteRef/>
      </w:r>
      <w:r>
        <w:t xml:space="preserve"> The Consumer Expenditure Survey (CE) program is currently considering a test making prepaid incentives visible in advance mailings. A similar process by the ATUS program may introduce consistency between survey programs at Census.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A471B"/>
    <w:multiLevelType w:val="hybridMultilevel"/>
    <w:tmpl w:val="B6E4BB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626962"/>
    <w:multiLevelType w:val="hybridMultilevel"/>
    <w:tmpl w:val="6164BC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152536F"/>
    <w:multiLevelType w:val="hybridMultilevel"/>
    <w:tmpl w:val="935A69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1430045">
    <w:abstractNumId w:val="0"/>
  </w:num>
  <w:num w:numId="2" w16cid:durableId="1629168801">
    <w:abstractNumId w:val="1"/>
  </w:num>
  <w:num w:numId="3" w16cid:durableId="1719012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3C"/>
    <w:rsid w:val="0000404F"/>
    <w:rsid w:val="00011611"/>
    <w:rsid w:val="0003125D"/>
    <w:rsid w:val="00031EB1"/>
    <w:rsid w:val="00035AA6"/>
    <w:rsid w:val="00041685"/>
    <w:rsid w:val="00060C6A"/>
    <w:rsid w:val="000834AF"/>
    <w:rsid w:val="00095AAB"/>
    <w:rsid w:val="000A2482"/>
    <w:rsid w:val="000A42BB"/>
    <w:rsid w:val="000D3727"/>
    <w:rsid w:val="000D6068"/>
    <w:rsid w:val="000F0759"/>
    <w:rsid w:val="0011149D"/>
    <w:rsid w:val="001170B6"/>
    <w:rsid w:val="00124132"/>
    <w:rsid w:val="00142B0E"/>
    <w:rsid w:val="00151C24"/>
    <w:rsid w:val="00152C78"/>
    <w:rsid w:val="001B6596"/>
    <w:rsid w:val="001C2C3C"/>
    <w:rsid w:val="001C7567"/>
    <w:rsid w:val="001C763D"/>
    <w:rsid w:val="001D2F5E"/>
    <w:rsid w:val="001E36A9"/>
    <w:rsid w:val="001E395A"/>
    <w:rsid w:val="001E50CD"/>
    <w:rsid w:val="001E7E35"/>
    <w:rsid w:val="001F4822"/>
    <w:rsid w:val="001F79D8"/>
    <w:rsid w:val="002008DF"/>
    <w:rsid w:val="00200D15"/>
    <w:rsid w:val="00206D00"/>
    <w:rsid w:val="00213950"/>
    <w:rsid w:val="00216EDA"/>
    <w:rsid w:val="002245FB"/>
    <w:rsid w:val="00235E40"/>
    <w:rsid w:val="00277C74"/>
    <w:rsid w:val="002B071A"/>
    <w:rsid w:val="002B21E1"/>
    <w:rsid w:val="002B3F09"/>
    <w:rsid w:val="00300829"/>
    <w:rsid w:val="00305BC5"/>
    <w:rsid w:val="00340BE5"/>
    <w:rsid w:val="003436E3"/>
    <w:rsid w:val="003454AA"/>
    <w:rsid w:val="003547BA"/>
    <w:rsid w:val="00372988"/>
    <w:rsid w:val="00374B6C"/>
    <w:rsid w:val="003805CE"/>
    <w:rsid w:val="00380D3C"/>
    <w:rsid w:val="00385362"/>
    <w:rsid w:val="00386435"/>
    <w:rsid w:val="00387088"/>
    <w:rsid w:val="003971C6"/>
    <w:rsid w:val="003A05A6"/>
    <w:rsid w:val="003D3A6B"/>
    <w:rsid w:val="003D6FE1"/>
    <w:rsid w:val="003E1103"/>
    <w:rsid w:val="003E4F0D"/>
    <w:rsid w:val="003E67C3"/>
    <w:rsid w:val="00415962"/>
    <w:rsid w:val="0042446C"/>
    <w:rsid w:val="00425D26"/>
    <w:rsid w:val="004611E5"/>
    <w:rsid w:val="00462EE0"/>
    <w:rsid w:val="00496BC1"/>
    <w:rsid w:val="004B0C6B"/>
    <w:rsid w:val="004B26B6"/>
    <w:rsid w:val="004B5978"/>
    <w:rsid w:val="004C26CF"/>
    <w:rsid w:val="004D2452"/>
    <w:rsid w:val="004E02FE"/>
    <w:rsid w:val="004E12BF"/>
    <w:rsid w:val="004E1C5B"/>
    <w:rsid w:val="004E7D09"/>
    <w:rsid w:val="005141B1"/>
    <w:rsid w:val="00523856"/>
    <w:rsid w:val="00532D01"/>
    <w:rsid w:val="005623AC"/>
    <w:rsid w:val="00566B6E"/>
    <w:rsid w:val="005679D3"/>
    <w:rsid w:val="0057097E"/>
    <w:rsid w:val="005854E5"/>
    <w:rsid w:val="005924BF"/>
    <w:rsid w:val="005B28B5"/>
    <w:rsid w:val="005C6B48"/>
    <w:rsid w:val="005E0D0A"/>
    <w:rsid w:val="005F1BBA"/>
    <w:rsid w:val="00623268"/>
    <w:rsid w:val="00632EC3"/>
    <w:rsid w:val="00655002"/>
    <w:rsid w:val="00655A8F"/>
    <w:rsid w:val="00677A40"/>
    <w:rsid w:val="00682671"/>
    <w:rsid w:val="006945A3"/>
    <w:rsid w:val="006A7CE6"/>
    <w:rsid w:val="006C496B"/>
    <w:rsid w:val="006E2C8D"/>
    <w:rsid w:val="00700D1E"/>
    <w:rsid w:val="00710994"/>
    <w:rsid w:val="00710A09"/>
    <w:rsid w:val="00710D5F"/>
    <w:rsid w:val="00721593"/>
    <w:rsid w:val="00722D77"/>
    <w:rsid w:val="007368D8"/>
    <w:rsid w:val="00755FA4"/>
    <w:rsid w:val="00771C6D"/>
    <w:rsid w:val="00774B20"/>
    <w:rsid w:val="00785079"/>
    <w:rsid w:val="007902CE"/>
    <w:rsid w:val="007B000F"/>
    <w:rsid w:val="007B562D"/>
    <w:rsid w:val="007B63E9"/>
    <w:rsid w:val="007C54F9"/>
    <w:rsid w:val="007C6B58"/>
    <w:rsid w:val="007D292B"/>
    <w:rsid w:val="007D4C9B"/>
    <w:rsid w:val="007D6BC2"/>
    <w:rsid w:val="007D7945"/>
    <w:rsid w:val="007E42D8"/>
    <w:rsid w:val="007F4347"/>
    <w:rsid w:val="00810EA8"/>
    <w:rsid w:val="00811B69"/>
    <w:rsid w:val="00813878"/>
    <w:rsid w:val="008177F8"/>
    <w:rsid w:val="008207B3"/>
    <w:rsid w:val="00821614"/>
    <w:rsid w:val="0083403C"/>
    <w:rsid w:val="0084007E"/>
    <w:rsid w:val="0087281E"/>
    <w:rsid w:val="00876DE5"/>
    <w:rsid w:val="00883EE0"/>
    <w:rsid w:val="0088538A"/>
    <w:rsid w:val="00891155"/>
    <w:rsid w:val="008A267A"/>
    <w:rsid w:val="008C1B96"/>
    <w:rsid w:val="008D26E5"/>
    <w:rsid w:val="008E7C6F"/>
    <w:rsid w:val="00902725"/>
    <w:rsid w:val="00910E96"/>
    <w:rsid w:val="0091351B"/>
    <w:rsid w:val="009256EC"/>
    <w:rsid w:val="00932665"/>
    <w:rsid w:val="00965962"/>
    <w:rsid w:val="00970B03"/>
    <w:rsid w:val="00975ECD"/>
    <w:rsid w:val="00977575"/>
    <w:rsid w:val="00977A1C"/>
    <w:rsid w:val="00982A2F"/>
    <w:rsid w:val="00983EC3"/>
    <w:rsid w:val="00985BF4"/>
    <w:rsid w:val="00990E98"/>
    <w:rsid w:val="009A61D3"/>
    <w:rsid w:val="009B25C1"/>
    <w:rsid w:val="009C5F82"/>
    <w:rsid w:val="009C70A7"/>
    <w:rsid w:val="009F2BD9"/>
    <w:rsid w:val="009F7098"/>
    <w:rsid w:val="00A07F2A"/>
    <w:rsid w:val="00A11F6E"/>
    <w:rsid w:val="00A26316"/>
    <w:rsid w:val="00A53868"/>
    <w:rsid w:val="00A754A8"/>
    <w:rsid w:val="00A77BCC"/>
    <w:rsid w:val="00A83A7E"/>
    <w:rsid w:val="00A84737"/>
    <w:rsid w:val="00AC48CB"/>
    <w:rsid w:val="00AC756A"/>
    <w:rsid w:val="00AF4077"/>
    <w:rsid w:val="00B26A00"/>
    <w:rsid w:val="00B26C1A"/>
    <w:rsid w:val="00B34C0F"/>
    <w:rsid w:val="00B35DA6"/>
    <w:rsid w:val="00B533B7"/>
    <w:rsid w:val="00B545CA"/>
    <w:rsid w:val="00B75767"/>
    <w:rsid w:val="00B80ED6"/>
    <w:rsid w:val="00B917C0"/>
    <w:rsid w:val="00B93A03"/>
    <w:rsid w:val="00C03987"/>
    <w:rsid w:val="00C118F3"/>
    <w:rsid w:val="00C33F18"/>
    <w:rsid w:val="00C45452"/>
    <w:rsid w:val="00C626BA"/>
    <w:rsid w:val="00C65B84"/>
    <w:rsid w:val="00C66C59"/>
    <w:rsid w:val="00C709D0"/>
    <w:rsid w:val="00CB1A34"/>
    <w:rsid w:val="00CB4ED3"/>
    <w:rsid w:val="00CC5995"/>
    <w:rsid w:val="00CE33E0"/>
    <w:rsid w:val="00CE3C8B"/>
    <w:rsid w:val="00CF1A92"/>
    <w:rsid w:val="00CF6B11"/>
    <w:rsid w:val="00D1007A"/>
    <w:rsid w:val="00D31D66"/>
    <w:rsid w:val="00D33AD4"/>
    <w:rsid w:val="00D50ADF"/>
    <w:rsid w:val="00D526A3"/>
    <w:rsid w:val="00D57505"/>
    <w:rsid w:val="00D637FD"/>
    <w:rsid w:val="00D7676F"/>
    <w:rsid w:val="00D82DF8"/>
    <w:rsid w:val="00DB4900"/>
    <w:rsid w:val="00DD4CDA"/>
    <w:rsid w:val="00DE3DE8"/>
    <w:rsid w:val="00DE502E"/>
    <w:rsid w:val="00DF043A"/>
    <w:rsid w:val="00E1489A"/>
    <w:rsid w:val="00E232DB"/>
    <w:rsid w:val="00E35C51"/>
    <w:rsid w:val="00E36001"/>
    <w:rsid w:val="00E36A75"/>
    <w:rsid w:val="00E37592"/>
    <w:rsid w:val="00E47C37"/>
    <w:rsid w:val="00E62935"/>
    <w:rsid w:val="00E639A5"/>
    <w:rsid w:val="00EA323B"/>
    <w:rsid w:val="00EC7962"/>
    <w:rsid w:val="00EE0385"/>
    <w:rsid w:val="00EE0756"/>
    <w:rsid w:val="00F0010C"/>
    <w:rsid w:val="00F26374"/>
    <w:rsid w:val="00F27817"/>
    <w:rsid w:val="00F278F2"/>
    <w:rsid w:val="00F466DF"/>
    <w:rsid w:val="00F47E7F"/>
    <w:rsid w:val="00F64780"/>
    <w:rsid w:val="00F73134"/>
    <w:rsid w:val="00F8617F"/>
    <w:rsid w:val="00F90E9B"/>
    <w:rsid w:val="00FD43A5"/>
    <w:rsid w:val="00FD6F31"/>
    <w:rsid w:val="00FF1F51"/>
  </w:rsids>
  <w:docVars>
    <w:docVar w:name="__Grammarly_42___1" w:val="H4sIAAAAAAAEAKtWcslP9kxRslIyNDY2NDS0MDc2MTc2NzQ0NTBW0lEKTi0uzszPAykwqQUA7U13d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FF0BEF"/>
  <w15:chartTrackingRefBased/>
  <w15:docId w15:val="{B9E03F0E-A223-4F8A-9C77-4DE69270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505"/>
    <w:rPr>
      <w:color w:val="0563C1" w:themeColor="hyperlink"/>
      <w:u w:val="single"/>
    </w:rPr>
  </w:style>
  <w:style w:type="character" w:styleId="UnresolvedMention">
    <w:name w:val="Unresolved Mention"/>
    <w:basedOn w:val="DefaultParagraphFont"/>
    <w:uiPriority w:val="99"/>
    <w:semiHidden/>
    <w:unhideWhenUsed/>
    <w:rsid w:val="00D57505"/>
    <w:rPr>
      <w:color w:val="605E5C"/>
      <w:shd w:val="clear" w:color="auto" w:fill="E1DFDD"/>
    </w:rPr>
  </w:style>
  <w:style w:type="character" w:styleId="FollowedHyperlink">
    <w:name w:val="FollowedHyperlink"/>
    <w:basedOn w:val="DefaultParagraphFont"/>
    <w:uiPriority w:val="99"/>
    <w:semiHidden/>
    <w:unhideWhenUsed/>
    <w:rsid w:val="00D57505"/>
    <w:rPr>
      <w:color w:val="954F72" w:themeColor="followedHyperlink"/>
      <w:u w:val="single"/>
    </w:rPr>
  </w:style>
  <w:style w:type="paragraph" w:styleId="ListParagraph">
    <w:name w:val="List Paragraph"/>
    <w:basedOn w:val="Normal"/>
    <w:uiPriority w:val="34"/>
    <w:qFormat/>
    <w:rsid w:val="007D292B"/>
    <w:pPr>
      <w:ind w:left="720"/>
      <w:contextualSpacing/>
    </w:pPr>
  </w:style>
  <w:style w:type="table" w:styleId="TableGrid">
    <w:name w:val="Table Grid"/>
    <w:basedOn w:val="TableNormal"/>
    <w:uiPriority w:val="39"/>
    <w:rsid w:val="007C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737"/>
  </w:style>
  <w:style w:type="paragraph" w:styleId="Footer">
    <w:name w:val="footer"/>
    <w:basedOn w:val="Normal"/>
    <w:link w:val="FooterChar"/>
    <w:uiPriority w:val="99"/>
    <w:unhideWhenUsed/>
    <w:rsid w:val="00A8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737"/>
  </w:style>
  <w:style w:type="paragraph" w:styleId="FootnoteText">
    <w:name w:val="footnote text"/>
    <w:basedOn w:val="Normal"/>
    <w:link w:val="FootnoteTextChar"/>
    <w:uiPriority w:val="99"/>
    <w:semiHidden/>
    <w:unhideWhenUsed/>
    <w:rsid w:val="00774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B20"/>
    <w:rPr>
      <w:sz w:val="20"/>
      <w:szCs w:val="20"/>
    </w:rPr>
  </w:style>
  <w:style w:type="character" w:styleId="FootnoteReference">
    <w:name w:val="footnote reference"/>
    <w:basedOn w:val="DefaultParagraphFont"/>
    <w:uiPriority w:val="99"/>
    <w:semiHidden/>
    <w:unhideWhenUsed/>
    <w:rsid w:val="00774B20"/>
    <w:rPr>
      <w:vertAlign w:val="superscript"/>
    </w:rPr>
  </w:style>
  <w:style w:type="character" w:styleId="CommentReference">
    <w:name w:val="annotation reference"/>
    <w:basedOn w:val="DefaultParagraphFont"/>
    <w:uiPriority w:val="99"/>
    <w:semiHidden/>
    <w:unhideWhenUsed/>
    <w:rsid w:val="008D26E5"/>
    <w:rPr>
      <w:sz w:val="16"/>
      <w:szCs w:val="16"/>
    </w:rPr>
  </w:style>
  <w:style w:type="paragraph" w:styleId="CommentText">
    <w:name w:val="annotation text"/>
    <w:basedOn w:val="Normal"/>
    <w:link w:val="CommentTextChar"/>
    <w:uiPriority w:val="99"/>
    <w:unhideWhenUsed/>
    <w:rsid w:val="008D26E5"/>
    <w:pPr>
      <w:spacing w:line="240" w:lineRule="auto"/>
    </w:pPr>
    <w:rPr>
      <w:sz w:val="20"/>
      <w:szCs w:val="20"/>
    </w:rPr>
  </w:style>
  <w:style w:type="character" w:customStyle="1" w:styleId="CommentTextChar">
    <w:name w:val="Comment Text Char"/>
    <w:basedOn w:val="DefaultParagraphFont"/>
    <w:link w:val="CommentText"/>
    <w:uiPriority w:val="99"/>
    <w:rsid w:val="008D26E5"/>
    <w:rPr>
      <w:sz w:val="20"/>
      <w:szCs w:val="20"/>
    </w:rPr>
  </w:style>
  <w:style w:type="paragraph" w:styleId="CommentSubject">
    <w:name w:val="annotation subject"/>
    <w:basedOn w:val="CommentText"/>
    <w:next w:val="CommentText"/>
    <w:link w:val="CommentSubjectChar"/>
    <w:uiPriority w:val="99"/>
    <w:semiHidden/>
    <w:unhideWhenUsed/>
    <w:rsid w:val="008D26E5"/>
    <w:rPr>
      <w:b/>
      <w:bCs/>
    </w:rPr>
  </w:style>
  <w:style w:type="character" w:customStyle="1" w:styleId="CommentSubjectChar">
    <w:name w:val="Comment Subject Char"/>
    <w:basedOn w:val="CommentTextChar"/>
    <w:link w:val="CommentSubject"/>
    <w:uiPriority w:val="99"/>
    <w:semiHidden/>
    <w:rsid w:val="008D26E5"/>
    <w:rPr>
      <w:b/>
      <w:bCs/>
      <w:sz w:val="20"/>
      <w:szCs w:val="20"/>
    </w:rPr>
  </w:style>
  <w:style w:type="paragraph" w:styleId="Revision">
    <w:name w:val="Revision"/>
    <w:hidden/>
    <w:uiPriority w:val="99"/>
    <w:semiHidden/>
    <w:rsid w:val="007D7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file:///\\filer6\OSMR\Labshare\Program%20Office%20Work\ATUS\2019%20Incentives%20Test\ATUS%20Incentive%20study%20proposal_05.10.2019%20FINAL.docx" TargetMode="External" /><Relationship Id="rId9" Type="http://schemas.openxmlformats.org/officeDocument/2006/relationships/hyperlink" Target="https://www.bls.gov/tus/datafiles-20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2724-84CA-4798-B267-C16FABAF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Douglas - BLS</dc:creator>
  <cp:lastModifiedBy>Williams, Douglas - BLS</cp:lastModifiedBy>
  <cp:revision>3</cp:revision>
  <dcterms:created xsi:type="dcterms:W3CDTF">2023-01-13T19:44:00Z</dcterms:created>
  <dcterms:modified xsi:type="dcterms:W3CDTF">2023-01-13T19:54:00Z</dcterms:modified>
</cp:coreProperties>
</file>