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66DE7668">
      <w:pPr>
        <w:pStyle w:val="Heading2"/>
        <w:tabs>
          <w:tab w:val="left" w:pos="900"/>
        </w:tabs>
        <w:ind w:right="-180"/>
        <w:rPr>
          <w:sz w:val="28"/>
        </w:rPr>
      </w:pPr>
      <w:r>
        <w:rPr>
          <w:sz w:val="28"/>
        </w:rPr>
        <w:t xml:space="preserve">Request for Approval under the </w:t>
      </w:r>
      <w:r w:rsidRPr="00F06866">
        <w:rPr>
          <w:sz w:val="28"/>
        </w:rPr>
        <w:t>“</w:t>
      </w:r>
      <w:r w:rsidRPr="000C1AC9" w:rsidR="000C1AC9">
        <w:rPr>
          <w:sz w:val="28"/>
        </w:rPr>
        <w:t>Department of Labor Generic Clearance for Outreach Activities</w:t>
      </w:r>
      <w:r w:rsidRPr="00F06866">
        <w:rPr>
          <w:sz w:val="28"/>
        </w:rPr>
        <w:t>”</w:t>
      </w:r>
    </w:p>
    <w:p w:rsidR="008551CF" w:rsidP="00F06866" w14:paraId="755ABA1D" w14:textId="5C3FDCA7">
      <w:pPr>
        <w:pStyle w:val="Heading2"/>
        <w:tabs>
          <w:tab w:val="left" w:pos="900"/>
        </w:tabs>
        <w:ind w:right="-180"/>
      </w:pPr>
      <w:r>
        <w:rPr>
          <w:sz w:val="28"/>
        </w:rPr>
        <w:t>(OMB Control Number: 1225-00</w:t>
      </w:r>
      <w:r w:rsidR="000D3C11">
        <w:rPr>
          <w:sz w:val="28"/>
        </w:rPr>
        <w:t>59</w:t>
      </w:r>
      <w:r>
        <w:rPr>
          <w:sz w:val="28"/>
        </w:rPr>
        <w:t>)</w:t>
      </w:r>
    </w:p>
    <w:p w:rsidR="008C2901" w:rsidP="00434E33" w14:paraId="346DB628"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8551CF">
        <w:rPr>
          <w:b/>
        </w:rPr>
        <w:t>TITLE OF INFORMATION COLLECTION:</w:t>
      </w:r>
      <w:r w:rsidR="008551CF">
        <w:t xml:space="preserve">  </w:t>
      </w:r>
    </w:p>
    <w:p w:rsidR="008C2901" w:rsidP="00434E33" w14:paraId="797DB388" w14:textId="77777777"/>
    <w:p w:rsidR="008551CF" w:rsidRPr="009239AA" w:rsidP="00434E33" w14:paraId="34A2DFA6" w14:textId="2EC9883E">
      <w:pPr>
        <w:rPr>
          <w:b/>
        </w:rPr>
      </w:pPr>
      <w:r>
        <w:t xml:space="preserve">Vendor Outreach Session </w:t>
      </w:r>
      <w:r w:rsidR="00336DA7">
        <w:t>Collectio</w:t>
      </w:r>
      <w:r w:rsidR="00076507">
        <w:t>n</w:t>
      </w:r>
    </w:p>
    <w:p w:rsidR="008551CF" w14:paraId="676AB98C" w14:textId="77777777"/>
    <w:p w:rsidR="008551CF" w14:paraId="045D0C53" w14:textId="77777777">
      <w:r>
        <w:rPr>
          <w:b/>
        </w:rPr>
        <w:t>PURPOSE</w:t>
      </w:r>
      <w:r w:rsidRPr="009239AA">
        <w:rPr>
          <w:b/>
        </w:rPr>
        <w:t xml:space="preserve">:  </w:t>
      </w:r>
    </w:p>
    <w:p w:rsidR="008551CF" w14:paraId="00AE852D" w14:textId="77777777"/>
    <w:p w:rsidR="00C246EE" w:rsidP="00455F4A" w14:paraId="39418526" w14:textId="77777777">
      <w:r>
        <w:t xml:space="preserve">Vendor Outreach Session (VOS) Collection entails the Department of Labor (DOL) utilizing an electronic registration tool to facilitate, engage, and provide access to the public for VOS events where they can learn more about DOL’s contracting opportunities. </w:t>
      </w:r>
    </w:p>
    <w:p w:rsidR="00C246EE" w:rsidP="00455F4A" w14:paraId="2AA50043" w14:textId="77777777"/>
    <w:p w:rsidR="00455F4A" w:rsidP="00455F4A" w14:paraId="133F9B87" w14:textId="096ED2E5">
      <w:r>
        <w:t xml:space="preserve">The </w:t>
      </w:r>
      <w:r w:rsidR="00C246EE">
        <w:t xml:space="preserve">DOL </w:t>
      </w:r>
      <w:r>
        <w:t xml:space="preserve">hosts </w:t>
      </w:r>
      <w:r w:rsidR="00C246EE">
        <w:t xml:space="preserve">VOS </w:t>
      </w:r>
      <w:r>
        <w:t xml:space="preserve">in compliance with Federal agencies requirements to promote procurement opportunities for small businesses in accordance with Section 8(a) businesses of the Small Business Act, as amended by Public Law 95-507 (Sections 8 and 15) and Public Law 100-656 (Sections 502 and 503). The Federal Acquisition Streamlining Act of 1994 (Public Law 103-355) mandates similar efforts for small women-owned businesses. Public Law 106-50 created the program for service-disabled veteran-owned small businesses. Public Law 105-135 established the HUBZone program and Public Law 85-536 established HUBZone goals. Moreover, the Small Business Regulatory Enforcement Fairness Act of 1996 (Public Law 104-121) requires Federal agencies to make available to small businesses compliance guides and assistance on the implementation of regulations and directives of enforcement laws they administer which DOL makes available at VOS. Furthermore, VOS also support Executive Order 13985, </w:t>
      </w:r>
      <w:r w:rsidRPr="00046769">
        <w:rPr>
          <w:i/>
          <w:iCs/>
        </w:rPr>
        <w:t>Advancing Racial Equity and Support for Underserved Communities through the Federal Government</w:t>
      </w:r>
      <w:r>
        <w:t xml:space="preserve"> (EO 13985</w:t>
      </w:r>
      <w:r w:rsidR="004A3C2C">
        <w:t>)</w:t>
      </w:r>
      <w:r>
        <w:t>, where the President directed agencies to make Federal contracting and procurement opportunities more readily available to all eligible vendors, and to remove barriers faced by underserved individuals and communities.</w:t>
      </w:r>
    </w:p>
    <w:p w:rsidR="00C246EE" w:rsidP="00455F4A" w14:paraId="03FDAC88" w14:textId="77777777"/>
    <w:p w:rsidR="00603985" w:rsidP="00603985" w14:paraId="5EDA61F0" w14:textId="2F25FA35">
      <w:r>
        <w:t>In addition, t</w:t>
      </w:r>
      <w:r>
        <w:t>he Office of Small and Disadvantaged Business Utilization</w:t>
      </w:r>
      <w:r w:rsidR="00CC14E9">
        <w:t xml:space="preserve"> (OSDBU) </w:t>
      </w:r>
      <w:r>
        <w:t>administers DOL</w:t>
      </w:r>
      <w:r w:rsidR="00822C8E">
        <w:t>’s</w:t>
      </w:r>
      <w:r>
        <w:t xml:space="preserve"> responsibilities to ensure </w:t>
      </w:r>
      <w:r w:rsidR="004A3C2C">
        <w:t xml:space="preserve">contracting </w:t>
      </w:r>
      <w:r>
        <w:t xml:space="preserve">opportunities </w:t>
      </w:r>
      <w:r w:rsidR="00B054B8">
        <w:t xml:space="preserve">are available </w:t>
      </w:r>
      <w:r>
        <w:t xml:space="preserve">for </w:t>
      </w:r>
      <w:r w:rsidR="00CE3B85">
        <w:t xml:space="preserve">eligible </w:t>
      </w:r>
      <w:r w:rsidR="004A3C2C">
        <w:t xml:space="preserve">vendors </w:t>
      </w:r>
      <w:r w:rsidR="00CE3B85">
        <w:t xml:space="preserve">who are </w:t>
      </w:r>
      <w:r>
        <w:t>small, small disadvantaged, women-owned, H</w:t>
      </w:r>
      <w:r w:rsidR="00977D0C">
        <w:t>UB</w:t>
      </w:r>
      <w:r>
        <w:t xml:space="preserve">Zone, and </w:t>
      </w:r>
      <w:r w:rsidR="000D6B58">
        <w:t xml:space="preserve">service-disabled </w:t>
      </w:r>
      <w:r>
        <w:t>veteran-owned</w:t>
      </w:r>
      <w:r w:rsidR="00F436AB">
        <w:t xml:space="preserve"> and therefore</w:t>
      </w:r>
      <w:r w:rsidR="0091159F">
        <w:t>,</w:t>
      </w:r>
      <w:r w:rsidR="00F436AB">
        <w:t xml:space="preserve"> require </w:t>
      </w:r>
      <w:r>
        <w:t xml:space="preserve">VOS </w:t>
      </w:r>
      <w:r w:rsidR="00B976EB">
        <w:t>Collection</w:t>
      </w:r>
      <w:r w:rsidR="00DC1B72">
        <w:t xml:space="preserve"> </w:t>
      </w:r>
      <w:r w:rsidR="00206229">
        <w:t>for engagement</w:t>
      </w:r>
      <w:r w:rsidR="003D012F">
        <w:t xml:space="preserve"> with these vendors</w:t>
      </w:r>
      <w:r>
        <w:t xml:space="preserve">. OSDBU also serves as the Department’s central referral point for small business regulatory </w:t>
      </w:r>
      <w:r w:rsidR="00CB6D58">
        <w:t xml:space="preserve">and </w:t>
      </w:r>
      <w:r>
        <w:t>compliance information</w:t>
      </w:r>
      <w:r w:rsidR="003978D0">
        <w:t>.</w:t>
      </w:r>
      <w:r>
        <w:t xml:space="preserve"> </w:t>
      </w:r>
    </w:p>
    <w:p w:rsidR="00603985" w:rsidP="00603985" w14:paraId="375C6307" w14:textId="77777777"/>
    <w:p w:rsidR="008551CF" w14:paraId="718A3B31" w14:textId="430EBEA7">
      <w:r>
        <w:t>It is important to note that</w:t>
      </w:r>
      <w:r w:rsidR="00603985">
        <w:t xml:space="preserve"> </w:t>
      </w:r>
      <w:r>
        <w:t>EO 13985</w:t>
      </w:r>
      <w:r w:rsidR="00A5597C">
        <w:t xml:space="preserve"> calls for a comprehensive approach to advancing equity for all, including socioeconomic small businesses and traditionally underserved entrepreneurs</w:t>
      </w:r>
      <w:r w:rsidR="00B61A13">
        <w:t xml:space="preserve">. DOL’s </w:t>
      </w:r>
      <w:r>
        <w:t>VOS Collection</w:t>
      </w:r>
      <w:r w:rsidR="00B61A13">
        <w:t xml:space="preserve"> </w:t>
      </w:r>
      <w:r>
        <w:t xml:space="preserve">supports </w:t>
      </w:r>
      <w:r w:rsidR="00B61A13">
        <w:t xml:space="preserve">maximizing </w:t>
      </w:r>
      <w:r w:rsidR="003C5771">
        <w:t>socioeconomic disadvantaged small businesses, and traditionally underserved entrepreneurs</w:t>
      </w:r>
      <w:r w:rsidR="00414C4C">
        <w:t>’</w:t>
      </w:r>
      <w:r w:rsidR="00104166">
        <w:t xml:space="preserve"> participation </w:t>
      </w:r>
      <w:r w:rsidR="004278FB">
        <w:t xml:space="preserve">in its contracting opportunities </w:t>
      </w:r>
      <w:r w:rsidR="00104166">
        <w:t>to the maximum extent practicable both at the prime and subcontracting leve</w:t>
      </w:r>
      <w:r w:rsidR="004278FB">
        <w:t>l</w:t>
      </w:r>
      <w:r w:rsidR="00BA4E33">
        <w:t>.</w:t>
      </w:r>
    </w:p>
    <w:p w:rsidR="008551CF" w14:paraId="5F0DBC36" w14:textId="77777777"/>
    <w:p w:rsidR="008551CF" w:rsidRPr="00434E33" w:rsidP="00434E33" w14:paraId="621B7402" w14:textId="77777777">
      <w:pPr>
        <w:pStyle w:val="Header"/>
        <w:tabs>
          <w:tab w:val="clear" w:pos="4320"/>
          <w:tab w:val="clear" w:pos="8640"/>
        </w:tabs>
        <w:rPr>
          <w:i/>
        </w:rPr>
      </w:pPr>
      <w:r w:rsidRPr="00434E33">
        <w:rPr>
          <w:b/>
        </w:rPr>
        <w:t>DESCRIPTION OF RESPONDENTS</w:t>
      </w:r>
      <w:r>
        <w:t xml:space="preserve">: </w:t>
      </w:r>
    </w:p>
    <w:p w:rsidR="008551CF" w14:paraId="523E4AB7" w14:textId="77777777"/>
    <w:p w:rsidR="008551CF" w14:paraId="3985F981" w14:textId="49EC4E6A">
      <w:r>
        <w:t>The target audience includes:</w:t>
      </w:r>
      <w:r w:rsidR="00672C86">
        <w:t xml:space="preserve"> </w:t>
      </w:r>
      <w:r w:rsidR="004A3C2C">
        <w:t>The vendor community including</w:t>
      </w:r>
      <w:r w:rsidR="008F0CB5">
        <w:t xml:space="preserve"> </w:t>
      </w:r>
      <w:r w:rsidR="00A1680C">
        <w:t>s</w:t>
      </w:r>
      <w:r w:rsidR="00B96395">
        <w:t xml:space="preserve">ocioeconomic </w:t>
      </w:r>
      <w:r w:rsidR="008743A7">
        <w:t xml:space="preserve">disadvantaged </w:t>
      </w:r>
      <w:r w:rsidR="00B96395">
        <w:t>small businesses, and traditionally underserved entrepreneurs</w:t>
      </w:r>
      <w:r w:rsidR="00AE1CBE">
        <w:t>.</w:t>
      </w:r>
      <w:r w:rsidR="00B96395">
        <w:t xml:space="preserve"> </w:t>
      </w:r>
    </w:p>
    <w:p w:rsidR="008551CF" w14:paraId="63C198D6" w14:textId="77777777"/>
    <w:p w:rsidR="00603985" w14:paraId="6C97B952" w14:textId="77777777">
      <w:pPr>
        <w:rPr>
          <w:b/>
        </w:rPr>
      </w:pPr>
    </w:p>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5680CB7C">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Customer Satisfaction Survey    </w:t>
      </w:r>
    </w:p>
    <w:p w:rsidR="008551CF" w:rsidP="0096108F" w14:paraId="04816E6E"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P="0096108F" w14:paraId="74763552" w14:textId="34A85E7F">
      <w:pPr>
        <w:pStyle w:val="BodyTextIndent"/>
        <w:tabs>
          <w:tab w:val="left" w:pos="360"/>
        </w:tabs>
        <w:ind w:left="0"/>
        <w:rPr>
          <w:bCs/>
          <w:sz w:val="24"/>
        </w:rPr>
      </w:pPr>
      <w:r>
        <w:rPr>
          <w:bCs/>
          <w:sz w:val="24"/>
        </w:rPr>
        <w:t>[</w:t>
      </w:r>
      <w:r w:rsidR="00962E7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3B1465">
        <w:rPr>
          <w:bCs/>
          <w:sz w:val="24"/>
        </w:rPr>
        <w:t>X</w:t>
      </w:r>
      <w:r>
        <w:rPr>
          <w:bCs/>
          <w:sz w:val="24"/>
        </w:rPr>
        <w:t xml:space="preserve"> </w:t>
      </w:r>
      <w:r w:rsidRPr="00F06866">
        <w:rPr>
          <w:bCs/>
          <w:sz w:val="24"/>
        </w:rPr>
        <w:t>]</w:t>
      </w:r>
      <w:r>
        <w:rPr>
          <w:bCs/>
          <w:sz w:val="24"/>
        </w:rPr>
        <w:t xml:space="preserve"> Other:</w:t>
      </w:r>
      <w:r w:rsidR="00414C4C">
        <w:rPr>
          <w:bCs/>
          <w:sz w:val="24"/>
        </w:rPr>
        <w:t xml:space="preserve"> </w:t>
      </w:r>
      <w:r w:rsidRPr="000B5204" w:rsidR="004E196E">
        <w:rPr>
          <w:bCs/>
          <w:sz w:val="24"/>
          <w:u w:val="single"/>
        </w:rPr>
        <w:t>Voluntary</w:t>
      </w:r>
      <w:r w:rsidRPr="000B5204" w:rsidR="003773C4">
        <w:rPr>
          <w:bCs/>
          <w:sz w:val="24"/>
          <w:u w:val="single"/>
        </w:rPr>
        <w:t xml:space="preserve"> </w:t>
      </w:r>
      <w:r>
        <w:rPr>
          <w:bCs/>
          <w:sz w:val="24"/>
          <w:u w:val="single"/>
        </w:rPr>
        <w:tab/>
      </w:r>
      <w:r w:rsidR="005C00F7">
        <w:rPr>
          <w:bCs/>
          <w:sz w:val="24"/>
          <w:u w:val="single"/>
        </w:rPr>
        <w:t>Registration</w:t>
      </w:r>
      <w:r>
        <w:rPr>
          <w:bCs/>
          <w:sz w:val="24"/>
          <w:u w:val="single"/>
        </w:rPr>
        <w:tab/>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016AE34E">
      <w:r>
        <w:t>Name:</w:t>
      </w:r>
      <w:r w:rsidR="003B1465">
        <w:t xml:space="preserve"> </w:t>
      </w:r>
      <w:r w:rsidRPr="000B5204" w:rsidR="003B1465">
        <w:rPr>
          <w:u w:val="single"/>
        </w:rPr>
        <w:t>Gladys M. Bailey</w:t>
      </w:r>
      <w:r>
        <w:t>________________________________________________</w:t>
      </w:r>
    </w:p>
    <w:p w:rsidR="008551CF" w:rsidP="009C13B9" w14:paraId="3DF1D2AB" w14:textId="77777777">
      <w:pPr>
        <w:pStyle w:val="ListParagraph"/>
        <w:ind w:left="360"/>
      </w:pPr>
    </w:p>
    <w:p w:rsidR="008551CF" w:rsidP="009C13B9" w14:paraId="012BC3E4" w14:textId="78F9B86F">
      <w:r>
        <w:t>To assist review, please provide answers to the following question</w:t>
      </w:r>
      <w:r w:rsidR="004A3C2C">
        <w:t>s</w:t>
      </w:r>
      <w:r>
        <w:t>:</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P="00C86E91" w14:paraId="1595FAB5" w14:textId="1149239D">
      <w:pPr>
        <w:pStyle w:val="ListParagraph"/>
        <w:numPr>
          <w:ilvl w:val="0"/>
          <w:numId w:val="18"/>
        </w:numPr>
      </w:pPr>
      <w:r>
        <w:t>Is personally identifiable information (PII) collected?  [</w:t>
      </w:r>
      <w:r w:rsidR="003B1465">
        <w:t>X</w:t>
      </w:r>
      <w:r>
        <w:t xml:space="preserve"> ] Yes  [ ]  No </w:t>
      </w:r>
    </w:p>
    <w:p w:rsidR="008551CF" w:rsidP="00C86E91" w14:paraId="35BFA950" w14:textId="1143158B">
      <w:pPr>
        <w:pStyle w:val="ListParagraph"/>
        <w:numPr>
          <w:ilvl w:val="0"/>
          <w:numId w:val="18"/>
        </w:numPr>
      </w:pPr>
      <w:r>
        <w:t xml:space="preserve">If Yes, is the information that will be collected included in records that are subject to the Privacy Act of 1974?   [] Yes [ </w:t>
      </w:r>
      <w:r w:rsidRPr="009E4EDD" w:rsidR="009E4EDD">
        <w:t xml:space="preserve">X </w:t>
      </w:r>
      <w:r>
        <w:t xml:space="preserve">] No   </w:t>
      </w:r>
    </w:p>
    <w:p w:rsidR="008551CF" w:rsidP="00C86E91" w14:paraId="14CF430F" w14:textId="34AFC933">
      <w:pPr>
        <w:pStyle w:val="ListParagraph"/>
        <w:numPr>
          <w:ilvl w:val="0"/>
          <w:numId w:val="18"/>
        </w:numPr>
      </w:pPr>
      <w:r>
        <w:t xml:space="preserve">If Applicable, has a System or Records Notice been published?  [] Yes  [ </w:t>
      </w:r>
      <w:r w:rsidR="009E4EDD">
        <w:t>X</w:t>
      </w:r>
      <w:r>
        <w:t xml:space="preserve"> ] No</w:t>
      </w:r>
    </w:p>
    <w:p w:rsidR="008551CF" w:rsidRPr="00C86E91" w:rsidP="00C86E91" w14:paraId="6E4C6246" w14:textId="77777777">
      <w:pPr>
        <w:pStyle w:val="ListParagraph"/>
        <w:ind w:left="0"/>
        <w:rPr>
          <w:b/>
        </w:rPr>
      </w:pPr>
      <w:r>
        <w:rPr>
          <w:b/>
        </w:rPr>
        <w:t>Gifts or Payments:</w:t>
      </w:r>
    </w:p>
    <w:p w:rsidR="008551CF" w:rsidP="00C86E91" w14:paraId="036310BE" w14:textId="76C191FF">
      <w:r>
        <w:t xml:space="preserve">Is an incentive (e.g., money or reimbursement of expenses, token of appreciation) provided to participants?  [  ] Yes [ </w:t>
      </w:r>
      <w:r w:rsidR="003B1465">
        <w:t>X</w:t>
      </w:r>
      <w:r>
        <w:t xml:space="preserve"> ] No  </w:t>
      </w:r>
    </w:p>
    <w:p w:rsidR="008551CF" w14:paraId="0A85FF80" w14:textId="77777777">
      <w:pPr>
        <w:rPr>
          <w:b/>
        </w:rPr>
      </w:pPr>
    </w:p>
    <w:p w:rsidR="008551CF" w14:paraId="597BB236"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5"/>
        <w:gridCol w:w="1530"/>
        <w:gridCol w:w="1710"/>
        <w:gridCol w:w="1620"/>
      </w:tblGrid>
      <w:tr w14:paraId="671FAC69" w14:textId="77777777" w:rsidTr="00112B08">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35"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710" w:type="dxa"/>
          </w:tcPr>
          <w:p w:rsidR="008551CF" w:rsidRPr="002D0C7E" w:rsidP="00843796" w14:paraId="0CEE2C91" w14:textId="77777777">
            <w:pPr>
              <w:rPr>
                <w:b/>
              </w:rPr>
            </w:pPr>
            <w:r w:rsidRPr="002D0C7E">
              <w:rPr>
                <w:b/>
              </w:rPr>
              <w:t>Participation Time</w:t>
            </w:r>
          </w:p>
        </w:tc>
        <w:tc>
          <w:tcPr>
            <w:tcW w:w="1620" w:type="dxa"/>
          </w:tcPr>
          <w:p w:rsidR="008551CF" w:rsidRPr="002D0C7E" w:rsidP="00843796" w14:paraId="28307C5C" w14:textId="77777777">
            <w:pPr>
              <w:rPr>
                <w:b/>
              </w:rPr>
            </w:pPr>
            <w:r w:rsidRPr="002D0C7E">
              <w:rPr>
                <w:b/>
              </w:rPr>
              <w:t>Burden</w:t>
            </w:r>
          </w:p>
        </w:tc>
      </w:tr>
      <w:tr w14:paraId="7DC27B95" w14:textId="77777777" w:rsidTr="00112B08">
        <w:tblPrEx>
          <w:tblW w:w="9895" w:type="dxa"/>
          <w:tblLayout w:type="fixed"/>
          <w:tblLook w:val="01E0"/>
        </w:tblPrEx>
        <w:trPr>
          <w:trHeight w:val="274"/>
        </w:trPr>
        <w:tc>
          <w:tcPr>
            <w:tcW w:w="5035" w:type="dxa"/>
          </w:tcPr>
          <w:p w:rsidR="008551CF" w:rsidP="00843796" w14:paraId="452633ED" w14:textId="52DD45FC">
            <w:r>
              <w:t>Private Sector</w:t>
            </w:r>
          </w:p>
        </w:tc>
        <w:tc>
          <w:tcPr>
            <w:tcW w:w="1530" w:type="dxa"/>
          </w:tcPr>
          <w:p w:rsidR="008551CF" w:rsidP="00843796" w14:paraId="65A2E7A2" w14:textId="2A5E1645">
            <w:r>
              <w:t>1,050</w:t>
            </w:r>
          </w:p>
        </w:tc>
        <w:tc>
          <w:tcPr>
            <w:tcW w:w="1710" w:type="dxa"/>
          </w:tcPr>
          <w:p w:rsidR="008551CF" w:rsidP="00843796" w14:paraId="359D1834" w14:textId="351F4769">
            <w:r>
              <w:t>5 minutes</w:t>
            </w:r>
          </w:p>
        </w:tc>
        <w:tc>
          <w:tcPr>
            <w:tcW w:w="1620" w:type="dxa"/>
          </w:tcPr>
          <w:p w:rsidR="008551CF" w:rsidP="00843796" w14:paraId="66B66160" w14:textId="76892B75">
            <w:r>
              <w:t>87.5</w:t>
            </w:r>
            <w:r w:rsidR="00B14AD7">
              <w:t xml:space="preserve"> hours</w:t>
            </w:r>
          </w:p>
        </w:tc>
      </w:tr>
      <w:tr w14:paraId="6273E05C" w14:textId="77777777" w:rsidTr="00112B08">
        <w:tblPrEx>
          <w:tblW w:w="9895" w:type="dxa"/>
          <w:tblLayout w:type="fixed"/>
          <w:tblLook w:val="01E0"/>
        </w:tblPrEx>
        <w:trPr>
          <w:trHeight w:val="274"/>
        </w:trPr>
        <w:tc>
          <w:tcPr>
            <w:tcW w:w="5035" w:type="dxa"/>
          </w:tcPr>
          <w:p w:rsidR="008551CF" w:rsidP="00843796" w14:paraId="290C0FEC" w14:textId="20ACF3EB">
            <w:bookmarkStart w:id="0" w:name="_Hlk164251096"/>
            <w:r w:rsidRPr="008A3368">
              <w:t>State, Local, and Tribal Governments</w:t>
            </w:r>
          </w:p>
        </w:tc>
        <w:tc>
          <w:tcPr>
            <w:tcW w:w="1530" w:type="dxa"/>
          </w:tcPr>
          <w:p w:rsidR="008551CF" w:rsidP="00843796" w14:paraId="4ECB8FE6" w14:textId="075511E8">
            <w:r>
              <w:t>1</w:t>
            </w:r>
            <w:r w:rsidR="00B14AD7">
              <w:t>00</w:t>
            </w:r>
          </w:p>
        </w:tc>
        <w:tc>
          <w:tcPr>
            <w:tcW w:w="1710" w:type="dxa"/>
          </w:tcPr>
          <w:p w:rsidR="008551CF" w:rsidP="00843796" w14:paraId="725C491D" w14:textId="402DD9E7">
            <w:r w:rsidRPr="00B14AD7">
              <w:t>5 minutes</w:t>
            </w:r>
          </w:p>
        </w:tc>
        <w:tc>
          <w:tcPr>
            <w:tcW w:w="1620" w:type="dxa"/>
          </w:tcPr>
          <w:p w:rsidR="008551CF" w:rsidP="00843796" w14:paraId="596DC037" w14:textId="659CA20F">
            <w:r>
              <w:t>8.3</w:t>
            </w:r>
            <w:r w:rsidR="00B14AD7">
              <w:t xml:space="preserve"> hours</w:t>
            </w:r>
          </w:p>
        </w:tc>
      </w:tr>
      <w:bookmarkEnd w:id="0"/>
      <w:tr w14:paraId="7501D6C3" w14:textId="77777777" w:rsidTr="00112B08">
        <w:tblPrEx>
          <w:tblW w:w="9895" w:type="dxa"/>
          <w:tblLayout w:type="fixed"/>
          <w:tblLook w:val="01E0"/>
        </w:tblPrEx>
        <w:trPr>
          <w:trHeight w:val="274"/>
        </w:trPr>
        <w:tc>
          <w:tcPr>
            <w:tcW w:w="5035" w:type="dxa"/>
          </w:tcPr>
          <w:p w:rsidR="008A3368" w:rsidP="00843796" w14:paraId="4F67DDE7" w14:textId="7BF1F380">
            <w:r w:rsidRPr="008A3368">
              <w:t>Individuals and/or Households</w:t>
            </w:r>
          </w:p>
        </w:tc>
        <w:tc>
          <w:tcPr>
            <w:tcW w:w="1530" w:type="dxa"/>
          </w:tcPr>
          <w:p w:rsidR="008A3368" w:rsidP="00843796" w14:paraId="5EB8C374" w14:textId="0E5C5CB4">
            <w:r>
              <w:t>200</w:t>
            </w:r>
          </w:p>
        </w:tc>
        <w:tc>
          <w:tcPr>
            <w:tcW w:w="1710" w:type="dxa"/>
          </w:tcPr>
          <w:p w:rsidR="008A3368" w:rsidP="00843796" w14:paraId="712F1F7D" w14:textId="6B68621F">
            <w:r w:rsidRPr="00B14AD7">
              <w:t>5 minutes</w:t>
            </w:r>
          </w:p>
        </w:tc>
        <w:tc>
          <w:tcPr>
            <w:tcW w:w="1620" w:type="dxa"/>
          </w:tcPr>
          <w:p w:rsidR="008A3368" w:rsidP="00843796" w14:paraId="37D80342" w14:textId="2295DD19">
            <w:r>
              <w:t>16.67 hours</w:t>
            </w:r>
          </w:p>
        </w:tc>
      </w:tr>
      <w:tr w14:paraId="19C84210" w14:textId="77777777" w:rsidTr="00112B08">
        <w:tblPrEx>
          <w:tblW w:w="9895" w:type="dxa"/>
          <w:tblLayout w:type="fixed"/>
          <w:tblLook w:val="01E0"/>
        </w:tblPrEx>
        <w:trPr>
          <w:trHeight w:val="274"/>
        </w:trPr>
        <w:tc>
          <w:tcPr>
            <w:tcW w:w="5035" w:type="dxa"/>
          </w:tcPr>
          <w:p w:rsidR="008A3368" w:rsidRPr="00112B08" w:rsidP="00843796" w14:paraId="6298E43C" w14:textId="782428C0">
            <w:pPr>
              <w:rPr>
                <w:b/>
                <w:bCs/>
              </w:rPr>
            </w:pPr>
            <w:r w:rsidRPr="00112B08">
              <w:rPr>
                <w:b/>
                <w:bCs/>
              </w:rPr>
              <w:t>Sub-total for Event Registration</w:t>
            </w:r>
          </w:p>
        </w:tc>
        <w:tc>
          <w:tcPr>
            <w:tcW w:w="1530" w:type="dxa"/>
          </w:tcPr>
          <w:p w:rsidR="008A3368" w:rsidRPr="00112B08" w:rsidP="00843796" w14:paraId="1E78B322" w14:textId="07D98BFA">
            <w:pPr>
              <w:rPr>
                <w:b/>
                <w:bCs/>
              </w:rPr>
            </w:pPr>
            <w:r w:rsidRPr="00112B08">
              <w:rPr>
                <w:b/>
                <w:bCs/>
              </w:rPr>
              <w:t>1,</w:t>
            </w:r>
            <w:r w:rsidR="001F3D6A">
              <w:rPr>
                <w:b/>
                <w:bCs/>
              </w:rPr>
              <w:t>350</w:t>
            </w:r>
          </w:p>
        </w:tc>
        <w:tc>
          <w:tcPr>
            <w:tcW w:w="1710" w:type="dxa"/>
          </w:tcPr>
          <w:p w:rsidR="008A3368" w:rsidP="00843796" w14:paraId="177CD0F5" w14:textId="77777777"/>
        </w:tc>
        <w:tc>
          <w:tcPr>
            <w:tcW w:w="1620" w:type="dxa"/>
          </w:tcPr>
          <w:p w:rsidR="008A3368" w:rsidRPr="00112B08" w:rsidP="00843796" w14:paraId="2A6903EC" w14:textId="2DAE8177">
            <w:pPr>
              <w:rPr>
                <w:b/>
                <w:bCs/>
              </w:rPr>
            </w:pPr>
            <w:r>
              <w:rPr>
                <w:b/>
                <w:bCs/>
              </w:rPr>
              <w:t>112</w:t>
            </w:r>
            <w:r w:rsidR="001F3D6A">
              <w:rPr>
                <w:b/>
                <w:bCs/>
              </w:rPr>
              <w:t>.47</w:t>
            </w:r>
            <w:r w:rsidRPr="00112B08" w:rsidR="00B14AD7">
              <w:rPr>
                <w:b/>
                <w:bCs/>
              </w:rPr>
              <w:t xml:space="preserve"> hours</w:t>
            </w:r>
          </w:p>
        </w:tc>
      </w:tr>
      <w:tr w14:paraId="2DC18E1B" w14:textId="77777777" w:rsidTr="00112B08">
        <w:tblPrEx>
          <w:tblW w:w="9895" w:type="dxa"/>
          <w:tblLayout w:type="fixed"/>
          <w:tblLook w:val="01E0"/>
        </w:tblPrEx>
        <w:trPr>
          <w:trHeight w:val="274"/>
        </w:trPr>
        <w:tc>
          <w:tcPr>
            <w:tcW w:w="5035" w:type="dxa"/>
          </w:tcPr>
          <w:p w:rsidR="00B14AD7" w:rsidRPr="00B14AD7" w:rsidP="00843796" w14:paraId="1485F046" w14:textId="77777777">
            <w:pPr>
              <w:rPr>
                <w:b/>
                <w:bCs/>
              </w:rPr>
            </w:pPr>
          </w:p>
        </w:tc>
        <w:tc>
          <w:tcPr>
            <w:tcW w:w="1530" w:type="dxa"/>
          </w:tcPr>
          <w:p w:rsidR="00B14AD7" w:rsidP="00843796" w14:paraId="715F5A4F" w14:textId="77777777"/>
        </w:tc>
        <w:tc>
          <w:tcPr>
            <w:tcW w:w="1710" w:type="dxa"/>
          </w:tcPr>
          <w:p w:rsidR="00B14AD7" w:rsidP="00843796" w14:paraId="72188155" w14:textId="77777777"/>
        </w:tc>
        <w:tc>
          <w:tcPr>
            <w:tcW w:w="1620" w:type="dxa"/>
          </w:tcPr>
          <w:p w:rsidR="00B14AD7" w:rsidP="00843796" w14:paraId="312684CE" w14:textId="77777777"/>
        </w:tc>
      </w:tr>
      <w:tr w14:paraId="21B2F6E3" w14:textId="77777777" w:rsidTr="00112B08">
        <w:tblPrEx>
          <w:tblW w:w="9895" w:type="dxa"/>
          <w:tblLayout w:type="fixed"/>
          <w:tblLook w:val="01E0"/>
        </w:tblPrEx>
        <w:trPr>
          <w:trHeight w:val="274"/>
        </w:trPr>
        <w:tc>
          <w:tcPr>
            <w:tcW w:w="5035" w:type="dxa"/>
          </w:tcPr>
          <w:p w:rsidR="008A3368" w:rsidRPr="008A3368" w:rsidP="00843796" w14:paraId="49FB868B" w14:textId="18E84F95">
            <w:r w:rsidRPr="00112B08">
              <w:t>Vendor Outreach (Initial)</w:t>
            </w:r>
          </w:p>
        </w:tc>
        <w:tc>
          <w:tcPr>
            <w:tcW w:w="1530" w:type="dxa"/>
          </w:tcPr>
          <w:p w:rsidR="008A3368" w:rsidP="00843796" w14:paraId="51656746" w14:textId="6B6D3E16">
            <w:r>
              <w:t>1,</w:t>
            </w:r>
            <w:r w:rsidR="001F3D6A">
              <w:t>050</w:t>
            </w:r>
          </w:p>
        </w:tc>
        <w:tc>
          <w:tcPr>
            <w:tcW w:w="1710" w:type="dxa"/>
          </w:tcPr>
          <w:p w:rsidR="008A3368" w:rsidP="00843796" w14:paraId="3A37CE08" w14:textId="58F3C1B6">
            <w:r>
              <w:t>9</w:t>
            </w:r>
            <w:r w:rsidR="00B14AD7">
              <w:t xml:space="preserve"> minutes</w:t>
            </w:r>
          </w:p>
        </w:tc>
        <w:tc>
          <w:tcPr>
            <w:tcW w:w="1620" w:type="dxa"/>
          </w:tcPr>
          <w:p w:rsidR="008A3368" w:rsidP="00843796" w14:paraId="09E7EE70" w14:textId="1A5B365D">
            <w:r>
              <w:t>157.5</w:t>
            </w:r>
            <w:r w:rsidR="00B14AD7">
              <w:t xml:space="preserve"> hours</w:t>
            </w:r>
          </w:p>
        </w:tc>
      </w:tr>
      <w:tr w14:paraId="47000FDA" w14:textId="77777777" w:rsidTr="00112B08">
        <w:tblPrEx>
          <w:tblW w:w="9895" w:type="dxa"/>
          <w:tblLayout w:type="fixed"/>
          <w:tblLook w:val="01E0"/>
        </w:tblPrEx>
        <w:trPr>
          <w:trHeight w:val="274"/>
        </w:trPr>
        <w:tc>
          <w:tcPr>
            <w:tcW w:w="5035" w:type="dxa"/>
          </w:tcPr>
          <w:p w:rsidR="008A3368" w:rsidP="00843796" w14:paraId="73401F3B" w14:textId="00A0ED03">
            <w:r w:rsidRPr="008A3368">
              <w:t>Vendor Outreach (Updates)</w:t>
            </w:r>
          </w:p>
        </w:tc>
        <w:tc>
          <w:tcPr>
            <w:tcW w:w="1530" w:type="dxa"/>
          </w:tcPr>
          <w:p w:rsidR="008A3368" w:rsidP="00843796" w14:paraId="7DFB07E6" w14:textId="3841600F">
            <w:r>
              <w:t>1,</w:t>
            </w:r>
            <w:r w:rsidR="001F3D6A">
              <w:t>050</w:t>
            </w:r>
          </w:p>
        </w:tc>
        <w:tc>
          <w:tcPr>
            <w:tcW w:w="1710" w:type="dxa"/>
          </w:tcPr>
          <w:p w:rsidR="008A3368" w:rsidP="00843796" w14:paraId="226B114C" w14:textId="3AE1C9D1">
            <w:r>
              <w:t>2 minutes</w:t>
            </w:r>
          </w:p>
        </w:tc>
        <w:tc>
          <w:tcPr>
            <w:tcW w:w="1620" w:type="dxa"/>
          </w:tcPr>
          <w:p w:rsidR="008A3368" w:rsidP="00843796" w14:paraId="00834523" w14:textId="3F0EE3DC">
            <w:r>
              <w:t>35</w:t>
            </w:r>
            <w:r w:rsidR="00B14AD7">
              <w:t xml:space="preserve"> hours</w:t>
            </w:r>
          </w:p>
        </w:tc>
      </w:tr>
      <w:tr w14:paraId="4896BA69" w14:textId="77777777" w:rsidTr="00112B08">
        <w:tblPrEx>
          <w:tblW w:w="9895" w:type="dxa"/>
          <w:tblLayout w:type="fixed"/>
          <w:tblLook w:val="01E0"/>
        </w:tblPrEx>
        <w:trPr>
          <w:trHeight w:val="274"/>
        </w:trPr>
        <w:tc>
          <w:tcPr>
            <w:tcW w:w="5035" w:type="dxa"/>
          </w:tcPr>
          <w:p w:rsidR="008A3368" w:rsidRPr="00112B08" w:rsidP="00843796" w14:paraId="7DB2BAAD" w14:textId="63BDE5F0">
            <w:pPr>
              <w:rPr>
                <w:b/>
                <w:bCs/>
              </w:rPr>
            </w:pPr>
            <w:r w:rsidRPr="00112B08">
              <w:rPr>
                <w:b/>
                <w:bCs/>
              </w:rPr>
              <w:t>Sub-total for Vendor Outreach</w:t>
            </w:r>
          </w:p>
        </w:tc>
        <w:tc>
          <w:tcPr>
            <w:tcW w:w="1530" w:type="dxa"/>
          </w:tcPr>
          <w:p w:rsidR="008A3368" w:rsidP="00843796" w14:paraId="4CB08352" w14:textId="77777777"/>
        </w:tc>
        <w:tc>
          <w:tcPr>
            <w:tcW w:w="1710" w:type="dxa"/>
          </w:tcPr>
          <w:p w:rsidR="008A3368" w:rsidP="00843796" w14:paraId="2AAAC006" w14:textId="77777777"/>
        </w:tc>
        <w:tc>
          <w:tcPr>
            <w:tcW w:w="1620" w:type="dxa"/>
          </w:tcPr>
          <w:p w:rsidR="008A3368" w:rsidRPr="00112B08" w:rsidP="009728E3" w14:paraId="73957AD9" w14:textId="3948428B">
            <w:pPr>
              <w:rPr>
                <w:b/>
                <w:bCs/>
              </w:rPr>
            </w:pPr>
            <w:r>
              <w:rPr>
                <w:b/>
                <w:bCs/>
              </w:rPr>
              <w:t>192.5</w:t>
            </w:r>
            <w:r w:rsidRPr="00112B08" w:rsidR="00B14AD7">
              <w:rPr>
                <w:b/>
                <w:bCs/>
              </w:rPr>
              <w:t xml:space="preserve"> hours</w:t>
            </w:r>
          </w:p>
        </w:tc>
      </w:tr>
      <w:tr w14:paraId="22CC05E9" w14:textId="77777777" w:rsidTr="00112B08">
        <w:tblPrEx>
          <w:tblW w:w="9895" w:type="dxa"/>
          <w:tblLayout w:type="fixed"/>
          <w:tblLook w:val="01E0"/>
        </w:tblPrEx>
        <w:trPr>
          <w:trHeight w:val="274"/>
        </w:trPr>
        <w:tc>
          <w:tcPr>
            <w:tcW w:w="5035" w:type="dxa"/>
          </w:tcPr>
          <w:p w:rsidR="00B14AD7" w:rsidRPr="00B14AD7" w:rsidP="00843796" w14:paraId="44ABA8B4" w14:textId="77777777">
            <w:pPr>
              <w:rPr>
                <w:b/>
                <w:bCs/>
              </w:rPr>
            </w:pPr>
          </w:p>
        </w:tc>
        <w:tc>
          <w:tcPr>
            <w:tcW w:w="1530" w:type="dxa"/>
          </w:tcPr>
          <w:p w:rsidR="00B14AD7" w:rsidP="00843796" w14:paraId="0873E4E6" w14:textId="77777777"/>
        </w:tc>
        <w:tc>
          <w:tcPr>
            <w:tcW w:w="1710" w:type="dxa"/>
          </w:tcPr>
          <w:p w:rsidR="00B14AD7" w:rsidP="00843796" w14:paraId="6121076C" w14:textId="77777777"/>
        </w:tc>
        <w:tc>
          <w:tcPr>
            <w:tcW w:w="1620" w:type="dxa"/>
          </w:tcPr>
          <w:p w:rsidR="00B14AD7" w:rsidP="00843796" w14:paraId="4B269918" w14:textId="77777777"/>
        </w:tc>
      </w:tr>
      <w:tr w14:paraId="555EC5D4" w14:textId="77777777" w:rsidTr="00112B08">
        <w:tblPrEx>
          <w:tblW w:w="9895" w:type="dxa"/>
          <w:tblLayout w:type="fixed"/>
          <w:tblLook w:val="01E0"/>
        </w:tblPrEx>
        <w:trPr>
          <w:trHeight w:val="289"/>
        </w:trPr>
        <w:tc>
          <w:tcPr>
            <w:tcW w:w="5035" w:type="dxa"/>
          </w:tcPr>
          <w:p w:rsidR="008551CF" w:rsidRPr="002D0C7E" w:rsidP="00843796" w14:paraId="12731639" w14:textId="77777777">
            <w:pPr>
              <w:rPr>
                <w:b/>
              </w:rPr>
            </w:pPr>
            <w:r w:rsidRPr="002D0C7E">
              <w:rPr>
                <w:b/>
              </w:rPr>
              <w:t>Totals</w:t>
            </w:r>
          </w:p>
        </w:tc>
        <w:tc>
          <w:tcPr>
            <w:tcW w:w="1530" w:type="dxa"/>
          </w:tcPr>
          <w:p w:rsidR="008551CF" w:rsidRPr="002D0C7E" w:rsidP="00843796" w14:paraId="6428324A" w14:textId="242D9D3F">
            <w:pPr>
              <w:rPr>
                <w:b/>
              </w:rPr>
            </w:pPr>
            <w:r>
              <w:rPr>
                <w:b/>
              </w:rPr>
              <w:t>2,</w:t>
            </w:r>
            <w:r w:rsidR="00FC6550">
              <w:rPr>
                <w:b/>
              </w:rPr>
              <w:t>4</w:t>
            </w:r>
            <w:r>
              <w:rPr>
                <w:b/>
              </w:rPr>
              <w:t>00</w:t>
            </w:r>
          </w:p>
        </w:tc>
        <w:tc>
          <w:tcPr>
            <w:tcW w:w="1710" w:type="dxa"/>
          </w:tcPr>
          <w:p w:rsidR="008551CF" w:rsidP="00843796" w14:paraId="751E39D0" w14:textId="77777777"/>
        </w:tc>
        <w:tc>
          <w:tcPr>
            <w:tcW w:w="1620" w:type="dxa"/>
          </w:tcPr>
          <w:p w:rsidR="008551CF" w:rsidRPr="002D0C7E" w:rsidP="00843796" w14:paraId="239CE736" w14:textId="11E7C5F7">
            <w:pPr>
              <w:rPr>
                <w:b/>
              </w:rPr>
            </w:pPr>
            <w:r>
              <w:rPr>
                <w:b/>
              </w:rPr>
              <w:t xml:space="preserve">304.97 </w:t>
            </w:r>
            <w:r w:rsidR="00B14AD7">
              <w:rPr>
                <w:b/>
              </w:rPr>
              <w:t>hours</w:t>
            </w:r>
          </w:p>
        </w:tc>
      </w:tr>
    </w:tbl>
    <w:p w:rsidR="008551CF" w:rsidP="00F3170F" w14:paraId="134C1AC3" w14:textId="77777777"/>
    <w:p w:rsidR="008551CF" w14:paraId="69AB54A6" w14:textId="4DAF4AC1">
      <w:pPr>
        <w:rPr>
          <w:b/>
        </w:rPr>
      </w:pPr>
      <w:r>
        <w:rPr>
          <w:b/>
        </w:rPr>
        <w:t xml:space="preserve">FEDERAL COST:  </w:t>
      </w:r>
      <w:r>
        <w:t>The estimated annual cost to the Federal government is</w:t>
      </w:r>
      <w:r w:rsidR="00BB3C44">
        <w:t xml:space="preserve"> </w:t>
      </w:r>
      <w:r w:rsidRPr="00112B08" w:rsidR="00BB3C44">
        <w:rPr>
          <w:b/>
          <w:bCs/>
          <w:u w:val="single"/>
        </w:rPr>
        <w:t>$</w:t>
      </w:r>
      <w:r w:rsidR="00281FE5">
        <w:rPr>
          <w:b/>
          <w:bCs/>
          <w:u w:val="single"/>
        </w:rPr>
        <w:t>14,696</w:t>
      </w:r>
      <w:r w:rsidR="00BB3C44">
        <w:t>.</w:t>
      </w:r>
    </w:p>
    <w:p w:rsidR="008551CF" w14:paraId="6CDB4BC7" w14:textId="77777777">
      <w:pPr>
        <w:rPr>
          <w:b/>
          <w:bCs/>
          <w:u w:val="single"/>
        </w:rPr>
      </w:pPr>
    </w:p>
    <w:p w:rsidR="00BE1782" w:rsidRPr="00A50F65" w14:paraId="67DA6E40" w14:textId="4465FA16">
      <w:r>
        <w:rPr>
          <w:rStyle w:val="FootnoteReference"/>
        </w:rPr>
        <w:footnoteReference w:id="2"/>
      </w:r>
      <w:r w:rsidRPr="00A50F65">
        <w:t>The estimated annual cost to the federal government is $1</w:t>
      </w:r>
      <w:r w:rsidRPr="00A50F65" w:rsidR="00281FE5">
        <w:t>4,</w:t>
      </w:r>
      <w:r w:rsidRPr="00A50F65" w:rsidR="00B9287D">
        <w:t>696</w:t>
      </w:r>
      <w:r w:rsidRPr="00A50F65">
        <w:t>. This estimate is based on staff spending approximately 5 minutes reviewing and categorizing the responses ([</w:t>
      </w:r>
      <w:r w:rsidRPr="00A50F65" w:rsidR="00652A6D">
        <w:t>2</w:t>
      </w:r>
      <w:r w:rsidRPr="00A50F65">
        <w:t>,</w:t>
      </w:r>
      <w:r w:rsidRPr="00A50F65" w:rsidR="00B9287D">
        <w:t>4</w:t>
      </w:r>
      <w:r w:rsidRPr="00A50F65" w:rsidR="00652A6D">
        <w:t>00</w:t>
      </w:r>
      <w:r w:rsidRPr="00A50F65">
        <w:t xml:space="preserve"> x 5 mins/60] x $</w:t>
      </w:r>
      <w:r w:rsidRPr="00A50F65" w:rsidR="00281FE5">
        <w:t>73.48</w:t>
      </w:r>
      <w:r w:rsidRPr="00A50F65">
        <w:t xml:space="preserve">  = $1</w:t>
      </w:r>
      <w:r w:rsidRPr="00A50F65" w:rsidR="00B9287D">
        <w:t>4,696</w:t>
      </w:r>
      <w:r w:rsidRPr="00A50F65">
        <w:t>).</w:t>
      </w:r>
    </w:p>
    <w:p w:rsidR="00BE1782" w14:paraId="0D36AAF5" w14:textId="77777777">
      <w:pPr>
        <w:rPr>
          <w:b/>
          <w:bCs/>
          <w:u w:val="single"/>
        </w:rPr>
      </w:pPr>
    </w:p>
    <w:p w:rsidR="00783162" w:rsidP="00F06866" w14:paraId="4EB2A1D6" w14:textId="77777777">
      <w:pPr>
        <w:rPr>
          <w:b/>
          <w:bCs/>
          <w:u w:val="single"/>
        </w:rPr>
      </w:pPr>
      <w:r>
        <w:rPr>
          <w:b/>
          <w:bCs/>
          <w:u w:val="single"/>
        </w:rPr>
        <w:t>If you are conducting a focus group, survey, or plan to employ statistical methods, please  provide answers to the following questions:</w:t>
      </w:r>
      <w:r w:rsidR="000C5172">
        <w:rPr>
          <w:b/>
          <w:bCs/>
          <w:u w:val="single"/>
        </w:rPr>
        <w:t xml:space="preserve"> </w:t>
      </w:r>
    </w:p>
    <w:p w:rsidR="00783162" w:rsidP="00F06866" w14:paraId="6D420689" w14:textId="77777777">
      <w:pPr>
        <w:rPr>
          <w:b/>
          <w:bCs/>
          <w:u w:val="single"/>
        </w:rPr>
      </w:pPr>
    </w:p>
    <w:p w:rsidR="008551CF" w:rsidRPr="00A50F65" w:rsidP="00F06866" w14:paraId="33F70B94" w14:textId="2EC240F0">
      <w:pPr>
        <w:rPr>
          <w:b/>
        </w:rPr>
      </w:pPr>
      <w:r w:rsidRPr="00A50F65">
        <w:rPr>
          <w:b/>
          <w:bCs/>
          <w:u w:val="single"/>
        </w:rPr>
        <w:t>N/A</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 ] No</w:t>
      </w:r>
    </w:p>
    <w:p w:rsidR="008551CF" w:rsidP="00636621" w14:paraId="40D13A3B" w14:textId="77777777">
      <w:pPr>
        <w:pStyle w:val="ListParagraph"/>
      </w:pPr>
    </w:p>
    <w:p w:rsidR="008551CF" w:rsidP="001B0AAA" w14:paraId="35B3C5F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14:paraId="4CBEA172" w14:textId="77777777">
      <w:pPr>
        <w:pStyle w:val="ListParagraph"/>
      </w:pPr>
    </w:p>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8551CF" w:rsidP="001B0AAA" w14:paraId="07F4D112" w14:textId="77777777">
      <w:pPr>
        <w:ind w:left="720"/>
      </w:pPr>
      <w:r>
        <w:t xml:space="preserve">[  ] Web-based or other forms of Social Media </w:t>
      </w:r>
    </w:p>
    <w:p w:rsidR="008551CF" w:rsidP="001B0AAA" w14:paraId="56054A52" w14:textId="77777777">
      <w:pPr>
        <w:ind w:left="720"/>
      </w:pPr>
      <w:r>
        <w:t>[  ] Telephone</w:t>
      </w:r>
      <w:r>
        <w:tab/>
      </w:r>
    </w:p>
    <w:p w:rsidR="008551CF" w:rsidP="001B0AAA" w14:paraId="24012121" w14:textId="77777777">
      <w:pPr>
        <w:ind w:left="720"/>
      </w:pPr>
      <w:r>
        <w:t>[  ] In-person</w:t>
      </w:r>
      <w:r>
        <w:tab/>
      </w:r>
    </w:p>
    <w:p w:rsidR="008551CF" w:rsidP="001B0AAA" w14:paraId="5A60B3B2" w14:textId="77777777">
      <w:pPr>
        <w:ind w:left="720"/>
      </w:pPr>
      <w:r>
        <w:t xml:space="preserve">[  ] Mail </w:t>
      </w:r>
    </w:p>
    <w:p w:rsidR="008551CF" w:rsidP="001B0AAA" w14:paraId="4ADAA328" w14:textId="77777777">
      <w:pPr>
        <w:ind w:left="720"/>
      </w:pPr>
      <w:r>
        <w:t>[  ] Other, Explain</w:t>
      </w:r>
    </w:p>
    <w:p w:rsidR="008551CF" w:rsidP="00F24CFC" w14:paraId="40B21A29" w14:textId="77777777">
      <w:pPr>
        <w:pStyle w:val="ListParagraph"/>
        <w:numPr>
          <w:ilvl w:val="0"/>
          <w:numId w:val="17"/>
        </w:numPr>
      </w:pPr>
      <w:r>
        <w:t>Will interviewers or facilitators be used?  [  ] Yes [  ] No</w:t>
      </w:r>
    </w:p>
    <w:p w:rsidR="008551CF" w:rsidP="00F24CFC" w14:paraId="0BA26E90" w14:textId="684292AD">
      <w:pPr>
        <w:pStyle w:val="ListParagraph"/>
        <w:ind w:left="360"/>
      </w:pPr>
    </w:p>
    <w:p w:rsidR="00BB3C44" w:rsidP="00F24CFC" w14:paraId="4F2764ED" w14:textId="77777777">
      <w:pPr>
        <w:pStyle w:val="ListParagraph"/>
        <w:ind w:left="360"/>
      </w:pPr>
    </w:p>
    <w:p w:rsidR="00BB3C44" w:rsidP="00F24CFC" w14:paraId="31EC2470" w14:textId="77777777">
      <w:pPr>
        <w:pStyle w:val="ListParagraph"/>
        <w:ind w:left="360"/>
      </w:pPr>
    </w:p>
    <w:p w:rsidR="00BB3C44" w:rsidP="00F24CFC" w14:paraId="5699D797" w14:textId="77777777">
      <w:pPr>
        <w:pStyle w:val="ListParagraph"/>
        <w:ind w:left="360"/>
      </w:pPr>
    </w:p>
    <w:p w:rsidR="00783162" w:rsidP="00F24CFC" w14:paraId="0B12E823" w14:textId="77777777">
      <w:pPr>
        <w:pStyle w:val="ListParagraph"/>
        <w:ind w:left="360"/>
      </w:pPr>
    </w:p>
    <w:p w:rsidR="00783162" w:rsidP="00F24CFC" w14:paraId="09E80835" w14:textId="77777777">
      <w:pPr>
        <w:pStyle w:val="ListParagraph"/>
        <w:ind w:left="360"/>
      </w:pPr>
    </w:p>
    <w:p w:rsidR="00783162" w:rsidP="00F24CFC" w14:paraId="45DC6BA6" w14:textId="77777777">
      <w:pPr>
        <w:pStyle w:val="ListParagraph"/>
        <w:ind w:left="360"/>
      </w:pPr>
    </w:p>
    <w:p w:rsidR="00783162" w:rsidP="00F24CFC" w14:paraId="78499194" w14:textId="77777777">
      <w:pPr>
        <w:pStyle w:val="ListParagraph"/>
        <w:ind w:left="360"/>
      </w:pPr>
    </w:p>
    <w:p w:rsidR="00783162" w:rsidP="00F24CFC" w14:paraId="475B5BBC" w14:textId="77777777">
      <w:pPr>
        <w:pStyle w:val="ListParagraph"/>
        <w:ind w:left="360"/>
      </w:pPr>
    </w:p>
    <w:p w:rsidR="00783162" w:rsidP="00F24CFC" w14:paraId="39E3F868" w14:textId="77777777">
      <w:pPr>
        <w:pStyle w:val="ListParagraph"/>
        <w:ind w:left="360"/>
      </w:pPr>
    </w:p>
    <w:p w:rsidR="00771259" w:rsidP="00F24CFC" w14:paraId="497D8ED4" w14:textId="77777777">
      <w:pPr>
        <w:pStyle w:val="ListParagraph"/>
        <w:ind w:left="360"/>
      </w:pPr>
    </w:p>
    <w:p w:rsidR="00771259" w:rsidP="0024521E" w14:paraId="6AA13297" w14:textId="77777777">
      <w:pPr>
        <w:rPr>
          <w:b/>
        </w:rPr>
      </w:pPr>
    </w:p>
    <w:p w:rsidR="008551CF" w:rsidRPr="00F24CFC" w:rsidP="0024521E" w14:paraId="717851B7" w14:textId="26B78CCC">
      <w:pPr>
        <w:rPr>
          <w:b/>
        </w:rPr>
      </w:pPr>
      <w:r w:rsidRPr="00F24CFC">
        <w:rPr>
          <w:b/>
        </w:rPr>
        <w:t>Please make sure that all instruments, instructions, and scripts are submitted with the request.</w:t>
      </w:r>
    </w:p>
    <w:p w:rsidR="008551CF" w:rsidP="00F24CFC" w14:paraId="2FE3DDA8" w14:textId="26713D1F">
      <w:pPr>
        <w:pStyle w:val="Heading2"/>
        <w:tabs>
          <w:tab w:val="left" w:pos="900"/>
        </w:tabs>
        <w:ind w:right="-180"/>
      </w:pPr>
      <w:r>
        <w:rPr>
          <w:sz w:val="28"/>
        </w:rPr>
        <w:t xml:space="preserve">Instructions for completing Request for Approval under the </w:t>
      </w:r>
      <w:r w:rsidRPr="00F06866">
        <w:rPr>
          <w:sz w:val="28"/>
        </w:rPr>
        <w:t>“Generic Clearance for</w:t>
      </w:r>
      <w:r w:rsidR="00D01180">
        <w:rPr>
          <w:sz w:val="28"/>
        </w:rPr>
        <w:t xml:space="preserve"> </w:t>
      </w:r>
      <w:r w:rsidRPr="00D01180" w:rsidR="00D01180">
        <w:rPr>
          <w:sz w:val="28"/>
        </w:rPr>
        <w:t>Outreach Activities</w:t>
      </w:r>
      <w:r w:rsidRPr="00F06866">
        <w:rPr>
          <w:sz w:val="28"/>
        </w:rPr>
        <w:t>”</w:t>
      </w:r>
      <w:r>
        <w:rPr>
          <w:sz w:val="28"/>
        </w:rPr>
        <w:t xml:space="preserve"> </w:t>
      </w:r>
    </w:p>
    <w:p w:rsidR="008551CF" w:rsidP="00F24CFC" w14:paraId="53BB3964" w14:textId="77777777">
      <w:pPr>
        <w:rPr>
          <w:b/>
        </w:rPr>
      </w:pPr>
    </w:p>
    <w:p w:rsidR="008551CF" w:rsidP="00F24CFC" w14:paraId="5095967B" w14:textId="7F2025C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77777777">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EE0E30">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0E30" w14:paraId="7F6A3F05" w14:textId="77777777">
      <w:r>
        <w:separator/>
      </w:r>
    </w:p>
  </w:footnote>
  <w:footnote w:type="continuationSeparator" w:id="1">
    <w:p w:rsidR="00EE0E30" w14:paraId="779FCFEF" w14:textId="77777777">
      <w:r>
        <w:continuationSeparator/>
      </w:r>
    </w:p>
  </w:footnote>
  <w:footnote w:id="2">
    <w:p w:rsidR="003F22FD" w:rsidRPr="003F22FD" w:rsidP="003F22FD" w14:paraId="2B48B872" w14:textId="5CC75B9E">
      <w:pPr>
        <w:pStyle w:val="FootnoteText"/>
      </w:pPr>
      <w:r>
        <w:rPr>
          <w:rStyle w:val="FootnoteReference"/>
        </w:rPr>
        <w:footnoteRef/>
      </w:r>
      <w:r>
        <w:t xml:space="preserve"> </w:t>
      </w:r>
      <w:r w:rsidRPr="000D31CB">
        <w:t xml:space="preserve">The cost </w:t>
      </w:r>
      <w:r>
        <w:t xml:space="preserve">is based on </w:t>
      </w:r>
      <w:r w:rsidRPr="000D31CB">
        <w:t xml:space="preserve">GS-13, Step </w:t>
      </w:r>
      <w:r w:rsidR="00652A6D">
        <w:t>10</w:t>
      </w:r>
      <w:r>
        <w:t xml:space="preserve"> pay</w:t>
      </w:r>
      <w:r w:rsidRPr="000D31CB">
        <w:t>.</w:t>
      </w:r>
      <w:r w:rsidRPr="005D35DB">
        <w:t xml:space="preserve"> </w:t>
      </w:r>
      <w:r w:rsidRPr="005D35DB">
        <w:rPr>
          <w:i/>
          <w:iCs/>
        </w:rPr>
        <w:t>See</w:t>
      </w:r>
      <w:r w:rsidRPr="005D35DB">
        <w:t xml:space="preserve"> </w:t>
      </w:r>
      <w:r w:rsidRPr="00994C85" w:rsidR="00994C85">
        <w:t xml:space="preserve"> </w:t>
      </w:r>
      <w:hyperlink r:id="rId1" w:history="1">
        <w:r w:rsidRPr="005F567E">
          <w:rPr>
            <w:rStyle w:val="Hyperlink"/>
          </w:rPr>
          <w:t>https://www.opm.gov/policy-data-oversight/pay-leave/salaries-wages/salary-tables/24Tables/html/DCB_h.aspx</w:t>
        </w:r>
      </w:hyperlink>
      <w:r>
        <w:t xml:space="preserve"> </w:t>
      </w:r>
      <w:r w:rsidR="00492640">
        <w:t>in</w:t>
      </w:r>
      <w:r w:rsidRPr="003F22FD">
        <w:t>corporating the 4.7% General Schedule Increase and a Locality Payment of 33.26%</w:t>
      </w:r>
      <w:r w:rsidR="00492640">
        <w:t xml:space="preserve"> </w:t>
      </w:r>
      <w:r w:rsidRPr="003F22FD">
        <w:t>For the Locality Pay Area of Washington-Baltimore-Arlington, DC-MD-VA-WV-PA</w:t>
      </w:r>
    </w:p>
    <w:p w:rsidR="003F22FD" w:rsidRPr="003F22FD" w:rsidP="003F22FD" w14:paraId="5AB71667" w14:textId="038C269C">
      <w:pPr>
        <w:pStyle w:val="FootnoteText"/>
      </w:pPr>
      <w:r w:rsidRPr="003F22FD">
        <w:t>Total Increase: 5.31%</w:t>
      </w:r>
      <w:r w:rsidR="00492640">
        <w:t xml:space="preserve"> </w:t>
      </w:r>
      <w:r w:rsidRPr="003F22FD">
        <w:t>Effective January 2024</w:t>
      </w:r>
    </w:p>
    <w:p w:rsidR="00BE1782" w:rsidP="00994C85" w14:paraId="4E818CF2" w14:textId="591A97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458FC1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8696564">
    <w:abstractNumId w:val="10"/>
  </w:num>
  <w:num w:numId="2" w16cid:durableId="1658803999">
    <w:abstractNumId w:val="16"/>
  </w:num>
  <w:num w:numId="3" w16cid:durableId="58679564">
    <w:abstractNumId w:val="15"/>
  </w:num>
  <w:num w:numId="4" w16cid:durableId="236211553">
    <w:abstractNumId w:val="17"/>
  </w:num>
  <w:num w:numId="5" w16cid:durableId="923956419">
    <w:abstractNumId w:val="3"/>
  </w:num>
  <w:num w:numId="6" w16cid:durableId="784034979">
    <w:abstractNumId w:val="1"/>
  </w:num>
  <w:num w:numId="7" w16cid:durableId="47727358">
    <w:abstractNumId w:val="8"/>
  </w:num>
  <w:num w:numId="8" w16cid:durableId="660307644">
    <w:abstractNumId w:val="13"/>
  </w:num>
  <w:num w:numId="9" w16cid:durableId="72091117">
    <w:abstractNumId w:val="9"/>
  </w:num>
  <w:num w:numId="10" w16cid:durableId="1306394712">
    <w:abstractNumId w:val="2"/>
  </w:num>
  <w:num w:numId="11" w16cid:durableId="1363094791">
    <w:abstractNumId w:val="6"/>
  </w:num>
  <w:num w:numId="12" w16cid:durableId="82915603">
    <w:abstractNumId w:val="7"/>
  </w:num>
  <w:num w:numId="13" w16cid:durableId="1353650875">
    <w:abstractNumId w:val="0"/>
  </w:num>
  <w:num w:numId="14" w16cid:durableId="1159350370">
    <w:abstractNumId w:val="14"/>
  </w:num>
  <w:num w:numId="15" w16cid:durableId="1063210906">
    <w:abstractNumId w:val="12"/>
  </w:num>
  <w:num w:numId="16" w16cid:durableId="865754782">
    <w:abstractNumId w:val="11"/>
  </w:num>
  <w:num w:numId="17" w16cid:durableId="784688623">
    <w:abstractNumId w:val="4"/>
  </w:num>
  <w:num w:numId="18" w16cid:durableId="2083136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1643"/>
    <w:rsid w:val="00023A57"/>
    <w:rsid w:val="00036C36"/>
    <w:rsid w:val="00046769"/>
    <w:rsid w:val="00047A64"/>
    <w:rsid w:val="00066A53"/>
    <w:rsid w:val="00067329"/>
    <w:rsid w:val="00076507"/>
    <w:rsid w:val="00086454"/>
    <w:rsid w:val="000A651B"/>
    <w:rsid w:val="000B2838"/>
    <w:rsid w:val="000B5204"/>
    <w:rsid w:val="000C1AC9"/>
    <w:rsid w:val="000C5172"/>
    <w:rsid w:val="000D31CB"/>
    <w:rsid w:val="000D3C11"/>
    <w:rsid w:val="000D44CA"/>
    <w:rsid w:val="000D6B58"/>
    <w:rsid w:val="000E200B"/>
    <w:rsid w:val="000F68BE"/>
    <w:rsid w:val="00103345"/>
    <w:rsid w:val="00104166"/>
    <w:rsid w:val="00112B08"/>
    <w:rsid w:val="00116AF2"/>
    <w:rsid w:val="00125993"/>
    <w:rsid w:val="001927A4"/>
    <w:rsid w:val="00194497"/>
    <w:rsid w:val="00194AC6"/>
    <w:rsid w:val="001A1F7E"/>
    <w:rsid w:val="001A23B0"/>
    <w:rsid w:val="001A25CC"/>
    <w:rsid w:val="001A45C1"/>
    <w:rsid w:val="001B0AAA"/>
    <w:rsid w:val="001C39F7"/>
    <w:rsid w:val="001F3D6A"/>
    <w:rsid w:val="001F66DC"/>
    <w:rsid w:val="002008C8"/>
    <w:rsid w:val="00203C52"/>
    <w:rsid w:val="00206229"/>
    <w:rsid w:val="00211353"/>
    <w:rsid w:val="00216944"/>
    <w:rsid w:val="0023534D"/>
    <w:rsid w:val="00235BA5"/>
    <w:rsid w:val="00237B48"/>
    <w:rsid w:val="0024521E"/>
    <w:rsid w:val="00263C3D"/>
    <w:rsid w:val="00274D0B"/>
    <w:rsid w:val="00281FE5"/>
    <w:rsid w:val="002B3C95"/>
    <w:rsid w:val="002D0B92"/>
    <w:rsid w:val="002D0C7E"/>
    <w:rsid w:val="002E28AA"/>
    <w:rsid w:val="002F345F"/>
    <w:rsid w:val="00332516"/>
    <w:rsid w:val="00336DA7"/>
    <w:rsid w:val="003661EE"/>
    <w:rsid w:val="003773C4"/>
    <w:rsid w:val="00394B92"/>
    <w:rsid w:val="003978D0"/>
    <w:rsid w:val="003A099A"/>
    <w:rsid w:val="003A5933"/>
    <w:rsid w:val="003B1465"/>
    <w:rsid w:val="003C5771"/>
    <w:rsid w:val="003D012F"/>
    <w:rsid w:val="003D5BBE"/>
    <w:rsid w:val="003E3C61"/>
    <w:rsid w:val="003F1C5B"/>
    <w:rsid w:val="003F22FD"/>
    <w:rsid w:val="00401F97"/>
    <w:rsid w:val="00405280"/>
    <w:rsid w:val="00414C4C"/>
    <w:rsid w:val="00426660"/>
    <w:rsid w:val="004278FB"/>
    <w:rsid w:val="00434E33"/>
    <w:rsid w:val="00441434"/>
    <w:rsid w:val="00444B86"/>
    <w:rsid w:val="004479E3"/>
    <w:rsid w:val="004512C2"/>
    <w:rsid w:val="0045264C"/>
    <w:rsid w:val="00455F4A"/>
    <w:rsid w:val="0047057C"/>
    <w:rsid w:val="004876EC"/>
    <w:rsid w:val="00492640"/>
    <w:rsid w:val="00495833"/>
    <w:rsid w:val="004A3C2C"/>
    <w:rsid w:val="004D6E14"/>
    <w:rsid w:val="004E196E"/>
    <w:rsid w:val="005009B0"/>
    <w:rsid w:val="00502A84"/>
    <w:rsid w:val="00504902"/>
    <w:rsid w:val="00520570"/>
    <w:rsid w:val="00533234"/>
    <w:rsid w:val="00591A35"/>
    <w:rsid w:val="005A1006"/>
    <w:rsid w:val="005B2432"/>
    <w:rsid w:val="005C00F7"/>
    <w:rsid w:val="005D35DB"/>
    <w:rsid w:val="005E714A"/>
    <w:rsid w:val="005F567E"/>
    <w:rsid w:val="00603985"/>
    <w:rsid w:val="006140A0"/>
    <w:rsid w:val="00622552"/>
    <w:rsid w:val="00636621"/>
    <w:rsid w:val="00636E7B"/>
    <w:rsid w:val="00642B49"/>
    <w:rsid w:val="00652A6D"/>
    <w:rsid w:val="006536B7"/>
    <w:rsid w:val="00663919"/>
    <w:rsid w:val="00670108"/>
    <w:rsid w:val="00672C86"/>
    <w:rsid w:val="0067437D"/>
    <w:rsid w:val="006832D9"/>
    <w:rsid w:val="0069403B"/>
    <w:rsid w:val="006E7CD8"/>
    <w:rsid w:val="006F3DDE"/>
    <w:rsid w:val="00704678"/>
    <w:rsid w:val="007335C5"/>
    <w:rsid w:val="007425E7"/>
    <w:rsid w:val="00771259"/>
    <w:rsid w:val="00783162"/>
    <w:rsid w:val="00790CE4"/>
    <w:rsid w:val="00794871"/>
    <w:rsid w:val="007B0A7B"/>
    <w:rsid w:val="00802607"/>
    <w:rsid w:val="008101A5"/>
    <w:rsid w:val="00822664"/>
    <w:rsid w:val="00822C8E"/>
    <w:rsid w:val="00843796"/>
    <w:rsid w:val="008551CF"/>
    <w:rsid w:val="00855729"/>
    <w:rsid w:val="008743A7"/>
    <w:rsid w:val="00895229"/>
    <w:rsid w:val="008A3368"/>
    <w:rsid w:val="008C2901"/>
    <w:rsid w:val="008D2624"/>
    <w:rsid w:val="008E2E21"/>
    <w:rsid w:val="008F0203"/>
    <w:rsid w:val="008F0CB5"/>
    <w:rsid w:val="008F20CB"/>
    <w:rsid w:val="008F50D4"/>
    <w:rsid w:val="00902A05"/>
    <w:rsid w:val="0091159F"/>
    <w:rsid w:val="009239AA"/>
    <w:rsid w:val="00932FD0"/>
    <w:rsid w:val="00935ADA"/>
    <w:rsid w:val="00946B6C"/>
    <w:rsid w:val="00955A71"/>
    <w:rsid w:val="0096108F"/>
    <w:rsid w:val="00962E75"/>
    <w:rsid w:val="009728E3"/>
    <w:rsid w:val="00976C27"/>
    <w:rsid w:val="00977D0C"/>
    <w:rsid w:val="0098609D"/>
    <w:rsid w:val="00994C85"/>
    <w:rsid w:val="009A78CC"/>
    <w:rsid w:val="009B3F69"/>
    <w:rsid w:val="009B6F9D"/>
    <w:rsid w:val="009C13B9"/>
    <w:rsid w:val="009D01A2"/>
    <w:rsid w:val="009E4EDD"/>
    <w:rsid w:val="009F5923"/>
    <w:rsid w:val="00A1680C"/>
    <w:rsid w:val="00A403BB"/>
    <w:rsid w:val="00A4492C"/>
    <w:rsid w:val="00A50F65"/>
    <w:rsid w:val="00A5597C"/>
    <w:rsid w:val="00A62F12"/>
    <w:rsid w:val="00A674DF"/>
    <w:rsid w:val="00A6778A"/>
    <w:rsid w:val="00A7798C"/>
    <w:rsid w:val="00A83AA6"/>
    <w:rsid w:val="00AB266E"/>
    <w:rsid w:val="00AC3CDC"/>
    <w:rsid w:val="00AD30E5"/>
    <w:rsid w:val="00AD34C6"/>
    <w:rsid w:val="00AE1809"/>
    <w:rsid w:val="00AE1CBE"/>
    <w:rsid w:val="00AF7AC5"/>
    <w:rsid w:val="00B054B8"/>
    <w:rsid w:val="00B1164B"/>
    <w:rsid w:val="00B1335D"/>
    <w:rsid w:val="00B14AD7"/>
    <w:rsid w:val="00B54127"/>
    <w:rsid w:val="00B61A13"/>
    <w:rsid w:val="00B666A6"/>
    <w:rsid w:val="00B80D76"/>
    <w:rsid w:val="00B9287D"/>
    <w:rsid w:val="00B96395"/>
    <w:rsid w:val="00B976EB"/>
    <w:rsid w:val="00BA2105"/>
    <w:rsid w:val="00BA4E33"/>
    <w:rsid w:val="00BA7E06"/>
    <w:rsid w:val="00BB3C44"/>
    <w:rsid w:val="00BB43B5"/>
    <w:rsid w:val="00BB6219"/>
    <w:rsid w:val="00BB76F5"/>
    <w:rsid w:val="00BD2508"/>
    <w:rsid w:val="00BD290F"/>
    <w:rsid w:val="00BE1782"/>
    <w:rsid w:val="00C14CC4"/>
    <w:rsid w:val="00C15E72"/>
    <w:rsid w:val="00C246EE"/>
    <w:rsid w:val="00C33C52"/>
    <w:rsid w:val="00C40D8B"/>
    <w:rsid w:val="00C6312A"/>
    <w:rsid w:val="00C8407A"/>
    <w:rsid w:val="00C8488C"/>
    <w:rsid w:val="00C86E91"/>
    <w:rsid w:val="00CA2650"/>
    <w:rsid w:val="00CB1078"/>
    <w:rsid w:val="00CB6D58"/>
    <w:rsid w:val="00CC14E9"/>
    <w:rsid w:val="00CC6FAF"/>
    <w:rsid w:val="00CE3B85"/>
    <w:rsid w:val="00CE4806"/>
    <w:rsid w:val="00D01180"/>
    <w:rsid w:val="00D02A70"/>
    <w:rsid w:val="00D24698"/>
    <w:rsid w:val="00D6383F"/>
    <w:rsid w:val="00D658EB"/>
    <w:rsid w:val="00D8273B"/>
    <w:rsid w:val="00D913A4"/>
    <w:rsid w:val="00D943F9"/>
    <w:rsid w:val="00DA4098"/>
    <w:rsid w:val="00DB097B"/>
    <w:rsid w:val="00DB59D0"/>
    <w:rsid w:val="00DC1B72"/>
    <w:rsid w:val="00DC33D3"/>
    <w:rsid w:val="00DD55AB"/>
    <w:rsid w:val="00E26329"/>
    <w:rsid w:val="00E40B50"/>
    <w:rsid w:val="00E50293"/>
    <w:rsid w:val="00E50A93"/>
    <w:rsid w:val="00E65FFC"/>
    <w:rsid w:val="00E7755E"/>
    <w:rsid w:val="00E80951"/>
    <w:rsid w:val="00E854FE"/>
    <w:rsid w:val="00E86CC6"/>
    <w:rsid w:val="00E97771"/>
    <w:rsid w:val="00EB56B3"/>
    <w:rsid w:val="00ED6492"/>
    <w:rsid w:val="00EE0E30"/>
    <w:rsid w:val="00EF2095"/>
    <w:rsid w:val="00F06866"/>
    <w:rsid w:val="00F1452E"/>
    <w:rsid w:val="00F15956"/>
    <w:rsid w:val="00F24CFC"/>
    <w:rsid w:val="00F2720A"/>
    <w:rsid w:val="00F3170F"/>
    <w:rsid w:val="00F436AB"/>
    <w:rsid w:val="00F976B0"/>
    <w:rsid w:val="00FA6DE7"/>
    <w:rsid w:val="00FC0A8E"/>
    <w:rsid w:val="00FC6550"/>
    <w:rsid w:val="00FD330C"/>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8A3368"/>
    <w:rPr>
      <w:sz w:val="24"/>
      <w:szCs w:val="24"/>
    </w:rPr>
  </w:style>
  <w:style w:type="paragraph" w:styleId="FootnoteText">
    <w:name w:val="footnote text"/>
    <w:basedOn w:val="Normal"/>
    <w:link w:val="FootnoteTextChar"/>
    <w:uiPriority w:val="99"/>
    <w:unhideWhenUsed/>
    <w:rsid w:val="00BE1782"/>
    <w:rPr>
      <w:sz w:val="20"/>
      <w:szCs w:val="20"/>
    </w:rPr>
  </w:style>
  <w:style w:type="character" w:customStyle="1" w:styleId="FootnoteTextChar">
    <w:name w:val="Footnote Text Char"/>
    <w:basedOn w:val="DefaultParagraphFont"/>
    <w:link w:val="FootnoteText"/>
    <w:uiPriority w:val="99"/>
    <w:rsid w:val="00BE1782"/>
    <w:rPr>
      <w:sz w:val="20"/>
      <w:szCs w:val="20"/>
    </w:rPr>
  </w:style>
  <w:style w:type="character" w:styleId="FootnoteReference">
    <w:name w:val="footnote reference"/>
    <w:basedOn w:val="DefaultParagraphFont"/>
    <w:uiPriority w:val="99"/>
    <w:semiHidden/>
    <w:unhideWhenUsed/>
    <w:rsid w:val="00BE1782"/>
    <w:rPr>
      <w:vertAlign w:val="superscript"/>
    </w:rPr>
  </w:style>
  <w:style w:type="character" w:styleId="Hyperlink">
    <w:name w:val="Hyperlink"/>
    <w:basedOn w:val="DefaultParagraphFont"/>
    <w:uiPriority w:val="99"/>
    <w:unhideWhenUsed/>
    <w:rsid w:val="00BE1782"/>
    <w:rPr>
      <w:color w:val="0000FF" w:themeColor="hyperlink"/>
      <w:u w:val="single"/>
    </w:rPr>
  </w:style>
  <w:style w:type="character" w:styleId="FollowedHyperlink">
    <w:name w:val="FollowedHyperlink"/>
    <w:basedOn w:val="DefaultParagraphFont"/>
    <w:uiPriority w:val="99"/>
    <w:semiHidden/>
    <w:unhideWhenUsed/>
    <w:rsid w:val="00652A6D"/>
    <w:rPr>
      <w:color w:val="800080" w:themeColor="followedHyperlink"/>
      <w:u w:val="single"/>
    </w:rPr>
  </w:style>
  <w:style w:type="character" w:styleId="UnresolvedMention">
    <w:name w:val="Unresolved Mention"/>
    <w:basedOn w:val="DefaultParagraphFont"/>
    <w:uiPriority w:val="99"/>
    <w:semiHidden/>
    <w:unhideWhenUsed/>
    <w:rsid w:val="003F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4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9A8BC-DD2A-4DF8-8377-A75F0E3E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Vadukumcherry, Wilson - OASAM OCIO</cp:lastModifiedBy>
  <cp:revision>9</cp:revision>
  <cp:lastPrinted>2010-10-04T16:59:00Z</cp:lastPrinted>
  <dcterms:created xsi:type="dcterms:W3CDTF">2024-04-22T20:57:00Z</dcterms:created>
  <dcterms:modified xsi:type="dcterms:W3CDTF">2024-05-08T15:44:00Z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