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2FC7" w14:paraId="38299462" w14:textId="18C6F61F">
      <w:pPr>
        <w:rPr>
          <w:b/>
          <w:bCs/>
        </w:rPr>
      </w:pPr>
      <w:r w:rsidRPr="00846A3C">
        <w:rPr>
          <w:b/>
          <w:bCs/>
        </w:rPr>
        <w:t>Part B: Collection of Information Employing Statistical Methods</w:t>
      </w:r>
    </w:p>
    <w:p w:rsidR="00C5282C" w:rsidRPr="004942B1" w14:paraId="3BCA9AC6" w14:textId="77777777">
      <w:pPr>
        <w:rPr>
          <w:rFonts w:ascii="Calibri" w:hAnsi="Calibri" w:cs="Calibri"/>
          <w:b/>
          <w:bCs/>
        </w:rPr>
      </w:pPr>
    </w:p>
    <w:p w:rsidR="00330B72" w:rsidRPr="00846A3C" w:rsidP="00330B72" w14:paraId="24521FC4" w14:textId="19D8E61D">
      <w:pPr>
        <w:pStyle w:val="ListParagraph"/>
        <w:numPr>
          <w:ilvl w:val="0"/>
          <w:numId w:val="1"/>
        </w:numPr>
        <w:rPr>
          <w:rFonts w:ascii="Times New Roman" w:hAnsi="Times New Roman" w:cs="Times New Roman"/>
          <w:sz w:val="24"/>
          <w:szCs w:val="24"/>
        </w:rPr>
      </w:pPr>
      <w:r w:rsidRPr="00846A3C">
        <w:rPr>
          <w:rFonts w:ascii="Times New Roman" w:hAnsi="Times New Roman" w:cs="Times New Roman"/>
          <w:b/>
          <w:bCs/>
          <w:sz w:val="24"/>
          <w:szCs w:val="24"/>
        </w:rPr>
        <w:t>Describe (including a numerical estimate) the potential respondent universe and any sampling or other respondent selection method to be used</w:t>
      </w:r>
      <w:r w:rsidRPr="00846A3C" w:rsidR="00037217">
        <w:rPr>
          <w:rFonts w:ascii="Times New Roman" w:hAnsi="Times New Roman" w:cs="Times New Roman"/>
          <w:b/>
          <w:bCs/>
          <w:sz w:val="24"/>
          <w:szCs w:val="24"/>
        </w:rPr>
        <w:t xml:space="preserve">. </w:t>
      </w:r>
      <w:r w:rsidRPr="00846A3C">
        <w:rPr>
          <w:rFonts w:ascii="Times New Roman" w:hAnsi="Times New Roman" w:cs="Times New Roman"/>
          <w:b/>
          <w:bCs/>
          <w:sz w:val="24"/>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Pr="00846A3C" w:rsidR="00037217">
        <w:rPr>
          <w:rFonts w:ascii="Times New Roman" w:hAnsi="Times New Roman" w:cs="Times New Roman"/>
          <w:b/>
          <w:bCs/>
          <w:sz w:val="24"/>
          <w:szCs w:val="24"/>
        </w:rPr>
        <w:t xml:space="preserve">. </w:t>
      </w:r>
      <w:r w:rsidRPr="00846A3C">
        <w:rPr>
          <w:rFonts w:ascii="Times New Roman" w:hAnsi="Times New Roman" w:cs="Times New Roman"/>
          <w:b/>
          <w:bCs/>
          <w:sz w:val="24"/>
          <w:szCs w:val="24"/>
        </w:rPr>
        <w:t>Indicate expected response rates for the collection as a whole</w:t>
      </w:r>
      <w:r w:rsidRPr="00846A3C" w:rsidR="00037217">
        <w:rPr>
          <w:rFonts w:ascii="Times New Roman" w:hAnsi="Times New Roman" w:cs="Times New Roman"/>
          <w:b/>
          <w:bCs/>
          <w:sz w:val="24"/>
          <w:szCs w:val="24"/>
        </w:rPr>
        <w:t xml:space="preserve">. </w:t>
      </w:r>
      <w:r w:rsidRPr="00846A3C">
        <w:rPr>
          <w:rFonts w:ascii="Times New Roman" w:hAnsi="Times New Roman" w:cs="Times New Roman"/>
          <w:b/>
          <w:bCs/>
          <w:sz w:val="24"/>
          <w:szCs w:val="24"/>
        </w:rPr>
        <w:t>If the collection had been conducted previously, include the actual response rate achieved during the last collection.</w:t>
      </w:r>
      <w:r w:rsidR="008E2AEB">
        <w:rPr>
          <w:rFonts w:ascii="Times New Roman" w:hAnsi="Times New Roman" w:cs="Times New Roman"/>
          <w:b/>
          <w:bCs/>
          <w:sz w:val="24"/>
          <w:szCs w:val="24"/>
        </w:rPr>
        <w:t xml:space="preserve"> </w:t>
      </w:r>
    </w:p>
    <w:p w:rsidR="00330B72" w:rsidP="00330B72" w14:paraId="67CDE623" w14:textId="3ED285C8">
      <w:pPr>
        <w:rPr>
          <w:b/>
          <w:bCs/>
        </w:rPr>
      </w:pPr>
      <w:r w:rsidRPr="002550E2">
        <w:rPr>
          <w:b/>
          <w:bCs/>
        </w:rPr>
        <w:t>Note: response rate means: Of those in your respondent sample, from what percentage do you expect to get the required information (if this is not a mandatory collection). The nonrespondents would include those you could not contact, as well as those you contacted but who refused to participate.</w:t>
      </w:r>
    </w:p>
    <w:p w:rsidR="0079736D" w:rsidRPr="002550E2" w:rsidP="00330B72" w14:paraId="370BCE7F" w14:textId="77777777">
      <w:pPr>
        <w:rPr>
          <w:b/>
          <w:bCs/>
        </w:rPr>
      </w:pPr>
    </w:p>
    <w:p w:rsidR="00330B72" w:rsidP="00617002" w14:paraId="31B550A4" w14:textId="0DEC9776">
      <w:r>
        <w:t xml:space="preserve">The universe of potential </w:t>
      </w:r>
      <w:r w:rsidR="00F728B7">
        <w:t xml:space="preserve">respondents </w:t>
      </w:r>
      <w:r w:rsidR="006C346E">
        <w:t>of</w:t>
      </w:r>
      <w:r w:rsidR="00F728B7">
        <w:t xml:space="preserve"> the data collection efforts </w:t>
      </w:r>
      <w:r w:rsidR="006C346E">
        <w:t xml:space="preserve">that this </w:t>
      </w:r>
      <w:r w:rsidR="00737C3B">
        <w:t xml:space="preserve">request </w:t>
      </w:r>
      <w:r w:rsidR="000C31E9">
        <w:t>seeks</w:t>
      </w:r>
      <w:r w:rsidR="00737C3B">
        <w:t xml:space="preserve"> </w:t>
      </w:r>
      <w:r w:rsidR="00113368">
        <w:t xml:space="preserve">approval </w:t>
      </w:r>
      <w:r w:rsidR="00737C3B">
        <w:t>from Office of Management and Budget (OMB)</w:t>
      </w:r>
      <w:r w:rsidR="00113368">
        <w:t xml:space="preserve"> includes all </w:t>
      </w:r>
      <w:r w:rsidR="00B15DD9">
        <w:t>coordinators of the</w:t>
      </w:r>
      <w:r w:rsidR="00E4790E">
        <w:t xml:space="preserve"> </w:t>
      </w:r>
      <w:r w:rsidR="00E207CA">
        <w:t>Work Opportunity Tax Credit (</w:t>
      </w:r>
      <w:r w:rsidR="00E4790E">
        <w:t>WOTC</w:t>
      </w:r>
      <w:r w:rsidR="00E207CA">
        <w:t>)</w:t>
      </w:r>
      <w:r w:rsidR="00E4790E">
        <w:t xml:space="preserve"> program in all </w:t>
      </w:r>
      <w:r w:rsidR="00B15DD9">
        <w:t>5</w:t>
      </w:r>
      <w:r w:rsidR="00B17D70">
        <w:t>3</w:t>
      </w:r>
      <w:r w:rsidR="00B15DD9">
        <w:t xml:space="preserve"> </w:t>
      </w:r>
      <w:r w:rsidR="00E207CA">
        <w:t>State Workforce Agencies (</w:t>
      </w:r>
      <w:r w:rsidR="00E4790E">
        <w:t>SWAs</w:t>
      </w:r>
      <w:r w:rsidR="00E207CA">
        <w:t>)</w:t>
      </w:r>
      <w:r w:rsidR="00B17D70">
        <w:t xml:space="preserve"> (this includes all 50 states plus Washington, D.C., Puerto Rico, and the U.S. Virgin Islands)</w:t>
      </w:r>
      <w:r w:rsidR="00EF73E2">
        <w:t xml:space="preserve">. </w:t>
      </w:r>
      <w:r w:rsidR="00C8414A">
        <w:t>The universe for all other respondents will be based on a subset of the SWAs that have the capacity and willingness to provide electronic data needed for sampling and analysis.</w:t>
      </w:r>
      <w:r w:rsidR="00E4790E">
        <w:t xml:space="preserve"> </w:t>
      </w:r>
      <w:r w:rsidR="00C8414A">
        <w:t xml:space="preserve">Once this “operational universe” is established, random samples will be drawn of </w:t>
      </w:r>
      <w:r w:rsidR="00850225">
        <w:t>American Job Center (</w:t>
      </w:r>
      <w:r w:rsidR="00E4790E">
        <w:t>AJC</w:t>
      </w:r>
      <w:r w:rsidR="00850225">
        <w:t>)</w:t>
      </w:r>
      <w:r w:rsidR="00E4790E">
        <w:t xml:space="preserve"> and partner organizations, employers</w:t>
      </w:r>
      <w:r w:rsidR="00AC2DCB">
        <w:t xml:space="preserve"> </w:t>
      </w:r>
      <w:r w:rsidR="000C31E9">
        <w:t>that requested</w:t>
      </w:r>
      <w:r w:rsidR="00AC2DCB">
        <w:t xml:space="preserve"> certification </w:t>
      </w:r>
      <w:r w:rsidR="000C31E9">
        <w:t>of</w:t>
      </w:r>
      <w:r w:rsidR="00AC2DCB">
        <w:t xml:space="preserve"> WOTC eligibility</w:t>
      </w:r>
      <w:r w:rsidR="000C31E9">
        <w:t xml:space="preserve"> of hired employees,</w:t>
      </w:r>
      <w:r w:rsidR="00B15DD9">
        <w:t xml:space="preserve"> representatives that support </w:t>
      </w:r>
      <w:r w:rsidR="000C31E9">
        <w:t>some employers in their interactions with SWAs,</w:t>
      </w:r>
      <w:r w:rsidR="00EF4213">
        <w:t xml:space="preserve"> and </w:t>
      </w:r>
      <w:r w:rsidR="000C31E9">
        <w:t>SWA-certified WOTC employees</w:t>
      </w:r>
      <w:r w:rsidR="00EF73E2">
        <w:t>.</w:t>
      </w:r>
      <w:r w:rsidRPr="00850225" w:rsidR="00EF73E2">
        <w:t xml:space="preserve"> </w:t>
      </w:r>
      <w:r w:rsidRPr="00850225" w:rsidR="00850225">
        <w:fldChar w:fldCharType="begin"/>
      </w:r>
      <w:r w:rsidRPr="00850225" w:rsidR="00850225">
        <w:instrText xml:space="preserve"> REF _Ref170114745 \h  \* MERGEFORMAT </w:instrText>
      </w:r>
      <w:r w:rsidRPr="00850225" w:rsidR="00850225">
        <w:fldChar w:fldCharType="separate"/>
      </w:r>
      <w:r w:rsidRPr="00DC67AF" w:rsidR="00DC67AF">
        <w:t xml:space="preserve">Table </w:t>
      </w:r>
      <w:r w:rsidRPr="00DC67AF" w:rsidR="00DC67AF">
        <w:rPr>
          <w:noProof/>
        </w:rPr>
        <w:t>1</w:t>
      </w:r>
      <w:r w:rsidRPr="00850225" w:rsidR="00850225">
        <w:fldChar w:fldCharType="end"/>
      </w:r>
      <w:r w:rsidR="00E15FC9">
        <w:t xml:space="preserve"> provides the study universe and expected response rates for each survey respondent group. </w:t>
      </w:r>
    </w:p>
    <w:p w:rsidR="00BD67B2" w:rsidP="00330B72" w14:paraId="0D4C30AC" w14:textId="77777777"/>
    <w:p w:rsidR="00850225" w:rsidRPr="00850225" w:rsidP="00850225" w14:paraId="2FD005A7" w14:textId="7B33EE3A">
      <w:pPr>
        <w:pStyle w:val="Caption"/>
        <w:keepNext/>
        <w:rPr>
          <w:rFonts w:ascii="Times New Roman" w:hAnsi="Times New Roman" w:cs="Times New Roman"/>
          <w:b/>
          <w:bCs/>
          <w:i w:val="0"/>
          <w:iCs w:val="0"/>
          <w:sz w:val="24"/>
          <w:szCs w:val="24"/>
        </w:rPr>
      </w:pPr>
      <w:bookmarkStart w:id="0" w:name="_Ref170114745"/>
      <w:r w:rsidRPr="00850225">
        <w:rPr>
          <w:rFonts w:ascii="Times New Roman" w:hAnsi="Times New Roman" w:cs="Times New Roman"/>
          <w:b/>
          <w:bCs/>
          <w:i w:val="0"/>
          <w:iCs w:val="0"/>
          <w:sz w:val="24"/>
          <w:szCs w:val="24"/>
        </w:rPr>
        <w:t xml:space="preserve">Table </w:t>
      </w:r>
      <w:r w:rsidRPr="00850225">
        <w:rPr>
          <w:rFonts w:ascii="Times New Roman" w:hAnsi="Times New Roman" w:cs="Times New Roman"/>
          <w:b/>
          <w:bCs/>
          <w:i w:val="0"/>
          <w:iCs w:val="0"/>
          <w:sz w:val="24"/>
          <w:szCs w:val="24"/>
        </w:rPr>
        <w:fldChar w:fldCharType="begin"/>
      </w:r>
      <w:r w:rsidRPr="00850225">
        <w:rPr>
          <w:rFonts w:ascii="Times New Roman" w:hAnsi="Times New Roman" w:cs="Times New Roman"/>
          <w:b/>
          <w:bCs/>
          <w:i w:val="0"/>
          <w:iCs w:val="0"/>
          <w:sz w:val="24"/>
          <w:szCs w:val="24"/>
        </w:rPr>
        <w:instrText xml:space="preserve"> SEQ Table \* ARABIC </w:instrText>
      </w:r>
      <w:r w:rsidRPr="00850225">
        <w:rPr>
          <w:rFonts w:ascii="Times New Roman" w:hAnsi="Times New Roman" w:cs="Times New Roman"/>
          <w:b/>
          <w:bCs/>
          <w:i w:val="0"/>
          <w:iCs w:val="0"/>
          <w:sz w:val="24"/>
          <w:szCs w:val="24"/>
        </w:rPr>
        <w:fldChar w:fldCharType="separate"/>
      </w:r>
      <w:r w:rsidR="00DC67AF">
        <w:rPr>
          <w:rFonts w:ascii="Times New Roman" w:hAnsi="Times New Roman" w:cs="Times New Roman"/>
          <w:b/>
          <w:bCs/>
          <w:i w:val="0"/>
          <w:iCs w:val="0"/>
          <w:noProof/>
          <w:sz w:val="24"/>
          <w:szCs w:val="24"/>
        </w:rPr>
        <w:t>1</w:t>
      </w:r>
      <w:r w:rsidRPr="00850225">
        <w:rPr>
          <w:rFonts w:ascii="Times New Roman" w:hAnsi="Times New Roman" w:cs="Times New Roman"/>
          <w:b/>
          <w:bCs/>
          <w:i w:val="0"/>
          <w:iCs w:val="0"/>
          <w:sz w:val="24"/>
          <w:szCs w:val="24"/>
        </w:rPr>
        <w:fldChar w:fldCharType="end"/>
      </w:r>
      <w:bookmarkEnd w:id="0"/>
      <w:r w:rsidRPr="00850225">
        <w:rPr>
          <w:rFonts w:ascii="Times New Roman" w:hAnsi="Times New Roman" w:cs="Times New Roman"/>
          <w:b/>
          <w:bCs/>
          <w:i w:val="0"/>
          <w:iCs w:val="0"/>
          <w:sz w:val="24"/>
          <w:szCs w:val="24"/>
        </w:rPr>
        <w:t>. Respondent Universe by Type</w:t>
      </w:r>
    </w:p>
    <w:tbl>
      <w:tblPr>
        <w:tblStyle w:val="TableGrid"/>
        <w:tblW w:w="0" w:type="auto"/>
        <w:tblLayout w:type="fixed"/>
        <w:tblLook w:val="04A0"/>
      </w:tblPr>
      <w:tblGrid>
        <w:gridCol w:w="1525"/>
        <w:gridCol w:w="1170"/>
        <w:gridCol w:w="2700"/>
        <w:gridCol w:w="1440"/>
        <w:gridCol w:w="1350"/>
        <w:gridCol w:w="1165"/>
      </w:tblGrid>
      <w:tr w14:paraId="7E218C22" w14:textId="6AA81259" w:rsidTr="00DC67AF">
        <w:tblPrEx>
          <w:tblW w:w="0" w:type="auto"/>
          <w:tblLayout w:type="fixed"/>
          <w:tblLook w:val="04A0"/>
        </w:tblPrEx>
        <w:trPr>
          <w:tblHeader/>
        </w:trPr>
        <w:tc>
          <w:tcPr>
            <w:tcW w:w="1525" w:type="dxa"/>
            <w:shd w:val="clear" w:color="auto" w:fill="D9D9D9" w:themeFill="background1" w:themeFillShade="D9"/>
          </w:tcPr>
          <w:p w:rsidR="00104C12" w:rsidRPr="00191F15" w:rsidP="00330B72" w14:paraId="0418079B" w14:textId="39BC8F91">
            <w:pPr>
              <w:rPr>
                <w:b/>
                <w:bCs/>
                <w:sz w:val="22"/>
                <w:szCs w:val="22"/>
              </w:rPr>
            </w:pPr>
            <w:r w:rsidRPr="00191F15">
              <w:rPr>
                <w:b/>
                <w:bCs/>
                <w:sz w:val="22"/>
                <w:szCs w:val="22"/>
              </w:rPr>
              <w:t>Type</w:t>
            </w:r>
          </w:p>
        </w:tc>
        <w:tc>
          <w:tcPr>
            <w:tcW w:w="1170" w:type="dxa"/>
            <w:shd w:val="clear" w:color="auto" w:fill="D9D9D9" w:themeFill="background1" w:themeFillShade="D9"/>
          </w:tcPr>
          <w:p w:rsidR="00104C12" w:rsidRPr="00191F15" w:rsidP="00330B72" w14:paraId="2C8F003F" w14:textId="799DBF32">
            <w:pPr>
              <w:rPr>
                <w:b/>
                <w:bCs/>
                <w:sz w:val="22"/>
                <w:szCs w:val="22"/>
              </w:rPr>
            </w:pPr>
            <w:r w:rsidRPr="00191F15">
              <w:rPr>
                <w:b/>
                <w:bCs/>
                <w:sz w:val="22"/>
                <w:szCs w:val="22"/>
              </w:rPr>
              <w:t>Sampling method</w:t>
            </w:r>
          </w:p>
        </w:tc>
        <w:tc>
          <w:tcPr>
            <w:tcW w:w="2700" w:type="dxa"/>
            <w:shd w:val="clear" w:color="auto" w:fill="D9D9D9" w:themeFill="background1" w:themeFillShade="D9"/>
          </w:tcPr>
          <w:p w:rsidR="00104C12" w:rsidRPr="00191F15" w:rsidP="00330B72" w14:paraId="28E87198" w14:textId="2A2CF17A">
            <w:pPr>
              <w:rPr>
                <w:b/>
                <w:bCs/>
                <w:sz w:val="22"/>
                <w:szCs w:val="22"/>
              </w:rPr>
            </w:pPr>
            <w:r w:rsidRPr="00191F15">
              <w:rPr>
                <w:b/>
                <w:bCs/>
                <w:sz w:val="22"/>
                <w:szCs w:val="22"/>
              </w:rPr>
              <w:t>Universe Size</w:t>
            </w:r>
          </w:p>
        </w:tc>
        <w:tc>
          <w:tcPr>
            <w:tcW w:w="1440" w:type="dxa"/>
            <w:shd w:val="clear" w:color="auto" w:fill="D9D9D9" w:themeFill="background1" w:themeFillShade="D9"/>
          </w:tcPr>
          <w:p w:rsidR="00104C12" w:rsidRPr="00191F15" w:rsidP="00330B72" w14:paraId="7CBC63E6" w14:textId="7B7C3D58">
            <w:pPr>
              <w:rPr>
                <w:b/>
                <w:bCs/>
                <w:sz w:val="22"/>
                <w:szCs w:val="22"/>
              </w:rPr>
            </w:pPr>
            <w:r w:rsidRPr="00191F15">
              <w:rPr>
                <w:b/>
                <w:bCs/>
                <w:sz w:val="22"/>
                <w:szCs w:val="22"/>
              </w:rPr>
              <w:t xml:space="preserve">Number of </w:t>
            </w:r>
            <w:r w:rsidRPr="00191F15" w:rsidR="00FD1982">
              <w:rPr>
                <w:b/>
                <w:bCs/>
                <w:sz w:val="22"/>
                <w:szCs w:val="22"/>
              </w:rPr>
              <w:t xml:space="preserve">expected </w:t>
            </w:r>
            <w:r w:rsidRPr="00191F15">
              <w:rPr>
                <w:b/>
                <w:bCs/>
                <w:sz w:val="22"/>
                <w:szCs w:val="22"/>
              </w:rPr>
              <w:t xml:space="preserve">respondents </w:t>
            </w:r>
          </w:p>
        </w:tc>
        <w:tc>
          <w:tcPr>
            <w:tcW w:w="1350" w:type="dxa"/>
            <w:shd w:val="clear" w:color="auto" w:fill="D9D9D9" w:themeFill="background1" w:themeFillShade="D9"/>
          </w:tcPr>
          <w:p w:rsidR="00104C12" w:rsidRPr="00191F15" w:rsidP="00330B72" w14:paraId="4EEFCC6D" w14:textId="541A4BA6">
            <w:pPr>
              <w:rPr>
                <w:b/>
                <w:bCs/>
                <w:sz w:val="22"/>
                <w:szCs w:val="22"/>
              </w:rPr>
            </w:pPr>
            <w:r w:rsidRPr="00191F15">
              <w:rPr>
                <w:b/>
                <w:bCs/>
                <w:sz w:val="22"/>
                <w:szCs w:val="22"/>
              </w:rPr>
              <w:t>Estimated response per respondent</w:t>
            </w:r>
          </w:p>
        </w:tc>
        <w:tc>
          <w:tcPr>
            <w:tcW w:w="1165" w:type="dxa"/>
            <w:shd w:val="clear" w:color="auto" w:fill="D9D9D9" w:themeFill="background1" w:themeFillShade="D9"/>
          </w:tcPr>
          <w:p w:rsidR="00104C12" w:rsidRPr="00191F15" w:rsidP="00330B72" w14:paraId="4CD4E168" w14:textId="0D74EB29">
            <w:pPr>
              <w:rPr>
                <w:b/>
                <w:bCs/>
                <w:sz w:val="22"/>
                <w:szCs w:val="22"/>
              </w:rPr>
            </w:pPr>
            <w:r>
              <w:rPr>
                <w:b/>
                <w:bCs/>
                <w:sz w:val="22"/>
                <w:szCs w:val="22"/>
              </w:rPr>
              <w:t>Expected</w:t>
            </w:r>
            <w:r w:rsidRPr="00191F15">
              <w:rPr>
                <w:b/>
                <w:bCs/>
                <w:sz w:val="22"/>
                <w:szCs w:val="22"/>
              </w:rPr>
              <w:t xml:space="preserve"> </w:t>
            </w:r>
            <w:r w:rsidRPr="00191F15">
              <w:rPr>
                <w:b/>
                <w:bCs/>
                <w:sz w:val="22"/>
                <w:szCs w:val="22"/>
              </w:rPr>
              <w:t>response rate</w:t>
            </w:r>
          </w:p>
        </w:tc>
      </w:tr>
      <w:tr w14:paraId="48996926" w14:textId="4B39FD65" w:rsidTr="0058119E">
        <w:tblPrEx>
          <w:tblW w:w="0" w:type="auto"/>
          <w:tblLayout w:type="fixed"/>
          <w:tblLook w:val="04A0"/>
        </w:tblPrEx>
        <w:tc>
          <w:tcPr>
            <w:tcW w:w="1525" w:type="dxa"/>
          </w:tcPr>
          <w:p w:rsidR="00104C12" w:rsidRPr="00191F15" w:rsidP="00330B72" w14:paraId="6809E63E" w14:textId="6F3E973A">
            <w:pPr>
              <w:rPr>
                <w:sz w:val="22"/>
                <w:szCs w:val="22"/>
              </w:rPr>
            </w:pPr>
            <w:r w:rsidRPr="00191F15">
              <w:rPr>
                <w:sz w:val="22"/>
                <w:szCs w:val="22"/>
              </w:rPr>
              <w:t>State</w:t>
            </w:r>
          </w:p>
        </w:tc>
        <w:tc>
          <w:tcPr>
            <w:tcW w:w="1170" w:type="dxa"/>
          </w:tcPr>
          <w:p w:rsidR="00104C12" w:rsidRPr="00191F15" w:rsidP="00330B72" w14:paraId="293EFB93" w14:textId="1AB90358">
            <w:pPr>
              <w:rPr>
                <w:sz w:val="22"/>
                <w:szCs w:val="22"/>
              </w:rPr>
            </w:pPr>
            <w:r w:rsidRPr="00191F15">
              <w:rPr>
                <w:sz w:val="22"/>
                <w:szCs w:val="22"/>
              </w:rPr>
              <w:t>Census</w:t>
            </w:r>
          </w:p>
        </w:tc>
        <w:tc>
          <w:tcPr>
            <w:tcW w:w="2700" w:type="dxa"/>
          </w:tcPr>
          <w:p w:rsidR="00104C12" w:rsidRPr="00191F15" w:rsidP="00330B72" w14:paraId="5ED2B5F5" w14:textId="33F80558">
            <w:pPr>
              <w:rPr>
                <w:sz w:val="22"/>
                <w:szCs w:val="22"/>
              </w:rPr>
            </w:pPr>
            <w:r w:rsidRPr="00191F15">
              <w:rPr>
                <w:sz w:val="22"/>
                <w:szCs w:val="22"/>
              </w:rPr>
              <w:t>5</w:t>
            </w:r>
            <w:r w:rsidR="00B17D70">
              <w:rPr>
                <w:sz w:val="22"/>
                <w:szCs w:val="22"/>
              </w:rPr>
              <w:t>3</w:t>
            </w:r>
          </w:p>
        </w:tc>
        <w:tc>
          <w:tcPr>
            <w:tcW w:w="1440" w:type="dxa"/>
          </w:tcPr>
          <w:p w:rsidR="00104C12" w:rsidRPr="00191F15" w:rsidP="00B84564" w14:paraId="6FBBD59E" w14:textId="1A6BB41A">
            <w:pPr>
              <w:jc w:val="center"/>
              <w:rPr>
                <w:sz w:val="22"/>
                <w:szCs w:val="22"/>
              </w:rPr>
            </w:pPr>
            <w:r>
              <w:rPr>
                <w:sz w:val="22"/>
                <w:szCs w:val="22"/>
              </w:rPr>
              <w:t>50</w:t>
            </w:r>
          </w:p>
        </w:tc>
        <w:tc>
          <w:tcPr>
            <w:tcW w:w="1350" w:type="dxa"/>
          </w:tcPr>
          <w:p w:rsidR="00104C12" w:rsidRPr="00191F15" w:rsidP="00B84564" w14:paraId="0742F5A4" w14:textId="0FD4F40D">
            <w:pPr>
              <w:jc w:val="center"/>
              <w:rPr>
                <w:sz w:val="22"/>
                <w:szCs w:val="22"/>
              </w:rPr>
            </w:pPr>
            <w:r w:rsidRPr="00191F15">
              <w:rPr>
                <w:sz w:val="22"/>
                <w:szCs w:val="22"/>
              </w:rPr>
              <w:t>1</w:t>
            </w:r>
          </w:p>
        </w:tc>
        <w:tc>
          <w:tcPr>
            <w:tcW w:w="1165" w:type="dxa"/>
          </w:tcPr>
          <w:p w:rsidR="00104C12" w:rsidRPr="00191F15" w:rsidP="00B84564" w14:paraId="0ABAFB30" w14:textId="69423F06">
            <w:pPr>
              <w:jc w:val="center"/>
              <w:rPr>
                <w:sz w:val="22"/>
                <w:szCs w:val="22"/>
              </w:rPr>
            </w:pPr>
            <w:r>
              <w:rPr>
                <w:sz w:val="22"/>
                <w:szCs w:val="22"/>
              </w:rPr>
              <w:t>95</w:t>
            </w:r>
            <w:r w:rsidRPr="00191F15">
              <w:rPr>
                <w:sz w:val="22"/>
                <w:szCs w:val="22"/>
              </w:rPr>
              <w:t>%</w:t>
            </w:r>
            <w:r w:rsidRPr="00C1597A" w:rsidR="00C1597A">
              <w:rPr>
                <w:sz w:val="22"/>
                <w:szCs w:val="22"/>
                <w:vertAlign w:val="superscript"/>
              </w:rPr>
              <w:t>1</w:t>
            </w:r>
          </w:p>
        </w:tc>
      </w:tr>
      <w:tr w14:paraId="2DCB7F36" w14:textId="576481DB" w:rsidTr="0058119E">
        <w:tblPrEx>
          <w:tblW w:w="0" w:type="auto"/>
          <w:tblLayout w:type="fixed"/>
          <w:tblLook w:val="04A0"/>
        </w:tblPrEx>
        <w:tc>
          <w:tcPr>
            <w:tcW w:w="1525" w:type="dxa"/>
          </w:tcPr>
          <w:p w:rsidR="00104C12" w:rsidRPr="00191F15" w:rsidP="00330B72" w14:paraId="4063B956" w14:textId="636574EF">
            <w:pPr>
              <w:rPr>
                <w:sz w:val="22"/>
                <w:szCs w:val="22"/>
              </w:rPr>
            </w:pPr>
            <w:r w:rsidRPr="00191F15">
              <w:rPr>
                <w:sz w:val="22"/>
                <w:szCs w:val="22"/>
              </w:rPr>
              <w:t>Employer</w:t>
            </w:r>
          </w:p>
        </w:tc>
        <w:tc>
          <w:tcPr>
            <w:tcW w:w="1170" w:type="dxa"/>
          </w:tcPr>
          <w:p w:rsidR="00104C12" w:rsidRPr="00191F15" w:rsidP="00330B72" w14:paraId="5C1EF5C3" w14:textId="243D866C">
            <w:pPr>
              <w:rPr>
                <w:sz w:val="22"/>
                <w:szCs w:val="22"/>
              </w:rPr>
            </w:pPr>
            <w:r w:rsidRPr="00191F15">
              <w:rPr>
                <w:sz w:val="22"/>
                <w:szCs w:val="22"/>
              </w:rPr>
              <w:t xml:space="preserve">Random </w:t>
            </w:r>
            <w:r w:rsidRPr="00191F15" w:rsidR="00AB10F5">
              <w:rPr>
                <w:sz w:val="22"/>
                <w:szCs w:val="22"/>
              </w:rPr>
              <w:t>Sample</w:t>
            </w:r>
          </w:p>
        </w:tc>
        <w:tc>
          <w:tcPr>
            <w:tcW w:w="2700" w:type="dxa"/>
          </w:tcPr>
          <w:p w:rsidR="00104C12" w:rsidRPr="00191F15" w:rsidP="00330B72" w14:paraId="4CC9EC9C" w14:textId="7AE84D88">
            <w:pPr>
              <w:rPr>
                <w:sz w:val="22"/>
                <w:szCs w:val="22"/>
              </w:rPr>
            </w:pPr>
            <w:r w:rsidRPr="00191F15">
              <w:rPr>
                <w:sz w:val="22"/>
                <w:szCs w:val="22"/>
              </w:rPr>
              <w:t>Unknown; will be obtained from SWA data</w:t>
            </w:r>
            <w:r w:rsidRPr="00191F15" w:rsidR="00EF73E2">
              <w:rPr>
                <w:sz w:val="22"/>
                <w:szCs w:val="22"/>
              </w:rPr>
              <w:t xml:space="preserve">. </w:t>
            </w:r>
          </w:p>
        </w:tc>
        <w:tc>
          <w:tcPr>
            <w:tcW w:w="1440" w:type="dxa"/>
          </w:tcPr>
          <w:p w:rsidR="00104C12" w:rsidRPr="00191F15" w:rsidP="00B84564" w14:paraId="02B09C70" w14:textId="181CE0B7">
            <w:pPr>
              <w:jc w:val="center"/>
              <w:rPr>
                <w:sz w:val="22"/>
                <w:szCs w:val="22"/>
              </w:rPr>
            </w:pPr>
            <w:r w:rsidRPr="00191F15">
              <w:rPr>
                <w:sz w:val="22"/>
                <w:szCs w:val="22"/>
              </w:rPr>
              <w:t>400</w:t>
            </w:r>
          </w:p>
        </w:tc>
        <w:tc>
          <w:tcPr>
            <w:tcW w:w="1350" w:type="dxa"/>
          </w:tcPr>
          <w:p w:rsidR="00104C12" w:rsidRPr="00191F15" w:rsidP="00B84564" w14:paraId="21D35B37" w14:textId="77A35AE8">
            <w:pPr>
              <w:jc w:val="center"/>
              <w:rPr>
                <w:sz w:val="22"/>
                <w:szCs w:val="22"/>
              </w:rPr>
            </w:pPr>
            <w:r w:rsidRPr="00191F15">
              <w:rPr>
                <w:sz w:val="22"/>
                <w:szCs w:val="22"/>
              </w:rPr>
              <w:t>1</w:t>
            </w:r>
          </w:p>
        </w:tc>
        <w:tc>
          <w:tcPr>
            <w:tcW w:w="1165" w:type="dxa"/>
          </w:tcPr>
          <w:p w:rsidR="00104C12" w:rsidRPr="00191F15" w:rsidP="00B84564" w14:paraId="45D68C5E" w14:textId="7A0D5EC3">
            <w:pPr>
              <w:jc w:val="center"/>
              <w:rPr>
                <w:sz w:val="22"/>
                <w:szCs w:val="22"/>
              </w:rPr>
            </w:pPr>
            <w:r>
              <w:rPr>
                <w:sz w:val="22"/>
                <w:szCs w:val="22"/>
              </w:rPr>
              <w:t>10</w:t>
            </w:r>
            <w:r w:rsidRPr="00191F15">
              <w:rPr>
                <w:sz w:val="22"/>
                <w:szCs w:val="22"/>
              </w:rPr>
              <w:t>%</w:t>
            </w:r>
            <w:r w:rsidRPr="00F77CA8" w:rsidR="00F77CA8">
              <w:rPr>
                <w:sz w:val="22"/>
                <w:szCs w:val="22"/>
                <w:vertAlign w:val="superscript"/>
              </w:rPr>
              <w:t>2</w:t>
            </w:r>
          </w:p>
        </w:tc>
      </w:tr>
      <w:tr w14:paraId="4D667E27" w14:textId="30CC3057" w:rsidTr="0058119E">
        <w:tblPrEx>
          <w:tblW w:w="0" w:type="auto"/>
          <w:tblLayout w:type="fixed"/>
          <w:tblLook w:val="04A0"/>
        </w:tblPrEx>
        <w:tc>
          <w:tcPr>
            <w:tcW w:w="1525" w:type="dxa"/>
          </w:tcPr>
          <w:p w:rsidR="00104C12" w:rsidRPr="00191F15" w:rsidP="00330B72" w14:paraId="72DBFAE7" w14:textId="40E27266">
            <w:pPr>
              <w:rPr>
                <w:sz w:val="22"/>
                <w:szCs w:val="22"/>
              </w:rPr>
            </w:pPr>
            <w:r w:rsidRPr="00191F15">
              <w:rPr>
                <w:sz w:val="22"/>
                <w:szCs w:val="22"/>
              </w:rPr>
              <w:t>Employee</w:t>
            </w:r>
          </w:p>
        </w:tc>
        <w:tc>
          <w:tcPr>
            <w:tcW w:w="1170" w:type="dxa"/>
          </w:tcPr>
          <w:p w:rsidR="00104C12" w:rsidRPr="00191F15" w:rsidP="00330B72" w14:paraId="20B55D7C" w14:textId="6EEBF0F6">
            <w:pPr>
              <w:rPr>
                <w:sz w:val="22"/>
                <w:szCs w:val="22"/>
              </w:rPr>
            </w:pPr>
            <w:r w:rsidRPr="00191F15">
              <w:rPr>
                <w:sz w:val="22"/>
                <w:szCs w:val="22"/>
              </w:rPr>
              <w:t xml:space="preserve">Random </w:t>
            </w:r>
            <w:r w:rsidRPr="00191F15" w:rsidR="00AB10F5">
              <w:rPr>
                <w:sz w:val="22"/>
                <w:szCs w:val="22"/>
              </w:rPr>
              <w:t>Sample</w:t>
            </w:r>
          </w:p>
        </w:tc>
        <w:tc>
          <w:tcPr>
            <w:tcW w:w="2700" w:type="dxa"/>
          </w:tcPr>
          <w:p w:rsidR="00104C12" w:rsidRPr="00191F15" w:rsidP="00330B72" w14:paraId="7C356A46" w14:textId="0A5E7154">
            <w:pPr>
              <w:rPr>
                <w:sz w:val="22"/>
                <w:szCs w:val="22"/>
              </w:rPr>
            </w:pPr>
            <w:r w:rsidRPr="00191F15">
              <w:rPr>
                <w:sz w:val="22"/>
                <w:szCs w:val="22"/>
              </w:rPr>
              <w:t>1,984,978</w:t>
            </w:r>
            <w:r>
              <w:rPr>
                <w:sz w:val="22"/>
                <w:szCs w:val="22"/>
              </w:rPr>
              <w:t xml:space="preserve"> </w:t>
            </w:r>
            <w:r w:rsidRPr="00191F15" w:rsidR="00AB10F5">
              <w:rPr>
                <w:sz w:val="22"/>
                <w:szCs w:val="22"/>
              </w:rPr>
              <w:t>in 202</w:t>
            </w:r>
            <w:r>
              <w:rPr>
                <w:sz w:val="22"/>
                <w:szCs w:val="22"/>
              </w:rPr>
              <w:t>3</w:t>
            </w:r>
          </w:p>
        </w:tc>
        <w:tc>
          <w:tcPr>
            <w:tcW w:w="1440" w:type="dxa"/>
          </w:tcPr>
          <w:p w:rsidR="00104C12" w:rsidRPr="00191F15" w:rsidP="00B84564" w14:paraId="669BA368" w14:textId="20163C2F">
            <w:pPr>
              <w:jc w:val="center"/>
              <w:rPr>
                <w:sz w:val="22"/>
                <w:szCs w:val="22"/>
              </w:rPr>
            </w:pPr>
            <w:r>
              <w:rPr>
                <w:sz w:val="22"/>
                <w:szCs w:val="22"/>
              </w:rPr>
              <w:t>6</w:t>
            </w:r>
            <w:r w:rsidRPr="00191F15">
              <w:rPr>
                <w:sz w:val="22"/>
                <w:szCs w:val="22"/>
              </w:rPr>
              <w:t>00</w:t>
            </w:r>
          </w:p>
        </w:tc>
        <w:tc>
          <w:tcPr>
            <w:tcW w:w="1350" w:type="dxa"/>
          </w:tcPr>
          <w:p w:rsidR="00104C12" w:rsidRPr="00191F15" w:rsidP="00B84564" w14:paraId="57E8D74E" w14:textId="50E35B5C">
            <w:pPr>
              <w:jc w:val="center"/>
              <w:rPr>
                <w:sz w:val="22"/>
                <w:szCs w:val="22"/>
              </w:rPr>
            </w:pPr>
            <w:r w:rsidRPr="00191F15">
              <w:rPr>
                <w:sz w:val="22"/>
                <w:szCs w:val="22"/>
              </w:rPr>
              <w:t>1</w:t>
            </w:r>
          </w:p>
        </w:tc>
        <w:tc>
          <w:tcPr>
            <w:tcW w:w="1165" w:type="dxa"/>
          </w:tcPr>
          <w:p w:rsidR="00104C12" w:rsidRPr="00191F15" w:rsidP="00B84564" w14:paraId="24674A88" w14:textId="210CCCD2">
            <w:pPr>
              <w:jc w:val="center"/>
              <w:rPr>
                <w:sz w:val="22"/>
                <w:szCs w:val="22"/>
              </w:rPr>
            </w:pPr>
            <w:r>
              <w:rPr>
                <w:sz w:val="22"/>
                <w:szCs w:val="22"/>
              </w:rPr>
              <w:t>5</w:t>
            </w:r>
            <w:r w:rsidRPr="00191F15">
              <w:rPr>
                <w:sz w:val="22"/>
                <w:szCs w:val="22"/>
              </w:rPr>
              <w:t>%</w:t>
            </w:r>
            <w:r w:rsidRPr="004B48D4" w:rsidR="004B48D4">
              <w:rPr>
                <w:sz w:val="22"/>
                <w:szCs w:val="22"/>
                <w:vertAlign w:val="superscript"/>
              </w:rPr>
              <w:t>3</w:t>
            </w:r>
          </w:p>
        </w:tc>
      </w:tr>
      <w:tr w14:paraId="776A13B2" w14:textId="5BDFA4B2" w:rsidTr="0058119E">
        <w:tblPrEx>
          <w:tblW w:w="0" w:type="auto"/>
          <w:tblLayout w:type="fixed"/>
          <w:tblLook w:val="04A0"/>
        </w:tblPrEx>
        <w:tc>
          <w:tcPr>
            <w:tcW w:w="1525" w:type="dxa"/>
          </w:tcPr>
          <w:p w:rsidR="00104C12" w:rsidRPr="00191F15" w:rsidP="00330B72" w14:paraId="5E39C80C" w14:textId="17F48E0B">
            <w:pPr>
              <w:rPr>
                <w:sz w:val="22"/>
                <w:szCs w:val="22"/>
              </w:rPr>
            </w:pPr>
            <w:r w:rsidRPr="00191F15">
              <w:rPr>
                <w:sz w:val="22"/>
                <w:szCs w:val="22"/>
              </w:rPr>
              <w:t>American Job Center/Partner organizations</w:t>
            </w:r>
          </w:p>
        </w:tc>
        <w:tc>
          <w:tcPr>
            <w:tcW w:w="1170" w:type="dxa"/>
          </w:tcPr>
          <w:p w:rsidR="00104C12" w:rsidRPr="00191F15" w:rsidP="00330B72" w14:paraId="70584688" w14:textId="356B9C44">
            <w:pPr>
              <w:rPr>
                <w:sz w:val="22"/>
                <w:szCs w:val="22"/>
              </w:rPr>
            </w:pPr>
            <w:r w:rsidRPr="00191F15">
              <w:rPr>
                <w:sz w:val="22"/>
                <w:szCs w:val="22"/>
              </w:rPr>
              <w:t>Random Sample</w:t>
            </w:r>
          </w:p>
        </w:tc>
        <w:tc>
          <w:tcPr>
            <w:tcW w:w="2700" w:type="dxa"/>
          </w:tcPr>
          <w:p w:rsidR="00104C12" w:rsidRPr="00191F15" w:rsidP="00330B72" w14:paraId="69BC49DA" w14:textId="1A2DDCD3">
            <w:pPr>
              <w:rPr>
                <w:sz w:val="22"/>
                <w:szCs w:val="22"/>
              </w:rPr>
            </w:pPr>
            <w:r w:rsidRPr="00191F15">
              <w:rPr>
                <w:sz w:val="22"/>
                <w:szCs w:val="22"/>
              </w:rPr>
              <w:t>All AJC/Partner organization staff in selected states</w:t>
            </w:r>
            <w:r w:rsidRPr="00191F15" w:rsidR="00EF73E2">
              <w:rPr>
                <w:sz w:val="22"/>
                <w:szCs w:val="22"/>
              </w:rPr>
              <w:t xml:space="preserve">. </w:t>
            </w:r>
            <w:r w:rsidRPr="00191F15" w:rsidR="00AB10F5">
              <w:rPr>
                <w:sz w:val="22"/>
                <w:szCs w:val="22"/>
              </w:rPr>
              <w:t>There are 2,300 nationwide. (</w:t>
            </w:r>
            <w:hyperlink r:id="rId8" w:history="1">
              <w:r w:rsidRPr="00B17D70" w:rsidR="00AB10F5">
                <w:rPr>
                  <w:rStyle w:val="Hyperlink"/>
                  <w:sz w:val="22"/>
                  <w:szCs w:val="22"/>
                </w:rPr>
                <w:t>https://www.dol.gov/agencies/eta/american-job-centers</w:t>
              </w:r>
            </w:hyperlink>
            <w:r w:rsidRPr="00B17D70" w:rsidR="00AB10F5">
              <w:rPr>
                <w:sz w:val="22"/>
                <w:szCs w:val="22"/>
              </w:rPr>
              <w:t>)</w:t>
            </w:r>
            <w:r w:rsidRPr="00191F15" w:rsidR="00C8414A">
              <w:rPr>
                <w:sz w:val="22"/>
                <w:szCs w:val="22"/>
              </w:rPr>
              <w:t xml:space="preserve">. Sample will be </w:t>
            </w:r>
            <w:r w:rsidRPr="00191F15" w:rsidR="00C8414A">
              <w:rPr>
                <w:sz w:val="22"/>
                <w:szCs w:val="22"/>
              </w:rPr>
              <w:t>selected from the subset of SWAs that have the capacity and willingness to provide AJC data.</w:t>
            </w:r>
          </w:p>
        </w:tc>
        <w:tc>
          <w:tcPr>
            <w:tcW w:w="1440" w:type="dxa"/>
          </w:tcPr>
          <w:p w:rsidR="00104C12" w:rsidRPr="00191F15" w:rsidP="00B84564" w14:paraId="6C0BB554" w14:textId="023DFA27">
            <w:pPr>
              <w:jc w:val="center"/>
              <w:rPr>
                <w:sz w:val="22"/>
                <w:szCs w:val="22"/>
              </w:rPr>
            </w:pPr>
            <w:r w:rsidRPr="00191F15">
              <w:rPr>
                <w:sz w:val="22"/>
                <w:szCs w:val="22"/>
              </w:rPr>
              <w:t>400</w:t>
            </w:r>
          </w:p>
        </w:tc>
        <w:tc>
          <w:tcPr>
            <w:tcW w:w="1350" w:type="dxa"/>
          </w:tcPr>
          <w:p w:rsidR="00104C12" w:rsidRPr="00191F15" w:rsidP="00B84564" w14:paraId="4BCD0C77" w14:textId="3D34B39C">
            <w:pPr>
              <w:jc w:val="center"/>
              <w:rPr>
                <w:sz w:val="22"/>
                <w:szCs w:val="22"/>
              </w:rPr>
            </w:pPr>
            <w:r w:rsidRPr="00191F15">
              <w:rPr>
                <w:sz w:val="22"/>
                <w:szCs w:val="22"/>
              </w:rPr>
              <w:t>1</w:t>
            </w:r>
          </w:p>
        </w:tc>
        <w:tc>
          <w:tcPr>
            <w:tcW w:w="1165" w:type="dxa"/>
          </w:tcPr>
          <w:p w:rsidR="00104C12" w:rsidRPr="00191F15" w:rsidP="00B84564" w14:paraId="2DBE2FEF" w14:textId="798DC4F3">
            <w:pPr>
              <w:jc w:val="center"/>
              <w:rPr>
                <w:sz w:val="22"/>
                <w:szCs w:val="22"/>
              </w:rPr>
            </w:pPr>
            <w:r>
              <w:rPr>
                <w:sz w:val="22"/>
                <w:szCs w:val="22"/>
              </w:rPr>
              <w:t>33</w:t>
            </w:r>
            <w:r w:rsidRPr="00191F15">
              <w:rPr>
                <w:sz w:val="22"/>
                <w:szCs w:val="22"/>
              </w:rPr>
              <w:t>%</w:t>
            </w:r>
            <w:r w:rsidRPr="004B48D4" w:rsidR="004B48D4">
              <w:rPr>
                <w:sz w:val="22"/>
                <w:szCs w:val="22"/>
                <w:vertAlign w:val="superscript"/>
              </w:rPr>
              <w:t>4</w:t>
            </w:r>
          </w:p>
        </w:tc>
      </w:tr>
    </w:tbl>
    <w:p w:rsidR="00F9344F" w:rsidRPr="004B48D4" w:rsidP="00330B72" w14:paraId="2A580A08" w14:textId="0A16C0E5">
      <w:pPr>
        <w:rPr>
          <w:sz w:val="20"/>
          <w:szCs w:val="20"/>
        </w:rPr>
      </w:pPr>
      <w:r w:rsidRPr="004B48D4">
        <w:rPr>
          <w:sz w:val="20"/>
          <w:szCs w:val="20"/>
          <w:vertAlign w:val="superscript"/>
        </w:rPr>
        <w:t>1</w:t>
      </w:r>
      <w:r w:rsidRPr="004B48D4">
        <w:rPr>
          <w:sz w:val="20"/>
          <w:szCs w:val="20"/>
        </w:rPr>
        <w:t xml:space="preserve"> Given </w:t>
      </w:r>
      <w:r w:rsidR="00E93771">
        <w:rPr>
          <w:sz w:val="20"/>
          <w:szCs w:val="20"/>
        </w:rPr>
        <w:t xml:space="preserve">that SWAs are grantees for DOL, they are required to participate in evaluation activities such as this survey. While it is expected that all will participate, a 95% response rate allows for some states and territories to not participate based on outside factors beyond DOL’s control. </w:t>
      </w:r>
    </w:p>
    <w:p w:rsidR="00F77CA8" w:rsidRPr="004B48D4" w:rsidP="00330B72" w14:paraId="24EFF469" w14:textId="33FB92D4">
      <w:pPr>
        <w:rPr>
          <w:sz w:val="20"/>
          <w:szCs w:val="20"/>
        </w:rPr>
      </w:pPr>
      <w:r w:rsidRPr="004B48D4">
        <w:rPr>
          <w:sz w:val="20"/>
          <w:szCs w:val="20"/>
          <w:vertAlign w:val="superscript"/>
        </w:rPr>
        <w:t>2</w:t>
      </w:r>
      <w:r w:rsidRPr="004B48D4">
        <w:rPr>
          <w:sz w:val="20"/>
          <w:szCs w:val="20"/>
        </w:rPr>
        <w:t xml:space="preserve"> </w:t>
      </w:r>
      <w:r w:rsidRPr="004B48D4" w:rsidR="00807779">
        <w:rPr>
          <w:sz w:val="20"/>
          <w:szCs w:val="20"/>
        </w:rPr>
        <w:t xml:space="preserve">External surveys </w:t>
      </w:r>
      <w:hyperlink r:id="rId9" w:history="1">
        <w:r w:rsidRPr="004B48D4" w:rsidR="00807779">
          <w:rPr>
            <w:rStyle w:val="Hyperlink"/>
            <w:sz w:val="20"/>
            <w:szCs w:val="20"/>
          </w:rPr>
          <w:t>achieve lower response rates</w:t>
        </w:r>
      </w:hyperlink>
      <w:r w:rsidRPr="004B48D4" w:rsidR="00807779">
        <w:rPr>
          <w:sz w:val="20"/>
          <w:szCs w:val="20"/>
        </w:rPr>
        <w:t xml:space="preserve"> compared to internal surveys.</w:t>
      </w:r>
      <w:r w:rsidRPr="004B48D4" w:rsidR="002D7286">
        <w:rPr>
          <w:sz w:val="20"/>
          <w:szCs w:val="20"/>
        </w:rPr>
        <w:t xml:space="preserve"> Given the contractor will have direct email access to an individual with knowledge of the WOTC program and can conduct multiple follow-up emails, a 10% response rate seems achievable based on </w:t>
      </w:r>
      <w:hyperlink r:id="rId10" w:history="1">
        <w:r w:rsidRPr="004B48D4" w:rsidR="002D7286">
          <w:rPr>
            <w:rStyle w:val="Hyperlink"/>
            <w:sz w:val="20"/>
            <w:szCs w:val="20"/>
          </w:rPr>
          <w:t>research</w:t>
        </w:r>
      </w:hyperlink>
      <w:r w:rsidRPr="004B48D4" w:rsidR="002D7286">
        <w:rPr>
          <w:sz w:val="20"/>
          <w:szCs w:val="20"/>
        </w:rPr>
        <w:t>.</w:t>
      </w:r>
      <w:r w:rsidRPr="004B48D4" w:rsidR="00807779">
        <w:rPr>
          <w:sz w:val="20"/>
          <w:szCs w:val="20"/>
        </w:rPr>
        <w:t xml:space="preserve"> </w:t>
      </w:r>
    </w:p>
    <w:p w:rsidR="002D7286" w:rsidP="00330B72" w14:paraId="146B7C9F" w14:textId="264E4C37">
      <w:pPr>
        <w:rPr>
          <w:sz w:val="20"/>
          <w:szCs w:val="20"/>
        </w:rPr>
      </w:pPr>
      <w:r w:rsidRPr="004B48D4">
        <w:rPr>
          <w:sz w:val="20"/>
          <w:szCs w:val="20"/>
          <w:vertAlign w:val="superscript"/>
        </w:rPr>
        <w:t>3</w:t>
      </w:r>
      <w:r w:rsidRPr="004B48D4">
        <w:rPr>
          <w:sz w:val="20"/>
          <w:szCs w:val="20"/>
        </w:rPr>
        <w:t xml:space="preserve"> Achieving a high response rate for the employee survey will be difficult, given only postcards and no follow-up will be sent. Given that employees may not know they are part of the WOTC program also provides challenges. The contractor is including a $10 incentive per survey response to increase response rates. The contractor previously </w:t>
      </w:r>
      <w:hyperlink r:id="rId11" w:history="1">
        <w:r w:rsidRPr="004B48D4">
          <w:rPr>
            <w:rStyle w:val="Hyperlink"/>
            <w:sz w:val="20"/>
            <w:szCs w:val="20"/>
          </w:rPr>
          <w:t>conducted a survey</w:t>
        </w:r>
      </w:hyperlink>
      <w:r w:rsidRPr="004B48D4">
        <w:rPr>
          <w:sz w:val="20"/>
          <w:szCs w:val="20"/>
        </w:rPr>
        <w:t xml:space="preserve"> using only one postcard and one paper survey follow-up, which achieved a 3% response rate. Given the inclusion of incentives, a 5% response rate is reasonable. </w:t>
      </w:r>
    </w:p>
    <w:p w:rsidR="004B48D4" w:rsidRPr="004B48D4" w:rsidP="00330B72" w14:paraId="13C5FDF5" w14:textId="21C44E01">
      <w:pPr>
        <w:rPr>
          <w:sz w:val="20"/>
          <w:szCs w:val="20"/>
        </w:rPr>
      </w:pPr>
      <w:r w:rsidRPr="003F144A">
        <w:rPr>
          <w:sz w:val="20"/>
          <w:szCs w:val="20"/>
          <w:vertAlign w:val="superscript"/>
        </w:rPr>
        <w:t>4</w:t>
      </w:r>
      <w:r>
        <w:rPr>
          <w:sz w:val="20"/>
          <w:szCs w:val="20"/>
        </w:rPr>
        <w:t xml:space="preserve"> Similar to the Employer survey, external surveys can range in response rates. Given that </w:t>
      </w:r>
      <w:r w:rsidR="00E93771">
        <w:rPr>
          <w:sz w:val="20"/>
          <w:szCs w:val="20"/>
        </w:rPr>
        <w:t>AJCs receive grant funds similar to SWAs, a higher response rate is expected as they are likely required to participate in evaluations</w:t>
      </w:r>
      <w:r>
        <w:rPr>
          <w:sz w:val="20"/>
          <w:szCs w:val="20"/>
        </w:rPr>
        <w:t>.</w:t>
      </w:r>
      <w:r w:rsidR="00E93771">
        <w:rPr>
          <w:sz w:val="20"/>
          <w:szCs w:val="20"/>
        </w:rPr>
        <w:t xml:space="preserve"> However, DOL may not be able to strictly enforce participation like the SWAs.</w:t>
      </w:r>
    </w:p>
    <w:p w:rsidR="004B48D4" w:rsidP="00330B72" w14:paraId="32B153E7" w14:textId="77777777"/>
    <w:p w:rsidR="00330B72" w:rsidRPr="00FD534B" w:rsidP="00330B72" w14:paraId="19CADDFC" w14:textId="297C718D">
      <w:pPr>
        <w:rPr>
          <w:b/>
          <w:bCs/>
        </w:rPr>
      </w:pPr>
      <w:r w:rsidRPr="00FD534B">
        <w:rPr>
          <w:b/>
          <w:bCs/>
        </w:rPr>
        <w:t>Surveys</w:t>
      </w:r>
    </w:p>
    <w:p w:rsidR="00F77006" w:rsidP="00330B72" w14:paraId="3F8984FD" w14:textId="6D92C7C4">
      <w:r w:rsidRPr="00172323">
        <w:t xml:space="preserve">The </w:t>
      </w:r>
      <w:r w:rsidR="00B15DD9">
        <w:t xml:space="preserve">web-based </w:t>
      </w:r>
      <w:r w:rsidRPr="00172323">
        <w:t xml:space="preserve">surveys will collect information </w:t>
      </w:r>
      <w:r w:rsidRPr="00172323" w:rsidR="00505314">
        <w:t>to understand the processes used by administrators in SWAs</w:t>
      </w:r>
      <w:r w:rsidR="00F32D47">
        <w:t>, AJCs</w:t>
      </w:r>
      <w:r w:rsidRPr="00172323" w:rsidR="00505314">
        <w:t xml:space="preserve"> and employers to recruit, hire and determine WOTC eligibility, and certify individuals for employment. The WOTC employee </w:t>
      </w:r>
      <w:r w:rsidR="00505314">
        <w:t>survey</w:t>
      </w:r>
      <w:r w:rsidRPr="00172323" w:rsidR="00505314">
        <w:t xml:space="preserve"> will focus on the employee’s WOTC application process and employment experience.</w:t>
      </w:r>
      <w:r w:rsidR="00505314">
        <w:t xml:space="preserve"> </w:t>
      </w:r>
      <w:r w:rsidR="005467CC">
        <w:t>Overall,</w:t>
      </w:r>
      <w:r w:rsidRPr="00172323">
        <w:t xml:space="preserve"> survey questions focus on key elements of the processes, </w:t>
      </w:r>
      <w:r w:rsidR="00F32D47">
        <w:t xml:space="preserve">and </w:t>
      </w:r>
      <w:r w:rsidRPr="00172323">
        <w:t>their satisfaction with the process</w:t>
      </w:r>
      <w:r w:rsidR="00E818E3">
        <w:t>.</w:t>
      </w:r>
    </w:p>
    <w:p w:rsidR="00E02366" w:rsidRPr="00846A3C" w:rsidP="00330B72" w14:paraId="1844E23D" w14:textId="77777777"/>
    <w:p w:rsidR="00330B72" w:rsidRPr="00566E9E" w:rsidP="00330B72" w14:paraId="649CBF68" w14:textId="1F7B5B42">
      <w:pPr>
        <w:rPr>
          <w:b/>
          <w:bCs/>
        </w:rPr>
      </w:pPr>
      <w:r w:rsidRPr="00566E9E">
        <w:rPr>
          <w:b/>
          <w:bCs/>
        </w:rPr>
        <w:t>Study participants selection</w:t>
      </w:r>
    </w:p>
    <w:p w:rsidR="00566E9E" w:rsidP="00330B72" w14:paraId="00416E37" w14:textId="18281B04">
      <w:r>
        <w:t xml:space="preserve">Looking at the WOTC certification data shows that </w:t>
      </w:r>
      <w:r w:rsidR="00573069">
        <w:t xml:space="preserve">there is a variation in </w:t>
      </w:r>
      <w:r w:rsidR="00F9488E">
        <w:t>WOTC workload</w:t>
      </w:r>
      <w:r w:rsidRPr="00E02366" w:rsidR="00E02366">
        <w:t xml:space="preserve"> </w:t>
      </w:r>
      <w:r w:rsidR="00E02366">
        <w:t>across states</w:t>
      </w:r>
      <w:r w:rsidR="00F9488E">
        <w:t xml:space="preserve">. </w:t>
      </w:r>
      <w:r w:rsidR="00D1526C">
        <w:t xml:space="preserve">As of </w:t>
      </w:r>
      <w:r w:rsidR="00DB6C3C">
        <w:t xml:space="preserve">2023 </w:t>
      </w:r>
      <w:r w:rsidR="00D1526C">
        <w:t xml:space="preserve">DOL WOTC performance statements, </w:t>
      </w:r>
      <w:r w:rsidR="00E02366">
        <w:t>10</w:t>
      </w:r>
      <w:r w:rsidR="00D1526C">
        <w:t xml:space="preserve"> states </w:t>
      </w:r>
      <w:r w:rsidR="000D22A7">
        <w:t>(CA, TX, MD, OH, FL, GA, IN, NY, IL</w:t>
      </w:r>
      <w:r w:rsidR="00FD1982">
        <w:t>, TN</w:t>
      </w:r>
      <w:r w:rsidR="000D22A7">
        <w:t xml:space="preserve">) </w:t>
      </w:r>
      <w:r w:rsidR="0012748A">
        <w:t xml:space="preserve">contribute to half of all WOTC workload. </w:t>
      </w:r>
      <w:r w:rsidR="00B8094B">
        <w:t>It is expected that the largest SWAs participating in WOTC are automated</w:t>
      </w:r>
      <w:r w:rsidR="000B07AA">
        <w:t xml:space="preserve"> and will be able to provide data that can be linked </w:t>
      </w:r>
      <w:r w:rsidR="00210916">
        <w:t>with extant data.</w:t>
      </w:r>
      <w:r w:rsidR="00D41021">
        <w:t xml:space="preserve"> </w:t>
      </w:r>
      <w:r w:rsidR="00E818E3">
        <w:t>However, even among these SWAs, some may have other priorities that prevent them from participating</w:t>
      </w:r>
      <w:r w:rsidR="00EF73E2">
        <w:t xml:space="preserve">. </w:t>
      </w:r>
      <w:r w:rsidR="00E818E3">
        <w:t>The “operational universe” for this study will consist of as many of the large states that cooperate with the study</w:t>
      </w:r>
      <w:r w:rsidR="00EF73E2">
        <w:t xml:space="preserve">. </w:t>
      </w:r>
      <w:r w:rsidR="00E818E3">
        <w:t>Beyond that, a few smaller states will be selected in consultation with DOL Regional offices that oversee the SWAs</w:t>
      </w:r>
      <w:r w:rsidR="00EF73E2">
        <w:t xml:space="preserve">. </w:t>
      </w:r>
      <w:r w:rsidR="00E818E3">
        <w:t xml:space="preserve">Hence, the samples of survey respondents (aside from the SWAs, where we will </w:t>
      </w:r>
      <w:r w:rsidR="00394300">
        <w:t>send surveys to the universe) will represent a specific portion of the WOTC population based on the operationally defined universe.</w:t>
      </w:r>
    </w:p>
    <w:p w:rsidR="00472173" w:rsidRPr="00846A3C" w:rsidP="00330B72" w14:paraId="1CB40A14" w14:textId="77777777"/>
    <w:p w:rsidR="00330B72" w:rsidP="00330B72" w14:paraId="69F8E20A" w14:textId="7B5E2822">
      <w:r>
        <w:t>Within the “operational universe,” s</w:t>
      </w:r>
      <w:r w:rsidR="00F109AE">
        <w:t xml:space="preserve">tatistically representative samples of employers, </w:t>
      </w:r>
      <w:r w:rsidR="007E7D08">
        <w:t>employees, and</w:t>
      </w:r>
      <w:r w:rsidR="00F109AE">
        <w:t xml:space="preserve"> AJCs will be selected</w:t>
      </w:r>
      <w:r>
        <w:t>.</w:t>
      </w:r>
      <w:r w:rsidR="00F109AE">
        <w:t xml:space="preserve"> </w:t>
      </w:r>
      <w:r w:rsidRPr="00EB4BA4" w:rsidR="009B086F">
        <w:t xml:space="preserve">The number of respondents in each </w:t>
      </w:r>
      <w:r w:rsidRPr="00EB4BA4" w:rsidR="00C95B35">
        <w:t xml:space="preserve">group </w:t>
      </w:r>
      <w:r w:rsidRPr="00EB4BA4" w:rsidR="009B086F">
        <w:t xml:space="preserve">and statistical calculations behind the numbers are shown in </w:t>
      </w:r>
      <w:r w:rsidRPr="00850225" w:rsidR="00850225">
        <w:fldChar w:fldCharType="begin"/>
      </w:r>
      <w:r w:rsidRPr="00850225" w:rsidR="00850225">
        <w:instrText xml:space="preserve"> REF _Ref170114745 \h </w:instrText>
      </w:r>
      <w:r w:rsidR="00850225">
        <w:instrText xml:space="preserve"> \* MERGEFORMAT </w:instrText>
      </w:r>
      <w:r w:rsidRPr="00850225" w:rsidR="00850225">
        <w:fldChar w:fldCharType="separate"/>
      </w:r>
      <w:r w:rsidRPr="00DC67AF" w:rsidR="00DC67AF">
        <w:t>Table 1</w:t>
      </w:r>
      <w:r w:rsidRPr="00850225" w:rsidR="00850225">
        <w:fldChar w:fldCharType="end"/>
      </w:r>
      <w:r w:rsidRPr="00EB4BA4" w:rsidR="009B086F">
        <w:t>.</w:t>
      </w:r>
      <w:r w:rsidR="009B086F">
        <w:t xml:space="preserve"> We calculate the representative sample size for the given employee respondent universe using the statistical methodology shown in </w:t>
      </w:r>
      <w:r w:rsidR="003B5C1D">
        <w:t xml:space="preserve">equation </w:t>
      </w:r>
      <w:r w:rsidR="003B5C1D">
        <w:fldChar w:fldCharType="begin"/>
      </w:r>
      <w:r w:rsidR="003B5C1D">
        <w:instrText xml:space="preserve"> REF Equation \h </w:instrText>
      </w:r>
      <w:r w:rsidR="003B5C1D">
        <w:fldChar w:fldCharType="separate"/>
      </w:r>
      <w:r w:rsidR="00DC67AF">
        <w:rPr>
          <w:kern w:val="2"/>
          <w14:ligatures w14:val="standardContextual"/>
        </w:rPr>
        <w:t>(1)</w:t>
      </w:r>
      <w:r w:rsidR="003B5C1D">
        <w:fldChar w:fldCharType="end"/>
      </w:r>
      <w:r w:rsidR="009B086F">
        <w:t xml:space="preserve">. Our calculation shows that 400 respondents </w:t>
      </w:r>
      <w:r w:rsidR="006C7A6F">
        <w:t>represent</w:t>
      </w:r>
      <w:r w:rsidR="009B086F">
        <w:t xml:space="preserve"> the employee</w:t>
      </w:r>
      <w:r w:rsidR="009B3DF7">
        <w:t>, employer, and AJC</w:t>
      </w:r>
      <w:r>
        <w:t>/</w:t>
      </w:r>
      <w:r w:rsidR="009B3DF7">
        <w:t>partner organization</w:t>
      </w:r>
      <w:r w:rsidR="009B086F">
        <w:t xml:space="preserve"> respondent universe. </w:t>
      </w:r>
    </w:p>
    <w:p w:rsidR="005E00EC" w:rsidP="00330B72" w14:paraId="0844DD1D" w14:textId="77777777"/>
    <w:p w:rsidR="00F32D47" w:rsidP="00330B72" w14:paraId="51FA9CD4" w14:textId="2237FBF3">
      <w:r>
        <w:rPr>
          <w:b/>
          <w:bCs/>
        </w:rPr>
        <w:t>Survey of SWA administrators</w:t>
      </w:r>
      <w:r>
        <w:t xml:space="preserve">. </w:t>
      </w:r>
      <w:r w:rsidRPr="00881066" w:rsidR="00BB1484">
        <w:t xml:space="preserve">The goal of the </w:t>
      </w:r>
      <w:r w:rsidRPr="00881066" w:rsidR="005A7791">
        <w:t xml:space="preserve">survey of SWA administrators is to understand the </w:t>
      </w:r>
      <w:r w:rsidRPr="00881066" w:rsidR="002A0999">
        <w:t>ways in which SWAs engage in WOTC program</w:t>
      </w:r>
      <w:r w:rsidRPr="00881066" w:rsidR="0083055A">
        <w:t xml:space="preserve">. As such, it collects information </w:t>
      </w:r>
      <w:r w:rsidRPr="00881066" w:rsidR="002D7770">
        <w:t xml:space="preserve">from </w:t>
      </w:r>
      <w:r w:rsidRPr="00881066" w:rsidR="00394300">
        <w:t>5</w:t>
      </w:r>
      <w:r w:rsidR="001E5F96">
        <w:t>4</w:t>
      </w:r>
      <w:r w:rsidRPr="00881066" w:rsidR="002D7770">
        <w:t xml:space="preserve"> </w:t>
      </w:r>
      <w:r w:rsidRPr="00881066" w:rsidR="00394300">
        <w:t xml:space="preserve">SWAs about how they implement WOTC. With or without automation, </w:t>
      </w:r>
      <w:r w:rsidRPr="00881066" w:rsidR="00037217">
        <w:t>all SWAs</w:t>
      </w:r>
      <w:r w:rsidRPr="00881066" w:rsidR="00394300">
        <w:t xml:space="preserve"> will be able to respond to questions about the procedures they use to administer WOTC.</w:t>
      </w:r>
      <w:r w:rsidR="0073094F">
        <w:t xml:space="preserve"> The expected response rate for this survey </w:t>
      </w:r>
      <w:r w:rsidR="00E93771">
        <w:t>95%</w:t>
      </w:r>
      <w:r w:rsidR="002A4BFE">
        <w:t xml:space="preserve"> percent</w:t>
      </w:r>
      <w:r>
        <w:t xml:space="preserve"> </w:t>
      </w:r>
      <w:r w:rsidR="0073094F">
        <w:t xml:space="preserve">based on the </w:t>
      </w:r>
      <w:r>
        <w:t xml:space="preserve">following requirement for DOL/ETA grantees:   </w:t>
      </w:r>
    </w:p>
    <w:p w:rsidR="00F32D47" w:rsidRPr="00F32D47" w:rsidP="00F32D47" w14:paraId="776C9C7C" w14:textId="77777777">
      <w:pPr>
        <w:ind w:left="720"/>
      </w:pPr>
      <w:r w:rsidRPr="00F32D47">
        <w:rPr>
          <w:b/>
          <w:bCs/>
          <w:i/>
          <w:iCs/>
        </w:rPr>
        <w:t>A.12 Evaluation, Data, and Implementation</w:t>
      </w:r>
    </w:p>
    <w:p w:rsidR="00F32D47" w:rsidRPr="00F32D47" w:rsidP="00F32D47" w14:paraId="1CBC29E0" w14:textId="77777777">
      <w:pPr>
        <w:ind w:left="720"/>
      </w:pPr>
      <w:r w:rsidRPr="00F32D47">
        <w:rPr>
          <w:i/>
          <w:iCs/>
        </w:rPr>
        <w:t>Grant and cooperative award recipients must cooperate during the implementation of a third-party evaluation. This means providing DOL/ETA or its authorized contractor with the appropriate data and access to program operating personnel and participants in a timely manner.</w:t>
      </w:r>
    </w:p>
    <w:p w:rsidR="00F32D47" w:rsidP="00E93771" w14:paraId="3548ED9F" w14:textId="77777777">
      <w:pPr>
        <w:ind w:left="720"/>
      </w:pPr>
    </w:p>
    <w:p w:rsidR="00352630" w:rsidRPr="00881066" w:rsidP="00330B72" w14:paraId="251F7E4D" w14:textId="036B553F">
      <w:r>
        <w:t xml:space="preserve">We anticipate that a few SWAs may not respond. </w:t>
      </w:r>
      <w:r w:rsidR="0073094F">
        <w:t>This aligns with similar surveys that have been conducted in this area.</w:t>
      </w:r>
    </w:p>
    <w:p w:rsidR="002A0C5D" w:rsidP="00330B72" w14:paraId="021AE3C1" w14:textId="77777777"/>
    <w:p w:rsidR="002A0C5D" w:rsidP="00330B72" w14:paraId="06587BF8" w14:textId="48B5B702">
      <w:r>
        <w:rPr>
          <w:b/>
          <w:bCs/>
        </w:rPr>
        <w:t>Survey of American Job Centers</w:t>
      </w:r>
      <w:r w:rsidR="00F05D40">
        <w:rPr>
          <w:b/>
          <w:bCs/>
        </w:rPr>
        <w:t>.</w:t>
      </w:r>
      <w:r w:rsidR="00F05D40">
        <w:t xml:space="preserve"> </w:t>
      </w:r>
      <w:r w:rsidR="0052757C">
        <w:t xml:space="preserve">This survey will </w:t>
      </w:r>
      <w:r w:rsidR="004F6607">
        <w:t xml:space="preserve">provide information about </w:t>
      </w:r>
      <w:r w:rsidR="00FB5A0D">
        <w:t>AJC</w:t>
      </w:r>
      <w:r w:rsidR="002B3585">
        <w:t>’</w:t>
      </w:r>
      <w:r w:rsidR="00FB5A0D">
        <w:t>s</w:t>
      </w:r>
      <w:r w:rsidR="002B3585">
        <w:t xml:space="preserve"> </w:t>
      </w:r>
      <w:r w:rsidR="00FB5A0D">
        <w:t xml:space="preserve">approaches in </w:t>
      </w:r>
      <w:r w:rsidR="00795045">
        <w:t xml:space="preserve">identifying, </w:t>
      </w:r>
      <w:r w:rsidR="00FB5A0D">
        <w:t>pre-screening</w:t>
      </w:r>
      <w:r w:rsidR="00795045">
        <w:t>, pre-certifying</w:t>
      </w:r>
      <w:r w:rsidR="00AE5497">
        <w:t>, and verifying</w:t>
      </w:r>
      <w:r w:rsidR="00FB5A0D">
        <w:t xml:space="preserve"> WOTC candidates</w:t>
      </w:r>
      <w:r w:rsidR="00AB6FF2">
        <w:t xml:space="preserve">, </w:t>
      </w:r>
      <w:r w:rsidR="00795045">
        <w:t>the way</w:t>
      </w:r>
      <w:r w:rsidR="00412F32">
        <w:t xml:space="preserve"> SWAs are involved with AJCs in WOTC activities, </w:t>
      </w:r>
      <w:r w:rsidR="00171204">
        <w:t xml:space="preserve">about </w:t>
      </w:r>
      <w:r w:rsidR="00D65E03">
        <w:t xml:space="preserve">specific WOTC target group(s) </w:t>
      </w:r>
      <w:r w:rsidR="00171204">
        <w:t>the</w:t>
      </w:r>
      <w:r w:rsidR="00AE5497">
        <w:t>y</w:t>
      </w:r>
      <w:r w:rsidR="00171204">
        <w:t xml:space="preserve"> </w:t>
      </w:r>
      <w:r w:rsidR="00D65E03">
        <w:t>serv</w:t>
      </w:r>
      <w:r w:rsidR="00171204">
        <w:t>e</w:t>
      </w:r>
      <w:r w:rsidR="00D65E03">
        <w:t xml:space="preserve">, </w:t>
      </w:r>
      <w:r w:rsidR="007F1CBE">
        <w:t xml:space="preserve">how AJCs work with employers, </w:t>
      </w:r>
      <w:r w:rsidR="00C91338">
        <w:t xml:space="preserve">and the other challenges AJCs face on WOTC program implementation. </w:t>
      </w:r>
      <w:r w:rsidR="00AD3BF7">
        <w:t xml:space="preserve">The study team will collect information from 400 AJCs and partner organizations. </w:t>
      </w:r>
      <w:r w:rsidR="00F005A8">
        <w:t xml:space="preserve">Since AJCs also receive DOL grant funds, </w:t>
      </w:r>
      <w:r w:rsidR="00BE465C">
        <w:t xml:space="preserve">similar to the SWAs, </w:t>
      </w:r>
      <w:r w:rsidR="00F005A8">
        <w:t>we anticipate a high rate of response.</w:t>
      </w:r>
    </w:p>
    <w:p w:rsidR="00DE2230" w:rsidP="00330B72" w14:paraId="2E2563F3" w14:textId="77777777"/>
    <w:p w:rsidR="00DE2230" w:rsidP="00330B72" w14:paraId="798D189A" w14:textId="7FCDAF00">
      <w:r>
        <w:rPr>
          <w:b/>
          <w:bCs/>
        </w:rPr>
        <w:t>Survey of employers</w:t>
      </w:r>
      <w:r>
        <w:t xml:space="preserve">. </w:t>
      </w:r>
      <w:r w:rsidR="0089026C">
        <w:t xml:space="preserve">The goal of surveying sampled employers is to collect information about </w:t>
      </w:r>
      <w:r w:rsidR="00394300">
        <w:t xml:space="preserve">the employer or employer representative’s </w:t>
      </w:r>
      <w:r w:rsidR="004F5EF3">
        <w:t>involvement in WOTC implementation</w:t>
      </w:r>
      <w:r w:rsidR="00A22032">
        <w:t xml:space="preserve"> (identifying</w:t>
      </w:r>
      <w:r w:rsidR="005B7626">
        <w:t>, verifying, and certifying WOTC candidates)</w:t>
      </w:r>
      <w:r w:rsidR="004F5EF3">
        <w:t xml:space="preserve">, </w:t>
      </w:r>
      <w:r w:rsidR="00394300">
        <w:t xml:space="preserve">the employers’ interactions with the SWA in obtaining certifications, and typical </w:t>
      </w:r>
      <w:r w:rsidR="00F20780">
        <w:t xml:space="preserve">duration of WOTC employees’ </w:t>
      </w:r>
      <w:r w:rsidR="00024EB2">
        <w:t>employment</w:t>
      </w:r>
      <w:r w:rsidR="00394300">
        <w:t>.</w:t>
      </w:r>
      <w:r w:rsidR="00534C14">
        <w:t xml:space="preserve"> </w:t>
      </w:r>
      <w:r w:rsidR="00CE1493">
        <w:t>The study</w:t>
      </w:r>
      <w:r w:rsidR="00394300">
        <w:t xml:space="preserve"> </w:t>
      </w:r>
      <w:r w:rsidR="00CE1493">
        <w:t>targets to survey 400 employers</w:t>
      </w:r>
      <w:r w:rsidR="00B71F50">
        <w:t xml:space="preserve">. </w:t>
      </w:r>
      <w:r w:rsidR="00BE465C">
        <w:t>The employer t</w:t>
      </w:r>
      <w:r w:rsidR="00F005A8">
        <w:t>ax credit for each WOTC hire</w:t>
      </w:r>
      <w:r w:rsidR="00BE465C">
        <w:t xml:space="preserve"> can motivate employers</w:t>
      </w:r>
      <w:r w:rsidR="00F005A8">
        <w:t xml:space="preserve"> to respond to the survey. In addition, the survey covers </w:t>
      </w:r>
      <w:r w:rsidR="00BE465C">
        <w:t xml:space="preserve">topics of interest to </w:t>
      </w:r>
      <w:r w:rsidR="00037217">
        <w:t>employers, such</w:t>
      </w:r>
      <w:r w:rsidR="00F005A8">
        <w:t xml:space="preserve"> as </w:t>
      </w:r>
      <w:r w:rsidR="00BE465C">
        <w:t>issues</w:t>
      </w:r>
      <w:r w:rsidR="00F005A8">
        <w:t xml:space="preserve"> in receiving certification determinations and difficulties in obtaining documentation, which </w:t>
      </w:r>
      <w:r w:rsidR="00BE465C">
        <w:t>can</w:t>
      </w:r>
      <w:r w:rsidR="00F005A8">
        <w:t xml:space="preserve"> also motivate responses. However, there is no penalty for nonresponse by employers</w:t>
      </w:r>
      <w:r w:rsidR="00037217">
        <w:t xml:space="preserve">. </w:t>
      </w:r>
      <w:r w:rsidR="0073094F">
        <w:br/>
      </w:r>
    </w:p>
    <w:p w:rsidR="00E15FC9" w:rsidRPr="00877983" w:rsidP="00916320" w14:paraId="67007FEA" w14:textId="1A189FD0">
      <w:r>
        <w:rPr>
          <w:b/>
          <w:bCs/>
        </w:rPr>
        <w:t>Survey of employees</w:t>
      </w:r>
      <w:r w:rsidRPr="00916320">
        <w:rPr>
          <w:b/>
          <w:bCs/>
        </w:rPr>
        <w:t xml:space="preserve">. </w:t>
      </w:r>
      <w:r w:rsidRPr="00916320" w:rsidR="00186E8B">
        <w:t xml:space="preserve">The goal of surveying employees is to </w:t>
      </w:r>
      <w:r w:rsidRPr="00916320" w:rsidR="001B01E9">
        <w:t xml:space="preserve">understand the </w:t>
      </w:r>
      <w:r w:rsidRPr="00916320" w:rsidR="002A4BFE">
        <w:t>characteristics</w:t>
      </w:r>
      <w:r w:rsidRPr="00916320" w:rsidR="001B01E9">
        <w:t xml:space="preserve"> of candidates employed as WOTC employees</w:t>
      </w:r>
      <w:r w:rsidRPr="00916320" w:rsidR="00786E95">
        <w:t xml:space="preserve">, </w:t>
      </w:r>
      <w:r w:rsidRPr="00916320" w:rsidR="00394300">
        <w:t xml:space="preserve">and their employment experience, including hours worked and </w:t>
      </w:r>
      <w:r w:rsidRPr="00916320" w:rsidR="008F1A79">
        <w:t xml:space="preserve">sustaining the WOTC job or getting another job, </w:t>
      </w:r>
      <w:r w:rsidRPr="00916320" w:rsidR="00773F4B">
        <w:t>and their satisfaction</w:t>
      </w:r>
      <w:r w:rsidRPr="00916320" w:rsidR="008F1A79">
        <w:t>.</w:t>
      </w:r>
      <w:r w:rsidRPr="00916320" w:rsidR="009577E0">
        <w:t xml:space="preserve"> A random sample</w:t>
      </w:r>
      <w:r w:rsidRPr="00916320" w:rsidR="0073094F">
        <w:t xml:space="preserve"> will be developed to collect responses from</w:t>
      </w:r>
      <w:r w:rsidRPr="00916320" w:rsidR="009577E0">
        <w:t xml:space="preserve"> </w:t>
      </w:r>
      <w:r w:rsidRPr="00916320" w:rsidR="007F1CBE">
        <w:t>6</w:t>
      </w:r>
      <w:r w:rsidRPr="00916320" w:rsidR="009577E0">
        <w:t>00 employees</w:t>
      </w:r>
      <w:r w:rsidRPr="00916320" w:rsidR="0073094F">
        <w:t xml:space="preserve">. </w:t>
      </w:r>
      <w:r w:rsidRPr="00916320" w:rsidR="002A4BFE">
        <w:t xml:space="preserve">WOTC employees may not be aware that they are a participant in the WOTC program, given that employers may embed WOTC form requirements into their recruiting and hiring forms. </w:t>
      </w:r>
      <w:r w:rsidRPr="00916320" w:rsidR="0073094F">
        <w:t xml:space="preserve">Given </w:t>
      </w:r>
      <w:r w:rsidRPr="00916320" w:rsidR="002A4BFE">
        <w:t xml:space="preserve">that, we anticipate </w:t>
      </w:r>
      <w:r w:rsidRPr="00916320" w:rsidR="0073094F">
        <w:t xml:space="preserve">difficulty </w:t>
      </w:r>
      <w:r w:rsidRPr="00916320" w:rsidR="002A4BFE">
        <w:t xml:space="preserve">in </w:t>
      </w:r>
      <w:r w:rsidRPr="00916320" w:rsidR="0073094F">
        <w:t>surveying these individuals</w:t>
      </w:r>
      <w:r w:rsidRPr="00916320" w:rsidR="002A4BFE">
        <w:t xml:space="preserve"> and </w:t>
      </w:r>
      <w:r w:rsidRPr="00916320" w:rsidR="0073094F">
        <w:t xml:space="preserve">the contractor will provide an incentive </w:t>
      </w:r>
      <w:r w:rsidRPr="00916320" w:rsidR="00916320">
        <w:t>to complete</w:t>
      </w:r>
      <w:r w:rsidRPr="00916320" w:rsidR="0073094F">
        <w:t xml:space="preserve"> the survey</w:t>
      </w:r>
      <w:r w:rsidRPr="00916320" w:rsidR="00554947">
        <w:t>.</w:t>
      </w:r>
      <w:r w:rsidRPr="00916320" w:rsidR="0073094F">
        <w:t xml:space="preserve"> With the incentive, it is expected that the response rate will be roughly 5 percent</w:t>
      </w:r>
      <w:r w:rsidRPr="00916320" w:rsidR="007F1CBE">
        <w:t>. The response rate was calculated based on information provided above.</w:t>
      </w:r>
      <w:r w:rsidR="0073094F">
        <w:br/>
      </w:r>
      <w:r w:rsidR="00554947">
        <w:t xml:space="preserve"> </w:t>
      </w:r>
    </w:p>
    <w:p w:rsidR="00DB0139" w:rsidRPr="00846A3C" w:rsidP="00DB0139" w14:paraId="5D714847" w14:textId="4880C82C">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846A3C">
        <w:rPr>
          <w:rFonts w:ascii="Times New Roman" w:eastAsia="Times New Roman" w:hAnsi="Times New Roman" w:cs="Times New Roman"/>
          <w:b/>
          <w:bCs/>
          <w:color w:val="212529"/>
          <w:kern w:val="0"/>
          <w:sz w:val="24"/>
          <w:szCs w:val="24"/>
          <w:shd w:val="clear" w:color="auto" w:fill="FFFFFF"/>
          <w14:ligatures w14:val="none"/>
        </w:rPr>
        <w:t>Describe the procedures for the collection of information including:      </w:t>
      </w:r>
    </w:p>
    <w:p w:rsidR="00DB0139" w:rsidRPr="00DB0139" w:rsidP="00DB0139" w14:paraId="5DEEB60A" w14:textId="77777777">
      <w:pPr>
        <w:numPr>
          <w:ilvl w:val="0"/>
          <w:numId w:val="2"/>
        </w:numPr>
        <w:shd w:val="clear" w:color="auto" w:fill="FFFFFF"/>
        <w:spacing w:before="100" w:beforeAutospacing="1" w:after="100" w:afterAutospacing="1"/>
        <w:ind w:left="1320"/>
        <w:rPr>
          <w:color w:val="212529"/>
        </w:rPr>
      </w:pPr>
      <w:r w:rsidRPr="00DB0139">
        <w:rPr>
          <w:b/>
          <w:bCs/>
          <w:color w:val="212529"/>
        </w:rPr>
        <w:t>Statistical methodology for stratification and sample selection,      </w:t>
      </w:r>
    </w:p>
    <w:p w:rsidR="00DB0139" w:rsidRPr="00DB0139" w:rsidP="00DB0139" w14:paraId="29CA8D34" w14:textId="77777777">
      <w:pPr>
        <w:numPr>
          <w:ilvl w:val="0"/>
          <w:numId w:val="2"/>
        </w:numPr>
        <w:shd w:val="clear" w:color="auto" w:fill="FFFFFF"/>
        <w:spacing w:before="100" w:beforeAutospacing="1" w:after="100" w:afterAutospacing="1"/>
        <w:ind w:left="1320"/>
        <w:rPr>
          <w:color w:val="212529"/>
        </w:rPr>
      </w:pPr>
      <w:r w:rsidRPr="00DB0139">
        <w:rPr>
          <w:b/>
          <w:bCs/>
          <w:color w:val="212529"/>
        </w:rPr>
        <w:t>Estimation procedure,      </w:t>
      </w:r>
    </w:p>
    <w:p w:rsidR="00DB0139" w:rsidRPr="00DB0139" w:rsidP="00DB0139" w14:paraId="5A97C920" w14:textId="77777777">
      <w:pPr>
        <w:numPr>
          <w:ilvl w:val="0"/>
          <w:numId w:val="2"/>
        </w:numPr>
        <w:shd w:val="clear" w:color="auto" w:fill="FFFFFF"/>
        <w:spacing w:before="100" w:beforeAutospacing="1" w:after="100" w:afterAutospacing="1"/>
        <w:ind w:left="1320"/>
        <w:rPr>
          <w:color w:val="212529"/>
        </w:rPr>
      </w:pPr>
      <w:r w:rsidRPr="00DB0139">
        <w:rPr>
          <w:b/>
          <w:bCs/>
          <w:color w:val="212529"/>
        </w:rPr>
        <w:t>Degree of accuracy needed for the purpose described in the justification,      </w:t>
      </w:r>
    </w:p>
    <w:p w:rsidR="00DB0139" w:rsidRPr="00DB0139" w:rsidP="00DB0139" w14:paraId="0C0BA42C" w14:textId="77777777">
      <w:pPr>
        <w:numPr>
          <w:ilvl w:val="0"/>
          <w:numId w:val="2"/>
        </w:numPr>
        <w:shd w:val="clear" w:color="auto" w:fill="FFFFFF"/>
        <w:spacing w:before="100" w:beforeAutospacing="1" w:after="100" w:afterAutospacing="1"/>
        <w:ind w:left="1320"/>
        <w:rPr>
          <w:color w:val="212529"/>
        </w:rPr>
      </w:pPr>
      <w:r w:rsidRPr="00DB0139">
        <w:rPr>
          <w:b/>
          <w:bCs/>
          <w:color w:val="212529"/>
        </w:rPr>
        <w:t>Unusual problems requiring specialized sampling procedures, and      </w:t>
      </w:r>
    </w:p>
    <w:p w:rsidR="003D50E0" w:rsidRPr="008F1A79" w:rsidP="003D50E0" w14:paraId="6BE821ED" w14:textId="3C87561B">
      <w:pPr>
        <w:numPr>
          <w:ilvl w:val="0"/>
          <w:numId w:val="2"/>
        </w:numPr>
        <w:shd w:val="clear" w:color="auto" w:fill="FFFFFF"/>
        <w:spacing w:before="100" w:beforeAutospacing="1" w:after="100" w:afterAutospacing="1"/>
        <w:ind w:left="1320"/>
        <w:rPr>
          <w:color w:val="212529"/>
        </w:rPr>
      </w:pPr>
      <w:r w:rsidRPr="00DB0139">
        <w:rPr>
          <w:b/>
          <w:bCs/>
          <w:color w:val="212529"/>
        </w:rPr>
        <w:t>Any use of periodic (less frequent than annual) data collection cycles to reduce burden.</w:t>
      </w:r>
    </w:p>
    <w:p w:rsidR="003D50E0" w:rsidP="003D50E0" w14:paraId="4EFF3078" w14:textId="3022D0B4">
      <w:pPr>
        <w:rPr>
          <w:b/>
          <w:bCs/>
          <w:color w:val="212529"/>
        </w:rPr>
      </w:pPr>
      <w:r w:rsidRPr="008F1A79">
        <w:rPr>
          <w:b/>
          <w:bCs/>
          <w:color w:val="212529"/>
        </w:rPr>
        <w:t>Statistical methodology, estimation, and degree of accuracy</w:t>
      </w:r>
    </w:p>
    <w:p w:rsidR="008F1A79" w:rsidRPr="008F1A79" w:rsidP="003D50E0" w14:paraId="0D85E57C" w14:textId="77777777">
      <w:pPr>
        <w:rPr>
          <w:b/>
          <w:bCs/>
          <w:color w:val="212529"/>
        </w:rPr>
      </w:pPr>
    </w:p>
    <w:p w:rsidR="003D50E0" w:rsidRPr="00147E2E" w:rsidP="003D50E0" w14:paraId="436900F7" w14:textId="4CF1D124">
      <w:pPr>
        <w:rPr>
          <w:color w:val="212529"/>
        </w:rPr>
      </w:pPr>
      <w:r w:rsidRPr="00147E2E">
        <w:rPr>
          <w:color w:val="212529"/>
        </w:rPr>
        <w:t xml:space="preserve">Given our experience collecting survey data, we estimate an approximate response rate of </w:t>
      </w:r>
      <w:r w:rsidR="00C17446">
        <w:rPr>
          <w:color w:val="212529"/>
        </w:rPr>
        <w:t>5%</w:t>
      </w:r>
      <w:r w:rsidRPr="00147E2E">
        <w:rPr>
          <w:color w:val="212529"/>
        </w:rPr>
        <w:t xml:space="preserve"> </w:t>
      </w:r>
      <w:r w:rsidR="008F1A79">
        <w:rPr>
          <w:color w:val="212529"/>
        </w:rPr>
        <w:t xml:space="preserve">from employees and </w:t>
      </w:r>
      <w:r w:rsidR="00C17446">
        <w:rPr>
          <w:color w:val="212529"/>
        </w:rPr>
        <w:t>10% from</w:t>
      </w:r>
      <w:r w:rsidR="002A4BFE">
        <w:rPr>
          <w:color w:val="212529"/>
        </w:rPr>
        <w:t xml:space="preserve"> </w:t>
      </w:r>
      <w:r w:rsidR="008F1A79">
        <w:rPr>
          <w:color w:val="212529"/>
        </w:rPr>
        <w:t>employers</w:t>
      </w:r>
      <w:r w:rsidRPr="00147E2E">
        <w:rPr>
          <w:color w:val="212529"/>
        </w:rPr>
        <w:t>. We note and assume that the response rate will likely vary by target group</w:t>
      </w:r>
      <w:r w:rsidRPr="00147E2E" w:rsidR="00EF73E2">
        <w:rPr>
          <w:color w:val="212529"/>
        </w:rPr>
        <w:t xml:space="preserve">. </w:t>
      </w:r>
      <w:r w:rsidRPr="003D50E0">
        <w:rPr>
          <w:color w:val="212529"/>
        </w:rPr>
        <w:t>However,</w:t>
      </w:r>
      <w:r w:rsidRPr="00147E2E">
        <w:rPr>
          <w:color w:val="212529"/>
        </w:rPr>
        <w:t xml:space="preserve"> these differences are unknown to us at this time and therefore cannot be directly accounted for in the sample development.</w:t>
      </w:r>
    </w:p>
    <w:p w:rsidR="003D50E0" w:rsidP="003D50E0" w14:paraId="091583B4" w14:textId="77777777"/>
    <w:p w:rsidR="003D50E0" w:rsidP="003D50E0" w14:paraId="69DBF4D4" w14:textId="28E29EAF">
      <w:r>
        <w:t>As our only requirement is to draw a representative sample, we have used the following formula and assumptions</w:t>
      </w:r>
      <w:r w:rsidR="008F1A79">
        <w:t xml:space="preserve"> to estimate the sample size of employees</w:t>
      </w:r>
      <w:r>
        <w:t>:</w:t>
      </w:r>
    </w:p>
    <w:p w:rsidR="003D50E0" w:rsidP="003D50E0" w14:paraId="3AAF0406" w14:textId="242BCE0A">
      <w:r>
        <w:t xml:space="preserve">N = Population Size (N = </w:t>
      </w:r>
      <w:r w:rsidR="00191F15">
        <w:t>1,984,978</w:t>
      </w:r>
      <w:r>
        <w:t>)</w:t>
      </w:r>
    </w:p>
    <w:p w:rsidR="003D50E0" w:rsidP="003D50E0" w14:paraId="50458095" w14:textId="1E6C2837">
      <w:r>
        <w:t>Z = Z-score associated with normal distribution (95/5% confidence, associated Z-score = 1.96)</w:t>
      </w:r>
    </w:p>
    <w:p w:rsidR="003D50E0" w:rsidP="003D50E0" w14:paraId="2FD9213E" w14:textId="02A8D411">
      <w:r>
        <w:t>e = Margin of Error (e = 5%)</w:t>
      </w:r>
    </w:p>
    <w:p w:rsidR="003D50E0" w:rsidP="003D50E0" w14:paraId="605C655C" w14:textId="186A43D8">
      <w:r>
        <w:t>p = Standard Deviation (p = 0.5, the value is unknown and conservatively assumed to be 0.5)</w:t>
      </w:r>
    </w:p>
    <w:p w:rsidR="003D50E0" w:rsidP="003D50E0" w14:paraId="5F6706E7" w14:textId="77777777"/>
    <w:p w:rsidR="003D50E0" w:rsidP="003D50E0" w14:paraId="2CAC982C" w14:textId="7F6D1E97">
      <w:r>
        <w:t xml:space="preserve">Required Sample Size formula =  </w:t>
      </w:r>
      <m:oMath>
        <m:f>
          <m:fPr>
            <m:type m:val="skw"/>
            <m:ctrlPr>
              <w:rPr>
                <w:rFonts w:ascii="Cambria Math" w:hAnsi="Cambria Math" w:eastAsiaTheme="minorHAnsi" w:cstheme="minorBidi"/>
                <w:i/>
                <w:kern w:val="2"/>
                <w14:ligatures w14:val="standardContextual"/>
              </w:rPr>
            </m:ctrlPr>
          </m:fPr>
          <m:num>
            <m:sSup>
              <m:sSupPr>
                <m:ctrlPr>
                  <w:rPr>
                    <w:rFonts w:ascii="Cambria Math" w:hAnsi="Cambria Math" w:eastAsiaTheme="minorHAnsi" w:cstheme="minorBidi"/>
                    <w:i/>
                    <w:kern w:val="2"/>
                    <w14:ligatures w14:val="standardContextual"/>
                  </w:rPr>
                </m:ctrlPr>
              </m:sSupPr>
              <m:e>
                <m:r>
                  <w:rPr>
                    <w:rFonts w:ascii="Cambria Math" w:hAnsi="Cambria Math"/>
                  </w:rPr>
                  <m:t>Z</m:t>
                </m:r>
              </m:e>
              <m:sup>
                <m:r>
                  <w:rPr>
                    <w:rFonts w:ascii="Cambria Math" w:hAnsi="Cambria Math" w:eastAsiaTheme="minorHAnsi"/>
                  </w:rPr>
                  <m:t>2</m:t>
                </m:r>
              </m:sup>
            </m:sSup>
            <m:r>
              <w:rPr>
                <w:rFonts w:ascii="Cambria Math" w:hAnsi="Cambria Math"/>
              </w:rPr>
              <m:t>* p(1-p)/</m:t>
            </m:r>
            <m:sSup>
              <m:sSupPr>
                <m:ctrlPr>
                  <w:rPr>
                    <w:rFonts w:ascii="Cambria Math" w:hAnsi="Cambria Math" w:eastAsiaTheme="minorHAnsi" w:cstheme="minorBidi"/>
                    <w:i/>
                    <w:kern w:val="2"/>
                    <w14:ligatures w14:val="standardContextual"/>
                  </w:rPr>
                </m:ctrlPr>
              </m:sSupPr>
              <m:e>
                <m:r>
                  <w:rPr>
                    <w:rFonts w:ascii="Cambria Math" w:hAnsi="Cambria Math"/>
                  </w:rPr>
                  <m:t>e</m:t>
                </m:r>
              </m:e>
              <m:sup>
                <m:r>
                  <w:rPr>
                    <w:rFonts w:ascii="Cambria Math" w:hAnsi="Cambria Math" w:eastAsiaTheme="minorHAnsi"/>
                  </w:rPr>
                  <m:t>2</m:t>
                </m:r>
              </m:sup>
            </m:sSup>
          </m:num>
          <m:den>
            <m:r>
              <w:rPr>
                <w:rFonts w:ascii="Cambria Math" w:hAnsi="Cambria Math"/>
              </w:rPr>
              <m:t>1+(</m:t>
            </m:r>
            <m:f>
              <m:fPr>
                <m:ctrlPr>
                  <w:rPr>
                    <w:rFonts w:ascii="Cambria Math" w:hAnsi="Cambria Math"/>
                    <w:i/>
                  </w:rPr>
                </m:ctrlPr>
              </m:fPr>
              <m:num>
                <m:sSup>
                  <m:sSupPr>
                    <m:ctrlPr>
                      <w:rPr>
                        <w:rFonts w:ascii="Cambria Math" w:hAnsi="Cambria Math" w:eastAsiaTheme="minorHAnsi" w:cstheme="minorBidi"/>
                        <w:i/>
                        <w:kern w:val="2"/>
                        <w14:ligatures w14:val="standardContextual"/>
                      </w:rPr>
                    </m:ctrlPr>
                  </m:sSupPr>
                  <m:e>
                    <m:r>
                      <w:rPr>
                        <w:rFonts w:ascii="Cambria Math" w:hAnsi="Cambria Math"/>
                      </w:rPr>
                      <m:t>Z</m:t>
                    </m:r>
                  </m:e>
                  <m:sup>
                    <m:r>
                      <w:rPr>
                        <w:rFonts w:ascii="Cambria Math" w:hAnsi="Cambria Math" w:eastAsiaTheme="minorHAnsi"/>
                      </w:rPr>
                      <m:t>2</m:t>
                    </m:r>
                    <m:r>
                      <w:rPr>
                        <w:rFonts w:ascii="Cambria Math" w:hAnsi="Cambria Math"/>
                      </w:rPr>
                      <m:t xml:space="preserve">  </m:t>
                    </m:r>
                  </m:sup>
                </m:sSup>
                <m:r>
                  <w:rPr>
                    <w:rFonts w:ascii="Cambria Math" w:hAnsi="Cambria Math"/>
                  </w:rPr>
                  <m:t>* p</m:t>
                </m:r>
                <m:d>
                  <m:dPr>
                    <m:ctrlPr>
                      <w:rPr>
                        <w:rFonts w:ascii="Cambria Math" w:hAnsi="Cambria Math"/>
                        <w:i/>
                      </w:rPr>
                    </m:ctrlPr>
                  </m:dPr>
                  <m:e>
                    <m:r>
                      <w:rPr>
                        <w:rFonts w:ascii="Cambria Math" w:hAnsi="Cambria Math"/>
                      </w:rPr>
                      <m:t>1-p</m:t>
                    </m:r>
                  </m:e>
                </m:d>
              </m:num>
              <m:den>
                <m:sSup>
                  <m:sSupPr>
                    <m:ctrlPr>
                      <w:rPr>
                        <w:rFonts w:ascii="Cambria Math" w:hAnsi="Cambria Math" w:eastAsiaTheme="minorHAnsi" w:cstheme="minorBidi"/>
                        <w:i/>
                        <w:kern w:val="2"/>
                        <w14:ligatures w14:val="standardContextual"/>
                      </w:rPr>
                    </m:ctrlPr>
                  </m:sSupPr>
                  <m:e>
                    <m:r>
                      <w:rPr>
                        <w:rFonts w:ascii="Cambria Math" w:hAnsi="Cambria Math"/>
                      </w:rPr>
                      <m:t>e</m:t>
                    </m:r>
                  </m:e>
                  <m:sup>
                    <m:r>
                      <w:rPr>
                        <w:rFonts w:ascii="Cambria Math" w:hAnsi="Cambria Math" w:eastAsiaTheme="minorHAnsi"/>
                      </w:rPr>
                      <m:t>2</m:t>
                    </m:r>
                  </m:sup>
                </m:sSup>
                <m:r>
                  <w:rPr>
                    <w:rFonts w:ascii="Cambria Math" w:hAnsi="Cambria Math"/>
                  </w:rPr>
                  <m:t>* N</m:t>
                </m:r>
              </m:den>
            </m:f>
            <m:r>
              <w:rPr>
                <w:rFonts w:ascii="Cambria Math" w:hAnsi="Cambria Math"/>
              </w:rPr>
              <m:t>)</m:t>
            </m:r>
          </m:den>
        </m:f>
      </m:oMath>
      <w:r w:rsidR="00887239">
        <w:rPr>
          <w:kern w:val="2"/>
          <w14:ligatures w14:val="standardContextual"/>
        </w:rPr>
        <w:tab/>
      </w:r>
      <w:r w:rsidR="00887239">
        <w:rPr>
          <w:kern w:val="2"/>
          <w14:ligatures w14:val="standardContextual"/>
        </w:rPr>
        <w:tab/>
      </w:r>
      <w:bookmarkStart w:id="1" w:name="Equation"/>
      <w:r w:rsidR="00887239">
        <w:rPr>
          <w:kern w:val="2"/>
          <w14:ligatures w14:val="standardContextual"/>
        </w:rPr>
        <w:t>(1)</w:t>
      </w:r>
      <w:bookmarkEnd w:id="1"/>
    </w:p>
    <w:p w:rsidR="003D50E0" w:rsidP="001955A4" w14:paraId="668D95A4" w14:textId="77777777"/>
    <w:p w:rsidR="003D50E0" w:rsidP="001955A4" w14:paraId="34EE05F3" w14:textId="30C22548">
      <w:pPr>
        <w:rPr>
          <w:color w:val="212529"/>
        </w:rPr>
      </w:pPr>
      <w:r>
        <w:rPr>
          <w:color w:val="212529"/>
        </w:rPr>
        <w:t>Applying the formula with the noted assumptions leads to a sample size of 384</w:t>
      </w:r>
      <w:r w:rsidR="00EF73E2">
        <w:rPr>
          <w:color w:val="212529"/>
        </w:rPr>
        <w:t xml:space="preserve">. </w:t>
      </w:r>
      <w:r>
        <w:rPr>
          <w:color w:val="212529"/>
        </w:rPr>
        <w:t>For simplicity’s sake we are rounding the value to 400</w:t>
      </w:r>
      <w:r w:rsidR="00EF73E2">
        <w:rPr>
          <w:color w:val="212529"/>
        </w:rPr>
        <w:t xml:space="preserve">. </w:t>
      </w:r>
      <w:r w:rsidR="008F1A79">
        <w:rPr>
          <w:color w:val="212529"/>
        </w:rPr>
        <w:t>(Because we will not know the number of employers until we obtain data from the SWAs, we cannot provide a calculation for the employer sample</w:t>
      </w:r>
      <w:r w:rsidR="00EF73E2">
        <w:rPr>
          <w:color w:val="212529"/>
        </w:rPr>
        <w:t xml:space="preserve">. </w:t>
      </w:r>
      <w:r w:rsidR="008F1A79">
        <w:rPr>
          <w:color w:val="212529"/>
        </w:rPr>
        <w:t>We assume that the universe will be sufficiently large to apply the formula described above</w:t>
      </w:r>
      <w:r w:rsidR="005A5023">
        <w:rPr>
          <w:color w:val="212529"/>
        </w:rPr>
        <w:t>.</w:t>
      </w:r>
      <w:r w:rsidR="008F1A79">
        <w:rPr>
          <w:color w:val="212529"/>
        </w:rPr>
        <w:t xml:space="preserve">) We plan to sample </w:t>
      </w:r>
      <w:r w:rsidR="00EF73E2">
        <w:rPr>
          <w:color w:val="212529"/>
        </w:rPr>
        <w:t>all</w:t>
      </w:r>
      <w:r w:rsidR="008F1A79">
        <w:rPr>
          <w:color w:val="212529"/>
        </w:rPr>
        <w:t xml:space="preserve"> the AJCs in the sampled SWAs</w:t>
      </w:r>
      <w:r w:rsidR="00EF73E2">
        <w:rPr>
          <w:color w:val="212529"/>
        </w:rPr>
        <w:t xml:space="preserve">. </w:t>
      </w:r>
      <w:r w:rsidR="008F1A79">
        <w:rPr>
          <w:color w:val="212529"/>
        </w:rPr>
        <w:t>Each AJC will be asked to identify another partner organization in their community, and we will survey those as well.</w:t>
      </w:r>
    </w:p>
    <w:p w:rsidR="003D50E0" w:rsidP="001955A4" w14:paraId="7ED2E651" w14:textId="77777777">
      <w:pPr>
        <w:rPr>
          <w:color w:val="212529"/>
        </w:rPr>
      </w:pPr>
    </w:p>
    <w:p w:rsidR="003D50E0" w:rsidP="001955A4" w14:paraId="5F00F0D0" w14:textId="23BC45BC">
      <w:r w:rsidRPr="00F97BDE">
        <w:t xml:space="preserve">To achieve the value of </w:t>
      </w:r>
      <w:r w:rsidRPr="00F97BDE" w:rsidR="003F144A">
        <w:t>6</w:t>
      </w:r>
      <w:r w:rsidRPr="00F97BDE">
        <w:t xml:space="preserve">00 collected surveys </w:t>
      </w:r>
      <w:r w:rsidRPr="00F97BDE" w:rsidR="007E7D08">
        <w:t xml:space="preserve">of employees </w:t>
      </w:r>
      <w:r w:rsidRPr="00F97BDE">
        <w:t xml:space="preserve">based on a response rate of </w:t>
      </w:r>
      <w:r w:rsidRPr="00F97BDE" w:rsidR="00DF4D4C">
        <w:t>five</w:t>
      </w:r>
      <w:r w:rsidRPr="00F97BDE">
        <w:t xml:space="preserve"> percent requires a mailing of </w:t>
      </w:r>
      <w:r w:rsidRPr="00F97BDE" w:rsidR="00DF4D4C">
        <w:t>12,000</w:t>
      </w:r>
      <w:r w:rsidRPr="00F97BDE" w:rsidR="002A4BFE">
        <w:t xml:space="preserve"> survey requests</w:t>
      </w:r>
      <w:r w:rsidRPr="00F97BDE" w:rsidR="00EF73E2">
        <w:t xml:space="preserve">. </w:t>
      </w:r>
    </w:p>
    <w:p w:rsidR="00CF6947" w:rsidP="001955A4" w14:paraId="6FC9008D" w14:textId="77777777"/>
    <w:p w:rsidR="003F4B16" w:rsidP="00582843" w14:paraId="0DFB9324" w14:textId="41DD8F2C">
      <w:pPr>
        <w:shd w:val="clear" w:color="auto" w:fill="FFFFFF"/>
        <w:rPr>
          <w:b/>
          <w:bCs/>
          <w:color w:val="212529"/>
        </w:rPr>
      </w:pPr>
      <w:r>
        <w:rPr>
          <w:b/>
          <w:bCs/>
          <w:color w:val="212529"/>
        </w:rPr>
        <w:t>Analyzing survey data</w:t>
      </w:r>
    </w:p>
    <w:p w:rsidR="003F4B16" w:rsidP="00582843" w14:paraId="01A02FCA" w14:textId="43186AF5">
      <w:pPr>
        <w:shd w:val="clear" w:color="auto" w:fill="FFFFFF"/>
      </w:pPr>
      <w:r w:rsidRPr="00E77E3C">
        <w:t xml:space="preserve">The data gathered through the survey will be tabulated using descriptive methods (including simple frequencies, cross-tabulations, and means, when appropriate) to provide contextual information about the characteristics of </w:t>
      </w:r>
      <w:r>
        <w:t>responde</w:t>
      </w:r>
      <w:r w:rsidRPr="00E77E3C">
        <w:t>nts</w:t>
      </w:r>
      <w:r w:rsidR="00180F05">
        <w:t xml:space="preserve">, </w:t>
      </w:r>
      <w:r w:rsidR="000955F4">
        <w:t xml:space="preserve">the strategies used by different implementing entities, </w:t>
      </w:r>
      <w:r w:rsidR="00C94796">
        <w:t>challenges,</w:t>
      </w:r>
      <w:r w:rsidR="000955F4">
        <w:t xml:space="preserve"> </w:t>
      </w:r>
      <w:r w:rsidR="00F92C0A">
        <w:t>and feedback</w:t>
      </w:r>
      <w:r w:rsidRPr="00E77E3C">
        <w:t>.</w:t>
      </w:r>
      <w:r w:rsidR="00F92C0A">
        <w:t xml:space="preserve"> When </w:t>
      </w:r>
      <w:r w:rsidR="00307C7A">
        <w:t>relevant, important findings will also be presented through visualization technique</w:t>
      </w:r>
      <w:r w:rsidR="001C5337">
        <w:t>s</w:t>
      </w:r>
      <w:r w:rsidR="00307C7A">
        <w:t xml:space="preserve"> to communicate to the readers</w:t>
      </w:r>
      <w:r w:rsidR="009161AE">
        <w:t xml:space="preserve">. </w:t>
      </w:r>
    </w:p>
    <w:p w:rsidR="00CF6947" w:rsidP="00582843" w14:paraId="71D73EB9" w14:textId="17097295">
      <w:pPr>
        <w:shd w:val="clear" w:color="auto" w:fill="FFFFFF"/>
      </w:pPr>
    </w:p>
    <w:p w:rsidR="00DF3462" w:rsidP="00DF3462" w14:paraId="177FF122" w14:textId="245F471F">
      <w:pPr>
        <w:shd w:val="clear" w:color="auto" w:fill="FFFFFF"/>
      </w:pPr>
      <w:r>
        <w:t xml:space="preserve">The analysis plan for the survey results is purely descriptive in nature. Each main segment (Employers, Employees, SWAs, and AJCs) is predetermined by its own and separate function within the WOTC program. There is not a need to compare within or between these separate </w:t>
      </w:r>
      <w:r>
        <w:t xml:space="preserve">segments or to adjust for clustering within groups. </w:t>
      </w:r>
      <w:r w:rsidRPr="00CF6947">
        <w:t xml:space="preserve">The criterion is not applicable in the context of the WOTC </w:t>
      </w:r>
      <w:r>
        <w:t>implantation evaluation</w:t>
      </w:r>
      <w:r w:rsidRPr="00CF6947">
        <w:t>.</w:t>
      </w:r>
    </w:p>
    <w:p w:rsidR="00DF3462" w:rsidP="00DF3462" w14:paraId="225261AC" w14:textId="77777777">
      <w:pPr>
        <w:shd w:val="clear" w:color="auto" w:fill="FFFFFF"/>
      </w:pPr>
    </w:p>
    <w:p w:rsidR="00DF3462" w:rsidP="00DF3462" w14:paraId="4D79BF6D" w14:textId="38EBA6E0">
      <w:pPr>
        <w:shd w:val="clear" w:color="auto" w:fill="FFFFFF"/>
        <w:rPr>
          <w:b/>
          <w:bCs/>
          <w:color w:val="212529"/>
        </w:rPr>
      </w:pPr>
      <w:r w:rsidRPr="00BC70F8">
        <w:rPr>
          <w:color w:val="222222"/>
        </w:rPr>
        <w:t>Response data will be summarized within the different segments and by survey topics within segment. The topics are not directly relatable, nor comparable between segments. As such, statistical tests will likely not be employed.</w:t>
      </w:r>
      <w:r w:rsidRPr="001D434D">
        <w:t xml:space="preserve"> </w:t>
      </w:r>
      <w:r w:rsidRPr="001D434D">
        <w:rPr>
          <w:color w:val="222222"/>
        </w:rPr>
        <w:t>and sample size will not have an impact on any test employed. The sample size was chosen based on meeting minimal sample size requirements for reporting proportional results as well as being limited by available project budget</w:t>
      </w:r>
      <w:r>
        <w:rPr>
          <w:color w:val="222222"/>
        </w:rPr>
        <w:t>. The Employee survey will be used to answer basic questions about outcomes and demographics</w:t>
      </w:r>
      <w:r w:rsidRPr="001D434D">
        <w:rPr>
          <w:color w:val="222222"/>
        </w:rPr>
        <w:t>.</w:t>
      </w:r>
      <w:r>
        <w:rPr>
          <w:color w:val="222222"/>
        </w:rPr>
        <w:t xml:space="preserve"> For the SWA, Employer, and AJC surveys, most questions are procedural in nature to get a better understanding of the processes used to implement WOTC across the different entities. Statistical tests will not be conducted as results will be tabulated and reported on in simple summary tables. </w:t>
      </w:r>
    </w:p>
    <w:p w:rsidR="003F4B16" w:rsidP="00582843" w14:paraId="76455AC1" w14:textId="77777777">
      <w:pPr>
        <w:shd w:val="clear" w:color="auto" w:fill="FFFFFF"/>
        <w:rPr>
          <w:b/>
          <w:bCs/>
          <w:color w:val="212529"/>
        </w:rPr>
      </w:pPr>
    </w:p>
    <w:p w:rsidR="000435CC" w:rsidRPr="00DB0139" w:rsidP="00BD5943" w14:paraId="540E00E4" w14:textId="1D06BFE7">
      <w:pPr>
        <w:spacing w:after="240"/>
        <w:rPr>
          <w:color w:val="212529"/>
        </w:rPr>
      </w:pPr>
      <w:r w:rsidRPr="00DB0139">
        <w:rPr>
          <w:b/>
          <w:bCs/>
          <w:color w:val="212529"/>
        </w:rPr>
        <w:t>Unusual problems requiring specialized sampling procedures      </w:t>
      </w:r>
    </w:p>
    <w:p w:rsidR="000C4998" w:rsidRPr="00846A3C" w:rsidP="00881066" w14:paraId="03784D4B" w14:textId="116468B0">
      <w:r>
        <w:t>To administer the surveys, no specialized sampling procedures are required</w:t>
      </w:r>
      <w:r w:rsidR="004569AA">
        <w:t xml:space="preserve">. The study team will attempt to collect data from every </w:t>
      </w:r>
      <w:r w:rsidR="00D1528B">
        <w:t>node</w:t>
      </w:r>
      <w:r w:rsidR="004569AA">
        <w:t xml:space="preserve"> of WOTC implementation</w:t>
      </w:r>
      <w:r w:rsidR="0051591F">
        <w:t xml:space="preserve"> based on random selection</w:t>
      </w:r>
      <w:r w:rsidR="008F1A79">
        <w:t xml:space="preserve"> from the operational universe.</w:t>
      </w:r>
      <w:r w:rsidR="00141712">
        <w:t xml:space="preserve"> </w:t>
      </w:r>
    </w:p>
    <w:p w:rsidR="00DB3813" w:rsidRPr="00DB0139" w:rsidP="00E170AC" w14:paraId="3F77A98F" w14:textId="5410D6FE">
      <w:pPr>
        <w:shd w:val="clear" w:color="auto" w:fill="FFFFFF"/>
        <w:spacing w:before="100" w:beforeAutospacing="1" w:after="100" w:afterAutospacing="1"/>
        <w:rPr>
          <w:color w:val="212529"/>
        </w:rPr>
      </w:pPr>
      <w:r w:rsidRPr="00DB0139">
        <w:rPr>
          <w:b/>
          <w:bCs/>
          <w:color w:val="212529"/>
        </w:rPr>
        <w:t>Any use of periodic (less frequent than annual) data collection cycles to reduce burden</w:t>
      </w:r>
    </w:p>
    <w:p w:rsidR="00DB3813" w:rsidP="00531DB2" w14:paraId="1FDDC55C" w14:textId="1DDE61E7">
      <w:pPr>
        <w:shd w:val="clear" w:color="auto" w:fill="FFFFFF"/>
        <w:rPr>
          <w:color w:val="212529"/>
        </w:rPr>
      </w:pPr>
      <w:r>
        <w:rPr>
          <w:color w:val="212529"/>
        </w:rPr>
        <w:t xml:space="preserve">The study team will use the data collection instruments only </w:t>
      </w:r>
      <w:r w:rsidR="0052710C">
        <w:rPr>
          <w:color w:val="212529"/>
        </w:rPr>
        <w:t xml:space="preserve">once for any respondent. </w:t>
      </w:r>
      <w:r w:rsidR="00613B14">
        <w:rPr>
          <w:color w:val="212529"/>
        </w:rPr>
        <w:t>T</w:t>
      </w:r>
      <w:r w:rsidR="0052710C">
        <w:rPr>
          <w:color w:val="212529"/>
        </w:rPr>
        <w:t xml:space="preserve">o </w:t>
      </w:r>
      <w:r w:rsidR="00156323">
        <w:rPr>
          <w:color w:val="212529"/>
        </w:rPr>
        <w:t>minimize</w:t>
      </w:r>
      <w:r w:rsidR="00706493">
        <w:rPr>
          <w:color w:val="212529"/>
        </w:rPr>
        <w:t xml:space="preserve"> burden on respondents, the study team </w:t>
      </w:r>
      <w:r w:rsidR="00530A29">
        <w:rPr>
          <w:color w:val="212529"/>
        </w:rPr>
        <w:t>will review</w:t>
      </w:r>
      <w:r w:rsidR="00706493">
        <w:rPr>
          <w:color w:val="212529"/>
        </w:rPr>
        <w:t xml:space="preserve"> extant data available from Census, SWAs</w:t>
      </w:r>
      <w:r w:rsidR="00156323">
        <w:rPr>
          <w:color w:val="212529"/>
        </w:rPr>
        <w:t xml:space="preserve"> and any other sources to </w:t>
      </w:r>
      <w:r w:rsidR="003E4386">
        <w:rPr>
          <w:color w:val="212529"/>
        </w:rPr>
        <w:t xml:space="preserve">avoid asking questions for which data are available. For example, we are </w:t>
      </w:r>
      <w:r w:rsidR="002A4BFE">
        <w:rPr>
          <w:color w:val="212529"/>
        </w:rPr>
        <w:t>accessing data from the DOL Occupational Information Network (O*NET) to obtain the typical wage and educational levels associated with occupations in which WOTC employees work</w:t>
      </w:r>
      <w:r w:rsidR="005A5D7C">
        <w:rPr>
          <w:color w:val="212529"/>
        </w:rPr>
        <w:t xml:space="preserve"> instead of asking AJCs to provide that information</w:t>
      </w:r>
      <w:r w:rsidR="00037217">
        <w:rPr>
          <w:color w:val="212529"/>
        </w:rPr>
        <w:t xml:space="preserve">. </w:t>
      </w:r>
    </w:p>
    <w:p w:rsidR="00DB3813" w:rsidRPr="00DB0139" w:rsidP="00576324" w14:paraId="4CE688DE" w14:textId="77777777">
      <w:pPr>
        <w:pStyle w:val="ListParagraph"/>
      </w:pPr>
    </w:p>
    <w:p w:rsidR="00DD7BB0" w:rsidRPr="00992824" w:rsidP="001B69C2" w14:paraId="14041F22" w14:textId="2953FB48">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846A3C">
        <w:rPr>
          <w:rFonts w:ascii="Times New Roman" w:eastAsia="Times New Roman" w:hAnsi="Times New Roman" w:cs="Times New Roman"/>
          <w:b/>
          <w:bCs/>
          <w:color w:val="212529"/>
          <w:kern w:val="0"/>
          <w:sz w:val="24"/>
          <w:szCs w:val="24"/>
          <w:shd w:val="clear" w:color="auto" w:fill="FFFFFF"/>
          <w14:ligatures w14:val="none"/>
        </w:rPr>
        <w:t>Describe methods to maximize response rates and to deal with issues of non-response</w:t>
      </w:r>
      <w:r w:rsidRPr="00846A3C" w:rsidR="00037217">
        <w:rPr>
          <w:rFonts w:ascii="Times New Roman" w:eastAsia="Times New Roman" w:hAnsi="Times New Roman" w:cs="Times New Roman"/>
          <w:b/>
          <w:bCs/>
          <w:color w:val="212529"/>
          <w:kern w:val="0"/>
          <w:sz w:val="24"/>
          <w:szCs w:val="24"/>
          <w:shd w:val="clear" w:color="auto" w:fill="FFFFFF"/>
          <w14:ligatures w14:val="none"/>
        </w:rPr>
        <w:t xml:space="preserve">. </w:t>
      </w:r>
      <w:r w:rsidRPr="00846A3C">
        <w:rPr>
          <w:rFonts w:ascii="Times New Roman" w:eastAsia="Times New Roman" w:hAnsi="Times New Roman" w:cs="Times New Roman"/>
          <w:b/>
          <w:bCs/>
          <w:color w:val="212529"/>
          <w:kern w:val="0"/>
          <w:sz w:val="24"/>
          <w:szCs w:val="24"/>
          <w:shd w:val="clear" w:color="auto" w:fill="FFFFFF"/>
          <w14:ligatures w14:val="none"/>
        </w:rPr>
        <w:t>The accuracy and reliability of information collected must be shown to be adequate for intended uses</w:t>
      </w:r>
      <w:r w:rsidRPr="00846A3C" w:rsidR="00037217">
        <w:rPr>
          <w:rFonts w:ascii="Times New Roman" w:eastAsia="Times New Roman" w:hAnsi="Times New Roman" w:cs="Times New Roman"/>
          <w:b/>
          <w:bCs/>
          <w:color w:val="212529"/>
          <w:kern w:val="0"/>
          <w:sz w:val="24"/>
          <w:szCs w:val="24"/>
          <w:shd w:val="clear" w:color="auto" w:fill="FFFFFF"/>
          <w14:ligatures w14:val="none"/>
        </w:rPr>
        <w:t xml:space="preserve">. </w:t>
      </w:r>
      <w:r w:rsidRPr="00846A3C">
        <w:rPr>
          <w:rFonts w:ascii="Times New Roman" w:eastAsia="Times New Roman" w:hAnsi="Times New Roman" w:cs="Times New Roman"/>
          <w:b/>
          <w:bCs/>
          <w:color w:val="212529"/>
          <w:kern w:val="0"/>
          <w:sz w:val="24"/>
          <w:szCs w:val="24"/>
          <w:shd w:val="clear" w:color="auto" w:fill="FFFFFF"/>
          <w14:ligatures w14:val="none"/>
        </w:rPr>
        <w:t>For collections based on sampling, a special justification must be provided for any collection that will not yield "reliable" data that can be generalized to the universe studied.</w:t>
      </w:r>
    </w:p>
    <w:p w:rsidR="00DD7BB0" w:rsidP="005F69EF" w14:paraId="7CF4A482" w14:textId="77777777">
      <w:pPr>
        <w:ind w:left="360"/>
        <w:rPr>
          <w:color w:val="212529"/>
          <w:shd w:val="clear" w:color="auto" w:fill="FFFFFF"/>
        </w:rPr>
      </w:pPr>
    </w:p>
    <w:p w:rsidR="00DD7BB0" w:rsidP="00B74E13" w14:paraId="35729D5C" w14:textId="286F316C">
      <w:r>
        <w:t xml:space="preserve">Nonresponse is mitigated for the WOTC surveys in </w:t>
      </w:r>
      <w:r w:rsidR="00C17446">
        <w:t>five</w:t>
      </w:r>
      <w:r>
        <w:t xml:space="preserve"> primary ways: (1) using a web-based survey to allow participants to save responses and return at a later date; (2) multiple contact attempts; (3) minimizing the instrument length;</w:t>
      </w:r>
      <w:r w:rsidR="00C17446">
        <w:t xml:space="preserve"> (4) providing an incentive to employees to complete the survey;</w:t>
      </w:r>
      <w:r>
        <w:t xml:space="preserve"> and (</w:t>
      </w:r>
      <w:r w:rsidR="00C17446">
        <w:t>5</w:t>
      </w:r>
      <w:r>
        <w:t xml:space="preserve">) ensuring survey questions are clear and succinct. </w:t>
      </w:r>
    </w:p>
    <w:p w:rsidR="003E4386" w:rsidP="00B74E13" w14:paraId="6B3CFB79" w14:textId="77777777"/>
    <w:p w:rsidR="00DD7BB0" w:rsidP="00B74E13" w14:paraId="090B987C" w14:textId="7C6D4B92">
      <w:r>
        <w:t xml:space="preserve">The Contractor’s web-based survey system provides participants with a confidential and accessible method to provide responses. Users can enter data into the surveys and save their progress and return at any time using a secure, individualized link. Additionally, for the employee survey, data for the specific job that is being addressed will be pre-populated </w:t>
      </w:r>
      <w:r w:rsidR="005A5D7C">
        <w:t xml:space="preserve">(from SWA records) </w:t>
      </w:r>
      <w:r>
        <w:t>into the survey</w:t>
      </w:r>
      <w:r w:rsidR="005A5D7C">
        <w:t>, along with the name of the employer and the date of hire</w:t>
      </w:r>
      <w:r>
        <w:t xml:space="preserve">. </w:t>
      </w:r>
      <w:r w:rsidR="00C17446">
        <w:t xml:space="preserve">The </w:t>
      </w:r>
      <w:r w:rsidR="00C17446">
        <w:t>web-based survey will also be formatted for mobile to ensure ease of access for anyone who receives a request to complete the survey.</w:t>
      </w:r>
    </w:p>
    <w:p w:rsidR="003E4386" w:rsidP="00B74E13" w14:paraId="0ECA043C" w14:textId="77777777"/>
    <w:p w:rsidR="00DD7BB0" w:rsidP="00B74E13" w14:paraId="1CE57A28" w14:textId="2FE29B1A">
      <w:r>
        <w:t xml:space="preserve">For surveys where email addresses are available, periodic reminders will be sent to potential participants after the initial email. Typically, reminders are sent weekly to nonrespondents throughout the survey administration period. The only survey in this data collection that will not include emails to participants is the employee survey </w:t>
      </w:r>
      <w:r w:rsidR="00F35870">
        <w:t>because</w:t>
      </w:r>
      <w:r>
        <w:t xml:space="preserve"> </w:t>
      </w:r>
      <w:r w:rsidR="003E4386">
        <w:t xml:space="preserve">email </w:t>
      </w:r>
      <w:r w:rsidR="00F35870">
        <w:t>addresses</w:t>
      </w:r>
      <w:r w:rsidR="003E4386">
        <w:t xml:space="preserve"> are </w:t>
      </w:r>
      <w:r>
        <w:t xml:space="preserve">not collected by state agencies. For this group, postcards will be mailed to their addresses prompting them to take the survey online using a PIN that tracks each employee. </w:t>
      </w:r>
    </w:p>
    <w:p w:rsidR="003E4386" w:rsidP="00B74E13" w14:paraId="22448301" w14:textId="77777777"/>
    <w:p w:rsidR="00DD7BB0" w:rsidP="00B74E13" w14:paraId="2A8C1159" w14:textId="37881586">
      <w:r>
        <w:t xml:space="preserve">The Contractor has also streamlined each survey to only include questions where data is not available through extant sources. This limits the number of questions asked to each participant, which will limit incomplete and inaccurate responses. Each survey has also been tested (see item 4 in this document) to ensure all questions are succinct and are easily answered without having to look up additional information. This decreases </w:t>
      </w:r>
      <w:r w:rsidR="00EF73E2">
        <w:t>the survey</w:t>
      </w:r>
      <w:r>
        <w:t xml:space="preserve"> burden for respondents.</w:t>
      </w:r>
    </w:p>
    <w:p w:rsidR="003E4386" w:rsidP="00B74E13" w14:paraId="29E78357" w14:textId="77777777"/>
    <w:p w:rsidR="00DD7BB0" w:rsidRPr="00B74E13" w:rsidP="003E4386" w14:paraId="512CCCFB" w14:textId="0667C68A">
      <w:r>
        <w:t>Despite implementing the best methods based on available costs, achieving a high response rate is unlikely</w:t>
      </w:r>
      <w:r w:rsidR="00B846B3">
        <w:t xml:space="preserve"> for employers and employees</w:t>
      </w:r>
      <w:r>
        <w:t xml:space="preserve">, and has been difficult to achieve for even the largest federal surveys. </w:t>
      </w:r>
      <w:r w:rsidR="00C17446">
        <w:t>Given that this survey</w:t>
      </w:r>
      <w:r w:rsidR="005A5D7C">
        <w:t xml:space="preserve"> will describe the range of</w:t>
      </w:r>
      <w:r w:rsidR="00C17446">
        <w:t xml:space="preserve"> implementation</w:t>
      </w:r>
      <w:r w:rsidR="005A5D7C">
        <w:t xml:space="preserve"> processes</w:t>
      </w:r>
      <w:r w:rsidR="00C17446">
        <w:t xml:space="preserve"> and not quantify program outcomes, a non-response bias will not be conducted. Additionally, for the</w:t>
      </w:r>
      <w:r w:rsidR="00B846B3">
        <w:t xml:space="preserve"> </w:t>
      </w:r>
      <w:r w:rsidR="00C17446">
        <w:t>employee survey, no demographic</w:t>
      </w:r>
      <w:r w:rsidR="00B846B3">
        <w:t xml:space="preserve"> information</w:t>
      </w:r>
      <w:r w:rsidR="00C17446">
        <w:t xml:space="preserve"> </w:t>
      </w:r>
      <w:r w:rsidR="00904D99">
        <w:t xml:space="preserve">other than </w:t>
      </w:r>
      <w:r w:rsidR="00037217">
        <w:t>the target</w:t>
      </w:r>
      <w:r w:rsidR="00904D99">
        <w:t xml:space="preserve"> group </w:t>
      </w:r>
      <w:r w:rsidR="00C17446">
        <w:t xml:space="preserve">will be </w:t>
      </w:r>
      <w:r w:rsidR="00F005A8">
        <w:t>available</w:t>
      </w:r>
      <w:r w:rsidR="00C17446">
        <w:t xml:space="preserve"> to conduct this analysis</w:t>
      </w:r>
      <w:r w:rsidR="00904D99">
        <w:t xml:space="preserve"> since it is not consistently collected on WOTC forms</w:t>
      </w:r>
      <w:r w:rsidR="00C17446">
        <w:t>. The responses will simply be used to better understand the program, what employees understand about the program, and if they are continuing to work.</w:t>
      </w:r>
    </w:p>
    <w:p w:rsidR="00DD7BB0" w:rsidP="00576324" w14:paraId="6C26F5D9" w14:textId="77777777">
      <w:pPr>
        <w:pStyle w:val="ListParagraph"/>
        <w:rPr>
          <w:shd w:val="clear" w:color="auto" w:fill="FFFFFF"/>
        </w:rPr>
      </w:pPr>
    </w:p>
    <w:p w:rsidR="00DD7BB0" w:rsidRPr="007C6933" w:rsidP="005F69EF" w14:paraId="4EE03C05" w14:textId="77AA84C5">
      <w:pPr>
        <w:pStyle w:val="ListParagraph"/>
        <w:numPr>
          <w:ilvl w:val="0"/>
          <w:numId w:val="1"/>
        </w:numPr>
        <w:rPr>
          <w:rFonts w:ascii="Times New Roman" w:hAnsi="Times New Roman" w:cs="Times New Roman"/>
          <w:sz w:val="24"/>
          <w:szCs w:val="24"/>
        </w:rPr>
      </w:pPr>
      <w:r w:rsidRPr="00846A3C">
        <w:rPr>
          <w:rFonts w:ascii="Times New Roman" w:hAnsi="Times New Roman" w:cs="Times New Roman"/>
          <w:b/>
          <w:bCs/>
          <w:sz w:val="24"/>
          <w:szCs w:val="24"/>
        </w:rPr>
        <w:t>Describe any tests of procedures or methods to be undertaken</w:t>
      </w:r>
      <w:r w:rsidRPr="00846A3C" w:rsidR="00037217">
        <w:rPr>
          <w:rFonts w:ascii="Times New Roman" w:hAnsi="Times New Roman" w:cs="Times New Roman"/>
          <w:b/>
          <w:bCs/>
          <w:sz w:val="24"/>
          <w:szCs w:val="24"/>
        </w:rPr>
        <w:t xml:space="preserve">. </w:t>
      </w:r>
      <w:r w:rsidRPr="00846A3C">
        <w:rPr>
          <w:rFonts w:ascii="Times New Roman" w:hAnsi="Times New Roman" w:cs="Times New Roman"/>
          <w:b/>
          <w:bCs/>
          <w:sz w:val="24"/>
          <w:szCs w:val="24"/>
        </w:rPr>
        <w:t>Testing is encouraged as an effective means of refining collections of information to minimize burden and improve utility</w:t>
      </w:r>
      <w:r w:rsidRPr="00846A3C" w:rsidR="00037217">
        <w:rPr>
          <w:rFonts w:ascii="Times New Roman" w:hAnsi="Times New Roman" w:cs="Times New Roman"/>
          <w:b/>
          <w:bCs/>
          <w:sz w:val="24"/>
          <w:szCs w:val="24"/>
        </w:rPr>
        <w:t xml:space="preserve">. </w:t>
      </w:r>
      <w:r w:rsidRPr="00846A3C">
        <w:rPr>
          <w:rFonts w:ascii="Times New Roman" w:hAnsi="Times New Roman" w:cs="Times New Roman"/>
          <w:b/>
          <w:bCs/>
          <w:sz w:val="24"/>
          <w:szCs w:val="24"/>
        </w:rPr>
        <w:t>Tests must be approved if they call for answers to identical questions from 10 or more respondents</w:t>
      </w:r>
      <w:r w:rsidRPr="00846A3C" w:rsidR="00037217">
        <w:rPr>
          <w:rFonts w:ascii="Times New Roman" w:hAnsi="Times New Roman" w:cs="Times New Roman"/>
          <w:b/>
          <w:bCs/>
          <w:sz w:val="24"/>
          <w:szCs w:val="24"/>
        </w:rPr>
        <w:t xml:space="preserve">. </w:t>
      </w:r>
      <w:r w:rsidRPr="00846A3C">
        <w:rPr>
          <w:rFonts w:ascii="Times New Roman" w:hAnsi="Times New Roman" w:cs="Times New Roman"/>
          <w:b/>
          <w:bCs/>
          <w:sz w:val="24"/>
          <w:szCs w:val="24"/>
        </w:rPr>
        <w:t>A proposed test or set of tests may be submitted for approval separately or in combination with the main collection of information.</w:t>
      </w:r>
    </w:p>
    <w:p w:rsidR="00DD7BB0" w:rsidP="00DD7BB0" w14:paraId="648617A2" w14:textId="77777777"/>
    <w:p w:rsidR="00DD7BB0" w:rsidP="00DD7BB0" w14:paraId="42F4F4EB" w14:textId="7017D75B">
      <w:r>
        <w:t>Prior to pretesting, all surveys were reviewed by SWA representatives serving in a Technical Work Group</w:t>
      </w:r>
      <w:r w:rsidR="00125411">
        <w:t xml:space="preserve"> as well as two evaluation experts in the Statistical Working Group. The Contractor also received edits via the 60-Day Notice from an employment group</w:t>
      </w:r>
      <w:r w:rsidR="00EF73E2">
        <w:t xml:space="preserve">. </w:t>
      </w:r>
      <w:r>
        <w:t>Following revisions from the content experts</w:t>
      </w:r>
      <w:r w:rsidR="000327BB">
        <w:t xml:space="preserve"> and DOL stakeholders</w:t>
      </w:r>
      <w:r>
        <w:t xml:space="preserve">, each </w:t>
      </w:r>
      <w:r>
        <w:t>survey</w:t>
      </w:r>
      <w:r>
        <w:t xml:space="preserve"> was</w:t>
      </w:r>
      <w:r w:rsidRPr="0052416F">
        <w:t xml:space="preserve"> tested using </w:t>
      </w:r>
      <w:r>
        <w:t>a web survey questionnaire</w:t>
      </w:r>
      <w:r w:rsidR="00125411">
        <w:t xml:space="preserve"> and optional detailed interviews</w:t>
      </w:r>
      <w:r>
        <w:t>.</w:t>
      </w:r>
      <w:r w:rsidRPr="0052416F">
        <w:t xml:space="preserve"> Referrals for the testing subjects were </w:t>
      </w:r>
      <w:r w:rsidR="00B344A4">
        <w:t>made by the content experts.</w:t>
      </w:r>
    </w:p>
    <w:p w:rsidR="00DD7BB0" w:rsidRPr="0052416F" w:rsidP="00DD7BB0" w14:paraId="7D2D9727" w14:textId="77777777"/>
    <w:p w:rsidR="00DD7BB0" w:rsidP="00DD7BB0" w14:paraId="13BF7358" w14:textId="1A64CD57">
      <w:r>
        <w:t>For each survey</w:t>
      </w:r>
      <w:r w:rsidR="003E4386">
        <w:t>,</w:t>
      </w:r>
      <w:r>
        <w:t xml:space="preserve"> </w:t>
      </w:r>
      <w:r w:rsidR="00125411">
        <w:t>pretests</w:t>
      </w:r>
      <w:r w:rsidRPr="0052416F">
        <w:t xml:space="preserve"> were conducted with </w:t>
      </w:r>
      <w:r w:rsidR="003E4386">
        <w:t>two (2)</w:t>
      </w:r>
      <w:r w:rsidRPr="0052416F">
        <w:t xml:space="preserve"> members of the public consistent with OMB regulations that state testing shall not exceed nine (9) members of the public without applying for a generic clearance. These interviews were conducted </w:t>
      </w:r>
      <w:r>
        <w:t xml:space="preserve">from </w:t>
      </w:r>
      <w:r w:rsidR="00125411">
        <w:t xml:space="preserve">July 15, </w:t>
      </w:r>
      <w:r w:rsidR="00125411">
        <w:t>2024</w:t>
      </w:r>
      <w:r>
        <w:t xml:space="preserve"> to </w:t>
      </w:r>
      <w:r w:rsidR="005A588F">
        <w:t xml:space="preserve">August 1, 2024. </w:t>
      </w:r>
      <w:r>
        <w:t xml:space="preserve">The survey </w:t>
      </w:r>
      <w:r w:rsidR="00125411">
        <w:t>pre</w:t>
      </w:r>
      <w:r>
        <w:t xml:space="preserve">tests were conducted online. Each test subject was sent a link to the online version of the survey which included all instructions, questions, and a list of reflection questions. The reflection questions asked test respondents to provide feedback on the length of </w:t>
      </w:r>
      <w:r>
        <w:t xml:space="preserve">time to complete the </w:t>
      </w:r>
      <w:r w:rsidR="001A2D87">
        <w:t>survey if</w:t>
      </w:r>
      <w:r>
        <w:t xml:space="preserve"> the design of the survey allowed for ease of understanding of </w:t>
      </w:r>
      <w:r w:rsidR="00423420">
        <w:t>questions and</w:t>
      </w:r>
      <w:r>
        <w:t xml:space="preserve"> allowed for feedback on specific questions. </w:t>
      </w:r>
      <w:r w:rsidR="00125411">
        <w:t xml:space="preserve">Additionally, each participant was given the opportunity to schedule a telephone call to further discuss any areas of improvement for each survey. </w:t>
      </w:r>
    </w:p>
    <w:p w:rsidR="00DD7BB0" w:rsidP="00DD7BB0" w14:paraId="3096F5A4" w14:textId="77777777"/>
    <w:p w:rsidR="00DD7BB0" w:rsidRPr="00846A3C" w:rsidP="00DD7BB0" w14:paraId="32B8BDED" w14:textId="77777777">
      <w:r>
        <w:t xml:space="preserve">Feedback from the survey pretests were reviewed by the Contractor and, in consultation with DOL, changes were made to the survey questions and communications as needed. </w:t>
      </w:r>
    </w:p>
    <w:p w:rsidR="00DD7BB0" w:rsidRPr="00846A3C" w:rsidP="007C6933" w14:paraId="154BBE45" w14:textId="77777777"/>
    <w:p w:rsidR="00C52CEC" w:rsidRPr="00C52CEC" w:rsidP="005E6EF7" w14:paraId="10527EB4" w14:textId="77777777">
      <w:pPr>
        <w:pStyle w:val="MarkforTableTitle"/>
        <w:numPr>
          <w:ilvl w:val="0"/>
          <w:numId w:val="1"/>
        </w:numPr>
      </w:pPr>
      <w:r w:rsidRPr="00846A3C">
        <w:rPr>
          <w:rFonts w:ascii="Times New Roman" w:hAnsi="Times New Roman"/>
          <w:b/>
          <w:bCs/>
          <w:color w:val="212529"/>
          <w:sz w:val="24"/>
          <w:szCs w:val="24"/>
          <w:shd w:val="clear" w:color="auto" w:fill="FFFFFF"/>
        </w:rPr>
        <w:t>Provide the name and telephone number of individuals consulted on statistical aspects of the design and the name of the agency unit, contractor(s), grantee(s), or other person(s) who will actually collect and/or analyze the information for the agency.</w:t>
      </w:r>
      <w:r>
        <w:rPr>
          <w:rFonts w:ascii="Times New Roman" w:hAnsi="Times New Roman"/>
          <w:b/>
          <w:bCs/>
          <w:color w:val="212529"/>
          <w:sz w:val="24"/>
          <w:szCs w:val="24"/>
          <w:shd w:val="clear" w:color="auto" w:fill="FFFFFF"/>
        </w:rPr>
        <w:t xml:space="preserve"> </w:t>
      </w:r>
    </w:p>
    <w:p w:rsidR="00C52CEC" w:rsidP="00C52CEC" w14:paraId="3C7ECB35" w14:textId="77777777">
      <w:pPr>
        <w:rPr>
          <w:b/>
          <w:bCs/>
        </w:rPr>
      </w:pPr>
    </w:p>
    <w:p w:rsidR="005E6EF7" w:rsidP="00C52CEC" w14:paraId="53883862" w14:textId="1C211712">
      <w:pPr>
        <w:rPr>
          <w:b/>
          <w:bCs/>
        </w:rPr>
      </w:pPr>
      <w:r w:rsidRPr="00C52CEC">
        <w:rPr>
          <w:b/>
          <w:bCs/>
        </w:rPr>
        <w:t>Table</w:t>
      </w:r>
      <w:r w:rsidRPr="00C52CEC" w:rsidR="00C52CEC">
        <w:rPr>
          <w:b/>
          <w:bCs/>
        </w:rPr>
        <w:t xml:space="preserve"> 3</w:t>
      </w:r>
      <w:r w:rsidRPr="00C52CEC">
        <w:rPr>
          <w:b/>
          <w:bCs/>
        </w:rPr>
        <w:t>: People who will oversee data collection and analysis for the Pathway Home Evaluation</w:t>
      </w:r>
    </w:p>
    <w:tbl>
      <w:tblPr>
        <w:tblW w:w="4856" w:type="pct"/>
        <w:tblCellMar>
          <w:left w:w="0" w:type="dxa"/>
          <w:right w:w="0" w:type="dxa"/>
        </w:tblCellMar>
        <w:tblLook w:val="04A0"/>
      </w:tblPr>
      <w:tblGrid>
        <w:gridCol w:w="4361"/>
        <w:gridCol w:w="4729"/>
      </w:tblGrid>
      <w:tr w14:paraId="5C73FD62" w14:textId="77777777" w:rsidTr="00C52CEC">
        <w:tblPrEx>
          <w:tblW w:w="4856" w:type="pct"/>
          <w:tblCellMar>
            <w:left w:w="0" w:type="dxa"/>
            <w:right w:w="0" w:type="dxa"/>
          </w:tblCellMar>
          <w:tblLook w:val="04A0"/>
        </w:tblPrEx>
        <w:trPr>
          <w:cantSplit/>
          <w:trHeight w:val="286"/>
          <w:tblHeader/>
        </w:trPr>
        <w:tc>
          <w:tcPr>
            <w:tcW w:w="2399" w:type="pct"/>
            <w:tcBorders>
              <w:top w:val="single" w:sz="4" w:space="0" w:color="auto"/>
              <w:left w:val="nil"/>
              <w:right w:val="nil"/>
            </w:tcBorders>
            <w:tcMar>
              <w:top w:w="0" w:type="dxa"/>
              <w:left w:w="108" w:type="dxa"/>
              <w:bottom w:w="0" w:type="dxa"/>
              <w:right w:w="108" w:type="dxa"/>
            </w:tcMar>
          </w:tcPr>
          <w:p w:rsidR="00C52CEC" w:rsidRPr="00C52CEC" w:rsidP="00C52CEC" w14:paraId="477F348D" w14:textId="77777777">
            <w:pPr>
              <w:pStyle w:val="ListParagraph"/>
              <w:rPr>
                <w:rFonts w:ascii="Times New Roman" w:hAnsi="Times New Roman" w:cs="Times New Roman"/>
                <w:b/>
                <w:bCs/>
              </w:rPr>
            </w:pPr>
            <w:r w:rsidRPr="00C52CEC">
              <w:rPr>
                <w:rFonts w:ascii="Times New Roman" w:hAnsi="Times New Roman" w:cs="Times New Roman"/>
                <w:b/>
                <w:bCs/>
              </w:rPr>
              <w:t>Organization</w:t>
            </w:r>
          </w:p>
        </w:tc>
        <w:tc>
          <w:tcPr>
            <w:tcW w:w="2601" w:type="pct"/>
            <w:tcBorders>
              <w:top w:val="single" w:sz="4" w:space="0" w:color="auto"/>
              <w:left w:val="nil"/>
              <w:right w:val="nil"/>
            </w:tcBorders>
            <w:tcMar>
              <w:top w:w="0" w:type="dxa"/>
              <w:left w:w="108" w:type="dxa"/>
              <w:bottom w:w="0" w:type="dxa"/>
              <w:right w:w="108" w:type="dxa"/>
            </w:tcMar>
          </w:tcPr>
          <w:p w:rsidR="00C52CEC" w:rsidRPr="00C52CEC" w:rsidP="00C52CEC" w14:paraId="760FEFEB" w14:textId="77777777">
            <w:pPr>
              <w:pStyle w:val="ListParagraph"/>
              <w:rPr>
                <w:rFonts w:ascii="Times New Roman" w:hAnsi="Times New Roman" w:cs="Times New Roman"/>
                <w:b/>
                <w:bCs/>
              </w:rPr>
            </w:pPr>
            <w:r w:rsidRPr="00C52CEC">
              <w:rPr>
                <w:rFonts w:ascii="Times New Roman" w:hAnsi="Times New Roman" w:cs="Times New Roman"/>
                <w:b/>
                <w:bCs/>
              </w:rPr>
              <w:t>Individuals</w:t>
            </w:r>
          </w:p>
        </w:tc>
      </w:tr>
      <w:tr w14:paraId="7386464D" w14:textId="77777777" w:rsidTr="00DC67AF">
        <w:tblPrEx>
          <w:tblW w:w="4856" w:type="pct"/>
          <w:tblCellMar>
            <w:left w:w="0" w:type="dxa"/>
            <w:right w:w="0" w:type="dxa"/>
          </w:tblCellMar>
          <w:tblLook w:val="04A0"/>
        </w:tblPrEx>
        <w:trPr>
          <w:cantSplit/>
          <w:trHeight w:val="800"/>
        </w:trPr>
        <w:tc>
          <w:tcPr>
            <w:tcW w:w="2399" w:type="pct"/>
            <w:tcBorders>
              <w:top w:val="single" w:sz="4" w:space="0" w:color="auto"/>
              <w:left w:val="nil"/>
              <w:bottom w:val="single" w:sz="4" w:space="0" w:color="auto"/>
              <w:right w:val="nil"/>
            </w:tcBorders>
            <w:tcMar>
              <w:top w:w="0" w:type="dxa"/>
              <w:left w:w="108" w:type="dxa"/>
              <w:bottom w:w="0" w:type="dxa"/>
              <w:right w:w="108" w:type="dxa"/>
            </w:tcMar>
            <w:hideMark/>
          </w:tcPr>
          <w:p w:rsidR="00C52CEC" w:rsidRPr="00C52CEC" w:rsidP="00C52CEC" w14:paraId="68CC91E9" w14:textId="77777777">
            <w:pPr>
              <w:pStyle w:val="ListParagraph"/>
              <w:rPr>
                <w:rFonts w:ascii="Times New Roman" w:hAnsi="Times New Roman" w:cs="Times New Roman"/>
              </w:rPr>
            </w:pPr>
            <w:r w:rsidRPr="00C52CEC">
              <w:rPr>
                <w:rFonts w:ascii="Times New Roman" w:hAnsi="Times New Roman" w:cs="Times New Roman"/>
              </w:rPr>
              <w:t>Economic Systems Inc.</w:t>
            </w:r>
          </w:p>
          <w:p w:rsidR="00C52CEC" w:rsidRPr="00C52CEC" w:rsidP="00C52CEC" w14:paraId="0B067469" w14:textId="77777777">
            <w:pPr>
              <w:pStyle w:val="ListParagraph"/>
              <w:rPr>
                <w:rFonts w:ascii="Times New Roman" w:hAnsi="Times New Roman" w:cs="Times New Roman"/>
              </w:rPr>
            </w:pPr>
            <w:r w:rsidRPr="00C52CEC">
              <w:rPr>
                <w:rFonts w:ascii="Times New Roman" w:hAnsi="Times New Roman" w:cs="Times New Roman"/>
              </w:rPr>
              <w:t>3120 Fairview Park Dr.</w:t>
            </w:r>
          </w:p>
          <w:p w:rsidR="00C52CEC" w:rsidRPr="00C52CEC" w:rsidP="00C52CEC" w14:paraId="11AC8EAE" w14:textId="77777777">
            <w:pPr>
              <w:pStyle w:val="ListParagraph"/>
              <w:rPr>
                <w:rFonts w:ascii="Times New Roman" w:hAnsi="Times New Roman" w:cs="Times New Roman"/>
              </w:rPr>
            </w:pPr>
            <w:r w:rsidRPr="00C52CEC">
              <w:rPr>
                <w:rFonts w:ascii="Times New Roman" w:hAnsi="Times New Roman" w:cs="Times New Roman"/>
              </w:rPr>
              <w:t>Suite 500</w:t>
            </w:r>
          </w:p>
          <w:p w:rsidR="00C52CEC" w:rsidRPr="00C52CEC" w:rsidP="00C52CEC" w14:paraId="23EA54F9" w14:textId="77777777">
            <w:pPr>
              <w:pStyle w:val="ListParagraph"/>
              <w:rPr>
                <w:rFonts w:ascii="Times New Roman" w:hAnsi="Times New Roman" w:cs="Times New Roman"/>
              </w:rPr>
            </w:pPr>
            <w:r w:rsidRPr="00C52CEC">
              <w:rPr>
                <w:rFonts w:ascii="Times New Roman" w:hAnsi="Times New Roman" w:cs="Times New Roman"/>
              </w:rPr>
              <w:t>Falls Church, VA 22042</w:t>
            </w:r>
          </w:p>
        </w:tc>
        <w:tc>
          <w:tcPr>
            <w:tcW w:w="2601" w:type="pct"/>
            <w:tcBorders>
              <w:top w:val="single" w:sz="4" w:space="0" w:color="auto"/>
              <w:left w:val="nil"/>
              <w:bottom w:val="single" w:sz="4" w:space="0" w:color="auto"/>
              <w:right w:val="nil"/>
            </w:tcBorders>
            <w:tcMar>
              <w:top w:w="0" w:type="dxa"/>
              <w:left w:w="108" w:type="dxa"/>
              <w:bottom w:w="0" w:type="dxa"/>
              <w:right w:w="108" w:type="dxa"/>
            </w:tcMar>
            <w:hideMark/>
          </w:tcPr>
          <w:p w:rsidR="00C52CEC" w:rsidRPr="00C52CEC" w:rsidP="00C52CEC" w14:paraId="6FCA8AED" w14:textId="77777777">
            <w:pPr>
              <w:pStyle w:val="ListParagraph"/>
              <w:rPr>
                <w:rFonts w:ascii="Times New Roman" w:hAnsi="Times New Roman" w:cs="Times New Roman"/>
              </w:rPr>
            </w:pPr>
            <w:r w:rsidRPr="00C52CEC">
              <w:rPr>
                <w:rFonts w:ascii="Times New Roman" w:hAnsi="Times New Roman" w:cs="Times New Roman"/>
              </w:rPr>
              <w:t>Dr. George Kettner</w:t>
            </w:r>
            <w:r w:rsidRPr="00C52CEC">
              <w:rPr>
                <w:rFonts w:ascii="Times New Roman" w:hAnsi="Times New Roman" w:cs="Times New Roman"/>
              </w:rPr>
              <w:br/>
              <w:t>Project Director</w:t>
            </w:r>
            <w:r w:rsidRPr="00C52CEC">
              <w:rPr>
                <w:rFonts w:ascii="Times New Roman" w:hAnsi="Times New Roman" w:cs="Times New Roman"/>
              </w:rPr>
              <w:br/>
              <w:t>703-333-2190</w:t>
            </w:r>
          </w:p>
          <w:p w:rsidR="00C52CEC" w:rsidRPr="00C52CEC" w:rsidP="00C52CEC" w14:paraId="4840A853" w14:textId="77777777">
            <w:pPr>
              <w:pStyle w:val="ListParagraph"/>
              <w:rPr>
                <w:rFonts w:ascii="Times New Roman" w:hAnsi="Times New Roman" w:cs="Times New Roman"/>
              </w:rPr>
            </w:pPr>
          </w:p>
        </w:tc>
      </w:tr>
      <w:tr w14:paraId="7BB36202" w14:textId="77777777" w:rsidTr="00DC67AF">
        <w:tblPrEx>
          <w:tblW w:w="4856" w:type="pct"/>
          <w:tblCellMar>
            <w:left w:w="0" w:type="dxa"/>
            <w:right w:w="0" w:type="dxa"/>
          </w:tblCellMar>
          <w:tblLook w:val="04A0"/>
        </w:tblPrEx>
        <w:trPr>
          <w:cantSplit/>
          <w:trHeight w:val="665"/>
        </w:trPr>
        <w:tc>
          <w:tcPr>
            <w:tcW w:w="2399" w:type="pct"/>
            <w:tcBorders>
              <w:top w:val="single" w:sz="4" w:space="0" w:color="auto"/>
              <w:left w:val="nil"/>
              <w:bottom w:val="single" w:sz="4" w:space="0" w:color="auto"/>
              <w:right w:val="nil"/>
            </w:tcBorders>
            <w:tcMar>
              <w:top w:w="0" w:type="dxa"/>
              <w:left w:w="108" w:type="dxa"/>
              <w:bottom w:w="0" w:type="dxa"/>
              <w:right w:w="108" w:type="dxa"/>
            </w:tcMar>
          </w:tcPr>
          <w:p w:rsidR="00C52CEC" w:rsidRPr="00C52CEC" w:rsidP="00C52CEC" w14:paraId="0143E320" w14:textId="77777777">
            <w:pPr>
              <w:pStyle w:val="ListParagraph"/>
              <w:rPr>
                <w:rFonts w:ascii="Times New Roman" w:hAnsi="Times New Roman" w:cs="Times New Roman"/>
              </w:rPr>
            </w:pPr>
          </w:p>
        </w:tc>
        <w:tc>
          <w:tcPr>
            <w:tcW w:w="2601" w:type="pct"/>
            <w:tcBorders>
              <w:top w:val="single" w:sz="4" w:space="0" w:color="auto"/>
              <w:left w:val="nil"/>
              <w:bottom w:val="single" w:sz="4" w:space="0" w:color="auto"/>
              <w:right w:val="nil"/>
            </w:tcBorders>
            <w:tcMar>
              <w:top w:w="0" w:type="dxa"/>
              <w:left w:w="108" w:type="dxa"/>
              <w:bottom w:w="0" w:type="dxa"/>
              <w:right w:w="108" w:type="dxa"/>
            </w:tcMar>
          </w:tcPr>
          <w:p w:rsidR="00C52CEC" w:rsidRPr="00C52CEC" w:rsidP="00C52CEC" w14:paraId="246CEC83" w14:textId="77777777">
            <w:pPr>
              <w:pStyle w:val="ListParagraph"/>
              <w:rPr>
                <w:rFonts w:ascii="Times New Roman" w:hAnsi="Times New Roman" w:cs="Times New Roman"/>
              </w:rPr>
            </w:pPr>
            <w:r w:rsidRPr="00C52CEC">
              <w:rPr>
                <w:rFonts w:ascii="Times New Roman" w:hAnsi="Times New Roman" w:cs="Times New Roman"/>
              </w:rPr>
              <w:t xml:space="preserve">JoAnn </w:t>
            </w:r>
            <w:r w:rsidRPr="00C52CEC">
              <w:rPr>
                <w:rFonts w:ascii="Times New Roman" w:hAnsi="Times New Roman" w:cs="Times New Roman"/>
              </w:rPr>
              <w:t>Kuchak</w:t>
            </w:r>
            <w:r w:rsidRPr="00C52CEC">
              <w:rPr>
                <w:rFonts w:ascii="Times New Roman" w:hAnsi="Times New Roman" w:cs="Times New Roman"/>
              </w:rPr>
              <w:br/>
              <w:t>Principal Investigator</w:t>
            </w:r>
            <w:r w:rsidRPr="00C52CEC">
              <w:rPr>
                <w:rFonts w:ascii="Times New Roman" w:hAnsi="Times New Roman" w:cs="Times New Roman"/>
              </w:rPr>
              <w:br/>
              <w:t xml:space="preserve">301-983-2938 </w:t>
            </w:r>
          </w:p>
          <w:p w:rsidR="00C52CEC" w:rsidRPr="00C52CEC" w:rsidP="00C52CEC" w14:paraId="01BA25AD" w14:textId="77777777">
            <w:pPr>
              <w:pStyle w:val="ListParagraph"/>
              <w:rPr>
                <w:rFonts w:ascii="Times New Roman" w:hAnsi="Times New Roman" w:cs="Times New Roman"/>
              </w:rPr>
            </w:pPr>
          </w:p>
          <w:p w:rsidR="00C52CEC" w:rsidRPr="00C52CEC" w:rsidP="00C52CEC" w14:paraId="5D4412C8" w14:textId="77777777">
            <w:pPr>
              <w:pStyle w:val="ListParagraph"/>
              <w:rPr>
                <w:rFonts w:ascii="Times New Roman" w:hAnsi="Times New Roman" w:cs="Times New Roman"/>
              </w:rPr>
            </w:pPr>
            <w:r w:rsidRPr="00C52CEC">
              <w:rPr>
                <w:rFonts w:ascii="Times New Roman" w:hAnsi="Times New Roman" w:cs="Times New Roman"/>
              </w:rPr>
              <w:t>Karin DeLaitsch</w:t>
            </w:r>
          </w:p>
          <w:p w:rsidR="00C52CEC" w:rsidRPr="00C52CEC" w:rsidP="00C52CEC" w14:paraId="17917C4F" w14:textId="0783943F">
            <w:pPr>
              <w:pStyle w:val="ListParagraph"/>
              <w:rPr>
                <w:rFonts w:ascii="Times New Roman" w:hAnsi="Times New Roman" w:cs="Times New Roman"/>
              </w:rPr>
            </w:pPr>
            <w:r>
              <w:rPr>
                <w:rFonts w:ascii="Times New Roman" w:hAnsi="Times New Roman" w:cs="Times New Roman"/>
              </w:rPr>
              <w:t xml:space="preserve">BPA </w:t>
            </w:r>
            <w:r w:rsidRPr="00C52CEC">
              <w:rPr>
                <w:rFonts w:ascii="Times New Roman" w:hAnsi="Times New Roman" w:cs="Times New Roman"/>
              </w:rPr>
              <w:t>Project Manager</w:t>
            </w:r>
          </w:p>
          <w:p w:rsidR="00C52CEC" w:rsidRPr="00C52CEC" w:rsidP="00C52CEC" w14:paraId="435A95E0" w14:textId="77777777">
            <w:pPr>
              <w:pStyle w:val="ListParagraph"/>
              <w:rPr>
                <w:rFonts w:ascii="Times New Roman" w:hAnsi="Times New Roman" w:cs="Times New Roman"/>
              </w:rPr>
            </w:pPr>
            <w:r w:rsidRPr="00C52CEC">
              <w:rPr>
                <w:rFonts w:ascii="Times New Roman" w:hAnsi="Times New Roman" w:cs="Times New Roman"/>
              </w:rPr>
              <w:t>608-358-0588</w:t>
            </w:r>
          </w:p>
          <w:p w:rsidR="00C52CEC" w:rsidRPr="00C52CEC" w:rsidP="00C52CEC" w14:paraId="05348E8A" w14:textId="77777777">
            <w:pPr>
              <w:pStyle w:val="ListParagraph"/>
              <w:rPr>
                <w:rFonts w:ascii="Times New Roman" w:hAnsi="Times New Roman" w:cs="Times New Roman"/>
              </w:rPr>
            </w:pPr>
          </w:p>
          <w:p w:rsidR="00C52CEC" w:rsidRPr="00C52CEC" w:rsidP="00C52CEC" w14:paraId="4C4D07A5" w14:textId="77777777">
            <w:pPr>
              <w:pStyle w:val="ListParagraph"/>
              <w:rPr>
                <w:rFonts w:ascii="Times New Roman" w:hAnsi="Times New Roman" w:cs="Times New Roman"/>
              </w:rPr>
            </w:pPr>
            <w:r w:rsidRPr="00C52CEC">
              <w:rPr>
                <w:rFonts w:ascii="Times New Roman" w:hAnsi="Times New Roman" w:cs="Times New Roman"/>
              </w:rPr>
              <w:t>Thomas Schultz</w:t>
            </w:r>
          </w:p>
          <w:p w:rsidR="00C52CEC" w:rsidRPr="00C52CEC" w:rsidP="00C52CEC" w14:paraId="422B11AB" w14:textId="77777777">
            <w:pPr>
              <w:pStyle w:val="ListParagraph"/>
              <w:rPr>
                <w:rFonts w:ascii="Times New Roman" w:hAnsi="Times New Roman" w:cs="Times New Roman"/>
              </w:rPr>
            </w:pPr>
            <w:r w:rsidRPr="00C52CEC">
              <w:rPr>
                <w:rFonts w:ascii="Times New Roman" w:hAnsi="Times New Roman" w:cs="Times New Roman"/>
              </w:rPr>
              <w:t>Senior Statistician</w:t>
            </w:r>
          </w:p>
          <w:p w:rsidR="00C52CEC" w:rsidRPr="00C52CEC" w:rsidP="00C52CEC" w14:paraId="0951A6F7" w14:textId="77777777">
            <w:pPr>
              <w:pStyle w:val="ListParagraph"/>
              <w:rPr>
                <w:rFonts w:ascii="Times New Roman" w:hAnsi="Times New Roman" w:cs="Times New Roman"/>
              </w:rPr>
            </w:pPr>
            <w:r w:rsidRPr="00C52CEC">
              <w:rPr>
                <w:rFonts w:ascii="Times New Roman" w:hAnsi="Times New Roman" w:cs="Times New Roman"/>
              </w:rPr>
              <w:t>412-600-9996</w:t>
            </w:r>
          </w:p>
          <w:p w:rsidR="00C52CEC" w:rsidRPr="00C52CEC" w:rsidP="00C52CEC" w14:paraId="7FEA9788" w14:textId="77777777">
            <w:pPr>
              <w:pStyle w:val="ListParagraph"/>
              <w:rPr>
                <w:rFonts w:ascii="Times New Roman" w:hAnsi="Times New Roman" w:cs="Times New Roman"/>
              </w:rPr>
            </w:pPr>
          </w:p>
          <w:p w:rsidR="00C52CEC" w:rsidRPr="00C52CEC" w:rsidP="00C52CEC" w14:paraId="65C42ED2" w14:textId="77777777">
            <w:pPr>
              <w:pStyle w:val="ListParagraph"/>
              <w:rPr>
                <w:rFonts w:ascii="Times New Roman" w:hAnsi="Times New Roman" w:cs="Times New Roman"/>
              </w:rPr>
            </w:pPr>
            <w:r w:rsidRPr="00C52CEC">
              <w:rPr>
                <w:rFonts w:ascii="Times New Roman" w:hAnsi="Times New Roman" w:cs="Times New Roman"/>
              </w:rPr>
              <w:t>Jacob Denne</w:t>
            </w:r>
          </w:p>
          <w:p w:rsidR="00C52CEC" w:rsidRPr="00C52CEC" w:rsidP="00C52CEC" w14:paraId="32451637" w14:textId="77777777">
            <w:pPr>
              <w:pStyle w:val="ListParagraph"/>
              <w:rPr>
                <w:rFonts w:ascii="Times New Roman" w:hAnsi="Times New Roman" w:cs="Times New Roman"/>
              </w:rPr>
            </w:pPr>
            <w:r w:rsidRPr="00C52CEC">
              <w:rPr>
                <w:rFonts w:ascii="Times New Roman" w:hAnsi="Times New Roman" w:cs="Times New Roman"/>
              </w:rPr>
              <w:t>Senior Analyst</w:t>
            </w:r>
          </w:p>
          <w:p w:rsidR="00C52CEC" w:rsidRPr="00C52CEC" w:rsidP="00C52CEC" w14:paraId="1F721359" w14:textId="77777777">
            <w:pPr>
              <w:pStyle w:val="ListParagraph"/>
              <w:rPr>
                <w:rFonts w:ascii="Times New Roman" w:hAnsi="Times New Roman" w:cs="Times New Roman"/>
              </w:rPr>
            </w:pPr>
            <w:r w:rsidRPr="00C52CEC">
              <w:rPr>
                <w:rFonts w:ascii="Times New Roman" w:hAnsi="Times New Roman" w:cs="Times New Roman"/>
              </w:rPr>
              <w:t>703-333-2197</w:t>
            </w:r>
          </w:p>
          <w:p w:rsidR="00C52CEC" w:rsidRPr="00F23555" w:rsidP="00F23555" w14:paraId="6B1E125D" w14:textId="77777777"/>
        </w:tc>
      </w:tr>
      <w:tr w14:paraId="4651B456" w14:textId="77777777" w:rsidTr="004A6CB8">
        <w:tblPrEx>
          <w:tblW w:w="4856" w:type="pct"/>
          <w:tblCellMar>
            <w:left w:w="0" w:type="dxa"/>
            <w:right w:w="0" w:type="dxa"/>
          </w:tblCellMar>
          <w:tblLook w:val="04A0"/>
        </w:tblPrEx>
        <w:trPr>
          <w:cantSplit/>
          <w:trHeight w:val="665"/>
        </w:trPr>
        <w:tc>
          <w:tcPr>
            <w:tcW w:w="2399" w:type="pct"/>
            <w:tcBorders>
              <w:top w:val="single" w:sz="4" w:space="0" w:color="auto"/>
              <w:left w:val="nil"/>
              <w:bottom w:val="single" w:sz="4" w:space="0" w:color="auto"/>
              <w:right w:val="nil"/>
            </w:tcBorders>
            <w:tcMar>
              <w:top w:w="0" w:type="dxa"/>
              <w:left w:w="108" w:type="dxa"/>
              <w:bottom w:w="0" w:type="dxa"/>
              <w:right w:w="108" w:type="dxa"/>
            </w:tcMar>
          </w:tcPr>
          <w:p w:rsidR="00C52CEC" w:rsidRPr="00C52CEC" w:rsidP="00C52CEC" w14:paraId="2BC3DA0B" w14:textId="77777777">
            <w:pPr>
              <w:pStyle w:val="ListParagraph"/>
              <w:rPr>
                <w:rFonts w:ascii="Times New Roman" w:hAnsi="Times New Roman" w:cs="Times New Roman"/>
              </w:rPr>
            </w:pPr>
            <w:r w:rsidRPr="00C52CEC">
              <w:rPr>
                <w:rFonts w:ascii="Times New Roman" w:hAnsi="Times New Roman" w:cs="Times New Roman"/>
              </w:rPr>
              <w:t>DOL Chief Evaluation Office</w:t>
            </w:r>
          </w:p>
        </w:tc>
        <w:tc>
          <w:tcPr>
            <w:tcW w:w="2601" w:type="pct"/>
            <w:tcBorders>
              <w:top w:val="single" w:sz="4" w:space="0" w:color="auto"/>
              <w:left w:val="nil"/>
              <w:bottom w:val="single" w:sz="4" w:space="0" w:color="auto"/>
              <w:right w:val="nil"/>
            </w:tcBorders>
            <w:tcMar>
              <w:top w:w="0" w:type="dxa"/>
              <w:left w:w="108" w:type="dxa"/>
              <w:bottom w:w="0" w:type="dxa"/>
              <w:right w:w="108" w:type="dxa"/>
            </w:tcMar>
          </w:tcPr>
          <w:p w:rsidR="00C52CEC" w:rsidRPr="00C52CEC" w:rsidP="00C52CEC" w14:paraId="72953543" w14:textId="77777777">
            <w:pPr>
              <w:pStyle w:val="ListParagraph"/>
              <w:rPr>
                <w:rFonts w:ascii="Times New Roman" w:hAnsi="Times New Roman" w:cs="Times New Roman"/>
              </w:rPr>
            </w:pPr>
            <w:r w:rsidRPr="00C52CEC">
              <w:rPr>
                <w:rFonts w:ascii="Times New Roman" w:hAnsi="Times New Roman" w:cs="Times New Roman"/>
              </w:rPr>
              <w:t>Austin Knipper</w:t>
            </w:r>
          </w:p>
          <w:p w:rsidR="00C52CEC" w:rsidRPr="00C52CEC" w:rsidP="00C52CEC" w14:paraId="612935BC" w14:textId="59877A39">
            <w:pPr>
              <w:pStyle w:val="ListParagraph"/>
              <w:rPr>
                <w:rFonts w:ascii="Times New Roman" w:hAnsi="Times New Roman" w:cs="Times New Roman"/>
              </w:rPr>
            </w:pPr>
            <w:r w:rsidRPr="00C52CEC">
              <w:rPr>
                <w:rFonts w:ascii="Times New Roman" w:hAnsi="Times New Roman" w:cs="Times New Roman"/>
              </w:rPr>
              <w:t>Contracting Officer</w:t>
            </w:r>
            <w:r w:rsidR="008943B1">
              <w:rPr>
                <w:rFonts w:ascii="Times New Roman" w:hAnsi="Times New Roman" w:cs="Times New Roman"/>
              </w:rPr>
              <w:t>’s</w:t>
            </w:r>
            <w:r w:rsidRPr="00C52CEC">
              <w:rPr>
                <w:rFonts w:ascii="Times New Roman" w:hAnsi="Times New Roman" w:cs="Times New Roman"/>
              </w:rPr>
              <w:t xml:space="preserve"> Representative</w:t>
            </w:r>
          </w:p>
          <w:p w:rsidR="00C52CEC" w:rsidP="00C52CEC" w14:paraId="04FF6ACE" w14:textId="4C436839">
            <w:pPr>
              <w:pStyle w:val="ListParagraph"/>
              <w:rPr>
                <w:rFonts w:ascii="Times New Roman" w:hAnsi="Times New Roman" w:cs="Times New Roman"/>
              </w:rPr>
            </w:pPr>
            <w:r>
              <w:rPr>
                <w:rFonts w:ascii="Times New Roman" w:hAnsi="Times New Roman" w:cs="Times New Roman"/>
              </w:rPr>
              <w:t>202-693-3063</w:t>
            </w:r>
          </w:p>
          <w:p w:rsidR="00881066" w:rsidRPr="00C52CEC" w:rsidP="00C52CEC" w14:paraId="5E0F8A23" w14:textId="77777777">
            <w:pPr>
              <w:pStyle w:val="ListParagraph"/>
              <w:rPr>
                <w:rFonts w:ascii="Times New Roman" w:hAnsi="Times New Roman" w:cs="Times New Roman"/>
              </w:rPr>
            </w:pPr>
          </w:p>
          <w:p w:rsidR="00C52CEC" w:rsidRPr="00C52CEC" w:rsidP="00C52CEC" w14:paraId="06D22250" w14:textId="77777777">
            <w:pPr>
              <w:pStyle w:val="ListParagraph"/>
              <w:rPr>
                <w:rFonts w:ascii="Times New Roman" w:hAnsi="Times New Roman" w:cs="Times New Roman"/>
              </w:rPr>
            </w:pPr>
            <w:r w:rsidRPr="00C52CEC">
              <w:rPr>
                <w:rFonts w:ascii="Times New Roman" w:hAnsi="Times New Roman" w:cs="Times New Roman"/>
              </w:rPr>
              <w:t>Savi Swick</w:t>
            </w:r>
          </w:p>
          <w:p w:rsidR="00C52CEC" w:rsidRPr="00C52CEC" w:rsidP="00C52CEC" w14:paraId="467B17CD" w14:textId="77777777">
            <w:pPr>
              <w:pStyle w:val="ListParagraph"/>
              <w:rPr>
                <w:rFonts w:ascii="Times New Roman" w:hAnsi="Times New Roman" w:cs="Times New Roman"/>
              </w:rPr>
            </w:pPr>
            <w:r w:rsidRPr="00C52CEC">
              <w:rPr>
                <w:rFonts w:ascii="Times New Roman" w:hAnsi="Times New Roman" w:cs="Times New Roman"/>
              </w:rPr>
              <w:t>Director of Research</w:t>
            </w:r>
          </w:p>
          <w:p w:rsidR="00C52CEC" w:rsidRPr="00C52CEC" w:rsidP="00C52CEC" w14:paraId="7B4CEAE9" w14:textId="0FD1671E">
            <w:pPr>
              <w:pStyle w:val="ListParagraph"/>
              <w:rPr>
                <w:rFonts w:ascii="Times New Roman" w:hAnsi="Times New Roman" w:cs="Times New Roman"/>
              </w:rPr>
            </w:pPr>
            <w:r>
              <w:rPr>
                <w:rFonts w:ascii="Times New Roman" w:hAnsi="Times New Roman" w:cs="Times New Roman"/>
              </w:rPr>
              <w:t>202-693-7915</w:t>
            </w:r>
          </w:p>
          <w:p w:rsidR="00C52CEC" w:rsidRPr="00C52CEC" w:rsidP="00C52CEC" w14:paraId="50DCEBDF" w14:textId="77777777">
            <w:pPr>
              <w:pStyle w:val="ListParagraph"/>
              <w:rPr>
                <w:rFonts w:ascii="Times New Roman" w:hAnsi="Times New Roman" w:cs="Times New Roman"/>
              </w:rPr>
            </w:pPr>
          </w:p>
        </w:tc>
      </w:tr>
      <w:tr w14:paraId="33849335" w14:textId="77777777" w:rsidTr="004A6CB8">
        <w:tblPrEx>
          <w:tblW w:w="4856" w:type="pct"/>
          <w:tblCellMar>
            <w:left w:w="0" w:type="dxa"/>
            <w:right w:w="0" w:type="dxa"/>
          </w:tblCellMar>
          <w:tblLook w:val="04A0"/>
        </w:tblPrEx>
        <w:trPr>
          <w:cantSplit/>
          <w:trHeight w:val="665"/>
        </w:trPr>
        <w:tc>
          <w:tcPr>
            <w:tcW w:w="2399" w:type="pct"/>
            <w:tcBorders>
              <w:top w:val="single" w:sz="4" w:space="0" w:color="auto"/>
              <w:left w:val="nil"/>
              <w:bottom w:val="single" w:sz="4" w:space="0" w:color="auto"/>
              <w:right w:val="nil"/>
            </w:tcBorders>
            <w:tcMar>
              <w:top w:w="0" w:type="dxa"/>
              <w:left w:w="108" w:type="dxa"/>
              <w:bottom w:w="0" w:type="dxa"/>
              <w:right w:w="108" w:type="dxa"/>
            </w:tcMar>
          </w:tcPr>
          <w:p w:rsidR="00F23555" w:rsidRPr="00C52CEC" w:rsidP="00F23555" w14:paraId="2564EA56" w14:textId="0274CBB7">
            <w:pPr>
              <w:pStyle w:val="ListParagraph"/>
              <w:rPr>
                <w:rFonts w:ascii="Times New Roman" w:hAnsi="Times New Roman" w:cs="Times New Roman"/>
              </w:rPr>
            </w:pPr>
            <w:r>
              <w:rPr>
                <w:rFonts w:ascii="Times New Roman" w:hAnsi="Times New Roman" w:cs="Times New Roman"/>
              </w:rPr>
              <w:t>Statistical Working Group Members</w:t>
            </w:r>
          </w:p>
        </w:tc>
        <w:tc>
          <w:tcPr>
            <w:tcW w:w="2601" w:type="pct"/>
            <w:tcBorders>
              <w:top w:val="single" w:sz="4" w:space="0" w:color="auto"/>
              <w:left w:val="nil"/>
              <w:bottom w:val="single" w:sz="4" w:space="0" w:color="auto"/>
              <w:right w:val="nil"/>
            </w:tcBorders>
            <w:tcMar>
              <w:top w:w="0" w:type="dxa"/>
              <w:left w:w="108" w:type="dxa"/>
              <w:bottom w:w="0" w:type="dxa"/>
              <w:right w:w="108" w:type="dxa"/>
            </w:tcMar>
          </w:tcPr>
          <w:p w:rsidR="00F23555" w:rsidRPr="00C52CEC" w:rsidP="00F23555" w14:paraId="05711B29" w14:textId="14A9AD4B">
            <w:pPr>
              <w:pStyle w:val="ListParagraph"/>
              <w:rPr>
                <w:rFonts w:ascii="Times New Roman" w:hAnsi="Times New Roman" w:cs="Times New Roman"/>
              </w:rPr>
            </w:pPr>
            <w:r>
              <w:rPr>
                <w:rFonts w:ascii="Times New Roman" w:hAnsi="Times New Roman" w:cs="Times New Roman"/>
              </w:rPr>
              <w:t>Sarah Hamersma</w:t>
            </w:r>
            <w:r w:rsidRPr="00C52CEC">
              <w:rPr>
                <w:rFonts w:ascii="Times New Roman" w:hAnsi="Times New Roman" w:cs="Times New Roman"/>
              </w:rPr>
              <w:br/>
            </w:r>
            <w:r w:rsidRPr="00F23555">
              <w:rPr>
                <w:rFonts w:ascii="Times New Roman" w:hAnsi="Times New Roman" w:cs="Times New Roman"/>
              </w:rPr>
              <w:t>Associate Professor and Director of Doctoral Studies</w:t>
            </w:r>
            <w:r>
              <w:rPr>
                <w:rFonts w:ascii="Times New Roman" w:hAnsi="Times New Roman" w:cs="Times New Roman"/>
              </w:rPr>
              <w:t>, Syracuse University</w:t>
            </w:r>
            <w:r w:rsidRPr="00C52CEC">
              <w:rPr>
                <w:rFonts w:ascii="Times New Roman" w:hAnsi="Times New Roman" w:cs="Times New Roman"/>
              </w:rPr>
              <w:br/>
            </w:r>
            <w:r>
              <w:rPr>
                <w:rFonts w:ascii="Times New Roman" w:hAnsi="Times New Roman" w:cs="Times New Roman"/>
              </w:rPr>
              <w:t>315-443-3114</w:t>
            </w:r>
          </w:p>
          <w:p w:rsidR="00F23555" w:rsidRPr="00C52CEC" w:rsidP="00F23555" w14:paraId="5F2BA652" w14:textId="77777777">
            <w:pPr>
              <w:pStyle w:val="ListParagraph"/>
              <w:rPr>
                <w:rFonts w:ascii="Times New Roman" w:hAnsi="Times New Roman" w:cs="Times New Roman"/>
              </w:rPr>
            </w:pPr>
          </w:p>
          <w:p w:rsidR="00F23555" w:rsidRPr="00C52CEC" w:rsidP="00F23555" w14:paraId="28987AFF" w14:textId="3A0F3BA2">
            <w:pPr>
              <w:pStyle w:val="ListParagraph"/>
              <w:rPr>
                <w:rFonts w:ascii="Times New Roman" w:hAnsi="Times New Roman" w:cs="Times New Roman"/>
              </w:rPr>
            </w:pPr>
            <w:r>
              <w:rPr>
                <w:rFonts w:ascii="Times New Roman" w:hAnsi="Times New Roman" w:cs="Times New Roman"/>
              </w:rPr>
              <w:t>Peter Cappelli</w:t>
            </w:r>
          </w:p>
          <w:p w:rsidR="00F23555" w:rsidRPr="00C52CEC" w:rsidP="00F23555" w14:paraId="7CB34EFE" w14:textId="5CF9DCD1">
            <w:pPr>
              <w:pStyle w:val="ListParagraph"/>
              <w:rPr>
                <w:rFonts w:ascii="Times New Roman" w:hAnsi="Times New Roman" w:cs="Times New Roman"/>
              </w:rPr>
            </w:pPr>
            <w:r>
              <w:rPr>
                <w:rFonts w:ascii="Times New Roman" w:hAnsi="Times New Roman" w:cs="Times New Roman"/>
              </w:rPr>
              <w:t>Professor of Management, University of Pennsylvania</w:t>
            </w:r>
          </w:p>
          <w:p w:rsidR="00F23555" w:rsidP="00F23555" w14:paraId="05EA559F" w14:textId="5931CE28">
            <w:pPr>
              <w:pStyle w:val="ListParagraph"/>
              <w:rPr>
                <w:rFonts w:ascii="Times New Roman" w:hAnsi="Times New Roman" w:cs="Times New Roman"/>
              </w:rPr>
            </w:pPr>
            <w:r>
              <w:rPr>
                <w:rFonts w:ascii="Times New Roman" w:hAnsi="Times New Roman" w:cs="Times New Roman"/>
              </w:rPr>
              <w:t>215-898-2722</w:t>
            </w:r>
          </w:p>
          <w:p w:rsidR="00F23555" w:rsidRPr="00C52CEC" w:rsidP="00F23555" w14:paraId="2B7E9E1D" w14:textId="77777777">
            <w:pPr>
              <w:pStyle w:val="ListParagraph"/>
              <w:rPr>
                <w:rFonts w:ascii="Times New Roman" w:hAnsi="Times New Roman" w:cs="Times New Roman"/>
              </w:rPr>
            </w:pPr>
          </w:p>
        </w:tc>
      </w:tr>
    </w:tbl>
    <w:p w:rsidR="00C52CEC" w:rsidRPr="00846A3C" w:rsidP="005E6EF7" w14:paraId="667BF03C" w14:textId="77777777">
      <w:pPr>
        <w:pStyle w:val="ListParagraph"/>
        <w:rPr>
          <w:rFonts w:ascii="Times New Roman" w:hAnsi="Times New Roman" w:cs="Times New Roman"/>
          <w:sz w:val="24"/>
          <w:szCs w:val="24"/>
        </w:rPr>
      </w:pPr>
    </w:p>
    <w:sectPr>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2087361"/>
      <w:docPartObj>
        <w:docPartGallery w:val="Page Numbers (Top of Page)"/>
        <w:docPartUnique/>
      </w:docPartObj>
    </w:sdtPr>
    <w:sdtEndPr>
      <w:rPr>
        <w:noProof/>
      </w:rPr>
    </w:sdtEndPr>
    <w:sdtContent>
      <w:p w:rsidR="00941BF2" w:rsidP="00941BF2" w14:paraId="1CD6EC3E" w14:textId="77777777">
        <w:pPr>
          <w:pStyle w:val="Header"/>
          <w:rPr>
            <w:bCs/>
            <w:sz w:val="20"/>
            <w:szCs w:val="20"/>
          </w:rPr>
        </w:pPr>
        <w:r w:rsidRPr="00BA719A">
          <w:rPr>
            <w:bCs/>
            <w:sz w:val="20"/>
            <w:szCs w:val="20"/>
          </w:rPr>
          <w:t>Work Opportunity Tax Credit (WOTC) Implementation Evaluation</w:t>
        </w:r>
      </w:p>
      <w:p w:rsidR="00941BF2" w:rsidP="00941BF2" w14:paraId="7C31BCD8" w14:textId="77777777">
        <w:pPr>
          <w:pStyle w:val="Header"/>
          <w:rPr>
            <w:sz w:val="20"/>
            <w:szCs w:val="20"/>
          </w:rPr>
        </w:pPr>
        <w:r>
          <w:rPr>
            <w:sz w:val="20"/>
            <w:szCs w:val="20"/>
          </w:rPr>
          <w:t>OMB Control Number 1219</w:t>
        </w:r>
        <w:r w:rsidRPr="00F8164B">
          <w:rPr>
            <w:sz w:val="20"/>
            <w:szCs w:val="20"/>
          </w:rPr>
          <w:t>-</w:t>
        </w:r>
        <w:r>
          <w:rPr>
            <w:sz w:val="20"/>
            <w:szCs w:val="20"/>
          </w:rPr>
          <w:t>0NEW</w:t>
        </w:r>
      </w:p>
      <w:p w:rsidR="00C17446" w:rsidRPr="00941BF2" w:rsidP="00941BF2" w14:paraId="75AB3AE0" w14:textId="3F7148EB">
        <w:pPr>
          <w:pStyle w:val="Header"/>
          <w:rPr>
            <w:sz w:val="20"/>
            <w:szCs w:val="20"/>
          </w:rPr>
        </w:pPr>
        <w:r>
          <w:rPr>
            <w:sz w:val="20"/>
            <w:szCs w:val="20"/>
          </w:rPr>
          <w:t>OMB Expiration Date: TBD</w:t>
        </w:r>
      </w:p>
    </w:sdtContent>
  </w:sdt>
  <w:p w:rsidR="00DD3F98" w14:paraId="6E5DCC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421DF5"/>
    <w:multiLevelType w:val="hybridMultilevel"/>
    <w:tmpl w:val="62FEF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B852505"/>
    <w:multiLevelType w:val="multilevel"/>
    <w:tmpl w:val="C38A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AE6829"/>
    <w:multiLevelType w:val="hybridMultilevel"/>
    <w:tmpl w:val="7A28BCA6"/>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DB1619B"/>
    <w:multiLevelType w:val="multilevel"/>
    <w:tmpl w:val="8EE8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44545C"/>
    <w:multiLevelType w:val="hybridMultilevel"/>
    <w:tmpl w:val="C32885E4"/>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7004763">
    <w:abstractNumId w:val="4"/>
  </w:num>
  <w:num w:numId="2" w16cid:durableId="1570726596">
    <w:abstractNumId w:val="3"/>
  </w:num>
  <w:num w:numId="3" w16cid:durableId="1614481731">
    <w:abstractNumId w:val="1"/>
  </w:num>
  <w:num w:numId="4" w16cid:durableId="141435540">
    <w:abstractNumId w:val="0"/>
  </w:num>
  <w:num w:numId="5" w16cid:durableId="300421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72"/>
    <w:rsid w:val="00002066"/>
    <w:rsid w:val="00002F56"/>
    <w:rsid w:val="000058CD"/>
    <w:rsid w:val="00012F7A"/>
    <w:rsid w:val="000176A8"/>
    <w:rsid w:val="00024EB2"/>
    <w:rsid w:val="000327BB"/>
    <w:rsid w:val="00037217"/>
    <w:rsid w:val="000435CC"/>
    <w:rsid w:val="00044F33"/>
    <w:rsid w:val="0005060B"/>
    <w:rsid w:val="00071E2F"/>
    <w:rsid w:val="00072523"/>
    <w:rsid w:val="0008278C"/>
    <w:rsid w:val="0008531B"/>
    <w:rsid w:val="00091D1D"/>
    <w:rsid w:val="000955F4"/>
    <w:rsid w:val="00096885"/>
    <w:rsid w:val="000B03D2"/>
    <w:rsid w:val="000B07AA"/>
    <w:rsid w:val="000B4D30"/>
    <w:rsid w:val="000C0566"/>
    <w:rsid w:val="000C10D3"/>
    <w:rsid w:val="000C31E9"/>
    <w:rsid w:val="000C4998"/>
    <w:rsid w:val="000D22A7"/>
    <w:rsid w:val="000F2D99"/>
    <w:rsid w:val="000F3047"/>
    <w:rsid w:val="000F57CE"/>
    <w:rsid w:val="0010449E"/>
    <w:rsid w:val="00104C12"/>
    <w:rsid w:val="00110A94"/>
    <w:rsid w:val="00113368"/>
    <w:rsid w:val="00114F40"/>
    <w:rsid w:val="0011656F"/>
    <w:rsid w:val="00125411"/>
    <w:rsid w:val="0012748A"/>
    <w:rsid w:val="00131CC1"/>
    <w:rsid w:val="00141712"/>
    <w:rsid w:val="00147E2E"/>
    <w:rsid w:val="001511B5"/>
    <w:rsid w:val="00156323"/>
    <w:rsid w:val="00156B28"/>
    <w:rsid w:val="00161218"/>
    <w:rsid w:val="001622F8"/>
    <w:rsid w:val="00171204"/>
    <w:rsid w:val="00172323"/>
    <w:rsid w:val="0017515D"/>
    <w:rsid w:val="0017594D"/>
    <w:rsid w:val="00177300"/>
    <w:rsid w:val="00180F05"/>
    <w:rsid w:val="00181C88"/>
    <w:rsid w:val="00186E8B"/>
    <w:rsid w:val="00191231"/>
    <w:rsid w:val="00191F15"/>
    <w:rsid w:val="001955A4"/>
    <w:rsid w:val="00197FF1"/>
    <w:rsid w:val="001A2D87"/>
    <w:rsid w:val="001A58DA"/>
    <w:rsid w:val="001B01E9"/>
    <w:rsid w:val="001B2397"/>
    <w:rsid w:val="001B6195"/>
    <w:rsid w:val="001B69C2"/>
    <w:rsid w:val="001B7008"/>
    <w:rsid w:val="001B7DB5"/>
    <w:rsid w:val="001C5337"/>
    <w:rsid w:val="001C5DB3"/>
    <w:rsid w:val="001D34DC"/>
    <w:rsid w:val="001D434D"/>
    <w:rsid w:val="001D75E6"/>
    <w:rsid w:val="001E5F96"/>
    <w:rsid w:val="001F177F"/>
    <w:rsid w:val="001F32CF"/>
    <w:rsid w:val="002006BF"/>
    <w:rsid w:val="00210916"/>
    <w:rsid w:val="00211FD7"/>
    <w:rsid w:val="00217806"/>
    <w:rsid w:val="00220E58"/>
    <w:rsid w:val="00223A3A"/>
    <w:rsid w:val="00235565"/>
    <w:rsid w:val="002479B6"/>
    <w:rsid w:val="0025352D"/>
    <w:rsid w:val="002550E2"/>
    <w:rsid w:val="0025519E"/>
    <w:rsid w:val="0025552E"/>
    <w:rsid w:val="00257E2B"/>
    <w:rsid w:val="002610B7"/>
    <w:rsid w:val="00266260"/>
    <w:rsid w:val="002870D3"/>
    <w:rsid w:val="00296260"/>
    <w:rsid w:val="00296CBB"/>
    <w:rsid w:val="002A0999"/>
    <w:rsid w:val="002A0C5D"/>
    <w:rsid w:val="002A2600"/>
    <w:rsid w:val="002A3416"/>
    <w:rsid w:val="002A4BFE"/>
    <w:rsid w:val="002A5265"/>
    <w:rsid w:val="002A787E"/>
    <w:rsid w:val="002B1C30"/>
    <w:rsid w:val="002B3585"/>
    <w:rsid w:val="002C10A6"/>
    <w:rsid w:val="002D05EF"/>
    <w:rsid w:val="002D0C93"/>
    <w:rsid w:val="002D7286"/>
    <w:rsid w:val="002D7770"/>
    <w:rsid w:val="002E2FC7"/>
    <w:rsid w:val="002F4E45"/>
    <w:rsid w:val="002F7A87"/>
    <w:rsid w:val="00307C7A"/>
    <w:rsid w:val="0032422F"/>
    <w:rsid w:val="0032518E"/>
    <w:rsid w:val="00330B72"/>
    <w:rsid w:val="00330E59"/>
    <w:rsid w:val="0033416C"/>
    <w:rsid w:val="00343A9B"/>
    <w:rsid w:val="00352630"/>
    <w:rsid w:val="00352F47"/>
    <w:rsid w:val="003635DC"/>
    <w:rsid w:val="0036634B"/>
    <w:rsid w:val="003709FC"/>
    <w:rsid w:val="003727E2"/>
    <w:rsid w:val="00375C4A"/>
    <w:rsid w:val="00390CEE"/>
    <w:rsid w:val="00392CDA"/>
    <w:rsid w:val="00394300"/>
    <w:rsid w:val="00395103"/>
    <w:rsid w:val="00395FF3"/>
    <w:rsid w:val="003B32E4"/>
    <w:rsid w:val="003B5C1D"/>
    <w:rsid w:val="003C1601"/>
    <w:rsid w:val="003C2EC7"/>
    <w:rsid w:val="003D0A5B"/>
    <w:rsid w:val="003D25E9"/>
    <w:rsid w:val="003D26A8"/>
    <w:rsid w:val="003D478C"/>
    <w:rsid w:val="003D5028"/>
    <w:rsid w:val="003D50E0"/>
    <w:rsid w:val="003E4386"/>
    <w:rsid w:val="003E61F9"/>
    <w:rsid w:val="003E642B"/>
    <w:rsid w:val="003E70BC"/>
    <w:rsid w:val="003F144A"/>
    <w:rsid w:val="003F3D59"/>
    <w:rsid w:val="003F4B16"/>
    <w:rsid w:val="0040033C"/>
    <w:rsid w:val="00402EBF"/>
    <w:rsid w:val="00412A91"/>
    <w:rsid w:val="00412F32"/>
    <w:rsid w:val="004215FF"/>
    <w:rsid w:val="00423420"/>
    <w:rsid w:val="004242CF"/>
    <w:rsid w:val="00433027"/>
    <w:rsid w:val="00434A84"/>
    <w:rsid w:val="004416E1"/>
    <w:rsid w:val="00445E8D"/>
    <w:rsid w:val="004569AA"/>
    <w:rsid w:val="00472173"/>
    <w:rsid w:val="004942B1"/>
    <w:rsid w:val="00495933"/>
    <w:rsid w:val="004975DB"/>
    <w:rsid w:val="004A4A08"/>
    <w:rsid w:val="004B2781"/>
    <w:rsid w:val="004B48D4"/>
    <w:rsid w:val="004D7A96"/>
    <w:rsid w:val="004E415F"/>
    <w:rsid w:val="004E501F"/>
    <w:rsid w:val="004F5398"/>
    <w:rsid w:val="004F5EF3"/>
    <w:rsid w:val="004F6607"/>
    <w:rsid w:val="00505314"/>
    <w:rsid w:val="0051591F"/>
    <w:rsid w:val="0052416F"/>
    <w:rsid w:val="0052710C"/>
    <w:rsid w:val="0052757C"/>
    <w:rsid w:val="00530A29"/>
    <w:rsid w:val="00531DB2"/>
    <w:rsid w:val="00532646"/>
    <w:rsid w:val="00534A63"/>
    <w:rsid w:val="00534C14"/>
    <w:rsid w:val="005467CC"/>
    <w:rsid w:val="005518FE"/>
    <w:rsid w:val="00554947"/>
    <w:rsid w:val="005555E7"/>
    <w:rsid w:val="00561001"/>
    <w:rsid w:val="00566E9E"/>
    <w:rsid w:val="00567DC4"/>
    <w:rsid w:val="00570C12"/>
    <w:rsid w:val="00573069"/>
    <w:rsid w:val="00576324"/>
    <w:rsid w:val="0058119E"/>
    <w:rsid w:val="00582843"/>
    <w:rsid w:val="005873E3"/>
    <w:rsid w:val="005961F2"/>
    <w:rsid w:val="005A2385"/>
    <w:rsid w:val="005A430B"/>
    <w:rsid w:val="005A5023"/>
    <w:rsid w:val="005A588F"/>
    <w:rsid w:val="005A5D7C"/>
    <w:rsid w:val="005A7791"/>
    <w:rsid w:val="005B5E8B"/>
    <w:rsid w:val="005B7626"/>
    <w:rsid w:val="005C22BD"/>
    <w:rsid w:val="005C2A28"/>
    <w:rsid w:val="005E00EC"/>
    <w:rsid w:val="005E4BD7"/>
    <w:rsid w:val="005E6D08"/>
    <w:rsid w:val="005E6EF7"/>
    <w:rsid w:val="005F3932"/>
    <w:rsid w:val="005F69EF"/>
    <w:rsid w:val="006014BD"/>
    <w:rsid w:val="00613B14"/>
    <w:rsid w:val="00617002"/>
    <w:rsid w:val="006325B7"/>
    <w:rsid w:val="006432EC"/>
    <w:rsid w:val="006432EF"/>
    <w:rsid w:val="00646BE5"/>
    <w:rsid w:val="00646EBC"/>
    <w:rsid w:val="0064795F"/>
    <w:rsid w:val="00651661"/>
    <w:rsid w:val="00682ADD"/>
    <w:rsid w:val="00694C0B"/>
    <w:rsid w:val="006A230F"/>
    <w:rsid w:val="006A32FF"/>
    <w:rsid w:val="006B1A75"/>
    <w:rsid w:val="006B79DE"/>
    <w:rsid w:val="006C346E"/>
    <w:rsid w:val="006C4031"/>
    <w:rsid w:val="006C7A6F"/>
    <w:rsid w:val="006E48FD"/>
    <w:rsid w:val="00701A87"/>
    <w:rsid w:val="00705A11"/>
    <w:rsid w:val="00706493"/>
    <w:rsid w:val="00712F32"/>
    <w:rsid w:val="00713FDC"/>
    <w:rsid w:val="007179E3"/>
    <w:rsid w:val="0073094F"/>
    <w:rsid w:val="0073298F"/>
    <w:rsid w:val="00737C3B"/>
    <w:rsid w:val="007454B5"/>
    <w:rsid w:val="00745A88"/>
    <w:rsid w:val="00755BAF"/>
    <w:rsid w:val="0077083B"/>
    <w:rsid w:val="00773F4B"/>
    <w:rsid w:val="007851A3"/>
    <w:rsid w:val="00786E95"/>
    <w:rsid w:val="00791578"/>
    <w:rsid w:val="00795045"/>
    <w:rsid w:val="0079736D"/>
    <w:rsid w:val="007A5467"/>
    <w:rsid w:val="007A69A4"/>
    <w:rsid w:val="007C6933"/>
    <w:rsid w:val="007C6A7A"/>
    <w:rsid w:val="007D3B3A"/>
    <w:rsid w:val="007E7243"/>
    <w:rsid w:val="007E7D08"/>
    <w:rsid w:val="007F1CBE"/>
    <w:rsid w:val="007F6CF2"/>
    <w:rsid w:val="0080137F"/>
    <w:rsid w:val="00807779"/>
    <w:rsid w:val="00807DF2"/>
    <w:rsid w:val="00815750"/>
    <w:rsid w:val="00821BA4"/>
    <w:rsid w:val="0083055A"/>
    <w:rsid w:val="00841CB9"/>
    <w:rsid w:val="00844536"/>
    <w:rsid w:val="00846A3C"/>
    <w:rsid w:val="00846DEE"/>
    <w:rsid w:val="00850225"/>
    <w:rsid w:val="008508C8"/>
    <w:rsid w:val="008536A0"/>
    <w:rsid w:val="00855453"/>
    <w:rsid w:val="00860014"/>
    <w:rsid w:val="0086381B"/>
    <w:rsid w:val="0086727A"/>
    <w:rsid w:val="008679DE"/>
    <w:rsid w:val="00870338"/>
    <w:rsid w:val="008749D6"/>
    <w:rsid w:val="00877983"/>
    <w:rsid w:val="00881066"/>
    <w:rsid w:val="008832D2"/>
    <w:rsid w:val="00887239"/>
    <w:rsid w:val="0089026C"/>
    <w:rsid w:val="008943B1"/>
    <w:rsid w:val="008948D2"/>
    <w:rsid w:val="00896ABC"/>
    <w:rsid w:val="008A65D0"/>
    <w:rsid w:val="008B6090"/>
    <w:rsid w:val="008C5669"/>
    <w:rsid w:val="008C65FA"/>
    <w:rsid w:val="008D15BC"/>
    <w:rsid w:val="008D313D"/>
    <w:rsid w:val="008E1C1E"/>
    <w:rsid w:val="008E2AEB"/>
    <w:rsid w:val="008E6A7A"/>
    <w:rsid w:val="008F1A79"/>
    <w:rsid w:val="008F2552"/>
    <w:rsid w:val="00904D99"/>
    <w:rsid w:val="0091002A"/>
    <w:rsid w:val="0091292E"/>
    <w:rsid w:val="009161AE"/>
    <w:rsid w:val="00916320"/>
    <w:rsid w:val="00924C68"/>
    <w:rsid w:val="00932477"/>
    <w:rsid w:val="00937DFD"/>
    <w:rsid w:val="009408B5"/>
    <w:rsid w:val="00941BF2"/>
    <w:rsid w:val="00944F83"/>
    <w:rsid w:val="00953EB8"/>
    <w:rsid w:val="0095531B"/>
    <w:rsid w:val="00956C99"/>
    <w:rsid w:val="009577E0"/>
    <w:rsid w:val="00971B85"/>
    <w:rsid w:val="00992824"/>
    <w:rsid w:val="00997BF4"/>
    <w:rsid w:val="009B086F"/>
    <w:rsid w:val="009B3DF7"/>
    <w:rsid w:val="009B7692"/>
    <w:rsid w:val="009B7EA0"/>
    <w:rsid w:val="009C14AF"/>
    <w:rsid w:val="009C4130"/>
    <w:rsid w:val="009C5CD8"/>
    <w:rsid w:val="009E00F1"/>
    <w:rsid w:val="009F087C"/>
    <w:rsid w:val="009F239E"/>
    <w:rsid w:val="009F3891"/>
    <w:rsid w:val="00A1576D"/>
    <w:rsid w:val="00A15A6F"/>
    <w:rsid w:val="00A16625"/>
    <w:rsid w:val="00A20961"/>
    <w:rsid w:val="00A22032"/>
    <w:rsid w:val="00A46E34"/>
    <w:rsid w:val="00A47D82"/>
    <w:rsid w:val="00A60745"/>
    <w:rsid w:val="00A62B50"/>
    <w:rsid w:val="00A63FE7"/>
    <w:rsid w:val="00AA51B2"/>
    <w:rsid w:val="00AB10F5"/>
    <w:rsid w:val="00AB6470"/>
    <w:rsid w:val="00AB6FF2"/>
    <w:rsid w:val="00AC2DCB"/>
    <w:rsid w:val="00AC3635"/>
    <w:rsid w:val="00AD3BF7"/>
    <w:rsid w:val="00AD5DD3"/>
    <w:rsid w:val="00AD6D2E"/>
    <w:rsid w:val="00AE5497"/>
    <w:rsid w:val="00AF4E24"/>
    <w:rsid w:val="00B01772"/>
    <w:rsid w:val="00B0488B"/>
    <w:rsid w:val="00B062F4"/>
    <w:rsid w:val="00B14B63"/>
    <w:rsid w:val="00B15935"/>
    <w:rsid w:val="00B15DD9"/>
    <w:rsid w:val="00B17D70"/>
    <w:rsid w:val="00B33FDA"/>
    <w:rsid w:val="00B344A4"/>
    <w:rsid w:val="00B47AB3"/>
    <w:rsid w:val="00B50B4E"/>
    <w:rsid w:val="00B5373E"/>
    <w:rsid w:val="00B6374F"/>
    <w:rsid w:val="00B679EF"/>
    <w:rsid w:val="00B71F50"/>
    <w:rsid w:val="00B74E13"/>
    <w:rsid w:val="00B8094B"/>
    <w:rsid w:val="00B81278"/>
    <w:rsid w:val="00B84564"/>
    <w:rsid w:val="00B846B3"/>
    <w:rsid w:val="00B94BCC"/>
    <w:rsid w:val="00BA1D59"/>
    <w:rsid w:val="00BA719A"/>
    <w:rsid w:val="00BB0B0B"/>
    <w:rsid w:val="00BB1484"/>
    <w:rsid w:val="00BC4692"/>
    <w:rsid w:val="00BC70F8"/>
    <w:rsid w:val="00BD5943"/>
    <w:rsid w:val="00BD67B2"/>
    <w:rsid w:val="00BD6D28"/>
    <w:rsid w:val="00BE465C"/>
    <w:rsid w:val="00BF4F67"/>
    <w:rsid w:val="00BF5311"/>
    <w:rsid w:val="00BF5BF2"/>
    <w:rsid w:val="00C03AD6"/>
    <w:rsid w:val="00C074C0"/>
    <w:rsid w:val="00C13DC2"/>
    <w:rsid w:val="00C1597A"/>
    <w:rsid w:val="00C17446"/>
    <w:rsid w:val="00C5282C"/>
    <w:rsid w:val="00C52CEC"/>
    <w:rsid w:val="00C72446"/>
    <w:rsid w:val="00C813EA"/>
    <w:rsid w:val="00C8414A"/>
    <w:rsid w:val="00C844F9"/>
    <w:rsid w:val="00C91338"/>
    <w:rsid w:val="00C94796"/>
    <w:rsid w:val="00C95B35"/>
    <w:rsid w:val="00CA4126"/>
    <w:rsid w:val="00CA55ED"/>
    <w:rsid w:val="00CB1255"/>
    <w:rsid w:val="00CB2848"/>
    <w:rsid w:val="00CB2B11"/>
    <w:rsid w:val="00CC771D"/>
    <w:rsid w:val="00CD5573"/>
    <w:rsid w:val="00CE1493"/>
    <w:rsid w:val="00CE3A49"/>
    <w:rsid w:val="00CE5645"/>
    <w:rsid w:val="00CF643F"/>
    <w:rsid w:val="00CF6947"/>
    <w:rsid w:val="00D00898"/>
    <w:rsid w:val="00D016E6"/>
    <w:rsid w:val="00D02B03"/>
    <w:rsid w:val="00D1470B"/>
    <w:rsid w:val="00D1526C"/>
    <w:rsid w:val="00D1528B"/>
    <w:rsid w:val="00D20E61"/>
    <w:rsid w:val="00D41021"/>
    <w:rsid w:val="00D42B0B"/>
    <w:rsid w:val="00D52E9C"/>
    <w:rsid w:val="00D52F4C"/>
    <w:rsid w:val="00D65E03"/>
    <w:rsid w:val="00D75997"/>
    <w:rsid w:val="00D76529"/>
    <w:rsid w:val="00D8367B"/>
    <w:rsid w:val="00D92234"/>
    <w:rsid w:val="00D95D68"/>
    <w:rsid w:val="00D974E5"/>
    <w:rsid w:val="00DB0139"/>
    <w:rsid w:val="00DB3813"/>
    <w:rsid w:val="00DB4D83"/>
    <w:rsid w:val="00DB6C3C"/>
    <w:rsid w:val="00DC5835"/>
    <w:rsid w:val="00DC67AF"/>
    <w:rsid w:val="00DD09F7"/>
    <w:rsid w:val="00DD38E7"/>
    <w:rsid w:val="00DD3F98"/>
    <w:rsid w:val="00DD7BB0"/>
    <w:rsid w:val="00DE2230"/>
    <w:rsid w:val="00DF3462"/>
    <w:rsid w:val="00DF4D4C"/>
    <w:rsid w:val="00DF56E3"/>
    <w:rsid w:val="00DF7BD9"/>
    <w:rsid w:val="00E02366"/>
    <w:rsid w:val="00E030BF"/>
    <w:rsid w:val="00E056F6"/>
    <w:rsid w:val="00E0767F"/>
    <w:rsid w:val="00E10F33"/>
    <w:rsid w:val="00E110A1"/>
    <w:rsid w:val="00E15FC9"/>
    <w:rsid w:val="00E170AC"/>
    <w:rsid w:val="00E17D35"/>
    <w:rsid w:val="00E207CA"/>
    <w:rsid w:val="00E22D3E"/>
    <w:rsid w:val="00E243BD"/>
    <w:rsid w:val="00E2451C"/>
    <w:rsid w:val="00E46C88"/>
    <w:rsid w:val="00E4790E"/>
    <w:rsid w:val="00E5257C"/>
    <w:rsid w:val="00E53D91"/>
    <w:rsid w:val="00E5497A"/>
    <w:rsid w:val="00E571B2"/>
    <w:rsid w:val="00E60F13"/>
    <w:rsid w:val="00E7696E"/>
    <w:rsid w:val="00E77E3C"/>
    <w:rsid w:val="00E818E3"/>
    <w:rsid w:val="00E86EB6"/>
    <w:rsid w:val="00E935C1"/>
    <w:rsid w:val="00E93771"/>
    <w:rsid w:val="00EA1903"/>
    <w:rsid w:val="00EA3739"/>
    <w:rsid w:val="00EB4BA4"/>
    <w:rsid w:val="00EB6B2B"/>
    <w:rsid w:val="00EC7A0B"/>
    <w:rsid w:val="00ED5B58"/>
    <w:rsid w:val="00ED69E9"/>
    <w:rsid w:val="00EE2760"/>
    <w:rsid w:val="00EF4213"/>
    <w:rsid w:val="00EF73E2"/>
    <w:rsid w:val="00F005A8"/>
    <w:rsid w:val="00F05D40"/>
    <w:rsid w:val="00F06962"/>
    <w:rsid w:val="00F1067A"/>
    <w:rsid w:val="00F109AE"/>
    <w:rsid w:val="00F16DF9"/>
    <w:rsid w:val="00F20780"/>
    <w:rsid w:val="00F23555"/>
    <w:rsid w:val="00F236C0"/>
    <w:rsid w:val="00F32D47"/>
    <w:rsid w:val="00F32FEE"/>
    <w:rsid w:val="00F34879"/>
    <w:rsid w:val="00F35870"/>
    <w:rsid w:val="00F37183"/>
    <w:rsid w:val="00F44CD1"/>
    <w:rsid w:val="00F62964"/>
    <w:rsid w:val="00F64F51"/>
    <w:rsid w:val="00F728B7"/>
    <w:rsid w:val="00F73612"/>
    <w:rsid w:val="00F77006"/>
    <w:rsid w:val="00F77CA8"/>
    <w:rsid w:val="00F8164B"/>
    <w:rsid w:val="00F91739"/>
    <w:rsid w:val="00F91F07"/>
    <w:rsid w:val="00F92C0A"/>
    <w:rsid w:val="00F9344F"/>
    <w:rsid w:val="00F94709"/>
    <w:rsid w:val="00F9488E"/>
    <w:rsid w:val="00F94FE2"/>
    <w:rsid w:val="00F971BD"/>
    <w:rsid w:val="00F9783E"/>
    <w:rsid w:val="00F97BDE"/>
    <w:rsid w:val="00FB5A0D"/>
    <w:rsid w:val="00FD0B7E"/>
    <w:rsid w:val="00FD1982"/>
    <w:rsid w:val="00FD534B"/>
    <w:rsid w:val="00FD65EA"/>
    <w:rsid w:val="00FE10F4"/>
    <w:rsid w:val="00FF0FA0"/>
    <w:rsid w:val="00FF6D97"/>
    <w:rsid w:val="00FF79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0EBAD"/>
  <w15:chartTrackingRefBased/>
  <w15:docId w15:val="{E8EFA89B-0E99-4A5C-8ECC-E89BFCC6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0E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30B7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0B7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0B7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30B7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30B7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30B7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30B7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30B7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30B7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B72"/>
    <w:rPr>
      <w:rFonts w:eastAsiaTheme="majorEastAsia" w:cstheme="majorBidi"/>
      <w:color w:val="272727" w:themeColor="text1" w:themeTint="D8"/>
    </w:rPr>
  </w:style>
  <w:style w:type="paragraph" w:styleId="Title">
    <w:name w:val="Title"/>
    <w:basedOn w:val="Normal"/>
    <w:next w:val="Normal"/>
    <w:link w:val="TitleChar"/>
    <w:uiPriority w:val="10"/>
    <w:qFormat/>
    <w:rsid w:val="00330B7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0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B7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30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B7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30B72"/>
    <w:rPr>
      <w:i/>
      <w:iCs/>
      <w:color w:val="404040" w:themeColor="text1" w:themeTint="BF"/>
    </w:rPr>
  </w:style>
  <w:style w:type="paragraph" w:styleId="ListParagraph">
    <w:name w:val="List Paragraph"/>
    <w:basedOn w:val="Normal"/>
    <w:uiPriority w:val="34"/>
    <w:qFormat/>
    <w:rsid w:val="00330B7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30B72"/>
    <w:rPr>
      <w:i/>
      <w:iCs/>
      <w:color w:val="0F4761" w:themeColor="accent1" w:themeShade="BF"/>
    </w:rPr>
  </w:style>
  <w:style w:type="paragraph" w:styleId="IntenseQuote">
    <w:name w:val="Intense Quote"/>
    <w:basedOn w:val="Normal"/>
    <w:next w:val="Normal"/>
    <w:link w:val="IntenseQuoteChar"/>
    <w:uiPriority w:val="30"/>
    <w:qFormat/>
    <w:rsid w:val="00330B7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30B72"/>
    <w:rPr>
      <w:i/>
      <w:iCs/>
      <w:color w:val="0F4761" w:themeColor="accent1" w:themeShade="BF"/>
    </w:rPr>
  </w:style>
  <w:style w:type="character" w:styleId="IntenseReference">
    <w:name w:val="Intense Reference"/>
    <w:basedOn w:val="DefaultParagraphFont"/>
    <w:uiPriority w:val="32"/>
    <w:qFormat/>
    <w:rsid w:val="00330B72"/>
    <w:rPr>
      <w:b/>
      <w:bCs/>
      <w:smallCaps/>
      <w:color w:val="0F4761" w:themeColor="accent1" w:themeShade="BF"/>
      <w:spacing w:val="5"/>
    </w:rPr>
  </w:style>
  <w:style w:type="paragraph" w:customStyle="1" w:styleId="MarkforTableTitle">
    <w:name w:val="Mark for Table Title"/>
    <w:basedOn w:val="Normal"/>
    <w:next w:val="Normal"/>
    <w:qFormat/>
    <w:rsid w:val="005E6EF7"/>
    <w:pPr>
      <w:keepNext/>
      <w:spacing w:after="60"/>
    </w:pPr>
    <w:rPr>
      <w:rFonts w:ascii="Arial Black" w:hAnsi="Arial Black"/>
      <w:sz w:val="22"/>
      <w:szCs w:val="20"/>
    </w:rPr>
  </w:style>
  <w:style w:type="table" w:styleId="TableGrid">
    <w:name w:val="Table Grid"/>
    <w:basedOn w:val="TableNormal"/>
    <w:uiPriority w:val="39"/>
    <w:rsid w:val="00390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50E0"/>
    <w:rPr>
      <w:color w:val="467886" w:themeColor="hyperlink"/>
      <w:u w:val="single"/>
    </w:rPr>
  </w:style>
  <w:style w:type="character" w:styleId="UnresolvedMention">
    <w:name w:val="Unresolved Mention"/>
    <w:basedOn w:val="DefaultParagraphFont"/>
    <w:uiPriority w:val="99"/>
    <w:semiHidden/>
    <w:unhideWhenUsed/>
    <w:rsid w:val="003D50E0"/>
    <w:rPr>
      <w:color w:val="605E5C"/>
      <w:shd w:val="clear" w:color="auto" w:fill="E1DFDD"/>
    </w:rPr>
  </w:style>
  <w:style w:type="table" w:styleId="GridTable4">
    <w:name w:val="Grid Table 4"/>
    <w:basedOn w:val="TableNormal"/>
    <w:uiPriority w:val="49"/>
    <w:rsid w:val="003D50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3D50E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3D50E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3D50E0"/>
    <w:pPr>
      <w:spacing w:after="200"/>
    </w:pPr>
    <w:rPr>
      <w:rFonts w:asciiTheme="minorHAnsi" w:eastAsiaTheme="minorHAnsi" w:hAnsiTheme="minorHAnsi" w:cstheme="minorBidi"/>
      <w:i/>
      <w:iCs/>
      <w:color w:val="0E2841" w:themeColor="text2"/>
      <w:kern w:val="2"/>
      <w:sz w:val="18"/>
      <w:szCs w:val="18"/>
      <w14:ligatures w14:val="standardContextual"/>
    </w:rPr>
  </w:style>
  <w:style w:type="paragraph" w:styleId="Revision">
    <w:name w:val="Revision"/>
    <w:hidden/>
    <w:uiPriority w:val="99"/>
    <w:semiHidden/>
    <w:rsid w:val="003D50E0"/>
    <w:pPr>
      <w:spacing w:after="0" w:line="240" w:lineRule="auto"/>
    </w:pPr>
  </w:style>
  <w:style w:type="character" w:styleId="PlaceholderText">
    <w:name w:val="Placeholder Text"/>
    <w:basedOn w:val="DefaultParagraphFont"/>
    <w:uiPriority w:val="99"/>
    <w:semiHidden/>
    <w:rsid w:val="003D50E0"/>
    <w:rPr>
      <w:color w:val="666666"/>
    </w:rPr>
  </w:style>
  <w:style w:type="character" w:styleId="CommentReference">
    <w:name w:val="annotation reference"/>
    <w:basedOn w:val="DefaultParagraphFont"/>
    <w:uiPriority w:val="99"/>
    <w:semiHidden/>
    <w:unhideWhenUsed/>
    <w:rsid w:val="008C5669"/>
    <w:rPr>
      <w:sz w:val="16"/>
      <w:szCs w:val="16"/>
    </w:rPr>
  </w:style>
  <w:style w:type="paragraph" w:styleId="CommentText">
    <w:name w:val="annotation text"/>
    <w:basedOn w:val="Normal"/>
    <w:link w:val="CommentTextChar"/>
    <w:uiPriority w:val="99"/>
    <w:unhideWhenUsed/>
    <w:rsid w:val="008C5669"/>
    <w:rPr>
      <w:sz w:val="20"/>
      <w:szCs w:val="20"/>
    </w:rPr>
  </w:style>
  <w:style w:type="character" w:customStyle="1" w:styleId="CommentTextChar">
    <w:name w:val="Comment Text Char"/>
    <w:basedOn w:val="DefaultParagraphFont"/>
    <w:link w:val="CommentText"/>
    <w:uiPriority w:val="99"/>
    <w:rsid w:val="008C566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5669"/>
    <w:rPr>
      <w:b/>
      <w:bCs/>
    </w:rPr>
  </w:style>
  <w:style w:type="character" w:customStyle="1" w:styleId="CommentSubjectChar">
    <w:name w:val="Comment Subject Char"/>
    <w:basedOn w:val="CommentTextChar"/>
    <w:link w:val="CommentSubject"/>
    <w:uiPriority w:val="99"/>
    <w:semiHidden/>
    <w:rsid w:val="008C5669"/>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3E61F9"/>
    <w:rPr>
      <w:color w:val="96607D" w:themeColor="followedHyperlink"/>
      <w:u w:val="single"/>
    </w:rPr>
  </w:style>
  <w:style w:type="paragraph" w:styleId="Header">
    <w:name w:val="header"/>
    <w:basedOn w:val="Normal"/>
    <w:link w:val="HeaderChar"/>
    <w:uiPriority w:val="99"/>
    <w:unhideWhenUsed/>
    <w:rsid w:val="00DD3F98"/>
    <w:pPr>
      <w:tabs>
        <w:tab w:val="center" w:pos="4680"/>
        <w:tab w:val="right" w:pos="9360"/>
      </w:tabs>
    </w:pPr>
  </w:style>
  <w:style w:type="character" w:customStyle="1" w:styleId="HeaderChar">
    <w:name w:val="Header Char"/>
    <w:basedOn w:val="DefaultParagraphFont"/>
    <w:link w:val="Header"/>
    <w:uiPriority w:val="99"/>
    <w:rsid w:val="00DD3F9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DD3F98"/>
    <w:pPr>
      <w:tabs>
        <w:tab w:val="center" w:pos="4680"/>
        <w:tab w:val="right" w:pos="9360"/>
      </w:tabs>
    </w:pPr>
  </w:style>
  <w:style w:type="character" w:customStyle="1" w:styleId="FooterChar">
    <w:name w:val="Footer Char"/>
    <w:basedOn w:val="DefaultParagraphFont"/>
    <w:link w:val="Footer"/>
    <w:uiPriority w:val="99"/>
    <w:rsid w:val="00DD3F9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interpro.com/blog/average-survey-response-rate/" TargetMode="External" /><Relationship Id="rId11" Type="http://schemas.openxmlformats.org/officeDocument/2006/relationships/hyperlink" Target="https://benefits.va.gov/TRANSITION/docs/pstap-assessment.pdf"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eta/american-job-centers" TargetMode="External" /><Relationship Id="rId9" Type="http://schemas.openxmlformats.org/officeDocument/2006/relationships/hyperlink" Target="https://peoplepulse.com/resources/useful-articles/survey-response-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5" ma:contentTypeDescription="Create a new document." ma:contentTypeScope="" ma:versionID="cbb457d1e794cceef96d0c5fe8fb2a7c">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1fe4fd91cb2b5221575b2b2c58f9e5e1"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8A072-D6B4-47BB-97A3-84316229C2D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95d936b-0f76-4318-9847-a80d08a44ec0"/>
    <ds:schemaRef ds:uri="http://purl.org/dc/terms/"/>
    <ds:schemaRef ds:uri="http://schemas.openxmlformats.org/package/2006/metadata/core-properties"/>
    <ds:schemaRef ds:uri="54b5831f-5aa7-4765-b21f-472101222e8d"/>
    <ds:schemaRef ds:uri="http://www.w3.org/XML/1998/namespace"/>
    <ds:schemaRef ds:uri="http://purl.org/dc/dcmitype/"/>
  </ds:schemaRefs>
</ds:datastoreItem>
</file>

<file path=customXml/itemProps2.xml><?xml version="1.0" encoding="utf-8"?>
<ds:datastoreItem xmlns:ds="http://schemas.openxmlformats.org/officeDocument/2006/customXml" ds:itemID="{0975BE05-5C4C-4187-A604-0D617A8B250B}">
  <ds:schemaRefs>
    <ds:schemaRef ds:uri="http://schemas.microsoft.com/sharepoint/v3/contenttype/forms"/>
  </ds:schemaRefs>
</ds:datastoreItem>
</file>

<file path=customXml/itemProps3.xml><?xml version="1.0" encoding="utf-8"?>
<ds:datastoreItem xmlns:ds="http://schemas.openxmlformats.org/officeDocument/2006/customXml" ds:itemID="{166ABD71-C2AB-5640-90F6-2C0F7D82DB6F}">
  <ds:schemaRefs>
    <ds:schemaRef ds:uri="http://schemas.openxmlformats.org/officeDocument/2006/bibliography"/>
  </ds:schemaRefs>
</ds:datastoreItem>
</file>

<file path=customXml/itemProps4.xml><?xml version="1.0" encoding="utf-8"?>
<ds:datastoreItem xmlns:ds="http://schemas.openxmlformats.org/officeDocument/2006/customXml" ds:itemID="{2A351FFB-F60D-4AF2-BDBE-8E4E3137F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5831f-5aa7-4765-b21f-472101222e8d"/>
    <ds:schemaRef ds:uri="195d936b-0f76-4318-9847-a80d08a44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2977</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Ahsan Ahsanuzzaman</dc:creator>
  <cp:lastModifiedBy>William West</cp:lastModifiedBy>
  <cp:revision>2</cp:revision>
  <dcterms:created xsi:type="dcterms:W3CDTF">2024-09-17T17:57:00Z</dcterms:created>
  <dcterms:modified xsi:type="dcterms:W3CDTF">2024-09-17T17:57:00Z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