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207A3" w:rsidRPr="00A97088" w:rsidP="00A259C0" w14:paraId="053319DC" w14:textId="225186F6">
      <w:pPr>
        <w:jc w:val="center"/>
        <w:rPr>
          <w:rFonts w:ascii="Times New Roman" w:hAnsi="Times New Roman"/>
          <w:b/>
          <w:bCs/>
        </w:rPr>
      </w:pPr>
      <w:bookmarkStart w:id="0" w:name="_Hlk53735777"/>
      <w:r w:rsidRPr="00A97088">
        <w:rPr>
          <w:rFonts w:ascii="Times New Roman" w:hAnsi="Times New Roman"/>
          <w:b/>
          <w:bCs/>
        </w:rPr>
        <w:t>Justification of Non-</w:t>
      </w:r>
      <w:r w:rsidR="00373E0F">
        <w:rPr>
          <w:rFonts w:ascii="Times New Roman" w:hAnsi="Times New Roman"/>
          <w:b/>
          <w:bCs/>
        </w:rPr>
        <w:t>Substantive</w:t>
      </w:r>
      <w:r w:rsidRPr="00A97088">
        <w:rPr>
          <w:rFonts w:ascii="Times New Roman" w:hAnsi="Times New Roman"/>
          <w:b/>
          <w:bCs/>
        </w:rPr>
        <w:t xml:space="preserve"> Change</w:t>
      </w:r>
    </w:p>
    <w:p w:rsidR="00A259C0" w:rsidP="00A259C0" w14:paraId="12830360" w14:textId="77777777">
      <w:pPr>
        <w:rPr>
          <w:rFonts w:ascii="Times New Roman" w:hAnsi="Times New Roman"/>
          <w:b/>
          <w:bCs/>
        </w:rPr>
      </w:pPr>
    </w:p>
    <w:p w:rsidR="00A259C0" w:rsidP="00A259C0" w14:paraId="794FD003" w14:textId="36DB9E37">
      <w:pPr>
        <w:rPr>
          <w:rFonts w:ascii="Times New Roman" w:hAnsi="Times New Roman"/>
          <w:b/>
          <w:bCs/>
        </w:rPr>
      </w:pPr>
      <w:r w:rsidRPr="00A259C0">
        <w:rPr>
          <w:rFonts w:ascii="Times New Roman" w:hAnsi="Times New Roman"/>
          <w:b/>
          <w:bCs/>
        </w:rPr>
        <w:t>OMB Control No. 1509-0279</w:t>
      </w:r>
    </w:p>
    <w:p w:rsidR="00A259C0" w:rsidP="00A259C0" w14:paraId="78F0D76A" w14:textId="77777777">
      <w:pPr>
        <w:rPr>
          <w:rFonts w:ascii="Times New Roman" w:hAnsi="Times New Roman"/>
          <w:b/>
          <w:bCs/>
        </w:rPr>
      </w:pPr>
    </w:p>
    <w:p w:rsidR="00A259C0" w:rsidRPr="00A259C0" w:rsidP="00A259C0" w14:paraId="41E70E88" w14:textId="2CB3632F">
      <w:pPr>
        <w:rPr>
          <w:rFonts w:ascii="Times New Roman" w:hAnsi="Times New Roman"/>
          <w:b/>
          <w:bCs/>
        </w:rPr>
      </w:pPr>
      <w:r w:rsidRPr="00A259C0">
        <w:rPr>
          <w:rFonts w:ascii="Times New Roman" w:hAnsi="Times New Roman"/>
          <w:b/>
          <w:bCs/>
        </w:rPr>
        <w:t xml:space="preserve">Reporting Instructions for Preparation of the Report of Non-centrally Cleared </w:t>
      </w:r>
    </w:p>
    <w:p w:rsidR="00A259C0" w:rsidP="00A259C0" w14:paraId="0922A143" w14:textId="77777777">
      <w:pPr>
        <w:rPr>
          <w:rFonts w:ascii="Times New Roman" w:hAnsi="Times New Roman"/>
          <w:b/>
          <w:bCs/>
        </w:rPr>
      </w:pPr>
      <w:r w:rsidRPr="00A259C0">
        <w:rPr>
          <w:rFonts w:ascii="Times New Roman" w:hAnsi="Times New Roman"/>
          <w:b/>
          <w:bCs/>
        </w:rPr>
        <w:t>Bilateral Transactions in the U.S. Repurchase Agreement Market</w:t>
      </w:r>
    </w:p>
    <w:bookmarkEnd w:id="0"/>
    <w:p w:rsidR="00A259C0" w:rsidRPr="00A259C0" w:rsidP="00A259C0" w14:paraId="783AEC3D" w14:textId="77777777">
      <w:pPr>
        <w:widowControl/>
        <w:autoSpaceDE/>
        <w:autoSpaceDN/>
        <w:adjustRightInd/>
        <w:rPr>
          <w:rFonts w:ascii="Aptos" w:eastAsia="Calibri" w:hAnsi="Aptos" w:cs="Calibri"/>
          <w:sz w:val="22"/>
          <w:szCs w:val="22"/>
          <w14:ligatures w14:val="standardContextual"/>
        </w:rPr>
      </w:pPr>
    </w:p>
    <w:p w:rsidR="00A259C0" w:rsidP="00A259C0" w14:paraId="45354428" w14:textId="77777777">
      <w:pPr>
        <w:widowControl/>
        <w:autoSpaceDE/>
        <w:autoSpaceDN/>
        <w:adjustRightInd/>
        <w:rPr>
          <w:rFonts w:ascii="Aptos" w:eastAsia="Calibri" w:hAnsi="Aptos" w:cs="Calibri"/>
          <w:sz w:val="22"/>
          <w:szCs w:val="22"/>
          <w14:ligatures w14:val="standardContextual"/>
        </w:rPr>
      </w:pPr>
      <w:r>
        <w:rPr>
          <w:rFonts w:ascii="Aptos" w:eastAsia="Calibri" w:hAnsi="Aptos" w:cs="Calibri"/>
          <w:sz w:val="22"/>
          <w:szCs w:val="22"/>
          <w14:ligatures w14:val="standardContextual"/>
        </w:rPr>
        <w:t>The program office received q</w:t>
      </w:r>
      <w:r w:rsidRPr="00A259C0">
        <w:rPr>
          <w:rFonts w:ascii="Aptos" w:eastAsia="Calibri" w:hAnsi="Aptos" w:cs="Calibri"/>
          <w:sz w:val="22"/>
          <w:szCs w:val="22"/>
          <w14:ligatures w14:val="standardContextual"/>
        </w:rPr>
        <w:t xml:space="preserve">uestions from covered reporters </w:t>
      </w:r>
      <w:r>
        <w:rPr>
          <w:rFonts w:ascii="Aptos" w:eastAsia="Calibri" w:hAnsi="Aptos" w:cs="Calibri"/>
          <w:sz w:val="22"/>
          <w:szCs w:val="22"/>
          <w14:ligatures w14:val="standardContextual"/>
        </w:rPr>
        <w:t xml:space="preserve">on </w:t>
      </w:r>
      <w:r w:rsidRPr="00A259C0">
        <w:rPr>
          <w:rFonts w:ascii="Aptos" w:eastAsia="Calibri" w:hAnsi="Aptos" w:cs="Calibri"/>
          <w:sz w:val="22"/>
          <w:szCs w:val="22"/>
          <w14:ligatures w14:val="standardContextual"/>
        </w:rPr>
        <w:t xml:space="preserve">ways </w:t>
      </w:r>
      <w:r>
        <w:rPr>
          <w:rFonts w:ascii="Aptos" w:eastAsia="Calibri" w:hAnsi="Aptos" w:cs="Calibri"/>
          <w:sz w:val="22"/>
          <w:szCs w:val="22"/>
          <w14:ligatures w14:val="standardContextual"/>
        </w:rPr>
        <w:t>to</w:t>
      </w:r>
      <w:r w:rsidRPr="00A259C0">
        <w:rPr>
          <w:rFonts w:ascii="Aptos" w:eastAsia="Calibri" w:hAnsi="Aptos" w:cs="Calibri"/>
          <w:sz w:val="22"/>
          <w:szCs w:val="22"/>
          <w14:ligatures w14:val="standardContextual"/>
        </w:rPr>
        <w:t xml:space="preserve"> </w:t>
      </w:r>
      <w:r>
        <w:rPr>
          <w:rFonts w:ascii="Aptos" w:eastAsia="Calibri" w:hAnsi="Aptos" w:cs="Calibri"/>
          <w:sz w:val="22"/>
          <w:szCs w:val="22"/>
          <w14:ligatures w14:val="standardContextual"/>
        </w:rPr>
        <w:t xml:space="preserve">create user-friendly </w:t>
      </w:r>
      <w:r w:rsidRPr="00A259C0">
        <w:rPr>
          <w:rFonts w:ascii="Aptos" w:eastAsia="Calibri" w:hAnsi="Aptos" w:cs="Calibri"/>
          <w:sz w:val="22"/>
          <w:szCs w:val="22"/>
          <w14:ligatures w14:val="standardContextual"/>
        </w:rPr>
        <w:t>Reporting Instruction</w:t>
      </w:r>
      <w:r>
        <w:rPr>
          <w:rFonts w:ascii="Aptos" w:eastAsia="Calibri" w:hAnsi="Aptos" w:cs="Calibri"/>
          <w:sz w:val="22"/>
          <w:szCs w:val="22"/>
          <w14:ligatures w14:val="standardContextual"/>
        </w:rPr>
        <w:t>s</w:t>
      </w:r>
      <w:r w:rsidRPr="00A259C0">
        <w:rPr>
          <w:rFonts w:ascii="Aptos" w:eastAsia="Calibri" w:hAnsi="Aptos" w:cs="Calibri"/>
          <w:sz w:val="22"/>
          <w:szCs w:val="22"/>
          <w14:ligatures w14:val="standardContextual"/>
        </w:rPr>
        <w:t xml:space="preserve">.  The objective of </w:t>
      </w:r>
      <w:r>
        <w:rPr>
          <w:rFonts w:ascii="Aptos" w:eastAsia="Calibri" w:hAnsi="Aptos" w:cs="Calibri"/>
          <w:sz w:val="22"/>
          <w:szCs w:val="22"/>
          <w14:ligatures w14:val="standardContextual"/>
        </w:rPr>
        <w:t>this non-substantive change</w:t>
      </w:r>
      <w:r w:rsidRPr="00A259C0">
        <w:rPr>
          <w:rFonts w:ascii="Aptos" w:eastAsia="Calibri" w:hAnsi="Aptos" w:cs="Calibri"/>
          <w:sz w:val="22"/>
          <w:szCs w:val="22"/>
          <w14:ligatures w14:val="standardContextual"/>
        </w:rPr>
        <w:t xml:space="preserve"> is to improve the alignment of the Reporting Instructions with the Final Rule text; to promote continuity across the published NCCBR documents; and to provide clarifications about how certain individual line items should be reported. </w:t>
      </w:r>
      <w:r>
        <w:rPr>
          <w:rFonts w:ascii="Aptos" w:eastAsia="Calibri" w:hAnsi="Aptos" w:cs="Calibri"/>
          <w:sz w:val="22"/>
          <w:szCs w:val="22"/>
          <w14:ligatures w14:val="standardContextual"/>
        </w:rPr>
        <w:t xml:space="preserve"> We addressed the below in the change request:</w:t>
      </w:r>
    </w:p>
    <w:p w:rsidR="00A259C0" w:rsidRPr="00A259C0" w:rsidP="00A259C0" w14:paraId="0DD694DD" w14:textId="77777777">
      <w:pPr>
        <w:widowControl/>
        <w:numPr>
          <w:ilvl w:val="0"/>
          <w:numId w:val="1"/>
        </w:numPr>
        <w:autoSpaceDE/>
        <w:autoSpaceDN/>
        <w:adjustRightInd/>
        <w:rPr>
          <w:rFonts w:ascii="Aptos" w:hAnsi="Aptos"/>
          <w:sz w:val="22"/>
          <w:szCs w:val="22"/>
          <w14:ligatures w14:val="standardContextual"/>
        </w:rPr>
      </w:pPr>
      <w:r w:rsidRPr="00A259C0">
        <w:rPr>
          <w:rFonts w:ascii="Aptos" w:hAnsi="Aptos"/>
          <w:sz w:val="22"/>
          <w:szCs w:val="22"/>
          <w14:ligatures w14:val="standardContextual"/>
        </w:rPr>
        <w:t>Page 3: The instructions implied that reported repos are between two financial companies, but they can be between any two legal entities.</w:t>
      </w:r>
    </w:p>
    <w:p w:rsidR="00A259C0" w:rsidRPr="00A259C0" w:rsidP="00A259C0" w14:paraId="7C199A41" w14:textId="77777777">
      <w:pPr>
        <w:widowControl/>
        <w:numPr>
          <w:ilvl w:val="0"/>
          <w:numId w:val="1"/>
        </w:numPr>
        <w:autoSpaceDE/>
        <w:autoSpaceDN/>
        <w:adjustRightInd/>
        <w:rPr>
          <w:rFonts w:ascii="Aptos" w:hAnsi="Aptos"/>
          <w:sz w:val="22"/>
          <w:szCs w:val="22"/>
          <w14:ligatures w14:val="standardContextual"/>
        </w:rPr>
      </w:pPr>
      <w:r w:rsidRPr="00A259C0">
        <w:rPr>
          <w:rFonts w:ascii="Aptos" w:hAnsi="Aptos"/>
          <w:sz w:val="22"/>
          <w:szCs w:val="22"/>
          <w14:ligatures w14:val="standardContextual"/>
        </w:rPr>
        <w:t xml:space="preserve">Page 4: The compliance dates given for the reporting status were given in calendar </w:t>
      </w:r>
      <w:r w:rsidRPr="00A259C0">
        <w:rPr>
          <w:rFonts w:ascii="Aptos" w:hAnsi="Aptos"/>
          <w:b/>
          <w:bCs/>
          <w:sz w:val="22"/>
          <w:szCs w:val="22"/>
          <w14:ligatures w14:val="standardContextual"/>
        </w:rPr>
        <w:t>quarters</w:t>
      </w:r>
      <w:r w:rsidRPr="00A259C0">
        <w:rPr>
          <w:rFonts w:ascii="Aptos" w:hAnsi="Aptos"/>
          <w:sz w:val="22"/>
          <w:szCs w:val="22"/>
          <w14:ligatures w14:val="standardContextual"/>
        </w:rPr>
        <w:t xml:space="preserve">, but the rule asked for the Reporting Instructions to give the compliance dates in calendar </w:t>
      </w:r>
      <w:r w:rsidRPr="00A259C0">
        <w:rPr>
          <w:rFonts w:ascii="Aptos" w:hAnsi="Aptos"/>
          <w:b/>
          <w:bCs/>
          <w:sz w:val="22"/>
          <w:szCs w:val="22"/>
          <w14:ligatures w14:val="standardContextual"/>
        </w:rPr>
        <w:t>days</w:t>
      </w:r>
      <w:r w:rsidRPr="00A259C0">
        <w:rPr>
          <w:rFonts w:ascii="Aptos" w:hAnsi="Aptos"/>
          <w:sz w:val="22"/>
          <w:szCs w:val="22"/>
          <w14:ligatures w14:val="standardContextual"/>
        </w:rPr>
        <w:t>.</w:t>
      </w:r>
    </w:p>
    <w:p w:rsidR="00A259C0" w:rsidRPr="00A259C0" w:rsidP="00A259C0" w14:paraId="7D3FA3C0" w14:textId="77777777">
      <w:pPr>
        <w:widowControl/>
        <w:numPr>
          <w:ilvl w:val="0"/>
          <w:numId w:val="1"/>
        </w:numPr>
        <w:autoSpaceDE/>
        <w:autoSpaceDN/>
        <w:adjustRightInd/>
        <w:rPr>
          <w:rFonts w:ascii="Aptos" w:hAnsi="Aptos"/>
          <w:sz w:val="22"/>
          <w:szCs w:val="22"/>
          <w14:ligatures w14:val="standardContextual"/>
        </w:rPr>
      </w:pPr>
      <w:r w:rsidRPr="00A259C0">
        <w:rPr>
          <w:rFonts w:ascii="Aptos" w:hAnsi="Aptos"/>
          <w:sz w:val="22"/>
          <w:szCs w:val="22"/>
          <w14:ligatures w14:val="standardContextual"/>
        </w:rPr>
        <w:t>Page 6: Examples removed in the general terms for reporting the Business Day field. Examples and clarifications are being relocated in the Frequently Asked Questions published on our website.</w:t>
      </w:r>
    </w:p>
    <w:p w:rsidR="00A259C0" w:rsidRPr="00A259C0" w:rsidP="00A259C0" w14:paraId="0D79EB93" w14:textId="77777777">
      <w:pPr>
        <w:widowControl/>
        <w:numPr>
          <w:ilvl w:val="0"/>
          <w:numId w:val="1"/>
        </w:numPr>
        <w:autoSpaceDE/>
        <w:autoSpaceDN/>
        <w:adjustRightInd/>
        <w:rPr>
          <w:rFonts w:ascii="Aptos" w:hAnsi="Aptos"/>
          <w:sz w:val="22"/>
          <w:szCs w:val="22"/>
          <w14:ligatures w14:val="standardContextual"/>
        </w:rPr>
      </w:pPr>
      <w:r w:rsidRPr="00A259C0">
        <w:rPr>
          <w:rFonts w:ascii="Aptos" w:hAnsi="Aptos"/>
          <w:sz w:val="22"/>
          <w:szCs w:val="22"/>
          <w14:ligatures w14:val="standardContextual"/>
        </w:rPr>
        <w:t>Page 6: List added of floating rate benchmarks, as stated in the Final Rule.</w:t>
      </w:r>
    </w:p>
    <w:p w:rsidR="00A259C0" w:rsidRPr="00A259C0" w:rsidP="00A259C0" w14:paraId="194F0C65" w14:textId="77777777">
      <w:pPr>
        <w:widowControl/>
        <w:numPr>
          <w:ilvl w:val="0"/>
          <w:numId w:val="1"/>
        </w:numPr>
        <w:autoSpaceDE/>
        <w:autoSpaceDN/>
        <w:adjustRightInd/>
        <w:rPr>
          <w:rFonts w:ascii="Aptos" w:hAnsi="Aptos"/>
          <w:sz w:val="22"/>
          <w:szCs w:val="22"/>
          <w14:ligatures w14:val="standardContextual"/>
        </w:rPr>
      </w:pPr>
      <w:r w:rsidRPr="00A259C0">
        <w:rPr>
          <w:rFonts w:ascii="Aptos" w:hAnsi="Aptos"/>
          <w:sz w:val="22"/>
          <w:szCs w:val="22"/>
          <w14:ligatures w14:val="standardContextual"/>
        </w:rPr>
        <w:t>Page 10: List added of trading platforms, as stated in the Final Rule. In lieu of a list embedded in the Reporting Instructions, we reference an ISO standard with a more complete listing.</w:t>
      </w:r>
    </w:p>
    <w:p w:rsidR="00A259C0" w:rsidRPr="00A259C0" w:rsidP="00A259C0" w14:paraId="089B35B1" w14:textId="77777777">
      <w:pPr>
        <w:widowControl/>
        <w:numPr>
          <w:ilvl w:val="0"/>
          <w:numId w:val="1"/>
        </w:numPr>
        <w:autoSpaceDE/>
        <w:autoSpaceDN/>
        <w:adjustRightInd/>
        <w:rPr>
          <w:rFonts w:ascii="Aptos" w:hAnsi="Aptos"/>
          <w:sz w:val="22"/>
          <w:szCs w:val="22"/>
          <w14:ligatures w14:val="standardContextual"/>
        </w:rPr>
      </w:pPr>
      <w:r w:rsidRPr="00A259C0">
        <w:rPr>
          <w:rFonts w:ascii="Aptos" w:hAnsi="Aptos"/>
          <w:sz w:val="22"/>
          <w:szCs w:val="22"/>
          <w14:ligatures w14:val="standardContextual"/>
        </w:rPr>
        <w:t>Page 11: Guidance added for Start Date and End Date to clarify what to do when the transaction is not intraday.</w:t>
      </w:r>
    </w:p>
    <w:p w:rsidR="00A259C0" w:rsidRPr="00A259C0" w:rsidP="00A259C0" w14:paraId="45678737" w14:textId="77777777">
      <w:pPr>
        <w:widowControl/>
        <w:numPr>
          <w:ilvl w:val="0"/>
          <w:numId w:val="1"/>
        </w:numPr>
        <w:autoSpaceDE/>
        <w:autoSpaceDN/>
        <w:adjustRightInd/>
        <w:rPr>
          <w:rFonts w:ascii="Aptos" w:hAnsi="Aptos"/>
          <w:sz w:val="22"/>
          <w:szCs w:val="22"/>
          <w14:ligatures w14:val="standardContextual"/>
        </w:rPr>
      </w:pPr>
      <w:r w:rsidRPr="00A259C0">
        <w:rPr>
          <w:rFonts w:ascii="Aptos" w:hAnsi="Aptos"/>
          <w:sz w:val="22"/>
          <w:szCs w:val="22"/>
          <w14:ligatures w14:val="standardContextual"/>
        </w:rPr>
        <w:t>Page 11: Examples given for End Date, as stated by the Final Rule.</w:t>
      </w:r>
    </w:p>
    <w:p w:rsidR="00A259C0" w:rsidRPr="00A259C0" w:rsidP="00A259C0" w14:paraId="2FBB207F" w14:textId="77777777">
      <w:pPr>
        <w:widowControl/>
        <w:numPr>
          <w:ilvl w:val="0"/>
          <w:numId w:val="1"/>
        </w:numPr>
        <w:autoSpaceDE/>
        <w:autoSpaceDN/>
        <w:adjustRightInd/>
        <w:rPr>
          <w:rFonts w:ascii="Aptos" w:hAnsi="Aptos"/>
          <w:sz w:val="22"/>
          <w:szCs w:val="22"/>
          <w14:ligatures w14:val="standardContextual"/>
        </w:rPr>
      </w:pPr>
      <w:r w:rsidRPr="00A259C0">
        <w:rPr>
          <w:rFonts w:ascii="Aptos" w:hAnsi="Aptos"/>
          <w:sz w:val="22"/>
          <w:szCs w:val="22"/>
          <w14:ligatures w14:val="standardContextual"/>
        </w:rPr>
        <w:t>Page 12: Guidance removed from Cash Lender Internal Identifier and Cash Borrower Internal Identifier, as the Rule says these are free text.</w:t>
      </w:r>
    </w:p>
    <w:p w:rsidR="00A259C0" w:rsidRPr="00A259C0" w:rsidP="00A259C0" w14:paraId="38DA87F9" w14:textId="77777777">
      <w:pPr>
        <w:widowControl/>
        <w:numPr>
          <w:ilvl w:val="0"/>
          <w:numId w:val="1"/>
        </w:numPr>
        <w:autoSpaceDE/>
        <w:autoSpaceDN/>
        <w:adjustRightInd/>
        <w:rPr>
          <w:rFonts w:ascii="Aptos" w:hAnsi="Aptos"/>
          <w:sz w:val="22"/>
          <w:szCs w:val="22"/>
          <w14:ligatures w14:val="standardContextual"/>
        </w:rPr>
      </w:pPr>
      <w:r w:rsidRPr="00A259C0">
        <w:rPr>
          <w:rFonts w:ascii="Aptos" w:hAnsi="Aptos"/>
          <w:sz w:val="22"/>
          <w:szCs w:val="22"/>
          <w14:ligatures w14:val="standardContextual"/>
        </w:rPr>
        <w:t>Page 13: Clarity added to Rate on what to do if the rate is a reference rate.</w:t>
      </w:r>
    </w:p>
    <w:p w:rsidR="00F40BF0" w14:paraId="18C0412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9DA1B55"/>
    <w:multiLevelType w:val="hybridMultilevel"/>
    <w:tmpl w:val="A08C9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7678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A3"/>
    <w:rsid w:val="001C433B"/>
    <w:rsid w:val="00373E0F"/>
    <w:rsid w:val="004F1648"/>
    <w:rsid w:val="007639FF"/>
    <w:rsid w:val="00A259C0"/>
    <w:rsid w:val="00A97088"/>
    <w:rsid w:val="00B04A6C"/>
    <w:rsid w:val="00C47E04"/>
    <w:rsid w:val="00D207A3"/>
    <w:rsid w:val="00D70E29"/>
    <w:rsid w:val="00F40BF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036E87"/>
  <w15:chartTrackingRefBased/>
  <w15:docId w15:val="{8DCB2ABB-751C-49DE-85FD-9541993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7A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Department of the Treasury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Read, Anna</dc:creator>
  <cp:lastModifiedBy>Melody Braswell</cp:lastModifiedBy>
  <cp:revision>2</cp:revision>
  <dcterms:created xsi:type="dcterms:W3CDTF">2024-09-17T19:11:00Z</dcterms:created>
  <dcterms:modified xsi:type="dcterms:W3CDTF">2024-09-17T19:11:00Z</dcterms:modified>
</cp:coreProperties>
</file>