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C32AF" w:rsidRPr="00BC32AF" w:rsidP="00BC32AF" w14:paraId="3AC898E1" w14:textId="77777777">
      <w:pPr>
        <w:widowControl w:val="0"/>
        <w:autoSpaceDE w:val="0"/>
        <w:autoSpaceDN w:val="0"/>
        <w:adjustRightInd w:val="0"/>
        <w:spacing w:after="0" w:line="240" w:lineRule="auto"/>
        <w:jc w:val="center"/>
        <w:rPr>
          <w:rFonts w:ascii="Times New Roman" w:eastAsia="Times New Roman" w:hAnsi="Times New Roman" w:cs="Times New Roman"/>
          <w:kern w:val="0"/>
          <w:sz w:val="24"/>
          <w:szCs w:val="24"/>
          <w:u w:val="single"/>
          <w14:ligatures w14:val="none"/>
        </w:rPr>
      </w:pPr>
      <w:r w:rsidRPr="00BC32AF">
        <w:rPr>
          <w:rFonts w:ascii="Times New Roman" w:eastAsia="Times New Roman" w:hAnsi="Times New Roman" w:cs="Times New Roman"/>
          <w:kern w:val="0"/>
          <w:sz w:val="24"/>
          <w:szCs w:val="24"/>
          <w:u w:val="single"/>
          <w14:ligatures w14:val="none"/>
        </w:rPr>
        <w:t xml:space="preserve">Supporting Statement </w:t>
      </w:r>
    </w:p>
    <w:p w:rsidR="00BC32AF" w:rsidRPr="00BC32AF" w:rsidP="00BC32AF" w14:paraId="3C9DC53B" w14:textId="0E73B0A6">
      <w:pPr>
        <w:widowControl w:val="0"/>
        <w:autoSpaceDE w:val="0"/>
        <w:autoSpaceDN w:val="0"/>
        <w:adjustRightInd w:val="0"/>
        <w:spacing w:after="0" w:line="240" w:lineRule="auto"/>
        <w:jc w:val="center"/>
        <w:rPr>
          <w:rFonts w:ascii="Times New Roman" w:eastAsia="Times New Roman" w:hAnsi="Times New Roman" w:cs="Times New Roman"/>
          <w:kern w:val="0"/>
          <w:sz w:val="24"/>
          <w:szCs w:val="24"/>
          <w:u w:val="single"/>
          <w14:ligatures w14:val="none"/>
        </w:rPr>
      </w:pPr>
      <w:r w:rsidRPr="00BC32AF">
        <w:rPr>
          <w:rFonts w:ascii="Times New Roman" w:eastAsia="Times New Roman" w:hAnsi="Times New Roman" w:cs="Times New Roman"/>
          <w:kern w:val="0"/>
          <w:sz w:val="24"/>
          <w:szCs w:val="24"/>
          <w:u w:val="single"/>
          <w14:ligatures w14:val="none"/>
        </w:rPr>
        <w:t xml:space="preserve">OMB Control Number </w:t>
      </w:r>
      <w:r w:rsidR="007D55B6">
        <w:rPr>
          <w:rFonts w:ascii="Times New Roman" w:eastAsia="Times New Roman" w:hAnsi="Times New Roman" w:cs="Times New Roman"/>
          <w:kern w:val="0"/>
          <w:sz w:val="24"/>
          <w:szCs w:val="24"/>
          <w:u w:val="single"/>
          <w14:ligatures w14:val="none"/>
        </w:rPr>
        <w:t>1506-0081</w:t>
      </w:r>
    </w:p>
    <w:p w:rsidR="00BC32AF" w:rsidRPr="00BC32AF" w:rsidP="00BC32AF" w14:paraId="0BA44BF1" w14:textId="77777777">
      <w:pPr>
        <w:widowControl w:val="0"/>
        <w:autoSpaceDE w:val="0"/>
        <w:autoSpaceDN w:val="0"/>
        <w:adjustRightInd w:val="0"/>
        <w:spacing w:after="0" w:line="240" w:lineRule="auto"/>
        <w:jc w:val="center"/>
        <w:rPr>
          <w:rFonts w:ascii="Times New Roman" w:eastAsia="Times New Roman" w:hAnsi="Times New Roman" w:cs="Times New Roman"/>
          <w:kern w:val="0"/>
          <w:sz w:val="24"/>
          <w:szCs w:val="24"/>
          <w:u w:val="single"/>
          <w14:ligatures w14:val="none"/>
        </w:rPr>
      </w:pPr>
    </w:p>
    <w:p w:rsidR="00015054" w:rsidRPr="00BC32AF" w:rsidP="00A57480" w14:paraId="511C189D" w14:textId="1444F880">
      <w:pPr>
        <w:widowControl w:val="0"/>
        <w:autoSpaceDE w:val="0"/>
        <w:autoSpaceDN w:val="0"/>
        <w:adjustRightInd w:val="0"/>
        <w:spacing w:after="0" w:line="240" w:lineRule="auto"/>
        <w:jc w:val="center"/>
        <w:rPr>
          <w:rFonts w:ascii="Times New Roman" w:eastAsia="Times New Roman" w:hAnsi="Times New Roman" w:cs="Times New Roman"/>
          <w:kern w:val="0"/>
          <w:sz w:val="24"/>
          <w:szCs w:val="24"/>
          <w:u w:val="single"/>
          <w14:ligatures w14:val="none"/>
        </w:rPr>
      </w:pPr>
      <w:r w:rsidRPr="00015054">
        <w:rPr>
          <w:rFonts w:ascii="Times New Roman" w:eastAsia="Times New Roman" w:hAnsi="Times New Roman" w:cs="Times New Roman"/>
          <w:kern w:val="0"/>
          <w:sz w:val="24"/>
          <w:szCs w:val="24"/>
          <w:u w:val="single"/>
          <w14:ligatures w14:val="none"/>
        </w:rPr>
        <w:t>Anti-Money Laundering Program and Suspicious Activity Report Filing Requirements for Investment Advisers Necessitating Collection of Information</w:t>
      </w:r>
    </w:p>
    <w:p w:rsidR="00BC32AF" w:rsidRPr="00BC32AF" w:rsidP="00A7101B" w14:paraId="754FA11F" w14:textId="77777777">
      <w:pPr>
        <w:keepNext/>
        <w:spacing w:before="283"/>
      </w:pPr>
      <w:r w:rsidRPr="00BC32AF">
        <w:rPr>
          <w:rFonts w:ascii="Times New Roman" w:eastAsia="Times New Roman" w:hAnsi="Times New Roman" w:cs="Times New Roman"/>
          <w:kern w:val="0"/>
          <w:sz w:val="24"/>
          <w:szCs w:val="24"/>
          <w:u w:val="single"/>
          <w14:ligatures w14:val="none"/>
        </w:rPr>
        <w:t xml:space="preserve">1. </w:t>
      </w:r>
      <w:r w:rsidRPr="00A7101B">
        <w:rPr>
          <w:rFonts w:ascii="Times New Roman" w:hAnsi="Times New Roman"/>
          <w:sz w:val="24"/>
          <w:u w:val="single"/>
        </w:rPr>
        <w:t>Circumstances</w:t>
      </w:r>
      <w:r w:rsidRPr="00BC32AF">
        <w:rPr>
          <w:rFonts w:ascii="Times New Roman" w:eastAsia="Times New Roman" w:hAnsi="Times New Roman" w:cs="Times New Roman"/>
          <w:kern w:val="0"/>
          <w:sz w:val="24"/>
          <w:szCs w:val="24"/>
          <w:u w:val="single"/>
          <w14:ligatures w14:val="none"/>
        </w:rPr>
        <w:t xml:space="preserve"> necessitating collection of information.</w:t>
      </w:r>
      <w:r w:rsidRPr="00BC32AF">
        <w:t xml:space="preserve"> </w:t>
      </w:r>
    </w:p>
    <w:p w:rsidR="00481EC1" w:rsidRPr="00BC32AF" w:rsidP="00A7101B" w14:paraId="67468F32" w14:textId="27759C36">
      <w:pPr>
        <w:spacing w:after="120"/>
        <w:ind w:firstLine="720"/>
        <w:rPr>
          <w:rFonts w:ascii="Times New Roman" w:eastAsia="Times New Roman" w:hAnsi="Times New Roman" w:cs="Times New Roman"/>
          <w:bCs/>
          <w:kern w:val="0"/>
          <w:sz w:val="24"/>
          <w:szCs w:val="24"/>
          <w14:ligatures w14:val="none"/>
        </w:rPr>
      </w:pPr>
      <w:r w:rsidRPr="00BC32AF">
        <w:rPr>
          <w:rFonts w:ascii="Times New Roman" w:eastAsia="Times New Roman" w:hAnsi="Times New Roman" w:cs="Times New Roman"/>
          <w:bCs/>
          <w:kern w:val="0"/>
          <w:sz w:val="24"/>
          <w:szCs w:val="24"/>
          <w14:ligatures w14:val="none"/>
        </w:rPr>
        <w:t xml:space="preserve">The Financial Crimes Enforcement Network (FinCEN) is issuing this statement to support its request that the Office of Management and Budget (OMB) approve </w:t>
      </w:r>
      <w:r>
        <w:rPr>
          <w:rFonts w:ascii="Times New Roman" w:eastAsia="Times New Roman" w:hAnsi="Times New Roman" w:cs="Times New Roman"/>
          <w:bCs/>
          <w:kern w:val="0"/>
          <w:sz w:val="24"/>
          <w:szCs w:val="24"/>
          <w14:ligatures w14:val="none"/>
        </w:rPr>
        <w:t xml:space="preserve">the </w:t>
      </w:r>
      <w:r w:rsidRPr="00BC32AF">
        <w:rPr>
          <w:rFonts w:ascii="Times New Roman" w:eastAsia="Times New Roman" w:hAnsi="Times New Roman" w:cs="Times New Roman"/>
          <w:bCs/>
          <w:kern w:val="0"/>
          <w:sz w:val="24"/>
          <w:szCs w:val="24"/>
          <w14:ligatures w14:val="none"/>
        </w:rPr>
        <w:t>collection of information in a rulemaking</w:t>
      </w:r>
      <w:r>
        <w:rPr>
          <w:rFonts w:ascii="Times New Roman" w:eastAsia="Times New Roman" w:hAnsi="Times New Roman" w:cs="Times New Roman"/>
          <w:bCs/>
          <w:kern w:val="0"/>
          <w:sz w:val="24"/>
          <w:szCs w:val="24"/>
          <w14:ligatures w14:val="none"/>
        </w:rPr>
        <w:t xml:space="preserve"> </w:t>
      </w:r>
      <w:r w:rsidRPr="00BC32AF">
        <w:rPr>
          <w:rFonts w:ascii="Times New Roman" w:eastAsia="Times New Roman" w:hAnsi="Times New Roman" w:cs="Times New Roman"/>
          <w:bCs/>
          <w:kern w:val="0"/>
          <w:sz w:val="24"/>
          <w:szCs w:val="24"/>
          <w14:ligatures w14:val="none"/>
        </w:rPr>
        <w:t xml:space="preserve">in support of the Bank Secrecy Act (BSA). </w:t>
      </w:r>
      <w:r w:rsidR="000F052E">
        <w:rPr>
          <w:rFonts w:ascii="Times New Roman" w:eastAsia="Times New Roman" w:hAnsi="Times New Roman" w:cs="Times New Roman"/>
          <w:bCs/>
          <w:kern w:val="0"/>
          <w:sz w:val="24"/>
          <w:szCs w:val="24"/>
          <w14:ligatures w14:val="none"/>
        </w:rPr>
        <w:t xml:space="preserve"> </w:t>
      </w:r>
      <w:r>
        <w:rPr>
          <w:rFonts w:ascii="Times New Roman" w:eastAsia="Times New Roman" w:hAnsi="Times New Roman" w:cs="Times New Roman"/>
          <w:bCs/>
          <w:kern w:val="0"/>
          <w:sz w:val="24"/>
          <w:szCs w:val="24"/>
          <w14:ligatures w14:val="none"/>
        </w:rPr>
        <w:t>Through</w:t>
      </w:r>
      <w:r w:rsidRPr="00BC32AF">
        <w:rPr>
          <w:rFonts w:ascii="Times New Roman" w:eastAsia="Times New Roman" w:hAnsi="Times New Roman" w:cs="Times New Roman"/>
          <w:bCs/>
          <w:kern w:val="0"/>
          <w:sz w:val="24"/>
          <w:szCs w:val="24"/>
          <w14:ligatures w14:val="none"/>
        </w:rPr>
        <w:t xml:space="preserve"> this </w:t>
      </w:r>
      <w:r>
        <w:rPr>
          <w:rFonts w:ascii="Times New Roman" w:eastAsia="Times New Roman" w:hAnsi="Times New Roman" w:cs="Times New Roman"/>
          <w:bCs/>
          <w:kern w:val="0"/>
          <w:sz w:val="24"/>
          <w:szCs w:val="24"/>
          <w14:ligatures w14:val="none"/>
        </w:rPr>
        <w:t>rulemaking</w:t>
      </w:r>
      <w:r w:rsidRPr="00BC32AF">
        <w:rPr>
          <w:rFonts w:ascii="Times New Roman" w:eastAsia="Times New Roman" w:hAnsi="Times New Roman" w:cs="Times New Roman"/>
          <w:bCs/>
          <w:kern w:val="0"/>
          <w:sz w:val="24"/>
          <w:szCs w:val="24"/>
          <w14:ligatures w14:val="none"/>
        </w:rPr>
        <w:t xml:space="preserve">, FinCEN </w:t>
      </w:r>
      <w:r>
        <w:rPr>
          <w:rFonts w:ascii="Times New Roman" w:eastAsia="Times New Roman" w:hAnsi="Times New Roman" w:cs="Times New Roman"/>
          <w:bCs/>
          <w:kern w:val="0"/>
          <w:sz w:val="24"/>
          <w:szCs w:val="24"/>
          <w14:ligatures w14:val="none"/>
        </w:rPr>
        <w:t>will</w:t>
      </w:r>
      <w:r w:rsidRPr="00BC32AF">
        <w:rPr>
          <w:rFonts w:ascii="Times New Roman" w:eastAsia="Times New Roman" w:hAnsi="Times New Roman" w:cs="Times New Roman"/>
          <w:bCs/>
          <w:kern w:val="0"/>
          <w:sz w:val="24"/>
          <w:szCs w:val="24"/>
          <w14:ligatures w14:val="none"/>
        </w:rPr>
        <w:t xml:space="preserve"> require that</w:t>
      </w:r>
      <w:r w:rsidR="0084506D">
        <w:rPr>
          <w:rFonts w:ascii="Times New Roman" w:eastAsia="Times New Roman" w:hAnsi="Times New Roman" w:cs="Times New Roman"/>
          <w:bCs/>
          <w:kern w:val="0"/>
          <w:sz w:val="24"/>
          <w:szCs w:val="24"/>
          <w14:ligatures w14:val="none"/>
        </w:rPr>
        <w:t>, with certain exclusions,</w:t>
      </w:r>
      <w:r w:rsidRPr="00BC32AF">
        <w:rPr>
          <w:rFonts w:ascii="Times New Roman" w:eastAsia="Times New Roman" w:hAnsi="Times New Roman" w:cs="Times New Roman"/>
          <w:bCs/>
          <w:kern w:val="0"/>
          <w:sz w:val="24"/>
          <w:szCs w:val="24"/>
          <w14:ligatures w14:val="none"/>
        </w:rPr>
        <w:t xml:space="preserve"> SEC-registered investment advisers (RIAs) and exempt reporting advisers (ERAs) </w:t>
      </w:r>
      <w:r w:rsidRPr="003C7BAD">
        <w:rPr>
          <w:rFonts w:ascii="Times New Roman" w:eastAsia="Times New Roman" w:hAnsi="Times New Roman" w:cs="Times New Roman"/>
          <w:bCs/>
          <w:kern w:val="0"/>
          <w:sz w:val="24"/>
          <w:szCs w:val="24"/>
          <w14:ligatures w14:val="none"/>
        </w:rPr>
        <w:t xml:space="preserve">maintain anti-money laundering/countering the financing of terrorism (AML/CFT) programs, report suspicious activity, and comply with other recordkeeping and reporting requirements under the </w:t>
      </w:r>
      <w:r w:rsidRPr="00A7101B">
        <w:rPr>
          <w:rFonts w:ascii="Times New Roman" w:hAnsi="Times New Roman"/>
          <w:sz w:val="24"/>
        </w:rPr>
        <w:t>BSA</w:t>
      </w:r>
      <w:r w:rsidRPr="003C7BAD">
        <w:rPr>
          <w:rFonts w:ascii="Times New Roman" w:eastAsia="Times New Roman" w:hAnsi="Times New Roman" w:cs="Times New Roman"/>
          <w:bCs/>
          <w:kern w:val="0"/>
          <w:sz w:val="24"/>
          <w:szCs w:val="24"/>
          <w14:ligatures w14:val="none"/>
        </w:rPr>
        <w:t>.</w:t>
      </w:r>
    </w:p>
    <w:p w:rsidR="00481EC1" w:rsidP="00A7101B" w14:paraId="18F069E0" w14:textId="233D670A">
      <w:pPr>
        <w:spacing w:after="120"/>
        <w:ind w:firstLine="720"/>
        <w:rPr>
          <w:rFonts w:ascii="Times New Roman" w:hAnsi="Times New Roman"/>
          <w:sz w:val="24"/>
        </w:rPr>
      </w:pPr>
      <w:r>
        <w:rPr>
          <w:rFonts w:ascii="Times New Roman" w:hAnsi="Times New Roman"/>
          <w:bCs/>
          <w:sz w:val="24"/>
        </w:rPr>
        <w:t>The legislative framework generally referred to as the BSA consists of the Currency and Foreign Transactions Reporting Act of 1970, as amended by the Uniting and Strengthening America by Providing Appropriate Tools Required to Intercept and Obstruct Terrorism Act of 2001 (USA PATRIOT Act), Public Law 107-56 (October 26, 2001), and other legislation, including the Anti-Money Laundering Act (AML Act</w:t>
      </w:r>
      <w:r w:rsidRPr="00A621DD">
        <w:rPr>
          <w:rFonts w:ascii="Times New Roman" w:hAnsi="Times New Roman"/>
          <w:sz w:val="24"/>
        </w:rPr>
        <w:t>).</w:t>
      </w:r>
      <w:r>
        <w:rPr>
          <w:rFonts w:ascii="Times New Roman" w:eastAsia="Calibri" w:hAnsi="Times New Roman"/>
          <w:sz w:val="24"/>
          <w:vertAlign w:val="superscript"/>
        </w:rPr>
        <w:footnoteReference w:id="3"/>
      </w:r>
      <w:r>
        <w:rPr>
          <w:rFonts w:ascii="Times New Roman" w:hAnsi="Times New Roman"/>
          <w:sz w:val="24"/>
        </w:rPr>
        <w:t xml:space="preserve">  The BSA is codified </w:t>
      </w:r>
      <w:r w:rsidRPr="00A621DD">
        <w:rPr>
          <w:rFonts w:ascii="Times New Roman" w:hAnsi="Times New Roman"/>
          <w:sz w:val="24"/>
        </w:rPr>
        <w:t xml:space="preserve">at 12 U.S.C. </w:t>
      </w:r>
      <w:r w:rsidR="00CF4CC2">
        <w:rPr>
          <w:rFonts w:ascii="Times New Roman" w:hAnsi="Times New Roman" w:cs="Times New Roman"/>
          <w:sz w:val="24"/>
        </w:rPr>
        <w:t>§</w:t>
      </w:r>
      <w:r w:rsidR="0084506D">
        <w:rPr>
          <w:rFonts w:ascii="Times New Roman" w:hAnsi="Times New Roman"/>
          <w:sz w:val="24"/>
        </w:rPr>
        <w:t> </w:t>
      </w:r>
      <w:r w:rsidRPr="00A621DD">
        <w:rPr>
          <w:rFonts w:ascii="Times New Roman" w:hAnsi="Times New Roman"/>
          <w:sz w:val="24"/>
        </w:rPr>
        <w:t xml:space="preserve">1829b, 12 U.S.C. </w:t>
      </w:r>
      <w:r w:rsidR="00CF4CC2">
        <w:rPr>
          <w:rFonts w:ascii="Times New Roman" w:hAnsi="Times New Roman" w:cs="Times New Roman"/>
          <w:sz w:val="24"/>
        </w:rPr>
        <w:t>§</w:t>
      </w:r>
      <w:r w:rsidR="00CF4CC2">
        <w:rPr>
          <w:rFonts w:ascii="Times New Roman" w:hAnsi="Times New Roman"/>
          <w:sz w:val="24"/>
        </w:rPr>
        <w:t xml:space="preserve"> </w:t>
      </w:r>
      <w:r w:rsidRPr="00A621DD">
        <w:rPr>
          <w:rFonts w:ascii="Times New Roman" w:hAnsi="Times New Roman"/>
          <w:sz w:val="24"/>
        </w:rPr>
        <w:t xml:space="preserve">1951–1960, and 31 U.S.C. </w:t>
      </w:r>
      <w:r w:rsidR="00F60985">
        <w:rPr>
          <w:rFonts w:ascii="Times New Roman" w:hAnsi="Times New Roman" w:cs="Times New Roman"/>
          <w:sz w:val="24"/>
        </w:rPr>
        <w:t>§§</w:t>
      </w:r>
      <w:r w:rsidR="00F60985">
        <w:rPr>
          <w:rFonts w:ascii="Times New Roman" w:hAnsi="Times New Roman"/>
          <w:sz w:val="24"/>
        </w:rPr>
        <w:t xml:space="preserve"> </w:t>
      </w:r>
      <w:r w:rsidRPr="00A621DD">
        <w:rPr>
          <w:rFonts w:ascii="Times New Roman" w:hAnsi="Times New Roman"/>
          <w:sz w:val="24"/>
        </w:rPr>
        <w:t xml:space="preserve">5311–5314 and 5316–5336, </w:t>
      </w:r>
      <w:r>
        <w:rPr>
          <w:rFonts w:ascii="Times New Roman" w:hAnsi="Times New Roman"/>
          <w:sz w:val="24"/>
        </w:rPr>
        <w:t xml:space="preserve">and </w:t>
      </w:r>
      <w:r w:rsidRPr="00A621DD">
        <w:rPr>
          <w:rFonts w:ascii="Times New Roman" w:hAnsi="Times New Roman"/>
          <w:sz w:val="24"/>
        </w:rPr>
        <w:t>includ</w:t>
      </w:r>
      <w:r>
        <w:rPr>
          <w:rFonts w:ascii="Times New Roman" w:hAnsi="Times New Roman"/>
          <w:sz w:val="24"/>
        </w:rPr>
        <w:t>es</w:t>
      </w:r>
      <w:r w:rsidRPr="00A621DD">
        <w:rPr>
          <w:rFonts w:ascii="Times New Roman" w:hAnsi="Times New Roman"/>
          <w:sz w:val="24"/>
        </w:rPr>
        <w:t xml:space="preserve"> notes thereto, with implementing regulations at 31 CFR Chapter X.</w:t>
      </w:r>
      <w:r>
        <w:rPr>
          <w:rFonts w:ascii="Times New Roman" w:hAnsi="Times New Roman"/>
          <w:sz w:val="24"/>
        </w:rPr>
        <w:t xml:space="preserve">  The Secretary of the Treasury (Secretary)</w:t>
      </w:r>
      <w:r w:rsidRPr="00A621DD">
        <w:rPr>
          <w:rFonts w:ascii="Times New Roman" w:hAnsi="Times New Roman"/>
          <w:sz w:val="24"/>
        </w:rPr>
        <w:t xml:space="preserve"> </w:t>
      </w:r>
      <w:r>
        <w:rPr>
          <w:rFonts w:ascii="Times New Roman" w:hAnsi="Times New Roman"/>
          <w:sz w:val="24"/>
        </w:rPr>
        <w:t>is authorized to administer the BSA and to require financial institutions to keep records and file reports that “are highly useful in criminal, tax, or regulatory investigations or proceedings” or in the conduct of “intelligence or counterintelligence activities, including analysis, to protect against international terrorism.</w:t>
      </w:r>
      <w:r w:rsidRPr="00DA45F2">
        <w:rPr>
          <w:rFonts w:ascii="Times New Roman" w:hAnsi="Times New Roman"/>
          <w:sz w:val="24"/>
        </w:rPr>
        <w:t>”</w:t>
      </w:r>
      <w:r>
        <w:rPr>
          <w:rFonts w:ascii="Times New Roman" w:hAnsi="Times New Roman"/>
          <w:sz w:val="24"/>
          <w:vertAlign w:val="superscript"/>
        </w:rPr>
        <w:footnoteReference w:id="4"/>
      </w:r>
      <w:r>
        <w:rPr>
          <w:rFonts w:ascii="Times New Roman" w:hAnsi="Times New Roman"/>
          <w:sz w:val="24"/>
        </w:rPr>
        <w:t xml:space="preserve">  The Secretary delegated the authority to implement, administer, and enforce compliance with the BSA and its implementing regulations to the Director of FinCEN</w:t>
      </w:r>
      <w:r w:rsidRPr="00DA45F2">
        <w:rPr>
          <w:rFonts w:ascii="Times New Roman" w:hAnsi="Times New Roman"/>
          <w:sz w:val="24"/>
        </w:rPr>
        <w:t>.</w:t>
      </w:r>
      <w:r>
        <w:rPr>
          <w:rFonts w:ascii="Times New Roman" w:hAnsi="Times New Roman"/>
          <w:sz w:val="24"/>
          <w:vertAlign w:val="superscript"/>
        </w:rPr>
        <w:footnoteReference w:id="5"/>
      </w:r>
      <w:r>
        <w:rPr>
          <w:rFonts w:ascii="Times New Roman" w:hAnsi="Times New Roman"/>
          <w:sz w:val="24"/>
        </w:rPr>
        <w:t xml:space="preserve">  </w:t>
      </w:r>
    </w:p>
    <w:p w:rsidR="00481EC1" w:rsidP="00A7101B" w14:paraId="5A1A81C0" w14:textId="151F0E9A">
      <w:pPr>
        <w:spacing w:after="120"/>
        <w:ind w:firstLine="720"/>
        <w:rPr>
          <w:rFonts w:ascii="Times New Roman" w:hAnsi="Times New Roman"/>
          <w:sz w:val="24"/>
        </w:rPr>
      </w:pPr>
      <w:r w:rsidRPr="00D751F0">
        <w:rPr>
          <w:rFonts w:ascii="Times New Roman" w:hAnsi="Times New Roman"/>
          <w:sz w:val="24"/>
        </w:rPr>
        <w:t xml:space="preserve">The U.S. Department of the Treasury (Treasury) </w:t>
      </w:r>
      <w:r>
        <w:rPr>
          <w:rFonts w:ascii="Times New Roman" w:hAnsi="Times New Roman"/>
          <w:sz w:val="24"/>
        </w:rPr>
        <w:t xml:space="preserve">has identified material illicit finance risks involving </w:t>
      </w:r>
      <w:r w:rsidRPr="00DD7829">
        <w:rPr>
          <w:rFonts w:ascii="Times New Roman" w:hAnsi="Times New Roman"/>
          <w:sz w:val="24"/>
        </w:rPr>
        <w:t>investment advisers</w:t>
      </w:r>
      <w:r>
        <w:rPr>
          <w:rFonts w:ascii="Times New Roman" w:hAnsi="Times New Roman"/>
          <w:sz w:val="24"/>
        </w:rPr>
        <w:t>.</w:t>
      </w:r>
      <w:r w:rsidRPr="00DD7829">
        <w:rPr>
          <w:rFonts w:ascii="Times New Roman" w:hAnsi="Times New Roman"/>
          <w:sz w:val="24"/>
        </w:rPr>
        <w:t xml:space="preserve"> </w:t>
      </w:r>
      <w:r w:rsidR="000F052E">
        <w:rPr>
          <w:rFonts w:ascii="Times New Roman" w:hAnsi="Times New Roman"/>
          <w:sz w:val="24"/>
        </w:rPr>
        <w:t xml:space="preserve"> </w:t>
      </w:r>
      <w:r w:rsidRPr="00DD7829">
        <w:rPr>
          <w:rFonts w:ascii="Times New Roman" w:hAnsi="Times New Roman"/>
          <w:sz w:val="24"/>
        </w:rPr>
        <w:t xml:space="preserve">Investment advisers, as gatekeepers to the U.S. financial system, have been used as an entry point by criminal actors to invest in U.S. assets, and by foreign adversaries to access sensitive information and technology from early-stage companies.  Currently, thousands of investment advisers overseeing tens of trillions of dollars are generally not subject to comprehensive AML/CFT requirements.  While investment advisers </w:t>
      </w:r>
      <w:r>
        <w:rPr>
          <w:rFonts w:ascii="Times New Roman" w:hAnsi="Times New Roman"/>
          <w:sz w:val="24"/>
        </w:rPr>
        <w:t xml:space="preserve">transact through banks and broker-dealers, which have their own AML/CFT obligations, those entities may have only partial information about the </w:t>
      </w:r>
      <w:r w:rsidR="00ED0369">
        <w:rPr>
          <w:rFonts w:ascii="Times New Roman" w:hAnsi="Times New Roman"/>
          <w:sz w:val="24"/>
        </w:rPr>
        <w:t xml:space="preserve">activities of the </w:t>
      </w:r>
      <w:r>
        <w:rPr>
          <w:rFonts w:ascii="Times New Roman" w:hAnsi="Times New Roman"/>
          <w:sz w:val="24"/>
        </w:rPr>
        <w:t>advisers or the</w:t>
      </w:r>
      <w:r w:rsidR="00ED0369">
        <w:rPr>
          <w:rFonts w:ascii="Times New Roman" w:hAnsi="Times New Roman"/>
          <w:sz w:val="24"/>
        </w:rPr>
        <w:t xml:space="preserve"> advisers’</w:t>
      </w:r>
      <w:r>
        <w:rPr>
          <w:rFonts w:ascii="Times New Roman" w:hAnsi="Times New Roman"/>
          <w:sz w:val="24"/>
        </w:rPr>
        <w:t xml:space="preserve"> underlying clients</w:t>
      </w:r>
      <w:r w:rsidRPr="00DD7829">
        <w:rPr>
          <w:rFonts w:ascii="Times New Roman" w:hAnsi="Times New Roman"/>
          <w:sz w:val="24"/>
        </w:rPr>
        <w:t xml:space="preserve">.  </w:t>
      </w:r>
    </w:p>
    <w:p w:rsidR="00481EC1" w:rsidP="00A7101B" w14:paraId="45F0989D" w14:textId="0369963B">
      <w:pPr>
        <w:spacing w:after="120"/>
        <w:ind w:firstLine="720"/>
        <w:rPr>
          <w:rFonts w:ascii="Times New Roman" w:hAnsi="Times New Roman"/>
          <w:sz w:val="24"/>
        </w:rPr>
      </w:pPr>
      <w:r w:rsidRPr="00DD7829">
        <w:rPr>
          <w:rFonts w:ascii="Times New Roman" w:hAnsi="Times New Roman"/>
          <w:sz w:val="24"/>
        </w:rPr>
        <w:t xml:space="preserve">As a result, the rule </w:t>
      </w:r>
      <w:r>
        <w:rPr>
          <w:rFonts w:ascii="Times New Roman" w:hAnsi="Times New Roman"/>
          <w:sz w:val="24"/>
        </w:rPr>
        <w:t>will</w:t>
      </w:r>
      <w:r w:rsidRPr="00DD7829">
        <w:rPr>
          <w:rFonts w:ascii="Times New Roman" w:hAnsi="Times New Roman"/>
          <w:sz w:val="24"/>
        </w:rPr>
        <w:t xml:space="preserve"> require certain investment advis</w:t>
      </w:r>
      <w:r w:rsidRPr="1AB2B056">
        <w:rPr>
          <w:rFonts w:ascii="Times New Roman" w:hAnsi="Times New Roman"/>
          <w:sz w:val="24"/>
        </w:rPr>
        <w:t>e</w:t>
      </w:r>
      <w:r w:rsidRPr="00266455">
        <w:rPr>
          <w:rFonts w:ascii="Times New Roman" w:hAnsi="Times New Roman"/>
          <w:sz w:val="24"/>
        </w:rPr>
        <w:t xml:space="preserve">rs </w:t>
      </w:r>
      <w:r w:rsidRPr="00266455" w:rsidR="00A36CF5">
        <w:rPr>
          <w:rFonts w:ascii="Times New Roman" w:hAnsi="Times New Roman"/>
          <w:sz w:val="24"/>
        </w:rPr>
        <w:t>reg</w:t>
      </w:r>
      <w:r w:rsidR="00A36CF5">
        <w:rPr>
          <w:rFonts w:ascii="Times New Roman" w:hAnsi="Times New Roman"/>
          <w:sz w:val="24"/>
        </w:rPr>
        <w:t>ulat</w:t>
      </w:r>
      <w:r w:rsidRPr="00266455" w:rsidR="00A36CF5">
        <w:rPr>
          <w:rFonts w:ascii="Times New Roman" w:hAnsi="Times New Roman"/>
          <w:sz w:val="24"/>
        </w:rPr>
        <w:t xml:space="preserve">ed </w:t>
      </w:r>
      <w:r w:rsidR="00A36CF5">
        <w:rPr>
          <w:rFonts w:ascii="Times New Roman" w:hAnsi="Times New Roman"/>
          <w:sz w:val="24"/>
        </w:rPr>
        <w:t>by</w:t>
      </w:r>
      <w:r w:rsidRPr="00266455" w:rsidR="00A36CF5">
        <w:rPr>
          <w:rFonts w:ascii="Times New Roman" w:hAnsi="Times New Roman"/>
          <w:sz w:val="24"/>
        </w:rPr>
        <w:t xml:space="preserve"> </w:t>
      </w:r>
      <w:r w:rsidRPr="00266455">
        <w:rPr>
          <w:rFonts w:ascii="Times New Roman" w:hAnsi="Times New Roman"/>
          <w:sz w:val="24"/>
        </w:rPr>
        <w:t>the Securities and Exchange Commission (SEC), specifically registered investment advisers (RIAs)</w:t>
      </w:r>
      <w:r w:rsidR="00A36CF5">
        <w:rPr>
          <w:rFonts w:ascii="Times New Roman" w:hAnsi="Times New Roman"/>
          <w:sz w:val="24"/>
        </w:rPr>
        <w:t>, subject to certain exclusions,</w:t>
      </w:r>
      <w:r w:rsidRPr="00266455">
        <w:rPr>
          <w:rFonts w:ascii="Times New Roman" w:hAnsi="Times New Roman"/>
          <w:sz w:val="24"/>
        </w:rPr>
        <w:t xml:space="preserve"> and exempt reporting advisers (ERAs), to</w:t>
      </w:r>
      <w:r w:rsidRPr="1AB2B056">
        <w:rPr>
          <w:rFonts w:ascii="Times New Roman" w:hAnsi="Times New Roman"/>
          <w:sz w:val="24"/>
        </w:rPr>
        <w:t xml:space="preserve"> establish and maintain risk-based programs, keep certain records, and file certain reports pursuant to the BSA and implementing regulations administered by FinCEN.</w:t>
      </w:r>
      <w:r w:rsidRPr="00266455">
        <w:rPr>
          <w:rFonts w:ascii="Times New Roman" w:hAnsi="Times New Roman"/>
          <w:sz w:val="24"/>
        </w:rPr>
        <w:t xml:space="preserve"> </w:t>
      </w:r>
      <w:r w:rsidRPr="1AB2B056">
        <w:rPr>
          <w:rFonts w:ascii="Times New Roman" w:hAnsi="Times New Roman"/>
          <w:sz w:val="24"/>
        </w:rPr>
        <w:t xml:space="preserve"> </w:t>
      </w:r>
    </w:p>
    <w:p w:rsidR="00481EC1" w:rsidP="00A7101B" w14:paraId="3A1B8E29" w14:textId="315FD617">
      <w:pPr>
        <w:spacing w:after="120"/>
        <w:ind w:firstLine="720"/>
        <w:rPr>
          <w:rFonts w:ascii="Times New Roman" w:hAnsi="Times New Roman"/>
          <w:sz w:val="24"/>
        </w:rPr>
      </w:pPr>
      <w:r>
        <w:rPr>
          <w:rFonts w:ascii="Times New Roman" w:hAnsi="Times New Roman"/>
          <w:sz w:val="24"/>
        </w:rPr>
        <w:t>T</w:t>
      </w:r>
      <w:r>
        <w:rPr>
          <w:rFonts w:ascii="Times New Roman" w:hAnsi="Times New Roman"/>
          <w:sz w:val="24"/>
        </w:rPr>
        <w:t xml:space="preserve">he </w:t>
      </w:r>
      <w:r w:rsidR="001D151E">
        <w:rPr>
          <w:rFonts w:ascii="Times New Roman" w:hAnsi="Times New Roman"/>
          <w:sz w:val="24"/>
        </w:rPr>
        <w:t xml:space="preserve">final </w:t>
      </w:r>
      <w:r>
        <w:rPr>
          <w:rFonts w:ascii="Times New Roman" w:hAnsi="Times New Roman"/>
          <w:sz w:val="24"/>
        </w:rPr>
        <w:t>rule will use a narrower</w:t>
      </w:r>
      <w:r w:rsidRPr="00FC5FF0">
        <w:rPr>
          <w:rFonts w:ascii="Times New Roman" w:hAnsi="Times New Roman"/>
          <w:sz w:val="24"/>
        </w:rPr>
        <w:t xml:space="preserve"> definition of “investment adviser” </w:t>
      </w:r>
      <w:r>
        <w:rPr>
          <w:rFonts w:ascii="Times New Roman" w:hAnsi="Times New Roman"/>
          <w:sz w:val="24"/>
        </w:rPr>
        <w:t>than set out in</w:t>
      </w:r>
      <w:r w:rsidRPr="00FC5FF0">
        <w:rPr>
          <w:rFonts w:ascii="Times New Roman" w:hAnsi="Times New Roman"/>
          <w:sz w:val="24"/>
        </w:rPr>
        <w:t xml:space="preserve"> the</w:t>
      </w:r>
      <w:r w:rsidR="00D03DCD">
        <w:rPr>
          <w:rFonts w:ascii="Times New Roman" w:hAnsi="Times New Roman"/>
          <w:sz w:val="24"/>
        </w:rPr>
        <w:t xml:space="preserve"> notice of proposed rulemaking</w:t>
      </w:r>
      <w:r w:rsidRPr="00FC5FF0">
        <w:rPr>
          <w:rFonts w:ascii="Times New Roman" w:hAnsi="Times New Roman"/>
          <w:sz w:val="24"/>
        </w:rPr>
        <w:t xml:space="preserve"> </w:t>
      </w:r>
      <w:r w:rsidR="00D03DCD">
        <w:rPr>
          <w:rFonts w:ascii="Times New Roman" w:hAnsi="Times New Roman"/>
          <w:sz w:val="24"/>
        </w:rPr>
        <w:t>(</w:t>
      </w:r>
      <w:r>
        <w:rPr>
          <w:rFonts w:ascii="Times New Roman" w:hAnsi="Times New Roman"/>
          <w:sz w:val="24"/>
        </w:rPr>
        <w:t>NPRM</w:t>
      </w:r>
      <w:r w:rsidR="00D03DCD">
        <w:rPr>
          <w:rFonts w:ascii="Times New Roman" w:hAnsi="Times New Roman"/>
          <w:sz w:val="24"/>
        </w:rPr>
        <w:t>)</w:t>
      </w:r>
      <w:r w:rsidRPr="00FC5FF0">
        <w:rPr>
          <w:rFonts w:ascii="Times New Roman" w:hAnsi="Times New Roman"/>
          <w:sz w:val="24"/>
        </w:rPr>
        <w:t xml:space="preserve"> to exclude RIAs that</w:t>
      </w:r>
      <w:r>
        <w:rPr>
          <w:rFonts w:ascii="Times New Roman" w:hAnsi="Times New Roman"/>
          <w:sz w:val="24"/>
        </w:rPr>
        <w:t xml:space="preserve"> </w:t>
      </w:r>
      <w:r w:rsidRPr="00FC5FF0">
        <w:rPr>
          <w:rFonts w:ascii="Times New Roman" w:hAnsi="Times New Roman"/>
          <w:sz w:val="24"/>
        </w:rPr>
        <w:t>register with the SEC solely because they are (i) mid-sized advisers, (ii) multi-state advisers, or</w:t>
      </w:r>
      <w:r>
        <w:rPr>
          <w:rFonts w:ascii="Times New Roman" w:hAnsi="Times New Roman"/>
          <w:sz w:val="24"/>
        </w:rPr>
        <w:t xml:space="preserve"> </w:t>
      </w:r>
      <w:r w:rsidRPr="00FC5FF0">
        <w:rPr>
          <w:rFonts w:ascii="Times New Roman" w:hAnsi="Times New Roman"/>
          <w:sz w:val="24"/>
        </w:rPr>
        <w:t>(iii) pension consultants, as well as (iv) RIAs that do not report any assets under management</w:t>
      </w:r>
      <w:r>
        <w:rPr>
          <w:rFonts w:ascii="Times New Roman" w:hAnsi="Times New Roman"/>
          <w:sz w:val="24"/>
        </w:rPr>
        <w:t xml:space="preserve"> </w:t>
      </w:r>
      <w:r w:rsidRPr="00FC5FF0">
        <w:rPr>
          <w:rFonts w:ascii="Times New Roman" w:hAnsi="Times New Roman"/>
          <w:sz w:val="24"/>
        </w:rPr>
        <w:t>(AUM) on Form ADV.</w:t>
      </w:r>
      <w:r w:rsidR="000F052E">
        <w:rPr>
          <w:rFonts w:ascii="Times New Roman" w:hAnsi="Times New Roman"/>
          <w:sz w:val="24"/>
        </w:rPr>
        <w:t xml:space="preserve"> </w:t>
      </w:r>
      <w:r w:rsidRPr="00FC5FF0">
        <w:rPr>
          <w:rFonts w:ascii="Times New Roman" w:hAnsi="Times New Roman"/>
          <w:sz w:val="24"/>
        </w:rPr>
        <w:t xml:space="preserve"> For investment advisers that have their principal office and place of</w:t>
      </w:r>
      <w:r>
        <w:rPr>
          <w:rFonts w:ascii="Times New Roman" w:hAnsi="Times New Roman"/>
          <w:sz w:val="24"/>
        </w:rPr>
        <w:t xml:space="preserve"> </w:t>
      </w:r>
      <w:r w:rsidRPr="00FC5FF0">
        <w:rPr>
          <w:rFonts w:ascii="Times New Roman" w:hAnsi="Times New Roman"/>
          <w:sz w:val="24"/>
        </w:rPr>
        <w:t>business outside the United States, FinCEN is clarifying that the rule applies only to their</w:t>
      </w:r>
      <w:r>
        <w:rPr>
          <w:rFonts w:ascii="Times New Roman" w:hAnsi="Times New Roman"/>
          <w:sz w:val="24"/>
        </w:rPr>
        <w:t xml:space="preserve"> </w:t>
      </w:r>
      <w:r w:rsidRPr="00FC5FF0">
        <w:rPr>
          <w:rFonts w:ascii="Times New Roman" w:hAnsi="Times New Roman"/>
          <w:sz w:val="24"/>
        </w:rPr>
        <w:t xml:space="preserve">activities that (i) take place </w:t>
      </w:r>
      <w:r w:rsidRPr="00FB4585" w:rsidR="00847D21">
        <w:rPr>
          <w:rFonts w:ascii="Times New Roman" w:hAnsi="Times New Roman"/>
          <w:sz w:val="24"/>
        </w:rPr>
        <w:t>within the United States, including</w:t>
      </w:r>
      <w:r w:rsidR="00847D21">
        <w:rPr>
          <w:color w:val="000000"/>
          <w:sz w:val="27"/>
          <w:szCs w:val="27"/>
        </w:rPr>
        <w:t xml:space="preserve"> </w:t>
      </w:r>
      <w:r w:rsidRPr="00FC5FF0">
        <w:rPr>
          <w:rFonts w:ascii="Times New Roman" w:hAnsi="Times New Roman"/>
          <w:sz w:val="24"/>
        </w:rPr>
        <w:t>through involvement, directly or indirectly, of U.S. personnel of the</w:t>
      </w:r>
      <w:r>
        <w:rPr>
          <w:rFonts w:ascii="Times New Roman" w:hAnsi="Times New Roman"/>
          <w:sz w:val="24"/>
        </w:rPr>
        <w:t xml:space="preserve"> </w:t>
      </w:r>
      <w:r w:rsidRPr="00FC5FF0">
        <w:rPr>
          <w:rFonts w:ascii="Times New Roman" w:hAnsi="Times New Roman"/>
          <w:sz w:val="24"/>
        </w:rPr>
        <w:t>investment adviser, or (ii) provide services to or otherwise involve, directly or indirectly, a U.S.</w:t>
      </w:r>
      <w:r>
        <w:rPr>
          <w:rFonts w:ascii="Times New Roman" w:hAnsi="Times New Roman"/>
          <w:sz w:val="24"/>
        </w:rPr>
        <w:t xml:space="preserve"> </w:t>
      </w:r>
      <w:r w:rsidRPr="00FC5FF0">
        <w:rPr>
          <w:rFonts w:ascii="Times New Roman" w:hAnsi="Times New Roman"/>
          <w:sz w:val="24"/>
        </w:rPr>
        <w:t>person.</w:t>
      </w:r>
    </w:p>
    <w:p w:rsidR="00481EC1" w:rsidRPr="00AD5C95" w:rsidP="00A7101B" w14:paraId="4E298D8A" w14:textId="76CEEB07">
      <w:pPr>
        <w:spacing w:after="120"/>
        <w:ind w:firstLine="720"/>
        <w:rPr>
          <w:rFonts w:ascii="Times New Roman" w:hAnsi="Times New Roman"/>
          <w:sz w:val="24"/>
        </w:rPr>
      </w:pPr>
      <w:r w:rsidRPr="00266455">
        <w:rPr>
          <w:rFonts w:ascii="Times New Roman" w:hAnsi="Times New Roman"/>
          <w:sz w:val="24"/>
        </w:rPr>
        <w:t xml:space="preserve">The </w:t>
      </w:r>
      <w:r w:rsidR="001D151E">
        <w:rPr>
          <w:rFonts w:ascii="Times New Roman" w:hAnsi="Times New Roman"/>
          <w:sz w:val="24"/>
        </w:rPr>
        <w:t xml:space="preserve">final </w:t>
      </w:r>
      <w:r w:rsidRPr="00266455">
        <w:rPr>
          <w:rFonts w:ascii="Times New Roman" w:hAnsi="Times New Roman"/>
          <w:sz w:val="24"/>
        </w:rPr>
        <w:t xml:space="preserve">rule </w:t>
      </w:r>
      <w:r>
        <w:rPr>
          <w:rFonts w:ascii="Times New Roman" w:hAnsi="Times New Roman"/>
          <w:sz w:val="24"/>
        </w:rPr>
        <w:t>will</w:t>
      </w:r>
      <w:r w:rsidRPr="00266455">
        <w:rPr>
          <w:rFonts w:ascii="Times New Roman" w:hAnsi="Times New Roman"/>
          <w:sz w:val="24"/>
        </w:rPr>
        <w:t xml:space="preserve"> significantly improve efforts to protect the U.S. financial system from illicit finance risks associated with investment advisers</w:t>
      </w:r>
      <w:r w:rsidRPr="1AB2B056">
        <w:rPr>
          <w:rFonts w:ascii="Times New Roman" w:hAnsi="Times New Roman"/>
          <w:sz w:val="24"/>
        </w:rPr>
        <w:t xml:space="preserve"> and</w:t>
      </w:r>
      <w:r w:rsidRPr="00266455">
        <w:rPr>
          <w:rFonts w:ascii="Times New Roman" w:hAnsi="Times New Roman"/>
          <w:sz w:val="24"/>
        </w:rPr>
        <w:t xml:space="preserve"> provide highly useful information to law enforcement</w:t>
      </w:r>
      <w:r w:rsidRPr="1AB2B056">
        <w:rPr>
          <w:rFonts w:ascii="Times New Roman" w:hAnsi="Times New Roman"/>
          <w:sz w:val="24"/>
        </w:rPr>
        <w:t xml:space="preserve"> authorities</w:t>
      </w:r>
      <w:r w:rsidRPr="00266455">
        <w:rPr>
          <w:rFonts w:ascii="Times New Roman" w:hAnsi="Times New Roman"/>
          <w:sz w:val="24"/>
        </w:rPr>
        <w:t xml:space="preserve"> and national security agencies, and address a significant gap identified by the Financial Action Task Force (FATF) in its 2016 Mutual Evaluation of the United States.</w:t>
      </w:r>
      <w:r>
        <w:rPr>
          <w:rFonts w:ascii="Times New Roman" w:hAnsi="Times New Roman"/>
          <w:sz w:val="24"/>
        </w:rPr>
        <w:t xml:space="preserve">  </w:t>
      </w:r>
    </w:p>
    <w:p w:rsidR="000F1D15" w:rsidRPr="000F1D15" w:rsidP="00A7101B" w14:paraId="1BDC643B" w14:textId="35218238">
      <w:pPr>
        <w:keepNext/>
        <w:spacing w:before="283"/>
        <w:rPr>
          <w:rFonts w:ascii="Times New Roman" w:hAnsi="Times New Roman"/>
          <w:sz w:val="24"/>
        </w:rPr>
      </w:pPr>
      <w:r w:rsidRPr="00364152">
        <w:rPr>
          <w:rFonts w:ascii="Times New Roman" w:hAnsi="Times New Roman"/>
          <w:sz w:val="24"/>
        </w:rPr>
        <w:t xml:space="preserve"> </w:t>
      </w:r>
      <w:r>
        <w:rPr>
          <w:rFonts w:ascii="Times New Roman" w:hAnsi="Times New Roman"/>
          <w:sz w:val="24"/>
        </w:rPr>
        <w:t xml:space="preserve">2. </w:t>
      </w:r>
      <w:r w:rsidRPr="00F81301">
        <w:rPr>
          <w:rFonts w:ascii="Times New Roman" w:hAnsi="Times New Roman"/>
          <w:sz w:val="24"/>
          <w:u w:val="single"/>
        </w:rPr>
        <w:t xml:space="preserve">Method of </w:t>
      </w:r>
      <w:r>
        <w:rPr>
          <w:rFonts w:ascii="Times New Roman" w:hAnsi="Times New Roman"/>
          <w:sz w:val="24"/>
          <w:u w:val="single"/>
        </w:rPr>
        <w:t>c</w:t>
      </w:r>
      <w:r w:rsidRPr="00F81301">
        <w:rPr>
          <w:rFonts w:ascii="Times New Roman" w:hAnsi="Times New Roman"/>
          <w:sz w:val="24"/>
          <w:u w:val="single"/>
        </w:rPr>
        <w:t xml:space="preserve">ollection and </w:t>
      </w:r>
      <w:r>
        <w:rPr>
          <w:rFonts w:ascii="Times New Roman" w:hAnsi="Times New Roman"/>
          <w:sz w:val="24"/>
          <w:u w:val="single"/>
        </w:rPr>
        <w:t>u</w:t>
      </w:r>
      <w:r w:rsidRPr="00F81301">
        <w:rPr>
          <w:rFonts w:ascii="Times New Roman" w:hAnsi="Times New Roman"/>
          <w:sz w:val="24"/>
          <w:u w:val="single"/>
        </w:rPr>
        <w:t xml:space="preserve">se of </w:t>
      </w:r>
      <w:r>
        <w:rPr>
          <w:rFonts w:ascii="Times New Roman" w:hAnsi="Times New Roman"/>
          <w:sz w:val="24"/>
          <w:u w:val="single"/>
        </w:rPr>
        <w:t>d</w:t>
      </w:r>
      <w:r w:rsidRPr="00F81301">
        <w:rPr>
          <w:rFonts w:ascii="Times New Roman" w:hAnsi="Times New Roman"/>
          <w:sz w:val="24"/>
          <w:u w:val="single"/>
        </w:rPr>
        <w:t>ata.</w:t>
      </w:r>
    </w:p>
    <w:p w:rsidR="000F1D15" w:rsidRPr="00A7101B" w:rsidP="00A7101B" w14:paraId="58DCF58A" w14:textId="6B589497">
      <w:pPr>
        <w:spacing w:after="120"/>
        <w:ind w:firstLine="720"/>
        <w:rPr>
          <w:rFonts w:ascii="Times New Roman" w:hAnsi="Times New Roman"/>
          <w:sz w:val="24"/>
        </w:rPr>
      </w:pPr>
      <w:r w:rsidRPr="00A7101B">
        <w:rPr>
          <w:rFonts w:ascii="Times New Roman" w:hAnsi="Times New Roman"/>
          <w:sz w:val="24"/>
        </w:rPr>
        <w:t xml:space="preserve">The rule will require RIAs and ERAs to develop and implement AML/CFT programs, file </w:t>
      </w:r>
      <w:r w:rsidR="00ED0369">
        <w:rPr>
          <w:rFonts w:ascii="Times New Roman" w:hAnsi="Times New Roman"/>
          <w:sz w:val="24"/>
        </w:rPr>
        <w:t>suspicious activity reports (</w:t>
      </w:r>
      <w:r w:rsidRPr="00A7101B">
        <w:rPr>
          <w:rFonts w:ascii="Times New Roman" w:hAnsi="Times New Roman"/>
          <w:sz w:val="24"/>
        </w:rPr>
        <w:t>SARs</w:t>
      </w:r>
      <w:r w:rsidR="00ED0369">
        <w:rPr>
          <w:rFonts w:ascii="Times New Roman" w:hAnsi="Times New Roman"/>
          <w:sz w:val="24"/>
        </w:rPr>
        <w:t>)</w:t>
      </w:r>
      <w:r w:rsidRPr="00A7101B">
        <w:rPr>
          <w:rFonts w:ascii="Times New Roman" w:hAnsi="Times New Roman"/>
          <w:sz w:val="24"/>
        </w:rPr>
        <w:t xml:space="preserve"> and </w:t>
      </w:r>
      <w:r w:rsidR="00ED0369">
        <w:rPr>
          <w:rFonts w:ascii="Times New Roman" w:hAnsi="Times New Roman"/>
          <w:sz w:val="24"/>
        </w:rPr>
        <w:t>currency transaction reports (</w:t>
      </w:r>
      <w:r w:rsidRPr="00A7101B">
        <w:rPr>
          <w:rFonts w:ascii="Times New Roman" w:hAnsi="Times New Roman"/>
          <w:sz w:val="24"/>
        </w:rPr>
        <w:t>CTRs</w:t>
      </w:r>
      <w:r w:rsidR="00ED0369">
        <w:rPr>
          <w:rFonts w:ascii="Times New Roman" w:hAnsi="Times New Roman"/>
          <w:sz w:val="24"/>
        </w:rPr>
        <w:t>)</w:t>
      </w:r>
      <w:r w:rsidRPr="00A7101B">
        <w:rPr>
          <w:rFonts w:ascii="Times New Roman" w:hAnsi="Times New Roman"/>
          <w:sz w:val="24"/>
        </w:rPr>
        <w:t xml:space="preserve">, record originator and beneficiary information for transactions, respond to </w:t>
      </w:r>
      <w:r w:rsidR="00AF4E8A">
        <w:rPr>
          <w:rFonts w:ascii="Times New Roman" w:hAnsi="Times New Roman"/>
          <w:sz w:val="24"/>
        </w:rPr>
        <w:t>s</w:t>
      </w:r>
      <w:r w:rsidRPr="00A7101B">
        <w:rPr>
          <w:rFonts w:ascii="Times New Roman" w:hAnsi="Times New Roman"/>
          <w:sz w:val="24"/>
        </w:rPr>
        <w:t xml:space="preserve">ection 314(a) requests, and implement special due diligence measures for correspondent and private banking accounts.  </w:t>
      </w:r>
      <w:r w:rsidR="00EF1C7C">
        <w:rPr>
          <w:rFonts w:ascii="Times New Roman" w:hAnsi="Times New Roman"/>
          <w:sz w:val="24"/>
        </w:rPr>
        <w:t>RIAs and ERAs will be required to develop and implement written AML/CFT programs in the first year that the rule is applicable to them</w:t>
      </w:r>
      <w:r w:rsidR="00847D21">
        <w:rPr>
          <w:rFonts w:ascii="Times New Roman" w:hAnsi="Times New Roman"/>
          <w:sz w:val="24"/>
        </w:rPr>
        <w:t xml:space="preserve"> </w:t>
      </w:r>
      <w:r w:rsidRPr="00A7101B">
        <w:rPr>
          <w:rFonts w:ascii="Times New Roman" w:hAnsi="Times New Roman"/>
          <w:sz w:val="24"/>
        </w:rPr>
        <w:t>and update, store, and ma</w:t>
      </w:r>
      <w:r w:rsidR="00EF1C7C">
        <w:rPr>
          <w:rFonts w:ascii="Times New Roman" w:hAnsi="Times New Roman"/>
          <w:sz w:val="24"/>
        </w:rPr>
        <w:t>ke</w:t>
      </w:r>
      <w:r w:rsidRPr="00A7101B">
        <w:rPr>
          <w:rFonts w:ascii="Times New Roman" w:hAnsi="Times New Roman"/>
          <w:sz w:val="24"/>
        </w:rPr>
        <w:t xml:space="preserve"> available</w:t>
      </w:r>
      <w:r w:rsidR="00EF1C7C">
        <w:rPr>
          <w:rFonts w:ascii="Times New Roman" w:hAnsi="Times New Roman"/>
          <w:sz w:val="24"/>
        </w:rPr>
        <w:t xml:space="preserve"> the written programs</w:t>
      </w:r>
      <w:r w:rsidRPr="00A7101B">
        <w:rPr>
          <w:rFonts w:ascii="Times New Roman" w:hAnsi="Times New Roman"/>
          <w:sz w:val="24"/>
        </w:rPr>
        <w:t xml:space="preserve"> for inspection by FinCEN and the SEC.  This information will be collected in accordance with the Paperwork Reduction Act of 1995 (PRA), and its implementing regulations, 5 CFR part 1320. </w:t>
      </w:r>
    </w:p>
    <w:p w:rsidR="005229EF" w:rsidRPr="00ED0369" w:rsidP="00ED0369" w14:paraId="18029161" w14:textId="4405631A">
      <w:pPr>
        <w:spacing w:after="120"/>
        <w:ind w:firstLine="720"/>
        <w:rPr>
          <w:rFonts w:ascii="Times New Roman" w:hAnsi="Times New Roman"/>
          <w:sz w:val="24"/>
        </w:rPr>
      </w:pPr>
      <w:r w:rsidRPr="00A7101B">
        <w:rPr>
          <w:rFonts w:ascii="Times New Roman" w:hAnsi="Times New Roman"/>
          <w:sz w:val="24"/>
        </w:rPr>
        <w:t>FinCEN expects Federal, State, Local, and Tribal law enforcement agencies, as well as regulators with memorandums of understanding (MOUs) with FinCEN, will have access to the collected information, through the FinCEN portal, to monitor compliance</w:t>
      </w:r>
      <w:r w:rsidR="001D151E">
        <w:rPr>
          <w:rFonts w:ascii="Times New Roman" w:hAnsi="Times New Roman"/>
          <w:sz w:val="24"/>
        </w:rPr>
        <w:t xml:space="preserve"> with the BSA</w:t>
      </w:r>
      <w:r w:rsidRPr="00A7101B">
        <w:rPr>
          <w:rFonts w:ascii="Times New Roman" w:hAnsi="Times New Roman"/>
          <w:sz w:val="24"/>
        </w:rPr>
        <w:t>, develop leads, aid in investigations, and support prosecutions and asset recovery efforts around money laundering and associated crimes through investment advisers.</w:t>
      </w:r>
    </w:p>
    <w:p w:rsidR="005229EF" w:rsidRPr="00A7101B" w:rsidP="00A7101B" w14:paraId="359003D4" w14:textId="77777777">
      <w:pPr>
        <w:keepNext/>
        <w:spacing w:before="283"/>
        <w:rPr>
          <w:rFonts w:ascii="Times New Roman" w:hAnsi="Times New Roman"/>
          <w:sz w:val="24"/>
          <w:u w:val="single"/>
        </w:rPr>
      </w:pPr>
      <w:r w:rsidRPr="00DF1E76">
        <w:rPr>
          <w:rFonts w:ascii="Times New Roman" w:hAnsi="Times New Roman"/>
          <w:sz w:val="24"/>
        </w:rPr>
        <w:t xml:space="preserve">3. </w:t>
      </w:r>
      <w:r w:rsidRPr="00A7101B">
        <w:rPr>
          <w:rFonts w:ascii="Times New Roman" w:hAnsi="Times New Roman"/>
          <w:sz w:val="24"/>
          <w:u w:val="single"/>
        </w:rPr>
        <w:t>Use of improved information technology to reduce burden.</w:t>
      </w:r>
    </w:p>
    <w:p w:rsidR="005229EF" w:rsidP="00A7101B" w14:paraId="43CD62EC" w14:textId="3C605AF2">
      <w:pPr>
        <w:spacing w:after="120"/>
        <w:ind w:firstLine="720"/>
        <w:rPr>
          <w:rFonts w:ascii="Times New Roman" w:hAnsi="Times New Roman"/>
          <w:sz w:val="24"/>
        </w:rPr>
      </w:pPr>
      <w:r w:rsidRPr="00A7101B">
        <w:rPr>
          <w:rFonts w:ascii="Times New Roman" w:hAnsi="Times New Roman"/>
          <w:sz w:val="24"/>
        </w:rPr>
        <w:t xml:space="preserve">FinCEN expects that compliance with the requirements will necessitate the use of information technology systems to file the information requested by FinCEN.  Reports </w:t>
      </w:r>
      <w:r w:rsidRPr="00A7101B" w:rsidR="005E00E1">
        <w:rPr>
          <w:rFonts w:ascii="Times New Roman" w:hAnsi="Times New Roman"/>
          <w:sz w:val="24"/>
        </w:rPr>
        <w:t>will</w:t>
      </w:r>
      <w:r w:rsidRPr="00A7101B">
        <w:rPr>
          <w:rFonts w:ascii="Times New Roman" w:hAnsi="Times New Roman"/>
          <w:sz w:val="24"/>
        </w:rPr>
        <w:t xml:space="preserve"> be filed electronically through the BSA E-Filing System.  BSA E-Filing provides a fast, secure, convenient, and cost-effective method for submitting BSA reports.</w:t>
      </w:r>
    </w:p>
    <w:p w:rsidR="005229EF" w:rsidRPr="002E752F" w:rsidP="00DF1E76" w14:paraId="3958E2E2" w14:textId="77777777">
      <w:pPr>
        <w:keepNext/>
        <w:spacing w:before="283"/>
        <w:rPr>
          <w:rFonts w:ascii="Times New Roman" w:hAnsi="Times New Roman"/>
          <w:sz w:val="24"/>
          <w:u w:val="single"/>
        </w:rPr>
      </w:pPr>
      <w:r w:rsidRPr="009F39CE">
        <w:rPr>
          <w:rFonts w:ascii="Times New Roman" w:hAnsi="Times New Roman"/>
          <w:sz w:val="24"/>
        </w:rPr>
        <w:t xml:space="preserve">4. </w:t>
      </w:r>
      <w:r w:rsidRPr="009F39CE">
        <w:rPr>
          <w:rFonts w:ascii="Times New Roman" w:hAnsi="Times New Roman"/>
          <w:sz w:val="24"/>
          <w:u w:val="single"/>
        </w:rPr>
        <w:t xml:space="preserve">Efforts to </w:t>
      </w:r>
      <w:r>
        <w:rPr>
          <w:rFonts w:ascii="Times New Roman" w:hAnsi="Times New Roman"/>
          <w:sz w:val="24"/>
          <w:u w:val="single"/>
        </w:rPr>
        <w:t>i</w:t>
      </w:r>
      <w:r w:rsidRPr="009F39CE">
        <w:rPr>
          <w:rFonts w:ascii="Times New Roman" w:hAnsi="Times New Roman"/>
          <w:sz w:val="24"/>
          <w:u w:val="single"/>
        </w:rPr>
        <w:t xml:space="preserve">dentify </w:t>
      </w:r>
      <w:r>
        <w:rPr>
          <w:rFonts w:ascii="Times New Roman" w:hAnsi="Times New Roman"/>
          <w:sz w:val="24"/>
          <w:u w:val="single"/>
        </w:rPr>
        <w:t>d</w:t>
      </w:r>
      <w:r w:rsidRPr="009F39CE">
        <w:rPr>
          <w:rFonts w:ascii="Times New Roman" w:hAnsi="Times New Roman"/>
          <w:sz w:val="24"/>
          <w:u w:val="single"/>
        </w:rPr>
        <w:t>uplication.</w:t>
      </w:r>
    </w:p>
    <w:p w:rsidR="00481EC1" w:rsidP="00A7101B" w14:paraId="79467DFA" w14:textId="70462EA1">
      <w:pPr>
        <w:spacing w:after="120"/>
        <w:ind w:firstLine="720"/>
        <w:rPr>
          <w:rFonts w:ascii="Times New Roman" w:hAnsi="Times New Roman"/>
          <w:sz w:val="24"/>
        </w:rPr>
      </w:pPr>
      <w:r w:rsidRPr="002E752F">
        <w:rPr>
          <w:rFonts w:ascii="Times New Roman" w:hAnsi="Times New Roman"/>
          <w:sz w:val="24"/>
        </w:rPr>
        <w:t>There are no Federal rules that directly and fully duplicate, overlap, or conflict with th</w:t>
      </w:r>
      <w:r>
        <w:rPr>
          <w:rFonts w:ascii="Times New Roman" w:hAnsi="Times New Roman"/>
          <w:sz w:val="24"/>
        </w:rPr>
        <w:t xml:space="preserve">e </w:t>
      </w:r>
      <w:r w:rsidR="000F0862">
        <w:rPr>
          <w:rFonts w:ascii="Times New Roman" w:hAnsi="Times New Roman"/>
          <w:sz w:val="24"/>
        </w:rPr>
        <w:t xml:space="preserve">final </w:t>
      </w:r>
      <w:r w:rsidRPr="002E752F">
        <w:rPr>
          <w:rFonts w:ascii="Times New Roman" w:hAnsi="Times New Roman"/>
          <w:sz w:val="24"/>
        </w:rPr>
        <w:t xml:space="preserve">rule.  </w:t>
      </w:r>
    </w:p>
    <w:p w:rsidR="00481EC1" w:rsidP="00A7101B" w14:paraId="205BC7E6" w14:textId="77A38559">
      <w:pPr>
        <w:spacing w:after="120"/>
        <w:ind w:firstLine="720"/>
        <w:rPr>
          <w:rFonts w:ascii="Times New Roman" w:hAnsi="Times New Roman"/>
          <w:sz w:val="24"/>
        </w:rPr>
      </w:pPr>
      <w:r w:rsidRPr="002E752F">
        <w:rPr>
          <w:rFonts w:ascii="Times New Roman" w:hAnsi="Times New Roman"/>
          <w:sz w:val="24"/>
        </w:rPr>
        <w:t xml:space="preserve">While some investment advisers </w:t>
      </w:r>
      <w:r>
        <w:rPr>
          <w:rFonts w:ascii="Times New Roman" w:hAnsi="Times New Roman"/>
          <w:sz w:val="24"/>
        </w:rPr>
        <w:t xml:space="preserve">may </w:t>
      </w:r>
      <w:r w:rsidR="00D03DCD">
        <w:rPr>
          <w:rFonts w:ascii="Times New Roman" w:hAnsi="Times New Roman"/>
          <w:sz w:val="24"/>
        </w:rPr>
        <w:t xml:space="preserve">currently </w:t>
      </w:r>
      <w:r>
        <w:rPr>
          <w:rFonts w:ascii="Times New Roman" w:hAnsi="Times New Roman"/>
          <w:sz w:val="24"/>
        </w:rPr>
        <w:t xml:space="preserve">implement </w:t>
      </w:r>
      <w:r w:rsidRPr="002E752F">
        <w:rPr>
          <w:rFonts w:ascii="Times New Roman" w:hAnsi="Times New Roman"/>
          <w:sz w:val="24"/>
        </w:rPr>
        <w:t>AML/CFT requirements due to being dually registered as a broker-dealer or chartered as a bank (or a bank subsidiary),</w:t>
      </w:r>
      <w:r>
        <w:rPr>
          <w:rFonts w:ascii="Times New Roman" w:hAnsi="Times New Roman"/>
          <w:sz w:val="24"/>
        </w:rPr>
        <w:t xml:space="preserve"> or because they are affiliated with a bank or broker-dealer,</w:t>
      </w:r>
      <w:r w:rsidRPr="1AB2B056">
        <w:rPr>
          <w:rFonts w:ascii="Times New Roman" w:hAnsi="Times New Roman"/>
          <w:sz w:val="24"/>
        </w:rPr>
        <w:t xml:space="preserve"> </w:t>
      </w:r>
      <w:r w:rsidRPr="002E752F">
        <w:rPr>
          <w:rFonts w:ascii="Times New Roman" w:hAnsi="Times New Roman"/>
          <w:sz w:val="24"/>
        </w:rPr>
        <w:t xml:space="preserve">most of the investment adviser industry is not subject to any comprehensive AML/CFT requirements.  For those investment advisers that are already subject to AML/CFT </w:t>
      </w:r>
      <w:r w:rsidRPr="002E752F">
        <w:rPr>
          <w:rFonts w:ascii="Times New Roman" w:hAnsi="Times New Roman"/>
          <w:sz w:val="24"/>
        </w:rPr>
        <w:t>requirements</w:t>
      </w:r>
      <w:r w:rsidRPr="1AB2B056">
        <w:rPr>
          <w:rFonts w:ascii="Times New Roman" w:hAnsi="Times New Roman"/>
          <w:sz w:val="24"/>
        </w:rPr>
        <w:t xml:space="preserve">, </w:t>
      </w:r>
      <w:r w:rsidRPr="002E752F">
        <w:rPr>
          <w:rFonts w:ascii="Times New Roman" w:hAnsi="Times New Roman"/>
          <w:sz w:val="24"/>
        </w:rPr>
        <w:t>or</w:t>
      </w:r>
      <w:r w:rsidRPr="002E752F">
        <w:rPr>
          <w:rFonts w:ascii="Times New Roman" w:hAnsi="Times New Roman"/>
          <w:sz w:val="24"/>
        </w:rPr>
        <w:t xml:space="preserve"> are affiliates or subsidiaries of another entity which has extended its </w:t>
      </w:r>
      <w:r w:rsidRPr="1AB2B056">
        <w:rPr>
          <w:rFonts w:ascii="Times New Roman" w:hAnsi="Times New Roman"/>
          <w:sz w:val="24"/>
        </w:rPr>
        <w:t xml:space="preserve">AML/CFT </w:t>
      </w:r>
      <w:r w:rsidRPr="002E752F">
        <w:rPr>
          <w:rFonts w:ascii="Times New Roman" w:hAnsi="Times New Roman"/>
          <w:sz w:val="24"/>
        </w:rPr>
        <w:t>program to cover the investment adviser</w:t>
      </w:r>
      <w:r w:rsidRPr="1AB2B056">
        <w:rPr>
          <w:rFonts w:ascii="Times New Roman" w:hAnsi="Times New Roman"/>
          <w:sz w:val="24"/>
        </w:rPr>
        <w:t>s</w:t>
      </w:r>
      <w:r w:rsidRPr="002E752F">
        <w:rPr>
          <w:rFonts w:ascii="Times New Roman" w:hAnsi="Times New Roman"/>
          <w:sz w:val="24"/>
        </w:rPr>
        <w:t xml:space="preserve">, FinCEN </w:t>
      </w:r>
      <w:r w:rsidRPr="1AB2B056">
        <w:rPr>
          <w:rFonts w:ascii="Times New Roman" w:hAnsi="Times New Roman"/>
          <w:sz w:val="24"/>
        </w:rPr>
        <w:t>will not</w:t>
      </w:r>
      <w:r w:rsidRPr="002E752F">
        <w:rPr>
          <w:rFonts w:ascii="Times New Roman" w:hAnsi="Times New Roman"/>
          <w:sz w:val="24"/>
        </w:rPr>
        <w:t xml:space="preserve"> require such entities to establish multiple or separate AML/CFT programs so long as a comprehensive AML/CFT program covers all of the entity’s applicable legal and regulatory obligations. </w:t>
      </w:r>
    </w:p>
    <w:p w:rsidR="00481EC1" w:rsidP="00A7101B" w14:paraId="7C108191" w14:textId="398DCD75">
      <w:pPr>
        <w:spacing w:after="120"/>
        <w:ind w:firstLine="720"/>
        <w:rPr>
          <w:rFonts w:ascii="Times New Roman" w:hAnsi="Times New Roman"/>
          <w:sz w:val="24"/>
        </w:rPr>
      </w:pPr>
      <w:r>
        <w:rPr>
          <w:rFonts w:ascii="Times New Roman" w:hAnsi="Times New Roman"/>
          <w:sz w:val="24"/>
        </w:rPr>
        <w:t xml:space="preserve">Investment advisers do currently have reporting obligations for certain cash transactions. </w:t>
      </w:r>
      <w:r w:rsidR="000F052E">
        <w:rPr>
          <w:rFonts w:ascii="Times New Roman" w:hAnsi="Times New Roman"/>
          <w:sz w:val="24"/>
        </w:rPr>
        <w:t xml:space="preserve"> </w:t>
      </w:r>
      <w:r>
        <w:rPr>
          <w:rFonts w:ascii="Times New Roman" w:hAnsi="Times New Roman"/>
          <w:sz w:val="24"/>
        </w:rPr>
        <w:t>Investment advisers are required to</w:t>
      </w:r>
      <w:r w:rsidRPr="007759EC">
        <w:rPr>
          <w:rFonts w:ascii="Times New Roman" w:hAnsi="Times New Roman"/>
          <w:sz w:val="24"/>
        </w:rPr>
        <w:t xml:space="preserve"> file reports for the receipt of more than $10,000 in cash and negotiable instruments using the joint FinCEN/Internal Revenue Service Form 8300 (Form 8300).  </w:t>
      </w:r>
      <w:r>
        <w:rPr>
          <w:rFonts w:ascii="Times New Roman" w:hAnsi="Times New Roman"/>
          <w:sz w:val="24"/>
        </w:rPr>
        <w:t xml:space="preserve">The rule will remove that requirement. </w:t>
      </w:r>
      <w:r w:rsidR="000F052E">
        <w:rPr>
          <w:rFonts w:ascii="Times New Roman" w:hAnsi="Times New Roman"/>
          <w:sz w:val="24"/>
        </w:rPr>
        <w:t xml:space="preserve"> </w:t>
      </w:r>
      <w:r>
        <w:rPr>
          <w:rFonts w:ascii="Times New Roman" w:hAnsi="Times New Roman"/>
          <w:sz w:val="24"/>
        </w:rPr>
        <w:t>Instead, investment advisers will be required to file a</w:t>
      </w:r>
      <w:r w:rsidRPr="007759EC">
        <w:rPr>
          <w:rFonts w:ascii="Times New Roman" w:hAnsi="Times New Roman"/>
          <w:sz w:val="24"/>
        </w:rPr>
        <w:t xml:space="preserve"> CTR for a transaction involving a transfer of more than $10,000 in currency by, </w:t>
      </w:r>
      <w:r w:rsidRPr="007759EC">
        <w:rPr>
          <w:rFonts w:ascii="Times New Roman" w:hAnsi="Times New Roman"/>
          <w:sz w:val="24"/>
        </w:rPr>
        <w:t>through</w:t>
      </w:r>
      <w:r w:rsidRPr="007759EC">
        <w:rPr>
          <w:rFonts w:ascii="Times New Roman" w:hAnsi="Times New Roman"/>
          <w:sz w:val="24"/>
        </w:rPr>
        <w:t>, or to the investment adviser, unless subject to an applicable exemption.</w:t>
      </w:r>
    </w:p>
    <w:p w:rsidR="00481EC1" w:rsidP="00A7101B" w14:paraId="20478EAA" w14:textId="27BF59EE">
      <w:pPr>
        <w:spacing w:after="120"/>
        <w:ind w:firstLine="720"/>
        <w:rPr>
          <w:rFonts w:ascii="Times New Roman" w:hAnsi="Times New Roman"/>
          <w:sz w:val="24"/>
        </w:rPr>
      </w:pPr>
      <w:r w:rsidRPr="007759EC">
        <w:rPr>
          <w:rFonts w:ascii="Times New Roman" w:hAnsi="Times New Roman"/>
          <w:sz w:val="24"/>
        </w:rPr>
        <w:t>FinCEN is aware that requirements within the Advisers Act and other federal securities laws at times impose</w:t>
      </w:r>
      <w:r>
        <w:rPr>
          <w:rFonts w:ascii="Times New Roman" w:hAnsi="Times New Roman"/>
          <w:sz w:val="24"/>
        </w:rPr>
        <w:t xml:space="preserve"> reporting and recordkeeping</w:t>
      </w:r>
      <w:r w:rsidRPr="007759EC">
        <w:rPr>
          <w:rFonts w:ascii="Times New Roman" w:hAnsi="Times New Roman"/>
          <w:sz w:val="24"/>
        </w:rPr>
        <w:t xml:space="preserve"> requirements upon investment advisers.  However, while these existing requirements may provide a supporting framework for implementing certain obligations in the rule, they do not impose the specific AML/CFT measures in the rule</w:t>
      </w:r>
      <w:r w:rsidRPr="1AB2B056">
        <w:rPr>
          <w:rFonts w:ascii="Times New Roman" w:hAnsi="Times New Roman"/>
          <w:sz w:val="24"/>
        </w:rPr>
        <w:t xml:space="preserve"> in support of the BSA’s statutory purposes</w:t>
      </w:r>
      <w:r w:rsidRPr="007759EC">
        <w:rPr>
          <w:rFonts w:ascii="Times New Roman" w:hAnsi="Times New Roman"/>
          <w:sz w:val="24"/>
        </w:rPr>
        <w:t xml:space="preserve">.  For example, investment advisers are not currently required to develop </w:t>
      </w:r>
      <w:r w:rsidR="00604D26">
        <w:rPr>
          <w:rFonts w:ascii="Times New Roman" w:hAnsi="Times New Roman"/>
          <w:sz w:val="24"/>
        </w:rPr>
        <w:t xml:space="preserve">internal </w:t>
      </w:r>
      <w:r w:rsidRPr="007759EC">
        <w:rPr>
          <w:rFonts w:ascii="Times New Roman" w:hAnsi="Times New Roman"/>
          <w:sz w:val="24"/>
        </w:rPr>
        <w:t>policies, procedures, and controls to identify and mitigate the risk that the adviser might be used for money laundering, terrorist financing, or other illicit finance purposes.  Nor are they required to appoint an officer</w:t>
      </w:r>
      <w:r w:rsidR="00ED2562">
        <w:rPr>
          <w:rFonts w:ascii="Times New Roman" w:hAnsi="Times New Roman"/>
          <w:sz w:val="24"/>
        </w:rPr>
        <w:t xml:space="preserve"> responsible for implementing and monitoring the operations and internal controls of their AML/CFT compliance programs</w:t>
      </w:r>
      <w:r w:rsidRPr="007759EC">
        <w:rPr>
          <w:rFonts w:ascii="Times New Roman" w:hAnsi="Times New Roman"/>
          <w:sz w:val="24"/>
        </w:rPr>
        <w:t xml:space="preserve">, train their employees to comply with AML/CFT requirements, report suspicious activity, maintain certain transaction records, or respond to </w:t>
      </w:r>
      <w:r w:rsidR="00AF4E8A">
        <w:rPr>
          <w:rFonts w:ascii="Times New Roman" w:hAnsi="Times New Roman"/>
          <w:sz w:val="24"/>
        </w:rPr>
        <w:t>s</w:t>
      </w:r>
      <w:r w:rsidRPr="007759EC">
        <w:rPr>
          <w:rFonts w:ascii="Times New Roman" w:hAnsi="Times New Roman"/>
          <w:sz w:val="24"/>
        </w:rPr>
        <w:t>ection 314(a) requests for information on customer accounts or transactions.</w:t>
      </w:r>
      <w:r>
        <w:rPr>
          <w:rFonts w:ascii="Times New Roman" w:hAnsi="Times New Roman"/>
          <w:sz w:val="24"/>
        </w:rPr>
        <w:t xml:space="preserve"> </w:t>
      </w:r>
      <w:r w:rsidR="000F052E">
        <w:rPr>
          <w:rFonts w:ascii="Times New Roman" w:hAnsi="Times New Roman"/>
          <w:sz w:val="24"/>
        </w:rPr>
        <w:t xml:space="preserve"> </w:t>
      </w:r>
      <w:r w:rsidR="00103423">
        <w:rPr>
          <w:rFonts w:ascii="Times New Roman" w:hAnsi="Times New Roman"/>
          <w:sz w:val="24"/>
        </w:rPr>
        <w:t>Unlike existing requirements under the Advisers Act, this</w:t>
      </w:r>
      <w:r w:rsidRPr="007759EC">
        <w:rPr>
          <w:rFonts w:ascii="Times New Roman" w:hAnsi="Times New Roman"/>
          <w:sz w:val="24"/>
        </w:rPr>
        <w:t xml:space="preserve"> rule</w:t>
      </w:r>
      <w:r w:rsidRPr="1AB2B056">
        <w:rPr>
          <w:rFonts w:ascii="Times New Roman" w:hAnsi="Times New Roman"/>
          <w:sz w:val="24"/>
        </w:rPr>
        <w:t xml:space="preserve"> </w:t>
      </w:r>
      <w:r w:rsidRPr="007759EC">
        <w:rPr>
          <w:rFonts w:ascii="Times New Roman" w:hAnsi="Times New Roman"/>
          <w:sz w:val="24"/>
        </w:rPr>
        <w:t>is designed to prevent illicit actors from using the investment adviser industry to launder the proceeds of crime or finance terrorism.</w:t>
      </w:r>
    </w:p>
    <w:p w:rsidR="005229EF" w:rsidP="00A7101B" w14:paraId="2879BA1A" w14:textId="77777777">
      <w:pPr>
        <w:keepNext/>
        <w:spacing w:before="283"/>
      </w:pPr>
      <w:r w:rsidRPr="006F6BAC">
        <w:rPr>
          <w:rFonts w:ascii="Times New Roman" w:hAnsi="Times New Roman"/>
          <w:sz w:val="24"/>
        </w:rPr>
        <w:t>5</w:t>
      </w:r>
      <w:r w:rsidRPr="00EA181A">
        <w:rPr>
          <w:rFonts w:ascii="Times New Roman" w:hAnsi="Times New Roman"/>
          <w:sz w:val="24"/>
        </w:rPr>
        <w:t xml:space="preserve">. </w:t>
      </w:r>
      <w:r w:rsidRPr="00EA181A">
        <w:rPr>
          <w:rFonts w:ascii="Times New Roman" w:hAnsi="Times New Roman"/>
          <w:sz w:val="24"/>
          <w:u w:val="single"/>
        </w:rPr>
        <w:t>Methods to minimize burden on small businesses or other small entities.</w:t>
      </w:r>
      <w:r w:rsidRPr="1B259553">
        <w:t xml:space="preserve"> </w:t>
      </w:r>
    </w:p>
    <w:p w:rsidR="005229EF" w:rsidRPr="00A7101B" w:rsidP="00A7101B" w14:paraId="60E54CF0" w14:textId="3B335CD6">
      <w:pPr>
        <w:spacing w:after="120"/>
        <w:ind w:firstLine="720"/>
        <w:rPr>
          <w:rFonts w:ascii="Times New Roman" w:hAnsi="Times New Roman"/>
          <w:sz w:val="24"/>
        </w:rPr>
      </w:pPr>
      <w:r>
        <w:rPr>
          <w:rFonts w:ascii="Times New Roman" w:hAnsi="Times New Roman"/>
          <w:sz w:val="24"/>
        </w:rPr>
        <w:t>By</w:t>
      </w:r>
      <w:r>
        <w:rPr>
          <w:rFonts w:ascii="Times New Roman" w:hAnsi="Times New Roman"/>
          <w:sz w:val="24"/>
        </w:rPr>
        <w:t xml:space="preserve"> choosing to apply the requirements of the rule to RIAs and ERAs, FinCEN chose to cover what are considered “larger” investment advisers, wh</w:t>
      </w:r>
      <w:r w:rsidR="00D03DCD">
        <w:rPr>
          <w:rFonts w:ascii="Times New Roman" w:hAnsi="Times New Roman"/>
          <w:sz w:val="24"/>
        </w:rPr>
        <w:t>ich</w:t>
      </w:r>
      <w:r>
        <w:rPr>
          <w:rFonts w:ascii="Times New Roman" w:hAnsi="Times New Roman"/>
          <w:sz w:val="24"/>
        </w:rPr>
        <w:t xml:space="preserve"> have</w:t>
      </w:r>
      <w:r w:rsidRPr="002F1286">
        <w:rPr>
          <w:rFonts w:ascii="Times New Roman" w:hAnsi="Times New Roman"/>
          <w:sz w:val="24"/>
        </w:rPr>
        <w:t xml:space="preserve"> $110 million or more in regulatory AUM</w:t>
      </w:r>
      <w:r>
        <w:rPr>
          <w:rFonts w:ascii="Times New Roman" w:hAnsi="Times New Roman"/>
          <w:sz w:val="24"/>
        </w:rPr>
        <w:t xml:space="preserve"> and </w:t>
      </w:r>
      <w:r w:rsidRPr="002F1286">
        <w:rPr>
          <w:rFonts w:ascii="Times New Roman" w:hAnsi="Times New Roman"/>
          <w:sz w:val="24"/>
        </w:rPr>
        <w:t>are required to register with the SEC.</w:t>
      </w:r>
      <w:r>
        <w:rPr>
          <w:rFonts w:ascii="Times New Roman" w:hAnsi="Times New Roman"/>
          <w:sz w:val="24"/>
          <w:vertAlign w:val="superscript"/>
        </w:rPr>
        <w:footnoteReference w:id="6"/>
      </w:r>
      <w:r w:rsidRPr="002F1286">
        <w:rPr>
          <w:rFonts w:ascii="Times New Roman" w:hAnsi="Times New Roman"/>
          <w:sz w:val="24"/>
        </w:rPr>
        <w:t xml:space="preserve">  </w:t>
      </w:r>
      <w:r w:rsidR="00FB4585">
        <w:rPr>
          <w:rFonts w:ascii="Times New Roman" w:hAnsi="Times New Roman"/>
          <w:sz w:val="24"/>
        </w:rPr>
        <w:t>T</w:t>
      </w:r>
      <w:r>
        <w:rPr>
          <w:rFonts w:ascii="Times New Roman" w:hAnsi="Times New Roman"/>
          <w:sz w:val="24"/>
        </w:rPr>
        <w:t>he vast majority of investment advisers</w:t>
      </w:r>
      <w:r w:rsidRPr="002F1286">
        <w:rPr>
          <w:rFonts w:ascii="Times New Roman" w:hAnsi="Times New Roman"/>
          <w:sz w:val="24"/>
        </w:rPr>
        <w:t xml:space="preserve"> that a</w:t>
      </w:r>
      <w:r>
        <w:rPr>
          <w:rFonts w:ascii="Times New Roman" w:hAnsi="Times New Roman"/>
          <w:sz w:val="24"/>
        </w:rPr>
        <w:t xml:space="preserve">re generally understood to be “smaller” investment advisers </w:t>
      </w:r>
      <w:r w:rsidRPr="002F1286">
        <w:rPr>
          <w:rFonts w:ascii="Times New Roman" w:hAnsi="Times New Roman"/>
          <w:sz w:val="24"/>
        </w:rPr>
        <w:t xml:space="preserve">are generally </w:t>
      </w:r>
      <w:r w:rsidRPr="002F1286">
        <w:rPr>
          <w:rFonts w:ascii="Times New Roman" w:hAnsi="Times New Roman"/>
          <w:sz w:val="24"/>
        </w:rPr>
        <w:t>registered with one or more state securities authorities and not with the SEC</w:t>
      </w:r>
      <w:r>
        <w:rPr>
          <w:rFonts w:ascii="Times New Roman" w:hAnsi="Times New Roman"/>
          <w:sz w:val="24"/>
        </w:rPr>
        <w:t>, and are not co</w:t>
      </w:r>
      <w:r>
        <w:rPr>
          <w:rFonts w:ascii="Times New Roman" w:hAnsi="Times New Roman"/>
          <w:sz w:val="24"/>
        </w:rPr>
        <w:t>vered by the</w:t>
      </w:r>
      <w:r w:rsidR="001B00AB">
        <w:rPr>
          <w:rFonts w:ascii="Times New Roman" w:hAnsi="Times New Roman"/>
          <w:sz w:val="24"/>
        </w:rPr>
        <w:t xml:space="preserve"> final</w:t>
      </w:r>
      <w:r>
        <w:rPr>
          <w:rFonts w:ascii="Times New Roman" w:hAnsi="Times New Roman"/>
          <w:sz w:val="24"/>
        </w:rPr>
        <w:t xml:space="preserve"> </w:t>
      </w:r>
      <w:r>
        <w:rPr>
          <w:rFonts w:ascii="Times New Roman" w:hAnsi="Times New Roman"/>
          <w:sz w:val="24"/>
        </w:rPr>
        <w:t>rule.</w:t>
      </w:r>
    </w:p>
    <w:p w:rsidR="005229EF" w:rsidP="00A7101B" w14:paraId="4D674688" w14:textId="6D4E4FFB">
      <w:pPr>
        <w:spacing w:after="120"/>
        <w:ind w:firstLine="720"/>
        <w:rPr>
          <w:rFonts w:ascii="Times New Roman" w:hAnsi="Times New Roman"/>
          <w:sz w:val="24"/>
        </w:rPr>
      </w:pPr>
      <w:r w:rsidRPr="002F1286">
        <w:rPr>
          <w:rFonts w:ascii="Times New Roman" w:hAnsi="Times New Roman"/>
          <w:sz w:val="24"/>
        </w:rPr>
        <w:t xml:space="preserve">FinCEN notes that the AML/CFT requirements in the </w:t>
      </w:r>
      <w:r w:rsidR="005B544A">
        <w:rPr>
          <w:rFonts w:ascii="Times New Roman" w:hAnsi="Times New Roman"/>
          <w:sz w:val="24"/>
        </w:rPr>
        <w:t xml:space="preserve">final </w:t>
      </w:r>
      <w:r w:rsidRPr="002F1286">
        <w:rPr>
          <w:rFonts w:ascii="Times New Roman" w:hAnsi="Times New Roman"/>
          <w:sz w:val="24"/>
        </w:rPr>
        <w:t xml:space="preserve">rule are designed to be risk-based and </w:t>
      </w:r>
      <w:r w:rsidR="00604D26">
        <w:rPr>
          <w:rFonts w:ascii="Times New Roman" w:hAnsi="Times New Roman"/>
          <w:sz w:val="24"/>
        </w:rPr>
        <w:t xml:space="preserve">reasonably designed </w:t>
      </w:r>
      <w:r w:rsidRPr="002F1286">
        <w:rPr>
          <w:rFonts w:ascii="Times New Roman" w:hAnsi="Times New Roman"/>
          <w:sz w:val="24"/>
        </w:rPr>
        <w:t>and their cost is largely based on factors directly correlated with the size of an investment adviser</w:t>
      </w:r>
      <w:r w:rsidRPr="1AB2B056">
        <w:rPr>
          <w:rFonts w:ascii="Times New Roman" w:hAnsi="Times New Roman"/>
          <w:sz w:val="24"/>
        </w:rPr>
        <w:t>, along with the risk level of its advisory activities and customers</w:t>
      </w:r>
      <w:r w:rsidRPr="002F1286">
        <w:rPr>
          <w:rFonts w:ascii="Times New Roman" w:hAnsi="Times New Roman"/>
          <w:sz w:val="24"/>
        </w:rPr>
        <w:t>.  The requirements of th</w:t>
      </w:r>
      <w:r w:rsidR="005E00E1">
        <w:rPr>
          <w:rFonts w:ascii="Times New Roman" w:hAnsi="Times New Roman"/>
          <w:sz w:val="24"/>
        </w:rPr>
        <w:t xml:space="preserve">is </w:t>
      </w:r>
      <w:r w:rsidR="005B544A">
        <w:rPr>
          <w:rFonts w:ascii="Times New Roman" w:hAnsi="Times New Roman"/>
          <w:sz w:val="24"/>
        </w:rPr>
        <w:t xml:space="preserve">final </w:t>
      </w:r>
      <w:r w:rsidRPr="002F1286">
        <w:rPr>
          <w:rFonts w:ascii="Times New Roman" w:hAnsi="Times New Roman"/>
          <w:sz w:val="24"/>
        </w:rPr>
        <w:t>rule therefore</w:t>
      </w:r>
      <w:r w:rsidRPr="1AB2B056">
        <w:rPr>
          <w:rFonts w:ascii="Times New Roman" w:hAnsi="Times New Roman"/>
          <w:sz w:val="24"/>
        </w:rPr>
        <w:t xml:space="preserve"> have some inherent flexibility whereby small entities serving a smaller number of customers are likely to have lower costs.</w:t>
      </w:r>
      <w:r w:rsidRPr="002F1286">
        <w:rPr>
          <w:rFonts w:ascii="Times New Roman" w:hAnsi="Times New Roman"/>
          <w:sz w:val="24"/>
        </w:rPr>
        <w:t xml:space="preserve"> </w:t>
      </w:r>
    </w:p>
    <w:p w:rsidR="00481EC1" w:rsidP="00A7101B" w14:paraId="4EF97C3B" w14:textId="3D04EB56">
      <w:pPr>
        <w:spacing w:after="120"/>
        <w:ind w:firstLine="720"/>
        <w:rPr>
          <w:rFonts w:ascii="Times New Roman" w:hAnsi="Times New Roman"/>
          <w:sz w:val="24"/>
        </w:rPr>
      </w:pPr>
      <w:r>
        <w:rPr>
          <w:rFonts w:ascii="Times New Roman" w:hAnsi="Times New Roman"/>
          <w:sz w:val="24"/>
        </w:rPr>
        <w:t xml:space="preserve">The decision to narrow the definition of investment adviser </w:t>
      </w:r>
      <w:r w:rsidR="005B544A">
        <w:rPr>
          <w:rFonts w:ascii="Times New Roman" w:hAnsi="Times New Roman"/>
          <w:sz w:val="24"/>
        </w:rPr>
        <w:t xml:space="preserve">in the final rule </w:t>
      </w:r>
      <w:r>
        <w:rPr>
          <w:rFonts w:ascii="Times New Roman" w:hAnsi="Times New Roman"/>
          <w:sz w:val="24"/>
        </w:rPr>
        <w:t>to exclude investment advisers registering as mid-sized advisers with the SEC follows feedback to the NPRM and will reduce the estimated burden of the rule.</w:t>
      </w:r>
    </w:p>
    <w:p w:rsidR="005229EF" w:rsidRPr="00E84FD8" w:rsidP="00A7101B" w14:paraId="246F3EE5" w14:textId="77777777">
      <w:pPr>
        <w:keepNext/>
        <w:spacing w:before="283"/>
        <w:rPr>
          <w:rFonts w:ascii="Times New Roman" w:hAnsi="Times New Roman"/>
          <w:sz w:val="24"/>
          <w:u w:val="single"/>
        </w:rPr>
      </w:pPr>
      <w:r>
        <w:rPr>
          <w:rFonts w:ascii="Times New Roman" w:hAnsi="Times New Roman"/>
          <w:sz w:val="24"/>
        </w:rPr>
        <w:t xml:space="preserve">6. </w:t>
      </w:r>
      <w:r w:rsidRPr="00E03DA3">
        <w:rPr>
          <w:rFonts w:ascii="Times New Roman" w:hAnsi="Times New Roman"/>
          <w:sz w:val="24"/>
          <w:u w:val="single"/>
        </w:rPr>
        <w:t xml:space="preserve">Consequences to the Federal </w:t>
      </w:r>
      <w:r>
        <w:rPr>
          <w:rFonts w:ascii="Times New Roman" w:hAnsi="Times New Roman"/>
          <w:sz w:val="24"/>
          <w:u w:val="single"/>
        </w:rPr>
        <w:t>g</w:t>
      </w:r>
      <w:r w:rsidRPr="00E03DA3">
        <w:rPr>
          <w:rFonts w:ascii="Times New Roman" w:hAnsi="Times New Roman"/>
          <w:sz w:val="24"/>
          <w:u w:val="single"/>
        </w:rPr>
        <w:t xml:space="preserve">overnment of </w:t>
      </w:r>
      <w:r>
        <w:rPr>
          <w:rFonts w:ascii="Times New Roman" w:hAnsi="Times New Roman"/>
          <w:sz w:val="24"/>
          <w:u w:val="single"/>
        </w:rPr>
        <w:t>n</w:t>
      </w:r>
      <w:r w:rsidRPr="00E03DA3">
        <w:rPr>
          <w:rFonts w:ascii="Times New Roman" w:hAnsi="Times New Roman"/>
          <w:sz w:val="24"/>
          <w:u w:val="single"/>
        </w:rPr>
        <w:t xml:space="preserve">ot </w:t>
      </w:r>
      <w:r>
        <w:rPr>
          <w:rFonts w:ascii="Times New Roman" w:hAnsi="Times New Roman"/>
          <w:sz w:val="24"/>
          <w:u w:val="single"/>
        </w:rPr>
        <w:t>c</w:t>
      </w:r>
      <w:r w:rsidRPr="00E03DA3">
        <w:rPr>
          <w:rFonts w:ascii="Times New Roman" w:hAnsi="Times New Roman"/>
          <w:sz w:val="24"/>
          <w:u w:val="single"/>
        </w:rPr>
        <w:t xml:space="preserve">ollecting the </w:t>
      </w:r>
      <w:r>
        <w:rPr>
          <w:rFonts w:ascii="Times New Roman" w:hAnsi="Times New Roman"/>
          <w:sz w:val="24"/>
          <w:u w:val="single"/>
        </w:rPr>
        <w:t>i</w:t>
      </w:r>
      <w:r w:rsidRPr="00E03DA3">
        <w:rPr>
          <w:rFonts w:ascii="Times New Roman" w:hAnsi="Times New Roman"/>
          <w:sz w:val="24"/>
          <w:u w:val="single"/>
        </w:rPr>
        <w:t>nformation.</w:t>
      </w:r>
    </w:p>
    <w:p w:rsidR="005229EF" w:rsidRPr="00E84FD8" w:rsidP="00A7101B" w14:paraId="5ACCA903" w14:textId="77777777">
      <w:pPr>
        <w:spacing w:after="120"/>
        <w:ind w:firstLine="720"/>
        <w:rPr>
          <w:rFonts w:ascii="Times New Roman" w:hAnsi="Times New Roman"/>
          <w:sz w:val="24"/>
        </w:rPr>
      </w:pPr>
      <w:r w:rsidRPr="1AB2B056">
        <w:rPr>
          <w:rFonts w:ascii="Times New Roman" w:hAnsi="Times New Roman"/>
          <w:sz w:val="24"/>
        </w:rPr>
        <w:t>Treasury</w:t>
      </w:r>
      <w:r>
        <w:rPr>
          <w:rFonts w:ascii="Times New Roman" w:hAnsi="Times New Roman"/>
          <w:sz w:val="24"/>
        </w:rPr>
        <w:t>’s investment adviser risk assessment along with past National Risk Assessments have identified the illicit finance risk associated with</w:t>
      </w:r>
      <w:r w:rsidRPr="1AB2B056">
        <w:rPr>
          <w:rFonts w:ascii="Times New Roman" w:hAnsi="Times New Roman"/>
          <w:sz w:val="24"/>
        </w:rPr>
        <w:t xml:space="preserve"> RIAs and ERAs.</w:t>
      </w:r>
      <w:r>
        <w:rPr>
          <w:rFonts w:ascii="Times New Roman" w:hAnsi="Times New Roman" w:cs="Times New Roman"/>
          <w:vertAlign w:val="superscript"/>
        </w:rPr>
        <w:footnoteReference w:id="7"/>
      </w:r>
      <w:r w:rsidRPr="00A7101B">
        <w:rPr>
          <w:rFonts w:ascii="Times New Roman" w:hAnsi="Times New Roman"/>
          <w:sz w:val="24"/>
        </w:rPr>
        <w:t xml:space="preserve"> </w:t>
      </w:r>
      <w:r w:rsidRPr="1AB2B056">
        <w:rPr>
          <w:rFonts w:ascii="Times New Roman" w:hAnsi="Times New Roman"/>
          <w:sz w:val="24"/>
        </w:rPr>
        <w:t xml:space="preserve"> Including investment advisers as “financial institutions” under the BSA and applying comprehensive AML/CFT measures to these investment advisers are likely to reduce this risk.</w:t>
      </w:r>
    </w:p>
    <w:p w:rsidR="007B5C6B" w:rsidRPr="00E84FD8" w:rsidP="00A7101B" w14:paraId="05ECBDE9" w14:textId="6B657B83">
      <w:pPr>
        <w:spacing w:after="120"/>
        <w:ind w:firstLine="720"/>
        <w:rPr>
          <w:rFonts w:ascii="Times New Roman" w:hAnsi="Times New Roman"/>
          <w:sz w:val="24"/>
        </w:rPr>
      </w:pPr>
      <w:r w:rsidRPr="1AB2B056">
        <w:rPr>
          <w:rFonts w:ascii="Times New Roman" w:hAnsi="Times New Roman"/>
          <w:sz w:val="24"/>
        </w:rPr>
        <w:t xml:space="preserve">Although investment advisers have Form 8300 obligations to report cash transactions above $10,000, they are typically not subject to most of the AML/CFT program, recordkeeping, or reporting obligations that apply to banks, broker-dealers, and certain other financial institutions.  </w:t>
      </w:r>
      <w:r>
        <w:rPr>
          <w:rFonts w:ascii="Times New Roman" w:hAnsi="Times New Roman"/>
          <w:sz w:val="24"/>
        </w:rPr>
        <w:t>Some investment advisers</w:t>
      </w:r>
      <w:r w:rsidRPr="006B61B5">
        <w:rPr>
          <w:rFonts w:ascii="Times New Roman" w:hAnsi="Times New Roman"/>
          <w:sz w:val="24"/>
        </w:rPr>
        <w:t xml:space="preserve"> may perform certain AML/CFT functions if the entity is also a registered broker-dealer or is a bank (i.e., a dual registrant), or is an operating subsidiary of a bank; other investment advisers are affiliates of banks or broker-dealers, which may implement an enterprise-wide AML/CFT program that would include that investment adviser</w:t>
      </w:r>
      <w:r>
        <w:rPr>
          <w:rFonts w:ascii="Times New Roman" w:hAnsi="Times New Roman"/>
          <w:sz w:val="24"/>
        </w:rPr>
        <w:t>.  Other</w:t>
      </w:r>
      <w:r w:rsidRPr="1AB2B056">
        <w:rPr>
          <w:rFonts w:ascii="Times New Roman" w:hAnsi="Times New Roman"/>
          <w:sz w:val="24"/>
        </w:rPr>
        <w:t xml:space="preserve"> investment advisers have voluntarily implemented certain AML/CFT measures, such as </w:t>
      </w:r>
      <w:r w:rsidR="005B544A">
        <w:rPr>
          <w:rFonts w:ascii="Times New Roman" w:hAnsi="Times New Roman"/>
          <w:sz w:val="24"/>
        </w:rPr>
        <w:t>Customer Due Diligence (</w:t>
      </w:r>
      <w:r w:rsidRPr="1AB2B056">
        <w:rPr>
          <w:rFonts w:ascii="Times New Roman" w:hAnsi="Times New Roman"/>
          <w:sz w:val="24"/>
        </w:rPr>
        <w:t>CDD</w:t>
      </w:r>
      <w:r w:rsidR="005B544A">
        <w:rPr>
          <w:rFonts w:ascii="Times New Roman" w:hAnsi="Times New Roman"/>
          <w:sz w:val="24"/>
        </w:rPr>
        <w:t>)</w:t>
      </w:r>
      <w:r w:rsidRPr="1AB2B056">
        <w:rPr>
          <w:rFonts w:ascii="Times New Roman" w:hAnsi="Times New Roman"/>
          <w:sz w:val="24"/>
        </w:rPr>
        <w:t xml:space="preserve"> or other CIP requirements,</w:t>
      </w:r>
      <w:r>
        <w:rPr>
          <w:rFonts w:ascii="Times New Roman" w:hAnsi="Times New Roman"/>
          <w:sz w:val="24"/>
        </w:rPr>
        <w:t xml:space="preserve"> but</w:t>
      </w:r>
      <w:r w:rsidRPr="1AB2B056">
        <w:rPr>
          <w:rFonts w:ascii="Times New Roman" w:hAnsi="Times New Roman"/>
          <w:sz w:val="24"/>
        </w:rPr>
        <w:t xml:space="preserve"> because these programs are not required by any BSA regulations, </w:t>
      </w:r>
      <w:r>
        <w:rPr>
          <w:rFonts w:ascii="Times New Roman" w:hAnsi="Times New Roman"/>
          <w:sz w:val="24"/>
        </w:rPr>
        <w:t xml:space="preserve">investment </w:t>
      </w:r>
      <w:r w:rsidRPr="1AB2B056">
        <w:rPr>
          <w:rFonts w:ascii="Times New Roman" w:hAnsi="Times New Roman"/>
          <w:sz w:val="24"/>
        </w:rPr>
        <w:t xml:space="preserve">advisers have wide discretion in what information to request from their customers.  Additionally, RIAs and ERAs are not examined for compliance with voluntary AML/CFT measures not required by law, so the </w:t>
      </w:r>
      <w:r>
        <w:rPr>
          <w:rFonts w:ascii="Times New Roman" w:hAnsi="Times New Roman"/>
          <w:sz w:val="24"/>
        </w:rPr>
        <w:t>investment</w:t>
      </w:r>
      <w:r w:rsidRPr="1AB2B056">
        <w:rPr>
          <w:rFonts w:ascii="Times New Roman" w:hAnsi="Times New Roman"/>
          <w:sz w:val="24"/>
        </w:rPr>
        <w:t xml:space="preserve"> adviser may not be made aware of deficiencies or gaps in their programs and more limited enforcement mechanisms against the adviser for failing to implement such measures can be pursued.</w:t>
      </w:r>
    </w:p>
    <w:p w:rsidR="007B5C6B" w:rsidRPr="00E84FD8" w:rsidP="00A7101B" w14:paraId="663E3A9B" w14:textId="559F0506">
      <w:pPr>
        <w:spacing w:after="120"/>
        <w:ind w:firstLine="720"/>
        <w:rPr>
          <w:rFonts w:ascii="Times New Roman" w:hAnsi="Times New Roman"/>
          <w:sz w:val="24"/>
        </w:rPr>
      </w:pPr>
      <w:r w:rsidRPr="1AB2B056">
        <w:rPr>
          <w:rFonts w:ascii="Times New Roman" w:hAnsi="Times New Roman"/>
          <w:sz w:val="24"/>
        </w:rPr>
        <w:t>The fact that investment advisers are not currently BSA-defined financial institutions also limits the ability of investment advisers to provide highly useful information to law enforcement, regulators, and other relevant authorities.  Unless they are</w:t>
      </w:r>
      <w:r>
        <w:rPr>
          <w:rFonts w:ascii="Times New Roman" w:hAnsi="Times New Roman"/>
          <w:sz w:val="24"/>
        </w:rPr>
        <w:t xml:space="preserve"> also registered brokers</w:t>
      </w:r>
      <w:r w:rsidR="005B544A">
        <w:rPr>
          <w:rFonts w:ascii="Times New Roman" w:hAnsi="Times New Roman"/>
          <w:sz w:val="24"/>
        </w:rPr>
        <w:t>-</w:t>
      </w:r>
      <w:r>
        <w:rPr>
          <w:rFonts w:ascii="Times New Roman" w:hAnsi="Times New Roman"/>
          <w:sz w:val="24"/>
        </w:rPr>
        <w:t>dealers in securities or affiliated with banks, already subject</w:t>
      </w:r>
      <w:r w:rsidRPr="1AB2B056">
        <w:rPr>
          <w:rFonts w:ascii="Times New Roman" w:hAnsi="Times New Roman"/>
          <w:sz w:val="24"/>
        </w:rPr>
        <w:t xml:space="preserve"> </w:t>
      </w:r>
      <w:r>
        <w:rPr>
          <w:rFonts w:ascii="Times New Roman" w:hAnsi="Times New Roman"/>
          <w:sz w:val="24"/>
        </w:rPr>
        <w:t>to AML/CFT obligations</w:t>
      </w:r>
      <w:r w:rsidRPr="1AB2B056">
        <w:rPr>
          <w:rFonts w:ascii="Times New Roman" w:hAnsi="Times New Roman"/>
          <w:sz w:val="24"/>
        </w:rPr>
        <w:t xml:space="preserve">, RIAs and ERAs are not afforded protection from liability when filing SARs, are unable to receive and respond to law </w:t>
      </w:r>
      <w:r w:rsidRPr="1AB2B056">
        <w:rPr>
          <w:rFonts w:ascii="Times New Roman" w:hAnsi="Times New Roman"/>
          <w:sz w:val="24"/>
        </w:rPr>
        <w:t xml:space="preserve">enforcement requests for information under </w:t>
      </w:r>
      <w:r>
        <w:rPr>
          <w:rFonts w:ascii="Times New Roman" w:hAnsi="Times New Roman"/>
          <w:sz w:val="24"/>
        </w:rPr>
        <w:t>s</w:t>
      </w:r>
      <w:r w:rsidRPr="1AB2B056">
        <w:rPr>
          <w:rFonts w:ascii="Times New Roman" w:hAnsi="Times New Roman"/>
          <w:sz w:val="24"/>
        </w:rPr>
        <w:t xml:space="preserve">ection 314(a) of the USA PATRIOT </w:t>
      </w:r>
      <w:r w:rsidRPr="1AB2B056">
        <w:rPr>
          <w:rFonts w:ascii="Times New Roman" w:hAnsi="Times New Roman"/>
          <w:sz w:val="24"/>
        </w:rPr>
        <w:t>Act</w:t>
      </w:r>
      <w:r>
        <w:rPr>
          <w:rFonts w:ascii="Times New Roman" w:hAnsi="Times New Roman"/>
          <w:sz w:val="24"/>
        </w:rPr>
        <w:t>,</w:t>
      </w:r>
      <w:r w:rsidRPr="1AB2B056">
        <w:rPr>
          <w:rFonts w:ascii="Times New Roman" w:hAnsi="Times New Roman"/>
          <w:sz w:val="24"/>
        </w:rPr>
        <w:t xml:space="preserve"> and</w:t>
      </w:r>
      <w:r w:rsidRPr="1AB2B056">
        <w:rPr>
          <w:rFonts w:ascii="Times New Roman" w:hAnsi="Times New Roman"/>
          <w:sz w:val="24"/>
        </w:rPr>
        <w:t xml:space="preserve"> are unable to voluntarily share information under </w:t>
      </w:r>
      <w:r>
        <w:rPr>
          <w:rFonts w:ascii="Times New Roman" w:hAnsi="Times New Roman"/>
          <w:sz w:val="24"/>
        </w:rPr>
        <w:t>s</w:t>
      </w:r>
      <w:r w:rsidRPr="1AB2B056">
        <w:rPr>
          <w:rFonts w:ascii="Times New Roman" w:hAnsi="Times New Roman"/>
          <w:sz w:val="24"/>
        </w:rPr>
        <w:t xml:space="preserve">ection 314(b) of the USA PATRIOT Act.  Becoming a BSA-defined financial institution would allow RIAs and ERAs to share information potentially related to money laundering or terrorist financing with, and receive requests from, other financial institutions that already utilize </w:t>
      </w:r>
      <w:r>
        <w:rPr>
          <w:rFonts w:ascii="Times New Roman" w:hAnsi="Times New Roman"/>
          <w:sz w:val="24"/>
        </w:rPr>
        <w:t>s</w:t>
      </w:r>
      <w:r w:rsidRPr="1AB2B056">
        <w:rPr>
          <w:rFonts w:ascii="Times New Roman" w:hAnsi="Times New Roman"/>
          <w:sz w:val="24"/>
        </w:rPr>
        <w:t>ection 314(b).</w:t>
      </w:r>
    </w:p>
    <w:p w:rsidR="00481EC1" w:rsidRPr="00A55F86" w:rsidP="00A7101B" w14:paraId="7CE90BD4" w14:textId="5090961D">
      <w:pPr>
        <w:spacing w:after="120"/>
        <w:ind w:firstLine="720"/>
        <w:rPr>
          <w:rFonts w:ascii="Times New Roman" w:hAnsi="Times New Roman"/>
          <w:sz w:val="24"/>
        </w:rPr>
      </w:pPr>
      <w:r w:rsidRPr="00994FE6">
        <w:rPr>
          <w:rFonts w:ascii="Times New Roman" w:hAnsi="Times New Roman"/>
          <w:sz w:val="24"/>
        </w:rPr>
        <w:t xml:space="preserve">While investment advisers often do not take possession of financial assets, they nonetheless may have the most direct relationship with the customers they advise and thus </w:t>
      </w:r>
      <w:r w:rsidR="00103423">
        <w:rPr>
          <w:rFonts w:ascii="Times New Roman" w:hAnsi="Times New Roman"/>
          <w:sz w:val="24"/>
        </w:rPr>
        <w:t>are</w:t>
      </w:r>
      <w:r w:rsidRPr="00994FE6" w:rsidR="00103423">
        <w:rPr>
          <w:rFonts w:ascii="Times New Roman" w:hAnsi="Times New Roman"/>
          <w:sz w:val="24"/>
        </w:rPr>
        <w:t xml:space="preserve"> </w:t>
      </w:r>
      <w:r w:rsidRPr="00994FE6">
        <w:rPr>
          <w:rFonts w:ascii="Times New Roman" w:hAnsi="Times New Roman"/>
          <w:sz w:val="24"/>
        </w:rPr>
        <w:t>best positioned to obtain the necessary documentation and information from and about the customers concerning their assets that the investment adviser is deploying in public or private financial markets</w:t>
      </w:r>
      <w:r w:rsidRPr="1AB2B056">
        <w:rPr>
          <w:rFonts w:ascii="Times New Roman" w:hAnsi="Times New Roman"/>
          <w:sz w:val="24"/>
        </w:rPr>
        <w:t>.  If some of these assets include the proceeds of illegal activities, or are intended to further such activities, an investment adviser’s AML/CFT program could help discover such issues and prevent the customer from further using the U.S. financial system, while reporting such information for law enforcement purposes.  Further, an investment adviser may use multiple broker-dealers or banks for trading and custody services, making it difficult for one financial institution to have a complete picture of an investment adviser’s activity or to detect suspicious activity involving the investment adviser.  Without complete information, such an institution may not have sufficient information to file a SAR, or it may be required to file a SAR that only has partial information concerning the investment adviser’s transactions on behalf of a particular customer.  This limits the ability of law enforcement to identify illicit activity that may be occurring through investment advisers.</w:t>
      </w:r>
    </w:p>
    <w:p w:rsidR="007B5C6B" w:rsidRPr="00AD5C95" w:rsidP="00A7101B" w14:paraId="68B9857E" w14:textId="77777777">
      <w:pPr>
        <w:keepNext/>
        <w:spacing w:before="283"/>
        <w:rPr>
          <w:rFonts w:ascii="Times New Roman" w:hAnsi="Times New Roman"/>
          <w:sz w:val="24"/>
          <w:u w:val="single"/>
        </w:rPr>
      </w:pPr>
      <w:r>
        <w:rPr>
          <w:rFonts w:ascii="Times New Roman" w:hAnsi="Times New Roman"/>
          <w:sz w:val="24"/>
        </w:rPr>
        <w:t xml:space="preserve">7. </w:t>
      </w:r>
      <w:r w:rsidRPr="007D16E3">
        <w:rPr>
          <w:rFonts w:ascii="Times New Roman" w:hAnsi="Times New Roman"/>
          <w:sz w:val="24"/>
          <w:u w:val="single"/>
        </w:rPr>
        <w:t xml:space="preserve">Special </w:t>
      </w:r>
      <w:r>
        <w:rPr>
          <w:rFonts w:ascii="Times New Roman" w:hAnsi="Times New Roman"/>
          <w:sz w:val="24"/>
          <w:u w:val="single"/>
        </w:rPr>
        <w:t>c</w:t>
      </w:r>
      <w:r w:rsidRPr="00872B79">
        <w:rPr>
          <w:rFonts w:ascii="Times New Roman" w:hAnsi="Times New Roman"/>
          <w:sz w:val="24"/>
          <w:u w:val="single"/>
        </w:rPr>
        <w:t xml:space="preserve">ircumstances </w:t>
      </w:r>
      <w:r>
        <w:rPr>
          <w:rFonts w:ascii="Times New Roman" w:hAnsi="Times New Roman"/>
          <w:sz w:val="24"/>
          <w:u w:val="single"/>
        </w:rPr>
        <w:t>r</w:t>
      </w:r>
      <w:r w:rsidRPr="00872B79">
        <w:rPr>
          <w:rFonts w:ascii="Times New Roman" w:hAnsi="Times New Roman"/>
          <w:sz w:val="24"/>
          <w:u w:val="single"/>
        </w:rPr>
        <w:t xml:space="preserve">equiring </w:t>
      </w:r>
      <w:r>
        <w:rPr>
          <w:rFonts w:ascii="Times New Roman" w:hAnsi="Times New Roman"/>
          <w:sz w:val="24"/>
          <w:u w:val="single"/>
        </w:rPr>
        <w:t>d</w:t>
      </w:r>
      <w:r w:rsidRPr="00872B79">
        <w:rPr>
          <w:rFonts w:ascii="Times New Roman" w:hAnsi="Times New Roman"/>
          <w:sz w:val="24"/>
          <w:u w:val="single"/>
        </w:rPr>
        <w:t>ata</w:t>
      </w:r>
      <w:r w:rsidRPr="0037466C">
        <w:rPr>
          <w:rFonts w:ascii="Times New Roman" w:hAnsi="Times New Roman"/>
          <w:sz w:val="24"/>
          <w:u w:val="single"/>
        </w:rPr>
        <w:t xml:space="preserve"> </w:t>
      </w:r>
      <w:r>
        <w:rPr>
          <w:rFonts w:ascii="Times New Roman" w:hAnsi="Times New Roman"/>
          <w:sz w:val="24"/>
          <w:u w:val="single"/>
        </w:rPr>
        <w:t>c</w:t>
      </w:r>
      <w:r w:rsidRPr="0037466C">
        <w:rPr>
          <w:rFonts w:ascii="Times New Roman" w:hAnsi="Times New Roman"/>
          <w:sz w:val="24"/>
          <w:u w:val="single"/>
        </w:rPr>
        <w:t xml:space="preserve">ollection to be </w:t>
      </w:r>
      <w:r>
        <w:rPr>
          <w:rFonts w:ascii="Times New Roman" w:hAnsi="Times New Roman"/>
          <w:sz w:val="24"/>
          <w:u w:val="single"/>
        </w:rPr>
        <w:t>i</w:t>
      </w:r>
      <w:r w:rsidRPr="0037466C">
        <w:rPr>
          <w:rFonts w:ascii="Times New Roman" w:hAnsi="Times New Roman"/>
          <w:sz w:val="24"/>
          <w:u w:val="single"/>
        </w:rPr>
        <w:t>nconsistent</w:t>
      </w:r>
      <w:r w:rsidRPr="007D16E3">
        <w:rPr>
          <w:rFonts w:ascii="Times New Roman" w:hAnsi="Times New Roman"/>
          <w:sz w:val="24"/>
          <w:u w:val="single"/>
        </w:rPr>
        <w:t xml:space="preserve"> with </w:t>
      </w:r>
      <w:r>
        <w:rPr>
          <w:rFonts w:ascii="Times New Roman" w:hAnsi="Times New Roman"/>
          <w:sz w:val="24"/>
          <w:u w:val="single"/>
        </w:rPr>
        <w:t>g</w:t>
      </w:r>
      <w:r w:rsidRPr="007D16E3">
        <w:rPr>
          <w:rFonts w:ascii="Times New Roman" w:hAnsi="Times New Roman"/>
          <w:sz w:val="24"/>
          <w:u w:val="single"/>
        </w:rPr>
        <w:t>uidelines</w:t>
      </w:r>
      <w:r>
        <w:rPr>
          <w:rFonts w:ascii="Times New Roman" w:hAnsi="Times New Roman"/>
          <w:sz w:val="24"/>
          <w:u w:val="single"/>
        </w:rPr>
        <w:t xml:space="preserve">. </w:t>
      </w:r>
    </w:p>
    <w:p w:rsidR="007B5C6B" w:rsidRPr="00AD5C95" w:rsidP="00A7101B" w14:paraId="1927BF1D" w14:textId="0807578A">
      <w:pPr>
        <w:spacing w:after="120"/>
        <w:ind w:firstLine="720"/>
        <w:rPr>
          <w:rFonts w:ascii="Times New Roman" w:hAnsi="Times New Roman"/>
          <w:sz w:val="24"/>
        </w:rPr>
      </w:pPr>
      <w:r w:rsidRPr="00925C64">
        <w:rPr>
          <w:rFonts w:ascii="Times New Roman" w:hAnsi="Times New Roman"/>
          <w:sz w:val="24"/>
        </w:rPr>
        <w:t xml:space="preserve">Under </w:t>
      </w:r>
      <w:r>
        <w:rPr>
          <w:rFonts w:ascii="Times New Roman" w:hAnsi="Times New Roman"/>
          <w:sz w:val="24"/>
        </w:rPr>
        <w:t>FinCEN regulations (</w:t>
      </w:r>
      <w:r w:rsidRPr="00DC37F8">
        <w:rPr>
          <w:rFonts w:ascii="Times New Roman" w:hAnsi="Times New Roman"/>
          <w:sz w:val="24"/>
        </w:rPr>
        <w:t>31 C</w:t>
      </w:r>
      <w:r w:rsidR="009E3596">
        <w:rPr>
          <w:rFonts w:ascii="Times New Roman" w:hAnsi="Times New Roman"/>
          <w:sz w:val="24"/>
        </w:rPr>
        <w:t>.</w:t>
      </w:r>
      <w:r w:rsidRPr="00DC37F8">
        <w:rPr>
          <w:rFonts w:ascii="Times New Roman" w:hAnsi="Times New Roman"/>
          <w:sz w:val="24"/>
        </w:rPr>
        <w:t>F</w:t>
      </w:r>
      <w:r w:rsidR="009E3596">
        <w:rPr>
          <w:rFonts w:ascii="Times New Roman" w:hAnsi="Times New Roman"/>
          <w:sz w:val="24"/>
        </w:rPr>
        <w:t>.</w:t>
      </w:r>
      <w:r w:rsidRPr="00DC37F8">
        <w:rPr>
          <w:rFonts w:ascii="Times New Roman" w:hAnsi="Times New Roman"/>
          <w:sz w:val="24"/>
        </w:rPr>
        <w:t>R</w:t>
      </w:r>
      <w:r w:rsidR="009E3596">
        <w:rPr>
          <w:rFonts w:ascii="Times New Roman" w:hAnsi="Times New Roman"/>
          <w:sz w:val="24"/>
        </w:rPr>
        <w:t xml:space="preserve">. </w:t>
      </w:r>
      <w:r w:rsidR="009E3596">
        <w:rPr>
          <w:rFonts w:ascii="Times New Roman" w:hAnsi="Times New Roman" w:cs="Times New Roman"/>
          <w:sz w:val="24"/>
        </w:rPr>
        <w:t>§</w:t>
      </w:r>
      <w:r w:rsidRPr="00DC37F8">
        <w:rPr>
          <w:rFonts w:ascii="Times New Roman" w:hAnsi="Times New Roman"/>
          <w:sz w:val="24"/>
        </w:rPr>
        <w:t xml:space="preserve"> 1010.430</w:t>
      </w:r>
      <w:r>
        <w:rPr>
          <w:rFonts w:ascii="Times New Roman" w:hAnsi="Times New Roman"/>
          <w:sz w:val="24"/>
        </w:rPr>
        <w:t xml:space="preserve">(d)), all </w:t>
      </w:r>
      <w:r w:rsidRPr="00DC37F8">
        <w:rPr>
          <w:rFonts w:ascii="Times New Roman" w:hAnsi="Times New Roman"/>
          <w:sz w:val="24"/>
        </w:rPr>
        <w:t xml:space="preserve">records that are required to be retained </w:t>
      </w:r>
      <w:r>
        <w:rPr>
          <w:rFonts w:ascii="Times New Roman" w:hAnsi="Times New Roman"/>
          <w:sz w:val="24"/>
        </w:rPr>
        <w:t xml:space="preserve">must be </w:t>
      </w:r>
      <w:r w:rsidRPr="00DC37F8">
        <w:rPr>
          <w:rFonts w:ascii="Times New Roman" w:hAnsi="Times New Roman"/>
          <w:sz w:val="24"/>
        </w:rPr>
        <w:t>retained for a period of five years</w:t>
      </w:r>
      <w:r>
        <w:rPr>
          <w:rFonts w:ascii="Times New Roman" w:hAnsi="Times New Roman"/>
          <w:sz w:val="24"/>
        </w:rPr>
        <w:t xml:space="preserve">.  The records required by this rule would be subject to this five-year retention period.  </w:t>
      </w:r>
      <w:r w:rsidRPr="00925C64">
        <w:rPr>
          <w:rFonts w:ascii="Times New Roman" w:hAnsi="Times New Roman"/>
          <w:sz w:val="24"/>
          <w:lang w:val="en"/>
        </w:rPr>
        <w:t xml:space="preserve">This retention period is necessary </w:t>
      </w:r>
      <w:r w:rsidRPr="00925C64">
        <w:rPr>
          <w:rFonts w:ascii="Times New Roman" w:hAnsi="Times New Roman"/>
          <w:sz w:val="24"/>
        </w:rPr>
        <w:t>to allow for verification of compliance with the reporting requirement and to keep available records that may be pertinent to other civil penalty actions that are subject to statutes of limitation longer than three years.</w:t>
      </w:r>
    </w:p>
    <w:p w:rsidR="007B5C6B" w:rsidRPr="00AD5C95" w:rsidP="00A7101B" w14:paraId="11867488" w14:textId="77777777">
      <w:pPr>
        <w:keepNext/>
        <w:spacing w:before="283"/>
        <w:rPr>
          <w:rFonts w:ascii="Times New Roman" w:hAnsi="Times New Roman"/>
          <w:sz w:val="24"/>
        </w:rPr>
      </w:pPr>
      <w:r>
        <w:rPr>
          <w:rFonts w:ascii="Times New Roman" w:hAnsi="Times New Roman"/>
          <w:sz w:val="24"/>
        </w:rPr>
        <w:t xml:space="preserve">8. </w:t>
      </w:r>
      <w:r w:rsidRPr="009D107E">
        <w:rPr>
          <w:rFonts w:ascii="Times New Roman" w:hAnsi="Times New Roman"/>
          <w:sz w:val="24"/>
          <w:u w:val="single"/>
        </w:rPr>
        <w:t xml:space="preserve">Consultation with </w:t>
      </w:r>
      <w:r>
        <w:rPr>
          <w:rFonts w:ascii="Times New Roman" w:hAnsi="Times New Roman"/>
          <w:sz w:val="24"/>
          <w:u w:val="single"/>
        </w:rPr>
        <w:t>i</w:t>
      </w:r>
      <w:r w:rsidRPr="009D107E">
        <w:rPr>
          <w:rFonts w:ascii="Times New Roman" w:hAnsi="Times New Roman"/>
          <w:sz w:val="24"/>
          <w:u w:val="single"/>
        </w:rPr>
        <w:t xml:space="preserve">ndividuals </w:t>
      </w:r>
      <w:r>
        <w:rPr>
          <w:rFonts w:ascii="Times New Roman" w:hAnsi="Times New Roman"/>
          <w:sz w:val="24"/>
          <w:u w:val="single"/>
        </w:rPr>
        <w:t>o</w:t>
      </w:r>
      <w:r w:rsidRPr="009D107E">
        <w:rPr>
          <w:rFonts w:ascii="Times New Roman" w:hAnsi="Times New Roman"/>
          <w:sz w:val="24"/>
          <w:u w:val="single"/>
        </w:rPr>
        <w:t xml:space="preserve">utside of the </w:t>
      </w:r>
      <w:r>
        <w:rPr>
          <w:rFonts w:ascii="Times New Roman" w:hAnsi="Times New Roman"/>
          <w:sz w:val="24"/>
          <w:u w:val="single"/>
        </w:rPr>
        <w:t>a</w:t>
      </w:r>
      <w:r w:rsidRPr="009D107E">
        <w:rPr>
          <w:rFonts w:ascii="Times New Roman" w:hAnsi="Times New Roman"/>
          <w:sz w:val="24"/>
          <w:u w:val="single"/>
        </w:rPr>
        <w:t xml:space="preserve">gency on </w:t>
      </w:r>
      <w:r>
        <w:rPr>
          <w:rFonts w:ascii="Times New Roman" w:hAnsi="Times New Roman"/>
          <w:sz w:val="24"/>
          <w:u w:val="single"/>
        </w:rPr>
        <w:t>a</w:t>
      </w:r>
      <w:r w:rsidRPr="009D107E">
        <w:rPr>
          <w:rFonts w:ascii="Times New Roman" w:hAnsi="Times New Roman"/>
          <w:sz w:val="24"/>
          <w:u w:val="single"/>
        </w:rPr>
        <w:t xml:space="preserve">vailability of </w:t>
      </w:r>
      <w:r>
        <w:rPr>
          <w:rFonts w:ascii="Times New Roman" w:hAnsi="Times New Roman"/>
          <w:sz w:val="24"/>
          <w:u w:val="single"/>
        </w:rPr>
        <w:t>d</w:t>
      </w:r>
      <w:r w:rsidRPr="009D107E">
        <w:rPr>
          <w:rFonts w:ascii="Times New Roman" w:hAnsi="Times New Roman"/>
          <w:sz w:val="24"/>
          <w:u w:val="single"/>
        </w:rPr>
        <w:t>ata</w:t>
      </w:r>
      <w:r>
        <w:rPr>
          <w:rFonts w:ascii="Times New Roman" w:hAnsi="Times New Roman"/>
          <w:sz w:val="24"/>
          <w:u w:val="single"/>
        </w:rPr>
        <w:t>,</w:t>
      </w:r>
      <w:r w:rsidRPr="009D107E">
        <w:rPr>
          <w:rFonts w:ascii="Times New Roman" w:hAnsi="Times New Roman"/>
          <w:sz w:val="24"/>
          <w:u w:val="single"/>
        </w:rPr>
        <w:t xml:space="preserve"> </w:t>
      </w:r>
      <w:r>
        <w:rPr>
          <w:rFonts w:ascii="Times New Roman" w:hAnsi="Times New Roman"/>
          <w:sz w:val="24"/>
          <w:u w:val="single"/>
        </w:rPr>
        <w:t>f</w:t>
      </w:r>
      <w:r w:rsidRPr="009D107E">
        <w:rPr>
          <w:rFonts w:ascii="Times New Roman" w:hAnsi="Times New Roman"/>
          <w:sz w:val="24"/>
          <w:u w:val="single"/>
        </w:rPr>
        <w:t xml:space="preserve">requency of </w:t>
      </w:r>
      <w:r>
        <w:rPr>
          <w:rFonts w:ascii="Times New Roman" w:hAnsi="Times New Roman"/>
          <w:sz w:val="24"/>
          <w:u w:val="single"/>
        </w:rPr>
        <w:t>c</w:t>
      </w:r>
      <w:r w:rsidRPr="009D107E">
        <w:rPr>
          <w:rFonts w:ascii="Times New Roman" w:hAnsi="Times New Roman"/>
          <w:sz w:val="24"/>
          <w:u w:val="single"/>
        </w:rPr>
        <w:t xml:space="preserve">ollection, </w:t>
      </w:r>
      <w:r>
        <w:rPr>
          <w:rFonts w:ascii="Times New Roman" w:hAnsi="Times New Roman"/>
          <w:sz w:val="24"/>
          <w:u w:val="single"/>
        </w:rPr>
        <w:t>c</w:t>
      </w:r>
      <w:r w:rsidRPr="009D107E">
        <w:rPr>
          <w:rFonts w:ascii="Times New Roman" w:hAnsi="Times New Roman"/>
          <w:sz w:val="24"/>
          <w:u w:val="single"/>
        </w:rPr>
        <w:t>larity of Instructions and</w:t>
      </w:r>
      <w:r>
        <w:rPr>
          <w:rFonts w:ascii="Times New Roman" w:hAnsi="Times New Roman"/>
          <w:sz w:val="24"/>
          <w:u w:val="single"/>
        </w:rPr>
        <w:t xml:space="preserve"> f</w:t>
      </w:r>
      <w:r w:rsidRPr="009D107E">
        <w:rPr>
          <w:rFonts w:ascii="Times New Roman" w:hAnsi="Times New Roman"/>
          <w:sz w:val="24"/>
          <w:u w:val="single"/>
        </w:rPr>
        <w:t xml:space="preserve">orms, and </w:t>
      </w:r>
      <w:r>
        <w:rPr>
          <w:rFonts w:ascii="Times New Roman" w:hAnsi="Times New Roman"/>
          <w:sz w:val="24"/>
          <w:u w:val="single"/>
        </w:rPr>
        <w:t>d</w:t>
      </w:r>
      <w:r w:rsidRPr="009D107E">
        <w:rPr>
          <w:rFonts w:ascii="Times New Roman" w:hAnsi="Times New Roman"/>
          <w:sz w:val="24"/>
          <w:u w:val="single"/>
        </w:rPr>
        <w:t xml:space="preserve">ata </w:t>
      </w:r>
      <w:r>
        <w:rPr>
          <w:rFonts w:ascii="Times New Roman" w:hAnsi="Times New Roman"/>
          <w:sz w:val="24"/>
          <w:u w:val="single"/>
        </w:rPr>
        <w:t>e</w:t>
      </w:r>
      <w:r w:rsidRPr="009D107E">
        <w:rPr>
          <w:rFonts w:ascii="Times New Roman" w:hAnsi="Times New Roman"/>
          <w:sz w:val="24"/>
          <w:u w:val="single"/>
        </w:rPr>
        <w:t>lements.</w:t>
      </w:r>
      <w:r w:rsidRPr="009D107E">
        <w:rPr>
          <w:rFonts w:ascii="Times New Roman" w:hAnsi="Times New Roman"/>
          <w:sz w:val="24"/>
        </w:rPr>
        <w:t xml:space="preserve"> </w:t>
      </w:r>
    </w:p>
    <w:p w:rsidR="007B5C6B" w:rsidP="00A7101B" w14:paraId="731D93BA" w14:textId="77777777">
      <w:pPr>
        <w:spacing w:after="120"/>
        <w:ind w:firstLine="720"/>
        <w:rPr>
          <w:rFonts w:ascii="Times New Roman" w:hAnsi="Times New Roman"/>
          <w:sz w:val="24"/>
        </w:rPr>
      </w:pPr>
      <w:r>
        <w:rPr>
          <w:rFonts w:ascii="Times New Roman" w:hAnsi="Times New Roman"/>
          <w:sz w:val="24"/>
        </w:rPr>
        <w:t xml:space="preserve">During the preparation of the Treasury investment adviser risk assessment, </w:t>
      </w:r>
      <w:r w:rsidRPr="00AD43DE">
        <w:rPr>
          <w:rFonts w:ascii="Times New Roman" w:hAnsi="Times New Roman"/>
          <w:sz w:val="24"/>
        </w:rPr>
        <w:t xml:space="preserve">Treasury, in coordination with </w:t>
      </w:r>
      <w:r>
        <w:rPr>
          <w:rFonts w:ascii="Times New Roman" w:hAnsi="Times New Roman"/>
          <w:sz w:val="24"/>
        </w:rPr>
        <w:t xml:space="preserve">the Federal Bureau of Investigation, conducted </w:t>
      </w:r>
      <w:r w:rsidRPr="00AD43DE">
        <w:rPr>
          <w:rFonts w:ascii="Times New Roman" w:hAnsi="Times New Roman"/>
          <w:sz w:val="24"/>
        </w:rPr>
        <w:t xml:space="preserve">an analysis of </w:t>
      </w:r>
      <w:r>
        <w:rPr>
          <w:rFonts w:ascii="Times New Roman" w:hAnsi="Times New Roman"/>
          <w:sz w:val="24"/>
        </w:rPr>
        <w:t>certain BSA reports</w:t>
      </w:r>
      <w:r w:rsidRPr="00AD43DE">
        <w:rPr>
          <w:rFonts w:ascii="Times New Roman" w:hAnsi="Times New Roman"/>
          <w:sz w:val="24"/>
        </w:rPr>
        <w:t xml:space="preserve"> filed between 2013 and 2021 that were associated with RIAs and ERAs.  That analysis </w:t>
      </w:r>
      <w:r>
        <w:rPr>
          <w:rFonts w:ascii="Times New Roman" w:hAnsi="Times New Roman"/>
          <w:sz w:val="24"/>
        </w:rPr>
        <w:t>reviewed certain BSA reports associated</w:t>
      </w:r>
      <w:r w:rsidRPr="00AD43DE">
        <w:rPr>
          <w:rFonts w:ascii="Times New Roman" w:hAnsi="Times New Roman"/>
          <w:sz w:val="24"/>
        </w:rPr>
        <w:t xml:space="preserve"> with or referenc</w:t>
      </w:r>
      <w:r>
        <w:rPr>
          <w:rFonts w:ascii="Times New Roman" w:hAnsi="Times New Roman"/>
          <w:sz w:val="24"/>
        </w:rPr>
        <w:t>ing an RIA or ERA, and the extent to which AML/CFT obligations on banks, broker-dealers, and other BSA-defined financial institutions were already collecting information on illicit finance activity associated with investment advisers.</w:t>
      </w:r>
      <w:r w:rsidRPr="00AD43DE">
        <w:rPr>
          <w:rFonts w:ascii="Times New Roman" w:hAnsi="Times New Roman"/>
          <w:sz w:val="24"/>
        </w:rPr>
        <w:t xml:space="preserve">  </w:t>
      </w:r>
    </w:p>
    <w:p w:rsidR="007B5C6B" w:rsidP="00A7101B" w14:paraId="6B115763" w14:textId="00B8744B">
      <w:pPr>
        <w:spacing w:after="120"/>
        <w:ind w:firstLine="720"/>
        <w:rPr>
          <w:rFonts w:ascii="Times New Roman" w:hAnsi="Times New Roman"/>
          <w:sz w:val="24"/>
        </w:rPr>
      </w:pPr>
      <w:r>
        <w:rPr>
          <w:rFonts w:ascii="Times New Roman" w:hAnsi="Times New Roman"/>
          <w:sz w:val="24"/>
        </w:rPr>
        <w:t xml:space="preserve">Treasury also consulted with the SEC on the information provided by RIAs and ERAs on Form ADV.  </w:t>
      </w:r>
      <w:r w:rsidRPr="00A07299">
        <w:rPr>
          <w:rFonts w:ascii="Times New Roman" w:hAnsi="Times New Roman"/>
          <w:sz w:val="24"/>
        </w:rPr>
        <w:t xml:space="preserve">Form ADV collects certain information about the adviser, including (depending on the adviser’s registration status) its AUM, ownership, number of clients, number of employees, </w:t>
      </w:r>
      <w:r w:rsidRPr="00A07299">
        <w:rPr>
          <w:rFonts w:ascii="Times New Roman" w:hAnsi="Times New Roman"/>
          <w:sz w:val="24"/>
        </w:rPr>
        <w:t xml:space="preserve">business practices, custodians of client funds, and affiliations, as well as certain disciplinary or material events of the adviser or its employees.  ERAs </w:t>
      </w:r>
      <w:r w:rsidR="009E3596">
        <w:rPr>
          <w:rFonts w:ascii="Times New Roman" w:hAnsi="Times New Roman"/>
          <w:sz w:val="24"/>
        </w:rPr>
        <w:t>that</w:t>
      </w:r>
      <w:r w:rsidRPr="00A07299" w:rsidR="009E3596">
        <w:rPr>
          <w:rFonts w:ascii="Times New Roman" w:hAnsi="Times New Roman"/>
          <w:sz w:val="24"/>
        </w:rPr>
        <w:t xml:space="preserve"> </w:t>
      </w:r>
      <w:r w:rsidRPr="00A07299">
        <w:rPr>
          <w:rFonts w:ascii="Times New Roman" w:hAnsi="Times New Roman"/>
          <w:sz w:val="24"/>
        </w:rPr>
        <w:t>are not registered with the SEC or a state securities regulator are only required to file an abbreviated version of Form ADV—they are required to answer fewer client-related questions and provide less information about the services they provide.  Form ADV does not require investment advisers to disclose the names of individual clients or investors.</w:t>
      </w:r>
    </w:p>
    <w:p w:rsidR="00481EC1" w:rsidP="00ED0369" w14:paraId="5A72888F" w14:textId="6AC68873">
      <w:pPr>
        <w:spacing w:after="120"/>
        <w:ind w:firstLine="720"/>
        <w:rPr>
          <w:rFonts w:ascii="Times New Roman" w:hAnsi="Times New Roman"/>
          <w:sz w:val="24"/>
        </w:rPr>
      </w:pPr>
      <w:r>
        <w:rPr>
          <w:rFonts w:ascii="Times New Roman" w:hAnsi="Times New Roman"/>
          <w:sz w:val="24"/>
        </w:rPr>
        <w:t xml:space="preserve">On February 15, 2024, FinCEN published in the Federal Register an NPRM entitled AML/CFT </w:t>
      </w:r>
      <w:r w:rsidR="002E4308">
        <w:rPr>
          <w:rFonts w:ascii="Times New Roman" w:hAnsi="Times New Roman"/>
          <w:sz w:val="24"/>
        </w:rPr>
        <w:t>and SAR Filing Requirements for RIAs and ERAs requesting comments on the proposal.</w:t>
      </w:r>
      <w:r>
        <w:rPr>
          <w:rStyle w:val="FootnoteReference"/>
          <w:rFonts w:ascii="Times New Roman" w:hAnsi="Times New Roman"/>
          <w:sz w:val="24"/>
          <w:vertAlign w:val="superscript"/>
        </w:rPr>
        <w:footnoteReference w:id="8"/>
      </w:r>
      <w:r w:rsidRPr="00CA1C00" w:rsidR="002E4308">
        <w:rPr>
          <w:rFonts w:ascii="Times New Roman" w:hAnsi="Times New Roman"/>
          <w:sz w:val="24"/>
          <w:vertAlign w:val="superscript"/>
        </w:rPr>
        <w:t xml:space="preserve">  </w:t>
      </w:r>
      <w:r w:rsidR="002E4308">
        <w:rPr>
          <w:rFonts w:ascii="Times New Roman" w:hAnsi="Times New Roman"/>
          <w:sz w:val="24"/>
        </w:rPr>
        <w:t xml:space="preserve">The comment period closed on April 15, 2024.  </w:t>
      </w:r>
      <w:r>
        <w:rPr>
          <w:rFonts w:ascii="Times New Roman" w:hAnsi="Times New Roman"/>
          <w:sz w:val="24"/>
        </w:rPr>
        <w:t>FinCEN received 49 comments</w:t>
      </w:r>
      <w:r w:rsidR="00CA1C00">
        <w:rPr>
          <w:rFonts w:ascii="Times New Roman" w:hAnsi="Times New Roman"/>
          <w:sz w:val="24"/>
        </w:rPr>
        <w:t xml:space="preserve"> in response to the NPRM</w:t>
      </w:r>
      <w:r>
        <w:rPr>
          <w:rFonts w:ascii="Times New Roman" w:hAnsi="Times New Roman"/>
          <w:sz w:val="24"/>
        </w:rPr>
        <w:t>.</w:t>
      </w:r>
      <w:r>
        <w:rPr>
          <w:rStyle w:val="FootnoteReference"/>
          <w:rFonts w:ascii="Times New Roman" w:hAnsi="Times New Roman"/>
          <w:sz w:val="24"/>
          <w:vertAlign w:val="superscript"/>
        </w:rPr>
        <w:footnoteReference w:id="9"/>
      </w:r>
      <w:r w:rsidRPr="00F979CF" w:rsidR="00CA1C00">
        <w:rPr>
          <w:rFonts w:ascii="Times New Roman" w:hAnsi="Times New Roman"/>
          <w:sz w:val="24"/>
          <w:vertAlign w:val="superscript"/>
        </w:rPr>
        <w:t xml:space="preserve">  </w:t>
      </w:r>
      <w:r w:rsidRPr="00B23A6F">
        <w:rPr>
          <w:rFonts w:ascii="Times New Roman" w:hAnsi="Times New Roman"/>
          <w:sz w:val="24"/>
        </w:rPr>
        <w:t>Of the 49 comments, 16 were from individual commenters; 16 were from trade associations representing various financial services entities (including seven that were a form letter provided by one association); six were from think-tanks or non-governmental organizations (NGOs); and five were from RIAs.</w:t>
      </w:r>
      <w:r>
        <w:rPr>
          <w:rFonts w:ascii="Times New Roman" w:hAnsi="Times New Roman"/>
          <w:sz w:val="24"/>
        </w:rPr>
        <w:t xml:space="preserve">  FinCEN has made several changes to the </w:t>
      </w:r>
      <w:r w:rsidR="00CA1C00">
        <w:rPr>
          <w:rFonts w:ascii="Times New Roman" w:hAnsi="Times New Roman"/>
          <w:sz w:val="24"/>
        </w:rPr>
        <w:t xml:space="preserve">final </w:t>
      </w:r>
      <w:r>
        <w:rPr>
          <w:rFonts w:ascii="Times New Roman" w:hAnsi="Times New Roman"/>
          <w:sz w:val="24"/>
        </w:rPr>
        <w:t xml:space="preserve">rule as a result. </w:t>
      </w:r>
      <w:r w:rsidR="000F052E">
        <w:rPr>
          <w:rFonts w:ascii="Times New Roman" w:hAnsi="Times New Roman"/>
          <w:sz w:val="24"/>
        </w:rPr>
        <w:t xml:space="preserve"> </w:t>
      </w:r>
      <w:r>
        <w:rPr>
          <w:rFonts w:ascii="Times New Roman" w:hAnsi="Times New Roman"/>
          <w:sz w:val="24"/>
        </w:rPr>
        <w:t xml:space="preserve">These include: narrowing the definition of “investment adviser” from the proposed rule; clarifying </w:t>
      </w:r>
      <w:r w:rsidRPr="002B3DDB">
        <w:rPr>
          <w:rFonts w:ascii="Times New Roman" w:hAnsi="Times New Roman"/>
          <w:sz w:val="24"/>
        </w:rPr>
        <w:t>that</w:t>
      </w:r>
      <w:r>
        <w:rPr>
          <w:rFonts w:ascii="Times New Roman" w:hAnsi="Times New Roman"/>
          <w:sz w:val="24"/>
        </w:rPr>
        <w:t>,</w:t>
      </w:r>
      <w:r w:rsidRPr="002B3DDB">
        <w:rPr>
          <w:rFonts w:ascii="Times New Roman" w:hAnsi="Times New Roman"/>
          <w:sz w:val="24"/>
        </w:rPr>
        <w:t xml:space="preserve"> </w:t>
      </w:r>
      <w:r>
        <w:rPr>
          <w:rFonts w:ascii="Times New Roman" w:hAnsi="Times New Roman"/>
          <w:sz w:val="24"/>
        </w:rPr>
        <w:t xml:space="preserve">for investment advisers that </w:t>
      </w:r>
      <w:r w:rsidRPr="002B3DDB">
        <w:rPr>
          <w:rFonts w:ascii="Times New Roman" w:hAnsi="Times New Roman"/>
          <w:sz w:val="24"/>
        </w:rPr>
        <w:t>have their principal office and place of business outside the United States</w:t>
      </w:r>
      <w:r>
        <w:rPr>
          <w:rFonts w:ascii="Times New Roman" w:hAnsi="Times New Roman"/>
          <w:sz w:val="24"/>
        </w:rPr>
        <w:t xml:space="preserve">, </w:t>
      </w:r>
      <w:r w:rsidRPr="002B3DDB">
        <w:rPr>
          <w:rFonts w:ascii="Times New Roman" w:hAnsi="Times New Roman"/>
          <w:sz w:val="24"/>
        </w:rPr>
        <w:t>the rule applies only to their activities that</w:t>
      </w:r>
      <w:r w:rsidR="00621D37">
        <w:rPr>
          <w:rFonts w:ascii="Times New Roman" w:hAnsi="Times New Roman"/>
          <w:sz w:val="24"/>
        </w:rPr>
        <w:t xml:space="preserve"> </w:t>
      </w:r>
      <w:r w:rsidRPr="00621D37" w:rsidR="00621D37">
        <w:rPr>
          <w:rFonts w:ascii="Times New Roman" w:hAnsi="Times New Roman"/>
          <w:sz w:val="24"/>
        </w:rPr>
        <w:t>(i) take place within the United States, including through involvement of U.S. personnel of the investment adviser, such as the involvement of an agency, branch, or office within the United States, or (ii)</w:t>
      </w:r>
      <w:r w:rsidR="00DB6009">
        <w:rPr>
          <w:rFonts w:ascii="Times New Roman" w:hAnsi="Times New Roman"/>
          <w:sz w:val="24"/>
        </w:rPr>
        <w:t> </w:t>
      </w:r>
      <w:r w:rsidRPr="00621D37" w:rsidR="00621D37">
        <w:rPr>
          <w:rFonts w:ascii="Times New Roman" w:hAnsi="Times New Roman"/>
          <w:sz w:val="24"/>
        </w:rPr>
        <w:t>are the provision of advisory services to a U.S. person or a foreign-located private fund with an investor  that is a U.S. person</w:t>
      </w:r>
      <w:r>
        <w:rPr>
          <w:rFonts w:ascii="Times New Roman" w:hAnsi="Times New Roman"/>
          <w:sz w:val="24"/>
        </w:rPr>
        <w:t>; allowing an investment adviser to exclude a mutual fund from its AML/CFT program without verifying that the mutual fund in question has an AML/CFT program; providing an exclusion</w:t>
      </w:r>
      <w:r w:rsidRPr="009B0605">
        <w:rPr>
          <w:rFonts w:ascii="Times New Roman" w:hAnsi="Times New Roman"/>
          <w:sz w:val="24"/>
        </w:rPr>
        <w:t xml:space="preserve"> from an investment adviser’s AML/CFT program for: (i) bank- and trust company-sponsored collective investment funds that comply with the requirements of 12 CFR</w:t>
      </w:r>
      <w:r w:rsidR="00CF4CC2">
        <w:rPr>
          <w:rFonts w:ascii="Times New Roman" w:hAnsi="Times New Roman"/>
          <w:sz w:val="24"/>
        </w:rPr>
        <w:t xml:space="preserve"> </w:t>
      </w:r>
      <w:r w:rsidR="00CF4CC2">
        <w:rPr>
          <w:rFonts w:ascii="Times New Roman" w:hAnsi="Times New Roman" w:cs="Times New Roman"/>
          <w:sz w:val="24"/>
        </w:rPr>
        <w:t>§</w:t>
      </w:r>
      <w:r w:rsidRPr="009B0605">
        <w:rPr>
          <w:rFonts w:ascii="Times New Roman" w:hAnsi="Times New Roman"/>
          <w:sz w:val="24"/>
        </w:rPr>
        <w:t xml:space="preserve"> 9.18 or a similar applicable law that incorporates the requirements of 12 CFR</w:t>
      </w:r>
      <w:r w:rsidR="00CF4CC2">
        <w:rPr>
          <w:rFonts w:ascii="Times New Roman" w:hAnsi="Times New Roman"/>
          <w:sz w:val="24"/>
        </w:rPr>
        <w:t xml:space="preserve"> </w:t>
      </w:r>
      <w:r w:rsidR="00CF4CC2">
        <w:rPr>
          <w:rFonts w:ascii="Times New Roman" w:hAnsi="Times New Roman" w:cs="Times New Roman"/>
          <w:sz w:val="24"/>
        </w:rPr>
        <w:t>§</w:t>
      </w:r>
      <w:r w:rsidRPr="009B0605">
        <w:rPr>
          <w:rFonts w:ascii="Times New Roman" w:hAnsi="Times New Roman"/>
          <w:sz w:val="24"/>
        </w:rPr>
        <w:t xml:space="preserve"> 9.18, and (ii) any other investment adviser subject to this rule that is advised by the investment adviser</w:t>
      </w:r>
      <w:r w:rsidR="00DB6009">
        <w:rPr>
          <w:rFonts w:ascii="Times New Roman" w:hAnsi="Times New Roman"/>
          <w:sz w:val="24"/>
        </w:rPr>
        <w:t>;</w:t>
      </w:r>
      <w:r>
        <w:rPr>
          <w:rFonts w:ascii="Times New Roman" w:hAnsi="Times New Roman"/>
          <w:sz w:val="24"/>
        </w:rPr>
        <w:t xml:space="preserve"> and extending the compliance date to January 1</w:t>
      </w:r>
      <w:r w:rsidR="00CF4CC2">
        <w:rPr>
          <w:rFonts w:ascii="Times New Roman" w:hAnsi="Times New Roman"/>
          <w:sz w:val="24"/>
        </w:rPr>
        <w:t>,</w:t>
      </w:r>
      <w:r>
        <w:rPr>
          <w:rFonts w:ascii="Times New Roman" w:hAnsi="Times New Roman"/>
          <w:sz w:val="24"/>
        </w:rPr>
        <w:t xml:space="preserve"> 2026.  </w:t>
      </w:r>
    </w:p>
    <w:p w:rsidR="00481EC1" w:rsidP="00ED0369" w14:paraId="76EDB09C" w14:textId="77777777">
      <w:pPr>
        <w:spacing w:after="120"/>
        <w:ind w:firstLine="720"/>
        <w:rPr>
          <w:rFonts w:ascii="Times New Roman" w:hAnsi="Times New Roman"/>
          <w:sz w:val="24"/>
        </w:rPr>
      </w:pPr>
      <w:bookmarkStart w:id="1" w:name="_Hlk173324854"/>
      <w:r>
        <w:rPr>
          <w:rFonts w:ascii="Times New Roman" w:hAnsi="Times New Roman"/>
          <w:sz w:val="24"/>
        </w:rPr>
        <w:t>The decision to narrow the definition of investment adviser to exclude investment advisers registering as mid-sized advisers with the SEC follows feedback to the NPRM and will reduce the estimated burden of the rule.</w:t>
      </w:r>
    </w:p>
    <w:bookmarkEnd w:id="1"/>
    <w:p w:rsidR="00481EC1" w:rsidP="00ED0369" w14:paraId="179D48A3" w14:textId="03537612">
      <w:pPr>
        <w:spacing w:after="120"/>
        <w:ind w:firstLine="720"/>
        <w:rPr>
          <w:rFonts w:ascii="Times New Roman" w:hAnsi="Times New Roman" w:cs="Times New Roman"/>
          <w:sz w:val="24"/>
          <w:szCs w:val="24"/>
        </w:rPr>
      </w:pPr>
      <w:r>
        <w:rPr>
          <w:rFonts w:ascii="Times New Roman" w:hAnsi="Times New Roman" w:cs="Times New Roman"/>
          <w:sz w:val="24"/>
          <w:szCs w:val="24"/>
        </w:rPr>
        <w:t>During the comment period, FinCEN took feedback from</w:t>
      </w:r>
      <w:r w:rsidR="00EF1C7C">
        <w:rPr>
          <w:rFonts w:ascii="Times New Roman" w:hAnsi="Times New Roman" w:cs="Times New Roman"/>
          <w:sz w:val="24"/>
          <w:szCs w:val="24"/>
        </w:rPr>
        <w:t xml:space="preserve"> certain</w:t>
      </w:r>
      <w:r>
        <w:rPr>
          <w:rFonts w:ascii="Times New Roman" w:hAnsi="Times New Roman" w:cs="Times New Roman"/>
          <w:sz w:val="24"/>
          <w:szCs w:val="24"/>
        </w:rPr>
        <w:t xml:space="preserve"> industry and civil society organizations.  These meetings were held on April 8, 2024, and April 11, 2024. </w:t>
      </w:r>
      <w:r w:rsidR="000F052E">
        <w:rPr>
          <w:rFonts w:ascii="Times New Roman" w:hAnsi="Times New Roman" w:cs="Times New Roman"/>
          <w:sz w:val="24"/>
          <w:szCs w:val="24"/>
        </w:rPr>
        <w:t xml:space="preserve"> </w:t>
      </w:r>
      <w:r>
        <w:rPr>
          <w:rFonts w:ascii="Times New Roman" w:hAnsi="Times New Roman" w:cs="Times New Roman"/>
          <w:sz w:val="24"/>
          <w:szCs w:val="24"/>
        </w:rPr>
        <w:t xml:space="preserve">Records of these meetings are available at </w:t>
      </w:r>
      <w:r w:rsidR="00AB7920">
        <w:rPr>
          <w:rFonts w:ascii="Times New Roman" w:hAnsi="Times New Roman" w:cs="Times New Roman"/>
          <w:sz w:val="24"/>
          <w:szCs w:val="24"/>
        </w:rPr>
        <w:t>www.</w:t>
      </w:r>
      <w:r w:rsidRPr="00ED0369">
        <w:rPr>
          <w:rFonts w:ascii="Times New Roman" w:hAnsi="Times New Roman"/>
          <w:sz w:val="24"/>
        </w:rPr>
        <w:t>regulations</w:t>
      </w:r>
      <w:r>
        <w:rPr>
          <w:rFonts w:ascii="Times New Roman" w:hAnsi="Times New Roman" w:cs="Times New Roman"/>
          <w:sz w:val="24"/>
          <w:szCs w:val="24"/>
        </w:rPr>
        <w:t>.gov under docket ID ‘</w:t>
      </w:r>
      <w:r w:rsidRPr="00E42C8E">
        <w:rPr>
          <w:rFonts w:ascii="Times New Roman" w:hAnsi="Times New Roman" w:cs="Times New Roman"/>
          <w:sz w:val="24"/>
          <w:szCs w:val="24"/>
        </w:rPr>
        <w:t>FINCEN-2024-0006</w:t>
      </w:r>
      <w:r>
        <w:rPr>
          <w:rFonts w:ascii="Times New Roman" w:hAnsi="Times New Roman" w:cs="Times New Roman"/>
          <w:sz w:val="24"/>
          <w:szCs w:val="24"/>
        </w:rPr>
        <w:t xml:space="preserve">’. </w:t>
      </w:r>
    </w:p>
    <w:p w:rsidR="007B5C6B" w:rsidRPr="00AD5C95" w:rsidP="00A7101B" w14:paraId="59CCD2D2" w14:textId="77777777">
      <w:pPr>
        <w:keepNext/>
        <w:spacing w:before="283"/>
        <w:rPr>
          <w:rFonts w:ascii="Times New Roman" w:hAnsi="Times New Roman"/>
          <w:sz w:val="24"/>
          <w:u w:val="single"/>
        </w:rPr>
      </w:pPr>
      <w:r>
        <w:rPr>
          <w:rFonts w:ascii="Times New Roman" w:hAnsi="Times New Roman"/>
          <w:sz w:val="24"/>
        </w:rPr>
        <w:t xml:space="preserve">9. </w:t>
      </w:r>
      <w:r w:rsidRPr="007D16E3">
        <w:rPr>
          <w:rFonts w:ascii="Times New Roman" w:hAnsi="Times New Roman"/>
          <w:sz w:val="24"/>
          <w:u w:val="single"/>
        </w:rPr>
        <w:t xml:space="preserve">Explanation of </w:t>
      </w:r>
      <w:r>
        <w:rPr>
          <w:rFonts w:ascii="Times New Roman" w:hAnsi="Times New Roman"/>
          <w:sz w:val="24"/>
          <w:u w:val="single"/>
        </w:rPr>
        <w:t>d</w:t>
      </w:r>
      <w:r w:rsidRPr="007D16E3">
        <w:rPr>
          <w:rFonts w:ascii="Times New Roman" w:hAnsi="Times New Roman"/>
          <w:sz w:val="24"/>
          <w:u w:val="single"/>
        </w:rPr>
        <w:t xml:space="preserve">ecision to </w:t>
      </w:r>
      <w:r>
        <w:rPr>
          <w:rFonts w:ascii="Times New Roman" w:hAnsi="Times New Roman"/>
          <w:sz w:val="24"/>
          <w:u w:val="single"/>
        </w:rPr>
        <w:t>p</w:t>
      </w:r>
      <w:r w:rsidRPr="007D16E3">
        <w:rPr>
          <w:rFonts w:ascii="Times New Roman" w:hAnsi="Times New Roman"/>
          <w:sz w:val="24"/>
          <w:u w:val="single"/>
        </w:rPr>
        <w:t xml:space="preserve">rovide </w:t>
      </w:r>
      <w:r>
        <w:rPr>
          <w:rFonts w:ascii="Times New Roman" w:hAnsi="Times New Roman"/>
          <w:sz w:val="24"/>
          <w:u w:val="single"/>
        </w:rPr>
        <w:t>a</w:t>
      </w:r>
      <w:r w:rsidRPr="007D16E3">
        <w:rPr>
          <w:rFonts w:ascii="Times New Roman" w:hAnsi="Times New Roman"/>
          <w:sz w:val="24"/>
          <w:u w:val="single"/>
        </w:rPr>
        <w:t xml:space="preserve">ny </w:t>
      </w:r>
      <w:r>
        <w:rPr>
          <w:rFonts w:ascii="Times New Roman" w:hAnsi="Times New Roman"/>
          <w:sz w:val="24"/>
          <w:u w:val="single"/>
        </w:rPr>
        <w:t>p</w:t>
      </w:r>
      <w:r w:rsidRPr="007D16E3">
        <w:rPr>
          <w:rFonts w:ascii="Times New Roman" w:hAnsi="Times New Roman"/>
          <w:sz w:val="24"/>
          <w:u w:val="single"/>
        </w:rPr>
        <w:t xml:space="preserve">ayment or </w:t>
      </w:r>
      <w:r>
        <w:rPr>
          <w:rFonts w:ascii="Times New Roman" w:hAnsi="Times New Roman"/>
          <w:sz w:val="24"/>
          <w:u w:val="single"/>
        </w:rPr>
        <w:t>g</w:t>
      </w:r>
      <w:r w:rsidRPr="007D16E3">
        <w:rPr>
          <w:rFonts w:ascii="Times New Roman" w:hAnsi="Times New Roman"/>
          <w:sz w:val="24"/>
          <w:u w:val="single"/>
        </w:rPr>
        <w:t xml:space="preserve">ift to </w:t>
      </w:r>
      <w:r>
        <w:rPr>
          <w:rFonts w:ascii="Times New Roman" w:hAnsi="Times New Roman"/>
          <w:sz w:val="24"/>
          <w:u w:val="single"/>
        </w:rPr>
        <w:t>r</w:t>
      </w:r>
      <w:r w:rsidRPr="007D16E3">
        <w:rPr>
          <w:rFonts w:ascii="Times New Roman" w:hAnsi="Times New Roman"/>
          <w:sz w:val="24"/>
          <w:u w:val="single"/>
        </w:rPr>
        <w:t>espondents.</w:t>
      </w:r>
    </w:p>
    <w:p w:rsidR="007B5C6B" w:rsidRPr="00AD5C95" w:rsidP="00ED0369" w14:paraId="790C634C" w14:textId="77777777">
      <w:pPr>
        <w:spacing w:after="120"/>
        <w:ind w:firstLine="720"/>
        <w:rPr>
          <w:rFonts w:ascii="Times New Roman" w:hAnsi="Times New Roman"/>
          <w:sz w:val="24"/>
        </w:rPr>
      </w:pPr>
      <w:r>
        <w:rPr>
          <w:rFonts w:ascii="Times New Roman" w:hAnsi="Times New Roman"/>
          <w:sz w:val="24"/>
        </w:rPr>
        <w:t xml:space="preserve">No payments or gifts were </w:t>
      </w:r>
      <w:r w:rsidRPr="00196C55">
        <w:rPr>
          <w:rFonts w:ascii="Times New Roman" w:hAnsi="Times New Roman"/>
          <w:sz w:val="24"/>
        </w:rPr>
        <w:t>made to respondents</w:t>
      </w:r>
      <w:r w:rsidRPr="005B0E61">
        <w:rPr>
          <w:rFonts w:ascii="Times New Roman" w:hAnsi="Times New Roman"/>
          <w:sz w:val="24"/>
        </w:rPr>
        <w:t>.</w:t>
      </w:r>
    </w:p>
    <w:p w:rsidR="007B5C6B" w:rsidRPr="00AD5C95" w:rsidP="00A7101B" w14:paraId="1F5C85CC" w14:textId="77777777">
      <w:pPr>
        <w:keepNext/>
        <w:spacing w:before="283"/>
        <w:rPr>
          <w:sz w:val="24"/>
          <w:u w:val="single"/>
        </w:rPr>
      </w:pPr>
      <w:r>
        <w:rPr>
          <w:rFonts w:ascii="Times New Roman" w:hAnsi="Times New Roman"/>
          <w:sz w:val="24"/>
        </w:rPr>
        <w:t xml:space="preserve">10. </w:t>
      </w:r>
      <w:r w:rsidRPr="00196C55">
        <w:rPr>
          <w:rFonts w:ascii="Times New Roman" w:hAnsi="Times New Roman"/>
          <w:sz w:val="24"/>
          <w:u w:val="single"/>
        </w:rPr>
        <w:t xml:space="preserve">Assurance of </w:t>
      </w:r>
      <w:r>
        <w:rPr>
          <w:rFonts w:ascii="Times New Roman" w:hAnsi="Times New Roman"/>
          <w:sz w:val="24"/>
          <w:u w:val="single"/>
        </w:rPr>
        <w:t>c</w:t>
      </w:r>
      <w:r w:rsidRPr="00196C55">
        <w:rPr>
          <w:rFonts w:ascii="Times New Roman" w:hAnsi="Times New Roman"/>
          <w:sz w:val="24"/>
          <w:u w:val="single"/>
        </w:rPr>
        <w:t xml:space="preserve">onfidentiality of </w:t>
      </w:r>
      <w:r>
        <w:rPr>
          <w:rFonts w:ascii="Times New Roman" w:hAnsi="Times New Roman"/>
          <w:sz w:val="24"/>
          <w:u w:val="single"/>
        </w:rPr>
        <w:t>r</w:t>
      </w:r>
      <w:r w:rsidRPr="00196C55">
        <w:rPr>
          <w:rFonts w:ascii="Times New Roman" w:hAnsi="Times New Roman"/>
          <w:sz w:val="24"/>
          <w:u w:val="single"/>
        </w:rPr>
        <w:t>esponses.</w:t>
      </w:r>
    </w:p>
    <w:p w:rsidR="007B5C6B" w:rsidRPr="00AD5C95" w:rsidP="00ED0369" w14:paraId="0FC94057" w14:textId="1A13A714">
      <w:pPr>
        <w:spacing w:after="120"/>
        <w:ind w:firstLine="720"/>
        <w:rPr>
          <w:rFonts w:ascii="Times New Roman" w:hAnsi="Times New Roman"/>
          <w:sz w:val="24"/>
        </w:rPr>
      </w:pPr>
      <w:r w:rsidRPr="00C84BAB">
        <w:rPr>
          <w:rFonts w:ascii="Times New Roman" w:hAnsi="Times New Roman"/>
          <w:sz w:val="24"/>
        </w:rPr>
        <w:t>The information collected would be available to Treasury</w:t>
      </w:r>
      <w:r>
        <w:rPr>
          <w:rFonts w:ascii="Times New Roman" w:hAnsi="Times New Roman"/>
          <w:sz w:val="24"/>
        </w:rPr>
        <w:t>,</w:t>
      </w:r>
      <w:r w:rsidRPr="00C84BAB">
        <w:rPr>
          <w:rFonts w:ascii="Times New Roman" w:hAnsi="Times New Roman"/>
          <w:sz w:val="24"/>
        </w:rPr>
        <w:t xml:space="preserve"> its designee</w:t>
      </w:r>
      <w:r>
        <w:rPr>
          <w:rFonts w:ascii="Times New Roman" w:hAnsi="Times New Roman"/>
          <w:sz w:val="24"/>
        </w:rPr>
        <w:t xml:space="preserve">, and other authorized agencies, along with all other reports required to be reported under the BSA. </w:t>
      </w:r>
      <w:r w:rsidRPr="00C84BAB">
        <w:rPr>
          <w:rFonts w:ascii="Times New Roman" w:hAnsi="Times New Roman"/>
          <w:sz w:val="24"/>
        </w:rPr>
        <w:t xml:space="preserve"> </w:t>
      </w:r>
      <w:r w:rsidRPr="00C80C19">
        <w:rPr>
          <w:rFonts w:ascii="Times New Roman" w:hAnsi="Times New Roman"/>
          <w:sz w:val="24"/>
        </w:rPr>
        <w:t xml:space="preserve">All such information collections under the BSA must be used by such agencies consistent with a purpose set forth in 31 U.S.C. </w:t>
      </w:r>
      <w:r w:rsidR="00CF4CC2">
        <w:rPr>
          <w:rFonts w:ascii="Times New Roman" w:hAnsi="Times New Roman" w:cs="Times New Roman"/>
          <w:sz w:val="24"/>
        </w:rPr>
        <w:t>§</w:t>
      </w:r>
      <w:r w:rsidR="00CF4CC2">
        <w:rPr>
          <w:rFonts w:ascii="Times New Roman" w:hAnsi="Times New Roman"/>
          <w:sz w:val="24"/>
        </w:rPr>
        <w:t xml:space="preserve"> </w:t>
      </w:r>
      <w:r w:rsidRPr="00C80C19">
        <w:rPr>
          <w:rFonts w:ascii="Times New Roman" w:hAnsi="Times New Roman"/>
          <w:sz w:val="24"/>
        </w:rPr>
        <w:t>5311, including furthering a criminal, tax, or regulatory investigation, risk assessment, or proceeding, or use in intelligence or counterintelligence activities, including analysis, to protect against terrorism.</w:t>
      </w:r>
    </w:p>
    <w:p w:rsidR="007B5C6B" w:rsidRPr="00AD5C95" w:rsidP="00A7101B" w14:paraId="36B5F657" w14:textId="77777777">
      <w:pPr>
        <w:keepNext/>
        <w:spacing w:before="283"/>
        <w:rPr>
          <w:rFonts w:ascii="Times New Roman" w:hAnsi="Times New Roman"/>
          <w:sz w:val="24"/>
        </w:rPr>
      </w:pPr>
      <w:r w:rsidRPr="001F7618">
        <w:rPr>
          <w:rFonts w:ascii="Times New Roman" w:hAnsi="Times New Roman"/>
          <w:sz w:val="24"/>
        </w:rPr>
        <w:t xml:space="preserve">11. </w:t>
      </w:r>
      <w:r w:rsidRPr="001F7618">
        <w:rPr>
          <w:rFonts w:ascii="Times New Roman" w:hAnsi="Times New Roman"/>
          <w:sz w:val="24"/>
          <w:u w:val="single"/>
        </w:rPr>
        <w:t xml:space="preserve">Justification of </w:t>
      </w:r>
      <w:r>
        <w:rPr>
          <w:rFonts w:ascii="Times New Roman" w:hAnsi="Times New Roman"/>
          <w:sz w:val="24"/>
          <w:u w:val="single"/>
        </w:rPr>
        <w:t>s</w:t>
      </w:r>
      <w:r w:rsidRPr="001F7618">
        <w:rPr>
          <w:rFonts w:ascii="Times New Roman" w:hAnsi="Times New Roman"/>
          <w:sz w:val="24"/>
          <w:u w:val="single"/>
        </w:rPr>
        <w:t xml:space="preserve">ensitive </w:t>
      </w:r>
      <w:r>
        <w:rPr>
          <w:rFonts w:ascii="Times New Roman" w:hAnsi="Times New Roman"/>
          <w:sz w:val="24"/>
          <w:u w:val="single"/>
        </w:rPr>
        <w:t>q</w:t>
      </w:r>
      <w:r w:rsidRPr="001F7618">
        <w:rPr>
          <w:rFonts w:ascii="Times New Roman" w:hAnsi="Times New Roman"/>
          <w:sz w:val="24"/>
          <w:u w:val="single"/>
        </w:rPr>
        <w:t>uestions.</w:t>
      </w:r>
      <w:r w:rsidRPr="001F7618">
        <w:rPr>
          <w:rFonts w:ascii="Times New Roman" w:hAnsi="Times New Roman"/>
          <w:sz w:val="24"/>
        </w:rPr>
        <w:t xml:space="preserve"> </w:t>
      </w:r>
    </w:p>
    <w:p w:rsidR="007B5C6B" w:rsidRPr="00AD5C95" w:rsidP="00ED0369" w14:paraId="1D7A8934" w14:textId="78756C6B">
      <w:pPr>
        <w:spacing w:after="120"/>
        <w:ind w:firstLine="720"/>
        <w:rPr>
          <w:rFonts w:ascii="Times New Roman" w:hAnsi="Times New Roman"/>
          <w:color w:val="1F497D"/>
          <w:sz w:val="24"/>
        </w:rPr>
      </w:pPr>
      <w:r w:rsidRPr="004A44F3">
        <w:rPr>
          <w:rFonts w:ascii="Times New Roman" w:hAnsi="Times New Roman"/>
          <w:sz w:val="24"/>
        </w:rPr>
        <w:t xml:space="preserve">There are no questions of a sensitive nature in the collection of information. </w:t>
      </w:r>
      <w:r>
        <w:rPr>
          <w:rFonts w:ascii="Times New Roman" w:hAnsi="Times New Roman"/>
          <w:sz w:val="24"/>
        </w:rPr>
        <w:t xml:space="preserve"> Any personally identifiable information collected under the BSA is strictly controlled as outlined in FinCEN’s Privacy Act Systems of Records Notice</w:t>
      </w:r>
      <w:r>
        <w:rPr>
          <w:rFonts w:ascii="Times New Roman" w:hAnsi="Times New Roman"/>
          <w:color w:val="1F497D"/>
          <w:sz w:val="24"/>
        </w:rPr>
        <w:t>.</w:t>
      </w:r>
      <w:r>
        <w:rPr>
          <w:rStyle w:val="FootnoteReference"/>
          <w:rFonts w:ascii="Times New Roman" w:hAnsi="Times New Roman" w:eastAsiaTheme="majorEastAsia"/>
          <w:vertAlign w:val="superscript"/>
        </w:rPr>
        <w:footnoteReference w:id="10"/>
      </w:r>
    </w:p>
    <w:p w:rsidR="00481EC1" w:rsidRPr="0081125D" w:rsidP="00A7101B" w14:paraId="111E562D" w14:textId="77777777">
      <w:pPr>
        <w:keepNext/>
        <w:spacing w:before="283"/>
        <w:rPr>
          <w:rFonts w:ascii="Times New Roman" w:hAnsi="Times New Roman"/>
          <w:color w:val="FF0000"/>
          <w:sz w:val="24"/>
        </w:rPr>
      </w:pPr>
      <w:r w:rsidRPr="0081125D">
        <w:rPr>
          <w:rFonts w:ascii="Times New Roman" w:hAnsi="Times New Roman"/>
          <w:sz w:val="24"/>
        </w:rPr>
        <w:t xml:space="preserve">12. </w:t>
      </w:r>
      <w:r w:rsidRPr="0081125D">
        <w:rPr>
          <w:rFonts w:ascii="Times New Roman" w:hAnsi="Times New Roman"/>
          <w:sz w:val="24"/>
          <w:u w:val="single"/>
        </w:rPr>
        <w:t xml:space="preserve">Estimated burden. </w:t>
      </w:r>
    </w:p>
    <w:p w:rsidR="00481EC1" w:rsidRPr="003C3521" w:rsidP="00481EC1" w14:paraId="53DCC1F5" w14:textId="77777777">
      <w:pPr>
        <w:pStyle w:val="PlainText"/>
        <w:spacing w:after="240"/>
        <w:ind w:left="720"/>
        <w:rPr>
          <w:rFonts w:ascii="Times New Roman" w:eastAsia="MS Mincho" w:hAnsi="Times New Roman" w:cs="Times New Roman"/>
          <w:sz w:val="24"/>
          <w:szCs w:val="24"/>
        </w:rPr>
      </w:pPr>
      <w:r w:rsidRPr="003C3521">
        <w:rPr>
          <w:rFonts w:ascii="Times New Roman" w:eastAsia="MS Mincho" w:hAnsi="Times New Roman" w:cs="Times New Roman"/>
          <w:sz w:val="24"/>
          <w:szCs w:val="24"/>
          <w:u w:val="single"/>
        </w:rPr>
        <w:t>Frequency:</w:t>
      </w:r>
      <w:r w:rsidRPr="003C3521">
        <w:rPr>
          <w:rFonts w:ascii="Times New Roman" w:eastAsia="MS Mincho" w:hAnsi="Times New Roman" w:cs="Times New Roman"/>
          <w:sz w:val="24"/>
          <w:szCs w:val="24"/>
        </w:rPr>
        <w:t xml:space="preserve">  As required; varies depending on the requirement.</w:t>
      </w:r>
    </w:p>
    <w:p w:rsidR="00481EC1" w:rsidRPr="003C3521" w:rsidP="00481EC1" w14:paraId="5709A407" w14:textId="6172CB72">
      <w:pPr>
        <w:spacing w:after="240"/>
        <w:ind w:left="720"/>
        <w:rPr>
          <w:rFonts w:ascii="Times New Roman" w:eastAsia="MS Mincho" w:hAnsi="Times New Roman" w:cs="Times New Roman"/>
          <w:sz w:val="24"/>
          <w:szCs w:val="24"/>
        </w:rPr>
      </w:pPr>
      <w:r w:rsidRPr="003C3521">
        <w:rPr>
          <w:rFonts w:ascii="Times New Roman" w:eastAsia="MS Mincho" w:hAnsi="Times New Roman" w:cs="Times New Roman"/>
          <w:sz w:val="24"/>
          <w:szCs w:val="24"/>
          <w:u w:val="single"/>
        </w:rPr>
        <w:t>Estimated Burden per Respondent:</w:t>
      </w:r>
      <w:r w:rsidRPr="003C3521">
        <w:rPr>
          <w:rFonts w:ascii="Times New Roman" w:eastAsia="MS Mincho" w:hAnsi="Times New Roman" w:cs="Times New Roman"/>
          <w:sz w:val="24"/>
          <w:szCs w:val="24"/>
        </w:rPr>
        <w:t xml:space="preserve"> </w:t>
      </w:r>
      <w:r w:rsidRPr="003C3521" w:rsidR="003C3521">
        <w:rPr>
          <w:rFonts w:ascii="Times New Roman" w:hAnsi="Times New Roman" w:cs="Times New Roman"/>
          <w:sz w:val="24"/>
          <w:szCs w:val="24"/>
        </w:rPr>
        <w:t xml:space="preserve">The estimated burden per respondent varies whether the respondent is currently implementing </w:t>
      </w:r>
      <w:r w:rsidRPr="003C3521" w:rsidR="003C3521">
        <w:rPr>
          <w:rFonts w:ascii="Times New Roman" w:hAnsi="Times New Roman" w:cs="Times New Roman"/>
          <w:i/>
          <w:iCs/>
          <w:sz w:val="24"/>
          <w:szCs w:val="24"/>
        </w:rPr>
        <w:t>significant</w:t>
      </w:r>
      <w:r w:rsidRPr="003C3521" w:rsidR="003C3521">
        <w:rPr>
          <w:rFonts w:ascii="Times New Roman" w:hAnsi="Times New Roman" w:cs="Times New Roman"/>
          <w:sz w:val="24"/>
          <w:szCs w:val="24"/>
        </w:rPr>
        <w:t xml:space="preserve">, </w:t>
      </w:r>
      <w:r w:rsidRPr="003C3521" w:rsidR="003C3521">
        <w:rPr>
          <w:rFonts w:ascii="Times New Roman" w:hAnsi="Times New Roman" w:cs="Times New Roman"/>
          <w:i/>
          <w:iCs/>
          <w:sz w:val="24"/>
          <w:szCs w:val="24"/>
        </w:rPr>
        <w:t>moderate</w:t>
      </w:r>
      <w:r w:rsidRPr="003C3521" w:rsidR="003C3521">
        <w:rPr>
          <w:rFonts w:ascii="Times New Roman" w:hAnsi="Times New Roman" w:cs="Times New Roman"/>
          <w:sz w:val="24"/>
          <w:szCs w:val="24"/>
        </w:rPr>
        <w:t xml:space="preserve">, or </w:t>
      </w:r>
      <w:r w:rsidRPr="003C3521" w:rsidR="003C3521">
        <w:rPr>
          <w:rFonts w:ascii="Times New Roman" w:hAnsi="Times New Roman" w:cs="Times New Roman"/>
          <w:i/>
          <w:iCs/>
          <w:sz w:val="24"/>
          <w:szCs w:val="24"/>
        </w:rPr>
        <w:t>limited</w:t>
      </w:r>
      <w:r w:rsidRPr="003C3521" w:rsidR="003C3521">
        <w:rPr>
          <w:rFonts w:ascii="Times New Roman" w:hAnsi="Times New Roman" w:cs="Times New Roman"/>
          <w:sz w:val="24"/>
          <w:szCs w:val="24"/>
        </w:rPr>
        <w:t xml:space="preserve"> AML/CFT measures (as those terms are defined in the final rule). FinCEN estimates the average annual burden will be approximately 262 hours per investment adviser over the first ten years—with an average burden of 368 hours in Year 1, 268 hours in Years 2 to 3, and 245 hours in Years 4 to 10.</w:t>
      </w:r>
    </w:p>
    <w:p w:rsidR="00481EC1" w:rsidRPr="003C3521" w:rsidP="00481EC1" w14:paraId="27E67A16" w14:textId="77777777">
      <w:pPr>
        <w:pStyle w:val="PlainText"/>
        <w:spacing w:after="240"/>
        <w:ind w:left="720"/>
        <w:rPr>
          <w:rFonts w:ascii="Times New Roman" w:eastAsia="MS Mincho" w:hAnsi="Times New Roman" w:cs="Times New Roman"/>
          <w:sz w:val="24"/>
          <w:szCs w:val="24"/>
        </w:rPr>
      </w:pPr>
      <w:r w:rsidRPr="003C3521">
        <w:rPr>
          <w:rFonts w:ascii="Times New Roman" w:eastAsia="MS Mincho" w:hAnsi="Times New Roman" w:cs="Times New Roman"/>
          <w:sz w:val="24"/>
          <w:szCs w:val="24"/>
          <w:u w:val="single"/>
        </w:rPr>
        <w:t>Estimated Number of Respondents:</w:t>
      </w:r>
      <w:r w:rsidRPr="003C3521">
        <w:rPr>
          <w:rFonts w:ascii="Times New Roman" w:eastAsia="MS Mincho" w:hAnsi="Times New Roman" w:cs="Times New Roman"/>
          <w:sz w:val="24"/>
          <w:szCs w:val="24"/>
        </w:rPr>
        <w:t xml:space="preserve"> 19,919 investment advisers.  Of these, there are an estimated 14,073 SEC-registered investment advisers and 5,846 exempt reporting advisers.  </w:t>
      </w:r>
    </w:p>
    <w:p w:rsidR="0018170E" w:rsidRPr="003C3521" w:rsidP="00A7101B" w14:paraId="7CD13556" w14:textId="0A8B4D63">
      <w:pPr>
        <w:pStyle w:val="PlainText"/>
        <w:spacing w:after="240"/>
        <w:ind w:left="720"/>
        <w:rPr>
          <w:rFonts w:ascii="Times New Roman" w:eastAsia="MS Mincho" w:hAnsi="Times New Roman" w:cs="Times New Roman"/>
          <w:sz w:val="24"/>
          <w:szCs w:val="24"/>
        </w:rPr>
      </w:pPr>
      <w:r w:rsidRPr="003C3521">
        <w:rPr>
          <w:rFonts w:ascii="Times New Roman" w:eastAsia="MS Mincho" w:hAnsi="Times New Roman" w:cs="Times New Roman"/>
          <w:sz w:val="24"/>
          <w:szCs w:val="24"/>
          <w:u w:val="single"/>
        </w:rPr>
        <w:t>Estimated Total Annual Burden Hours:</w:t>
      </w:r>
      <w:r w:rsidRPr="003C3521">
        <w:rPr>
          <w:rFonts w:ascii="Times New Roman" w:eastAsia="MS Mincho" w:hAnsi="Times New Roman" w:cs="Times New Roman"/>
          <w:sz w:val="24"/>
          <w:szCs w:val="24"/>
        </w:rPr>
        <w:t xml:space="preserve">  </w:t>
      </w:r>
      <w:r w:rsidRPr="003C3521">
        <w:rPr>
          <w:rFonts w:ascii="Times New Roman" w:hAnsi="Times New Roman" w:cs="Times New Roman"/>
          <w:sz w:val="24"/>
          <w:szCs w:val="24"/>
        </w:rPr>
        <w:t>FinCEN estimates the annual burden will be 5,217,651 hours for investment advisors over the first 10 years—with an annual burden of 7,330,357 hours in Year 1, 5,347,335 hours in Years 2 to 3, and 4,878,783 hours in Years 4 to 10. This pattern reflects some initial information collection activities, such as developing a written AML/CFT program and documenting an understanding of the nature and purpose of existing customer relationships, that are only anticipated to occur in the first few years of the regulation.</w:t>
      </w:r>
    </w:p>
    <w:p w:rsidR="00481EC1" w:rsidRPr="003C3521" w:rsidP="0018170E" w14:paraId="52295641" w14:textId="77777777">
      <w:pPr>
        <w:pStyle w:val="PlainText"/>
        <w:spacing w:after="240"/>
        <w:ind w:left="720"/>
        <w:rPr>
          <w:rFonts w:ascii="Times New Roman" w:eastAsia="MS Mincho" w:hAnsi="Times New Roman" w:cs="Times New Roman"/>
          <w:sz w:val="24"/>
          <w:szCs w:val="24"/>
          <w:u w:val="single"/>
        </w:rPr>
      </w:pPr>
      <w:r w:rsidRPr="003C3521">
        <w:rPr>
          <w:rFonts w:ascii="Times New Roman" w:eastAsia="MS Mincho" w:hAnsi="Times New Roman" w:cs="Times New Roman"/>
          <w:sz w:val="24"/>
          <w:szCs w:val="24"/>
        </w:rPr>
        <w:t xml:space="preserve">13. </w:t>
      </w:r>
      <w:r w:rsidRPr="003C3521">
        <w:rPr>
          <w:rFonts w:ascii="Times New Roman" w:hAnsi="Times New Roman" w:cs="Times New Roman"/>
          <w:sz w:val="24"/>
          <w:szCs w:val="24"/>
          <w:u w:val="single"/>
        </w:rPr>
        <w:t>Estimated</w:t>
      </w:r>
      <w:r w:rsidRPr="003C3521">
        <w:rPr>
          <w:rFonts w:ascii="Times New Roman" w:eastAsia="MS Mincho" w:hAnsi="Times New Roman" w:cs="Times New Roman"/>
          <w:sz w:val="24"/>
          <w:szCs w:val="24"/>
          <w:u w:val="single"/>
        </w:rPr>
        <w:t xml:space="preserve"> total annual cost burden. </w:t>
      </w:r>
    </w:p>
    <w:p w:rsidR="00481EC1" w:rsidRPr="003F50F2" w:rsidP="00A57480" w14:paraId="16DEEEB5" w14:textId="401AEC10">
      <w:pPr>
        <w:spacing w:after="240"/>
        <w:ind w:firstLine="720"/>
        <w:rPr>
          <w:rFonts w:ascii="Times New Roman" w:hAnsi="Times New Roman"/>
          <w:sz w:val="24"/>
        </w:rPr>
      </w:pPr>
      <w:r w:rsidRPr="003C3521">
        <w:rPr>
          <w:rFonts w:ascii="Times New Roman" w:hAnsi="Times New Roman" w:cs="Times New Roman"/>
          <w:sz w:val="24"/>
          <w:szCs w:val="24"/>
          <w:u w:val="single"/>
        </w:rPr>
        <w:t>Estimated Total Annual Burden Cost:</w:t>
      </w:r>
      <w:r w:rsidRPr="003C3521">
        <w:rPr>
          <w:rFonts w:ascii="Times New Roman" w:hAnsi="Times New Roman" w:cs="Times New Roman"/>
          <w:sz w:val="24"/>
          <w:szCs w:val="24"/>
        </w:rPr>
        <w:t xml:space="preserve"> </w:t>
      </w:r>
      <w:r w:rsidRPr="003C3521" w:rsidR="003C3521">
        <w:rPr>
          <w:rFonts w:ascii="Times New Roman" w:hAnsi="Times New Roman" w:cs="Times New Roman"/>
          <w:sz w:val="24"/>
          <w:szCs w:val="24"/>
        </w:rPr>
        <w:t>FinCEN estimates that the annual cost burden will be $298.1 million for investment advisers over the first ten years.</w:t>
      </w:r>
    </w:p>
    <w:p w:rsidR="00481EC1" w:rsidRPr="003F50F2" w:rsidP="00A7101B" w14:paraId="0178493C" w14:textId="77777777">
      <w:pPr>
        <w:keepNext/>
        <w:spacing w:before="283"/>
        <w:rPr>
          <w:rFonts w:ascii="Times New Roman" w:hAnsi="Times New Roman"/>
          <w:sz w:val="24"/>
        </w:rPr>
      </w:pPr>
      <w:r w:rsidRPr="1AB2B056">
        <w:rPr>
          <w:rFonts w:ascii="Times New Roman" w:hAnsi="Times New Roman"/>
          <w:sz w:val="24"/>
        </w:rPr>
        <w:t xml:space="preserve">14. </w:t>
      </w:r>
      <w:r w:rsidRPr="1AB2B056">
        <w:rPr>
          <w:rFonts w:ascii="Times New Roman" w:hAnsi="Times New Roman"/>
          <w:sz w:val="24"/>
          <w:u w:val="single"/>
        </w:rPr>
        <w:t>Estimated annual cost to the Federal government.</w:t>
      </w:r>
      <w:r w:rsidRPr="1AB2B056">
        <w:rPr>
          <w:rFonts w:ascii="Times New Roman" w:hAnsi="Times New Roman"/>
          <w:sz w:val="24"/>
        </w:rPr>
        <w:t xml:space="preserve"> </w:t>
      </w:r>
    </w:p>
    <w:p w:rsidR="00481EC1" w:rsidP="00ED0369" w14:paraId="7E9E2E1A" w14:textId="61D5C970">
      <w:pPr>
        <w:spacing w:after="120"/>
        <w:ind w:firstLine="720"/>
      </w:pPr>
      <w:r w:rsidRPr="1AB2B056">
        <w:rPr>
          <w:rFonts w:ascii="Times New Roman" w:hAnsi="Times New Roman"/>
          <w:sz w:val="24"/>
        </w:rPr>
        <w:t xml:space="preserve">To implement the </w:t>
      </w:r>
      <w:r w:rsidR="0016542F">
        <w:rPr>
          <w:rFonts w:ascii="Times New Roman" w:hAnsi="Times New Roman"/>
          <w:sz w:val="24"/>
        </w:rPr>
        <w:t xml:space="preserve">final </w:t>
      </w:r>
      <w:r w:rsidRPr="1AB2B056">
        <w:rPr>
          <w:rFonts w:ascii="Times New Roman" w:hAnsi="Times New Roman"/>
          <w:sz w:val="24"/>
        </w:rPr>
        <w:t xml:space="preserve">rule, FinCEN expects to incur additional personnel costs of approximately $7.5 million per year.  This figure reflects costs relating to administering the rule, which includes stakeholder outreach and training, investigative and enforcement activities, and certain incremental increases to pre-existing administrative and logistic expenses.  The rule does not create wholly new requirements or reporting forms, but instead applies existing SAR and CTR filing obligations to investment advisers. </w:t>
      </w:r>
      <w:r>
        <w:rPr>
          <w:rFonts w:ascii="Times New Roman" w:hAnsi="Times New Roman"/>
          <w:sz w:val="24"/>
        </w:rPr>
        <w:t xml:space="preserve"> </w:t>
      </w:r>
      <w:r w:rsidRPr="1AB2B056">
        <w:rPr>
          <w:rFonts w:ascii="Times New Roman" w:hAnsi="Times New Roman"/>
          <w:sz w:val="24"/>
        </w:rPr>
        <w:t>As a result, the technology and IT costs associated with the additional SAR filings are estimated to be small, at approximately $125,000 per year.</w:t>
      </w:r>
    </w:p>
    <w:p w:rsidR="00481EC1" w:rsidP="00ED0369" w14:paraId="155B9B34" w14:textId="77777777">
      <w:pPr>
        <w:spacing w:after="120"/>
        <w:ind w:firstLine="720"/>
        <w:rPr>
          <w:rFonts w:ascii="Times New Roman" w:hAnsi="Times New Roman"/>
          <w:sz w:val="24"/>
        </w:rPr>
      </w:pPr>
      <w:r w:rsidRPr="00915B57">
        <w:rPr>
          <w:rFonts w:ascii="Times New Roman" w:hAnsi="Times New Roman"/>
          <w:sz w:val="24"/>
        </w:rPr>
        <w:t xml:space="preserve"> </w:t>
      </w:r>
      <w:r w:rsidRPr="1AB2B056">
        <w:rPr>
          <w:rFonts w:ascii="Times New Roman" w:hAnsi="Times New Roman"/>
          <w:sz w:val="24"/>
        </w:rPr>
        <w:t>The SEC is also expected to incur additional personnel costs, as two additional staff may be required in the SEC’s Division of Investment Management to administer the rule.  Based on salaries and overhead adjustments, FinCEN estimates those annual costs to the SEC to be approximately $814,000.  Since the SEC receives a significant portion of its revenue from fees on registrants and other market participants, many of these costs would ultimately be paid for through those fees.</w:t>
      </w:r>
      <w:r>
        <w:rPr>
          <w:rFonts w:ascii="Times New Roman" w:hAnsi="Times New Roman"/>
          <w:vertAlign w:val="superscript"/>
        </w:rPr>
        <w:footnoteReference w:id="11"/>
      </w:r>
      <w:r w:rsidRPr="1AB2B056">
        <w:rPr>
          <w:rFonts w:ascii="Times New Roman" w:hAnsi="Times New Roman"/>
          <w:sz w:val="24"/>
        </w:rPr>
        <w:t xml:space="preserve">  Additionally, the SEC</w:t>
      </w:r>
      <w:r>
        <w:rPr>
          <w:rFonts w:ascii="Times New Roman" w:hAnsi="Times New Roman"/>
          <w:sz w:val="24"/>
        </w:rPr>
        <w:t>’</w:t>
      </w:r>
      <w:r w:rsidRPr="1AB2B056">
        <w:rPr>
          <w:rFonts w:ascii="Times New Roman" w:hAnsi="Times New Roman"/>
          <w:sz w:val="24"/>
        </w:rPr>
        <w:t xml:space="preserve">s Division of Examinations may require increased personnel to conduct examinations for compliance with the rule, but FinCEN does not currently have an estimate of the associated costs.   </w:t>
      </w:r>
    </w:p>
    <w:p w:rsidR="007B5C6B" w:rsidRPr="003F50F2" w:rsidP="00A7101B" w14:paraId="1FC03EEB" w14:textId="77777777">
      <w:pPr>
        <w:keepNext/>
        <w:spacing w:before="283"/>
      </w:pPr>
      <w:r>
        <w:rPr>
          <w:rFonts w:ascii="Times New Roman" w:hAnsi="Times New Roman"/>
          <w:sz w:val="24"/>
        </w:rPr>
        <w:t xml:space="preserve">15. </w:t>
      </w:r>
      <w:r w:rsidRPr="0041098A">
        <w:rPr>
          <w:rFonts w:ascii="Times New Roman" w:hAnsi="Times New Roman"/>
          <w:sz w:val="24"/>
          <w:u w:val="single"/>
        </w:rPr>
        <w:t xml:space="preserve">Reason for </w:t>
      </w:r>
      <w:r>
        <w:rPr>
          <w:rFonts w:ascii="Times New Roman" w:hAnsi="Times New Roman"/>
          <w:sz w:val="24"/>
          <w:u w:val="single"/>
        </w:rPr>
        <w:t>c</w:t>
      </w:r>
      <w:r w:rsidRPr="0041098A">
        <w:rPr>
          <w:rFonts w:ascii="Times New Roman" w:hAnsi="Times New Roman"/>
          <w:sz w:val="24"/>
          <w:u w:val="single"/>
        </w:rPr>
        <w:t xml:space="preserve">hange in </w:t>
      </w:r>
      <w:r>
        <w:rPr>
          <w:rFonts w:ascii="Times New Roman" w:hAnsi="Times New Roman"/>
          <w:sz w:val="24"/>
          <w:u w:val="single"/>
        </w:rPr>
        <w:t>b</w:t>
      </w:r>
      <w:r w:rsidRPr="0041098A">
        <w:rPr>
          <w:rFonts w:ascii="Times New Roman" w:hAnsi="Times New Roman"/>
          <w:sz w:val="24"/>
          <w:u w:val="single"/>
        </w:rPr>
        <w:t>urden</w:t>
      </w:r>
      <w:r w:rsidRPr="00EB2554">
        <w:rPr>
          <w:rFonts w:ascii="Times New Roman" w:hAnsi="Times New Roman"/>
          <w:sz w:val="24"/>
          <w:u w:val="single"/>
        </w:rPr>
        <w:t>.</w:t>
      </w:r>
    </w:p>
    <w:p w:rsidR="007B5C6B" w:rsidRPr="00B23A97" w:rsidP="00ED0369" w14:paraId="2D3A89CD" w14:textId="17D21CE3">
      <w:pPr>
        <w:spacing w:after="120"/>
        <w:ind w:firstLine="720"/>
        <w:rPr>
          <w:rFonts w:ascii="Times New Roman" w:hAnsi="Times New Roman"/>
          <w:sz w:val="24"/>
        </w:rPr>
      </w:pPr>
      <w:r w:rsidRPr="00B23A97">
        <w:rPr>
          <w:rFonts w:ascii="Times New Roman" w:hAnsi="Times New Roman"/>
          <w:sz w:val="24"/>
        </w:rPr>
        <w:t>This is new collection.</w:t>
      </w:r>
    </w:p>
    <w:p w:rsidR="007B5C6B" w:rsidRPr="00EB2554" w:rsidP="00A7101B" w14:paraId="5E8619D8" w14:textId="77777777">
      <w:pPr>
        <w:keepNext/>
        <w:spacing w:before="283"/>
        <w:rPr>
          <w:rFonts w:ascii="Times New Roman" w:hAnsi="Times New Roman"/>
          <w:sz w:val="24"/>
        </w:rPr>
      </w:pPr>
      <w:r>
        <w:rPr>
          <w:rFonts w:ascii="Times New Roman" w:hAnsi="Times New Roman"/>
          <w:sz w:val="24"/>
        </w:rPr>
        <w:t xml:space="preserve">16. </w:t>
      </w:r>
      <w:r w:rsidRPr="00EB2554">
        <w:rPr>
          <w:rFonts w:ascii="Times New Roman" w:hAnsi="Times New Roman"/>
          <w:sz w:val="24"/>
          <w:u w:val="single"/>
        </w:rPr>
        <w:t xml:space="preserve">Plans for </w:t>
      </w:r>
      <w:r>
        <w:rPr>
          <w:rFonts w:ascii="Times New Roman" w:hAnsi="Times New Roman"/>
          <w:sz w:val="24"/>
          <w:u w:val="single"/>
        </w:rPr>
        <w:t>t</w:t>
      </w:r>
      <w:r w:rsidRPr="00EB2554">
        <w:rPr>
          <w:rFonts w:ascii="Times New Roman" w:hAnsi="Times New Roman"/>
          <w:sz w:val="24"/>
          <w:u w:val="single"/>
        </w:rPr>
        <w:t xml:space="preserve">abulation, </w:t>
      </w:r>
      <w:r>
        <w:rPr>
          <w:rFonts w:ascii="Times New Roman" w:hAnsi="Times New Roman"/>
          <w:sz w:val="24"/>
          <w:u w:val="single"/>
        </w:rPr>
        <w:t>s</w:t>
      </w:r>
      <w:r w:rsidRPr="00EB2554">
        <w:rPr>
          <w:rFonts w:ascii="Times New Roman" w:hAnsi="Times New Roman"/>
          <w:sz w:val="24"/>
          <w:u w:val="single"/>
        </w:rPr>
        <w:t xml:space="preserve">tatistical </w:t>
      </w:r>
      <w:r>
        <w:rPr>
          <w:rFonts w:ascii="Times New Roman" w:hAnsi="Times New Roman"/>
          <w:sz w:val="24"/>
          <w:u w:val="single"/>
        </w:rPr>
        <w:t>a</w:t>
      </w:r>
      <w:r w:rsidRPr="00EB2554">
        <w:rPr>
          <w:rFonts w:ascii="Times New Roman" w:hAnsi="Times New Roman"/>
          <w:sz w:val="24"/>
          <w:u w:val="single"/>
        </w:rPr>
        <w:t xml:space="preserve">nalysis, and </w:t>
      </w:r>
      <w:r>
        <w:rPr>
          <w:rFonts w:ascii="Times New Roman" w:hAnsi="Times New Roman"/>
          <w:sz w:val="24"/>
          <w:u w:val="single"/>
        </w:rPr>
        <w:t>p</w:t>
      </w:r>
      <w:r w:rsidRPr="00EB2554">
        <w:rPr>
          <w:rFonts w:ascii="Times New Roman" w:hAnsi="Times New Roman"/>
          <w:sz w:val="24"/>
          <w:u w:val="single"/>
        </w:rPr>
        <w:t>ublication.</w:t>
      </w:r>
      <w:r w:rsidRPr="00EB2554">
        <w:rPr>
          <w:rFonts w:ascii="Times New Roman" w:hAnsi="Times New Roman"/>
          <w:sz w:val="24"/>
        </w:rPr>
        <w:t xml:space="preserve"> </w:t>
      </w:r>
    </w:p>
    <w:p w:rsidR="007B5C6B" w:rsidP="00ED0369" w14:paraId="599A4B5C" w14:textId="77777777">
      <w:pPr>
        <w:spacing w:after="120"/>
        <w:ind w:firstLine="720"/>
        <w:rPr>
          <w:rFonts w:ascii="Times New Roman" w:hAnsi="Times New Roman"/>
          <w:sz w:val="24"/>
        </w:rPr>
      </w:pPr>
      <w:r w:rsidRPr="009D66C6">
        <w:rPr>
          <w:rFonts w:ascii="Times New Roman" w:hAnsi="Times New Roman"/>
          <w:sz w:val="24"/>
        </w:rPr>
        <w:t>The information will not be tabulated or compiled for publication.</w:t>
      </w:r>
    </w:p>
    <w:p w:rsidR="007B5C6B" w:rsidP="00A7101B" w14:paraId="0F49E4BD" w14:textId="77777777">
      <w:pPr>
        <w:keepNext/>
        <w:spacing w:before="283"/>
        <w:rPr>
          <w:rFonts w:ascii="Times New Roman" w:hAnsi="Times New Roman"/>
          <w:sz w:val="24"/>
          <w:u w:val="single"/>
        </w:rPr>
      </w:pPr>
      <w:r>
        <w:rPr>
          <w:rFonts w:ascii="Times New Roman" w:hAnsi="Times New Roman"/>
          <w:sz w:val="24"/>
        </w:rPr>
        <w:t xml:space="preserve">17. </w:t>
      </w:r>
      <w:r w:rsidRPr="009D66C6">
        <w:rPr>
          <w:rFonts w:ascii="Times New Roman" w:hAnsi="Times New Roman"/>
          <w:sz w:val="24"/>
          <w:u w:val="single"/>
        </w:rPr>
        <w:t xml:space="preserve">Request not to </w:t>
      </w:r>
      <w:r>
        <w:rPr>
          <w:rFonts w:ascii="Times New Roman" w:hAnsi="Times New Roman"/>
          <w:sz w:val="24"/>
          <w:u w:val="single"/>
        </w:rPr>
        <w:t>d</w:t>
      </w:r>
      <w:r w:rsidRPr="009D66C6">
        <w:rPr>
          <w:rFonts w:ascii="Times New Roman" w:hAnsi="Times New Roman"/>
          <w:sz w:val="24"/>
          <w:u w:val="single"/>
        </w:rPr>
        <w:t xml:space="preserve">isplay the </w:t>
      </w:r>
      <w:r>
        <w:rPr>
          <w:rFonts w:ascii="Times New Roman" w:hAnsi="Times New Roman"/>
          <w:sz w:val="24"/>
          <w:u w:val="single"/>
        </w:rPr>
        <w:t xml:space="preserve">expiration date of the </w:t>
      </w:r>
      <w:r w:rsidRPr="009D66C6">
        <w:rPr>
          <w:rFonts w:ascii="Times New Roman" w:hAnsi="Times New Roman"/>
          <w:sz w:val="24"/>
          <w:u w:val="single"/>
        </w:rPr>
        <w:t xml:space="preserve">OMB </w:t>
      </w:r>
      <w:r>
        <w:rPr>
          <w:rFonts w:ascii="Times New Roman" w:hAnsi="Times New Roman"/>
          <w:sz w:val="24"/>
          <w:u w:val="single"/>
        </w:rPr>
        <w:t>control number</w:t>
      </w:r>
      <w:r w:rsidRPr="009D66C6">
        <w:rPr>
          <w:rFonts w:ascii="Times New Roman" w:hAnsi="Times New Roman"/>
          <w:sz w:val="24"/>
          <w:u w:val="single"/>
        </w:rPr>
        <w:t>.</w:t>
      </w:r>
    </w:p>
    <w:p w:rsidR="007B5C6B" w:rsidP="00ED0369" w14:paraId="38F350DF" w14:textId="77777777">
      <w:pPr>
        <w:spacing w:after="120"/>
        <w:ind w:firstLine="720"/>
        <w:rPr>
          <w:rFonts w:ascii="Times New Roman" w:hAnsi="Times New Roman"/>
          <w:sz w:val="24"/>
        </w:rPr>
      </w:pPr>
      <w:r w:rsidRPr="001F7618">
        <w:rPr>
          <w:rFonts w:ascii="Times New Roman" w:hAnsi="Times New Roman"/>
          <w:sz w:val="24"/>
        </w:rPr>
        <w:t xml:space="preserve">FinCEN requests that </w:t>
      </w:r>
      <w:r>
        <w:rPr>
          <w:rFonts w:ascii="Times New Roman" w:hAnsi="Times New Roman"/>
          <w:sz w:val="24"/>
        </w:rPr>
        <w:t xml:space="preserve">it not be required to display the expiration date so that the regulations will not have to be amended for the new expiration date every three years.  </w:t>
      </w:r>
    </w:p>
    <w:p w:rsidR="007B5C6B" w:rsidP="00A7101B" w14:paraId="624ABF92" w14:textId="77777777">
      <w:pPr>
        <w:keepNext/>
        <w:spacing w:before="283"/>
        <w:rPr>
          <w:rFonts w:ascii="Times New Roman" w:hAnsi="Times New Roman"/>
          <w:sz w:val="24"/>
          <w:u w:val="single"/>
        </w:rPr>
      </w:pPr>
      <w:r w:rsidRPr="009D66C6">
        <w:rPr>
          <w:rFonts w:ascii="Times New Roman" w:hAnsi="Times New Roman"/>
          <w:sz w:val="24"/>
        </w:rPr>
        <w:t xml:space="preserve">18. </w:t>
      </w:r>
      <w:r w:rsidRPr="009D66C6">
        <w:rPr>
          <w:rFonts w:ascii="Times New Roman" w:hAnsi="Times New Roman"/>
          <w:sz w:val="24"/>
          <w:u w:val="single"/>
        </w:rPr>
        <w:t xml:space="preserve">Exceptions to the </w:t>
      </w:r>
      <w:r>
        <w:rPr>
          <w:rFonts w:ascii="Times New Roman" w:hAnsi="Times New Roman"/>
          <w:sz w:val="24"/>
          <w:u w:val="single"/>
        </w:rPr>
        <w:t>c</w:t>
      </w:r>
      <w:r w:rsidRPr="009D66C6">
        <w:rPr>
          <w:rFonts w:ascii="Times New Roman" w:hAnsi="Times New Roman"/>
          <w:sz w:val="24"/>
          <w:u w:val="single"/>
        </w:rPr>
        <w:t xml:space="preserve">ertification </w:t>
      </w:r>
      <w:r>
        <w:rPr>
          <w:rFonts w:ascii="Times New Roman" w:hAnsi="Times New Roman"/>
          <w:sz w:val="24"/>
          <w:u w:val="single"/>
        </w:rPr>
        <w:t>s</w:t>
      </w:r>
      <w:r w:rsidRPr="009D66C6">
        <w:rPr>
          <w:rFonts w:ascii="Times New Roman" w:hAnsi="Times New Roman"/>
          <w:sz w:val="24"/>
          <w:u w:val="single"/>
        </w:rPr>
        <w:t>tatement.</w:t>
      </w:r>
    </w:p>
    <w:p w:rsidR="005229EF" w:rsidRPr="00364152" w:rsidP="00CF4CC2" w14:paraId="32D106E7" w14:textId="11965D97">
      <w:pPr>
        <w:spacing w:after="120"/>
        <w:ind w:firstLine="720"/>
        <w:rPr>
          <w:rFonts w:ascii="Times New Roman" w:hAnsi="Times New Roman"/>
          <w:sz w:val="24"/>
        </w:rPr>
      </w:pPr>
      <w:r>
        <w:rPr>
          <w:rFonts w:ascii="Times New Roman" w:hAnsi="Times New Roman"/>
          <w:sz w:val="24"/>
        </w:rPr>
        <w:t xml:space="preserve">There are no exceptions to the certification statement. </w:t>
      </w:r>
    </w:p>
    <w:sectPr w:rsidSect="005229EF">
      <w:headerReference w:type="default" r:id="rId9"/>
      <w:footerReference w:type="default" r:id="rId10"/>
      <w:endnotePr>
        <w:numFmt w:val="decimal"/>
      </w:endnotePr>
      <w:pgSz w:w="12240" w:h="15840"/>
      <w:pgMar w:top="1440" w:right="1440" w:bottom="1440" w:left="144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45466008"/>
      <w:docPartObj>
        <w:docPartGallery w:val="Page Numbers (Bottom of Page)"/>
        <w:docPartUnique/>
      </w:docPartObj>
    </w:sdtPr>
    <w:sdtEndPr>
      <w:rPr>
        <w:noProof/>
        <w:sz w:val="24"/>
      </w:rPr>
    </w:sdtEndPr>
    <w:sdtContent>
      <w:p w:rsidR="000F1D15" w:rsidRPr="007C2AE9" w14:paraId="2FFDFA73" w14:textId="77777777">
        <w:pPr>
          <w:pStyle w:val="Footer"/>
          <w:jc w:val="center"/>
          <w:rPr>
            <w:sz w:val="24"/>
          </w:rPr>
        </w:pPr>
        <w:r w:rsidRPr="007C2AE9">
          <w:rPr>
            <w:rFonts w:ascii="Times New Roman" w:hAnsi="Times New Roman"/>
            <w:sz w:val="24"/>
          </w:rPr>
          <w:fldChar w:fldCharType="begin"/>
        </w:r>
        <w:r w:rsidRPr="007C2AE9">
          <w:rPr>
            <w:rFonts w:ascii="Times New Roman" w:hAnsi="Times New Roman"/>
            <w:sz w:val="24"/>
          </w:rPr>
          <w:instrText xml:space="preserve"> PAGE   \* MERGEFORMAT </w:instrText>
        </w:r>
        <w:r w:rsidRPr="007C2AE9">
          <w:rPr>
            <w:rFonts w:ascii="Times New Roman" w:hAnsi="Times New Roman"/>
            <w:sz w:val="24"/>
          </w:rPr>
          <w:fldChar w:fldCharType="separate"/>
        </w:r>
        <w:r w:rsidRPr="007C2AE9">
          <w:rPr>
            <w:rFonts w:ascii="Times New Roman" w:hAnsi="Times New Roman"/>
            <w:noProof/>
            <w:sz w:val="24"/>
          </w:rPr>
          <w:t>6</w:t>
        </w:r>
        <w:r w:rsidRPr="007C2AE9">
          <w:rPr>
            <w:rFonts w:ascii="Times New Roman" w:hAnsi="Times New Roman"/>
            <w:noProof/>
            <w:sz w:val="24"/>
          </w:rPr>
          <w:fldChar w:fldCharType="end"/>
        </w:r>
      </w:p>
    </w:sdtContent>
  </w:sdt>
  <w:p w:rsidR="000F1D15" w:rsidRPr="00263667" w14:paraId="3D7DDC4D" w14:textId="77777777">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B1274" w:rsidP="00BC32AF" w14:paraId="1457DEE9" w14:textId="77777777">
      <w:pPr>
        <w:spacing w:after="0" w:line="240" w:lineRule="auto"/>
      </w:pPr>
      <w:r>
        <w:separator/>
      </w:r>
    </w:p>
  </w:footnote>
  <w:footnote w:type="continuationSeparator" w:id="1">
    <w:p w:rsidR="00AB1274" w:rsidP="00BC32AF" w14:paraId="076D22A9" w14:textId="77777777">
      <w:pPr>
        <w:spacing w:after="0" w:line="240" w:lineRule="auto"/>
      </w:pPr>
      <w:r>
        <w:continuationSeparator/>
      </w:r>
    </w:p>
  </w:footnote>
  <w:footnote w:type="continuationNotice" w:id="2">
    <w:p w:rsidR="00AB1274" w14:paraId="6252D52E" w14:textId="77777777">
      <w:pPr>
        <w:spacing w:after="0" w:line="240" w:lineRule="auto"/>
      </w:pPr>
    </w:p>
  </w:footnote>
  <w:footnote w:id="3">
    <w:p w:rsidR="00481EC1" w:rsidRPr="00A37BDD" w:rsidP="00481EC1" w14:paraId="2B27CE63" w14:textId="77777777">
      <w:pPr>
        <w:pStyle w:val="FootnoteText"/>
        <w:rPr>
          <w:rFonts w:ascii="Times New Roman" w:hAnsi="Times New Roman"/>
        </w:rPr>
      </w:pPr>
      <w:r w:rsidRPr="00DA1CB8">
        <w:rPr>
          <w:rStyle w:val="FootnoteReference"/>
          <w:rFonts w:ascii="Times New Roman" w:hAnsi="Times New Roman"/>
          <w:vertAlign w:val="superscript"/>
        </w:rPr>
        <w:footnoteRef/>
      </w:r>
      <w:r w:rsidRPr="00F87DD3">
        <w:rPr>
          <w:rFonts w:ascii="Times New Roman" w:hAnsi="Times New Roman"/>
          <w:vertAlign w:val="superscript"/>
        </w:rPr>
        <w:t xml:space="preserve"> </w:t>
      </w:r>
      <w:r w:rsidRPr="00A37BDD">
        <w:rPr>
          <w:rFonts w:ascii="Times New Roman" w:hAnsi="Times New Roman"/>
        </w:rPr>
        <w:t>The AML Act was enacted as Division F, §§ 6001-6511, of the William M. (Mac) Thornberry National</w:t>
      </w:r>
    </w:p>
    <w:p w:rsidR="00481EC1" w:rsidRPr="00A37BDD" w:rsidP="00481EC1" w14:paraId="31256AFB" w14:textId="77777777">
      <w:pPr>
        <w:pStyle w:val="FootnoteText"/>
        <w:rPr>
          <w:rFonts w:ascii="Times New Roman" w:hAnsi="Times New Roman"/>
        </w:rPr>
      </w:pPr>
      <w:r w:rsidRPr="00A37BDD">
        <w:rPr>
          <w:rFonts w:ascii="Times New Roman" w:hAnsi="Times New Roman"/>
        </w:rPr>
        <w:t>Defense Authorization Act for Fiscal Year 2021, Pub. L. 116-283, 134 Stat 3388 (2021).</w:t>
      </w:r>
    </w:p>
  </w:footnote>
  <w:footnote w:id="4">
    <w:p w:rsidR="00481EC1" w:rsidRPr="00A37BDD" w:rsidP="00481EC1" w14:paraId="0385EFCF" w14:textId="77777777">
      <w:pPr>
        <w:pStyle w:val="FootnoteText"/>
        <w:rPr>
          <w:rFonts w:ascii="Times New Roman" w:hAnsi="Times New Roman"/>
        </w:rPr>
      </w:pPr>
      <w:r w:rsidRPr="00DA1CB8">
        <w:rPr>
          <w:rStyle w:val="FootnoteReference"/>
          <w:rFonts w:ascii="Times New Roman" w:hAnsi="Times New Roman"/>
          <w:vertAlign w:val="superscript"/>
        </w:rPr>
        <w:footnoteRef/>
      </w:r>
      <w:r w:rsidRPr="00A37BDD">
        <w:rPr>
          <w:rFonts w:ascii="Times New Roman" w:hAnsi="Times New Roman"/>
        </w:rPr>
        <w:t xml:space="preserve"> 31 U.S.C. 5311(1).</w:t>
      </w:r>
    </w:p>
  </w:footnote>
  <w:footnote w:id="5">
    <w:p w:rsidR="00481EC1" w:rsidRPr="00A37BDD" w:rsidP="00481EC1" w14:paraId="444D9CC2" w14:textId="77777777">
      <w:pPr>
        <w:pStyle w:val="FootnoteText"/>
        <w:rPr>
          <w:rFonts w:ascii="Times New Roman" w:hAnsi="Times New Roman"/>
          <w:color w:val="000000" w:themeColor="text1"/>
        </w:rPr>
      </w:pPr>
      <w:r w:rsidRPr="00DA1CB8">
        <w:rPr>
          <w:rStyle w:val="FootnoteReference"/>
          <w:rFonts w:ascii="Times New Roman" w:hAnsi="Times New Roman"/>
          <w:color w:val="000000" w:themeColor="text1"/>
          <w:vertAlign w:val="superscript"/>
        </w:rPr>
        <w:footnoteRef/>
      </w:r>
      <w:r w:rsidRPr="00DA1CB8">
        <w:rPr>
          <w:rFonts w:ascii="Times New Roman" w:hAnsi="Times New Roman"/>
          <w:color w:val="000000" w:themeColor="text1"/>
        </w:rPr>
        <w:t xml:space="preserve"> </w:t>
      </w:r>
      <w:r w:rsidRPr="00DA1CB8">
        <w:rPr>
          <w:rFonts w:ascii="Times New Roman" w:hAnsi="Times New Roman"/>
          <w:color w:val="000000" w:themeColor="text1"/>
          <w:vertAlign w:val="superscript"/>
        </w:rPr>
        <w:t xml:space="preserve"> </w:t>
      </w:r>
      <w:r w:rsidRPr="00A37BDD">
        <w:rPr>
          <w:rFonts w:ascii="Times New Roman" w:hAnsi="Times New Roman"/>
          <w:color w:val="000000" w:themeColor="text1"/>
        </w:rPr>
        <w:t>Treasury Order 180–01, Paragraph 3(a) (Jan. 14, 2020), https://home.treasury.gov/about/general-information/orders-and-directives/treasury-order-180-01.</w:t>
      </w:r>
    </w:p>
  </w:footnote>
  <w:footnote w:id="6">
    <w:p w:rsidR="005229EF" w:rsidRPr="005A456D" w:rsidP="005A456D" w14:paraId="5F2CA619" w14:textId="5A5EDC64">
      <w:pPr>
        <w:spacing w:after="0"/>
        <w:rPr>
          <w:rFonts w:ascii="Times New Roman" w:hAnsi="Times New Roman" w:cs="Times New Roman"/>
          <w:sz w:val="20"/>
          <w:szCs w:val="20"/>
        </w:rPr>
      </w:pPr>
      <w:r w:rsidRPr="005A456D">
        <w:rPr>
          <w:rFonts w:ascii="Times New Roman" w:hAnsi="Times New Roman" w:cs="Times New Roman"/>
          <w:sz w:val="20"/>
          <w:szCs w:val="20"/>
          <w:vertAlign w:val="superscript"/>
        </w:rPr>
        <w:footnoteRef/>
      </w:r>
      <w:r w:rsidRPr="005A456D">
        <w:rPr>
          <w:rFonts w:ascii="Times New Roman" w:hAnsi="Times New Roman" w:cs="Times New Roman"/>
          <w:sz w:val="20"/>
          <w:szCs w:val="20"/>
        </w:rPr>
        <w:t xml:space="preserve"> </w:t>
      </w:r>
      <w:r w:rsidRPr="005A456D">
        <w:rPr>
          <w:rFonts w:ascii="Times New Roman" w:hAnsi="Times New Roman" w:cs="Times New Roman"/>
          <w:i/>
          <w:iCs/>
          <w:sz w:val="20"/>
          <w:szCs w:val="20"/>
        </w:rPr>
        <w:t xml:space="preserve">See </w:t>
      </w:r>
      <w:r w:rsidRPr="005A456D">
        <w:rPr>
          <w:rFonts w:ascii="Times New Roman" w:hAnsi="Times New Roman" w:cs="Times New Roman"/>
          <w:sz w:val="20"/>
          <w:szCs w:val="20"/>
        </w:rPr>
        <w:t>17 CFR</w:t>
      </w:r>
      <w:r w:rsidRPr="005A456D" w:rsidR="00CF4CC2">
        <w:rPr>
          <w:rFonts w:ascii="Times New Roman" w:hAnsi="Times New Roman" w:cs="Times New Roman"/>
          <w:sz w:val="20"/>
          <w:szCs w:val="20"/>
        </w:rPr>
        <w:t xml:space="preserve"> §</w:t>
      </w:r>
      <w:r w:rsidRPr="005A456D">
        <w:rPr>
          <w:rFonts w:ascii="Times New Roman" w:hAnsi="Times New Roman" w:cs="Times New Roman"/>
          <w:sz w:val="20"/>
          <w:szCs w:val="20"/>
        </w:rPr>
        <w:t xml:space="preserve"> 275.203A-1.</w:t>
      </w:r>
    </w:p>
  </w:footnote>
  <w:footnote w:id="7">
    <w:p w:rsidR="005229EF" w:rsidRPr="005A456D" w:rsidP="005A456D" w14:paraId="4EECE51F" w14:textId="0F1CD1DA">
      <w:pPr>
        <w:pStyle w:val="FootnoteText"/>
        <w:rPr>
          <w:rFonts w:ascii="Times New Roman" w:hAnsi="Times New Roman"/>
        </w:rPr>
      </w:pPr>
      <w:r w:rsidRPr="005A456D">
        <w:rPr>
          <w:rStyle w:val="FootnoteReference"/>
          <w:rFonts w:ascii="Times New Roman" w:hAnsi="Times New Roman"/>
          <w:vertAlign w:val="superscript"/>
        </w:rPr>
        <w:footnoteRef/>
      </w:r>
      <w:bookmarkStart w:id="0" w:name="_Hlk154736699"/>
      <w:r w:rsidRPr="005A456D">
        <w:rPr>
          <w:rFonts w:ascii="Times New Roman" w:hAnsi="Times New Roman"/>
        </w:rPr>
        <w:t xml:space="preserve"> </w:t>
      </w:r>
      <w:r w:rsidRPr="005A456D">
        <w:rPr>
          <w:rFonts w:ascii="Times New Roman" w:hAnsi="Times New Roman"/>
          <w:i/>
          <w:iCs/>
        </w:rPr>
        <w:t xml:space="preserve">See </w:t>
      </w:r>
      <w:r w:rsidRPr="005A456D">
        <w:rPr>
          <w:rFonts w:ascii="Times New Roman" w:hAnsi="Times New Roman"/>
        </w:rPr>
        <w:t xml:space="preserve">Treasury, </w:t>
      </w:r>
      <w:r w:rsidRPr="005A456D">
        <w:rPr>
          <w:rFonts w:ascii="Times New Roman" w:hAnsi="Times New Roman"/>
          <w:i/>
          <w:iCs/>
        </w:rPr>
        <w:t>Investment Adviser Illicit Finance Risk Assessment</w:t>
      </w:r>
      <w:r w:rsidRPr="005A456D">
        <w:rPr>
          <w:rFonts w:ascii="Times New Roman" w:hAnsi="Times New Roman"/>
        </w:rPr>
        <w:t xml:space="preserve">, </w:t>
      </w:r>
      <w:bookmarkEnd w:id="0"/>
      <w:hyperlink r:id="rId1" w:history="1">
        <w:r w:rsidRPr="005A456D" w:rsidR="00CE08B8">
          <w:rPr>
            <w:rStyle w:val="Hyperlink"/>
            <w:rFonts w:ascii="Times New Roman" w:hAnsi="Times New Roman"/>
          </w:rPr>
          <w:t>https://home.treasury.gov/system/files/136/US-Sectoral-Illicit-Finance-Risk-Assessment-Investment-Advisers.pdf</w:t>
        </w:r>
      </w:hyperlink>
      <w:r w:rsidRPr="005A456D" w:rsidR="00CE08B8">
        <w:rPr>
          <w:rFonts w:ascii="Times New Roman" w:hAnsi="Times New Roman"/>
        </w:rPr>
        <w:t xml:space="preserve">; </w:t>
      </w:r>
      <w:r w:rsidRPr="005A456D">
        <w:rPr>
          <w:rFonts w:ascii="Times New Roman" w:hAnsi="Times New Roman"/>
          <w:i/>
          <w:iCs/>
        </w:rPr>
        <w:t xml:space="preserve">see also </w:t>
      </w:r>
      <w:r w:rsidRPr="005A456D">
        <w:rPr>
          <w:rFonts w:ascii="Times New Roman" w:hAnsi="Times New Roman"/>
        </w:rPr>
        <w:t xml:space="preserve">Treasury, </w:t>
      </w:r>
      <w:r w:rsidRPr="005A456D">
        <w:rPr>
          <w:rFonts w:ascii="Times New Roman" w:hAnsi="Times New Roman"/>
          <w:i/>
          <w:iCs/>
        </w:rPr>
        <w:t>2022 National Money Laundering Risk Assessment</w:t>
      </w:r>
      <w:r w:rsidRPr="005A456D">
        <w:rPr>
          <w:rFonts w:ascii="Times New Roman" w:hAnsi="Times New Roman"/>
        </w:rPr>
        <w:t xml:space="preserve">, p. 63-66, https://home.treasury.gov/system/files/136/2022-National-Money-Laundering-Risk-Assessment.pdf. </w:t>
      </w:r>
    </w:p>
    <w:p w:rsidR="005229EF" w:rsidRPr="00E84FD8" w:rsidP="005229EF" w14:paraId="711EC082" w14:textId="77777777">
      <w:pPr>
        <w:pStyle w:val="FootnoteText"/>
        <w:rPr>
          <w:i/>
          <w:iCs/>
        </w:rPr>
      </w:pPr>
    </w:p>
  </w:footnote>
  <w:footnote w:id="8">
    <w:p w:rsidR="002E4308" w14:paraId="27F3D0B8" w14:textId="5A8F3A90">
      <w:pPr>
        <w:pStyle w:val="FootnoteText"/>
      </w:pPr>
      <w:r w:rsidRPr="00CA1C00">
        <w:rPr>
          <w:rStyle w:val="FootnoteReference"/>
          <w:rFonts w:ascii="Times New Roman" w:hAnsi="Times New Roman"/>
          <w:vertAlign w:val="superscript"/>
        </w:rPr>
        <w:footnoteRef/>
      </w:r>
      <w:r w:rsidRPr="00CA1C00">
        <w:rPr>
          <w:rFonts w:ascii="Times New Roman" w:hAnsi="Times New Roman"/>
        </w:rPr>
        <w:t xml:space="preserve"> </w:t>
      </w:r>
      <w:r w:rsidRPr="00CA1C00">
        <w:rPr>
          <w:rFonts w:ascii="Times New Roman" w:hAnsi="Times New Roman"/>
          <w:i/>
          <w:iCs/>
        </w:rPr>
        <w:t>See</w:t>
      </w:r>
      <w:r w:rsidRPr="00CA1C00">
        <w:rPr>
          <w:rFonts w:ascii="Times New Roman" w:hAnsi="Times New Roman"/>
        </w:rPr>
        <w:t xml:space="preserve"> FinCEN, </w:t>
      </w:r>
      <w:r w:rsidRPr="00CA1C00">
        <w:rPr>
          <w:rFonts w:ascii="Times New Roman" w:hAnsi="Times New Roman"/>
          <w:i/>
          <w:iCs/>
        </w:rPr>
        <w:t>Anti-Money Laundering/Countering the Financing of Terrorism Program and Suspicious Activity Report Filing Requirements for Registered Investment Advisers and Exempt Reporting Companies NPRM</w:t>
      </w:r>
      <w:r w:rsidRPr="00CA1C00">
        <w:rPr>
          <w:rFonts w:ascii="Times New Roman" w:hAnsi="Times New Roman"/>
        </w:rPr>
        <w:t xml:space="preserve">, </w:t>
      </w:r>
      <w:hyperlink r:id="rId2" w:history="1">
        <w:r w:rsidRPr="00CA1C00">
          <w:rPr>
            <w:rStyle w:val="Hyperlink"/>
            <w:rFonts w:ascii="Times New Roman" w:hAnsi="Times New Roman"/>
          </w:rPr>
          <w:t>89 FR 12108</w:t>
        </w:r>
      </w:hyperlink>
      <w:r w:rsidRPr="00CA1C00">
        <w:rPr>
          <w:rFonts w:ascii="Times New Roman" w:hAnsi="Times New Roman"/>
        </w:rPr>
        <w:t xml:space="preserve"> (Feb. 15, 2024).</w:t>
      </w:r>
    </w:p>
  </w:footnote>
  <w:footnote w:id="9">
    <w:p w:rsidR="00D94FDD" w:rsidRPr="009239C1" w14:paraId="5D6D8A81" w14:textId="73EA4E62">
      <w:pPr>
        <w:pStyle w:val="FootnoteText"/>
        <w:rPr>
          <w:rFonts w:ascii="Times New Roman" w:hAnsi="Times New Roman"/>
        </w:rPr>
      </w:pPr>
      <w:r w:rsidRPr="009239C1">
        <w:rPr>
          <w:rStyle w:val="FootnoteReference"/>
          <w:rFonts w:ascii="Times New Roman" w:hAnsi="Times New Roman"/>
          <w:vertAlign w:val="superscript"/>
        </w:rPr>
        <w:footnoteRef/>
      </w:r>
      <w:r w:rsidRPr="009239C1">
        <w:rPr>
          <w:rFonts w:ascii="Times New Roman" w:hAnsi="Times New Roman"/>
          <w:vertAlign w:val="superscript"/>
        </w:rPr>
        <w:t xml:space="preserve"> </w:t>
      </w:r>
      <w:r w:rsidRPr="009239C1">
        <w:rPr>
          <w:rFonts w:ascii="Times New Roman" w:hAnsi="Times New Roman"/>
        </w:rPr>
        <w:t xml:space="preserve">The comments can be found on </w:t>
      </w:r>
      <w:hyperlink r:id="rId3" w:history="1">
        <w:r w:rsidRPr="009239C1">
          <w:rPr>
            <w:rStyle w:val="Hyperlink"/>
            <w:rFonts w:ascii="Times New Roman" w:hAnsi="Times New Roman"/>
          </w:rPr>
          <w:t>www.regulations.gov</w:t>
        </w:r>
      </w:hyperlink>
      <w:r w:rsidRPr="009239C1">
        <w:rPr>
          <w:rFonts w:ascii="Times New Roman" w:hAnsi="Times New Roman"/>
        </w:rPr>
        <w:t xml:space="preserve"> under docket number FINCEN-2024-</w:t>
      </w:r>
      <w:r w:rsidRPr="009239C1" w:rsidR="00EE101F">
        <w:rPr>
          <w:rFonts w:ascii="Times New Roman" w:hAnsi="Times New Roman"/>
        </w:rPr>
        <w:t>0006</w:t>
      </w:r>
      <w:r w:rsidR="00F979CF">
        <w:rPr>
          <w:rFonts w:ascii="Times New Roman" w:hAnsi="Times New Roman"/>
        </w:rPr>
        <w:t xml:space="preserve">.  </w:t>
      </w:r>
      <w:r w:rsidRPr="009239C1" w:rsidR="00F979CF">
        <w:rPr>
          <w:rFonts w:ascii="Times New Roman" w:hAnsi="Times New Roman"/>
          <w:i/>
          <w:iCs/>
        </w:rPr>
        <w:t xml:space="preserve">See </w:t>
      </w:r>
      <w:r w:rsidR="00F979CF">
        <w:rPr>
          <w:rFonts w:ascii="Times New Roman" w:hAnsi="Times New Roman"/>
        </w:rPr>
        <w:t>Regulations.gov, “</w:t>
      </w:r>
      <w:r w:rsidR="009709CB">
        <w:rPr>
          <w:rFonts w:ascii="Times New Roman" w:hAnsi="Times New Roman"/>
        </w:rPr>
        <w:t>Anti-Money Laundering/Countering the Financing of Terrorism Program and Suspicious Activity Report Filing Requirements for Registered Investment Advisers and Exempt Reporting Advisers</w:t>
      </w:r>
      <w:r w:rsidR="00D6752E">
        <w:rPr>
          <w:rFonts w:ascii="Times New Roman" w:hAnsi="Times New Roman"/>
        </w:rPr>
        <w:t>”</w:t>
      </w:r>
      <w:r w:rsidR="00620B14">
        <w:rPr>
          <w:rFonts w:ascii="Times New Roman" w:hAnsi="Times New Roman"/>
        </w:rPr>
        <w:t xml:space="preserve"> (Feb. 15, 2024)</w:t>
      </w:r>
      <w:r w:rsidR="007D0848">
        <w:rPr>
          <w:rFonts w:ascii="Times New Roman" w:hAnsi="Times New Roman"/>
        </w:rPr>
        <w:t xml:space="preserve">, </w:t>
      </w:r>
      <w:r w:rsidRPr="009239C1" w:rsidR="007D0848">
        <w:rPr>
          <w:rFonts w:ascii="Times New Roman" w:hAnsi="Times New Roman"/>
          <w:i/>
          <w:iCs/>
        </w:rPr>
        <w:t>available at</w:t>
      </w:r>
      <w:r w:rsidR="007D0848">
        <w:rPr>
          <w:rFonts w:ascii="Times New Roman" w:hAnsi="Times New Roman"/>
          <w:i/>
          <w:iCs/>
        </w:rPr>
        <w:t xml:space="preserve"> </w:t>
      </w:r>
      <w:hyperlink r:id="rId4" w:history="1">
        <w:r w:rsidRPr="009239C1" w:rsidR="006175E3">
          <w:rPr>
            <w:rStyle w:val="Hyperlink"/>
            <w:rFonts w:ascii="Times New Roman" w:hAnsi="Times New Roman"/>
          </w:rPr>
          <w:t>https://www.regulations.gov/document/FINCEN-2024-0006-0001/comment</w:t>
        </w:r>
      </w:hyperlink>
      <w:r w:rsidR="006175E3">
        <w:rPr>
          <w:rFonts w:ascii="Times New Roman" w:hAnsi="Times New Roman"/>
        </w:rPr>
        <w:t>.</w:t>
      </w:r>
    </w:p>
    <w:p w:rsidR="006175E3" w:rsidRPr="009239C1" w14:paraId="4B01B45E" w14:textId="77777777">
      <w:pPr>
        <w:pStyle w:val="FootnoteText"/>
        <w:rPr>
          <w:rFonts w:ascii="Times New Roman" w:hAnsi="Times New Roman"/>
        </w:rPr>
      </w:pPr>
    </w:p>
  </w:footnote>
  <w:footnote w:id="10">
    <w:p w:rsidR="007B5C6B" w:rsidRPr="0011241A" w:rsidP="007B5C6B" w14:paraId="104511B1" w14:textId="77777777">
      <w:pPr>
        <w:pStyle w:val="FootnoteText"/>
        <w:rPr>
          <w:rFonts w:ascii="Times New Roman" w:hAnsi="Times New Roman"/>
        </w:rPr>
      </w:pPr>
      <w:r w:rsidRPr="0011241A">
        <w:rPr>
          <w:rStyle w:val="FootnoteReference"/>
          <w:rFonts w:ascii="Times New Roman" w:hAnsi="Times New Roman" w:eastAsiaTheme="majorEastAsia"/>
          <w:vertAlign w:val="superscript"/>
        </w:rPr>
        <w:footnoteRef/>
      </w:r>
      <w:r w:rsidRPr="0011241A">
        <w:rPr>
          <w:rFonts w:ascii="Times New Roman" w:hAnsi="Times New Roman"/>
        </w:rPr>
        <w:t xml:space="preserve"> FinCEN, Privacy Act of 1974, as Amended; System of Records Notice, 79 FR 20969 (Apr. 14, 2014).</w:t>
      </w:r>
    </w:p>
  </w:footnote>
  <w:footnote w:id="11">
    <w:p w:rsidR="00481EC1" w:rsidRPr="0011241A" w:rsidP="00481EC1" w14:paraId="45968BFD" w14:textId="77777777">
      <w:pPr>
        <w:rPr>
          <w:rFonts w:ascii="Times New Roman" w:hAnsi="Times New Roman"/>
          <w:szCs w:val="20"/>
        </w:rPr>
      </w:pPr>
      <w:r w:rsidRPr="0011241A">
        <w:rPr>
          <w:rFonts w:ascii="Times New Roman" w:hAnsi="Times New Roman"/>
          <w:szCs w:val="20"/>
          <w:vertAlign w:val="superscript"/>
        </w:rPr>
        <w:footnoteRef/>
      </w:r>
      <w:r w:rsidRPr="0011241A">
        <w:rPr>
          <w:rFonts w:ascii="Times New Roman" w:hAnsi="Times New Roman"/>
          <w:szCs w:val="20"/>
        </w:rPr>
        <w:t xml:space="preserve"> </w:t>
      </w:r>
      <w:r w:rsidRPr="0011241A">
        <w:rPr>
          <w:rFonts w:ascii="Times New Roman" w:hAnsi="Times New Roman"/>
          <w:i/>
          <w:iCs/>
          <w:szCs w:val="20"/>
        </w:rPr>
        <w:t xml:space="preserve">See </w:t>
      </w:r>
      <w:r w:rsidRPr="0011241A">
        <w:rPr>
          <w:rFonts w:ascii="Times New Roman" w:hAnsi="Times New Roman"/>
          <w:szCs w:val="20"/>
        </w:rPr>
        <w:t>SEC, FY 2023 Agency Financial Report, p. 32, https://www.sec.gov/files/sec-2023-agency-financial-report.pdf#chairmessage.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1D15" w:rsidP="000334D3" w14:paraId="4A672B07" w14:textId="77777777">
    <w:pPr>
      <w:tabs>
        <w:tab w:val="center" w:pos="4680"/>
      </w:tabs>
      <w:rPr>
        <w:sz w:val="24"/>
      </w:rPr>
    </w:pPr>
  </w:p>
  <w:p w:rsidR="000F1D15" w:rsidRPr="00AD5C95" w:rsidP="00A55A7A" w14:paraId="72EA9364" w14:textId="2057F318">
    <w:pPr>
      <w:tabs>
        <w:tab w:val="center" w:pos="4680"/>
      </w:tabs>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295090B"/>
    <w:multiLevelType w:val="hybridMultilevel"/>
    <w:tmpl w:val="11A6805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579755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2AF"/>
    <w:rsid w:val="0001210D"/>
    <w:rsid w:val="00015054"/>
    <w:rsid w:val="000334D3"/>
    <w:rsid w:val="000A092E"/>
    <w:rsid w:val="000E39F3"/>
    <w:rsid w:val="000F052E"/>
    <w:rsid w:val="000F0862"/>
    <w:rsid w:val="000F1D15"/>
    <w:rsid w:val="00103423"/>
    <w:rsid w:val="0011241A"/>
    <w:rsid w:val="00137BFA"/>
    <w:rsid w:val="001467CE"/>
    <w:rsid w:val="0016542F"/>
    <w:rsid w:val="0018170E"/>
    <w:rsid w:val="00196C55"/>
    <w:rsid w:val="001A7E82"/>
    <w:rsid w:val="001B00AB"/>
    <w:rsid w:val="001D151E"/>
    <w:rsid w:val="001F7618"/>
    <w:rsid w:val="002030CC"/>
    <w:rsid w:val="002127AB"/>
    <w:rsid w:val="002377A1"/>
    <w:rsid w:val="00263667"/>
    <w:rsid w:val="00266455"/>
    <w:rsid w:val="002B3DDB"/>
    <w:rsid w:val="002E4308"/>
    <w:rsid w:val="002E752F"/>
    <w:rsid w:val="002E7DC8"/>
    <w:rsid w:val="002F1286"/>
    <w:rsid w:val="00364152"/>
    <w:rsid w:val="00366F1A"/>
    <w:rsid w:val="0037466C"/>
    <w:rsid w:val="0038583E"/>
    <w:rsid w:val="003C3521"/>
    <w:rsid w:val="003C7BAD"/>
    <w:rsid w:val="003D26D8"/>
    <w:rsid w:val="003F50F2"/>
    <w:rsid w:val="0041098A"/>
    <w:rsid w:val="00425399"/>
    <w:rsid w:val="00481EC1"/>
    <w:rsid w:val="004A44F3"/>
    <w:rsid w:val="004F79EA"/>
    <w:rsid w:val="005229EF"/>
    <w:rsid w:val="00531E61"/>
    <w:rsid w:val="00536B64"/>
    <w:rsid w:val="005A456D"/>
    <w:rsid w:val="005B0E61"/>
    <w:rsid w:val="005B482B"/>
    <w:rsid w:val="005B544A"/>
    <w:rsid w:val="005E00E1"/>
    <w:rsid w:val="00604D26"/>
    <w:rsid w:val="00613DA6"/>
    <w:rsid w:val="006175E3"/>
    <w:rsid w:val="00620B14"/>
    <w:rsid w:val="00621D37"/>
    <w:rsid w:val="0063569D"/>
    <w:rsid w:val="006B61B5"/>
    <w:rsid w:val="006E2E17"/>
    <w:rsid w:val="006F60BA"/>
    <w:rsid w:val="006F6BAC"/>
    <w:rsid w:val="007070DC"/>
    <w:rsid w:val="00714A66"/>
    <w:rsid w:val="007759EC"/>
    <w:rsid w:val="00797115"/>
    <w:rsid w:val="007B5C6B"/>
    <w:rsid w:val="007C2AE9"/>
    <w:rsid w:val="007D0848"/>
    <w:rsid w:val="007D16E3"/>
    <w:rsid w:val="007D55B6"/>
    <w:rsid w:val="0081125D"/>
    <w:rsid w:val="00815C7E"/>
    <w:rsid w:val="0084506D"/>
    <w:rsid w:val="00847D21"/>
    <w:rsid w:val="00872B79"/>
    <w:rsid w:val="00915B57"/>
    <w:rsid w:val="009239C1"/>
    <w:rsid w:val="00925C64"/>
    <w:rsid w:val="009709CB"/>
    <w:rsid w:val="00994FE6"/>
    <w:rsid w:val="009B0605"/>
    <w:rsid w:val="009B679C"/>
    <w:rsid w:val="009D107E"/>
    <w:rsid w:val="009D66C6"/>
    <w:rsid w:val="009E3596"/>
    <w:rsid w:val="009F39CE"/>
    <w:rsid w:val="00A07299"/>
    <w:rsid w:val="00A35F94"/>
    <w:rsid w:val="00A36CF5"/>
    <w:rsid w:val="00A37BDD"/>
    <w:rsid w:val="00A55A7A"/>
    <w:rsid w:val="00A55F86"/>
    <w:rsid w:val="00A57480"/>
    <w:rsid w:val="00A621DD"/>
    <w:rsid w:val="00A622A2"/>
    <w:rsid w:val="00A7101B"/>
    <w:rsid w:val="00AB1274"/>
    <w:rsid w:val="00AB7920"/>
    <w:rsid w:val="00AD43DE"/>
    <w:rsid w:val="00AD5C95"/>
    <w:rsid w:val="00AF4E8A"/>
    <w:rsid w:val="00B23A6F"/>
    <w:rsid w:val="00B23A97"/>
    <w:rsid w:val="00B26A3B"/>
    <w:rsid w:val="00BC32AF"/>
    <w:rsid w:val="00BE1BF7"/>
    <w:rsid w:val="00C80C19"/>
    <w:rsid w:val="00C84BAB"/>
    <w:rsid w:val="00C96955"/>
    <w:rsid w:val="00CA1C00"/>
    <w:rsid w:val="00CE08B8"/>
    <w:rsid w:val="00CF475A"/>
    <w:rsid w:val="00CF4CC2"/>
    <w:rsid w:val="00D03DCD"/>
    <w:rsid w:val="00D6752E"/>
    <w:rsid w:val="00D751F0"/>
    <w:rsid w:val="00D94FDD"/>
    <w:rsid w:val="00DA1CB8"/>
    <w:rsid w:val="00DA45F2"/>
    <w:rsid w:val="00DB6009"/>
    <w:rsid w:val="00DC37F8"/>
    <w:rsid w:val="00DD7829"/>
    <w:rsid w:val="00DF1E76"/>
    <w:rsid w:val="00E0156A"/>
    <w:rsid w:val="00E03DA3"/>
    <w:rsid w:val="00E42C8E"/>
    <w:rsid w:val="00E5578F"/>
    <w:rsid w:val="00E6122C"/>
    <w:rsid w:val="00E84FD8"/>
    <w:rsid w:val="00EA181A"/>
    <w:rsid w:val="00EB2554"/>
    <w:rsid w:val="00ED0369"/>
    <w:rsid w:val="00ED2562"/>
    <w:rsid w:val="00EE101F"/>
    <w:rsid w:val="00EF1C7C"/>
    <w:rsid w:val="00F35C84"/>
    <w:rsid w:val="00F60985"/>
    <w:rsid w:val="00F81301"/>
    <w:rsid w:val="00F87DD3"/>
    <w:rsid w:val="00F916FC"/>
    <w:rsid w:val="00F979CF"/>
    <w:rsid w:val="00F979E6"/>
    <w:rsid w:val="00FA3957"/>
    <w:rsid w:val="00FA4A8A"/>
    <w:rsid w:val="00FB4585"/>
    <w:rsid w:val="00FC5FF0"/>
    <w:rsid w:val="00FD0BCF"/>
    <w:rsid w:val="1AB2B056"/>
    <w:rsid w:val="1B25955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1E4FD8"/>
  <w15:chartTrackingRefBased/>
  <w15:docId w15:val="{A188B35E-F73C-40AE-BDE6-3DE5ADF9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32A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otnoteReference">
    <w:name w:val="footnote reference"/>
    <w:aliases w:val=" BVI fnr,(Footnote Reference),12,Appel note de bas de p,BVI fnr,EN Footnote Reference,Footnote,Footnote Reference Superscript,Footnote reference number,Footnote symbol,Nota,SUPERS,Style 16,Style 19,Voetnootverwijzing,fr,note TESI"/>
    <w:uiPriority w:val="99"/>
    <w:qFormat/>
    <w:rsid w:val="00BC32AF"/>
  </w:style>
  <w:style w:type="paragraph" w:styleId="FootnoteText">
    <w:name w:val="footnote text"/>
    <w:aliases w:val="Footnote Text Char Char Char,Footnote Text Char Char Char Char Char,Footnote Text Char1,Footnote Text Char1 Char,Footnote Text Char1 Char Char,Footnote Text Char1 Char Char Char,Footnote Text Char1 Char Char Char Char Char,Style 15,fn,ft"/>
    <w:basedOn w:val="Normal"/>
    <w:link w:val="FootnoteTextChar"/>
    <w:uiPriority w:val="99"/>
    <w:qFormat/>
    <w:rsid w:val="00BC32AF"/>
    <w:pPr>
      <w:widowControl w:val="0"/>
      <w:autoSpaceDE w:val="0"/>
      <w:autoSpaceDN w:val="0"/>
      <w:adjustRightInd w:val="0"/>
      <w:spacing w:after="0" w:line="240" w:lineRule="auto"/>
    </w:pPr>
    <w:rPr>
      <w:rFonts w:ascii="Courier" w:eastAsia="Times New Roman" w:hAnsi="Courier" w:cs="Times New Roman"/>
      <w:kern w:val="0"/>
      <w:sz w:val="20"/>
      <w:szCs w:val="20"/>
      <w14:ligatures w14:val="none"/>
    </w:rPr>
  </w:style>
  <w:style w:type="character" w:customStyle="1" w:styleId="FootnoteTextChar">
    <w:name w:val="Footnote Text Char"/>
    <w:aliases w:val="Footnote Text Char Char Char Char,Footnote Text Char Char Char Char Char Char,Footnote Text Char1 Char Char Char Char,Footnote Text Char1 Char Char Char Char Char Char,Footnote Text Char1 Char Char Char1,Footnote Text Char1 Char Char1"/>
    <w:basedOn w:val="DefaultParagraphFont"/>
    <w:link w:val="FootnoteText"/>
    <w:uiPriority w:val="99"/>
    <w:rsid w:val="00BC32AF"/>
    <w:rPr>
      <w:rFonts w:ascii="Courier" w:eastAsia="Times New Roman" w:hAnsi="Courier" w:cs="Times New Roman"/>
      <w:kern w:val="0"/>
      <w:sz w:val="20"/>
      <w:szCs w:val="20"/>
      <w14:ligatures w14:val="none"/>
    </w:rPr>
  </w:style>
  <w:style w:type="paragraph" w:styleId="Footer">
    <w:name w:val="footer"/>
    <w:basedOn w:val="Normal"/>
    <w:link w:val="FooterChar"/>
    <w:uiPriority w:val="99"/>
    <w:rsid w:val="00BC32AF"/>
    <w:pPr>
      <w:widowControl w:val="0"/>
      <w:tabs>
        <w:tab w:val="center" w:pos="4680"/>
        <w:tab w:val="right" w:pos="9360"/>
      </w:tabs>
      <w:autoSpaceDE w:val="0"/>
      <w:autoSpaceDN w:val="0"/>
      <w:adjustRightInd w:val="0"/>
      <w:spacing w:after="0" w:line="240" w:lineRule="auto"/>
    </w:pPr>
    <w:rPr>
      <w:rFonts w:ascii="Courier" w:eastAsia="Times New Roman" w:hAnsi="Courier" w:cs="Times New Roman"/>
      <w:kern w:val="0"/>
      <w:sz w:val="20"/>
      <w:szCs w:val="24"/>
      <w14:ligatures w14:val="none"/>
    </w:rPr>
  </w:style>
  <w:style w:type="character" w:customStyle="1" w:styleId="FooterChar">
    <w:name w:val="Footer Char"/>
    <w:basedOn w:val="DefaultParagraphFont"/>
    <w:link w:val="Footer"/>
    <w:uiPriority w:val="99"/>
    <w:rsid w:val="00BC32AF"/>
    <w:rPr>
      <w:rFonts w:ascii="Courier" w:eastAsia="Times New Roman" w:hAnsi="Courier" w:cs="Times New Roman"/>
      <w:kern w:val="0"/>
      <w:sz w:val="20"/>
      <w:szCs w:val="24"/>
      <w14:ligatures w14:val="none"/>
    </w:rPr>
  </w:style>
  <w:style w:type="character" w:styleId="Hyperlink">
    <w:name w:val="Hyperlink"/>
    <w:unhideWhenUsed/>
    <w:rsid w:val="00BC32AF"/>
    <w:rPr>
      <w:color w:val="0563C1"/>
      <w:u w:val="single"/>
    </w:rPr>
  </w:style>
  <w:style w:type="paragraph" w:styleId="BodyTextIndent3">
    <w:name w:val="Body Text Indent 3"/>
    <w:basedOn w:val="Normal"/>
    <w:link w:val="BodyTextIndent3Char"/>
    <w:rsid w:val="000F1D15"/>
    <w:pPr>
      <w:widowControl w:val="0"/>
      <w:autoSpaceDE w:val="0"/>
      <w:autoSpaceDN w:val="0"/>
      <w:adjustRightInd w:val="0"/>
      <w:spacing w:after="0" w:line="240" w:lineRule="auto"/>
      <w:ind w:left="720"/>
    </w:pPr>
    <w:rPr>
      <w:rFonts w:ascii="Times New Roman" w:eastAsia="Times New Roman" w:hAnsi="Times New Roman" w:cs="Times New Roman"/>
      <w:kern w:val="0"/>
      <w:sz w:val="24"/>
      <w:szCs w:val="24"/>
      <w14:ligatures w14:val="none"/>
    </w:rPr>
  </w:style>
  <w:style w:type="character" w:customStyle="1" w:styleId="BodyTextIndent3Char">
    <w:name w:val="Body Text Indent 3 Char"/>
    <w:basedOn w:val="DefaultParagraphFont"/>
    <w:link w:val="BodyTextIndent3"/>
    <w:rsid w:val="000F1D15"/>
    <w:rPr>
      <w:rFonts w:ascii="Times New Roman" w:eastAsia="Times New Roman" w:hAnsi="Times New Roman" w:cs="Times New Roman"/>
      <w:kern w:val="0"/>
      <w:sz w:val="24"/>
      <w:szCs w:val="24"/>
      <w14:ligatures w14:val="none"/>
    </w:rPr>
  </w:style>
  <w:style w:type="character" w:styleId="CommentReference">
    <w:name w:val="annotation reference"/>
    <w:uiPriority w:val="99"/>
    <w:rsid w:val="000F1D15"/>
    <w:rPr>
      <w:sz w:val="16"/>
      <w:szCs w:val="16"/>
    </w:rPr>
  </w:style>
  <w:style w:type="paragraph" w:styleId="CommentText">
    <w:name w:val="annotation text"/>
    <w:basedOn w:val="Normal"/>
    <w:link w:val="CommentTextChar"/>
    <w:uiPriority w:val="99"/>
    <w:qFormat/>
    <w:rsid w:val="000F1D15"/>
    <w:pPr>
      <w:widowControl w:val="0"/>
      <w:autoSpaceDE w:val="0"/>
      <w:autoSpaceDN w:val="0"/>
      <w:adjustRightInd w:val="0"/>
      <w:spacing w:after="0" w:line="240" w:lineRule="auto"/>
    </w:pPr>
    <w:rPr>
      <w:rFonts w:ascii="Courier" w:eastAsia="Times New Roman" w:hAnsi="Courier" w:cs="Times New Roman"/>
      <w:kern w:val="0"/>
      <w:sz w:val="20"/>
      <w:szCs w:val="20"/>
      <w14:ligatures w14:val="none"/>
    </w:rPr>
  </w:style>
  <w:style w:type="character" w:customStyle="1" w:styleId="CommentTextChar">
    <w:name w:val="Comment Text Char"/>
    <w:basedOn w:val="DefaultParagraphFont"/>
    <w:link w:val="CommentText"/>
    <w:uiPriority w:val="99"/>
    <w:qFormat/>
    <w:rsid w:val="000F1D15"/>
    <w:rPr>
      <w:rFonts w:ascii="Courier" w:eastAsia="Times New Roman" w:hAnsi="Courier" w:cs="Times New Roman"/>
      <w:kern w:val="0"/>
      <w:sz w:val="20"/>
      <w:szCs w:val="20"/>
      <w14:ligatures w14:val="none"/>
    </w:rPr>
  </w:style>
  <w:style w:type="paragraph" w:styleId="PlainText">
    <w:name w:val="Plain Text"/>
    <w:basedOn w:val="Normal"/>
    <w:link w:val="PlainTextChar"/>
    <w:uiPriority w:val="99"/>
    <w:rsid w:val="005229EF"/>
    <w:pPr>
      <w:spacing w:after="0" w:line="240" w:lineRule="auto"/>
    </w:pPr>
    <w:rPr>
      <w:rFonts w:ascii="Courier New" w:eastAsia="Times New Roman" w:hAnsi="Courier New" w:cs="Courier New"/>
      <w:kern w:val="0"/>
      <w:sz w:val="20"/>
      <w:szCs w:val="20"/>
      <w14:ligatures w14:val="none"/>
    </w:rPr>
  </w:style>
  <w:style w:type="character" w:customStyle="1" w:styleId="PlainTextChar">
    <w:name w:val="Plain Text Char"/>
    <w:basedOn w:val="DefaultParagraphFont"/>
    <w:link w:val="PlainText"/>
    <w:uiPriority w:val="99"/>
    <w:rsid w:val="005229EF"/>
    <w:rPr>
      <w:rFonts w:ascii="Courier New" w:eastAsia="Times New Roman" w:hAnsi="Courier New" w:cs="Courier New"/>
      <w:kern w:val="0"/>
      <w:sz w:val="20"/>
      <w:szCs w:val="20"/>
      <w14:ligatures w14:val="none"/>
    </w:rPr>
  </w:style>
  <w:style w:type="character" w:styleId="UnresolvedMention">
    <w:name w:val="Unresolved Mention"/>
    <w:basedOn w:val="DefaultParagraphFont"/>
    <w:uiPriority w:val="99"/>
    <w:semiHidden/>
    <w:unhideWhenUsed/>
    <w:rsid w:val="00CE08B8"/>
    <w:rPr>
      <w:color w:val="605E5C"/>
      <w:shd w:val="clear" w:color="auto" w:fill="E1DFDD"/>
    </w:rPr>
  </w:style>
  <w:style w:type="paragraph" w:styleId="Revision">
    <w:name w:val="Revision"/>
    <w:hidden/>
    <w:uiPriority w:val="99"/>
    <w:semiHidden/>
    <w:rsid w:val="007D55B6"/>
    <w:pPr>
      <w:spacing w:after="0" w:line="240" w:lineRule="auto"/>
    </w:pPr>
  </w:style>
  <w:style w:type="paragraph" w:styleId="CommentSubject">
    <w:name w:val="annotation subject"/>
    <w:basedOn w:val="CommentText"/>
    <w:next w:val="CommentText"/>
    <w:link w:val="CommentSubjectChar"/>
    <w:uiPriority w:val="99"/>
    <w:semiHidden/>
    <w:unhideWhenUsed/>
    <w:rsid w:val="007D55B6"/>
    <w:pPr>
      <w:widowControl/>
      <w:autoSpaceDE/>
      <w:autoSpaceDN/>
      <w:adjustRightInd/>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7D55B6"/>
    <w:rPr>
      <w:rFonts w:ascii="Courier" w:eastAsia="Times New Roman" w:hAnsi="Courier" w:cs="Times New Roman"/>
      <w:b/>
      <w:bCs/>
      <w:kern w:val="0"/>
      <w:sz w:val="20"/>
      <w:szCs w:val="20"/>
      <w14:ligatures w14:val="none"/>
    </w:rPr>
  </w:style>
  <w:style w:type="paragraph" w:styleId="Header">
    <w:name w:val="header"/>
    <w:basedOn w:val="Normal"/>
    <w:link w:val="HeaderChar"/>
    <w:uiPriority w:val="99"/>
    <w:unhideWhenUsed/>
    <w:rsid w:val="00A62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home.treasury.gov/system/files/136/US-Sectoral-Illicit-Finance-Risk-Assessment-Investment-Advisers.pdf" TargetMode="External" /><Relationship Id="rId2" Type="http://schemas.openxmlformats.org/officeDocument/2006/relationships/hyperlink" Target="https://www.federalregister.gov/documents/2024/02/15/2024-02854/financial-crimes-enforcement-network-anti-money-launderingcountering-the-financing-of-terrorism" TargetMode="External" /><Relationship Id="rId3" Type="http://schemas.openxmlformats.org/officeDocument/2006/relationships/hyperlink" Target="http://www.regulations.gov" TargetMode="External" /><Relationship Id="rId4" Type="http://schemas.openxmlformats.org/officeDocument/2006/relationships/hyperlink" Target="https://www.regulations.gov/document/FINCEN-2024-0006-0001/commen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06dc9e31-77ef-4d6c-aef0-28813a4b4cd3">Final</Category>
    <CaseID xmlns="06dc9e31-77ef-4d6c-aef0-28813a4b4cd3">20247-TFI-8060</CaseID>
    <DocID xmlns="06dc9e31-77ef-4d6c-aef0-28813a4b4cd3">6bafde06-50a9-4855-9138-6731f5db2717</DocI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661DF02641B84492927FB185FDAAD7" ma:contentTypeVersion="4" ma:contentTypeDescription="Create a new document." ma:contentTypeScope="" ma:versionID="e29ab99ec7669993f3602c3ede67a9a8">
  <xsd:schema xmlns:xsd="http://www.w3.org/2001/XMLSchema" xmlns:xs="http://www.w3.org/2001/XMLSchema" xmlns:p="http://schemas.microsoft.com/office/2006/metadata/properties" xmlns:ns2="06dc9e31-77ef-4d6c-aef0-28813a4b4cd3" xmlns:ns3="91882c98-ad7c-457b-bb99-16138be0c2aa" targetNamespace="http://schemas.microsoft.com/office/2006/metadata/properties" ma:root="true" ma:fieldsID="15828458f29a8d83e3fdccf137238ade" ns2:_="" ns3:_="">
    <xsd:import namespace="06dc9e31-77ef-4d6c-aef0-28813a4b4cd3"/>
    <xsd:import namespace="91882c98-ad7c-457b-bb99-16138be0c2aa"/>
    <xsd:element name="properties">
      <xsd:complexType>
        <xsd:sequence>
          <xsd:element name="documentManagement">
            <xsd:complexType>
              <xsd:all>
                <xsd:element ref="ns2:Category" minOccurs="0"/>
                <xsd:element ref="ns2:DocID" minOccurs="0"/>
                <xsd:element ref="ns2:Cas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dc9e31-77ef-4d6c-aef0-28813a4b4cd3"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Choice">
          <xsd:enumeration value="Final"/>
          <xsd:enumeration value="Draft"/>
          <xsd:enumeration value="IC"/>
        </xsd:restriction>
      </xsd:simpleType>
    </xsd:element>
    <xsd:element name="DocID" ma:index="9" nillable="true" ma:displayName="DocID" ma:internalName="DocID">
      <xsd:simpleType>
        <xsd:restriction base="dms:Text"/>
      </xsd:simpleType>
    </xsd:element>
    <xsd:element name="CaseID" ma:index="10" nillable="true" ma:displayName="CaseID" ma:internalName="Case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82c98-ad7c-457b-bb99-16138be0c2a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8A69D9-3889-45FE-9E17-0541EA630797}">
  <ds:schemaRefs>
    <ds:schemaRef ds:uri="http://schemas.microsoft.com/office/2006/metadata/properties"/>
    <ds:schemaRef ds:uri="http://schemas.microsoft.com/office/infopath/2007/PartnerControls"/>
    <ds:schemaRef ds:uri="06dc9e31-77ef-4d6c-aef0-28813a4b4cd3"/>
  </ds:schemaRefs>
</ds:datastoreItem>
</file>

<file path=customXml/itemProps2.xml><?xml version="1.0" encoding="utf-8"?>
<ds:datastoreItem xmlns:ds="http://schemas.openxmlformats.org/officeDocument/2006/customXml" ds:itemID="{FD0BB22B-9D4C-4659-8475-C34EE23063F7}">
  <ds:schemaRefs>
    <ds:schemaRef ds:uri="http://schemas.openxmlformats.org/officeDocument/2006/bibliography"/>
  </ds:schemaRefs>
</ds:datastoreItem>
</file>

<file path=customXml/itemProps3.xml><?xml version="1.0" encoding="utf-8"?>
<ds:datastoreItem xmlns:ds="http://schemas.openxmlformats.org/officeDocument/2006/customXml" ds:itemID="{0AB47410-78FE-442D-8D49-A950CA71D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dc9e31-77ef-4d6c-aef0-28813a4b4cd3"/>
    <ds:schemaRef ds:uri="91882c98-ad7c-457b-bb99-16138be0c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1912FF-A482-4238-B68C-3F0D4B5F62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3365</Words>
  <Characters>19184</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Wyard, Martin (Detailee)</dc:creator>
  <cp:lastModifiedBy>Stewart, Jaclyn</cp:lastModifiedBy>
  <cp:revision>2</cp:revision>
  <dcterms:created xsi:type="dcterms:W3CDTF">2024-09-04T15:39:00Z</dcterms:created>
  <dcterms:modified xsi:type="dcterms:W3CDTF">2024-09-04T15:39:00Z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0x010100EB661DF02641B84492927FB185FDAAD7</vt:lpwstr>
  </property>
</Properties>
</file>