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2C8D" w:rsidRPr="003F2C8D" w:rsidP="003F2C8D" w14:paraId="2AF47640" w14:textId="77777777">
      <w:pPr>
        <w:tabs>
          <w:tab w:val="center" w:pos="4680"/>
        </w:tabs>
        <w:jc w:val="center"/>
        <w:rPr>
          <w:rFonts w:ascii="Calibri" w:hAnsi="Calibri" w:cs="Courier New"/>
          <w:b/>
          <w:bCs/>
          <w:sz w:val="22"/>
          <w:szCs w:val="22"/>
        </w:rPr>
      </w:pPr>
      <w:r w:rsidRPr="003F2C8D">
        <w:rPr>
          <w:rFonts w:ascii="Calibri" w:hAnsi="Calibri" w:cs="Courier New"/>
          <w:b/>
          <w:bCs/>
          <w:sz w:val="22"/>
          <w:szCs w:val="22"/>
        </w:rPr>
        <w:t>SUPPORTING STATEMENT</w:t>
      </w:r>
    </w:p>
    <w:p w:rsidR="003F2C8D" w:rsidRPr="003F2C8D" w:rsidP="003F2C8D" w14:paraId="7F694C63" w14:textId="77777777">
      <w:pPr>
        <w:tabs>
          <w:tab w:val="center" w:pos="4680"/>
        </w:tabs>
        <w:jc w:val="center"/>
        <w:rPr>
          <w:rFonts w:ascii="Calibri" w:hAnsi="Calibri" w:cs="Courier New"/>
          <w:b/>
          <w:bCs/>
          <w:sz w:val="22"/>
          <w:szCs w:val="22"/>
        </w:rPr>
      </w:pPr>
      <w:r w:rsidRPr="003F2C8D">
        <w:rPr>
          <w:rFonts w:ascii="Calibri" w:hAnsi="Calibri" w:cs="Courier New"/>
          <w:b/>
          <w:bCs/>
          <w:sz w:val="22"/>
          <w:szCs w:val="22"/>
        </w:rPr>
        <w:t>Internal Revenue Service</w:t>
      </w:r>
    </w:p>
    <w:p w:rsidR="003F2C8D" w:rsidRPr="003F2C8D" w:rsidP="003F2C8D" w14:paraId="05A47BB0" w14:textId="016FE78E">
      <w:pPr>
        <w:tabs>
          <w:tab w:val="center" w:pos="4680"/>
        </w:tabs>
        <w:jc w:val="center"/>
        <w:rPr>
          <w:rFonts w:ascii="Calibri" w:hAnsi="Calibri" w:cs="Courier New"/>
          <w:b/>
          <w:bCs/>
          <w:sz w:val="22"/>
          <w:szCs w:val="22"/>
        </w:rPr>
      </w:pPr>
      <w:r w:rsidRPr="003F2C8D">
        <w:rPr>
          <w:rFonts w:ascii="Calibri" w:hAnsi="Calibri" w:cs="Courier New"/>
          <w:b/>
          <w:bCs/>
          <w:sz w:val="22"/>
          <w:szCs w:val="22"/>
        </w:rPr>
        <w:t>Form 3491, Consumer Cooperative Exemption Application</w:t>
      </w:r>
    </w:p>
    <w:p w:rsidR="00C55232" w:rsidRPr="005E49F6" w:rsidP="003F2C8D" w14:paraId="34AD2CB7" w14:textId="7CAE915A">
      <w:pPr>
        <w:tabs>
          <w:tab w:val="center" w:pos="4680"/>
        </w:tabs>
        <w:jc w:val="center"/>
        <w:rPr>
          <w:rFonts w:ascii="Calibri" w:hAnsi="Calibri" w:cs="Courier New"/>
          <w:b/>
          <w:bCs/>
          <w:sz w:val="22"/>
          <w:szCs w:val="22"/>
        </w:rPr>
      </w:pPr>
      <w:r w:rsidRPr="003F2C8D">
        <w:rPr>
          <w:rFonts w:ascii="Calibri" w:hAnsi="Calibri" w:cs="Courier New"/>
          <w:b/>
          <w:bCs/>
          <w:sz w:val="22"/>
          <w:szCs w:val="22"/>
        </w:rPr>
        <w:t>OMB Control Number 1545-1941</w:t>
      </w:r>
    </w:p>
    <w:p w:rsidR="0003573A" w:rsidRPr="00613D6A" w14:paraId="7CA074D0" w14:textId="77777777">
      <w:pPr>
        <w:rPr>
          <w:rFonts w:asciiTheme="minorHAnsi" w:hAnsiTheme="minorHAnsi" w:cstheme="minorHAnsi"/>
          <w:b/>
          <w:bCs/>
          <w:sz w:val="22"/>
          <w:szCs w:val="22"/>
        </w:rPr>
      </w:pPr>
    </w:p>
    <w:p w:rsidR="00332B28" w:rsidRPr="00613D6A" w14:paraId="32AE3AC9" w14:textId="77777777">
      <w:pPr>
        <w:pStyle w:val="Quick1"/>
        <w:numPr>
          <w:ilvl w:val="0"/>
          <w:numId w:val="1"/>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CIRCUMSTANCES NECESSITATING COLLECTION OF INFORMATION</w:t>
      </w:r>
    </w:p>
    <w:p w:rsidR="00332B28" w:rsidRPr="00613D6A" w14:paraId="61120829" w14:textId="77777777">
      <w:pPr>
        <w:rPr>
          <w:rFonts w:asciiTheme="minorHAnsi" w:hAnsiTheme="minorHAnsi" w:cstheme="minorHAnsi"/>
          <w:sz w:val="22"/>
          <w:szCs w:val="22"/>
        </w:rPr>
      </w:pPr>
    </w:p>
    <w:p w:rsidR="003F2C8D" w:rsidRPr="003F2C8D" w:rsidP="003F2C8D" w14:paraId="1D2E7CB8" w14:textId="77777777">
      <w:pPr>
        <w:ind w:left="720"/>
        <w:rPr>
          <w:rFonts w:asciiTheme="minorHAnsi" w:hAnsiTheme="minorHAnsi" w:cstheme="minorHAnsi"/>
          <w:sz w:val="22"/>
          <w:szCs w:val="22"/>
        </w:rPr>
      </w:pPr>
      <w:r w:rsidRPr="003F2C8D">
        <w:rPr>
          <w:rFonts w:asciiTheme="minorHAnsi" w:hAnsiTheme="minorHAnsi" w:cstheme="minorHAnsi"/>
          <w:sz w:val="22"/>
          <w:szCs w:val="22"/>
        </w:rPr>
        <w:t xml:space="preserve">Internal Revenue Code (IRC), Section 6044(c) exempts certain consumer cooperatives from reporting patronage dividends paid of $10 or more on Form 1099-PATR, Taxable Distributions Received </w:t>
      </w:r>
      <w:r w:rsidRPr="003F2C8D">
        <w:rPr>
          <w:rFonts w:asciiTheme="minorHAnsi" w:hAnsiTheme="minorHAnsi" w:cstheme="minorHAnsi"/>
          <w:sz w:val="22"/>
          <w:szCs w:val="22"/>
        </w:rPr>
        <w:t>From</w:t>
      </w:r>
      <w:r w:rsidRPr="003F2C8D">
        <w:rPr>
          <w:rFonts w:asciiTheme="minorHAnsi" w:hAnsiTheme="minorHAnsi" w:cstheme="minorHAnsi"/>
          <w:sz w:val="22"/>
          <w:szCs w:val="22"/>
        </w:rPr>
        <w:t xml:space="preserve"> Cooperatives, if they file Form 3491, Consumer Cooperative Exemption Application.</w:t>
      </w:r>
    </w:p>
    <w:p w:rsidR="003F2C8D" w:rsidRPr="003F2C8D" w:rsidP="003F2C8D" w14:paraId="1B735BC3" w14:textId="77777777">
      <w:pPr>
        <w:ind w:left="720"/>
        <w:rPr>
          <w:rFonts w:asciiTheme="minorHAnsi" w:hAnsiTheme="minorHAnsi" w:cstheme="minorHAnsi"/>
          <w:sz w:val="22"/>
          <w:szCs w:val="22"/>
        </w:rPr>
      </w:pPr>
    </w:p>
    <w:p w:rsidR="00332B28" w:rsidRPr="00613D6A" w14:paraId="0BCFF041" w14:textId="5F6FEFE4">
      <w:pPr>
        <w:ind w:left="720"/>
        <w:rPr>
          <w:rFonts w:asciiTheme="minorHAnsi" w:hAnsiTheme="minorHAnsi" w:cstheme="minorHAnsi"/>
          <w:sz w:val="22"/>
          <w:szCs w:val="22"/>
        </w:rPr>
      </w:pPr>
      <w:r w:rsidRPr="003F2C8D">
        <w:rPr>
          <w:rFonts w:asciiTheme="minorHAnsi" w:hAnsiTheme="minorHAnsi" w:cstheme="minorHAnsi"/>
          <w:sz w:val="22"/>
          <w:szCs w:val="22"/>
        </w:rPr>
        <w:t xml:space="preserve">Any cooperative that is requesting exemption, under section 6044(c), per Form 1099-PATR must file Form 3491 and receive a determination from the IRS. To qualify for the exemption, 85% of the cooperative’s gross receipts for the preceding tax year, or 85% of its total gross receipts for the preceding 3 tax years, must have been from retail sales of goods or services that are generally for personal, living, or family use (qualifying retail sales). See Regulations section 1.6044-4. </w:t>
      </w:r>
    </w:p>
    <w:p w:rsidR="00332B28" w:rsidRPr="00613D6A" w14:paraId="43409B8B" w14:textId="77777777">
      <w:pPr>
        <w:rPr>
          <w:rFonts w:asciiTheme="minorHAnsi" w:hAnsiTheme="minorHAnsi" w:cstheme="minorHAnsi"/>
          <w:sz w:val="22"/>
          <w:szCs w:val="22"/>
        </w:rPr>
      </w:pPr>
    </w:p>
    <w:p w:rsidR="00332B28" w:rsidRPr="00613D6A" w14:paraId="209C0A9A"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USE OF DATA</w:t>
      </w:r>
    </w:p>
    <w:p w:rsidR="00332B28" w:rsidRPr="00613D6A" w14:paraId="1D4F6707" w14:textId="77777777">
      <w:pPr>
        <w:rPr>
          <w:rFonts w:asciiTheme="minorHAnsi" w:hAnsiTheme="minorHAnsi" w:cstheme="minorHAnsi"/>
          <w:sz w:val="22"/>
          <w:szCs w:val="22"/>
        </w:rPr>
      </w:pPr>
    </w:p>
    <w:p w:rsidR="00332B28" w:rsidRPr="00613D6A" w:rsidP="003F2C8D" w14:paraId="0A302A0C" w14:textId="49E9E16E">
      <w:pPr>
        <w:ind w:left="720"/>
        <w:rPr>
          <w:rFonts w:asciiTheme="minorHAnsi" w:hAnsiTheme="minorHAnsi" w:cstheme="minorHAnsi"/>
          <w:sz w:val="22"/>
          <w:szCs w:val="22"/>
        </w:rPr>
      </w:pPr>
      <w:r>
        <w:rPr>
          <w:rFonts w:asciiTheme="minorHAnsi" w:hAnsiTheme="minorHAnsi" w:cstheme="minorHAnsi"/>
          <w:sz w:val="22"/>
          <w:szCs w:val="22"/>
        </w:rPr>
        <w:t>I</w:t>
      </w:r>
      <w:r w:rsidRPr="003F2C8D">
        <w:rPr>
          <w:rFonts w:asciiTheme="minorHAnsi" w:hAnsiTheme="minorHAnsi" w:cstheme="minorHAnsi"/>
          <w:sz w:val="22"/>
          <w:szCs w:val="22"/>
        </w:rPr>
        <w:t xml:space="preserve">nformation from Form 3491 is used by the </w:t>
      </w:r>
      <w:r w:rsidR="00853A74">
        <w:rPr>
          <w:rFonts w:asciiTheme="minorHAnsi" w:hAnsiTheme="minorHAnsi" w:cstheme="minorHAnsi"/>
          <w:sz w:val="22"/>
          <w:szCs w:val="22"/>
        </w:rPr>
        <w:t>Internal Revenue Service (</w:t>
      </w:r>
      <w:r w:rsidRPr="003F2C8D">
        <w:rPr>
          <w:rFonts w:asciiTheme="minorHAnsi" w:hAnsiTheme="minorHAnsi" w:cstheme="minorHAnsi"/>
          <w:sz w:val="22"/>
          <w:szCs w:val="22"/>
        </w:rPr>
        <w:t>IRS</w:t>
      </w:r>
      <w:r w:rsidR="00853A74">
        <w:rPr>
          <w:rFonts w:asciiTheme="minorHAnsi" w:hAnsiTheme="minorHAnsi" w:cstheme="minorHAnsi"/>
          <w:sz w:val="22"/>
          <w:szCs w:val="22"/>
        </w:rPr>
        <w:t>)</w:t>
      </w:r>
      <w:r w:rsidRPr="003F2C8D">
        <w:rPr>
          <w:rFonts w:asciiTheme="minorHAnsi" w:hAnsiTheme="minorHAnsi" w:cstheme="minorHAnsi"/>
          <w:sz w:val="22"/>
          <w:szCs w:val="22"/>
        </w:rPr>
        <w:t xml:space="preserve"> to determine if the consumer cooperative should be exempt from filing form 1099 PATR.                </w:t>
      </w:r>
      <w:r w:rsidRPr="00613D6A" w:rsidR="00AB237B">
        <w:rPr>
          <w:rFonts w:asciiTheme="minorHAnsi" w:hAnsiTheme="minorHAnsi" w:cstheme="minorHAnsi"/>
          <w:sz w:val="22"/>
          <w:szCs w:val="22"/>
        </w:rPr>
        <w:t xml:space="preserve"> </w:t>
      </w:r>
    </w:p>
    <w:p w:rsidR="00332B28" w:rsidRPr="00613D6A" w14:paraId="74C9D22B" w14:textId="77777777">
      <w:pPr>
        <w:rPr>
          <w:rFonts w:asciiTheme="minorHAnsi" w:hAnsiTheme="minorHAnsi" w:cstheme="minorHAnsi"/>
          <w:sz w:val="22"/>
          <w:szCs w:val="22"/>
        </w:rPr>
      </w:pPr>
    </w:p>
    <w:p w:rsidR="00332B28" w:rsidRPr="00C63785" w:rsidP="00C63785" w14:paraId="7D90A438" w14:textId="231B0C01">
      <w:pPr>
        <w:tabs>
          <w:tab w:val="left" w:pos="-1440"/>
        </w:tabs>
        <w:ind w:left="720" w:hanging="720"/>
      </w:pPr>
      <w:r w:rsidRPr="00C63785">
        <w:t>3.</w:t>
      </w:r>
      <w:r w:rsidRPr="00C63785">
        <w:tab/>
      </w:r>
      <w:r w:rsidRPr="00C63785">
        <w:rPr>
          <w:rFonts w:asciiTheme="minorHAnsi" w:hAnsiTheme="minorHAnsi" w:cstheme="minorHAnsi"/>
          <w:sz w:val="22"/>
          <w:szCs w:val="22"/>
          <w:u w:val="single"/>
        </w:rPr>
        <w:t>USE OF IMPROVED INFORMATION TECHNOLOGY TO REDUCE BURDEN</w:t>
      </w:r>
    </w:p>
    <w:p w:rsidR="00332B28" w:rsidRPr="00613D6A" w14:paraId="30F8E810" w14:textId="77777777">
      <w:pPr>
        <w:rPr>
          <w:rFonts w:asciiTheme="minorHAnsi" w:hAnsiTheme="minorHAnsi" w:cstheme="minorHAnsi"/>
          <w:sz w:val="22"/>
          <w:szCs w:val="22"/>
        </w:rPr>
      </w:pPr>
    </w:p>
    <w:p w:rsidR="00332B28" w:rsidRPr="00613D6A" w14:paraId="57EB810F" w14:textId="42FB2219">
      <w:pPr>
        <w:ind w:left="720"/>
        <w:rPr>
          <w:rFonts w:asciiTheme="minorHAnsi" w:hAnsiTheme="minorHAnsi" w:cstheme="minorHAnsi"/>
          <w:sz w:val="22"/>
          <w:szCs w:val="22"/>
        </w:rPr>
      </w:pPr>
      <w:r w:rsidRPr="003F2C8D">
        <w:rPr>
          <w:rFonts w:asciiTheme="minorHAnsi" w:hAnsiTheme="minorHAnsi" w:cstheme="minorHAnsi"/>
          <w:sz w:val="22"/>
          <w:szCs w:val="22"/>
        </w:rPr>
        <w:t xml:space="preserve">IRS has no plans </w:t>
      </w:r>
      <w:r w:rsidRPr="003F2C8D">
        <w:rPr>
          <w:rFonts w:asciiTheme="minorHAnsi" w:hAnsiTheme="minorHAnsi" w:cstheme="minorHAnsi"/>
          <w:sz w:val="22"/>
          <w:szCs w:val="22"/>
        </w:rPr>
        <w:t>at this time</w:t>
      </w:r>
      <w:r w:rsidRPr="003F2C8D">
        <w:rPr>
          <w:rFonts w:asciiTheme="minorHAnsi" w:hAnsiTheme="minorHAnsi" w:cstheme="minorHAnsi"/>
          <w:sz w:val="22"/>
          <w:szCs w:val="22"/>
        </w:rPr>
        <w:t xml:space="preserve"> to offer electronic filing due to the low number of respondents.</w:t>
      </w:r>
      <w:r w:rsidR="00694043">
        <w:rPr>
          <w:rFonts w:asciiTheme="minorHAnsi" w:hAnsiTheme="minorHAnsi" w:cstheme="minorHAnsi"/>
          <w:sz w:val="22"/>
          <w:szCs w:val="22"/>
        </w:rPr>
        <w:t xml:space="preserve"> </w:t>
      </w:r>
    </w:p>
    <w:p w:rsidR="00332B28" w:rsidRPr="00613D6A" w14:paraId="00C2EEBA" w14:textId="77777777">
      <w:pPr>
        <w:rPr>
          <w:rFonts w:asciiTheme="minorHAnsi" w:hAnsiTheme="minorHAnsi" w:cstheme="minorHAnsi"/>
          <w:sz w:val="22"/>
          <w:szCs w:val="22"/>
        </w:rPr>
      </w:pPr>
    </w:p>
    <w:p w:rsidR="00332B28" w:rsidRPr="00613D6A" w14:paraId="514CF39E" w14:textId="77777777">
      <w:pPr>
        <w:pStyle w:val="Quick1"/>
        <w:numPr>
          <w:ilvl w:val="0"/>
          <w:numId w:val="2"/>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EFFORTS TO IDENTIFY DUPLICATION</w:t>
      </w:r>
    </w:p>
    <w:p w:rsidR="00332B28" w:rsidRPr="00613D6A" w14:paraId="102AC806" w14:textId="77777777">
      <w:pPr>
        <w:rPr>
          <w:rFonts w:asciiTheme="minorHAnsi" w:hAnsiTheme="minorHAnsi" w:cstheme="minorHAnsi"/>
          <w:sz w:val="22"/>
          <w:szCs w:val="22"/>
        </w:rPr>
      </w:pPr>
    </w:p>
    <w:p w:rsidR="00332B28" w:rsidRPr="00613D6A" w14:paraId="54484207" w14:textId="77777777">
      <w:pPr>
        <w:ind w:left="720"/>
        <w:rPr>
          <w:rFonts w:asciiTheme="minorHAnsi" w:hAnsiTheme="minorHAnsi" w:cstheme="minorHAnsi"/>
          <w:sz w:val="22"/>
          <w:szCs w:val="22"/>
        </w:rPr>
      </w:pPr>
      <w:r w:rsidRPr="00613D6A">
        <w:rPr>
          <w:rFonts w:asciiTheme="minorHAnsi" w:hAnsiTheme="minorHAnsi" w:cstheme="minorHAnsi"/>
          <w:iCs/>
          <w:sz w:val="22"/>
          <w:szCs w:val="22"/>
        </w:rPr>
        <w:t>The information obtained through this collection is unique and is not already available for use or adaptation from another source.</w:t>
      </w:r>
    </w:p>
    <w:p w:rsidR="00332B28" w:rsidRPr="00613D6A" w14:paraId="7319FB0E" w14:textId="77777777">
      <w:pPr>
        <w:rPr>
          <w:rFonts w:asciiTheme="minorHAnsi" w:hAnsiTheme="minorHAnsi" w:cstheme="minorHAnsi"/>
          <w:sz w:val="22"/>
          <w:szCs w:val="22"/>
        </w:rPr>
      </w:pPr>
      <w:r w:rsidRPr="00613D6A">
        <w:rPr>
          <w:rFonts w:asciiTheme="minorHAnsi" w:hAnsiTheme="minorHAnsi" w:cstheme="minorHAnsi"/>
          <w:sz w:val="22"/>
          <w:szCs w:val="22"/>
        </w:rPr>
        <w:t xml:space="preserve"> </w:t>
      </w:r>
    </w:p>
    <w:p w:rsidR="00332B28" w:rsidRPr="00613D6A" w14:paraId="46C1333C"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5.</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METHODS TO MINIMIZE BURDEN ON SMALL BUSINESSES OR OTHER</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SMALL ENTITIES</w:t>
      </w:r>
    </w:p>
    <w:p w:rsidR="00145368" w:rsidP="00145368" w14:paraId="2E7D19C0" w14:textId="77777777">
      <w:pPr>
        <w:ind w:left="720"/>
        <w:jc w:val="both"/>
        <w:rPr>
          <w:rFonts w:asciiTheme="minorHAnsi" w:hAnsiTheme="minorHAnsi" w:cstheme="minorHAnsi"/>
          <w:sz w:val="22"/>
          <w:szCs w:val="22"/>
        </w:rPr>
      </w:pPr>
    </w:p>
    <w:p w:rsidR="009B2092" w:rsidRPr="009B2092" w:rsidP="009B2092" w14:paraId="5FC079BA" w14:textId="011DF81D">
      <w:pPr>
        <w:ind w:left="720"/>
        <w:rPr>
          <w:rFonts w:asciiTheme="minorHAnsi" w:hAnsiTheme="minorHAnsi" w:cstheme="minorHAnsi"/>
          <w:sz w:val="22"/>
          <w:szCs w:val="22"/>
        </w:rPr>
      </w:pPr>
      <w:r w:rsidRPr="00853A74">
        <w:rPr>
          <w:rFonts w:asciiTheme="minorHAnsi" w:hAnsiTheme="minorHAnsi" w:cstheme="minorHAnsi"/>
          <w:sz w:val="22"/>
          <w:szCs w:val="22"/>
        </w:rPr>
        <w:t xml:space="preserve">There is no burden on small businesses or other small entities due to the inapplicability of the authorizing statute to these entities. </w:t>
      </w:r>
    </w:p>
    <w:p w:rsidR="00C55232" w:rsidRPr="00613D6A" w:rsidP="00C55232" w14:paraId="03344001" w14:textId="77777777">
      <w:pPr>
        <w:ind w:firstLine="720"/>
        <w:rPr>
          <w:rFonts w:asciiTheme="minorHAnsi" w:hAnsiTheme="minorHAnsi" w:cstheme="minorHAnsi"/>
          <w:sz w:val="22"/>
          <w:szCs w:val="22"/>
        </w:rPr>
      </w:pPr>
    </w:p>
    <w:p w:rsidR="00332B28" w:rsidRPr="00613D6A" w14:paraId="068812A6" w14:textId="77777777">
      <w:pPr>
        <w:pStyle w:val="Quick1"/>
        <w:numPr>
          <w:ilvl w:val="0"/>
          <w:numId w:val="3"/>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CONSEQUENCES OF LESS FREQUENT COLLECTION ON FEDERAL </w:t>
      </w:r>
      <w:r w:rsidRPr="00613D6A">
        <w:rPr>
          <w:rFonts w:asciiTheme="minorHAnsi" w:hAnsiTheme="minorHAnsi" w:cstheme="minorHAnsi"/>
          <w:sz w:val="22"/>
          <w:szCs w:val="22"/>
          <w:u w:val="single"/>
        </w:rPr>
        <w:t>PROGRAMS</w:t>
      </w:r>
      <w:r w:rsidRPr="00613D6A">
        <w:rPr>
          <w:rFonts w:asciiTheme="minorHAnsi" w:hAnsiTheme="minorHAnsi" w:cstheme="minorHAnsi"/>
          <w:sz w:val="22"/>
          <w:szCs w:val="22"/>
        </w:rPr>
        <w:t xml:space="preserve"> </w:t>
      </w:r>
      <w:r w:rsidRPr="00613D6A">
        <w:rPr>
          <w:rFonts w:asciiTheme="minorHAnsi" w:hAnsiTheme="minorHAnsi" w:cstheme="minorHAnsi"/>
          <w:sz w:val="22"/>
          <w:szCs w:val="22"/>
          <w:u w:val="single"/>
        </w:rPr>
        <w:t>OR POLICY ACTIVITIES</w:t>
      </w:r>
    </w:p>
    <w:p w:rsidR="00332B28" w:rsidRPr="00613D6A" w14:paraId="2D402B32" w14:textId="77777777">
      <w:pPr>
        <w:rPr>
          <w:rFonts w:asciiTheme="minorHAnsi" w:hAnsiTheme="minorHAnsi" w:cstheme="minorHAnsi"/>
          <w:sz w:val="22"/>
          <w:szCs w:val="22"/>
        </w:rPr>
      </w:pPr>
    </w:p>
    <w:p w:rsidR="00C55232" w:rsidRPr="00613D6A" w:rsidP="00C55232" w14:paraId="11C5F32D" w14:textId="00DA1670">
      <w:pPr>
        <w:ind w:left="720"/>
        <w:rPr>
          <w:rFonts w:asciiTheme="minorHAnsi" w:hAnsiTheme="minorHAnsi" w:cstheme="minorHAnsi"/>
          <w:sz w:val="22"/>
          <w:szCs w:val="22"/>
        </w:rPr>
      </w:pPr>
      <w:r w:rsidRPr="00BB6777">
        <w:rPr>
          <w:rFonts w:asciiTheme="minorHAnsi" w:hAnsiTheme="minorHAnsi" w:cstheme="minorHAnsi"/>
          <w:sz w:val="22"/>
          <w:szCs w:val="22"/>
        </w:rPr>
        <w:t>Less frequent collection of this information would not allow the IRS to determine whether the organization meets the requirement of section 6044(C)for exemption status.</w:t>
      </w:r>
    </w:p>
    <w:p w:rsidR="00332B28" w:rsidRPr="00613D6A" w14:paraId="720EBDA7" w14:textId="7CB79650">
      <w:pPr>
        <w:rPr>
          <w:rFonts w:asciiTheme="minorHAnsi" w:hAnsiTheme="minorHAnsi" w:cstheme="minorHAnsi"/>
          <w:sz w:val="22"/>
          <w:szCs w:val="22"/>
        </w:rPr>
      </w:pPr>
    </w:p>
    <w:p w:rsidR="00332B28" w:rsidRPr="00613D6A" w14:paraId="3A8EAFFC" w14:textId="4A09E383">
      <w:pPr>
        <w:tabs>
          <w:tab w:val="left" w:pos="-1440"/>
        </w:tabs>
        <w:ind w:left="720" w:hanging="720"/>
        <w:rPr>
          <w:rFonts w:asciiTheme="minorHAnsi" w:hAnsiTheme="minorHAnsi" w:cstheme="minorHAnsi"/>
          <w:sz w:val="22"/>
          <w:szCs w:val="22"/>
          <w:u w:val="single"/>
        </w:rPr>
      </w:pPr>
      <w:r w:rsidRPr="00613D6A">
        <w:rPr>
          <w:rFonts w:asciiTheme="minorHAnsi" w:hAnsiTheme="minorHAnsi" w:cstheme="minorHAnsi"/>
          <w:sz w:val="22"/>
          <w:szCs w:val="22"/>
        </w:rPr>
        <w:t>7.</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SPECIAL CIRCUMSTANCES REQUIRING DATA COLLECTION TO BE</w:t>
      </w:r>
      <w:r w:rsidRPr="00613D6A" w:rsidR="00BC5647">
        <w:rPr>
          <w:rFonts w:asciiTheme="minorHAnsi" w:hAnsiTheme="minorHAnsi" w:cstheme="minorHAnsi"/>
          <w:sz w:val="22"/>
          <w:szCs w:val="22"/>
        </w:rPr>
        <w:t xml:space="preserve"> </w:t>
      </w:r>
      <w:r w:rsidRPr="00613D6A">
        <w:rPr>
          <w:rFonts w:asciiTheme="minorHAnsi" w:hAnsiTheme="minorHAnsi" w:cstheme="minorHAnsi"/>
          <w:sz w:val="22"/>
          <w:szCs w:val="22"/>
          <w:u w:val="single"/>
        </w:rPr>
        <w:t>INCONSISTENT WITH GUIDELINES IN 5 CFR 1320.5(d)(2)</w:t>
      </w:r>
    </w:p>
    <w:p w:rsidR="00D71CDB" w:rsidRPr="00613D6A" w14:paraId="786A0289" w14:textId="77777777">
      <w:pPr>
        <w:tabs>
          <w:tab w:val="left" w:pos="-1440"/>
        </w:tabs>
        <w:ind w:left="720" w:hanging="720"/>
        <w:rPr>
          <w:rFonts w:asciiTheme="minorHAnsi" w:hAnsiTheme="minorHAnsi" w:cstheme="minorHAnsi"/>
          <w:sz w:val="22"/>
          <w:szCs w:val="22"/>
        </w:rPr>
      </w:pPr>
    </w:p>
    <w:p w:rsidR="00C55232" w:rsidRPr="00613D6A" w:rsidP="00C55232" w14:paraId="5F83349B" w14:textId="15F03BD5">
      <w:pPr>
        <w:ind w:left="720"/>
        <w:jc w:val="both"/>
        <w:rPr>
          <w:rFonts w:asciiTheme="minorHAnsi" w:hAnsiTheme="minorHAnsi" w:cstheme="minorHAnsi"/>
          <w:sz w:val="22"/>
          <w:szCs w:val="22"/>
        </w:rPr>
      </w:pPr>
      <w:r w:rsidRPr="00613D6A">
        <w:rPr>
          <w:rFonts w:asciiTheme="minorHAnsi" w:hAnsiTheme="minorHAnsi" w:cstheme="minorHAnsi"/>
          <w:sz w:val="22"/>
          <w:szCs w:val="22"/>
        </w:rPr>
        <w:t>There are no special circumstances requiring data collection to be inconsistent with Guidelines in 5 CFR 1320.5(d)(2).</w:t>
      </w:r>
    </w:p>
    <w:p w:rsidR="00D71CDB" w:rsidRPr="00613D6A" w:rsidP="00C55232" w14:paraId="3C3409CF" w14:textId="77777777">
      <w:pPr>
        <w:ind w:left="720"/>
        <w:jc w:val="both"/>
        <w:rPr>
          <w:rFonts w:asciiTheme="minorHAnsi" w:hAnsiTheme="minorHAnsi" w:cstheme="minorHAnsi"/>
          <w:b/>
          <w:bCs/>
          <w:sz w:val="22"/>
          <w:szCs w:val="22"/>
        </w:rPr>
      </w:pPr>
    </w:p>
    <w:p w:rsidR="00332B28" w:rsidRPr="00613D6A" w14:paraId="4785FA18" w14:textId="77777777">
      <w:pPr>
        <w:pStyle w:val="Quick1"/>
        <w:numPr>
          <w:ilvl w:val="0"/>
          <w:numId w:val="4"/>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CONSULTATION WITH INDIVIDUALS OUTSIDE OF THE AGENCY ON</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AVAILABILITY OF DATA, FREQUENCY OF COLLECTION, CLARITY OF INSTRUCTIONS AND FORMS, AND DATA ELEMENTS</w:t>
      </w:r>
    </w:p>
    <w:p w:rsidR="00332B28" w:rsidRPr="00613D6A" w14:paraId="79D8581C" w14:textId="77777777">
      <w:pPr>
        <w:rPr>
          <w:rFonts w:asciiTheme="minorHAnsi" w:hAnsiTheme="minorHAnsi" w:cstheme="minorHAnsi"/>
          <w:sz w:val="22"/>
          <w:szCs w:val="22"/>
        </w:rPr>
      </w:pPr>
    </w:p>
    <w:p w:rsidR="00853A74" w:rsidP="003F7A79" w14:paraId="2D5B33A6" w14:textId="061B0A34">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853A74">
        <w:rPr>
          <w:rFonts w:asciiTheme="minorHAnsi" w:hAnsiTheme="minorHAnsi" w:cstheme="minorHAnsi"/>
          <w:sz w:val="22"/>
          <w:szCs w:val="22"/>
        </w:rPr>
        <w:t>In response to the Federal Register notice A</w:t>
      </w:r>
      <w:r w:rsidR="007A588A">
        <w:rPr>
          <w:rFonts w:asciiTheme="minorHAnsi" w:hAnsiTheme="minorHAnsi" w:cstheme="minorHAnsi"/>
          <w:sz w:val="22"/>
          <w:szCs w:val="22"/>
        </w:rPr>
        <w:t>ugust 13, 2024</w:t>
      </w:r>
      <w:r w:rsidRPr="00853A74">
        <w:rPr>
          <w:rFonts w:asciiTheme="minorHAnsi" w:hAnsiTheme="minorHAnsi" w:cstheme="minorHAnsi"/>
          <w:sz w:val="22"/>
          <w:szCs w:val="22"/>
        </w:rPr>
        <w:t>, (8</w:t>
      </w:r>
      <w:r>
        <w:rPr>
          <w:rFonts w:asciiTheme="minorHAnsi" w:hAnsiTheme="minorHAnsi" w:cstheme="minorHAnsi"/>
          <w:sz w:val="22"/>
          <w:szCs w:val="22"/>
        </w:rPr>
        <w:t>9</w:t>
      </w:r>
      <w:r w:rsidRPr="00853A74">
        <w:rPr>
          <w:rFonts w:asciiTheme="minorHAnsi" w:hAnsiTheme="minorHAnsi" w:cstheme="minorHAnsi"/>
          <w:sz w:val="22"/>
          <w:szCs w:val="22"/>
        </w:rPr>
        <w:t xml:space="preserve"> FR</w:t>
      </w:r>
      <w:r>
        <w:rPr>
          <w:rFonts w:asciiTheme="minorHAnsi" w:hAnsiTheme="minorHAnsi" w:cstheme="minorHAnsi"/>
          <w:sz w:val="22"/>
          <w:szCs w:val="22"/>
        </w:rPr>
        <w:t xml:space="preserve"> </w:t>
      </w:r>
      <w:r w:rsidRPr="00853A74">
        <w:rPr>
          <w:rFonts w:asciiTheme="minorHAnsi" w:hAnsiTheme="minorHAnsi" w:cstheme="minorHAnsi"/>
          <w:sz w:val="22"/>
          <w:szCs w:val="22"/>
        </w:rPr>
        <w:t xml:space="preserve">65985), we received no </w:t>
      </w:r>
      <w:r>
        <w:rPr>
          <w:rFonts w:asciiTheme="minorHAnsi" w:hAnsiTheme="minorHAnsi" w:cstheme="minorHAnsi"/>
          <w:sz w:val="22"/>
          <w:szCs w:val="22"/>
        </w:rPr>
        <w:t xml:space="preserve">   </w:t>
      </w:r>
    </w:p>
    <w:p w:rsidR="003F7A79" w:rsidP="003F7A79" w14:paraId="56B3EC9D" w14:textId="62B58331">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c</w:t>
      </w:r>
      <w:r w:rsidRPr="00853A74">
        <w:rPr>
          <w:rFonts w:asciiTheme="minorHAnsi" w:hAnsiTheme="minorHAnsi" w:cstheme="minorHAnsi"/>
          <w:sz w:val="22"/>
          <w:szCs w:val="22"/>
        </w:rPr>
        <w:t>omments during the comment period regarding Form 3491.</w:t>
      </w:r>
    </w:p>
    <w:p w:rsidR="00853A74" w:rsidRPr="003F7A79" w:rsidP="003F7A79" w14:paraId="32BC4D91" w14:textId="77777777">
      <w:pPr>
        <w:spacing w:line="276" w:lineRule="auto"/>
        <w:contextualSpacing/>
        <w:rPr>
          <w:rFonts w:asciiTheme="minorHAnsi" w:hAnsiTheme="minorHAnsi" w:cstheme="minorHAnsi"/>
          <w:sz w:val="22"/>
          <w:szCs w:val="22"/>
        </w:rPr>
      </w:pPr>
    </w:p>
    <w:p w:rsidR="00332B28" w:rsidRPr="00613D6A" w14:paraId="3FA3EF43"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9.</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 xml:space="preserve">EXPLANATION OF DECISION TO PROVIDE ANY PAYMENT OR GIFT TO </w:t>
      </w:r>
      <w:r w:rsidRPr="00613D6A">
        <w:rPr>
          <w:rFonts w:asciiTheme="minorHAnsi" w:hAnsiTheme="minorHAnsi" w:cstheme="minorHAnsi"/>
          <w:sz w:val="22"/>
          <w:szCs w:val="22"/>
          <w:u w:val="single"/>
        </w:rPr>
        <w:t>RESPONDENTS</w:t>
      </w:r>
    </w:p>
    <w:p w:rsidR="00332B28" w:rsidRPr="00613D6A" w14:paraId="0F1EAD84" w14:textId="77777777">
      <w:pPr>
        <w:jc w:val="both"/>
        <w:rPr>
          <w:rFonts w:asciiTheme="minorHAnsi" w:hAnsiTheme="minorHAnsi" w:cstheme="minorHAnsi"/>
          <w:sz w:val="22"/>
          <w:szCs w:val="22"/>
        </w:rPr>
      </w:pPr>
    </w:p>
    <w:p w:rsidR="004D5EAB" w:rsidRPr="00613D6A" w:rsidP="004D5EAB" w14:paraId="26F36211" w14:textId="2CC6C0C2">
      <w:pPr>
        <w:ind w:firstLine="720"/>
        <w:rPr>
          <w:rFonts w:asciiTheme="minorHAnsi" w:hAnsiTheme="minorHAnsi" w:cstheme="minorHAnsi"/>
          <w:sz w:val="22"/>
          <w:szCs w:val="22"/>
        </w:rPr>
      </w:pPr>
      <w:r w:rsidRPr="00613D6A">
        <w:rPr>
          <w:rFonts w:asciiTheme="minorHAnsi" w:hAnsiTheme="minorHAnsi" w:cstheme="minorHAnsi"/>
          <w:sz w:val="22"/>
          <w:szCs w:val="22"/>
        </w:rPr>
        <w:t xml:space="preserve">No payment or gift </w:t>
      </w:r>
      <w:r w:rsidRPr="00613D6A" w:rsidR="00947907">
        <w:rPr>
          <w:rFonts w:asciiTheme="minorHAnsi" w:hAnsiTheme="minorHAnsi" w:cstheme="minorHAnsi"/>
          <w:sz w:val="22"/>
          <w:szCs w:val="22"/>
        </w:rPr>
        <w:t>has bee</w:t>
      </w:r>
      <w:r w:rsidR="00EC34D2">
        <w:rPr>
          <w:rFonts w:asciiTheme="minorHAnsi" w:hAnsiTheme="minorHAnsi" w:cstheme="minorHAnsi"/>
          <w:sz w:val="22"/>
          <w:szCs w:val="22"/>
        </w:rPr>
        <w:t>n</w:t>
      </w:r>
      <w:r w:rsidRPr="00613D6A">
        <w:rPr>
          <w:rFonts w:asciiTheme="minorHAnsi" w:hAnsiTheme="minorHAnsi" w:cstheme="minorHAnsi"/>
          <w:sz w:val="22"/>
          <w:szCs w:val="22"/>
        </w:rPr>
        <w:t xml:space="preserve"> provided to any respondents.</w:t>
      </w:r>
    </w:p>
    <w:p w:rsidR="00332B28" w:rsidRPr="00613D6A" w14:paraId="6205FA18" w14:textId="77777777">
      <w:pPr>
        <w:jc w:val="both"/>
        <w:rPr>
          <w:rFonts w:asciiTheme="minorHAnsi" w:hAnsiTheme="minorHAnsi" w:cstheme="minorHAnsi"/>
          <w:sz w:val="22"/>
          <w:szCs w:val="22"/>
        </w:rPr>
      </w:pPr>
    </w:p>
    <w:p w:rsidR="00332B28" w:rsidRPr="00613D6A" w14:paraId="1A585558" w14:textId="77777777">
      <w:pPr>
        <w:pStyle w:val="Quick1"/>
        <w:numPr>
          <w:ilvl w:val="0"/>
          <w:numId w:val="5"/>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ASSURANCE OF CONFIDENTIALITY OF RESPONSES</w:t>
      </w:r>
    </w:p>
    <w:p w:rsidR="00332B28" w:rsidRPr="00613D6A" w14:paraId="49CED6A7" w14:textId="77777777">
      <w:pPr>
        <w:jc w:val="both"/>
        <w:rPr>
          <w:rFonts w:asciiTheme="minorHAnsi" w:hAnsiTheme="minorHAnsi" w:cstheme="minorHAnsi"/>
          <w:sz w:val="22"/>
          <w:szCs w:val="22"/>
        </w:rPr>
      </w:pPr>
    </w:p>
    <w:p w:rsidR="00332B28" w:rsidRPr="00613D6A" w14:paraId="1F0D9BA9" w14:textId="0743D684">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Generally, tax returns and tax return information are confidential as required by </w:t>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6103.</w:t>
      </w:r>
    </w:p>
    <w:p w:rsidR="00332B28" w:rsidRPr="00613D6A" w14:paraId="681977D0" w14:textId="77777777">
      <w:pPr>
        <w:jc w:val="both"/>
        <w:rPr>
          <w:rFonts w:asciiTheme="minorHAnsi" w:hAnsiTheme="minorHAnsi" w:cstheme="minorHAnsi"/>
          <w:sz w:val="22"/>
          <w:szCs w:val="22"/>
        </w:rPr>
      </w:pPr>
    </w:p>
    <w:p w:rsidR="00332B28" w:rsidRPr="00613D6A" w14:paraId="3416431A"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11.</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JUSTIFICATION OF SENSITIVE QUESTIONS</w:t>
      </w:r>
    </w:p>
    <w:p w:rsidR="00332B28" w:rsidRPr="00613D6A" w14:paraId="5518FC6F" w14:textId="77777777">
      <w:pPr>
        <w:jc w:val="both"/>
        <w:rPr>
          <w:rFonts w:asciiTheme="minorHAnsi" w:hAnsiTheme="minorHAnsi" w:cstheme="minorHAnsi"/>
          <w:sz w:val="22"/>
          <w:szCs w:val="22"/>
          <w:u w:val="single"/>
        </w:rPr>
      </w:pPr>
    </w:p>
    <w:p w:rsidR="007A588A" w:rsidRPr="007A588A" w:rsidP="007A588A" w14:paraId="1FE47BAF" w14:textId="77777777">
      <w:pPr>
        <w:tabs>
          <w:tab w:val="left" w:pos="720"/>
        </w:tabs>
        <w:ind w:left="720" w:hanging="720"/>
        <w:rPr>
          <w:rFonts w:asciiTheme="minorHAnsi" w:hAnsiTheme="minorHAnsi" w:cstheme="minorHAnsi"/>
          <w:sz w:val="22"/>
          <w:szCs w:val="22"/>
        </w:rPr>
      </w:pPr>
      <w:r w:rsidRPr="00613D6A">
        <w:rPr>
          <w:rFonts w:asciiTheme="minorHAnsi" w:hAnsiTheme="minorHAnsi" w:cstheme="minorHAnsi"/>
          <w:sz w:val="22"/>
          <w:szCs w:val="22"/>
        </w:rPr>
        <w:tab/>
      </w:r>
      <w:r w:rsidRPr="007A588A">
        <w:rPr>
          <w:rFonts w:asciiTheme="minorHAnsi" w:hAnsiTheme="minorHAnsi" w:cstheme="minorHAnsi"/>
          <w:sz w:val="22"/>
          <w:szCs w:val="22"/>
        </w:rPr>
        <w:t>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https://www.irs.gov/uac/Privacy-Impact-Assessments-PIA.</w:t>
      </w:r>
    </w:p>
    <w:p w:rsidR="007A588A" w:rsidRPr="007A588A" w:rsidP="007A588A" w14:paraId="1B69A173" w14:textId="77777777">
      <w:pPr>
        <w:tabs>
          <w:tab w:val="left" w:pos="720"/>
        </w:tabs>
        <w:ind w:left="720" w:hanging="720"/>
        <w:rPr>
          <w:rFonts w:asciiTheme="minorHAnsi" w:hAnsiTheme="minorHAnsi" w:cstheme="minorHAnsi"/>
          <w:sz w:val="22"/>
          <w:szCs w:val="22"/>
        </w:rPr>
      </w:pPr>
    </w:p>
    <w:p w:rsidR="007A588A" w:rsidRPr="00613D6A" w:rsidP="007A588A" w14:paraId="3A990CCF" w14:textId="0BEBDABD">
      <w:pPr>
        <w:tabs>
          <w:tab w:val="left" w:pos="720"/>
        </w:tabs>
        <w:ind w:left="720" w:hanging="720"/>
        <w:rPr>
          <w:rFonts w:asciiTheme="minorHAnsi" w:hAnsiTheme="minorHAnsi" w:cstheme="minorHAnsi"/>
          <w:sz w:val="22"/>
          <w:szCs w:val="22"/>
        </w:rPr>
      </w:pPr>
      <w:r>
        <w:rPr>
          <w:rFonts w:asciiTheme="minorHAnsi" w:hAnsiTheme="minorHAnsi" w:cstheme="minorHAnsi"/>
          <w:sz w:val="22"/>
          <w:szCs w:val="22"/>
        </w:rPr>
        <w:t xml:space="preserve">              </w:t>
      </w:r>
      <w:r w:rsidRPr="007A588A">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D5EAB" w:rsidRPr="00613D6A" w:rsidP="00956BAE" w14:paraId="08A4A0FF" w14:textId="77777777">
      <w:pPr>
        <w:rPr>
          <w:rFonts w:asciiTheme="minorHAnsi" w:hAnsiTheme="minorHAnsi" w:cstheme="minorHAnsi"/>
          <w:sz w:val="22"/>
          <w:szCs w:val="22"/>
        </w:rPr>
      </w:pPr>
    </w:p>
    <w:p w:rsidR="00332B28" w:rsidRPr="00613D6A" w14:paraId="2EC10804"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BURDEN OF INFORMATION COLLECTION</w:t>
      </w:r>
    </w:p>
    <w:p w:rsidR="00AD392A" w:rsidRPr="00613D6A" w14:paraId="3E5D4FD4" w14:textId="77777777">
      <w:pPr>
        <w:jc w:val="both"/>
        <w:rPr>
          <w:rFonts w:asciiTheme="minorHAnsi" w:hAnsiTheme="minorHAnsi" w:cstheme="minorHAnsi"/>
          <w:sz w:val="22"/>
          <w:szCs w:val="22"/>
        </w:rPr>
      </w:pPr>
    </w:p>
    <w:p w:rsidR="00CE66EB" w:rsidP="009F6734" w14:paraId="5ABDE493" w14:textId="429909AE">
      <w:pPr>
        <w:ind w:left="720"/>
        <w:jc w:val="both"/>
        <w:rPr>
          <w:rFonts w:asciiTheme="minorHAnsi" w:hAnsiTheme="minorHAnsi" w:cstheme="minorHAnsi"/>
          <w:sz w:val="22"/>
          <w:szCs w:val="22"/>
        </w:rPr>
      </w:pPr>
      <w:r w:rsidRPr="007A588A">
        <w:rPr>
          <w:rFonts w:asciiTheme="minorHAnsi" w:hAnsiTheme="minorHAnsi" w:cstheme="minorHAnsi"/>
          <w:sz w:val="22"/>
          <w:szCs w:val="22"/>
        </w:rPr>
        <w:t xml:space="preserve">Form 3491 is used by a cooperative to apply for exemption from filing information returns (Forms 1099-PATR) on patronage distributions of $10 or more to any person during the calendar year.  </w:t>
      </w:r>
    </w:p>
    <w:p w:rsidR="00CE66EB" w14:paraId="5D61BD97" w14:textId="77777777">
      <w:pPr>
        <w:jc w:val="both"/>
        <w:rPr>
          <w:rFonts w:asciiTheme="minorHAnsi" w:hAnsiTheme="minorHAnsi" w:cstheme="minorHAnsi"/>
          <w:sz w:val="22"/>
          <w:szCs w:val="22"/>
        </w:rPr>
      </w:pPr>
    </w:p>
    <w:p w:rsidR="00E8410C" w:rsidRPr="00613D6A" w14:paraId="1CCC51B5" w14:textId="52AD4CA2">
      <w:pPr>
        <w:jc w:val="both"/>
        <w:rPr>
          <w:rFonts w:asciiTheme="minorHAnsi" w:hAnsiTheme="minorHAnsi" w:cstheme="minorHAnsi"/>
          <w:sz w:val="22"/>
          <w:szCs w:val="22"/>
        </w:rPr>
      </w:pPr>
      <w:r w:rsidRPr="00613D6A">
        <w:rPr>
          <w:rFonts w:asciiTheme="minorHAnsi" w:hAnsiTheme="minorHAnsi" w:cstheme="minorHAnsi"/>
          <w:sz w:val="22"/>
          <w:szCs w:val="22"/>
        </w:rPr>
        <w:tab/>
      </w:r>
      <w:r w:rsidRPr="00613D6A" w:rsidR="00E34E1B">
        <w:rPr>
          <w:rFonts w:asciiTheme="minorHAnsi" w:hAnsiTheme="minorHAnsi" w:cstheme="minorHAnsi"/>
          <w:sz w:val="22"/>
          <w:szCs w:val="22"/>
        </w:rPr>
        <w:t>The burden estimate is as follows:</w:t>
      </w:r>
    </w:p>
    <w:p w:rsidR="00E8410C" w:rsidRPr="00613D6A" w14:paraId="6567507D" w14:textId="77777777">
      <w:pPr>
        <w:jc w:val="both"/>
        <w:rPr>
          <w:rFonts w:asciiTheme="minorHAnsi" w:hAnsiTheme="minorHAnsi" w:cstheme="minorHAnsi"/>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1702"/>
        <w:gridCol w:w="1284"/>
        <w:gridCol w:w="1146"/>
        <w:gridCol w:w="1284"/>
        <w:gridCol w:w="1110"/>
        <w:gridCol w:w="1243"/>
      </w:tblGrid>
      <w:tr w14:paraId="726DBBA8" w14:textId="77777777" w:rsidTr="00DA2DEA">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 w:type="dxa"/>
            <w:shd w:val="clear" w:color="auto" w:fill="auto"/>
            <w:vAlign w:val="bottom"/>
          </w:tcPr>
          <w:p w:rsidR="00263DA4" w:rsidRPr="00C94E69" w:rsidP="005E49F6" w14:paraId="4787AD0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00263DA4" w:rsidRPr="00C94E69" w:rsidP="005E49F6" w14:paraId="3B064C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00263DA4" w:rsidRPr="00C94E69" w:rsidP="005E49F6" w14:paraId="7BB090C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00263DA4" w:rsidRPr="00C94E69" w:rsidP="005E49F6" w14:paraId="3FAE0A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00263DA4" w:rsidRPr="00C94E69" w:rsidP="005E49F6" w14:paraId="12E6765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xml:space="preserve">Annual </w:t>
            </w:r>
            <w:r w:rsidRPr="00C94E69">
              <w:rPr>
                <w:rFonts w:ascii="Arial Narrow" w:hAnsi="Arial Narrow"/>
                <w:b/>
                <w:sz w:val="18"/>
                <w:szCs w:val="18"/>
              </w:rPr>
              <w:t>Responses</w:t>
            </w:r>
          </w:p>
        </w:tc>
        <w:tc>
          <w:tcPr>
            <w:tcW w:w="1110" w:type="dxa"/>
            <w:vAlign w:val="bottom"/>
          </w:tcPr>
          <w:p w:rsidR="00263DA4" w:rsidRPr="00C94E69" w:rsidP="005E49F6" w14:paraId="2E561F8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43" w:type="dxa"/>
            <w:shd w:val="clear" w:color="auto" w:fill="auto"/>
            <w:vAlign w:val="bottom"/>
          </w:tcPr>
          <w:p w:rsidR="00263DA4" w:rsidRPr="00C94E69" w:rsidP="005E49F6" w14:paraId="39043B8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41B94830" w14:textId="77777777" w:rsidTr="00DA2DEA">
        <w:tblPrEx>
          <w:tblW w:w="8754" w:type="dxa"/>
          <w:tblInd w:w="715" w:type="dxa"/>
          <w:tblLook w:val="04A0"/>
        </w:tblPrEx>
        <w:tc>
          <w:tcPr>
            <w:tcW w:w="985" w:type="dxa"/>
            <w:shd w:val="clear" w:color="auto" w:fill="auto"/>
            <w:vAlign w:val="bottom"/>
          </w:tcPr>
          <w:p w:rsidR="00263DA4" w:rsidRPr="00162019" w:rsidP="005E49F6" w14:paraId="76C50CA5" w14:textId="04236B70">
            <w:pPr>
              <w:keepNext/>
              <w:keepLines/>
              <w:numPr>
                <w:ilvl w:val="12"/>
                <w:numId w:val="0"/>
              </w:numPr>
              <w:jc w:val="center"/>
              <w:rPr>
                <w:rFonts w:ascii="Arial Narrow" w:hAnsi="Arial Narrow"/>
                <w:sz w:val="20"/>
                <w:szCs w:val="20"/>
              </w:rPr>
            </w:pPr>
            <w:r w:rsidRPr="007A588A">
              <w:rPr>
                <w:rFonts w:ascii="Arial Narrow" w:hAnsi="Arial Narrow"/>
                <w:sz w:val="20"/>
                <w:szCs w:val="20"/>
              </w:rPr>
              <w:tab/>
              <w:t xml:space="preserve">   IRC §6044</w:t>
            </w:r>
            <w:r>
              <w:rPr>
                <w:rFonts w:ascii="Arial Narrow" w:hAnsi="Arial Narrow"/>
                <w:sz w:val="20"/>
                <w:szCs w:val="20"/>
              </w:rPr>
              <w:t>(</w:t>
            </w:r>
            <w:r w:rsidRPr="007A588A">
              <w:rPr>
                <w:rFonts w:ascii="Arial Narrow" w:hAnsi="Arial Narrow"/>
                <w:sz w:val="20"/>
                <w:szCs w:val="20"/>
              </w:rPr>
              <w:t xml:space="preserve">c)    </w:t>
            </w:r>
          </w:p>
        </w:tc>
        <w:tc>
          <w:tcPr>
            <w:tcW w:w="1702" w:type="dxa"/>
            <w:vAlign w:val="bottom"/>
          </w:tcPr>
          <w:p w:rsidR="00263DA4" w:rsidRPr="00162019" w:rsidP="005E49F6" w14:paraId="00831673" w14:textId="3F5551E2">
            <w:pPr>
              <w:keepNext/>
              <w:keepLines/>
              <w:numPr>
                <w:ilvl w:val="12"/>
                <w:numId w:val="0"/>
              </w:numPr>
              <w:jc w:val="center"/>
              <w:rPr>
                <w:rFonts w:ascii="Arial Narrow" w:hAnsi="Arial Narrow"/>
                <w:sz w:val="20"/>
                <w:szCs w:val="20"/>
              </w:rPr>
            </w:pPr>
            <w:r>
              <w:rPr>
                <w:rFonts w:ascii="Arial Narrow" w:hAnsi="Arial Narrow"/>
                <w:sz w:val="20"/>
                <w:szCs w:val="20"/>
              </w:rPr>
              <w:t xml:space="preserve">Form </w:t>
            </w:r>
            <w:r w:rsidR="007A588A">
              <w:rPr>
                <w:rFonts w:ascii="Arial Narrow" w:hAnsi="Arial Narrow"/>
                <w:sz w:val="20"/>
                <w:szCs w:val="20"/>
              </w:rPr>
              <w:t>3491</w:t>
            </w:r>
          </w:p>
        </w:tc>
        <w:tc>
          <w:tcPr>
            <w:tcW w:w="1284" w:type="dxa"/>
            <w:vAlign w:val="bottom"/>
          </w:tcPr>
          <w:p w:rsidR="00263DA4" w:rsidRPr="00162019" w:rsidP="005E49F6" w14:paraId="4000DAAC" w14:textId="3A88963D">
            <w:pPr>
              <w:keepNext/>
              <w:keepLines/>
              <w:numPr>
                <w:ilvl w:val="12"/>
                <w:numId w:val="0"/>
              </w:numPr>
              <w:jc w:val="center"/>
              <w:rPr>
                <w:rFonts w:ascii="Arial Narrow" w:hAnsi="Arial Narrow"/>
                <w:sz w:val="20"/>
                <w:szCs w:val="20"/>
              </w:rPr>
            </w:pPr>
            <w:r>
              <w:rPr>
                <w:rFonts w:ascii="Arial Narrow" w:hAnsi="Arial Narrow"/>
                <w:sz w:val="20"/>
                <w:szCs w:val="20"/>
              </w:rPr>
              <w:t>2</w:t>
            </w:r>
            <w:r w:rsidR="00BC2709">
              <w:rPr>
                <w:rFonts w:ascii="Arial Narrow" w:hAnsi="Arial Narrow"/>
                <w:sz w:val="20"/>
                <w:szCs w:val="20"/>
              </w:rPr>
              <w:t>00</w:t>
            </w:r>
          </w:p>
        </w:tc>
        <w:tc>
          <w:tcPr>
            <w:tcW w:w="1146" w:type="dxa"/>
            <w:vAlign w:val="bottom"/>
          </w:tcPr>
          <w:p w:rsidR="00263DA4" w:rsidRPr="00162019" w:rsidP="005E49F6" w14:paraId="7BD1C85B" w14:textId="7B22BC7B">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284" w:type="dxa"/>
            <w:shd w:val="clear" w:color="auto" w:fill="auto"/>
            <w:vAlign w:val="bottom"/>
          </w:tcPr>
          <w:p w:rsidR="00263DA4" w:rsidRPr="00162019" w:rsidP="005E49F6" w14:paraId="3A00487D" w14:textId="6A7009C7">
            <w:pPr>
              <w:keepNext/>
              <w:keepLines/>
              <w:numPr>
                <w:ilvl w:val="12"/>
                <w:numId w:val="0"/>
              </w:numPr>
              <w:jc w:val="center"/>
              <w:rPr>
                <w:rFonts w:ascii="Arial Narrow" w:hAnsi="Arial Narrow"/>
                <w:sz w:val="20"/>
                <w:szCs w:val="20"/>
              </w:rPr>
            </w:pPr>
            <w:r>
              <w:rPr>
                <w:rFonts w:ascii="Arial Narrow" w:hAnsi="Arial Narrow"/>
                <w:sz w:val="20"/>
                <w:szCs w:val="20"/>
              </w:rPr>
              <w:t>2</w:t>
            </w:r>
            <w:r w:rsidR="00C6623F">
              <w:rPr>
                <w:rFonts w:ascii="Arial Narrow" w:hAnsi="Arial Narrow"/>
                <w:sz w:val="20"/>
                <w:szCs w:val="20"/>
              </w:rPr>
              <w:t>00</w:t>
            </w:r>
          </w:p>
        </w:tc>
        <w:tc>
          <w:tcPr>
            <w:tcW w:w="1110" w:type="dxa"/>
            <w:vAlign w:val="bottom"/>
          </w:tcPr>
          <w:p w:rsidR="00263DA4" w:rsidRPr="00162019" w:rsidP="005E49F6" w14:paraId="37E9BFF3" w14:textId="39647A43">
            <w:pPr>
              <w:keepNext/>
              <w:keepLines/>
              <w:numPr>
                <w:ilvl w:val="12"/>
                <w:numId w:val="0"/>
              </w:numPr>
              <w:jc w:val="center"/>
              <w:rPr>
                <w:rFonts w:ascii="Arial Narrow" w:hAnsi="Arial Narrow"/>
                <w:sz w:val="20"/>
                <w:szCs w:val="20"/>
              </w:rPr>
            </w:pPr>
            <w:r>
              <w:rPr>
                <w:rFonts w:ascii="Arial Narrow" w:hAnsi="Arial Narrow"/>
                <w:sz w:val="20"/>
                <w:szCs w:val="20"/>
              </w:rPr>
              <w:t>.74</w:t>
            </w:r>
          </w:p>
        </w:tc>
        <w:tc>
          <w:tcPr>
            <w:tcW w:w="1243" w:type="dxa"/>
            <w:shd w:val="clear" w:color="auto" w:fill="auto"/>
            <w:vAlign w:val="bottom"/>
          </w:tcPr>
          <w:p w:rsidR="00471233" w:rsidRPr="00162019" w:rsidP="005E49F6" w14:paraId="1D758D45" w14:textId="5F2EE490">
            <w:pPr>
              <w:keepNext/>
              <w:keepLines/>
              <w:numPr>
                <w:ilvl w:val="12"/>
                <w:numId w:val="0"/>
              </w:numPr>
              <w:jc w:val="center"/>
              <w:rPr>
                <w:rFonts w:ascii="Arial Narrow" w:hAnsi="Arial Narrow"/>
                <w:sz w:val="20"/>
                <w:szCs w:val="20"/>
              </w:rPr>
            </w:pPr>
            <w:r>
              <w:rPr>
                <w:rFonts w:ascii="Arial Narrow" w:hAnsi="Arial Narrow"/>
                <w:sz w:val="20"/>
                <w:szCs w:val="20"/>
              </w:rPr>
              <w:t>148</w:t>
            </w:r>
          </w:p>
        </w:tc>
      </w:tr>
      <w:tr w14:paraId="13C47138" w14:textId="77777777" w:rsidTr="00DA2DEA">
        <w:tblPrEx>
          <w:tblW w:w="8754" w:type="dxa"/>
          <w:tblInd w:w="715" w:type="dxa"/>
          <w:tblLook w:val="04A0"/>
        </w:tblPrEx>
        <w:tc>
          <w:tcPr>
            <w:tcW w:w="985" w:type="dxa"/>
            <w:shd w:val="clear" w:color="auto" w:fill="auto"/>
            <w:vAlign w:val="bottom"/>
          </w:tcPr>
          <w:p w:rsidR="00263DA4" w:rsidRPr="003C0F31" w:rsidP="005E49F6" w14:paraId="7C133525"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00263DA4" w:rsidRPr="003C0F31" w:rsidP="005E49F6" w14:paraId="07EAD93C" w14:textId="77777777">
            <w:pPr>
              <w:keepNext/>
              <w:keepLines/>
              <w:numPr>
                <w:ilvl w:val="12"/>
                <w:numId w:val="0"/>
              </w:numPr>
              <w:jc w:val="center"/>
              <w:rPr>
                <w:rFonts w:ascii="Arial Narrow" w:hAnsi="Arial Narrow"/>
                <w:b/>
                <w:sz w:val="20"/>
                <w:szCs w:val="20"/>
              </w:rPr>
            </w:pPr>
          </w:p>
        </w:tc>
        <w:tc>
          <w:tcPr>
            <w:tcW w:w="1284" w:type="dxa"/>
            <w:vAlign w:val="bottom"/>
          </w:tcPr>
          <w:p w:rsidR="00263DA4" w:rsidRPr="003C0F31" w:rsidP="005E49F6" w14:paraId="579C91F6" w14:textId="5A8292FF">
            <w:pPr>
              <w:keepNext/>
              <w:keepLines/>
              <w:numPr>
                <w:ilvl w:val="12"/>
                <w:numId w:val="0"/>
              </w:numPr>
              <w:jc w:val="center"/>
              <w:rPr>
                <w:rFonts w:ascii="Arial Narrow" w:hAnsi="Arial Narrow"/>
                <w:b/>
                <w:sz w:val="20"/>
                <w:szCs w:val="20"/>
              </w:rPr>
            </w:pPr>
            <w:r>
              <w:rPr>
                <w:rFonts w:ascii="Arial Narrow" w:hAnsi="Arial Narrow"/>
                <w:b/>
                <w:sz w:val="20"/>
                <w:szCs w:val="20"/>
              </w:rPr>
              <w:t>2</w:t>
            </w:r>
            <w:r w:rsidR="00BC2709">
              <w:rPr>
                <w:rFonts w:ascii="Arial Narrow" w:hAnsi="Arial Narrow"/>
                <w:b/>
                <w:sz w:val="20"/>
                <w:szCs w:val="20"/>
              </w:rPr>
              <w:t>00</w:t>
            </w:r>
          </w:p>
        </w:tc>
        <w:tc>
          <w:tcPr>
            <w:tcW w:w="1146" w:type="dxa"/>
            <w:vAlign w:val="bottom"/>
          </w:tcPr>
          <w:p w:rsidR="00263DA4" w:rsidRPr="003C0F31" w:rsidP="005E49F6" w14:paraId="2C9868EE"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00263DA4" w:rsidRPr="003C0F31" w:rsidP="005E49F6" w14:paraId="6DFE2EC7" w14:textId="3355DEF7">
            <w:pPr>
              <w:keepNext/>
              <w:keepLines/>
              <w:numPr>
                <w:ilvl w:val="12"/>
                <w:numId w:val="0"/>
              </w:numPr>
              <w:jc w:val="center"/>
              <w:rPr>
                <w:rFonts w:ascii="Arial Narrow" w:hAnsi="Arial Narrow"/>
                <w:b/>
                <w:sz w:val="20"/>
                <w:szCs w:val="20"/>
              </w:rPr>
            </w:pPr>
            <w:r>
              <w:rPr>
                <w:rFonts w:ascii="Arial Narrow" w:hAnsi="Arial Narrow"/>
                <w:b/>
                <w:sz w:val="20"/>
                <w:szCs w:val="20"/>
              </w:rPr>
              <w:t>200</w:t>
            </w:r>
          </w:p>
        </w:tc>
        <w:tc>
          <w:tcPr>
            <w:tcW w:w="1110" w:type="dxa"/>
            <w:vAlign w:val="bottom"/>
          </w:tcPr>
          <w:p w:rsidR="00263DA4" w:rsidRPr="003C0F31" w:rsidP="005E49F6" w14:paraId="4B556A99"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00CB73E6" w:rsidRPr="003C0F31" w:rsidP="005E49F6" w14:paraId="26E75569" w14:textId="1C92F323">
            <w:pPr>
              <w:keepNext/>
              <w:keepLines/>
              <w:numPr>
                <w:ilvl w:val="12"/>
                <w:numId w:val="0"/>
              </w:numPr>
              <w:jc w:val="center"/>
              <w:rPr>
                <w:rFonts w:ascii="Arial Narrow" w:hAnsi="Arial Narrow"/>
                <w:b/>
                <w:sz w:val="20"/>
                <w:szCs w:val="20"/>
              </w:rPr>
            </w:pPr>
            <w:r>
              <w:rPr>
                <w:rFonts w:ascii="Arial Narrow" w:hAnsi="Arial Narrow"/>
                <w:b/>
                <w:sz w:val="20"/>
                <w:szCs w:val="20"/>
              </w:rPr>
              <w:t>148</w:t>
            </w:r>
          </w:p>
        </w:tc>
      </w:tr>
    </w:tbl>
    <w:p w:rsidR="00332B28" w:rsidRPr="00613D6A" w14:paraId="72381D2D" w14:textId="33692337">
      <w:pPr>
        <w:jc w:val="both"/>
        <w:rPr>
          <w:rFonts w:asciiTheme="minorHAnsi" w:hAnsiTheme="minorHAnsi" w:cstheme="minorHAnsi"/>
          <w:sz w:val="22"/>
          <w:szCs w:val="22"/>
        </w:rPr>
      </w:pPr>
    </w:p>
    <w:p w:rsidR="000B28AD" w:rsidP="000E6584" w14:paraId="35986028" w14:textId="43E474D0">
      <w:pPr>
        <w:ind w:left="720"/>
        <w:jc w:val="both"/>
        <w:rPr>
          <w:rFonts w:asciiTheme="minorHAnsi" w:hAnsiTheme="minorHAnsi" w:cstheme="minorHAnsi"/>
          <w:sz w:val="22"/>
          <w:szCs w:val="22"/>
        </w:rPr>
      </w:pPr>
    </w:p>
    <w:p w:rsidR="007A588A" w:rsidRPr="00613D6A" w:rsidP="000E6584" w14:paraId="37A751FD" w14:textId="77777777">
      <w:pPr>
        <w:ind w:left="720"/>
        <w:jc w:val="both"/>
        <w:rPr>
          <w:rFonts w:asciiTheme="minorHAnsi" w:hAnsiTheme="minorHAnsi" w:cstheme="minorHAnsi"/>
          <w:sz w:val="22"/>
          <w:szCs w:val="22"/>
        </w:rPr>
      </w:pPr>
    </w:p>
    <w:p w:rsidR="00332B28" w:rsidRPr="00613D6A" w14:paraId="08227B17" w14:textId="77777777">
      <w:pPr>
        <w:jc w:val="both"/>
        <w:rPr>
          <w:rFonts w:asciiTheme="minorHAnsi" w:hAnsiTheme="minorHAnsi" w:cstheme="minorHAnsi"/>
          <w:sz w:val="22"/>
          <w:szCs w:val="22"/>
        </w:rPr>
      </w:pPr>
      <w:r w:rsidRPr="00613D6A">
        <w:rPr>
          <w:rFonts w:asciiTheme="minorHAnsi" w:hAnsiTheme="minorHAnsi" w:cstheme="minorHAnsi"/>
          <w:sz w:val="22"/>
          <w:szCs w:val="22"/>
        </w:rPr>
        <w:t>13.</w:t>
      </w:r>
      <w:r w:rsidRPr="00613D6A" w:rsidR="00263DA4">
        <w:rPr>
          <w:rFonts w:asciiTheme="minorHAnsi" w:hAnsiTheme="minorHAnsi" w:cstheme="minorHAnsi"/>
          <w:sz w:val="22"/>
          <w:szCs w:val="22"/>
        </w:rPr>
        <w:tab/>
      </w:r>
      <w:r w:rsidRPr="00C6623F">
        <w:rPr>
          <w:rFonts w:asciiTheme="minorHAnsi" w:hAnsiTheme="minorHAnsi" w:cstheme="minorHAnsi"/>
          <w:sz w:val="22"/>
          <w:szCs w:val="22"/>
          <w:u w:val="single"/>
        </w:rPr>
        <w:t>ESTIMATED</w:t>
      </w:r>
      <w:r w:rsidRPr="00613D6A">
        <w:rPr>
          <w:rFonts w:asciiTheme="minorHAnsi" w:hAnsiTheme="minorHAnsi" w:cstheme="minorHAnsi"/>
          <w:sz w:val="22"/>
          <w:szCs w:val="22"/>
          <w:u w:val="single"/>
        </w:rPr>
        <w:t xml:space="preserve"> TOTAL ANNUAL COST BURDEN TO </w:t>
      </w:r>
      <w:r w:rsidRPr="00613D6A">
        <w:rPr>
          <w:rFonts w:asciiTheme="minorHAnsi" w:hAnsiTheme="minorHAnsi" w:cstheme="minorHAnsi"/>
          <w:sz w:val="22"/>
          <w:szCs w:val="22"/>
          <w:u w:val="single"/>
        </w:rPr>
        <w:t>RESPONDENTS</w:t>
      </w:r>
    </w:p>
    <w:p w:rsidR="00332B28" w:rsidRPr="00613D6A" w:rsidP="000E6584" w14:paraId="2DD8C4B9" w14:textId="77777777">
      <w:pPr>
        <w:ind w:left="720"/>
        <w:jc w:val="both"/>
        <w:rPr>
          <w:rFonts w:asciiTheme="minorHAnsi" w:hAnsiTheme="minorHAnsi" w:cstheme="minorHAnsi"/>
          <w:sz w:val="22"/>
          <w:szCs w:val="22"/>
        </w:rPr>
      </w:pPr>
    </w:p>
    <w:p w:rsidR="008C5269" w:rsidRPr="008C5269" w:rsidP="008C5269" w14:paraId="46E48792" w14:textId="1BEDD9CE">
      <w:pPr>
        <w:ind w:left="720"/>
        <w:jc w:val="both"/>
        <w:rPr>
          <w:rFonts w:asciiTheme="minorHAnsi" w:hAnsiTheme="minorHAnsi" w:cstheme="minorHAnsi"/>
          <w:sz w:val="22"/>
          <w:szCs w:val="22"/>
        </w:rPr>
      </w:pPr>
      <w:r w:rsidRPr="008C5269">
        <w:rPr>
          <w:rFonts w:asciiTheme="minorHAnsi" w:hAnsiTheme="minorHAnsi" w:cstheme="minorHAnsi"/>
          <w:sz w:val="22"/>
          <w:szCs w:val="22"/>
        </w:rPr>
        <w:t>This information collection will be included in the consolidated OMB submission for</w:t>
      </w:r>
      <w:r>
        <w:rPr>
          <w:rFonts w:asciiTheme="minorHAnsi" w:hAnsiTheme="minorHAnsi" w:cstheme="minorHAnsi"/>
          <w:sz w:val="22"/>
          <w:szCs w:val="22"/>
        </w:rPr>
        <w:t xml:space="preserve"> </w:t>
      </w:r>
      <w:r w:rsidRPr="008C5269">
        <w:rPr>
          <w:rFonts w:asciiTheme="minorHAnsi" w:hAnsiTheme="minorHAnsi" w:cstheme="minorHAnsi"/>
          <w:sz w:val="22"/>
          <w:szCs w:val="22"/>
        </w:rPr>
        <w:t>information returns currently being developed. IRS is working on the methodology for</w:t>
      </w:r>
      <w:r>
        <w:rPr>
          <w:rFonts w:asciiTheme="minorHAnsi" w:hAnsiTheme="minorHAnsi" w:cstheme="minorHAnsi"/>
          <w:sz w:val="22"/>
          <w:szCs w:val="22"/>
        </w:rPr>
        <w:t xml:space="preserve"> </w:t>
      </w:r>
      <w:r w:rsidRPr="008C5269">
        <w:rPr>
          <w:rFonts w:asciiTheme="minorHAnsi" w:hAnsiTheme="minorHAnsi" w:cstheme="minorHAnsi"/>
          <w:sz w:val="22"/>
          <w:szCs w:val="22"/>
        </w:rPr>
        <w:t xml:space="preserve">evaluating information return burden and cost; and will update the </w:t>
      </w:r>
      <w:r w:rsidRPr="008C5269">
        <w:rPr>
          <w:rFonts w:asciiTheme="minorHAnsi" w:hAnsiTheme="minorHAnsi" w:cstheme="minorHAnsi"/>
          <w:sz w:val="22"/>
          <w:szCs w:val="22"/>
        </w:rPr>
        <w:t>cost and burden</w:t>
      </w:r>
      <w:r>
        <w:rPr>
          <w:rFonts w:asciiTheme="minorHAnsi" w:hAnsiTheme="minorHAnsi" w:cstheme="minorHAnsi"/>
          <w:sz w:val="22"/>
          <w:szCs w:val="22"/>
        </w:rPr>
        <w:t xml:space="preserve"> </w:t>
      </w:r>
      <w:r w:rsidRPr="008C5269">
        <w:rPr>
          <w:rFonts w:asciiTheme="minorHAnsi" w:hAnsiTheme="minorHAnsi" w:cstheme="minorHAnsi"/>
          <w:sz w:val="22"/>
          <w:szCs w:val="22"/>
        </w:rPr>
        <w:t xml:space="preserve">estimates as part of the consolidation. </w:t>
      </w:r>
    </w:p>
    <w:p w:rsidR="000E6584" w:rsidP="000E6584" w14:paraId="5C833A79" w14:textId="6820EF86">
      <w:pPr>
        <w:ind w:left="720"/>
        <w:jc w:val="both"/>
        <w:rPr>
          <w:rFonts w:asciiTheme="minorHAnsi" w:hAnsiTheme="minorHAnsi" w:cstheme="minorHAnsi"/>
          <w:sz w:val="22"/>
          <w:szCs w:val="22"/>
        </w:rPr>
      </w:pPr>
    </w:p>
    <w:p w:rsidR="00332B28" w:rsidRPr="00613D6A" w14:paraId="49C1203E" w14:textId="28D7090F">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14.</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ANNUALIZED COST TO THE FEDERAL GOVERNMENT</w:t>
      </w:r>
    </w:p>
    <w:p w:rsidR="00332B28" w:rsidRPr="00613D6A" w14:paraId="10FED227" w14:textId="77777777">
      <w:pPr>
        <w:jc w:val="both"/>
        <w:rPr>
          <w:rFonts w:asciiTheme="minorHAnsi" w:hAnsiTheme="minorHAnsi" w:cstheme="minorHAnsi"/>
          <w:sz w:val="22"/>
          <w:szCs w:val="22"/>
        </w:rPr>
      </w:pPr>
    </w:p>
    <w:p w:rsidR="00E412F2" w:rsidRPr="00613D6A" w:rsidP="000B28AD" w14:paraId="1AD0DDAA" w14:textId="66FAB0BE">
      <w:pPr>
        <w:ind w:left="720"/>
        <w:rPr>
          <w:rFonts w:asciiTheme="minorHAnsi" w:hAnsiTheme="minorHAnsi" w:cstheme="minorHAnsi"/>
          <w:sz w:val="22"/>
          <w:szCs w:val="22"/>
        </w:rPr>
      </w:pPr>
      <w:bookmarkStart w:id="0" w:name="_Hlk523834409"/>
      <w:r w:rsidRPr="00613D6A">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up expenses, operating and maintenance expenses, and distribution of the product that collects the information. </w:t>
      </w:r>
    </w:p>
    <w:p w:rsidR="00E412F2" w:rsidRPr="00613D6A" w:rsidP="00E412F2" w14:paraId="59D47EC6" w14:textId="77777777">
      <w:pPr>
        <w:ind w:left="360"/>
        <w:rPr>
          <w:rFonts w:asciiTheme="minorHAnsi" w:hAnsiTheme="minorHAnsi" w:cstheme="minorHAnsi"/>
          <w:sz w:val="22"/>
          <w:szCs w:val="22"/>
        </w:rPr>
      </w:pPr>
    </w:p>
    <w:p w:rsidR="00E412F2" w:rsidRPr="00613D6A" w:rsidP="000B28AD" w14:paraId="48105EBA" w14:textId="05389D83">
      <w:pPr>
        <w:ind w:left="720"/>
        <w:rPr>
          <w:rFonts w:asciiTheme="minorHAnsi" w:hAnsiTheme="minorHAnsi" w:cstheme="minorHAnsi"/>
          <w:sz w:val="22"/>
          <w:szCs w:val="22"/>
        </w:rPr>
      </w:pPr>
      <w:r w:rsidRPr="00613D6A">
        <w:rPr>
          <w:rFonts w:asciiTheme="minorHAnsi" w:hAnsiTheme="minorHAnsi" w:cstheme="minorHAnsi"/>
          <w:sz w:val="22"/>
          <w:szCs w:val="22"/>
        </w:rPr>
        <w:t>The government computes cost using a multi-step process</w:t>
      </w:r>
      <w:r w:rsidR="00BE28FE">
        <w:rPr>
          <w:rFonts w:asciiTheme="minorHAnsi" w:hAnsiTheme="minorHAnsi" w:cstheme="minorHAnsi"/>
          <w:sz w:val="22"/>
          <w:szCs w:val="22"/>
        </w:rPr>
        <w:t>.</w:t>
      </w:r>
      <w:r w:rsidRPr="00613D6A">
        <w:rPr>
          <w:rFonts w:asciiTheme="minorHAnsi" w:hAnsiTheme="minorHAnsi" w:cstheme="minorHAnsi"/>
          <w:sz w:val="22"/>
          <w:szCs w:val="22"/>
        </w:rPr>
        <w:t xml:space="preserve"> First, the government creates a weighted factor for the level of effort to create each information collection product based on variables such </w:t>
      </w:r>
      <w:r w:rsidRPr="00613D6A" w:rsidR="00354A5A">
        <w:rPr>
          <w:rFonts w:asciiTheme="minorHAnsi" w:hAnsiTheme="minorHAnsi" w:cstheme="minorHAnsi"/>
          <w:sz w:val="22"/>
          <w:szCs w:val="22"/>
        </w:rPr>
        <w:t>as</w:t>
      </w:r>
      <w:r w:rsidRPr="00613D6A">
        <w:rPr>
          <w:rFonts w:asciiTheme="minorHAnsi" w:hAnsiTheme="minorHAnsi" w:cstheme="minorHAns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w:t>
      </w:r>
      <w:r w:rsidRPr="00613D6A">
        <w:rPr>
          <w:rFonts w:asciiTheme="minorHAnsi" w:hAnsiTheme="minorHAnsi" w:cstheme="minorHAnsi"/>
          <w:sz w:val="22"/>
          <w:szCs w:val="22"/>
        </w:rPr>
        <w:t xml:space="preserve"> to obtain the aggregated cost per product. Lastly, the aggregated cost per product is added to the cost of shipping and printing each product to IRS offices, National Distribution Center, libraries</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 and other outlets. The result is the Government cost estimate per product.</w:t>
      </w:r>
    </w:p>
    <w:p w:rsidR="00E412F2" w:rsidRPr="00613D6A" w:rsidP="00E412F2" w14:paraId="370ED585" w14:textId="77777777">
      <w:pPr>
        <w:ind w:left="360"/>
        <w:rPr>
          <w:rFonts w:asciiTheme="minorHAnsi" w:hAnsiTheme="minorHAnsi" w:cstheme="minorHAnsi"/>
          <w:sz w:val="22"/>
          <w:szCs w:val="22"/>
        </w:rPr>
      </w:pPr>
    </w:p>
    <w:p w:rsidR="00E412F2" w:rsidRPr="00613D6A" w:rsidP="00DA2DEA" w14:paraId="4F2221E3" w14:textId="77777777">
      <w:pPr>
        <w:ind w:left="360" w:firstLine="360"/>
        <w:rPr>
          <w:rFonts w:asciiTheme="minorHAnsi" w:hAnsiTheme="minorHAnsi" w:cstheme="minorHAnsi"/>
          <w:sz w:val="22"/>
          <w:szCs w:val="22"/>
        </w:rPr>
      </w:pPr>
      <w:r w:rsidRPr="00613D6A">
        <w:rPr>
          <w:rFonts w:asciiTheme="minorHAnsi" w:hAnsiTheme="minorHAnsi" w:cstheme="minorHAnsi"/>
          <w:sz w:val="22"/>
          <w:szCs w:val="22"/>
        </w:rPr>
        <w:t>The government cost estimate for this collection is summarized in the table below.</w:t>
      </w:r>
    </w:p>
    <w:p w:rsidR="00E412F2" w:rsidRPr="00613D6A" w:rsidP="00E412F2" w14:paraId="6B7AE1BF" w14:textId="77777777">
      <w:pPr>
        <w:ind w:left="360"/>
        <w:rPr>
          <w:rFonts w:asciiTheme="minorHAnsi" w:hAnsiTheme="minorHAnsi" w:cstheme="minorHAnsi"/>
          <w:sz w:val="22"/>
          <w:szCs w:val="22"/>
        </w:rPr>
      </w:pPr>
    </w:p>
    <w:tbl>
      <w:tblPr>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980"/>
        <w:gridCol w:w="303"/>
        <w:gridCol w:w="1745"/>
        <w:gridCol w:w="387"/>
        <w:gridCol w:w="1582"/>
      </w:tblGrid>
      <w:tr w14:paraId="5F3BBE15" w14:textId="77777777" w:rsidTr="00DA2DEA">
        <w:tblPrEx>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23" w:type="dxa"/>
            <w:shd w:val="clear" w:color="auto" w:fill="auto"/>
            <w:vAlign w:val="bottom"/>
          </w:tcPr>
          <w:p w:rsidR="00E412F2" w:rsidRPr="00E20033" w:rsidP="00B9122B" w14:paraId="643345E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E412F2" w:rsidRPr="00E20033" w:rsidP="00B9122B" w14:paraId="1E0CE5B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E412F2" w:rsidRPr="00E20033" w:rsidP="00B9122B" w14:paraId="6FD5658F" w14:textId="77777777">
            <w:pPr>
              <w:keepNext/>
              <w:keepLines/>
              <w:jc w:val="center"/>
              <w:rPr>
                <w:rFonts w:ascii="Arial Narrow" w:hAnsi="Arial Narrow"/>
                <w:b/>
                <w:sz w:val="18"/>
                <w:szCs w:val="18"/>
                <w:u w:val="single"/>
              </w:rPr>
            </w:pPr>
          </w:p>
        </w:tc>
        <w:tc>
          <w:tcPr>
            <w:tcW w:w="1745" w:type="dxa"/>
            <w:shd w:val="clear" w:color="auto" w:fill="auto"/>
            <w:vAlign w:val="bottom"/>
          </w:tcPr>
          <w:p w:rsidR="00E412F2" w:rsidRPr="00E20033" w:rsidP="00B9122B" w14:paraId="68A6151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E412F2" w:rsidRPr="00E20033" w:rsidP="00B9122B" w14:paraId="4684BE3F" w14:textId="77777777">
            <w:pPr>
              <w:keepNext/>
              <w:keepLines/>
              <w:jc w:val="center"/>
              <w:rPr>
                <w:rFonts w:ascii="Arial Narrow" w:hAnsi="Arial Narrow"/>
                <w:b/>
                <w:sz w:val="18"/>
                <w:szCs w:val="18"/>
                <w:u w:val="single"/>
              </w:rPr>
            </w:pPr>
          </w:p>
        </w:tc>
        <w:tc>
          <w:tcPr>
            <w:tcW w:w="1582" w:type="dxa"/>
            <w:shd w:val="clear" w:color="auto" w:fill="auto"/>
            <w:vAlign w:val="bottom"/>
          </w:tcPr>
          <w:p w:rsidR="00E412F2" w:rsidRPr="00E20033" w:rsidP="00B9122B" w14:paraId="6D83400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42CE8E6" w14:textId="77777777" w:rsidTr="00DA2DEA">
        <w:tblPrEx>
          <w:tblW w:w="7820" w:type="dxa"/>
          <w:tblInd w:w="895" w:type="dxa"/>
          <w:tblLook w:val="04A0"/>
        </w:tblPrEx>
        <w:tc>
          <w:tcPr>
            <w:tcW w:w="1823" w:type="dxa"/>
            <w:shd w:val="clear" w:color="auto" w:fill="auto"/>
            <w:vAlign w:val="bottom"/>
          </w:tcPr>
          <w:p w:rsidR="00E412F2" w:rsidRPr="00E20033" w:rsidP="00E412F2" w14:paraId="21E295C6" w14:textId="017FEC9A">
            <w:pPr>
              <w:keepNext/>
              <w:keepLines/>
              <w:numPr>
                <w:ilvl w:val="12"/>
                <w:numId w:val="0"/>
              </w:numPr>
              <w:rPr>
                <w:rFonts w:ascii="Arial Narrow" w:hAnsi="Arial Narrow"/>
                <w:sz w:val="18"/>
                <w:szCs w:val="18"/>
              </w:rPr>
            </w:pPr>
            <w:r>
              <w:rPr>
                <w:rFonts w:ascii="Arial Narrow" w:hAnsi="Arial Narrow"/>
                <w:sz w:val="18"/>
                <w:szCs w:val="18"/>
              </w:rPr>
              <w:t>Form</w:t>
            </w:r>
            <w:r w:rsidR="00211453">
              <w:rPr>
                <w:rFonts w:ascii="Arial Narrow" w:hAnsi="Arial Narrow"/>
                <w:sz w:val="18"/>
                <w:szCs w:val="18"/>
              </w:rPr>
              <w:t xml:space="preserve"> 3491 and</w:t>
            </w:r>
            <w:r w:rsidRPr="00E20033">
              <w:rPr>
                <w:rFonts w:ascii="Arial Narrow" w:hAnsi="Arial Narrow"/>
                <w:sz w:val="18"/>
                <w:szCs w:val="18"/>
              </w:rPr>
              <w:t xml:space="preserve"> Instructions</w:t>
            </w:r>
          </w:p>
        </w:tc>
        <w:tc>
          <w:tcPr>
            <w:tcW w:w="1980" w:type="dxa"/>
            <w:shd w:val="clear" w:color="auto" w:fill="auto"/>
            <w:vAlign w:val="bottom"/>
          </w:tcPr>
          <w:p w:rsidR="00E412F2" w:rsidRPr="00E20033" w:rsidP="00E412F2" w14:paraId="0C98958A" w14:textId="69DCC599">
            <w:pPr>
              <w:keepNext/>
              <w:keepLines/>
              <w:jc w:val="center"/>
              <w:rPr>
                <w:rFonts w:ascii="Arial Narrow" w:hAnsi="Arial Narrow"/>
                <w:sz w:val="18"/>
                <w:szCs w:val="18"/>
              </w:rPr>
            </w:pPr>
            <w:r>
              <w:rPr>
                <w:rFonts w:ascii="Calibri" w:hAnsi="Calibri"/>
                <w:color w:val="000000"/>
                <w:sz w:val="22"/>
                <w:szCs w:val="22"/>
              </w:rPr>
              <w:t>$</w:t>
            </w:r>
            <w:r w:rsidR="000604CB">
              <w:rPr>
                <w:rFonts w:ascii="Calibri" w:hAnsi="Calibri"/>
                <w:color w:val="000000"/>
                <w:sz w:val="22"/>
                <w:szCs w:val="22"/>
              </w:rPr>
              <w:t xml:space="preserve"> </w:t>
            </w:r>
            <w:r w:rsidR="000B28AD">
              <w:rPr>
                <w:rFonts w:ascii="Calibri" w:hAnsi="Calibri"/>
                <w:color w:val="000000"/>
                <w:sz w:val="22"/>
                <w:szCs w:val="22"/>
              </w:rPr>
              <w:t>1</w:t>
            </w:r>
            <w:r w:rsidR="00211453">
              <w:rPr>
                <w:rFonts w:ascii="Calibri" w:hAnsi="Calibri"/>
                <w:color w:val="000000"/>
                <w:sz w:val="22"/>
                <w:szCs w:val="22"/>
              </w:rPr>
              <w:t>9,285</w:t>
            </w:r>
            <w:r>
              <w:rPr>
                <w:rFonts w:ascii="Calibri" w:hAnsi="Calibri"/>
                <w:color w:val="000000"/>
                <w:sz w:val="22"/>
                <w:szCs w:val="22"/>
              </w:rPr>
              <w:t xml:space="preserve"> </w:t>
            </w:r>
          </w:p>
        </w:tc>
        <w:tc>
          <w:tcPr>
            <w:tcW w:w="303" w:type="dxa"/>
            <w:shd w:val="clear" w:color="auto" w:fill="auto"/>
          </w:tcPr>
          <w:p w:rsidR="00E412F2" w:rsidRPr="00E20033" w:rsidP="00E412F2" w14:paraId="54AD82FB" w14:textId="1B7A3401">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E412F2" w:rsidRPr="003C0F31" w:rsidP="00BE28FE" w14:paraId="1F86CBB3" w14:textId="591D8DB0">
            <w:pPr>
              <w:widowControl/>
              <w:autoSpaceDE/>
              <w:autoSpaceDN/>
              <w:adjustRightInd/>
              <w:jc w:val="center"/>
              <w:rPr>
                <w:rFonts w:ascii="Calibri" w:hAnsi="Calibri"/>
                <w:color w:val="000000"/>
                <w:sz w:val="22"/>
                <w:szCs w:val="22"/>
              </w:rPr>
            </w:pPr>
            <w:r>
              <w:rPr>
                <w:rFonts w:ascii="Calibri" w:hAnsi="Calibri"/>
                <w:color w:val="000000"/>
                <w:sz w:val="22"/>
                <w:szCs w:val="22"/>
              </w:rPr>
              <w:t>$ 0</w:t>
            </w:r>
          </w:p>
        </w:tc>
        <w:tc>
          <w:tcPr>
            <w:tcW w:w="387" w:type="dxa"/>
            <w:shd w:val="clear" w:color="auto" w:fill="auto"/>
            <w:vAlign w:val="bottom"/>
          </w:tcPr>
          <w:p w:rsidR="00E412F2" w:rsidRPr="00E20033" w:rsidP="00E412F2" w14:paraId="114156D1" w14:textId="4A9B5379">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E412F2" w:rsidRPr="00E20033" w:rsidP="00BE28FE" w14:paraId="12AC39AA" w14:textId="1A381411">
            <w:pPr>
              <w:keepNext/>
              <w:keepLines/>
              <w:jc w:val="center"/>
              <w:rPr>
                <w:rFonts w:ascii="Arial Narrow" w:hAnsi="Arial Narrow"/>
                <w:sz w:val="18"/>
                <w:szCs w:val="18"/>
              </w:rPr>
            </w:pPr>
            <w:r>
              <w:rPr>
                <w:rFonts w:ascii="Calibri" w:hAnsi="Calibri"/>
                <w:color w:val="000000"/>
                <w:sz w:val="22"/>
                <w:szCs w:val="22"/>
              </w:rPr>
              <w:t xml:space="preserve">$ </w:t>
            </w:r>
            <w:r w:rsidR="000B28AD">
              <w:rPr>
                <w:rFonts w:ascii="Calibri" w:hAnsi="Calibri"/>
                <w:color w:val="000000"/>
                <w:sz w:val="22"/>
                <w:szCs w:val="22"/>
              </w:rPr>
              <w:t>1</w:t>
            </w:r>
            <w:r w:rsidR="00211453">
              <w:rPr>
                <w:rFonts w:ascii="Calibri" w:hAnsi="Calibri"/>
                <w:color w:val="000000"/>
                <w:sz w:val="22"/>
                <w:szCs w:val="22"/>
              </w:rPr>
              <w:t>9,285</w:t>
            </w:r>
          </w:p>
        </w:tc>
      </w:tr>
      <w:tr w14:paraId="6035C909" w14:textId="77777777" w:rsidTr="00DA2DEA">
        <w:tblPrEx>
          <w:tblW w:w="7820" w:type="dxa"/>
          <w:tblInd w:w="895" w:type="dxa"/>
          <w:tblLook w:val="04A0"/>
        </w:tblPrEx>
        <w:tc>
          <w:tcPr>
            <w:tcW w:w="1823" w:type="dxa"/>
            <w:shd w:val="clear" w:color="auto" w:fill="auto"/>
          </w:tcPr>
          <w:p w:rsidR="00E412F2" w:rsidRPr="00E20033" w:rsidP="00B9122B" w14:paraId="79EFBDF5"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E412F2" w:rsidRPr="000B28AD" w:rsidP="00B9122B" w14:paraId="7D574A53" w14:textId="590944FA">
            <w:pPr>
              <w:keepNext/>
              <w:keepLines/>
              <w:jc w:val="center"/>
              <w:rPr>
                <w:rFonts w:asciiTheme="minorHAnsi" w:hAnsiTheme="minorHAnsi" w:cstheme="minorHAnsi"/>
                <w:b/>
                <w:sz w:val="22"/>
                <w:szCs w:val="22"/>
              </w:rPr>
            </w:pPr>
            <w:r w:rsidRPr="000B28AD">
              <w:rPr>
                <w:rFonts w:asciiTheme="minorHAnsi" w:hAnsiTheme="minorHAnsi" w:cstheme="minorHAnsi"/>
                <w:b/>
                <w:sz w:val="22"/>
                <w:szCs w:val="22"/>
              </w:rPr>
              <w:t>$</w:t>
            </w:r>
            <w:r>
              <w:rPr>
                <w:rFonts w:asciiTheme="minorHAnsi" w:hAnsiTheme="minorHAnsi" w:cstheme="minorHAnsi"/>
                <w:b/>
                <w:sz w:val="22"/>
                <w:szCs w:val="22"/>
              </w:rPr>
              <w:t xml:space="preserve"> </w:t>
            </w:r>
            <w:r w:rsidR="00211453">
              <w:rPr>
                <w:rFonts w:asciiTheme="minorHAnsi" w:hAnsiTheme="minorHAnsi" w:cstheme="minorHAnsi"/>
                <w:b/>
                <w:sz w:val="22"/>
                <w:szCs w:val="22"/>
              </w:rPr>
              <w:t>19,285</w:t>
            </w:r>
          </w:p>
        </w:tc>
        <w:tc>
          <w:tcPr>
            <w:tcW w:w="303" w:type="dxa"/>
            <w:shd w:val="clear" w:color="auto" w:fill="auto"/>
          </w:tcPr>
          <w:p w:rsidR="00E412F2" w:rsidRPr="00E20033" w:rsidP="00B9122B" w14:paraId="18CB48C4" w14:textId="3E6AC0F1">
            <w:pPr>
              <w:keepNext/>
              <w:keepLines/>
              <w:jc w:val="center"/>
              <w:rPr>
                <w:rFonts w:ascii="Arial Narrow" w:hAnsi="Arial Narrow"/>
                <w:b/>
                <w:sz w:val="18"/>
                <w:szCs w:val="18"/>
              </w:rPr>
            </w:pPr>
            <w:r>
              <w:rPr>
                <w:rFonts w:ascii="Arial Narrow" w:hAnsi="Arial Narrow"/>
                <w:b/>
                <w:sz w:val="18"/>
                <w:szCs w:val="18"/>
              </w:rPr>
              <w:t>+</w:t>
            </w:r>
          </w:p>
        </w:tc>
        <w:tc>
          <w:tcPr>
            <w:tcW w:w="1745" w:type="dxa"/>
            <w:shd w:val="clear" w:color="auto" w:fill="auto"/>
            <w:vAlign w:val="bottom"/>
          </w:tcPr>
          <w:p w:rsidR="00E412F2" w:rsidRPr="003C0F31" w:rsidP="00BE28FE" w14:paraId="49B34F5C" w14:textId="0418D372">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 </w:t>
            </w:r>
            <w:r w:rsidR="00211453">
              <w:rPr>
                <w:rFonts w:ascii="Calibri" w:hAnsi="Calibri"/>
                <w:color w:val="000000"/>
                <w:sz w:val="22"/>
                <w:szCs w:val="22"/>
              </w:rPr>
              <w:t>0</w:t>
            </w:r>
          </w:p>
        </w:tc>
        <w:tc>
          <w:tcPr>
            <w:tcW w:w="387" w:type="dxa"/>
            <w:shd w:val="clear" w:color="auto" w:fill="auto"/>
            <w:vAlign w:val="bottom"/>
          </w:tcPr>
          <w:p w:rsidR="00E412F2" w:rsidRPr="00E20033" w:rsidP="00B9122B" w14:paraId="7EF8532F" w14:textId="43DE3381">
            <w:pPr>
              <w:keepNext/>
              <w:keepLines/>
              <w:jc w:val="center"/>
              <w:rPr>
                <w:rFonts w:ascii="Arial Narrow" w:hAnsi="Arial Narrow"/>
                <w:b/>
                <w:sz w:val="18"/>
                <w:szCs w:val="18"/>
              </w:rPr>
            </w:pPr>
            <w:r>
              <w:rPr>
                <w:rFonts w:ascii="Arial Narrow" w:hAnsi="Arial Narrow"/>
                <w:b/>
                <w:sz w:val="18"/>
                <w:szCs w:val="18"/>
              </w:rPr>
              <w:t>=</w:t>
            </w:r>
          </w:p>
        </w:tc>
        <w:tc>
          <w:tcPr>
            <w:tcW w:w="1582" w:type="dxa"/>
            <w:shd w:val="clear" w:color="auto" w:fill="auto"/>
            <w:vAlign w:val="bottom"/>
          </w:tcPr>
          <w:p w:rsidR="00E412F2" w:rsidRPr="00E20033" w:rsidP="00BE28FE" w14:paraId="179C3F51" w14:textId="53A80735">
            <w:pPr>
              <w:keepNext/>
              <w:keepLines/>
              <w:jc w:val="center"/>
              <w:rPr>
                <w:rFonts w:ascii="Arial Narrow" w:hAnsi="Arial Narrow"/>
                <w:b/>
                <w:sz w:val="18"/>
                <w:szCs w:val="18"/>
              </w:rPr>
            </w:pPr>
            <w:r>
              <w:rPr>
                <w:rFonts w:ascii="Calibri" w:hAnsi="Calibri" w:cs="Calibri"/>
                <w:b/>
                <w:sz w:val="22"/>
                <w:szCs w:val="22"/>
              </w:rPr>
              <w:t xml:space="preserve">$ </w:t>
            </w:r>
            <w:r w:rsidR="00211453">
              <w:rPr>
                <w:rFonts w:ascii="Calibri" w:hAnsi="Calibri" w:cs="Calibri"/>
                <w:b/>
                <w:sz w:val="22"/>
                <w:szCs w:val="22"/>
              </w:rPr>
              <w:t>19,285</w:t>
            </w:r>
          </w:p>
        </w:tc>
      </w:tr>
      <w:tr w14:paraId="442B9C29" w14:textId="77777777" w:rsidTr="00DA2DEA">
        <w:tblPrEx>
          <w:tblW w:w="7820" w:type="dxa"/>
          <w:tblInd w:w="895" w:type="dxa"/>
          <w:tblLook w:val="04A0"/>
        </w:tblPrEx>
        <w:tc>
          <w:tcPr>
            <w:tcW w:w="7820" w:type="dxa"/>
            <w:gridSpan w:val="6"/>
            <w:shd w:val="clear" w:color="auto" w:fill="auto"/>
          </w:tcPr>
          <w:p w:rsidR="00E412F2" w:rsidRPr="00E20033" w:rsidP="00B9122B" w14:paraId="0A6E4A78" w14:textId="66BDCB5D">
            <w:pPr>
              <w:keepNext/>
              <w:keepLines/>
              <w:rPr>
                <w:rFonts w:ascii="Arial Narrow" w:hAnsi="Arial Narrow"/>
                <w:sz w:val="18"/>
                <w:szCs w:val="18"/>
              </w:rPr>
            </w:pPr>
            <w:r w:rsidRPr="00E20033">
              <w:rPr>
                <w:rFonts w:ascii="Arial Narrow" w:hAnsi="Arial Narrow"/>
                <w:sz w:val="18"/>
                <w:szCs w:val="18"/>
              </w:rPr>
              <w:t>Table costs are based on 20</w:t>
            </w:r>
            <w:r w:rsidR="00961E48">
              <w:rPr>
                <w:rFonts w:ascii="Arial Narrow" w:hAnsi="Arial Narrow"/>
                <w:sz w:val="18"/>
                <w:szCs w:val="18"/>
              </w:rPr>
              <w:t>2</w:t>
            </w:r>
            <w:r w:rsidR="00DE1C3A">
              <w:rPr>
                <w:rFonts w:ascii="Arial Narrow" w:hAnsi="Arial Narrow"/>
                <w:sz w:val="18"/>
                <w:szCs w:val="18"/>
              </w:rPr>
              <w:t>3</w:t>
            </w:r>
            <w:r w:rsidRPr="00E20033">
              <w:rPr>
                <w:rFonts w:ascii="Arial Narrow" w:hAnsi="Arial Narrow"/>
                <w:sz w:val="18"/>
                <w:szCs w:val="18"/>
              </w:rPr>
              <w:t xml:space="preserve"> actuals obtained from IRS Chief Financial Office and Media and Publications</w:t>
            </w:r>
          </w:p>
        </w:tc>
      </w:tr>
      <w:bookmarkEnd w:id="0"/>
    </w:tbl>
    <w:p w:rsidR="00332B28" w:rsidRPr="00613D6A" w14:paraId="06517EF7" w14:textId="77777777">
      <w:pPr>
        <w:jc w:val="both"/>
        <w:rPr>
          <w:rFonts w:asciiTheme="minorHAnsi" w:hAnsiTheme="minorHAnsi" w:cstheme="minorHAnsi"/>
          <w:sz w:val="22"/>
          <w:szCs w:val="22"/>
        </w:rPr>
      </w:pPr>
    </w:p>
    <w:p w:rsidR="00332B28" w:rsidRPr="00613D6A" w14:paraId="7F807F00" w14:textId="77777777">
      <w:pPr>
        <w:pStyle w:val="Quick1"/>
        <w:numPr>
          <w:ilvl w:val="0"/>
          <w:numId w:val="6"/>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REASONS FOR CHANGE IN BURDEN</w:t>
      </w:r>
    </w:p>
    <w:p w:rsidR="00332B28" w:rsidRPr="00613D6A" w14:paraId="7F9528D2" w14:textId="77777777">
      <w:pPr>
        <w:ind w:firstLine="720"/>
        <w:jc w:val="both"/>
        <w:rPr>
          <w:rFonts w:asciiTheme="minorHAnsi" w:hAnsiTheme="minorHAnsi" w:cstheme="minorHAnsi"/>
          <w:sz w:val="22"/>
          <w:szCs w:val="22"/>
        </w:rPr>
      </w:pPr>
    </w:p>
    <w:p w:rsidR="00393F51" w:rsidRPr="00613D6A" w:rsidP="00EB2BBD" w14:paraId="53A2E4D7" w14:textId="7B53FA1D">
      <w:pPr>
        <w:ind w:left="720"/>
        <w:jc w:val="both"/>
        <w:rPr>
          <w:rFonts w:asciiTheme="minorHAnsi" w:hAnsiTheme="minorHAnsi" w:cstheme="minorHAnsi"/>
          <w:sz w:val="22"/>
          <w:szCs w:val="22"/>
        </w:rPr>
      </w:pPr>
      <w:r w:rsidRPr="00C6623F">
        <w:rPr>
          <w:rFonts w:asciiTheme="minorHAnsi" w:hAnsiTheme="minorHAnsi" w:cstheme="minorHAnsi"/>
          <w:sz w:val="22"/>
          <w:szCs w:val="22"/>
        </w:rPr>
        <w:t xml:space="preserve">There is no change in the paperwork burden previously approved by OMB.  IRS is making this submission to renew the OMB approval.  </w:t>
      </w:r>
    </w:p>
    <w:p w:rsidR="00393F51" w:rsidRPr="00613D6A" w:rsidP="00EB2BBD" w14:paraId="542E31E6" w14:textId="77777777">
      <w:pPr>
        <w:ind w:left="720"/>
        <w:jc w:val="both"/>
        <w:rPr>
          <w:rFonts w:asciiTheme="minorHAnsi" w:hAnsiTheme="minorHAnsi" w:cs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2B101FE9" w14:textId="77777777" w:rsidTr="00DA2DEA">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1D5BA78" w14:textId="77777777">
            <w:pPr>
              <w:keepNext/>
              <w:keepLines/>
              <w:autoSpaceDE/>
              <w:autoSpaceDN/>
              <w:adjustRightInd/>
              <w:jc w:val="center"/>
              <w:rPr>
                <w:rFonts w:ascii="Arial Narrow" w:hAnsi="Arial Narrow" w:cs="Arial"/>
                <w:b/>
                <w:bCs/>
                <w:color w:val="000000"/>
                <w:sz w:val="18"/>
                <w:szCs w:val="18"/>
              </w:rPr>
            </w:pPr>
            <w:bookmarkStart w:id="1"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F5F6E1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B0FB37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465864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5DDDAD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6B2049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50A37D7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4A7F1556"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24A4E88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579C721" w14:textId="5D74CCE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w:t>
            </w:r>
            <w:r>
              <w:rPr>
                <w:rFonts w:ascii="Arial Narrow" w:hAnsi="Arial Narrow" w:cs="Arial"/>
                <w:color w:val="000000"/>
                <w:sz w:val="18"/>
                <w:szCs w:val="18"/>
              </w:rPr>
              <w:t>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BD92465" w14:textId="799C252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455DD4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D16DB8A" w14:textId="34BEBB7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F1027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78F78390" w14:textId="2DF6D87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w:t>
            </w:r>
            <w:r>
              <w:rPr>
                <w:rFonts w:ascii="Arial Narrow" w:hAnsi="Arial Narrow" w:cs="Arial"/>
                <w:color w:val="000000"/>
                <w:sz w:val="18"/>
                <w:szCs w:val="18"/>
              </w:rPr>
              <w:t>0</w:t>
            </w:r>
          </w:p>
        </w:tc>
      </w:tr>
      <w:tr w14:paraId="51467B34"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08625EF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E29BC0" w14:textId="32FFFDC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148</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507DE30D" w14:textId="1EC41000">
            <w:pPr>
              <w:keepNext/>
              <w:keepLines/>
              <w:autoSpaceDE/>
              <w:autoSpaceDN/>
              <w:adjustRightInd/>
              <w:jc w:val="center"/>
              <w:rPr>
                <w:rFonts w:ascii="Arial Narrow" w:hAnsi="Arial Narrow" w:cs="Arial"/>
                <w:color w:val="000000"/>
                <w:sz w:val="18"/>
                <w:szCs w:val="18"/>
              </w:rPr>
            </w:pPr>
            <w:r w:rsidRPr="002262AA">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87C3C72" w14:textId="595BBB6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127A946" w14:textId="32C8608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9959D5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4BC14A26" w14:textId="67905AE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148</w:t>
            </w:r>
          </w:p>
        </w:tc>
      </w:tr>
      <w:bookmarkEnd w:id="1"/>
    </w:tbl>
    <w:p w:rsidR="00332B28" w:rsidRPr="00613D6A" w:rsidP="00956BAE" w14:paraId="1F5EBE7A" w14:textId="77777777">
      <w:pPr>
        <w:ind w:left="720"/>
        <w:jc w:val="both"/>
        <w:rPr>
          <w:rFonts w:asciiTheme="minorHAnsi" w:hAnsiTheme="minorHAnsi" w:cstheme="minorHAnsi"/>
          <w:sz w:val="22"/>
          <w:szCs w:val="22"/>
        </w:rPr>
      </w:pPr>
    </w:p>
    <w:p w:rsidR="00332B28" w:rsidRPr="00613D6A" w14:paraId="10BE1B20"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16.</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PLANS FOR TABULATION, STATISTICAL ANALYSIS AND PUBLICATION</w:t>
      </w:r>
    </w:p>
    <w:p w:rsidR="00332B28" w:rsidRPr="00613D6A" w14:paraId="68235511" w14:textId="77777777">
      <w:pPr>
        <w:jc w:val="both"/>
        <w:rPr>
          <w:rFonts w:asciiTheme="minorHAnsi" w:hAnsiTheme="minorHAnsi" w:cstheme="minorHAnsi"/>
          <w:sz w:val="22"/>
          <w:szCs w:val="22"/>
        </w:rPr>
      </w:pPr>
    </w:p>
    <w:p w:rsidR="000B28AD" w:rsidRPr="00613D6A" w:rsidP="00D71CDB" w14:paraId="7809676B" w14:textId="1F09C86E">
      <w:pPr>
        <w:spacing w:line="228" w:lineRule="auto"/>
        <w:ind w:left="720"/>
        <w:rPr>
          <w:rFonts w:asciiTheme="minorHAnsi" w:hAnsiTheme="minorHAnsi" w:cstheme="minorHAnsi"/>
          <w:sz w:val="22"/>
          <w:szCs w:val="22"/>
        </w:rPr>
      </w:pPr>
      <w:r w:rsidRPr="00613D6A">
        <w:rPr>
          <w:rFonts w:asciiTheme="minorHAnsi" w:hAnsiTheme="minorHAnsi" w:cstheme="minorHAnsi"/>
          <w:sz w:val="22"/>
          <w:szCs w:val="22"/>
        </w:rPr>
        <w:t>There are no plans for tabulation, statistical analysis</w:t>
      </w:r>
      <w:r w:rsidRPr="00613D6A" w:rsidR="007C0E3B">
        <w:rPr>
          <w:rFonts w:asciiTheme="minorHAnsi" w:hAnsiTheme="minorHAnsi" w:cstheme="minorHAnsi"/>
          <w:sz w:val="22"/>
          <w:szCs w:val="22"/>
        </w:rPr>
        <w:t>,</w:t>
      </w:r>
      <w:r w:rsidRPr="00613D6A">
        <w:rPr>
          <w:rFonts w:asciiTheme="minorHAnsi" w:hAnsiTheme="minorHAnsi" w:cstheme="minorHAnsi"/>
          <w:sz w:val="22"/>
          <w:szCs w:val="22"/>
        </w:rPr>
        <w:t xml:space="preserve"> and publication.</w:t>
      </w:r>
    </w:p>
    <w:p w:rsidR="000B28AD" w:rsidRPr="00613D6A" w:rsidP="00BC5647" w14:paraId="4C05DE2B" w14:textId="77777777">
      <w:pPr>
        <w:rPr>
          <w:rFonts w:asciiTheme="minorHAnsi" w:hAnsiTheme="minorHAnsi" w:cstheme="minorHAnsi"/>
          <w:sz w:val="22"/>
          <w:szCs w:val="22"/>
        </w:rPr>
      </w:pPr>
    </w:p>
    <w:p w:rsidR="00332B28" w:rsidRPr="00613D6A" w:rsidP="00BC5647" w14:paraId="3E0934F7"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REASONS WHY DISPLAYING THE OMB EXPIRATION DATE IS</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INAPPROPRIATE</w:t>
      </w:r>
    </w:p>
    <w:p w:rsidR="00332B28" w:rsidRPr="00613D6A" w:rsidP="00BC5647" w14:paraId="0241C53F" w14:textId="77777777">
      <w:pPr>
        <w:rPr>
          <w:rFonts w:asciiTheme="minorHAnsi" w:hAnsiTheme="minorHAnsi" w:cstheme="minorHAnsi"/>
          <w:sz w:val="22"/>
          <w:szCs w:val="22"/>
        </w:rPr>
      </w:pPr>
    </w:p>
    <w:p w:rsidR="00B84BF2" w:rsidRPr="00613D6A" w:rsidP="00B84BF2" w14:paraId="3038B4D7" w14:textId="205C88A7">
      <w:pPr>
        <w:ind w:left="720"/>
        <w:rPr>
          <w:rFonts w:asciiTheme="minorHAnsi" w:hAnsiTheme="minorHAnsi" w:cstheme="minorHAnsi"/>
          <w:sz w:val="22"/>
          <w:szCs w:val="22"/>
        </w:rPr>
      </w:pPr>
      <w:r w:rsidRPr="00613D6A">
        <w:rPr>
          <w:rFonts w:asciiTheme="minorHAnsi" w:hAnsiTheme="minorHAnsi" w:cstheme="minorHAnsi"/>
          <w:sz w:val="22"/>
          <w:szCs w:val="22"/>
        </w:rPr>
        <w:t xml:space="preserve">IRS believes that displaying the OMB expiration date is inappropriate because it could cause confusion by leading taxpayers to believe that the form </w:t>
      </w:r>
      <w:r>
        <w:rPr>
          <w:rFonts w:asciiTheme="minorHAnsi" w:hAnsiTheme="minorHAnsi" w:cstheme="minorHAnsi"/>
          <w:sz w:val="22"/>
          <w:szCs w:val="22"/>
        </w:rPr>
        <w:t>expires</w:t>
      </w:r>
      <w:r w:rsidRPr="00613D6A">
        <w:rPr>
          <w:rFonts w:asciiTheme="minorHAnsi" w:hAnsiTheme="minorHAnsi" w:cstheme="minorHAnsi"/>
          <w:sz w:val="22"/>
          <w:szCs w:val="22"/>
        </w:rPr>
        <w:t xml:space="preserve"> as of the expiration date. Taxpayers are not likely to be aware that the </w:t>
      </w:r>
      <w:r w:rsidRPr="00613D6A" w:rsidR="0038439E">
        <w:rPr>
          <w:rFonts w:asciiTheme="minorHAnsi" w:hAnsiTheme="minorHAnsi" w:cstheme="minorHAnsi"/>
          <w:sz w:val="22"/>
          <w:szCs w:val="22"/>
        </w:rPr>
        <w:t xml:space="preserve">IRS </w:t>
      </w:r>
      <w:r w:rsidRPr="00613D6A">
        <w:rPr>
          <w:rFonts w:asciiTheme="minorHAnsi" w:hAnsiTheme="minorHAnsi" w:cstheme="minorHAnsi"/>
          <w:sz w:val="22"/>
          <w:szCs w:val="22"/>
        </w:rPr>
        <w:t>intends to request renewal of the OMB approval and obtain a new expiration date before the old one expires.</w:t>
      </w:r>
    </w:p>
    <w:p w:rsidR="00332B28" w:rsidRPr="00613D6A" w:rsidP="009C2030" w14:paraId="0A7E635E" w14:textId="77777777">
      <w:pPr>
        <w:tabs>
          <w:tab w:val="num" w:pos="720"/>
        </w:tabs>
        <w:ind w:left="720" w:hanging="720"/>
        <w:rPr>
          <w:rFonts w:asciiTheme="minorHAnsi" w:hAnsiTheme="minorHAnsi" w:cstheme="minorHAnsi"/>
          <w:sz w:val="22"/>
          <w:szCs w:val="22"/>
        </w:rPr>
      </w:pPr>
    </w:p>
    <w:p w:rsidR="00332B28" w:rsidRPr="00613D6A" w:rsidP="00BC5647" w14:paraId="2DB6CDAA"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EXCEPTIONS TO THE CERTIFICATION STATEMENT </w:t>
      </w:r>
    </w:p>
    <w:p w:rsidR="00332B28" w:rsidRPr="00613D6A" w:rsidP="00BC5647" w14:paraId="58FCB54B" w14:textId="77777777">
      <w:pPr>
        <w:rPr>
          <w:rFonts w:asciiTheme="minorHAnsi" w:hAnsiTheme="minorHAnsi" w:cstheme="minorHAnsi"/>
          <w:sz w:val="22"/>
          <w:szCs w:val="22"/>
        </w:rPr>
      </w:pPr>
    </w:p>
    <w:p w:rsidR="008F1C9A" w:rsidRPr="00613D6A" w:rsidP="00606056" w14:paraId="27490299" w14:textId="1F31FE1D">
      <w:pPr>
        <w:ind w:left="720"/>
        <w:rPr>
          <w:rFonts w:asciiTheme="minorHAnsi" w:hAnsiTheme="minorHAnsi" w:cstheme="minorHAnsi"/>
          <w:sz w:val="22"/>
          <w:szCs w:val="22"/>
        </w:rPr>
      </w:pPr>
      <w:r w:rsidRPr="00613D6A">
        <w:rPr>
          <w:rFonts w:asciiTheme="minorHAnsi" w:hAnsiTheme="minorHAnsi" w:cstheme="minorHAnsi"/>
          <w:sz w:val="22"/>
          <w:szCs w:val="22"/>
        </w:rPr>
        <w:t>There are no exceptions to the certification statement</w:t>
      </w:r>
      <w:r w:rsidRPr="00613D6A" w:rsidR="000B28AD">
        <w:rPr>
          <w:rFonts w:asciiTheme="minorHAnsi" w:hAnsiTheme="minorHAnsi" w:cstheme="minorHAnsi"/>
          <w:sz w:val="22"/>
          <w:szCs w:val="22"/>
        </w:rPr>
        <w:t xml:space="preserve"> for this collection</w:t>
      </w:r>
      <w:r w:rsidRPr="00613D6A" w:rsidR="00E8410C">
        <w:rPr>
          <w:rFonts w:asciiTheme="minorHAnsi" w:hAnsiTheme="minorHAnsi" w:cstheme="minorHAnsi"/>
          <w:sz w:val="22"/>
          <w:szCs w:val="22"/>
        </w:rPr>
        <w:t>.</w:t>
      </w:r>
    </w:p>
    <w:p w:rsidR="006869C1" w:rsidRPr="005E49F6" w:rsidP="00BE28FE" w14:paraId="524DB996" w14:textId="77777777">
      <w:pPr>
        <w:rPr>
          <w:rFonts w:ascii="Calibri" w:hAnsi="Calibri" w:cs="Courier New"/>
          <w:sz w:val="22"/>
          <w:szCs w:val="22"/>
        </w:rPr>
      </w:pPr>
    </w:p>
    <w:sectPr w:rsidSect="00332B28">
      <w:headerReference w:type="default" r:id="rId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40FE461E" w14:textId="1EDCE97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7D9CE08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750"/>
    <w:rsid w:val="00005AFA"/>
    <w:rsid w:val="00006DC4"/>
    <w:rsid w:val="00013CAD"/>
    <w:rsid w:val="0001422C"/>
    <w:rsid w:val="00014720"/>
    <w:rsid w:val="00017950"/>
    <w:rsid w:val="00025B90"/>
    <w:rsid w:val="0003573A"/>
    <w:rsid w:val="000453B5"/>
    <w:rsid w:val="00046D3A"/>
    <w:rsid w:val="00047093"/>
    <w:rsid w:val="0005379D"/>
    <w:rsid w:val="00055FC3"/>
    <w:rsid w:val="000604CB"/>
    <w:rsid w:val="0006258B"/>
    <w:rsid w:val="000627FF"/>
    <w:rsid w:val="00063147"/>
    <w:rsid w:val="00064DDD"/>
    <w:rsid w:val="000658BB"/>
    <w:rsid w:val="00076AC2"/>
    <w:rsid w:val="00077042"/>
    <w:rsid w:val="0008089F"/>
    <w:rsid w:val="00080D51"/>
    <w:rsid w:val="00084E4B"/>
    <w:rsid w:val="000875C4"/>
    <w:rsid w:val="00087B10"/>
    <w:rsid w:val="00095A71"/>
    <w:rsid w:val="00096C81"/>
    <w:rsid w:val="000A280B"/>
    <w:rsid w:val="000B28AD"/>
    <w:rsid w:val="000B7761"/>
    <w:rsid w:val="000B7BDF"/>
    <w:rsid w:val="000C1293"/>
    <w:rsid w:val="000C1AB2"/>
    <w:rsid w:val="000C79BE"/>
    <w:rsid w:val="000D32C6"/>
    <w:rsid w:val="000D3A9B"/>
    <w:rsid w:val="000D4CB6"/>
    <w:rsid w:val="000E4D1E"/>
    <w:rsid w:val="000E5BC8"/>
    <w:rsid w:val="000E6584"/>
    <w:rsid w:val="000E6EBD"/>
    <w:rsid w:val="000F2478"/>
    <w:rsid w:val="000F40F3"/>
    <w:rsid w:val="000F4432"/>
    <w:rsid w:val="000F6467"/>
    <w:rsid w:val="000F6C14"/>
    <w:rsid w:val="00101424"/>
    <w:rsid w:val="0010200A"/>
    <w:rsid w:val="0010205B"/>
    <w:rsid w:val="00102EA2"/>
    <w:rsid w:val="00106E64"/>
    <w:rsid w:val="001126FC"/>
    <w:rsid w:val="00113FD8"/>
    <w:rsid w:val="00125098"/>
    <w:rsid w:val="0012657B"/>
    <w:rsid w:val="00130651"/>
    <w:rsid w:val="00134751"/>
    <w:rsid w:val="00135F51"/>
    <w:rsid w:val="00136BE0"/>
    <w:rsid w:val="001428CD"/>
    <w:rsid w:val="00143EBD"/>
    <w:rsid w:val="00145368"/>
    <w:rsid w:val="001455F2"/>
    <w:rsid w:val="00146941"/>
    <w:rsid w:val="00147F0E"/>
    <w:rsid w:val="001536ED"/>
    <w:rsid w:val="00155352"/>
    <w:rsid w:val="0016124A"/>
    <w:rsid w:val="00162019"/>
    <w:rsid w:val="001644B6"/>
    <w:rsid w:val="0017170C"/>
    <w:rsid w:val="00172DB2"/>
    <w:rsid w:val="00175A57"/>
    <w:rsid w:val="0018068B"/>
    <w:rsid w:val="00180BDD"/>
    <w:rsid w:val="0018156B"/>
    <w:rsid w:val="00193AEB"/>
    <w:rsid w:val="001A17DB"/>
    <w:rsid w:val="001A4017"/>
    <w:rsid w:val="001A4FF5"/>
    <w:rsid w:val="001A52D1"/>
    <w:rsid w:val="001A6D0D"/>
    <w:rsid w:val="001B0883"/>
    <w:rsid w:val="001B178A"/>
    <w:rsid w:val="001B2298"/>
    <w:rsid w:val="001B5BD6"/>
    <w:rsid w:val="001C301D"/>
    <w:rsid w:val="001C5FAA"/>
    <w:rsid w:val="001C60B8"/>
    <w:rsid w:val="001D18F4"/>
    <w:rsid w:val="001D1FA3"/>
    <w:rsid w:val="001D24B0"/>
    <w:rsid w:val="001D5544"/>
    <w:rsid w:val="001D56A4"/>
    <w:rsid w:val="001E0257"/>
    <w:rsid w:val="001F2648"/>
    <w:rsid w:val="002007FD"/>
    <w:rsid w:val="00205050"/>
    <w:rsid w:val="0021011C"/>
    <w:rsid w:val="0021047F"/>
    <w:rsid w:val="00211453"/>
    <w:rsid w:val="00211676"/>
    <w:rsid w:val="00212C22"/>
    <w:rsid w:val="00215A3D"/>
    <w:rsid w:val="00215C30"/>
    <w:rsid w:val="002253A6"/>
    <w:rsid w:val="002262AA"/>
    <w:rsid w:val="00227B7C"/>
    <w:rsid w:val="00233298"/>
    <w:rsid w:val="00235133"/>
    <w:rsid w:val="002356F5"/>
    <w:rsid w:val="00235A38"/>
    <w:rsid w:val="00236812"/>
    <w:rsid w:val="0024427B"/>
    <w:rsid w:val="00245773"/>
    <w:rsid w:val="00250333"/>
    <w:rsid w:val="0025200F"/>
    <w:rsid w:val="0025276E"/>
    <w:rsid w:val="002541C6"/>
    <w:rsid w:val="0026268A"/>
    <w:rsid w:val="00262888"/>
    <w:rsid w:val="00263DA4"/>
    <w:rsid w:val="002675F5"/>
    <w:rsid w:val="00272D3D"/>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F3E03"/>
    <w:rsid w:val="002F56CD"/>
    <w:rsid w:val="00300694"/>
    <w:rsid w:val="003052E2"/>
    <w:rsid w:val="00305F7C"/>
    <w:rsid w:val="00306C00"/>
    <w:rsid w:val="003106EF"/>
    <w:rsid w:val="00311648"/>
    <w:rsid w:val="00312B6D"/>
    <w:rsid w:val="00313154"/>
    <w:rsid w:val="00314085"/>
    <w:rsid w:val="0031707B"/>
    <w:rsid w:val="00323324"/>
    <w:rsid w:val="00325AED"/>
    <w:rsid w:val="00326C33"/>
    <w:rsid w:val="00332B28"/>
    <w:rsid w:val="0033442E"/>
    <w:rsid w:val="00334B87"/>
    <w:rsid w:val="00347484"/>
    <w:rsid w:val="00352961"/>
    <w:rsid w:val="00354A5A"/>
    <w:rsid w:val="00354F95"/>
    <w:rsid w:val="00355472"/>
    <w:rsid w:val="003561F2"/>
    <w:rsid w:val="003577B7"/>
    <w:rsid w:val="0036004A"/>
    <w:rsid w:val="003606E1"/>
    <w:rsid w:val="00361083"/>
    <w:rsid w:val="003629B7"/>
    <w:rsid w:val="00364457"/>
    <w:rsid w:val="00364FB6"/>
    <w:rsid w:val="00366F0B"/>
    <w:rsid w:val="00367C8E"/>
    <w:rsid w:val="00367F0C"/>
    <w:rsid w:val="00372F78"/>
    <w:rsid w:val="00373F28"/>
    <w:rsid w:val="00381881"/>
    <w:rsid w:val="003825AE"/>
    <w:rsid w:val="0038439E"/>
    <w:rsid w:val="0038654F"/>
    <w:rsid w:val="00393F51"/>
    <w:rsid w:val="00394F5B"/>
    <w:rsid w:val="00395151"/>
    <w:rsid w:val="003964A5"/>
    <w:rsid w:val="003A152F"/>
    <w:rsid w:val="003A487E"/>
    <w:rsid w:val="003B39C5"/>
    <w:rsid w:val="003B4FF5"/>
    <w:rsid w:val="003C0F31"/>
    <w:rsid w:val="003C1685"/>
    <w:rsid w:val="003C2D88"/>
    <w:rsid w:val="003C33BE"/>
    <w:rsid w:val="003C553F"/>
    <w:rsid w:val="003D0992"/>
    <w:rsid w:val="003D2979"/>
    <w:rsid w:val="003D4CF1"/>
    <w:rsid w:val="003D4D5E"/>
    <w:rsid w:val="003E616F"/>
    <w:rsid w:val="003F0CF7"/>
    <w:rsid w:val="003F2055"/>
    <w:rsid w:val="003F2C8D"/>
    <w:rsid w:val="003F51BC"/>
    <w:rsid w:val="003F55E1"/>
    <w:rsid w:val="003F7A79"/>
    <w:rsid w:val="00403FE2"/>
    <w:rsid w:val="0040555C"/>
    <w:rsid w:val="00406748"/>
    <w:rsid w:val="00406CA0"/>
    <w:rsid w:val="00406E4E"/>
    <w:rsid w:val="00410BE2"/>
    <w:rsid w:val="004147C6"/>
    <w:rsid w:val="0041495A"/>
    <w:rsid w:val="00422677"/>
    <w:rsid w:val="004231B6"/>
    <w:rsid w:val="004254BD"/>
    <w:rsid w:val="004332AB"/>
    <w:rsid w:val="00434186"/>
    <w:rsid w:val="0043783E"/>
    <w:rsid w:val="00443768"/>
    <w:rsid w:val="00451F48"/>
    <w:rsid w:val="004533FF"/>
    <w:rsid w:val="0045436D"/>
    <w:rsid w:val="00454E92"/>
    <w:rsid w:val="00462D69"/>
    <w:rsid w:val="004640A7"/>
    <w:rsid w:val="0046753C"/>
    <w:rsid w:val="0046785A"/>
    <w:rsid w:val="00471233"/>
    <w:rsid w:val="004723D9"/>
    <w:rsid w:val="00472CF8"/>
    <w:rsid w:val="004735D5"/>
    <w:rsid w:val="00473EE5"/>
    <w:rsid w:val="00475572"/>
    <w:rsid w:val="0048153D"/>
    <w:rsid w:val="00482343"/>
    <w:rsid w:val="00485E3B"/>
    <w:rsid w:val="00486E3F"/>
    <w:rsid w:val="004A04F4"/>
    <w:rsid w:val="004A0BED"/>
    <w:rsid w:val="004A263B"/>
    <w:rsid w:val="004A2701"/>
    <w:rsid w:val="004B0439"/>
    <w:rsid w:val="004B136B"/>
    <w:rsid w:val="004B304E"/>
    <w:rsid w:val="004B7FE9"/>
    <w:rsid w:val="004C15CC"/>
    <w:rsid w:val="004C1DC9"/>
    <w:rsid w:val="004D5EAB"/>
    <w:rsid w:val="004E6462"/>
    <w:rsid w:val="004E6A43"/>
    <w:rsid w:val="004E78CF"/>
    <w:rsid w:val="004F4BCB"/>
    <w:rsid w:val="004F6AFC"/>
    <w:rsid w:val="0050188B"/>
    <w:rsid w:val="005115A0"/>
    <w:rsid w:val="00512BAB"/>
    <w:rsid w:val="00513C19"/>
    <w:rsid w:val="00514BA4"/>
    <w:rsid w:val="005151C6"/>
    <w:rsid w:val="00532F3D"/>
    <w:rsid w:val="0053763A"/>
    <w:rsid w:val="005407CE"/>
    <w:rsid w:val="005407E7"/>
    <w:rsid w:val="00542DF0"/>
    <w:rsid w:val="005437F9"/>
    <w:rsid w:val="0054393D"/>
    <w:rsid w:val="00545ECE"/>
    <w:rsid w:val="00550C48"/>
    <w:rsid w:val="005539E4"/>
    <w:rsid w:val="00553A6C"/>
    <w:rsid w:val="00565597"/>
    <w:rsid w:val="0056790C"/>
    <w:rsid w:val="00570A2A"/>
    <w:rsid w:val="005714C3"/>
    <w:rsid w:val="00572404"/>
    <w:rsid w:val="00573FA0"/>
    <w:rsid w:val="00575BDE"/>
    <w:rsid w:val="00577C75"/>
    <w:rsid w:val="005819B3"/>
    <w:rsid w:val="00582282"/>
    <w:rsid w:val="00583642"/>
    <w:rsid w:val="00584757"/>
    <w:rsid w:val="00586298"/>
    <w:rsid w:val="0059029B"/>
    <w:rsid w:val="00590887"/>
    <w:rsid w:val="00592A2C"/>
    <w:rsid w:val="00592A4D"/>
    <w:rsid w:val="00594308"/>
    <w:rsid w:val="0059525B"/>
    <w:rsid w:val="00595685"/>
    <w:rsid w:val="005A75DF"/>
    <w:rsid w:val="005B1A66"/>
    <w:rsid w:val="005B3BFE"/>
    <w:rsid w:val="005B3DBA"/>
    <w:rsid w:val="005C0081"/>
    <w:rsid w:val="005C1D7F"/>
    <w:rsid w:val="005C5CC2"/>
    <w:rsid w:val="005C626B"/>
    <w:rsid w:val="005C65D9"/>
    <w:rsid w:val="005E046E"/>
    <w:rsid w:val="005E2869"/>
    <w:rsid w:val="005E404F"/>
    <w:rsid w:val="005E49F6"/>
    <w:rsid w:val="005F0EC4"/>
    <w:rsid w:val="005F1202"/>
    <w:rsid w:val="005F12C7"/>
    <w:rsid w:val="005F2951"/>
    <w:rsid w:val="005F2F68"/>
    <w:rsid w:val="005F5C76"/>
    <w:rsid w:val="005F6897"/>
    <w:rsid w:val="006001B9"/>
    <w:rsid w:val="006041FC"/>
    <w:rsid w:val="00606056"/>
    <w:rsid w:val="00606D91"/>
    <w:rsid w:val="00607258"/>
    <w:rsid w:val="00607691"/>
    <w:rsid w:val="00610086"/>
    <w:rsid w:val="0061248D"/>
    <w:rsid w:val="00613D6A"/>
    <w:rsid w:val="0061699B"/>
    <w:rsid w:val="0061736A"/>
    <w:rsid w:val="00622D37"/>
    <w:rsid w:val="00625AF3"/>
    <w:rsid w:val="006306F2"/>
    <w:rsid w:val="00633A65"/>
    <w:rsid w:val="0064254F"/>
    <w:rsid w:val="006437ED"/>
    <w:rsid w:val="00643A99"/>
    <w:rsid w:val="0065112C"/>
    <w:rsid w:val="00657E19"/>
    <w:rsid w:val="00660C1C"/>
    <w:rsid w:val="006648B3"/>
    <w:rsid w:val="006656FA"/>
    <w:rsid w:val="0066718B"/>
    <w:rsid w:val="006725E2"/>
    <w:rsid w:val="00676AF8"/>
    <w:rsid w:val="00677048"/>
    <w:rsid w:val="006869C1"/>
    <w:rsid w:val="006921DC"/>
    <w:rsid w:val="00692F4C"/>
    <w:rsid w:val="006931C0"/>
    <w:rsid w:val="00694043"/>
    <w:rsid w:val="00694DA5"/>
    <w:rsid w:val="00695BF8"/>
    <w:rsid w:val="006A0B3B"/>
    <w:rsid w:val="006A211E"/>
    <w:rsid w:val="006A5D95"/>
    <w:rsid w:val="006B019A"/>
    <w:rsid w:val="006B764C"/>
    <w:rsid w:val="006C1BF0"/>
    <w:rsid w:val="006C2E55"/>
    <w:rsid w:val="006C56D2"/>
    <w:rsid w:val="006C5C72"/>
    <w:rsid w:val="006D53CE"/>
    <w:rsid w:val="006E48E2"/>
    <w:rsid w:val="006E5CCF"/>
    <w:rsid w:val="006E75AE"/>
    <w:rsid w:val="006F5E0A"/>
    <w:rsid w:val="00700AA2"/>
    <w:rsid w:val="0070388E"/>
    <w:rsid w:val="00711160"/>
    <w:rsid w:val="0071667E"/>
    <w:rsid w:val="00720124"/>
    <w:rsid w:val="00722A59"/>
    <w:rsid w:val="007241FF"/>
    <w:rsid w:val="0072624E"/>
    <w:rsid w:val="00726325"/>
    <w:rsid w:val="007334E8"/>
    <w:rsid w:val="0073574F"/>
    <w:rsid w:val="00735EF5"/>
    <w:rsid w:val="00736DDC"/>
    <w:rsid w:val="007406AB"/>
    <w:rsid w:val="00747B2B"/>
    <w:rsid w:val="007501D9"/>
    <w:rsid w:val="007554FA"/>
    <w:rsid w:val="00755A05"/>
    <w:rsid w:val="007602B7"/>
    <w:rsid w:val="00761A42"/>
    <w:rsid w:val="00766D83"/>
    <w:rsid w:val="00767406"/>
    <w:rsid w:val="007716DE"/>
    <w:rsid w:val="00776693"/>
    <w:rsid w:val="00776FFE"/>
    <w:rsid w:val="00782D54"/>
    <w:rsid w:val="00785F98"/>
    <w:rsid w:val="007940B5"/>
    <w:rsid w:val="007A2CEA"/>
    <w:rsid w:val="007A588A"/>
    <w:rsid w:val="007B0BDC"/>
    <w:rsid w:val="007B7294"/>
    <w:rsid w:val="007B75AE"/>
    <w:rsid w:val="007C0183"/>
    <w:rsid w:val="007C0E3B"/>
    <w:rsid w:val="007C31B6"/>
    <w:rsid w:val="007C3CF7"/>
    <w:rsid w:val="007E108E"/>
    <w:rsid w:val="007E551E"/>
    <w:rsid w:val="007F5072"/>
    <w:rsid w:val="008052C7"/>
    <w:rsid w:val="00810415"/>
    <w:rsid w:val="00820704"/>
    <w:rsid w:val="0082178A"/>
    <w:rsid w:val="00821DEC"/>
    <w:rsid w:val="00823465"/>
    <w:rsid w:val="00831B2E"/>
    <w:rsid w:val="008325D3"/>
    <w:rsid w:val="00834825"/>
    <w:rsid w:val="00834AF2"/>
    <w:rsid w:val="008353C5"/>
    <w:rsid w:val="00840786"/>
    <w:rsid w:val="00847689"/>
    <w:rsid w:val="00853A74"/>
    <w:rsid w:val="0085427C"/>
    <w:rsid w:val="008553D7"/>
    <w:rsid w:val="008676CC"/>
    <w:rsid w:val="00871E51"/>
    <w:rsid w:val="00873623"/>
    <w:rsid w:val="00873818"/>
    <w:rsid w:val="00876749"/>
    <w:rsid w:val="0088062D"/>
    <w:rsid w:val="00883FF8"/>
    <w:rsid w:val="00885286"/>
    <w:rsid w:val="008858B5"/>
    <w:rsid w:val="00885E9D"/>
    <w:rsid w:val="008918E6"/>
    <w:rsid w:val="00893A98"/>
    <w:rsid w:val="00894893"/>
    <w:rsid w:val="008A0B80"/>
    <w:rsid w:val="008A304E"/>
    <w:rsid w:val="008B1549"/>
    <w:rsid w:val="008B4C7F"/>
    <w:rsid w:val="008B52ED"/>
    <w:rsid w:val="008B7457"/>
    <w:rsid w:val="008C1AF3"/>
    <w:rsid w:val="008C1B7C"/>
    <w:rsid w:val="008C433B"/>
    <w:rsid w:val="008C5269"/>
    <w:rsid w:val="008D21F7"/>
    <w:rsid w:val="008D408A"/>
    <w:rsid w:val="008D5375"/>
    <w:rsid w:val="008F0D01"/>
    <w:rsid w:val="008F1C9A"/>
    <w:rsid w:val="008F5150"/>
    <w:rsid w:val="00902812"/>
    <w:rsid w:val="00904EA5"/>
    <w:rsid w:val="009104E9"/>
    <w:rsid w:val="009177D3"/>
    <w:rsid w:val="00921428"/>
    <w:rsid w:val="009265E6"/>
    <w:rsid w:val="009306CB"/>
    <w:rsid w:val="009365E4"/>
    <w:rsid w:val="0094144D"/>
    <w:rsid w:val="009419E6"/>
    <w:rsid w:val="00942A5B"/>
    <w:rsid w:val="00947907"/>
    <w:rsid w:val="00956483"/>
    <w:rsid w:val="00956BAE"/>
    <w:rsid w:val="00960CC8"/>
    <w:rsid w:val="00961E48"/>
    <w:rsid w:val="00963146"/>
    <w:rsid w:val="009650B6"/>
    <w:rsid w:val="009661D1"/>
    <w:rsid w:val="009675A8"/>
    <w:rsid w:val="00967780"/>
    <w:rsid w:val="00971131"/>
    <w:rsid w:val="00971A9F"/>
    <w:rsid w:val="00974F31"/>
    <w:rsid w:val="00981488"/>
    <w:rsid w:val="00986006"/>
    <w:rsid w:val="00986C15"/>
    <w:rsid w:val="00994A7A"/>
    <w:rsid w:val="00994F29"/>
    <w:rsid w:val="0099743A"/>
    <w:rsid w:val="009A1756"/>
    <w:rsid w:val="009A62A7"/>
    <w:rsid w:val="009A7735"/>
    <w:rsid w:val="009B068F"/>
    <w:rsid w:val="009B2092"/>
    <w:rsid w:val="009B765B"/>
    <w:rsid w:val="009C2030"/>
    <w:rsid w:val="009C35F4"/>
    <w:rsid w:val="009C45C7"/>
    <w:rsid w:val="009C4945"/>
    <w:rsid w:val="009D33C4"/>
    <w:rsid w:val="009D4FDE"/>
    <w:rsid w:val="009D7C52"/>
    <w:rsid w:val="009E2CC0"/>
    <w:rsid w:val="009E3BDD"/>
    <w:rsid w:val="009F2D6E"/>
    <w:rsid w:val="009F33EE"/>
    <w:rsid w:val="009F6734"/>
    <w:rsid w:val="009F6EC1"/>
    <w:rsid w:val="00A020F6"/>
    <w:rsid w:val="00A04978"/>
    <w:rsid w:val="00A066B3"/>
    <w:rsid w:val="00A06D03"/>
    <w:rsid w:val="00A10B41"/>
    <w:rsid w:val="00A11261"/>
    <w:rsid w:val="00A145F9"/>
    <w:rsid w:val="00A177DB"/>
    <w:rsid w:val="00A211C2"/>
    <w:rsid w:val="00A22D59"/>
    <w:rsid w:val="00A301D5"/>
    <w:rsid w:val="00A311F3"/>
    <w:rsid w:val="00A35837"/>
    <w:rsid w:val="00A378E3"/>
    <w:rsid w:val="00A40F7A"/>
    <w:rsid w:val="00A411E0"/>
    <w:rsid w:val="00A41ED5"/>
    <w:rsid w:val="00A42966"/>
    <w:rsid w:val="00A44AB8"/>
    <w:rsid w:val="00A4576B"/>
    <w:rsid w:val="00A50612"/>
    <w:rsid w:val="00A51824"/>
    <w:rsid w:val="00A5462F"/>
    <w:rsid w:val="00A55376"/>
    <w:rsid w:val="00A62BE1"/>
    <w:rsid w:val="00A63E0C"/>
    <w:rsid w:val="00A652A9"/>
    <w:rsid w:val="00A656D1"/>
    <w:rsid w:val="00A70781"/>
    <w:rsid w:val="00A80562"/>
    <w:rsid w:val="00A81FB9"/>
    <w:rsid w:val="00A8325D"/>
    <w:rsid w:val="00A84B21"/>
    <w:rsid w:val="00A85A46"/>
    <w:rsid w:val="00A90BB5"/>
    <w:rsid w:val="00A92A66"/>
    <w:rsid w:val="00A93BD9"/>
    <w:rsid w:val="00A96AEA"/>
    <w:rsid w:val="00A97833"/>
    <w:rsid w:val="00AA0520"/>
    <w:rsid w:val="00AA5B11"/>
    <w:rsid w:val="00AA6F63"/>
    <w:rsid w:val="00AB237B"/>
    <w:rsid w:val="00AB4FC2"/>
    <w:rsid w:val="00AB654F"/>
    <w:rsid w:val="00AC1DA7"/>
    <w:rsid w:val="00AC6BF9"/>
    <w:rsid w:val="00AD09C0"/>
    <w:rsid w:val="00AD392A"/>
    <w:rsid w:val="00AD5108"/>
    <w:rsid w:val="00AD6786"/>
    <w:rsid w:val="00AE105B"/>
    <w:rsid w:val="00AE2A3A"/>
    <w:rsid w:val="00AE3509"/>
    <w:rsid w:val="00AE568D"/>
    <w:rsid w:val="00AE6000"/>
    <w:rsid w:val="00AF4726"/>
    <w:rsid w:val="00AF551B"/>
    <w:rsid w:val="00B04BDA"/>
    <w:rsid w:val="00B07664"/>
    <w:rsid w:val="00B10384"/>
    <w:rsid w:val="00B119C4"/>
    <w:rsid w:val="00B1272F"/>
    <w:rsid w:val="00B1644E"/>
    <w:rsid w:val="00B172CC"/>
    <w:rsid w:val="00B3122F"/>
    <w:rsid w:val="00B33AF8"/>
    <w:rsid w:val="00B36DBA"/>
    <w:rsid w:val="00B372FE"/>
    <w:rsid w:val="00B3786E"/>
    <w:rsid w:val="00B42AC0"/>
    <w:rsid w:val="00B46B7F"/>
    <w:rsid w:val="00B505F4"/>
    <w:rsid w:val="00B5230F"/>
    <w:rsid w:val="00B56D9B"/>
    <w:rsid w:val="00B6244B"/>
    <w:rsid w:val="00B679AD"/>
    <w:rsid w:val="00B700F9"/>
    <w:rsid w:val="00B715AB"/>
    <w:rsid w:val="00B75347"/>
    <w:rsid w:val="00B77BFC"/>
    <w:rsid w:val="00B84207"/>
    <w:rsid w:val="00B84BF2"/>
    <w:rsid w:val="00B910C6"/>
    <w:rsid w:val="00B9122B"/>
    <w:rsid w:val="00B93C0A"/>
    <w:rsid w:val="00BA69D9"/>
    <w:rsid w:val="00BA76FC"/>
    <w:rsid w:val="00BB5AEE"/>
    <w:rsid w:val="00BB6777"/>
    <w:rsid w:val="00BB7CF3"/>
    <w:rsid w:val="00BC14AD"/>
    <w:rsid w:val="00BC2709"/>
    <w:rsid w:val="00BC5647"/>
    <w:rsid w:val="00BD210C"/>
    <w:rsid w:val="00BD2603"/>
    <w:rsid w:val="00BD287B"/>
    <w:rsid w:val="00BE28FE"/>
    <w:rsid w:val="00BE46B7"/>
    <w:rsid w:val="00BF248E"/>
    <w:rsid w:val="00BF2AE8"/>
    <w:rsid w:val="00BF4613"/>
    <w:rsid w:val="00C0123C"/>
    <w:rsid w:val="00C04A9F"/>
    <w:rsid w:val="00C05E3E"/>
    <w:rsid w:val="00C0725B"/>
    <w:rsid w:val="00C1609C"/>
    <w:rsid w:val="00C22F82"/>
    <w:rsid w:val="00C31E48"/>
    <w:rsid w:val="00C32C24"/>
    <w:rsid w:val="00C34FF5"/>
    <w:rsid w:val="00C36F67"/>
    <w:rsid w:val="00C37586"/>
    <w:rsid w:val="00C41D66"/>
    <w:rsid w:val="00C429E8"/>
    <w:rsid w:val="00C456FD"/>
    <w:rsid w:val="00C45E9B"/>
    <w:rsid w:val="00C46E11"/>
    <w:rsid w:val="00C53EC9"/>
    <w:rsid w:val="00C55232"/>
    <w:rsid w:val="00C55986"/>
    <w:rsid w:val="00C56165"/>
    <w:rsid w:val="00C572AB"/>
    <w:rsid w:val="00C63785"/>
    <w:rsid w:val="00C658F7"/>
    <w:rsid w:val="00C6623F"/>
    <w:rsid w:val="00C7597B"/>
    <w:rsid w:val="00C84145"/>
    <w:rsid w:val="00C8507E"/>
    <w:rsid w:val="00C90377"/>
    <w:rsid w:val="00C940D6"/>
    <w:rsid w:val="00C94E69"/>
    <w:rsid w:val="00C97561"/>
    <w:rsid w:val="00CA0DD7"/>
    <w:rsid w:val="00CA104A"/>
    <w:rsid w:val="00CA119C"/>
    <w:rsid w:val="00CA184B"/>
    <w:rsid w:val="00CA2C7D"/>
    <w:rsid w:val="00CA333A"/>
    <w:rsid w:val="00CA3758"/>
    <w:rsid w:val="00CA5E5B"/>
    <w:rsid w:val="00CB1565"/>
    <w:rsid w:val="00CB2451"/>
    <w:rsid w:val="00CB26BE"/>
    <w:rsid w:val="00CB2BB9"/>
    <w:rsid w:val="00CB3EBF"/>
    <w:rsid w:val="00CB659A"/>
    <w:rsid w:val="00CB73E6"/>
    <w:rsid w:val="00CC047F"/>
    <w:rsid w:val="00CC2CD4"/>
    <w:rsid w:val="00CC703E"/>
    <w:rsid w:val="00CD63CF"/>
    <w:rsid w:val="00CE085A"/>
    <w:rsid w:val="00CE3814"/>
    <w:rsid w:val="00CE66EB"/>
    <w:rsid w:val="00CE7149"/>
    <w:rsid w:val="00CE756D"/>
    <w:rsid w:val="00CF1E97"/>
    <w:rsid w:val="00CF444C"/>
    <w:rsid w:val="00CF5647"/>
    <w:rsid w:val="00CF596A"/>
    <w:rsid w:val="00CF64E7"/>
    <w:rsid w:val="00CF75A4"/>
    <w:rsid w:val="00D00CBE"/>
    <w:rsid w:val="00D02B92"/>
    <w:rsid w:val="00D10672"/>
    <w:rsid w:val="00D1082E"/>
    <w:rsid w:val="00D110F9"/>
    <w:rsid w:val="00D11A8B"/>
    <w:rsid w:val="00D165FF"/>
    <w:rsid w:val="00D212D9"/>
    <w:rsid w:val="00D318E5"/>
    <w:rsid w:val="00D320FA"/>
    <w:rsid w:val="00D34CC5"/>
    <w:rsid w:val="00D3614D"/>
    <w:rsid w:val="00D37E60"/>
    <w:rsid w:val="00D40FA6"/>
    <w:rsid w:val="00D41829"/>
    <w:rsid w:val="00D43901"/>
    <w:rsid w:val="00D47EB5"/>
    <w:rsid w:val="00D553CB"/>
    <w:rsid w:val="00D60291"/>
    <w:rsid w:val="00D618C2"/>
    <w:rsid w:val="00D633B4"/>
    <w:rsid w:val="00D63BE4"/>
    <w:rsid w:val="00D65DDC"/>
    <w:rsid w:val="00D66982"/>
    <w:rsid w:val="00D71CDB"/>
    <w:rsid w:val="00D747BC"/>
    <w:rsid w:val="00D82A7F"/>
    <w:rsid w:val="00D95346"/>
    <w:rsid w:val="00D96BFC"/>
    <w:rsid w:val="00D9700F"/>
    <w:rsid w:val="00DA1E1B"/>
    <w:rsid w:val="00DA2DEA"/>
    <w:rsid w:val="00DA4575"/>
    <w:rsid w:val="00DA4FE5"/>
    <w:rsid w:val="00DB2C2E"/>
    <w:rsid w:val="00DB51C0"/>
    <w:rsid w:val="00DB58FE"/>
    <w:rsid w:val="00DB74A5"/>
    <w:rsid w:val="00DC0669"/>
    <w:rsid w:val="00DC32F6"/>
    <w:rsid w:val="00DC3FF7"/>
    <w:rsid w:val="00DC4855"/>
    <w:rsid w:val="00DD13B1"/>
    <w:rsid w:val="00DD47D5"/>
    <w:rsid w:val="00DD49B1"/>
    <w:rsid w:val="00DD7474"/>
    <w:rsid w:val="00DE1C3A"/>
    <w:rsid w:val="00DE3D51"/>
    <w:rsid w:val="00DE648B"/>
    <w:rsid w:val="00DE6B58"/>
    <w:rsid w:val="00DF1099"/>
    <w:rsid w:val="00DF19C5"/>
    <w:rsid w:val="00DF20CC"/>
    <w:rsid w:val="00DF38BF"/>
    <w:rsid w:val="00DF6CEE"/>
    <w:rsid w:val="00E0387A"/>
    <w:rsid w:val="00E06644"/>
    <w:rsid w:val="00E1056F"/>
    <w:rsid w:val="00E11F58"/>
    <w:rsid w:val="00E13867"/>
    <w:rsid w:val="00E20033"/>
    <w:rsid w:val="00E32A92"/>
    <w:rsid w:val="00E3303C"/>
    <w:rsid w:val="00E34E1B"/>
    <w:rsid w:val="00E404A7"/>
    <w:rsid w:val="00E412F2"/>
    <w:rsid w:val="00E41C77"/>
    <w:rsid w:val="00E438E4"/>
    <w:rsid w:val="00E54D20"/>
    <w:rsid w:val="00E57D7C"/>
    <w:rsid w:val="00E6153B"/>
    <w:rsid w:val="00E61DDC"/>
    <w:rsid w:val="00E65880"/>
    <w:rsid w:val="00E6669B"/>
    <w:rsid w:val="00E666AB"/>
    <w:rsid w:val="00E72417"/>
    <w:rsid w:val="00E72C8D"/>
    <w:rsid w:val="00E731AE"/>
    <w:rsid w:val="00E73498"/>
    <w:rsid w:val="00E74A79"/>
    <w:rsid w:val="00E80530"/>
    <w:rsid w:val="00E81F6E"/>
    <w:rsid w:val="00E826A3"/>
    <w:rsid w:val="00E83C35"/>
    <w:rsid w:val="00E83DAF"/>
    <w:rsid w:val="00E840B8"/>
    <w:rsid w:val="00E8410C"/>
    <w:rsid w:val="00E91ACF"/>
    <w:rsid w:val="00E94ADB"/>
    <w:rsid w:val="00E95235"/>
    <w:rsid w:val="00EA3E44"/>
    <w:rsid w:val="00EA3F65"/>
    <w:rsid w:val="00EA4456"/>
    <w:rsid w:val="00EB2A46"/>
    <w:rsid w:val="00EB2BBD"/>
    <w:rsid w:val="00EC1306"/>
    <w:rsid w:val="00EC20FB"/>
    <w:rsid w:val="00EC34D2"/>
    <w:rsid w:val="00EC45F6"/>
    <w:rsid w:val="00EC48AA"/>
    <w:rsid w:val="00EC531F"/>
    <w:rsid w:val="00EC5926"/>
    <w:rsid w:val="00EC6E86"/>
    <w:rsid w:val="00ED1ED4"/>
    <w:rsid w:val="00ED48DE"/>
    <w:rsid w:val="00ED5BBA"/>
    <w:rsid w:val="00EE0660"/>
    <w:rsid w:val="00EE1541"/>
    <w:rsid w:val="00EE604A"/>
    <w:rsid w:val="00F11402"/>
    <w:rsid w:val="00F11B9C"/>
    <w:rsid w:val="00F13C03"/>
    <w:rsid w:val="00F15A61"/>
    <w:rsid w:val="00F16C6A"/>
    <w:rsid w:val="00F31C07"/>
    <w:rsid w:val="00F33E5C"/>
    <w:rsid w:val="00F348A4"/>
    <w:rsid w:val="00F34E6C"/>
    <w:rsid w:val="00F35F66"/>
    <w:rsid w:val="00F40E48"/>
    <w:rsid w:val="00F41243"/>
    <w:rsid w:val="00F43E45"/>
    <w:rsid w:val="00F45DA0"/>
    <w:rsid w:val="00F45FE7"/>
    <w:rsid w:val="00F51176"/>
    <w:rsid w:val="00F51BDD"/>
    <w:rsid w:val="00F5643D"/>
    <w:rsid w:val="00F60C93"/>
    <w:rsid w:val="00F646E4"/>
    <w:rsid w:val="00F72BA3"/>
    <w:rsid w:val="00F75EE5"/>
    <w:rsid w:val="00F85A5E"/>
    <w:rsid w:val="00F9477D"/>
    <w:rsid w:val="00F95B97"/>
    <w:rsid w:val="00F96727"/>
    <w:rsid w:val="00FA4321"/>
    <w:rsid w:val="00FB1273"/>
    <w:rsid w:val="00FB2D6E"/>
    <w:rsid w:val="00FB40FF"/>
    <w:rsid w:val="00FB5CD4"/>
    <w:rsid w:val="00FB6A84"/>
    <w:rsid w:val="00FB6C14"/>
    <w:rsid w:val="00FB6CA0"/>
    <w:rsid w:val="00FB7050"/>
    <w:rsid w:val="00FC6319"/>
    <w:rsid w:val="00FC7B52"/>
    <w:rsid w:val="00FD2963"/>
    <w:rsid w:val="00FD2BAB"/>
    <w:rsid w:val="00FD2DB9"/>
    <w:rsid w:val="00FD3722"/>
    <w:rsid w:val="00FD4C36"/>
    <w:rsid w:val="00FE37BA"/>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0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48C5256D764489A36E2EF2EE515FC" ma:contentTypeVersion="10" ma:contentTypeDescription="Create a new document." ma:contentTypeScope="" ma:versionID="ac40cfc2d75583690b1eb201657090bd">
  <xsd:schema xmlns:xsd="http://www.w3.org/2001/XMLSchema" xmlns:xs="http://www.w3.org/2001/XMLSchema" xmlns:p="http://schemas.microsoft.com/office/2006/metadata/properties" xmlns:ns1="http://schemas.microsoft.com/sharepoint/v3" xmlns:ns3="2bc16b7b-1a08-4cc5-bc4d-9b2736c22b12" xmlns:ns4="25124538-fa01-470f-a35a-d94db76b0fab" targetNamespace="http://schemas.microsoft.com/office/2006/metadata/properties" ma:root="true" ma:fieldsID="70ad00241749039f0ff76e3bbc0b508e" ns1:_="" ns3:_="" ns4:_="">
    <xsd:import namespace="http://schemas.microsoft.com/sharepoint/v3"/>
    <xsd:import namespace="2bc16b7b-1a08-4cc5-bc4d-9b2736c22b12"/>
    <xsd:import namespace="25124538-fa01-470f-a35a-d94db76b0f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16b7b-1a08-4cc5-bc4d-9b2736c22b1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24538-fa01-470f-a35a-d94db76b0fa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bc16b7b-1a08-4cc5-bc4d-9b2736c22b12"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5EEB5-72BE-430E-A527-6DFECD2D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16b7b-1a08-4cc5-bc4d-9b2736c22b12"/>
    <ds:schemaRef ds:uri="25124538-fa01-470f-a35a-d94db76b0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66B9A-A212-4015-99AD-E9D0A387AFBA}">
  <ds:schemaRefs>
    <ds:schemaRef ds:uri="http://schemas.microsoft.com/sharepoint/v3/contenttype/forms"/>
  </ds:schemaRefs>
</ds:datastoreItem>
</file>

<file path=customXml/itemProps3.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 ds:uri="http://schemas.microsoft.com/sharepoint/v3"/>
    <ds:schemaRef ds:uri="2bc16b7b-1a08-4cc5-bc4d-9b2736c22b12"/>
  </ds:schemaRefs>
</ds:datastoreItem>
</file>

<file path=customXml/itemProps4.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2024-09-27T22:33:00Z</dcterms:created>
  <dcterms:modified xsi:type="dcterms:W3CDTF">2024-09-27T22:33:00Z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0x010100FF248C5256D764489A36E2EF2EE515FC</vt:lpwstr>
  </property>
</Properties>
</file>