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16A2" w:rsidRPr="003116A2" w:rsidP="003116A2" w14:paraId="34879506" w14:textId="77777777">
      <w:pPr>
        <w:jc w:val="center"/>
        <w:rPr>
          <w:rFonts w:ascii="Times New Roman" w:hAnsi="Times New Roman"/>
          <w:b/>
          <w:bCs/>
        </w:rPr>
      </w:pPr>
      <w:r w:rsidRPr="003116A2">
        <w:rPr>
          <w:rFonts w:ascii="Times New Roman" w:hAnsi="Times New Roman"/>
          <w:b/>
          <w:bCs/>
        </w:rPr>
        <w:t xml:space="preserve">SUPPORTING STATEMENT FOR </w:t>
      </w:r>
    </w:p>
    <w:p w:rsidR="001E5D14" w:rsidP="00677EED" w14:paraId="74DAA7FB" w14:textId="77777777">
      <w:pPr>
        <w:jc w:val="center"/>
        <w:rPr>
          <w:rFonts w:ascii="Times New Roman" w:hAnsi="Times New Roman"/>
          <w:b/>
          <w:bCs/>
        </w:rPr>
      </w:pPr>
      <w:r w:rsidRPr="003116A2">
        <w:rPr>
          <w:rFonts w:ascii="Times New Roman" w:hAnsi="Times New Roman"/>
          <w:b/>
          <w:bCs/>
        </w:rPr>
        <w:t>USCIS</w:t>
      </w:r>
      <w:r w:rsidR="002C6AE2">
        <w:rPr>
          <w:rFonts w:ascii="Times New Roman" w:hAnsi="Times New Roman"/>
          <w:b/>
          <w:bCs/>
        </w:rPr>
        <w:t xml:space="preserve"> </w:t>
      </w:r>
      <w:r w:rsidR="00677EED">
        <w:rPr>
          <w:rFonts w:ascii="Times New Roman" w:hAnsi="Times New Roman"/>
          <w:b/>
          <w:bCs/>
        </w:rPr>
        <w:t>Online Account Access</w:t>
      </w:r>
      <w:r w:rsidR="00B90B55">
        <w:rPr>
          <w:rFonts w:ascii="Times New Roman" w:hAnsi="Times New Roman"/>
          <w:b/>
          <w:bCs/>
        </w:rPr>
        <w:t xml:space="preserve"> </w:t>
      </w:r>
    </w:p>
    <w:p w:rsidR="003116A2" w:rsidRPr="003116A2" w:rsidP="00677EED" w14:paraId="7BB971B8" w14:textId="1392768D">
      <w:pPr>
        <w:jc w:val="center"/>
        <w:rPr>
          <w:rFonts w:ascii="Times New Roman" w:hAnsi="Times New Roman"/>
          <w:b/>
          <w:bCs/>
        </w:rPr>
      </w:pPr>
      <w:r w:rsidRPr="003116A2">
        <w:rPr>
          <w:rFonts w:ascii="Times New Roman" w:hAnsi="Times New Roman"/>
          <w:b/>
          <w:bCs/>
        </w:rPr>
        <w:t>OMB Control No.: 1615-0122</w:t>
      </w:r>
    </w:p>
    <w:p w:rsidR="003116A2" w:rsidRPr="003116A2" w:rsidP="003116A2" w14:paraId="144C9389" w14:textId="07CF337C">
      <w:pPr>
        <w:jc w:val="center"/>
        <w:rPr>
          <w:rFonts w:ascii="Times New Roman" w:hAnsi="Times New Roman"/>
          <w:b/>
          <w:bCs/>
        </w:rPr>
      </w:pPr>
      <w:r w:rsidRPr="003116A2">
        <w:rPr>
          <w:rFonts w:ascii="Times New Roman" w:hAnsi="Times New Roman"/>
          <w:b/>
          <w:bCs/>
        </w:rPr>
        <w:t xml:space="preserve">COLLECTION INSTRUMENT(S): </w:t>
      </w:r>
      <w:r w:rsidRPr="000D55D9" w:rsidR="000D55D9">
        <w:rPr>
          <w:rFonts w:ascii="Times New Roman" w:hAnsi="Times New Roman"/>
          <w:b/>
          <w:bCs/>
        </w:rPr>
        <w:t>G-1614</w:t>
      </w:r>
    </w:p>
    <w:p w:rsidR="002A4A73" w14:paraId="74CFA6C7" w14:textId="7C0A67B3">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3116A2" w:rsidP="003116A2" w14:paraId="3BA75DBE" w14:textId="6C06E50A">
      <w:pPr>
        <w:widowControl/>
        <w:tabs>
          <w:tab w:val="left" w:pos="0"/>
          <w:tab w:val="center" w:pos="4680"/>
          <w:tab w:val="left" w:pos="5040"/>
          <w:tab w:val="left" w:pos="5760"/>
          <w:tab w:val="left" w:pos="6480"/>
          <w:tab w:val="left" w:pos="7200"/>
          <w:tab w:val="left" w:pos="7920"/>
          <w:tab w:val="left" w:pos="8640"/>
          <w:tab w:val="left" w:pos="9360"/>
        </w:tabs>
        <w:autoSpaceDE/>
        <w:adjustRightInd/>
        <w:ind w:left="720"/>
        <w:rPr>
          <w:rFonts w:ascii="Times New Roman" w:hAnsi="Times New Roman"/>
          <w:iCs/>
          <w:szCs w:val="20"/>
        </w:rPr>
      </w:pPr>
      <w:r>
        <w:rPr>
          <w:rFonts w:ascii="Times New Roman" w:hAnsi="Times New Roman"/>
          <w:szCs w:val="20"/>
        </w:rPr>
        <w:t>The Government Paperwork Elimination Act (GPEA), Public Law 105-277, 44 U.S.C. 3504 (1998) requires federal agencies to use and accept electronic signatures, where practicable, when conducting official business with the public</w:t>
      </w:r>
      <w:r w:rsidR="00F401EC">
        <w:rPr>
          <w:rFonts w:ascii="Times New Roman" w:hAnsi="Times New Roman"/>
          <w:szCs w:val="20"/>
        </w:rPr>
        <w:t xml:space="preserve">. </w:t>
      </w:r>
      <w:r>
        <w:rPr>
          <w:rFonts w:ascii="Times New Roman" w:hAnsi="Times New Roman"/>
          <w:szCs w:val="20"/>
        </w:rPr>
        <w:t xml:space="preserve">In addition, Congress passed the E-Government Act of 2002, </w:t>
      </w:r>
      <w:hyperlink r:id="rId8" w:history="1">
        <w:r>
          <w:rPr>
            <w:rStyle w:val="Hyperlink"/>
            <w:rFonts w:ascii="Times New Roman" w:hAnsi="Times New Roman"/>
            <w:szCs w:val="20"/>
          </w:rPr>
          <w:t>Public Law 107-347</w:t>
        </w:r>
      </w:hyperlink>
      <w:r>
        <w:rPr>
          <w:rFonts w:ascii="Times New Roman" w:hAnsi="Times New Roman"/>
          <w:szCs w:val="20"/>
        </w:rPr>
        <w:t xml:space="preserve">, 44 U.S.C. §§ 101, 3501, 3541, and 3601 notes (2002), to </w:t>
      </w:r>
      <w:r>
        <w:rPr>
          <w:rFonts w:ascii="Times New Roman" w:hAnsi="Times New Roman"/>
          <w:iCs/>
          <w:szCs w:val="20"/>
        </w:rPr>
        <w:t>promote the use of the Internet and emerging technologies within and across Government agencies, provide citizen-centric Government information and services, reduce costs and burdens for businesses and other Government entities, promote access to high quality Government information and services across multiple channels, and transform agency operations by utilizing, where appropriate, best practices from public and private sector organizations.</w:t>
      </w:r>
    </w:p>
    <w:p w:rsidR="003116A2" w:rsidP="003116A2" w14:paraId="1EC424B5" w14:textId="77777777">
      <w:pPr>
        <w:widowControl/>
        <w:tabs>
          <w:tab w:val="left" w:pos="0"/>
          <w:tab w:val="center" w:pos="4680"/>
          <w:tab w:val="left" w:pos="5040"/>
          <w:tab w:val="left" w:pos="5760"/>
          <w:tab w:val="left" w:pos="6480"/>
          <w:tab w:val="left" w:pos="7200"/>
          <w:tab w:val="left" w:pos="7920"/>
          <w:tab w:val="left" w:pos="8640"/>
          <w:tab w:val="left" w:pos="9360"/>
        </w:tabs>
        <w:autoSpaceDE/>
        <w:adjustRightInd/>
        <w:ind w:left="720"/>
        <w:rPr>
          <w:rFonts w:ascii="Times New Roman" w:hAnsi="Times New Roman"/>
          <w:szCs w:val="20"/>
        </w:rPr>
      </w:pPr>
      <w:r>
        <w:rPr>
          <w:rFonts w:ascii="Times New Roman" w:hAnsi="Times New Roman"/>
          <w:szCs w:val="20"/>
        </w:rPr>
        <w:t xml:space="preserve">  </w:t>
      </w:r>
    </w:p>
    <w:p w:rsidR="003116A2" w:rsidP="003116A2" w14:paraId="65C0EFB2" w14:textId="3C3C8FFD">
      <w:pPr>
        <w:tabs>
          <w:tab w:val="left" w:pos="-1440"/>
        </w:tabs>
        <w:ind w:left="720"/>
        <w:rPr>
          <w:rFonts w:ascii="Times New Roman" w:hAnsi="Times New Roman"/>
        </w:rPr>
      </w:pPr>
      <w:r>
        <w:rPr>
          <w:rFonts w:ascii="Times New Roman" w:hAnsi="Times New Roman"/>
          <w:iCs/>
        </w:rPr>
        <w:t>To help meet th</w:t>
      </w:r>
      <w:r w:rsidR="00E9741A">
        <w:rPr>
          <w:rFonts w:ascii="Times New Roman" w:hAnsi="Times New Roman"/>
          <w:iCs/>
        </w:rPr>
        <w:t>e requirements of the GPEA and the E-Government Act</w:t>
      </w:r>
      <w:r>
        <w:rPr>
          <w:rFonts w:ascii="Times New Roman" w:hAnsi="Times New Roman"/>
          <w:iCs/>
        </w:rPr>
        <w:t xml:space="preserve">, United States Citizenship and Immigration Services (USCIS) </w:t>
      </w:r>
      <w:r w:rsidR="00E9741A">
        <w:rPr>
          <w:rFonts w:ascii="Times New Roman" w:hAnsi="Times New Roman"/>
          <w:iCs/>
        </w:rPr>
        <w:t xml:space="preserve">has </w:t>
      </w:r>
      <w:r w:rsidR="00114664">
        <w:rPr>
          <w:rFonts w:ascii="Times New Roman" w:hAnsi="Times New Roman"/>
          <w:iCs/>
        </w:rPr>
        <w:t xml:space="preserve">developed certain online </w:t>
      </w:r>
      <w:r w:rsidR="00E9741A">
        <w:rPr>
          <w:rFonts w:ascii="Times New Roman" w:hAnsi="Times New Roman"/>
          <w:iCs/>
        </w:rPr>
        <w:t xml:space="preserve">systems </w:t>
      </w:r>
      <w:r w:rsidR="00D809CF">
        <w:rPr>
          <w:rFonts w:ascii="Times New Roman" w:hAnsi="Times New Roman"/>
          <w:iCs/>
        </w:rPr>
        <w:t>that enable members of the public to interact with the agency electronically.</w:t>
      </w:r>
      <w:r>
        <w:rPr>
          <w:rFonts w:ascii="Times New Roman" w:hAnsi="Times New Roman"/>
        </w:rPr>
        <w:t xml:space="preserve"> </w:t>
      </w:r>
      <w:r w:rsidR="00D809CF">
        <w:rPr>
          <w:rFonts w:ascii="Times New Roman" w:hAnsi="Times New Roman"/>
        </w:rPr>
        <w:t xml:space="preserve">In order to access these systems, members of the public must create </w:t>
      </w:r>
      <w:r w:rsidR="00D1445A">
        <w:rPr>
          <w:rFonts w:ascii="Times New Roman" w:hAnsi="Times New Roman"/>
        </w:rPr>
        <w:t xml:space="preserve">and </w:t>
      </w:r>
      <w:r w:rsidR="00114664">
        <w:rPr>
          <w:rFonts w:ascii="Times New Roman" w:hAnsi="Times New Roman"/>
        </w:rPr>
        <w:t xml:space="preserve">log into </w:t>
      </w:r>
      <w:r w:rsidR="00D809CF">
        <w:rPr>
          <w:rFonts w:ascii="Times New Roman" w:hAnsi="Times New Roman"/>
        </w:rPr>
        <w:t xml:space="preserve">a USCIS Online Account </w:t>
      </w:r>
      <w:r w:rsidR="00114664">
        <w:rPr>
          <w:rFonts w:ascii="Times New Roman" w:hAnsi="Times New Roman"/>
        </w:rPr>
        <w:t>using</w:t>
      </w:r>
      <w:r w:rsidR="00D809CF">
        <w:rPr>
          <w:rFonts w:ascii="Times New Roman" w:hAnsi="Times New Roman"/>
        </w:rPr>
        <w:t xml:space="preserve"> t</w:t>
      </w:r>
      <w:r>
        <w:rPr>
          <w:rFonts w:ascii="Times New Roman" w:hAnsi="Times New Roman"/>
        </w:rPr>
        <w:t xml:space="preserve">he </w:t>
      </w:r>
      <w:r w:rsidR="00174E7E">
        <w:rPr>
          <w:rFonts w:ascii="Times New Roman" w:hAnsi="Times New Roman"/>
        </w:rPr>
        <w:t>myUSCIS</w:t>
      </w:r>
      <w:r w:rsidR="00E9741A">
        <w:rPr>
          <w:rFonts w:ascii="Times New Roman" w:hAnsi="Times New Roman"/>
        </w:rPr>
        <w:t xml:space="preserve"> portal</w:t>
      </w:r>
      <w:r w:rsidR="00AA0B3F">
        <w:rPr>
          <w:rFonts w:ascii="Times New Roman" w:hAnsi="Times New Roman"/>
        </w:rPr>
        <w:t>, previously referred to as the Identity, Credential, and Access Management (ICAM) portal</w:t>
      </w:r>
      <w:r w:rsidR="00F401EC">
        <w:rPr>
          <w:rFonts w:ascii="Times New Roman" w:hAnsi="Times New Roman"/>
        </w:rPr>
        <w:t xml:space="preserve">. </w:t>
      </w:r>
      <w:r>
        <w:rPr>
          <w:rFonts w:ascii="Times New Roman" w:hAnsi="Times New Roman"/>
        </w:rPr>
        <w:t>Various sections of the Immigration and Nationality Act (INA) provide the authority for USCIS to conduct collections of information, and also grant the</w:t>
      </w:r>
      <w:r w:rsidR="00114664">
        <w:rPr>
          <w:rFonts w:ascii="Times New Roman" w:hAnsi="Times New Roman"/>
        </w:rPr>
        <w:t xml:space="preserve"> agency</w:t>
      </w:r>
      <w:r>
        <w:rPr>
          <w:rFonts w:ascii="Times New Roman" w:hAnsi="Times New Roman"/>
        </w:rPr>
        <w:t xml:space="preserve"> </w:t>
      </w:r>
      <w:r w:rsidR="00E9741A">
        <w:rPr>
          <w:rFonts w:ascii="Times New Roman" w:hAnsi="Times New Roman"/>
        </w:rPr>
        <w:t xml:space="preserve">authority </w:t>
      </w:r>
      <w:r>
        <w:rPr>
          <w:rFonts w:ascii="Times New Roman" w:hAnsi="Times New Roman"/>
        </w:rPr>
        <w:t xml:space="preserve">to collect the information necessary to establish </w:t>
      </w:r>
      <w:r w:rsidR="00D1445A">
        <w:rPr>
          <w:rFonts w:ascii="Times New Roman" w:hAnsi="Times New Roman"/>
        </w:rPr>
        <w:t xml:space="preserve">and </w:t>
      </w:r>
      <w:r w:rsidR="00114664">
        <w:rPr>
          <w:rFonts w:ascii="Times New Roman" w:hAnsi="Times New Roman"/>
        </w:rPr>
        <w:t xml:space="preserve">log into </w:t>
      </w:r>
      <w:r w:rsidR="00E9741A">
        <w:rPr>
          <w:rFonts w:ascii="Times New Roman" w:hAnsi="Times New Roman"/>
        </w:rPr>
        <w:t>a USCIS Online A</w:t>
      </w:r>
      <w:r>
        <w:rPr>
          <w:rFonts w:ascii="Times New Roman" w:hAnsi="Times New Roman"/>
        </w:rPr>
        <w:t>ccount.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3116A2" w:rsidP="003116A2" w14:paraId="61BFA2F7" w14:textId="5BBC21C9">
      <w:pPr>
        <w:ind w:left="720"/>
        <w:rPr>
          <w:rFonts w:ascii="Times New Roman" w:hAnsi="Times New Roman"/>
        </w:rPr>
      </w:pPr>
      <w:bookmarkStart w:id="0" w:name="_Hlk108434226"/>
      <w:r>
        <w:rPr>
          <w:rFonts w:ascii="Times New Roman" w:hAnsi="Times New Roman"/>
        </w:rPr>
        <w:t>In order to create a</w:t>
      </w:r>
      <w:r w:rsidR="00701EB2">
        <w:rPr>
          <w:rFonts w:ascii="Times New Roman" w:hAnsi="Times New Roman"/>
        </w:rPr>
        <w:t xml:space="preserve"> new</w:t>
      </w:r>
      <w:r>
        <w:rPr>
          <w:rFonts w:ascii="Times New Roman" w:hAnsi="Times New Roman"/>
        </w:rPr>
        <w:t xml:space="preserve"> USCIS Online Acco</w:t>
      </w:r>
      <w:r w:rsidR="00677EED">
        <w:rPr>
          <w:rFonts w:ascii="Times New Roman" w:hAnsi="Times New Roman"/>
        </w:rPr>
        <w:t>unt</w:t>
      </w:r>
      <w:r>
        <w:rPr>
          <w:rFonts w:ascii="Times New Roman" w:hAnsi="Times New Roman"/>
        </w:rPr>
        <w:t>,</w:t>
      </w:r>
      <w:r w:rsidR="003F352E">
        <w:rPr>
          <w:rFonts w:ascii="Times New Roman" w:hAnsi="Times New Roman"/>
        </w:rPr>
        <w:t xml:space="preserve"> Form </w:t>
      </w:r>
      <w:r w:rsidRPr="003F352E" w:rsidR="003F352E">
        <w:rPr>
          <w:rFonts w:ascii="Times New Roman" w:hAnsi="Times New Roman"/>
        </w:rPr>
        <w:t>G-1614</w:t>
      </w:r>
      <w:r w:rsidR="00E373F7">
        <w:rPr>
          <w:rFonts w:ascii="Times New Roman" w:hAnsi="Times New Roman"/>
        </w:rPr>
        <w:t xml:space="preserve"> (formerly OM</w:t>
      </w:r>
      <w:r w:rsidR="00B061E1">
        <w:rPr>
          <w:rFonts w:ascii="Times New Roman" w:hAnsi="Times New Roman"/>
        </w:rPr>
        <w:t>B</w:t>
      </w:r>
      <w:r w:rsidR="00E373F7">
        <w:rPr>
          <w:rFonts w:ascii="Times New Roman" w:hAnsi="Times New Roman"/>
        </w:rPr>
        <w:t xml:space="preserve">-62), </w:t>
      </w:r>
      <w:r>
        <w:rPr>
          <w:rFonts w:ascii="Times New Roman" w:hAnsi="Times New Roman"/>
        </w:rPr>
        <w:t>members of the public (i.e. users) must submit a valid email address; create a</w:t>
      </w:r>
      <w:r w:rsidR="00D8096A">
        <w:rPr>
          <w:rFonts w:ascii="Times New Roman" w:hAnsi="Times New Roman"/>
        </w:rPr>
        <w:t>n account</w:t>
      </w:r>
      <w:r>
        <w:rPr>
          <w:rFonts w:ascii="Times New Roman" w:hAnsi="Times New Roman"/>
        </w:rPr>
        <w:t xml:space="preserve"> password; select their </w:t>
      </w:r>
      <w:r w:rsidR="00701EB2">
        <w:rPr>
          <w:rFonts w:ascii="Times New Roman" w:hAnsi="Times New Roman"/>
        </w:rPr>
        <w:t xml:space="preserve">preferred method </w:t>
      </w:r>
      <w:r>
        <w:rPr>
          <w:rFonts w:ascii="Times New Roman" w:hAnsi="Times New Roman"/>
        </w:rPr>
        <w:t xml:space="preserve">for </w:t>
      </w:r>
      <w:r w:rsidR="00D8096A">
        <w:rPr>
          <w:rFonts w:ascii="Times New Roman" w:hAnsi="Times New Roman"/>
        </w:rPr>
        <w:t>completing</w:t>
      </w:r>
      <w:r w:rsidR="0067606B">
        <w:rPr>
          <w:rFonts w:ascii="Times New Roman" w:hAnsi="Times New Roman"/>
        </w:rPr>
        <w:t xml:space="preserve"> a</w:t>
      </w:r>
      <w:r w:rsidR="00981139">
        <w:rPr>
          <w:rFonts w:ascii="Times New Roman" w:hAnsi="Times New Roman"/>
        </w:rPr>
        <w:t xml:space="preserve"> required</w:t>
      </w:r>
      <w:r w:rsidR="0067606B">
        <w:rPr>
          <w:rFonts w:ascii="Times New Roman" w:hAnsi="Times New Roman"/>
        </w:rPr>
        <w:t xml:space="preserve"> two-step verification </w:t>
      </w:r>
      <w:r w:rsidR="00701EB2">
        <w:rPr>
          <w:rFonts w:ascii="Times New Roman" w:hAnsi="Times New Roman"/>
        </w:rPr>
        <w:t>process</w:t>
      </w:r>
      <w:r w:rsidR="00D8096A">
        <w:rPr>
          <w:rFonts w:ascii="Times New Roman" w:hAnsi="Times New Roman"/>
        </w:rPr>
        <w:t xml:space="preserve">, either use of an </w:t>
      </w:r>
      <w:r w:rsidR="0067606B">
        <w:rPr>
          <w:rFonts w:ascii="Times New Roman" w:hAnsi="Times New Roman"/>
        </w:rPr>
        <w:t>authentication app</w:t>
      </w:r>
      <w:r w:rsidR="00D8096A">
        <w:rPr>
          <w:rFonts w:ascii="Times New Roman" w:hAnsi="Times New Roman"/>
        </w:rPr>
        <w:t>lication</w:t>
      </w:r>
      <w:r w:rsidR="0067606B">
        <w:rPr>
          <w:rFonts w:ascii="Times New Roman" w:hAnsi="Times New Roman"/>
        </w:rPr>
        <w:t xml:space="preserve">, </w:t>
      </w:r>
      <w:r w:rsidR="00D8096A">
        <w:rPr>
          <w:rFonts w:ascii="Times New Roman" w:hAnsi="Times New Roman"/>
        </w:rPr>
        <w:t xml:space="preserve">receipt of a </w:t>
      </w:r>
      <w:r w:rsidR="0067606B">
        <w:rPr>
          <w:rFonts w:ascii="Times New Roman" w:hAnsi="Times New Roman"/>
        </w:rPr>
        <w:t xml:space="preserve">text message, or </w:t>
      </w:r>
      <w:r w:rsidR="00D8096A">
        <w:rPr>
          <w:rFonts w:ascii="Times New Roman" w:hAnsi="Times New Roman"/>
        </w:rPr>
        <w:t xml:space="preserve">receipt of an </w:t>
      </w:r>
      <w:r w:rsidR="0067606B">
        <w:rPr>
          <w:rFonts w:ascii="Times New Roman" w:hAnsi="Times New Roman"/>
        </w:rPr>
        <w:t>email</w:t>
      </w:r>
      <w:r w:rsidR="00D8096A">
        <w:rPr>
          <w:rFonts w:ascii="Times New Roman" w:hAnsi="Times New Roman"/>
        </w:rPr>
        <w:t xml:space="preserve"> message. Users must also</w:t>
      </w:r>
      <w:r>
        <w:rPr>
          <w:rFonts w:ascii="Times New Roman" w:hAnsi="Times New Roman"/>
        </w:rPr>
        <w:t xml:space="preserve"> provide responses to five password reset questions of their choice. </w:t>
      </w:r>
      <w:r w:rsidR="00D8096A">
        <w:rPr>
          <w:rFonts w:ascii="Times New Roman" w:hAnsi="Times New Roman"/>
        </w:rPr>
        <w:t xml:space="preserve">Only one </w:t>
      </w:r>
      <w:r w:rsidR="00F17A4A">
        <w:rPr>
          <w:rFonts w:ascii="Times New Roman" w:hAnsi="Times New Roman"/>
        </w:rPr>
        <w:t xml:space="preserve">email address may be </w:t>
      </w:r>
      <w:r w:rsidR="00D8096A">
        <w:rPr>
          <w:rFonts w:ascii="Times New Roman" w:hAnsi="Times New Roman"/>
        </w:rPr>
        <w:t xml:space="preserve">used to create an online account. </w:t>
      </w:r>
      <w:r w:rsidR="00981139">
        <w:rPr>
          <w:rFonts w:ascii="Times New Roman" w:hAnsi="Times New Roman"/>
        </w:rPr>
        <w:t>U</w:t>
      </w:r>
      <w:r w:rsidR="00F17A4A">
        <w:rPr>
          <w:rFonts w:ascii="Times New Roman" w:hAnsi="Times New Roman"/>
        </w:rPr>
        <w:t>sers may not establish multiple accounts using the same email address</w:t>
      </w:r>
      <w:r w:rsidR="00981139">
        <w:rPr>
          <w:rFonts w:ascii="Times New Roman" w:hAnsi="Times New Roman"/>
        </w:rPr>
        <w:t xml:space="preserve">; the one email address </w:t>
      </w:r>
      <w:r w:rsidR="00981139">
        <w:rPr>
          <w:rFonts w:ascii="Times New Roman" w:hAnsi="Times New Roman"/>
        </w:rPr>
        <w:t xml:space="preserve">associated with any online account must be </w:t>
      </w:r>
      <w:r w:rsidR="007F45F5">
        <w:rPr>
          <w:rFonts w:ascii="Times New Roman" w:hAnsi="Times New Roman"/>
        </w:rPr>
        <w:t>unique</w:t>
      </w:r>
      <w:r w:rsidR="00F17A4A">
        <w:rPr>
          <w:rFonts w:ascii="Times New Roman" w:hAnsi="Times New Roman"/>
        </w:rPr>
        <w:t xml:space="preserve">. </w:t>
      </w:r>
      <w:r>
        <w:rPr>
          <w:rFonts w:ascii="Times New Roman" w:hAnsi="Times New Roman"/>
        </w:rPr>
        <w:t xml:space="preserve">A user is required to complete </w:t>
      </w:r>
      <w:r w:rsidR="00677EED">
        <w:rPr>
          <w:rFonts w:ascii="Times New Roman" w:hAnsi="Times New Roman"/>
        </w:rPr>
        <w:t>a</w:t>
      </w:r>
      <w:r>
        <w:rPr>
          <w:rFonts w:ascii="Times New Roman" w:hAnsi="Times New Roman"/>
        </w:rPr>
        <w:t xml:space="preserve"> two-step verification </w:t>
      </w:r>
      <w:r w:rsidR="00701EB2">
        <w:rPr>
          <w:rFonts w:ascii="Times New Roman" w:hAnsi="Times New Roman"/>
        </w:rPr>
        <w:t>process</w:t>
      </w:r>
      <w:r>
        <w:rPr>
          <w:rFonts w:ascii="Times New Roman" w:hAnsi="Times New Roman"/>
        </w:rPr>
        <w:t xml:space="preserve"> upon creation of a new account and during each subsequent log</w:t>
      </w:r>
      <w:r w:rsidR="00701EB2">
        <w:rPr>
          <w:rFonts w:ascii="Times New Roman" w:hAnsi="Times New Roman"/>
        </w:rPr>
        <w:t>-</w:t>
      </w:r>
      <w:r>
        <w:rPr>
          <w:rFonts w:ascii="Times New Roman" w:hAnsi="Times New Roman"/>
        </w:rPr>
        <w:t xml:space="preserve">in. </w:t>
      </w:r>
      <w:r w:rsidR="00B7457C">
        <w:rPr>
          <w:rFonts w:ascii="Times New Roman" w:hAnsi="Times New Roman"/>
        </w:rPr>
        <w:t xml:space="preserve">USCIS makes use of the information received during the account creation process to set up the user’s profile. </w:t>
      </w:r>
      <w:r w:rsidR="0067606B">
        <w:rPr>
          <w:rFonts w:ascii="Times New Roman" w:hAnsi="Times New Roman"/>
        </w:rPr>
        <w:t>Once the account is established</w:t>
      </w:r>
      <w:r w:rsidR="00D1445A">
        <w:rPr>
          <w:rFonts w:ascii="Times New Roman" w:hAnsi="Times New Roman"/>
        </w:rPr>
        <w:t xml:space="preserve"> and</w:t>
      </w:r>
      <w:r w:rsidR="00BC47F2">
        <w:rPr>
          <w:rFonts w:ascii="Times New Roman" w:hAnsi="Times New Roman"/>
        </w:rPr>
        <w:t xml:space="preserve"> </w:t>
      </w:r>
      <w:r w:rsidR="0067606B">
        <w:rPr>
          <w:rFonts w:ascii="Times New Roman" w:hAnsi="Times New Roman"/>
        </w:rPr>
        <w:t>the user has logged in, the user can edit</w:t>
      </w:r>
      <w:r w:rsidR="00D1445A">
        <w:rPr>
          <w:rFonts w:ascii="Times New Roman" w:hAnsi="Times New Roman"/>
        </w:rPr>
        <w:t xml:space="preserve"> or add</w:t>
      </w:r>
      <w:r w:rsidR="0067606B">
        <w:rPr>
          <w:rFonts w:ascii="Times New Roman" w:hAnsi="Times New Roman"/>
        </w:rPr>
        <w:t xml:space="preserve"> </w:t>
      </w:r>
      <w:r w:rsidR="00F17A4A">
        <w:rPr>
          <w:rFonts w:ascii="Times New Roman" w:hAnsi="Times New Roman"/>
        </w:rPr>
        <w:t>certain</w:t>
      </w:r>
      <w:r w:rsidR="00114664">
        <w:rPr>
          <w:rFonts w:ascii="Times New Roman" w:hAnsi="Times New Roman"/>
        </w:rPr>
        <w:t xml:space="preserve"> </w:t>
      </w:r>
      <w:r w:rsidR="0067606B">
        <w:rPr>
          <w:rFonts w:ascii="Times New Roman" w:hAnsi="Times New Roman"/>
        </w:rPr>
        <w:t xml:space="preserve">profile information or select </w:t>
      </w:r>
      <w:r w:rsidR="00114664">
        <w:rPr>
          <w:rFonts w:ascii="Times New Roman" w:hAnsi="Times New Roman"/>
        </w:rPr>
        <w:t xml:space="preserve">a </w:t>
      </w:r>
      <w:r w:rsidR="0067606B">
        <w:rPr>
          <w:rFonts w:ascii="Times New Roman" w:hAnsi="Times New Roman"/>
        </w:rPr>
        <w:t xml:space="preserve">USCIS </w:t>
      </w:r>
      <w:r w:rsidR="00114664">
        <w:rPr>
          <w:rFonts w:ascii="Times New Roman" w:hAnsi="Times New Roman"/>
        </w:rPr>
        <w:t xml:space="preserve">online </w:t>
      </w:r>
      <w:r w:rsidR="0067606B">
        <w:rPr>
          <w:rFonts w:ascii="Times New Roman" w:hAnsi="Times New Roman"/>
        </w:rPr>
        <w:t xml:space="preserve">system </w:t>
      </w:r>
      <w:r w:rsidR="00114664">
        <w:rPr>
          <w:rFonts w:ascii="Times New Roman" w:hAnsi="Times New Roman"/>
        </w:rPr>
        <w:t xml:space="preserve">with which </w:t>
      </w:r>
      <w:r w:rsidR="0067606B">
        <w:rPr>
          <w:rFonts w:ascii="Times New Roman" w:hAnsi="Times New Roman"/>
        </w:rPr>
        <w:t xml:space="preserve">to interact. </w:t>
      </w:r>
    </w:p>
    <w:p w:rsidR="0067606B" w:rsidP="003116A2" w14:paraId="29C4DA63" w14:textId="7FFAE28D">
      <w:pPr>
        <w:ind w:left="720"/>
        <w:rPr>
          <w:rFonts w:ascii="Times New Roman" w:hAnsi="Times New Roman"/>
        </w:rPr>
      </w:pPr>
    </w:p>
    <w:p w:rsidR="009E5E5E" w:rsidP="009E5E5E" w14:paraId="3746DC99" w14:textId="77777777">
      <w:pPr>
        <w:ind w:left="720"/>
        <w:rPr>
          <w:rFonts w:ascii="Times New Roman" w:hAnsi="Times New Roman"/>
        </w:rPr>
      </w:pPr>
      <w:r>
        <w:rPr>
          <w:rFonts w:ascii="Times New Roman" w:hAnsi="Times New Roman"/>
        </w:rPr>
        <w:t>The myUSCIS system’s registrant account is being enhanced to allow companies to set up company administrator accounts with company and personal profiles and to file Form I-129 petitions in addition to H-1B Registrations. The company account will also have functionality that allows a company administrator to invite company members to join a company group and collaborate on H-1B Registrations and Form I-129 petitions. Company members will complete a personal profile. The burden to respondents for creating company and personal profiles, and for creating and accepting/declining invitations to join a company group, is being captured under OMB Control Number 1615-0122. The burden for online filing of H-1B Registrations is covered under OMB Control Number 1615-0144 and the burden for online filing of Form I-129 petitions will be covered under OMB Control Number 1615-0009.</w:t>
      </w:r>
    </w:p>
    <w:p w:rsidR="009E5E5E" w:rsidP="003116A2" w14:paraId="33378C48" w14:textId="77777777">
      <w:pPr>
        <w:ind w:left="720"/>
        <w:rPr>
          <w:rFonts w:ascii="Times New Roman" w:hAnsi="Times New Roman"/>
        </w:rPr>
      </w:pPr>
    </w:p>
    <w:p w:rsidR="0067606B" w:rsidP="003116A2" w14:paraId="56D22C37" w14:textId="0B37B8FE">
      <w:pPr>
        <w:ind w:left="720"/>
        <w:rPr>
          <w:rFonts w:ascii="Times New Roman" w:hAnsi="Times New Roman"/>
        </w:rPr>
      </w:pPr>
      <w:r>
        <w:rPr>
          <w:rFonts w:ascii="Times New Roman" w:hAnsi="Times New Roman"/>
        </w:rPr>
        <w:t xml:space="preserve">The </w:t>
      </w:r>
      <w:r w:rsidR="002B4DE0">
        <w:rPr>
          <w:rFonts w:ascii="Times New Roman" w:hAnsi="Times New Roman"/>
        </w:rPr>
        <w:t xml:space="preserve">USCIS systems currently accessible </w:t>
      </w:r>
      <w:r w:rsidR="00701EB2">
        <w:rPr>
          <w:rFonts w:ascii="Times New Roman" w:hAnsi="Times New Roman"/>
        </w:rPr>
        <w:t>t</w:t>
      </w:r>
      <w:r w:rsidR="002B4DE0">
        <w:rPr>
          <w:rFonts w:ascii="Times New Roman" w:hAnsi="Times New Roman"/>
        </w:rPr>
        <w:t>hrough the</w:t>
      </w:r>
      <w:r w:rsidR="00114664">
        <w:rPr>
          <w:rFonts w:ascii="Times New Roman" w:hAnsi="Times New Roman"/>
        </w:rPr>
        <w:t xml:space="preserve"> </w:t>
      </w:r>
      <w:r w:rsidR="00677EED">
        <w:rPr>
          <w:rFonts w:ascii="Times New Roman" w:hAnsi="Times New Roman"/>
        </w:rPr>
        <w:t xml:space="preserve">USCIS Online Account </w:t>
      </w:r>
      <w:r w:rsidR="00114664">
        <w:rPr>
          <w:rFonts w:ascii="Times New Roman" w:hAnsi="Times New Roman"/>
        </w:rPr>
        <w:t>are</w:t>
      </w:r>
      <w:r w:rsidR="00E9741A">
        <w:rPr>
          <w:rFonts w:ascii="Times New Roman" w:hAnsi="Times New Roman"/>
        </w:rPr>
        <w:t xml:space="preserve">: </w:t>
      </w:r>
      <w:r w:rsidR="002B4DE0">
        <w:rPr>
          <w:rFonts w:ascii="Times New Roman" w:hAnsi="Times New Roman"/>
        </w:rPr>
        <w:t>myUSCIS, the FOIA electronic request system</w:t>
      </w:r>
      <w:r w:rsidR="00B7457C">
        <w:rPr>
          <w:rFonts w:ascii="Times New Roman" w:hAnsi="Times New Roman"/>
        </w:rPr>
        <w:t xml:space="preserve"> (FIRST)</w:t>
      </w:r>
      <w:r w:rsidR="002B4DE0">
        <w:rPr>
          <w:rFonts w:ascii="Times New Roman" w:hAnsi="Times New Roman"/>
        </w:rPr>
        <w:t xml:space="preserve">, and myE-Verify. </w:t>
      </w:r>
      <w:r w:rsidR="00D809CF">
        <w:rPr>
          <w:rFonts w:ascii="Times New Roman" w:hAnsi="Times New Roman"/>
        </w:rPr>
        <w:t>These systems serve specific, unique purposes and may require the user to provide information beyond what is required to create</w:t>
      </w:r>
      <w:r w:rsidR="00701EB2">
        <w:rPr>
          <w:rFonts w:ascii="Times New Roman" w:hAnsi="Times New Roman"/>
        </w:rPr>
        <w:t xml:space="preserve"> </w:t>
      </w:r>
      <w:r>
        <w:rPr>
          <w:rFonts w:ascii="Times New Roman" w:hAnsi="Times New Roman"/>
        </w:rPr>
        <w:t>or log into a</w:t>
      </w:r>
      <w:r w:rsidR="00114664">
        <w:rPr>
          <w:rFonts w:ascii="Times New Roman" w:hAnsi="Times New Roman"/>
        </w:rPr>
        <w:t xml:space="preserve"> </w:t>
      </w:r>
      <w:r w:rsidR="00677EED">
        <w:rPr>
          <w:rFonts w:ascii="Times New Roman" w:hAnsi="Times New Roman"/>
        </w:rPr>
        <w:t>USCIS Online Account</w:t>
      </w:r>
      <w:r w:rsidR="00D809CF">
        <w:rPr>
          <w:rFonts w:ascii="Times New Roman" w:hAnsi="Times New Roman"/>
        </w:rPr>
        <w:t xml:space="preserve">. </w:t>
      </w:r>
      <w:r w:rsidR="00701EB2">
        <w:rPr>
          <w:rFonts w:ascii="Times New Roman" w:hAnsi="Times New Roman"/>
        </w:rPr>
        <w:t xml:space="preserve">USCIS may </w:t>
      </w:r>
      <w:r>
        <w:rPr>
          <w:rFonts w:ascii="Times New Roman" w:hAnsi="Times New Roman"/>
        </w:rPr>
        <w:t xml:space="preserve">allow users to access </w:t>
      </w:r>
      <w:r w:rsidR="00701EB2">
        <w:rPr>
          <w:rFonts w:ascii="Times New Roman" w:hAnsi="Times New Roman"/>
        </w:rPr>
        <w:t xml:space="preserve">additional online systems </w:t>
      </w:r>
      <w:r>
        <w:rPr>
          <w:rFonts w:ascii="Times New Roman" w:hAnsi="Times New Roman"/>
        </w:rPr>
        <w:t>through their USCIS Online Account</w:t>
      </w:r>
      <w:r w:rsidR="00701EB2">
        <w:rPr>
          <w:rFonts w:ascii="Times New Roman" w:hAnsi="Times New Roman"/>
        </w:rPr>
        <w:t xml:space="preserve"> in the future</w:t>
      </w:r>
      <w:r w:rsidR="00BC47F2">
        <w:rPr>
          <w:rFonts w:ascii="Times New Roman" w:hAnsi="Times New Roman"/>
        </w:rPr>
        <w:t xml:space="preserve"> once USCIS adopts an identity-proofing mechanism for verification of an individual’s identity when accessing USCIS online services, consistent with the Officer of Management and Budget (OMB)</w:t>
      </w:r>
      <w:r w:rsidR="00231768">
        <w:rPr>
          <w:rFonts w:ascii="Times New Roman" w:hAnsi="Times New Roman"/>
        </w:rPr>
        <w:t xml:space="preserve"> Policy Memorandum M-19-17, </w:t>
      </w:r>
      <w:hyperlink r:id="rId9" w:history="1">
        <w:r w:rsidRPr="0079111E" w:rsidR="0079111E">
          <w:rPr>
            <w:rStyle w:val="Hyperlink"/>
            <w:rFonts w:ascii="Times New Roman" w:hAnsi="Times New Roman"/>
          </w:rPr>
          <w:t>www.whitehouse.gov/wp-content/uploads/2019/05/M-19-17</w:t>
        </w:r>
      </w:hyperlink>
      <w:r w:rsidR="0025419D">
        <w:rPr>
          <w:rFonts w:ascii="Times New Roman" w:hAnsi="Times New Roman"/>
        </w:rPr>
        <w:t>,</w:t>
      </w:r>
      <w:r w:rsidR="00955508">
        <w:rPr>
          <w:rFonts w:ascii="Times New Roman" w:hAnsi="Times New Roman"/>
        </w:rPr>
        <w:t xml:space="preserve"> </w:t>
      </w:r>
      <w:r w:rsidR="00BC47F2">
        <w:rPr>
          <w:rFonts w:ascii="Times New Roman" w:hAnsi="Times New Roman"/>
        </w:rPr>
        <w:t>and National Institutes of Science and Technology (NIST) 800-63</w:t>
      </w:r>
      <w:r w:rsidR="00231768">
        <w:rPr>
          <w:rFonts w:ascii="Times New Roman" w:hAnsi="Times New Roman"/>
        </w:rPr>
        <w:t xml:space="preserve">, </w:t>
      </w:r>
      <w:hyperlink r:id="rId10" w:history="1">
        <w:r w:rsidRPr="00312153" w:rsidR="00312153">
          <w:rPr>
            <w:rStyle w:val="Hyperlink"/>
            <w:rFonts w:ascii="Times New Roman" w:hAnsi="Times New Roman"/>
          </w:rPr>
          <w:t>www.nist.gov/identity-access-management/nist-special-publication-800-63-digital-identity-guidelines</w:t>
        </w:r>
      </w:hyperlink>
      <w:r w:rsidR="00701EB2">
        <w:rPr>
          <w:rFonts w:ascii="Times New Roman" w:hAnsi="Times New Roman"/>
        </w:rPr>
        <w:t>.</w:t>
      </w:r>
      <w:r w:rsidR="00231768">
        <w:rPr>
          <w:rFonts w:ascii="Times New Roman" w:hAnsi="Times New Roman"/>
        </w:rPr>
        <w:t xml:space="preserve"> </w:t>
      </w:r>
      <w:r w:rsidR="00701EB2">
        <w:rPr>
          <w:rFonts w:ascii="Times New Roman" w:hAnsi="Times New Roman"/>
        </w:rPr>
        <w:t>Each system</w:t>
      </w:r>
      <w:r w:rsidR="00D809CF">
        <w:rPr>
          <w:rFonts w:ascii="Times New Roman" w:hAnsi="Times New Roman"/>
        </w:rPr>
        <w:t xml:space="preserve"> may be considered </w:t>
      </w:r>
      <w:r w:rsidR="00701EB2">
        <w:rPr>
          <w:rFonts w:ascii="Times New Roman" w:hAnsi="Times New Roman"/>
        </w:rPr>
        <w:t xml:space="preserve">a </w:t>
      </w:r>
      <w:r w:rsidR="00D809CF">
        <w:rPr>
          <w:rFonts w:ascii="Times New Roman" w:hAnsi="Times New Roman"/>
        </w:rPr>
        <w:t xml:space="preserve">collection of information in </w:t>
      </w:r>
      <w:r w:rsidR="00701EB2">
        <w:rPr>
          <w:rFonts w:ascii="Times New Roman" w:hAnsi="Times New Roman"/>
        </w:rPr>
        <w:t xml:space="preserve">its </w:t>
      </w:r>
      <w:r w:rsidR="00D809CF">
        <w:rPr>
          <w:rFonts w:ascii="Times New Roman" w:hAnsi="Times New Roman"/>
        </w:rPr>
        <w:t xml:space="preserve">own right and be covered by </w:t>
      </w:r>
      <w:r w:rsidR="00701EB2">
        <w:rPr>
          <w:rFonts w:ascii="Times New Roman" w:hAnsi="Times New Roman"/>
        </w:rPr>
        <w:t>its</w:t>
      </w:r>
      <w:r w:rsidR="00D809CF">
        <w:rPr>
          <w:rFonts w:ascii="Times New Roman" w:hAnsi="Times New Roman"/>
        </w:rPr>
        <w:t xml:space="preserve"> own OMB Control Number</w:t>
      </w:r>
      <w:r w:rsidR="00B7457C">
        <w:rPr>
          <w:rFonts w:ascii="Times New Roman" w:hAnsi="Times New Roman"/>
        </w:rPr>
        <w:t>s</w:t>
      </w:r>
      <w:r w:rsidR="00D809CF">
        <w:rPr>
          <w:rFonts w:ascii="Times New Roman" w:hAnsi="Times New Roman"/>
        </w:rPr>
        <w:t xml:space="preserve">. </w:t>
      </w:r>
    </w:p>
    <w:bookmarkEnd w:id="0"/>
    <w:p w:rsidR="00C74677" w:rsidRPr="00914A5D" w:rsidP="00C74677" w14:paraId="3A89BC8E" w14:textId="77777777">
      <w:pPr>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3116A2" w:rsidP="003116A2" w14:paraId="522701BC" w14:textId="75346DAC">
      <w:pPr>
        <w:tabs>
          <w:tab w:val="left" w:pos="-1440"/>
        </w:tabs>
        <w:ind w:left="720"/>
        <w:rPr>
          <w:rFonts w:ascii="Times New Roman" w:hAnsi="Times New Roman"/>
        </w:rPr>
      </w:pPr>
      <w:r>
        <w:rPr>
          <w:rFonts w:ascii="Times New Roman" w:hAnsi="Times New Roman"/>
        </w:rPr>
        <w:t>Interacting with t</w:t>
      </w:r>
      <w:r w:rsidR="00B7457C">
        <w:rPr>
          <w:rFonts w:ascii="Times New Roman" w:hAnsi="Times New Roman"/>
        </w:rPr>
        <w:t xml:space="preserve">he </w:t>
      </w:r>
      <w:r w:rsidR="00677EED">
        <w:rPr>
          <w:rFonts w:ascii="Times New Roman" w:hAnsi="Times New Roman"/>
        </w:rPr>
        <w:t xml:space="preserve">USCIS Online Account </w:t>
      </w:r>
      <w:r w:rsidR="00701EB2">
        <w:rPr>
          <w:rFonts w:ascii="Times New Roman" w:hAnsi="Times New Roman"/>
        </w:rPr>
        <w:t xml:space="preserve">information collection </w:t>
      </w:r>
      <w:r w:rsidR="00B7457C">
        <w:rPr>
          <w:rFonts w:ascii="Times New Roman" w:hAnsi="Times New Roman"/>
        </w:rPr>
        <w:t xml:space="preserve">requires the use of a computer or mobile device such as a smartphone or tablet, as well as access to the Internet. Providing access to </w:t>
      </w:r>
      <w:r w:rsidR="00701EB2">
        <w:rPr>
          <w:rFonts w:ascii="Times New Roman" w:hAnsi="Times New Roman"/>
        </w:rPr>
        <w:t xml:space="preserve">certain </w:t>
      </w:r>
      <w:r w:rsidR="00B7457C">
        <w:rPr>
          <w:rFonts w:ascii="Times New Roman" w:hAnsi="Times New Roman"/>
        </w:rPr>
        <w:t xml:space="preserve">USCIS </w:t>
      </w:r>
      <w:r w:rsidR="00701EB2">
        <w:rPr>
          <w:rFonts w:ascii="Times New Roman" w:hAnsi="Times New Roman"/>
        </w:rPr>
        <w:t xml:space="preserve">online </w:t>
      </w:r>
      <w:r w:rsidR="00B7457C">
        <w:rPr>
          <w:rFonts w:ascii="Times New Roman" w:hAnsi="Times New Roman"/>
        </w:rPr>
        <w:t xml:space="preserve">systems </w:t>
      </w:r>
      <w:r>
        <w:rPr>
          <w:rFonts w:ascii="Times New Roman" w:hAnsi="Times New Roman"/>
        </w:rPr>
        <w:t xml:space="preserve">is part of USCIS’s effort to use information technology to reduce burden on </w:t>
      </w:r>
      <w:r w:rsidR="00CD43E7">
        <w:rPr>
          <w:rFonts w:ascii="Times New Roman" w:hAnsi="Times New Roman"/>
        </w:rPr>
        <w:t xml:space="preserve">members of </w:t>
      </w:r>
      <w:r>
        <w:rPr>
          <w:rFonts w:ascii="Times New Roman" w:hAnsi="Times New Roman"/>
        </w:rPr>
        <w:t xml:space="preserve">the public </w:t>
      </w:r>
      <w:r w:rsidR="00CD43E7">
        <w:rPr>
          <w:rFonts w:ascii="Times New Roman" w:hAnsi="Times New Roman"/>
        </w:rPr>
        <w:t>when</w:t>
      </w:r>
      <w:r>
        <w:rPr>
          <w:rFonts w:ascii="Times New Roman" w:hAnsi="Times New Roman"/>
        </w:rPr>
        <w:t xml:space="preserve"> interacting with the agency. This information collection also ensures USCIS is comply</w:t>
      </w:r>
      <w:r w:rsidR="00CD43E7">
        <w:rPr>
          <w:rFonts w:ascii="Times New Roman" w:hAnsi="Times New Roman"/>
        </w:rPr>
        <w:t>ing</w:t>
      </w:r>
      <w:r>
        <w:rPr>
          <w:rFonts w:ascii="Times New Roman" w:hAnsi="Times New Roman"/>
        </w:rPr>
        <w:t xml:space="preserve"> with the GPEA and the E-</w:t>
      </w:r>
      <w:r w:rsidR="00CD43E7">
        <w:rPr>
          <w:rFonts w:ascii="Times New Roman" w:hAnsi="Times New Roman"/>
        </w:rPr>
        <w:t>Government</w:t>
      </w:r>
      <w:r>
        <w:rPr>
          <w:rFonts w:ascii="Times New Roman" w:hAnsi="Times New Roman"/>
        </w:rPr>
        <w:t xml:space="preserve"> Act</w:t>
      </w:r>
      <w:r w:rsidR="00CD43E7">
        <w:rPr>
          <w:rFonts w:ascii="Times New Roman" w:hAnsi="Times New Roman"/>
        </w:rPr>
        <w:t xml:space="preserve"> USCIS continues to expand opportunities for the </w:t>
      </w:r>
      <w:r w:rsidR="00CD43E7">
        <w:rPr>
          <w:rFonts w:ascii="Times New Roman" w:hAnsi="Times New Roman"/>
        </w:rPr>
        <w:t xml:space="preserve">public to interact with the agency </w:t>
      </w:r>
      <w:r w:rsidR="00677EED">
        <w:rPr>
          <w:rFonts w:ascii="Times New Roman" w:hAnsi="Times New Roman"/>
        </w:rPr>
        <w:t>electronically, unless</w:t>
      </w:r>
      <w:r w:rsidR="00B7457C">
        <w:rPr>
          <w:rFonts w:ascii="Times New Roman" w:hAnsi="Times New Roman"/>
        </w:rPr>
        <w:t xml:space="preserve"> </w:t>
      </w:r>
      <w:r w:rsidR="00701EB2">
        <w:rPr>
          <w:rFonts w:ascii="Times New Roman" w:hAnsi="Times New Roman"/>
        </w:rPr>
        <w:t>otherwise</w:t>
      </w:r>
      <w:r w:rsidR="00B7457C">
        <w:rPr>
          <w:rFonts w:ascii="Times New Roman" w:hAnsi="Times New Roman"/>
        </w:rPr>
        <w:t xml:space="preserve"> required by statute or due to the nature of information</w:t>
      </w:r>
      <w:r w:rsidR="00701EB2">
        <w:rPr>
          <w:rFonts w:ascii="Times New Roman" w:hAnsi="Times New Roman"/>
        </w:rPr>
        <w:t xml:space="preserve"> or d</w:t>
      </w:r>
      <w:r w:rsidR="00B7457C">
        <w:rPr>
          <w:rFonts w:ascii="Times New Roman" w:hAnsi="Times New Roman"/>
        </w:rPr>
        <w:t>ocumentation being requested by the agency</w:t>
      </w:r>
      <w:r>
        <w:rPr>
          <w:rFonts w:ascii="Times New Roman" w:hAnsi="Times New Roman"/>
        </w:rPr>
        <w:t>.</w:t>
      </w:r>
    </w:p>
    <w:p w:rsidR="005717B8" w:rsidP="003116A2" w14:paraId="7EA5766D" w14:textId="77777777">
      <w:pPr>
        <w:tabs>
          <w:tab w:val="left" w:pos="-1440"/>
        </w:tabs>
        <w:ind w:left="720"/>
        <w:rPr>
          <w:rFonts w:ascii="Times New Roman" w:hAnsi="Times New Roman"/>
        </w:rPr>
      </w:pPr>
    </w:p>
    <w:p w:rsidR="006D1A2E" w:rsidRPr="00A1358D" w:rsidP="006D1A2E" w14:paraId="701F654F" w14:textId="77777777">
      <w:pPr>
        <w:pStyle w:val="NormalWeb"/>
        <w:spacing w:before="0" w:beforeAutospacing="0" w:after="0" w:afterAutospacing="0"/>
        <w:ind w:left="720"/>
      </w:pPr>
      <w:r w:rsidRPr="00A1358D">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11" w:history="1">
        <w:r w:rsidRPr="00A1358D">
          <w:rPr>
            <w:rStyle w:val="Hyperlink"/>
          </w:rPr>
          <w:t>www.uscis.gov/outreach</w:t>
        </w:r>
      </w:hyperlink>
      <w:r w:rsidRPr="00A1358D">
        <w:t>). USCIS also performed usability testing on USCIS Forms I-765, N-400, and I-485 (the three highest-filing forms) with the goal of studying cross-cutting issues that impact the responding public across the entirety of the USCIS collections of information USCIS.</w:t>
      </w:r>
    </w:p>
    <w:p w:rsidR="006D1A2E" w:rsidP="00A32745" w14:paraId="32793CD4" w14:textId="77777777">
      <w:pPr>
        <w:pStyle w:val="NormalWeb"/>
        <w:spacing w:before="0" w:beforeAutospacing="0" w:after="0" w:afterAutospacing="0"/>
        <w:ind w:left="720"/>
      </w:pPr>
    </w:p>
    <w:p w:rsidR="006D1A2E" w:rsidRPr="00A1358D" w:rsidP="006D1A2E" w14:paraId="6A86AF28" w14:textId="77777777">
      <w:pPr>
        <w:pStyle w:val="NormalWeb"/>
        <w:spacing w:before="0" w:beforeAutospacing="0" w:after="0" w:afterAutospacing="0"/>
        <w:ind w:left="720"/>
      </w:pPr>
      <w:r w:rsidRPr="00A1358D">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the analysis and studies conducted.</w:t>
      </w:r>
    </w:p>
    <w:p w:rsidR="006D1A2E" w:rsidP="00A32745" w14:paraId="5FA57BAE" w14:textId="77777777">
      <w:pPr>
        <w:pStyle w:val="NormalWeb"/>
        <w:spacing w:before="0" w:beforeAutospacing="0" w:after="0" w:afterAutospacing="0"/>
        <w:ind w:left="720"/>
      </w:pPr>
    </w:p>
    <w:p w:rsidR="00A32745" w:rsidRPr="00A1358D" w:rsidP="00A32745" w14:paraId="5777920D" w14:textId="524815CD">
      <w:pPr>
        <w:pStyle w:val="NormalWeb"/>
        <w:spacing w:before="0" w:beforeAutospacing="0" w:after="0" w:afterAutospacing="0"/>
        <w:ind w:left="720"/>
      </w:pPr>
      <w:r w:rsidRPr="00A1358D">
        <w:t>The USCIS myAccount usability study and the continuous internal testing efforts conducted were aimed to enhance the user experience (UX) of the USCIS myAccount web application by integrating human-centric design (HCD) principles. The recent myAccount usability study focused on creating intuitive, user-friendly software solutions through comprehensive user feedback by conducting individual virtual interview</w:t>
      </w:r>
      <w:r w:rsidR="003F1666">
        <w:t xml:space="preserve">s. </w:t>
      </w:r>
      <w:r w:rsidRPr="00A1358D">
        <w:t>Participants evaluated various functionalities, including account creation, sign-in, password reset, account security features, and accessing helpful links</w:t>
      </w:r>
      <w:r w:rsidR="003F1666">
        <w:t xml:space="preserve">. </w:t>
      </w:r>
      <w:r w:rsidRPr="00A1358D">
        <w:t>Internal testing has also been complet</w:t>
      </w:r>
      <w:r w:rsidRPr="00A1358D" w:rsidR="00835FF1">
        <w:t>ed with various team members to vet each design feature</w:t>
      </w:r>
      <w:r w:rsidRPr="00A1358D" w:rsidR="00430099">
        <w:t xml:space="preserve"> collectively; </w:t>
      </w:r>
      <w:r w:rsidRPr="00A1358D" w:rsidR="00236A46">
        <w:t xml:space="preserve">by </w:t>
      </w:r>
      <w:r w:rsidRPr="00A1358D">
        <w:t>creating high-fidelity mockups, wireframes, workflows, and internally vetting all designs and concepts</w:t>
      </w:r>
      <w:r w:rsidR="003F1666">
        <w:t xml:space="preserve">. </w:t>
      </w:r>
      <w:r w:rsidRPr="00A1358D">
        <w:t>The internal testing efforts, from ideation to testing, covered all aspects of the myAccount modernized solution including subjects such as the Login.gov integration with myAccount</w:t>
      </w:r>
      <w:r w:rsidRPr="00A1358D" w:rsidR="00CA31B4">
        <w:t xml:space="preserve">, </w:t>
      </w:r>
      <w:r w:rsidRPr="00A1358D">
        <w:t>among other concepts</w:t>
      </w:r>
      <w:r w:rsidR="003F1666">
        <w:t xml:space="preserve">. </w:t>
      </w:r>
      <w:r w:rsidRPr="00A1358D">
        <w:t>The feedback received was predominantly positive and participants appreciated the intuitive design ad user-centric workflow</w:t>
      </w:r>
      <w:r w:rsidRPr="00A1358D" w:rsidR="00582A29">
        <w:t>, especially the multi-step account creation process with two-</w:t>
      </w:r>
      <w:r w:rsidRPr="00A1358D" w:rsidR="00CB6A2D">
        <w:t>facto</w:t>
      </w:r>
      <w:r w:rsidR="003F1666">
        <w:t xml:space="preserve">r </w:t>
      </w:r>
      <w:r w:rsidRPr="00A1358D" w:rsidR="00582A29">
        <w:t>authentication</w:t>
      </w:r>
      <w:r w:rsidR="003F1666">
        <w:t xml:space="preserve">. </w:t>
      </w:r>
      <w:r w:rsidRPr="00A1358D">
        <w:t>As a result of the feedback collected, the myAccount team provided improvements to the design and made applicable language changes with the review and approval of the Office of Chief Counsel, such as clarifying language in email subject lines within notifications and improving Login.gov functionalities and clarifying language in “Learn more about Login.gov” sections.</w:t>
      </w:r>
    </w:p>
    <w:p w:rsidR="007312F9" w:rsidRPr="00914A5D" w:rsidP="006D1A2E" w14:paraId="694944ED" w14:textId="6BEF74DC">
      <w:pPr>
        <w:pStyle w:val="NormalWeb"/>
        <w:spacing w:before="0" w:beforeAutospacing="0" w:after="0" w:afterAutospacing="0"/>
      </w:pPr>
      <w:r w:rsidRPr="00A1358D">
        <w:t> </w:t>
      </w:r>
    </w:p>
    <w:p w:rsidR="00C1411D" w:rsidP="00914A5D" w14:paraId="2896C19B" w14:textId="77777777">
      <w:pPr>
        <w:tabs>
          <w:tab w:val="left" w:pos="-1440"/>
        </w:tabs>
        <w:ind w:left="720" w:hanging="720"/>
        <w:rPr>
          <w:rFonts w:ascii="Times New Roman" w:hAnsi="Times New Roman"/>
          <w:b/>
        </w:rPr>
      </w:pPr>
    </w:p>
    <w:p w:rsidR="00C1411D" w:rsidP="00914A5D" w14:paraId="7BF4D0FE" w14:textId="77777777">
      <w:pPr>
        <w:tabs>
          <w:tab w:val="left" w:pos="-1440"/>
        </w:tabs>
        <w:ind w:left="720" w:hanging="720"/>
        <w:rPr>
          <w:rFonts w:ascii="Times New Roman" w:hAnsi="Times New Roman"/>
          <w:b/>
        </w:rPr>
      </w:pPr>
    </w:p>
    <w:p w:rsidR="00B27061" w:rsidRPr="00914A5D" w:rsidP="00914A5D" w14:paraId="3AE61E86" w14:textId="3A8E30D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3116A2" w:rsidP="003116A2" w14:paraId="536347DD" w14:textId="0BFF8A5B">
      <w:pPr>
        <w:tabs>
          <w:tab w:val="left" w:pos="-1440"/>
        </w:tabs>
        <w:ind w:left="720"/>
        <w:rPr>
          <w:rFonts w:ascii="Times New Roman" w:hAnsi="Times New Roman"/>
        </w:rPr>
      </w:pPr>
      <w:r>
        <w:rPr>
          <w:rFonts w:ascii="Times New Roman" w:hAnsi="Times New Roman"/>
        </w:rPr>
        <w:t xml:space="preserve">Users must provide certain </w:t>
      </w:r>
      <w:r w:rsidR="00701EB2">
        <w:rPr>
          <w:rFonts w:ascii="Times New Roman" w:hAnsi="Times New Roman"/>
        </w:rPr>
        <w:t>data</w:t>
      </w:r>
      <w:r>
        <w:rPr>
          <w:rFonts w:ascii="Times New Roman" w:hAnsi="Times New Roman"/>
        </w:rPr>
        <w:t xml:space="preserve"> </w:t>
      </w:r>
      <w:r w:rsidR="00701EB2">
        <w:rPr>
          <w:rFonts w:ascii="Times New Roman" w:hAnsi="Times New Roman"/>
        </w:rPr>
        <w:t xml:space="preserve">when interacting with the </w:t>
      </w:r>
      <w:r w:rsidR="00677EED">
        <w:rPr>
          <w:rFonts w:ascii="Times New Roman" w:hAnsi="Times New Roman"/>
        </w:rPr>
        <w:t>USCIS Online Account information collection</w:t>
      </w:r>
      <w:r w:rsidR="00004D76">
        <w:rPr>
          <w:rFonts w:ascii="Times New Roman" w:hAnsi="Times New Roman"/>
        </w:rPr>
        <w:t xml:space="preserve">. </w:t>
      </w:r>
      <w:r w:rsidR="00701EB2">
        <w:rPr>
          <w:rFonts w:ascii="Times New Roman" w:hAnsi="Times New Roman"/>
        </w:rPr>
        <w:t xml:space="preserve">All data requested as part of this information collection </w:t>
      </w:r>
      <w:r w:rsidR="006F7892">
        <w:rPr>
          <w:rFonts w:ascii="Times New Roman" w:hAnsi="Times New Roman"/>
        </w:rPr>
        <w:t xml:space="preserve">is currently collected </w:t>
      </w:r>
      <w:r w:rsidR="00701EB2">
        <w:rPr>
          <w:rFonts w:ascii="Times New Roman" w:hAnsi="Times New Roman"/>
        </w:rPr>
        <w:t xml:space="preserve">only one time, </w:t>
      </w:r>
      <w:r w:rsidR="00D1445A">
        <w:rPr>
          <w:rFonts w:ascii="Times New Roman" w:hAnsi="Times New Roman"/>
        </w:rPr>
        <w:t xml:space="preserve">during </w:t>
      </w:r>
      <w:r w:rsidR="00701EB2">
        <w:rPr>
          <w:rFonts w:ascii="Times New Roman" w:hAnsi="Times New Roman"/>
        </w:rPr>
        <w:t xml:space="preserve">USCIS Online Account creation. Subsequent </w:t>
      </w:r>
      <w:r w:rsidR="00D1445A">
        <w:rPr>
          <w:rFonts w:ascii="Times New Roman" w:hAnsi="Times New Roman"/>
        </w:rPr>
        <w:t xml:space="preserve">account </w:t>
      </w:r>
      <w:r w:rsidR="00F17A4A">
        <w:rPr>
          <w:rFonts w:ascii="Times New Roman" w:hAnsi="Times New Roman"/>
        </w:rPr>
        <w:t>logins</w:t>
      </w:r>
      <w:r w:rsidR="00701EB2">
        <w:rPr>
          <w:rFonts w:ascii="Times New Roman" w:hAnsi="Times New Roman"/>
        </w:rPr>
        <w:t xml:space="preserve"> require </w:t>
      </w:r>
      <w:r w:rsidR="00D1445A">
        <w:rPr>
          <w:rFonts w:ascii="Times New Roman" w:hAnsi="Times New Roman"/>
        </w:rPr>
        <w:t xml:space="preserve">users to </w:t>
      </w:r>
      <w:r w:rsidR="00701EB2">
        <w:rPr>
          <w:rFonts w:ascii="Times New Roman" w:hAnsi="Times New Roman"/>
        </w:rPr>
        <w:t>only</w:t>
      </w:r>
      <w:r w:rsidR="00D1445A">
        <w:rPr>
          <w:rFonts w:ascii="Times New Roman" w:hAnsi="Times New Roman"/>
        </w:rPr>
        <w:t xml:space="preserve"> provide</w:t>
      </w:r>
      <w:r w:rsidR="00701EB2">
        <w:rPr>
          <w:rFonts w:ascii="Times New Roman" w:hAnsi="Times New Roman"/>
        </w:rPr>
        <w:t xml:space="preserve"> the email address and password associated with the account and </w:t>
      </w:r>
      <w:r w:rsidR="008A3B73">
        <w:rPr>
          <w:rFonts w:ascii="Times New Roman" w:hAnsi="Times New Roman"/>
        </w:rPr>
        <w:t>complete</w:t>
      </w:r>
      <w:r w:rsidR="00701EB2">
        <w:rPr>
          <w:rFonts w:ascii="Times New Roman" w:hAnsi="Times New Roman"/>
        </w:rPr>
        <w:t xml:space="preserve"> the two-step verification process</w:t>
      </w:r>
      <w:r w:rsidR="00F401EC">
        <w:rPr>
          <w:rFonts w:ascii="Times New Roman" w:hAnsi="Times New Roman"/>
        </w:rPr>
        <w:t xml:space="preserve">. </w:t>
      </w:r>
    </w:p>
    <w:p w:rsidR="005B5E5D" w:rsidRPr="00914A5D" w:rsidP="00B8182F" w14:paraId="3DD77DD6" w14:textId="633DE5B8">
      <w:pPr>
        <w:pStyle w:val="NormalWeb"/>
        <w:ind w:left="720"/>
      </w:pPr>
      <w:r w:rsidRPr="00004D76">
        <w:t>To reduce login burden</w:t>
      </w:r>
      <w:r w:rsidRPr="00004D76" w:rsidR="006F7892">
        <w:t>,</w:t>
      </w:r>
      <w:r w:rsidRPr="00004D76">
        <w:t xml:space="preserve"> USCIS Online Account </w:t>
      </w:r>
      <w:r w:rsidRPr="00004D76" w:rsidR="00B34FDE">
        <w:t>will</w:t>
      </w:r>
      <w:r w:rsidRPr="00004D76">
        <w:t xml:space="preserve"> optionally allow Login.gov account holders to link their Login.gov account to their USCIS </w:t>
      </w:r>
      <w:r w:rsidRPr="00004D76" w:rsidR="000C7278">
        <w:t>O</w:t>
      </w:r>
      <w:r w:rsidRPr="00004D76">
        <w:t xml:space="preserve">nline </w:t>
      </w:r>
      <w:r w:rsidRPr="00004D76" w:rsidR="000C7278">
        <w:t>A</w:t>
      </w:r>
      <w:r w:rsidRPr="00004D76">
        <w:t>ccount and use their Login.gov credentials for signing in.</w:t>
      </w:r>
      <w:r w:rsidR="00004D76">
        <w:t xml:space="preserve"> </w:t>
      </w:r>
      <w:r w:rsidRPr="005B5E5D">
        <w:t>Login.gov is a secure sign in service used by the public to sign in to participating government agencies applications and securely access information on their website or applicatio</w:t>
      </w:r>
      <w:r w:rsidR="00004D76">
        <w:t xml:space="preserve">n. </w:t>
      </w:r>
      <w:r w:rsidRPr="005B5E5D">
        <w:t>This platform provides end-users one account for accessibility and simplicity for account management by utilizing the same username and password to access any agency that partners with Login.gov, which streamlines the login process and eliminates the need to remember multiple usernames and passwords.</w:t>
      </w:r>
      <w:r w:rsidR="00004D76">
        <w:t xml:space="preserve"> </w:t>
      </w:r>
      <w:r w:rsidRPr="005B5E5D">
        <w:t>Login.gov provides partnered federal agencies the opportunity to utilize a platform that is secure with the highest standards of security to keep information safe including identity verification and two-factor authentication, provide efficiency for agency costs, and accessibility for the publi</w:t>
      </w:r>
      <w:r w:rsidR="007B07BC">
        <w:t xml:space="preserve">c. </w:t>
      </w:r>
      <w:r w:rsidRPr="005B5E5D">
        <w:t>Login.gov partners with Federal websites and applications such as Federal jobs (USAJOBS – Office of Personnel Management), Global Entry (Trusted Travelers Programs – Department of Homeland Security), Small business loans and disaster assistance (Small Business Administration) and more.</w:t>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3116A2" w:rsidP="003116A2" w14:paraId="3E535FE6" w14:textId="78195E5D">
      <w:pPr>
        <w:tabs>
          <w:tab w:val="left" w:pos="-1440"/>
        </w:tabs>
        <w:ind w:left="720"/>
        <w:rPr>
          <w:rFonts w:ascii="Times New Roman" w:hAnsi="Times New Roman"/>
        </w:rPr>
      </w:pPr>
      <w:r>
        <w:rPr>
          <w:rFonts w:ascii="Times New Roman" w:hAnsi="Times New Roman"/>
        </w:rPr>
        <w:t xml:space="preserve">Certain businesses and other small entities, such as attorneys’ offices, will be required to </w:t>
      </w:r>
      <w:r w:rsidR="00424075">
        <w:rPr>
          <w:rFonts w:ascii="Times New Roman" w:hAnsi="Times New Roman"/>
        </w:rPr>
        <w:t xml:space="preserve">establish a USCIS Online Account through </w:t>
      </w:r>
      <w:r w:rsidR="00677EED">
        <w:rPr>
          <w:rFonts w:ascii="Times New Roman" w:hAnsi="Times New Roman"/>
        </w:rPr>
        <w:t xml:space="preserve">this information collection </w:t>
      </w:r>
      <w:r w:rsidR="00424075">
        <w:rPr>
          <w:rFonts w:ascii="Times New Roman" w:hAnsi="Times New Roman"/>
        </w:rPr>
        <w:t>in order to conduct business with the agency</w:t>
      </w:r>
      <w:r>
        <w:rPr>
          <w:rFonts w:ascii="Times New Roman" w:hAnsi="Times New Roman"/>
        </w:rPr>
        <w:t>.</w:t>
      </w:r>
      <w:r w:rsidR="00424075">
        <w:rPr>
          <w:rFonts w:ascii="Times New Roman" w:hAnsi="Times New Roman"/>
        </w:rPr>
        <w:t xml:space="preserve"> The information collected to establish a USCIS Online Account </w:t>
      </w:r>
      <w:r w:rsidR="006F7892">
        <w:rPr>
          <w:rFonts w:ascii="Times New Roman" w:hAnsi="Times New Roman"/>
        </w:rPr>
        <w:t>and account access requirements are</w:t>
      </w:r>
      <w:r w:rsidR="00424075">
        <w:rPr>
          <w:rFonts w:ascii="Times New Roman" w:hAnsi="Times New Roman"/>
        </w:rPr>
        <w:t xml:space="preserve"> the same for both individuals and businesses.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116A2" w:rsidP="003116A2" w14:paraId="7F130819" w14:textId="0E36FE0D">
      <w:pPr>
        <w:tabs>
          <w:tab w:val="left" w:pos="-1440"/>
        </w:tabs>
        <w:ind w:left="720"/>
        <w:rPr>
          <w:rFonts w:ascii="Times New Roman" w:hAnsi="Times New Roman"/>
        </w:rPr>
      </w:pPr>
      <w:r>
        <w:rPr>
          <w:rFonts w:ascii="Times New Roman" w:hAnsi="Times New Roman"/>
        </w:rPr>
        <w:t>If th</w:t>
      </w:r>
      <w:r w:rsidR="00677EED">
        <w:rPr>
          <w:rFonts w:ascii="Times New Roman" w:hAnsi="Times New Roman"/>
        </w:rPr>
        <w:t>is</w:t>
      </w:r>
      <w:r>
        <w:rPr>
          <w:rFonts w:ascii="Times New Roman" w:hAnsi="Times New Roman"/>
        </w:rPr>
        <w:t xml:space="preserve"> information collection is not conducted, members of the public would not be able to </w:t>
      </w:r>
      <w:r w:rsidR="006F7892">
        <w:rPr>
          <w:rFonts w:ascii="Times New Roman" w:hAnsi="Times New Roman"/>
        </w:rPr>
        <w:t xml:space="preserve">submit electronic certain benefit requests to or receive certain electronic responses from </w:t>
      </w:r>
      <w:r w:rsidR="00114664">
        <w:rPr>
          <w:rFonts w:ascii="Times New Roman" w:hAnsi="Times New Roman"/>
        </w:rPr>
        <w:t>USCIS</w:t>
      </w:r>
      <w:r>
        <w:rPr>
          <w:rFonts w:ascii="Times New Roman" w:hAnsi="Times New Roman"/>
        </w:rPr>
        <w:t xml:space="preserve">. This would </w:t>
      </w:r>
      <w:r w:rsidR="00114664">
        <w:rPr>
          <w:rFonts w:ascii="Times New Roman" w:hAnsi="Times New Roman"/>
        </w:rPr>
        <w:t xml:space="preserve">increase the </w:t>
      </w:r>
      <w:r>
        <w:rPr>
          <w:rFonts w:ascii="Times New Roman" w:hAnsi="Times New Roman"/>
        </w:rPr>
        <w:t xml:space="preserve">burden on the public </w:t>
      </w:r>
      <w:r w:rsidR="00114664">
        <w:rPr>
          <w:rFonts w:ascii="Times New Roman" w:hAnsi="Times New Roman"/>
        </w:rPr>
        <w:t xml:space="preserve">for interactions </w:t>
      </w:r>
      <w:r>
        <w:rPr>
          <w:rFonts w:ascii="Times New Roman" w:hAnsi="Times New Roman"/>
        </w:rPr>
        <w:t>with the agency.</w:t>
      </w:r>
    </w:p>
    <w:p w:rsidR="00494557" w:rsidRPr="00914A5D" w:rsidP="00914A5D" w14:paraId="478F073B" w14:textId="77777777">
      <w:pPr>
        <w:tabs>
          <w:tab w:val="left" w:pos="-1440"/>
        </w:tabs>
        <w:ind w:left="720"/>
        <w:rPr>
          <w:rFonts w:ascii="Times New Roman" w:hAnsi="Times New Roman"/>
        </w:rPr>
      </w:pPr>
    </w:p>
    <w:p w:rsidR="00FD7B5D" w:rsidP="00914A5D" w14:paraId="7EDD676D" w14:textId="77777777">
      <w:pPr>
        <w:tabs>
          <w:tab w:val="left" w:pos="-1440"/>
        </w:tabs>
        <w:ind w:left="720" w:hanging="720"/>
        <w:rPr>
          <w:rFonts w:ascii="Times New Roman" w:hAnsi="Times New Roman"/>
          <w:b/>
        </w:rPr>
      </w:pPr>
    </w:p>
    <w:p w:rsidR="00B27061" w:rsidRPr="00B1471A" w:rsidP="00914A5D" w14:paraId="5515487C" w14:textId="547746A1">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1A5A88" w:rsidRPr="00546BFD" w:rsidP="001A5A88" w14:paraId="4F7124EC" w14:textId="7E386A6E">
      <w:pPr>
        <w:tabs>
          <w:tab w:val="left" w:pos="-1440"/>
        </w:tabs>
        <w:ind w:left="720"/>
        <w:rPr>
          <w:rFonts w:ascii="Times New Roman" w:hAnsi="Times New Roman"/>
        </w:rPr>
      </w:pPr>
      <w:r w:rsidRPr="007C2E07">
        <w:rPr>
          <w:rFonts w:ascii="Times New Roman" w:hAnsi="Times New Roman"/>
        </w:rPr>
        <w:t xml:space="preserve">USCIS is requesting OMB approval of a non-substantive change request to add an option for the public to login to their USCIS </w:t>
      </w:r>
      <w:r w:rsidR="002D040D">
        <w:rPr>
          <w:rFonts w:ascii="Times New Roman" w:hAnsi="Times New Roman"/>
        </w:rPr>
        <w:t>O</w:t>
      </w:r>
      <w:r w:rsidRPr="007C2E07">
        <w:rPr>
          <w:rFonts w:ascii="Times New Roman" w:hAnsi="Times New Roman"/>
        </w:rPr>
        <w:t xml:space="preserve">nline </w:t>
      </w:r>
      <w:r w:rsidR="002D040D">
        <w:rPr>
          <w:rFonts w:ascii="Times New Roman" w:hAnsi="Times New Roman"/>
        </w:rPr>
        <w:t>A</w:t>
      </w:r>
      <w:r w:rsidRPr="007C2E07">
        <w:rPr>
          <w:rFonts w:ascii="Times New Roman" w:hAnsi="Times New Roman"/>
        </w:rPr>
        <w:t>ccount using a Login.gov credential</w:t>
      </w:r>
      <w:r w:rsidR="00776ECE">
        <w:rPr>
          <w:rFonts w:ascii="Times New Roman" w:hAnsi="Times New Roman"/>
        </w:rPr>
        <w:t xml:space="preserve">. </w:t>
      </w:r>
      <w:r w:rsidRPr="007C2E07">
        <w:rPr>
          <w:rFonts w:ascii="Times New Roman" w:hAnsi="Times New Roman"/>
        </w:rPr>
        <w:t xml:space="preserve">The minimal updates to the USCIS </w:t>
      </w:r>
      <w:r w:rsidR="009569A9">
        <w:rPr>
          <w:rFonts w:ascii="Times New Roman" w:hAnsi="Times New Roman"/>
        </w:rPr>
        <w:t>O</w:t>
      </w:r>
      <w:r w:rsidRPr="007C2E07">
        <w:rPr>
          <w:rFonts w:ascii="Times New Roman" w:hAnsi="Times New Roman"/>
        </w:rPr>
        <w:t xml:space="preserve">nline </w:t>
      </w:r>
      <w:r w:rsidR="009569A9">
        <w:rPr>
          <w:rFonts w:ascii="Times New Roman" w:hAnsi="Times New Roman"/>
        </w:rPr>
        <w:t>A</w:t>
      </w:r>
      <w:r w:rsidRPr="007C2E07">
        <w:rPr>
          <w:rFonts w:ascii="Times New Roman" w:hAnsi="Times New Roman"/>
        </w:rPr>
        <w:t>ccount do not impact the respondent population or burden estimates</w:t>
      </w:r>
      <w:r>
        <w:rPr>
          <w:rFonts w:ascii="Times New Roman" w:hAnsi="Times New Roman"/>
        </w:rPr>
        <w:t xml:space="preserve">. </w:t>
      </w:r>
      <w:r w:rsidRPr="00546BFD">
        <w:rPr>
          <w:rFonts w:ascii="Times New Roman" w:hAnsi="Times New Roman"/>
        </w:rPr>
        <w:t>A non-substantive change requests does not require publication of a notice in the Federal Register.</w:t>
      </w:r>
      <w:r>
        <w:rPr>
          <w:rFonts w:ascii="Times New Roman" w:hAnsi="Times New Roman"/>
        </w:rPr>
        <w:t xml:space="preserve"> </w:t>
      </w:r>
    </w:p>
    <w:p w:rsidR="005E139A" w:rsidRPr="00914A5D" w:rsidP="00914A5D" w14:paraId="22D49660" w14:textId="77777777">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3116A2" w:rsidP="003116A2" w14:paraId="7D59ED4C" w14:textId="6D1AA4CB">
      <w:pPr>
        <w:tabs>
          <w:tab w:val="left" w:pos="-1440"/>
        </w:tabs>
        <w:ind w:left="720"/>
        <w:rPr>
          <w:rFonts w:ascii="Times New Roman" w:hAnsi="Times New Roman"/>
          <w:color w:val="000000"/>
        </w:rPr>
      </w:pPr>
      <w:r>
        <w:rPr>
          <w:rFonts w:ascii="Times New Roman" w:hAnsi="Times New Roman"/>
          <w:color w:val="000000"/>
        </w:rPr>
        <w:t>There is no assurance of confidentiality provided to the respondents</w:t>
      </w:r>
      <w:r w:rsidR="00F401EC">
        <w:rPr>
          <w:rFonts w:ascii="Times New Roman" w:hAnsi="Times New Roman"/>
          <w:color w:val="000000"/>
        </w:rPr>
        <w:t xml:space="preserve">. </w:t>
      </w:r>
    </w:p>
    <w:p w:rsidR="003116A2" w:rsidP="003116A2" w14:paraId="7DF17C49" w14:textId="77777777">
      <w:pPr>
        <w:tabs>
          <w:tab w:val="left" w:pos="-1440"/>
        </w:tabs>
        <w:ind w:left="720"/>
        <w:rPr>
          <w:rFonts w:ascii="Times New Roman" w:hAnsi="Times New Roman"/>
          <w:color w:val="000000"/>
        </w:rPr>
      </w:pPr>
    </w:p>
    <w:p w:rsidR="003116A2" w:rsidRPr="00B90B55" w:rsidP="003116A2" w14:paraId="3439EA24" w14:textId="77777777">
      <w:pPr>
        <w:tabs>
          <w:tab w:val="left" w:pos="-1440"/>
        </w:tabs>
        <w:ind w:left="720"/>
        <w:rPr>
          <w:rFonts w:ascii="Times New Roman" w:hAnsi="Times New Roman"/>
          <w:color w:val="000000"/>
        </w:rPr>
      </w:pPr>
      <w:r w:rsidRPr="00B90B55">
        <w:rPr>
          <w:rFonts w:ascii="Times New Roman" w:hAnsi="Times New Roman"/>
          <w:color w:val="000000"/>
        </w:rPr>
        <w:t>The information collected is covered in the associated published system of record notices:</w:t>
      </w:r>
    </w:p>
    <w:p w:rsidR="00B90B55" w:rsidRPr="00B90B55" w:rsidP="00B90B55" w14:paraId="6231C4DE" w14:textId="077D2019">
      <w:pPr>
        <w:widowControl/>
        <w:numPr>
          <w:ilvl w:val="0"/>
          <w:numId w:val="13"/>
        </w:numPr>
        <w:autoSpaceDE/>
        <w:autoSpaceDN/>
        <w:adjustRightInd/>
        <w:rPr>
          <w:rFonts w:ascii="Times New Roman" w:hAnsi="Times New Roman"/>
        </w:rPr>
      </w:pPr>
      <w:r w:rsidRPr="00B90B55">
        <w:rPr>
          <w:rFonts w:ascii="Times New Roman" w:hAnsi="Times New Roman"/>
        </w:rPr>
        <w:t>DHS/ALL-004 General Information Technology Access Account Records System (GITAARS), November 27, 2012, 77 FR 70792</w:t>
      </w:r>
      <w:r w:rsidR="00AC525F">
        <w:rPr>
          <w:rFonts w:ascii="Times New Roman" w:hAnsi="Times New Roman"/>
        </w:rPr>
        <w:t>; and</w:t>
      </w:r>
    </w:p>
    <w:p w:rsidR="00B90B55" w:rsidRPr="00B90B55" w:rsidP="00B90B55" w14:paraId="2A5A6FDC" w14:textId="652D1485">
      <w:pPr>
        <w:widowControl/>
        <w:numPr>
          <w:ilvl w:val="0"/>
          <w:numId w:val="13"/>
        </w:numPr>
        <w:autoSpaceDE/>
        <w:autoSpaceDN/>
        <w:adjustRightInd/>
        <w:rPr>
          <w:rFonts w:ascii="Times New Roman" w:hAnsi="Times New Roman"/>
        </w:rPr>
      </w:pPr>
      <w:r w:rsidRPr="00B90B55">
        <w:rPr>
          <w:rFonts w:ascii="Times New Roman" w:hAnsi="Times New Roman"/>
        </w:rPr>
        <w:t>DHS/ALL-037 E-Authentication Records System of Records, August 11, 2014, 79 FR 46857</w:t>
      </w:r>
      <w:r w:rsidR="00AC525F">
        <w:rPr>
          <w:rFonts w:ascii="Times New Roman" w:hAnsi="Times New Roman"/>
        </w:rPr>
        <w:t>.</w:t>
      </w:r>
    </w:p>
    <w:p w:rsidR="003116A2" w:rsidRPr="00B90B55" w:rsidP="003116A2" w14:paraId="5D936AD1" w14:textId="77777777">
      <w:pPr>
        <w:tabs>
          <w:tab w:val="left" w:pos="-1440"/>
        </w:tabs>
        <w:ind w:left="720"/>
        <w:rPr>
          <w:rFonts w:ascii="Times New Roman" w:hAnsi="Times New Roman"/>
        </w:rPr>
      </w:pPr>
    </w:p>
    <w:p w:rsidR="003116A2" w:rsidRPr="00B90B55" w:rsidP="003116A2" w14:paraId="7B75BD7F" w14:textId="5B7284FF">
      <w:pPr>
        <w:tabs>
          <w:tab w:val="left" w:pos="-1440"/>
        </w:tabs>
        <w:ind w:left="720"/>
        <w:rPr>
          <w:rFonts w:ascii="Times New Roman" w:hAnsi="Times New Roman"/>
        </w:rPr>
      </w:pPr>
      <w:r w:rsidRPr="00B90B55">
        <w:rPr>
          <w:rFonts w:ascii="Times New Roman" w:hAnsi="Times New Roman"/>
        </w:rPr>
        <w:t>The associated Privacy Impact Assessments</w:t>
      </w:r>
      <w:r w:rsidRPr="00B90B55">
        <w:rPr>
          <w:rFonts w:ascii="Times New Roman" w:hAnsi="Times New Roman"/>
          <w:color w:val="000000"/>
        </w:rPr>
        <w:t xml:space="preserve"> </w:t>
      </w:r>
      <w:r w:rsidRPr="00B90B55">
        <w:rPr>
          <w:rFonts w:ascii="Times New Roman" w:hAnsi="Times New Roman"/>
        </w:rPr>
        <w:t>are:</w:t>
      </w:r>
    </w:p>
    <w:p w:rsidR="00B90B55" w:rsidRPr="00992111" w:rsidP="00B90B55" w14:paraId="16F2385C" w14:textId="66451939">
      <w:pPr>
        <w:widowControl/>
        <w:numPr>
          <w:ilvl w:val="0"/>
          <w:numId w:val="12"/>
        </w:numPr>
        <w:autoSpaceDE/>
        <w:autoSpaceDN/>
        <w:adjustRightInd/>
        <w:rPr>
          <w:rFonts w:ascii="Times New Roman" w:hAnsi="Times New Roman"/>
        </w:rPr>
      </w:pPr>
      <w:r w:rsidRPr="00992111">
        <w:rPr>
          <w:rFonts w:ascii="Times New Roman" w:hAnsi="Times New Roman"/>
        </w:rPr>
        <w:t>DHS/USCIS/PIA-056 USCIS Electronic Immigration System (USCIS ELIS)</w:t>
      </w:r>
      <w:r w:rsidR="00AC525F">
        <w:rPr>
          <w:rFonts w:ascii="Times New Roman" w:hAnsi="Times New Roman"/>
        </w:rPr>
        <w:t>;</w:t>
      </w:r>
    </w:p>
    <w:p w:rsidR="00B90B55" w:rsidRPr="00992111" w:rsidP="00B90B55" w14:paraId="6568D439" w14:textId="387ADE49">
      <w:pPr>
        <w:widowControl/>
        <w:numPr>
          <w:ilvl w:val="0"/>
          <w:numId w:val="12"/>
        </w:numPr>
        <w:autoSpaceDE/>
        <w:autoSpaceDN/>
        <w:adjustRightInd/>
        <w:rPr>
          <w:rFonts w:ascii="Times New Roman" w:hAnsi="Times New Roman"/>
        </w:rPr>
      </w:pPr>
      <w:r w:rsidRPr="00992111">
        <w:rPr>
          <w:rFonts w:ascii="Times New Roman" w:hAnsi="Times New Roman"/>
        </w:rPr>
        <w:t>DHS/USCIS/PIA-030(h) myE-Verify</w:t>
      </w:r>
      <w:r w:rsidR="00AC525F">
        <w:rPr>
          <w:rFonts w:ascii="Times New Roman" w:hAnsi="Times New Roman"/>
        </w:rPr>
        <w:t>;</w:t>
      </w:r>
      <w:r w:rsidRPr="00992111">
        <w:rPr>
          <w:rFonts w:ascii="Times New Roman" w:hAnsi="Times New Roman"/>
        </w:rPr>
        <w:t> </w:t>
      </w:r>
    </w:p>
    <w:p w:rsidR="00B90B55" w:rsidRPr="00992111" w:rsidP="00B90B55" w14:paraId="01A26E65" w14:textId="2A27D5F5">
      <w:pPr>
        <w:widowControl/>
        <w:numPr>
          <w:ilvl w:val="0"/>
          <w:numId w:val="12"/>
        </w:numPr>
        <w:autoSpaceDE/>
        <w:autoSpaceDN/>
        <w:adjustRightInd/>
        <w:rPr>
          <w:rFonts w:ascii="Times New Roman" w:hAnsi="Times New Roman"/>
        </w:rPr>
      </w:pPr>
      <w:r w:rsidRPr="00992111">
        <w:rPr>
          <w:rFonts w:ascii="Times New Roman" w:hAnsi="Times New Roman"/>
        </w:rPr>
        <w:t>DHS/USCIS/PIA-071 myUSCIS Account Experience</w:t>
      </w:r>
      <w:r w:rsidR="00AC525F">
        <w:rPr>
          <w:rFonts w:ascii="Times New Roman" w:hAnsi="Times New Roman"/>
        </w:rPr>
        <w:t>;</w:t>
      </w:r>
    </w:p>
    <w:p w:rsidR="00B90B55" w:rsidRPr="007838B7" w:rsidP="007838B7" w14:paraId="5B704244" w14:textId="74A096D7">
      <w:pPr>
        <w:widowControl/>
        <w:numPr>
          <w:ilvl w:val="0"/>
          <w:numId w:val="12"/>
        </w:numPr>
        <w:autoSpaceDE/>
        <w:autoSpaceDN/>
        <w:adjustRightInd/>
        <w:rPr>
          <w:rFonts w:ascii="Times New Roman" w:hAnsi="Times New Roman"/>
        </w:rPr>
      </w:pPr>
      <w:r w:rsidRPr="00992111">
        <w:rPr>
          <w:rFonts w:ascii="Times New Roman" w:hAnsi="Times New Roman"/>
        </w:rPr>
        <w:t>DHS/USCIS/PIA-077 FOIA Immigration Records System (FIRST)</w:t>
      </w:r>
      <w:r w:rsidRPr="007838B7" w:rsidR="00AC525F">
        <w:rPr>
          <w:rFonts w:ascii="Times New Roman" w:hAnsi="Times New Roman"/>
        </w:rPr>
        <w:t>; and</w:t>
      </w:r>
    </w:p>
    <w:p w:rsidR="00B90B55" w:rsidRPr="00387CDF" w:rsidP="00B90B55" w14:paraId="7CAB219C" w14:textId="1C0DA745">
      <w:pPr>
        <w:widowControl/>
        <w:numPr>
          <w:ilvl w:val="0"/>
          <w:numId w:val="12"/>
        </w:numPr>
        <w:autoSpaceDE/>
        <w:autoSpaceDN/>
        <w:adjustRightInd/>
        <w:rPr>
          <w:rFonts w:ascii="Times New Roman" w:hAnsi="Times New Roman"/>
        </w:rPr>
      </w:pPr>
      <w:r w:rsidRPr="00387CDF">
        <w:rPr>
          <w:rFonts w:ascii="Times New Roman" w:hAnsi="Times New Roman"/>
        </w:rPr>
        <w:t>DHS/USCIS/PIA</w:t>
      </w:r>
      <w:r w:rsidRPr="00BA4E7D">
        <w:rPr>
          <w:rFonts w:ascii="Times New Roman" w:hAnsi="Times New Roman"/>
        </w:rPr>
        <w:t>-xxx</w:t>
      </w:r>
      <w:r w:rsidRPr="00387CDF">
        <w:rPr>
          <w:rFonts w:ascii="Times New Roman" w:hAnsi="Times New Roman"/>
        </w:rPr>
        <w:t xml:space="preserve"> USCIS Accounts Public (forthcoming)</w:t>
      </w:r>
      <w:r w:rsidR="00AC525F">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3116A2" w:rsidP="003116A2" w14:paraId="0541E00C" w14:textId="77777777">
      <w:pPr>
        <w:tabs>
          <w:tab w:val="left" w:pos="-1440"/>
        </w:tabs>
        <w:ind w:left="720"/>
        <w:rPr>
          <w:rFonts w:ascii="Times New Roman" w:hAnsi="Times New Roman"/>
        </w:rPr>
      </w:pPr>
      <w:r>
        <w:rPr>
          <w:rFonts w:ascii="Times New Roman" w:hAnsi="Times New Roman"/>
        </w:rPr>
        <w:t>There are no questions of a sensitive nature within this collection.</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CF614A" w:rsidP="000868D8" w14:paraId="69BA2952" w14:textId="070E6E5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3927D7" w:rsidP="000868D8" w14:paraId="2671D7DC" w14:textId="77777777">
      <w:pPr>
        <w:tabs>
          <w:tab w:val="left" w:pos="-1440"/>
          <w:tab w:val="left" w:pos="1080"/>
        </w:tabs>
        <w:ind w:left="1080" w:hanging="360"/>
        <w:rPr>
          <w:rFonts w:ascii="Times New Roman" w:hAnsi="Times New Roman"/>
          <w:b/>
        </w:rPr>
      </w:pPr>
    </w:p>
    <w:tbl>
      <w:tblPr>
        <w:tblW w:w="11250" w:type="dxa"/>
        <w:tblInd w:w="-820" w:type="dxa"/>
        <w:tblLayout w:type="fixed"/>
        <w:tblLook w:val="04A0"/>
      </w:tblPr>
      <w:tblGrid>
        <w:gridCol w:w="1440"/>
        <w:gridCol w:w="1530"/>
        <w:gridCol w:w="1350"/>
        <w:gridCol w:w="1260"/>
        <w:gridCol w:w="1170"/>
        <w:gridCol w:w="1080"/>
        <w:gridCol w:w="1080"/>
        <w:gridCol w:w="1080"/>
        <w:gridCol w:w="1260"/>
      </w:tblGrid>
      <w:tr w14:paraId="5853C132" w14:textId="77777777" w:rsidTr="00514C1A">
        <w:tblPrEx>
          <w:tblW w:w="11250" w:type="dxa"/>
          <w:tblInd w:w="-820" w:type="dxa"/>
          <w:tblLayout w:type="fixed"/>
          <w:tblLook w:val="04A0"/>
        </w:tblPrEx>
        <w:trPr>
          <w:trHeight w:val="227"/>
        </w:trPr>
        <w:tc>
          <w:tcPr>
            <w:tcW w:w="11250" w:type="dxa"/>
            <w:gridSpan w:val="9"/>
            <w:tcBorders>
              <w:top w:val="single" w:sz="8" w:space="0" w:color="auto"/>
              <w:left w:val="single" w:sz="8" w:space="0" w:color="auto"/>
              <w:bottom w:val="single" w:sz="8" w:space="0" w:color="auto"/>
              <w:right w:val="single" w:sz="8" w:space="0" w:color="000000"/>
            </w:tcBorders>
            <w:shd w:val="clear" w:color="auto" w:fill="F2F2F2"/>
            <w:noWrap/>
            <w:vAlign w:val="center"/>
            <w:hideMark/>
          </w:tcPr>
          <w:p w:rsidR="00514C1A" w14:paraId="6D5105AD" w14:textId="77777777">
            <w:pPr>
              <w:widowControl/>
              <w:autoSpaceDE/>
              <w:adjustRightInd/>
              <w:rPr>
                <w:rFonts w:ascii="Times New Roman" w:hAnsi="Times New Roman"/>
                <w:b/>
                <w:bCs/>
                <w:color w:val="000000"/>
                <w:sz w:val="20"/>
                <w:szCs w:val="20"/>
              </w:rPr>
            </w:pPr>
            <w:r>
              <w:rPr>
                <w:rFonts w:ascii="Times New Roman" w:hAnsi="Times New Roman"/>
                <w:b/>
                <w:bCs/>
                <w:color w:val="000000"/>
                <w:sz w:val="20"/>
                <w:szCs w:val="20"/>
              </w:rPr>
              <w:t>Information Collection Hour Burden Estimate</w:t>
            </w:r>
          </w:p>
        </w:tc>
      </w:tr>
      <w:tr w14:paraId="1B954ACB" w14:textId="77777777" w:rsidTr="00514C1A">
        <w:tblPrEx>
          <w:tblW w:w="11250" w:type="dxa"/>
          <w:tblInd w:w="-820" w:type="dxa"/>
          <w:tblLayout w:type="fixed"/>
          <w:tblLook w:val="04A0"/>
        </w:tblPrEx>
        <w:trPr>
          <w:trHeight w:val="227"/>
        </w:trPr>
        <w:tc>
          <w:tcPr>
            <w:tcW w:w="2970" w:type="dxa"/>
            <w:gridSpan w:val="2"/>
            <w:tcBorders>
              <w:top w:val="single" w:sz="8" w:space="0" w:color="auto"/>
              <w:left w:val="single" w:sz="8" w:space="0" w:color="auto"/>
              <w:bottom w:val="single" w:sz="8" w:space="0" w:color="auto"/>
              <w:right w:val="single" w:sz="8" w:space="0" w:color="000000"/>
            </w:tcBorders>
            <w:shd w:val="clear" w:color="auto" w:fill="F2F2F2"/>
            <w:noWrap/>
            <w:vAlign w:val="center"/>
            <w:hideMark/>
          </w:tcPr>
          <w:p w:rsidR="00514C1A" w14:paraId="2027850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F2F2F2"/>
            <w:noWrap/>
            <w:vAlign w:val="center"/>
            <w:hideMark/>
          </w:tcPr>
          <w:p w:rsidR="00514C1A" w14:paraId="27279D5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260" w:type="dxa"/>
            <w:tcBorders>
              <w:top w:val="nil"/>
              <w:left w:val="nil"/>
              <w:bottom w:val="single" w:sz="8" w:space="0" w:color="auto"/>
              <w:right w:val="single" w:sz="8" w:space="0" w:color="auto"/>
            </w:tcBorders>
            <w:shd w:val="clear" w:color="auto" w:fill="F2F2F2"/>
            <w:noWrap/>
            <w:vAlign w:val="center"/>
            <w:hideMark/>
          </w:tcPr>
          <w:p w:rsidR="00514C1A" w14:paraId="35CCAC4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170" w:type="dxa"/>
            <w:tcBorders>
              <w:top w:val="nil"/>
              <w:left w:val="nil"/>
              <w:bottom w:val="single" w:sz="8" w:space="0" w:color="auto"/>
              <w:right w:val="single" w:sz="8" w:space="0" w:color="auto"/>
            </w:tcBorders>
            <w:shd w:val="clear" w:color="auto" w:fill="F2F2F2"/>
            <w:noWrap/>
            <w:vAlign w:val="center"/>
            <w:hideMark/>
          </w:tcPr>
          <w:p w:rsidR="00514C1A" w14:paraId="07F9580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 A x B</w:t>
            </w:r>
          </w:p>
        </w:tc>
        <w:tc>
          <w:tcPr>
            <w:tcW w:w="1080" w:type="dxa"/>
            <w:tcBorders>
              <w:top w:val="nil"/>
              <w:left w:val="nil"/>
              <w:bottom w:val="single" w:sz="8" w:space="0" w:color="auto"/>
              <w:right w:val="single" w:sz="8" w:space="0" w:color="auto"/>
            </w:tcBorders>
            <w:shd w:val="clear" w:color="auto" w:fill="F2F2F2"/>
            <w:noWrap/>
            <w:vAlign w:val="center"/>
            <w:hideMark/>
          </w:tcPr>
          <w:p w:rsidR="00514C1A" w14:paraId="03B2447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080" w:type="dxa"/>
            <w:tcBorders>
              <w:top w:val="nil"/>
              <w:left w:val="nil"/>
              <w:bottom w:val="single" w:sz="8" w:space="0" w:color="auto"/>
              <w:right w:val="single" w:sz="8" w:space="0" w:color="auto"/>
            </w:tcBorders>
            <w:shd w:val="clear" w:color="auto" w:fill="F2F2F2"/>
            <w:noWrap/>
            <w:vAlign w:val="center"/>
            <w:hideMark/>
          </w:tcPr>
          <w:p w:rsidR="00514C1A" w14:paraId="68F9F0E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 C x D</w:t>
            </w:r>
          </w:p>
        </w:tc>
        <w:tc>
          <w:tcPr>
            <w:tcW w:w="1080" w:type="dxa"/>
            <w:tcBorders>
              <w:top w:val="nil"/>
              <w:left w:val="nil"/>
              <w:bottom w:val="single" w:sz="8" w:space="0" w:color="auto"/>
              <w:right w:val="single" w:sz="8" w:space="0" w:color="auto"/>
            </w:tcBorders>
            <w:shd w:val="clear" w:color="auto" w:fill="F2F2F2"/>
            <w:noWrap/>
            <w:vAlign w:val="center"/>
            <w:hideMark/>
          </w:tcPr>
          <w:p w:rsidR="00514C1A" w14:paraId="579BE66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F </w:t>
            </w:r>
          </w:p>
        </w:tc>
        <w:tc>
          <w:tcPr>
            <w:tcW w:w="1260" w:type="dxa"/>
            <w:tcBorders>
              <w:top w:val="nil"/>
              <w:left w:val="nil"/>
              <w:bottom w:val="single" w:sz="8" w:space="0" w:color="auto"/>
              <w:right w:val="single" w:sz="8" w:space="0" w:color="auto"/>
            </w:tcBorders>
            <w:shd w:val="clear" w:color="auto" w:fill="F2F2F2"/>
            <w:noWrap/>
            <w:vAlign w:val="center"/>
            <w:hideMark/>
          </w:tcPr>
          <w:p w:rsidR="00514C1A" w14:paraId="12E2A30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G = E x F</w:t>
            </w:r>
          </w:p>
        </w:tc>
      </w:tr>
      <w:tr w14:paraId="41FCD2F8" w14:textId="77777777" w:rsidTr="00514C1A">
        <w:tblPrEx>
          <w:tblW w:w="11250" w:type="dxa"/>
          <w:tblInd w:w="-820" w:type="dxa"/>
          <w:tblLayout w:type="fixed"/>
          <w:tblLook w:val="04A0"/>
        </w:tblPrEx>
        <w:trPr>
          <w:trHeight w:val="627"/>
        </w:trPr>
        <w:tc>
          <w:tcPr>
            <w:tcW w:w="1440" w:type="dxa"/>
            <w:tcBorders>
              <w:top w:val="nil"/>
              <w:left w:val="single" w:sz="8" w:space="0" w:color="auto"/>
              <w:bottom w:val="single" w:sz="8" w:space="0" w:color="auto"/>
              <w:right w:val="single" w:sz="8" w:space="0" w:color="auto"/>
            </w:tcBorders>
            <w:shd w:val="clear" w:color="auto" w:fill="D9D9D9"/>
            <w:vAlign w:val="center"/>
            <w:hideMark/>
          </w:tcPr>
          <w:p w:rsidR="00514C1A" w14:paraId="4962FBE7"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Type of Respondent</w:t>
            </w:r>
          </w:p>
        </w:tc>
        <w:tc>
          <w:tcPr>
            <w:tcW w:w="1530" w:type="dxa"/>
            <w:tcBorders>
              <w:top w:val="nil"/>
              <w:left w:val="nil"/>
              <w:bottom w:val="single" w:sz="8" w:space="0" w:color="auto"/>
              <w:right w:val="single" w:sz="8" w:space="0" w:color="auto"/>
            </w:tcBorders>
            <w:shd w:val="clear" w:color="auto" w:fill="D9D9D9"/>
            <w:vAlign w:val="center"/>
            <w:hideMark/>
          </w:tcPr>
          <w:p w:rsidR="00514C1A" w14:paraId="7566A28F"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Form Name / Form Number</w:t>
            </w:r>
          </w:p>
        </w:tc>
        <w:tc>
          <w:tcPr>
            <w:tcW w:w="1350" w:type="dxa"/>
            <w:tcBorders>
              <w:top w:val="nil"/>
              <w:left w:val="nil"/>
              <w:bottom w:val="single" w:sz="8" w:space="0" w:color="auto"/>
              <w:right w:val="single" w:sz="8" w:space="0" w:color="auto"/>
            </w:tcBorders>
            <w:shd w:val="clear" w:color="auto" w:fill="D9D9D9"/>
            <w:vAlign w:val="center"/>
            <w:hideMark/>
          </w:tcPr>
          <w:p w:rsidR="00514C1A" w14:paraId="7D773963"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of Respondents</w:t>
            </w:r>
          </w:p>
        </w:tc>
        <w:tc>
          <w:tcPr>
            <w:tcW w:w="1260" w:type="dxa"/>
            <w:tcBorders>
              <w:top w:val="nil"/>
              <w:left w:val="nil"/>
              <w:bottom w:val="single" w:sz="8" w:space="0" w:color="auto"/>
              <w:right w:val="single" w:sz="8" w:space="0" w:color="auto"/>
            </w:tcBorders>
            <w:shd w:val="clear" w:color="auto" w:fill="D9D9D9"/>
            <w:vAlign w:val="center"/>
            <w:hideMark/>
          </w:tcPr>
          <w:p w:rsidR="00514C1A" w14:paraId="61E18B77"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of Responses per Respondent</w:t>
            </w:r>
          </w:p>
        </w:tc>
        <w:tc>
          <w:tcPr>
            <w:tcW w:w="1170" w:type="dxa"/>
            <w:tcBorders>
              <w:top w:val="nil"/>
              <w:left w:val="nil"/>
              <w:bottom w:val="single" w:sz="8" w:space="0" w:color="auto"/>
              <w:right w:val="single" w:sz="8" w:space="0" w:color="auto"/>
            </w:tcBorders>
            <w:shd w:val="clear" w:color="auto" w:fill="D9D9D9"/>
            <w:vAlign w:val="center"/>
            <w:hideMark/>
          </w:tcPr>
          <w:p w:rsidR="00514C1A" w14:paraId="24B041DA"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of Responses</w:t>
            </w:r>
          </w:p>
        </w:tc>
        <w:tc>
          <w:tcPr>
            <w:tcW w:w="1080" w:type="dxa"/>
            <w:tcBorders>
              <w:top w:val="nil"/>
              <w:left w:val="nil"/>
              <w:bottom w:val="single" w:sz="8" w:space="0" w:color="auto"/>
              <w:right w:val="single" w:sz="8" w:space="0" w:color="auto"/>
            </w:tcBorders>
            <w:shd w:val="clear" w:color="auto" w:fill="D9D9D9"/>
            <w:vAlign w:val="center"/>
            <w:hideMark/>
          </w:tcPr>
          <w:p w:rsidR="00514C1A" w14:paraId="18DB1812"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Avg. Burden per Response (in hours)</w:t>
            </w:r>
          </w:p>
        </w:tc>
        <w:tc>
          <w:tcPr>
            <w:tcW w:w="1080" w:type="dxa"/>
            <w:tcBorders>
              <w:top w:val="nil"/>
              <w:left w:val="nil"/>
              <w:bottom w:val="single" w:sz="8" w:space="0" w:color="auto"/>
              <w:right w:val="single" w:sz="8" w:space="0" w:color="auto"/>
            </w:tcBorders>
            <w:shd w:val="clear" w:color="auto" w:fill="D9D9D9"/>
            <w:vAlign w:val="center"/>
            <w:hideMark/>
          </w:tcPr>
          <w:p w:rsidR="00514C1A" w14:paraId="28373625"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T0.6otal Annual Burden (in hours)</w:t>
            </w:r>
          </w:p>
        </w:tc>
        <w:tc>
          <w:tcPr>
            <w:tcW w:w="1080" w:type="dxa"/>
            <w:tcBorders>
              <w:top w:val="nil"/>
              <w:left w:val="nil"/>
              <w:bottom w:val="single" w:sz="8" w:space="0" w:color="auto"/>
              <w:right w:val="single" w:sz="8" w:space="0" w:color="auto"/>
            </w:tcBorders>
            <w:shd w:val="clear" w:color="auto" w:fill="D9D9D9"/>
            <w:vAlign w:val="center"/>
            <w:hideMark/>
          </w:tcPr>
          <w:p w:rsidR="00514C1A" w14:paraId="6924E77B"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Avg. Hourly Wage Rate*</w:t>
            </w:r>
          </w:p>
        </w:tc>
        <w:tc>
          <w:tcPr>
            <w:tcW w:w="1260" w:type="dxa"/>
            <w:tcBorders>
              <w:top w:val="nil"/>
              <w:left w:val="nil"/>
              <w:bottom w:val="single" w:sz="8" w:space="0" w:color="auto"/>
              <w:right w:val="single" w:sz="8" w:space="0" w:color="auto"/>
            </w:tcBorders>
            <w:shd w:val="clear" w:color="auto" w:fill="D9D9D9"/>
            <w:vAlign w:val="center"/>
            <w:hideMark/>
          </w:tcPr>
          <w:p w:rsidR="00514C1A" w14:paraId="47D142CF"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Total Annual Respondent Cost</w:t>
            </w:r>
          </w:p>
        </w:tc>
      </w:tr>
      <w:tr w14:paraId="1CDA2A42" w14:textId="77777777" w:rsidTr="00514C1A">
        <w:tblPrEx>
          <w:tblW w:w="11250" w:type="dxa"/>
          <w:tblInd w:w="-820" w:type="dxa"/>
          <w:tblLayout w:type="fixed"/>
          <w:tblLook w:val="04A0"/>
        </w:tblPrEx>
        <w:trPr>
          <w:trHeight w:val="745"/>
        </w:trPr>
        <w:tc>
          <w:tcPr>
            <w:tcW w:w="1440" w:type="dxa"/>
            <w:tcBorders>
              <w:top w:val="nil"/>
              <w:left w:val="single" w:sz="8" w:space="0" w:color="auto"/>
              <w:bottom w:val="single" w:sz="8" w:space="0" w:color="auto"/>
              <w:right w:val="single" w:sz="8" w:space="0" w:color="auto"/>
            </w:tcBorders>
            <w:vAlign w:val="center"/>
            <w:hideMark/>
          </w:tcPr>
          <w:p w:rsidR="00514C1A" w14:paraId="1B3650C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530" w:type="dxa"/>
            <w:tcBorders>
              <w:top w:val="nil"/>
              <w:left w:val="nil"/>
              <w:bottom w:val="single" w:sz="8" w:space="0" w:color="auto"/>
              <w:right w:val="single" w:sz="8" w:space="0" w:color="auto"/>
            </w:tcBorders>
            <w:vAlign w:val="center"/>
            <w:hideMark/>
          </w:tcPr>
          <w:p w:rsidR="00514C1A" w14:paraId="0DC5D69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USCIS Online Account Access</w:t>
            </w:r>
          </w:p>
        </w:tc>
        <w:tc>
          <w:tcPr>
            <w:tcW w:w="1350" w:type="dxa"/>
            <w:tcBorders>
              <w:top w:val="nil"/>
              <w:left w:val="nil"/>
              <w:bottom w:val="single" w:sz="8" w:space="0" w:color="auto"/>
              <w:right w:val="single" w:sz="8" w:space="0" w:color="auto"/>
            </w:tcBorders>
            <w:vAlign w:val="center"/>
            <w:hideMark/>
          </w:tcPr>
          <w:p w:rsidR="00514C1A" w14:paraId="79C5E85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4,240,000</w:t>
            </w:r>
          </w:p>
        </w:tc>
        <w:tc>
          <w:tcPr>
            <w:tcW w:w="1260" w:type="dxa"/>
            <w:tcBorders>
              <w:top w:val="nil"/>
              <w:left w:val="nil"/>
              <w:bottom w:val="single" w:sz="8" w:space="0" w:color="auto"/>
              <w:right w:val="single" w:sz="8" w:space="0" w:color="auto"/>
            </w:tcBorders>
            <w:vAlign w:val="center"/>
            <w:hideMark/>
          </w:tcPr>
          <w:p w:rsidR="00514C1A" w14:paraId="387060F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vAlign w:val="center"/>
            <w:hideMark/>
          </w:tcPr>
          <w:p w:rsidR="00514C1A" w14:paraId="4A450FF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4,240,000</w:t>
            </w:r>
          </w:p>
        </w:tc>
        <w:tc>
          <w:tcPr>
            <w:tcW w:w="1080" w:type="dxa"/>
            <w:tcBorders>
              <w:top w:val="nil"/>
              <w:left w:val="nil"/>
              <w:bottom w:val="single" w:sz="8" w:space="0" w:color="auto"/>
              <w:right w:val="single" w:sz="8" w:space="0" w:color="auto"/>
            </w:tcBorders>
            <w:vAlign w:val="center"/>
            <w:hideMark/>
          </w:tcPr>
          <w:p w:rsidR="00514C1A" w14:paraId="56834D7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0.167</w:t>
            </w:r>
          </w:p>
        </w:tc>
        <w:tc>
          <w:tcPr>
            <w:tcW w:w="1080" w:type="dxa"/>
            <w:tcBorders>
              <w:top w:val="nil"/>
              <w:left w:val="nil"/>
              <w:bottom w:val="single" w:sz="8" w:space="0" w:color="auto"/>
              <w:right w:val="single" w:sz="8" w:space="0" w:color="auto"/>
            </w:tcBorders>
            <w:vAlign w:val="center"/>
            <w:hideMark/>
          </w:tcPr>
          <w:p w:rsidR="00514C1A" w14:paraId="063F2E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708,080</w:t>
            </w:r>
          </w:p>
        </w:tc>
        <w:tc>
          <w:tcPr>
            <w:tcW w:w="1080" w:type="dxa"/>
            <w:tcBorders>
              <w:top w:val="nil"/>
              <w:left w:val="nil"/>
              <w:bottom w:val="single" w:sz="8" w:space="0" w:color="auto"/>
              <w:right w:val="single" w:sz="8" w:space="0" w:color="auto"/>
            </w:tcBorders>
            <w:vAlign w:val="center"/>
            <w:hideMark/>
          </w:tcPr>
          <w:p w:rsidR="00514C1A" w14:paraId="40DD9E7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$43.45* </w:t>
            </w:r>
          </w:p>
        </w:tc>
        <w:tc>
          <w:tcPr>
            <w:tcW w:w="1260" w:type="dxa"/>
            <w:tcBorders>
              <w:top w:val="nil"/>
              <w:left w:val="nil"/>
              <w:bottom w:val="single" w:sz="8" w:space="0" w:color="auto"/>
              <w:right w:val="single" w:sz="8" w:space="0" w:color="auto"/>
            </w:tcBorders>
            <w:vAlign w:val="center"/>
            <w:hideMark/>
          </w:tcPr>
          <w:p w:rsidR="00514C1A" w14:paraId="11163AC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$30,766,076 </w:t>
            </w:r>
          </w:p>
        </w:tc>
      </w:tr>
      <w:tr w14:paraId="0A0B40A6" w14:textId="77777777" w:rsidTr="00514C1A">
        <w:tblPrEx>
          <w:tblW w:w="11250" w:type="dxa"/>
          <w:tblInd w:w="-820" w:type="dxa"/>
          <w:tblLayout w:type="fixed"/>
          <w:tblLook w:val="04A0"/>
        </w:tblPrEx>
        <w:trPr>
          <w:trHeight w:val="790"/>
        </w:trPr>
        <w:tc>
          <w:tcPr>
            <w:tcW w:w="1440" w:type="dxa"/>
            <w:tcBorders>
              <w:top w:val="nil"/>
              <w:left w:val="single" w:sz="8" w:space="0" w:color="auto"/>
              <w:bottom w:val="single" w:sz="8" w:space="0" w:color="auto"/>
              <w:right w:val="single" w:sz="8" w:space="0" w:color="auto"/>
            </w:tcBorders>
            <w:vAlign w:val="center"/>
            <w:hideMark/>
          </w:tcPr>
          <w:p w:rsidR="00514C1A" w14:paraId="7893D5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Business or other for-profit</w:t>
            </w:r>
          </w:p>
        </w:tc>
        <w:tc>
          <w:tcPr>
            <w:tcW w:w="1530" w:type="dxa"/>
            <w:tcBorders>
              <w:top w:val="nil"/>
              <w:left w:val="nil"/>
              <w:bottom w:val="single" w:sz="8" w:space="0" w:color="auto"/>
              <w:right w:val="single" w:sz="8" w:space="0" w:color="auto"/>
            </w:tcBorders>
            <w:vAlign w:val="center"/>
            <w:hideMark/>
          </w:tcPr>
          <w:p w:rsidR="00514C1A" w14:paraId="5A6ECFC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USCIS Online Account Access</w:t>
            </w:r>
          </w:p>
        </w:tc>
        <w:tc>
          <w:tcPr>
            <w:tcW w:w="1350" w:type="dxa"/>
            <w:tcBorders>
              <w:top w:val="nil"/>
              <w:left w:val="nil"/>
              <w:bottom w:val="single" w:sz="8" w:space="0" w:color="auto"/>
              <w:right w:val="single" w:sz="8" w:space="0" w:color="auto"/>
            </w:tcBorders>
            <w:vAlign w:val="center"/>
            <w:hideMark/>
          </w:tcPr>
          <w:p w:rsidR="00514C1A" w14:paraId="682696D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1,060,000</w:t>
            </w:r>
          </w:p>
        </w:tc>
        <w:tc>
          <w:tcPr>
            <w:tcW w:w="1260" w:type="dxa"/>
            <w:tcBorders>
              <w:top w:val="nil"/>
              <w:left w:val="nil"/>
              <w:bottom w:val="single" w:sz="8" w:space="0" w:color="auto"/>
              <w:right w:val="single" w:sz="8" w:space="0" w:color="auto"/>
            </w:tcBorders>
            <w:vAlign w:val="center"/>
            <w:hideMark/>
          </w:tcPr>
          <w:p w:rsidR="00514C1A" w14:paraId="2B762FE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vAlign w:val="center"/>
            <w:hideMark/>
          </w:tcPr>
          <w:p w:rsidR="00514C1A" w14:paraId="7019147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1,060,000</w:t>
            </w:r>
          </w:p>
        </w:tc>
        <w:tc>
          <w:tcPr>
            <w:tcW w:w="1080" w:type="dxa"/>
            <w:tcBorders>
              <w:top w:val="nil"/>
              <w:left w:val="nil"/>
              <w:bottom w:val="single" w:sz="8" w:space="0" w:color="auto"/>
              <w:right w:val="single" w:sz="8" w:space="0" w:color="auto"/>
            </w:tcBorders>
            <w:vAlign w:val="center"/>
            <w:hideMark/>
          </w:tcPr>
          <w:p w:rsidR="00514C1A" w14:paraId="0D33587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0.167</w:t>
            </w:r>
          </w:p>
        </w:tc>
        <w:tc>
          <w:tcPr>
            <w:tcW w:w="1080" w:type="dxa"/>
            <w:tcBorders>
              <w:top w:val="nil"/>
              <w:left w:val="nil"/>
              <w:bottom w:val="single" w:sz="8" w:space="0" w:color="auto"/>
              <w:right w:val="single" w:sz="8" w:space="0" w:color="auto"/>
            </w:tcBorders>
            <w:vAlign w:val="center"/>
            <w:hideMark/>
          </w:tcPr>
          <w:p w:rsidR="00514C1A" w14:paraId="05D4FC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177,020</w:t>
            </w:r>
          </w:p>
        </w:tc>
        <w:tc>
          <w:tcPr>
            <w:tcW w:w="1080" w:type="dxa"/>
            <w:tcBorders>
              <w:top w:val="nil"/>
              <w:left w:val="nil"/>
              <w:bottom w:val="single" w:sz="8" w:space="0" w:color="auto"/>
              <w:right w:val="single" w:sz="8" w:space="0" w:color="auto"/>
            </w:tcBorders>
            <w:vAlign w:val="center"/>
            <w:hideMark/>
          </w:tcPr>
          <w:p w:rsidR="00514C1A" w14:paraId="56DD561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$60.43** </w:t>
            </w:r>
          </w:p>
        </w:tc>
        <w:tc>
          <w:tcPr>
            <w:tcW w:w="1260" w:type="dxa"/>
            <w:tcBorders>
              <w:top w:val="nil"/>
              <w:left w:val="nil"/>
              <w:bottom w:val="single" w:sz="8" w:space="0" w:color="auto"/>
              <w:right w:val="single" w:sz="8" w:space="0" w:color="auto"/>
            </w:tcBorders>
            <w:vAlign w:val="center"/>
            <w:hideMark/>
          </w:tcPr>
          <w:p w:rsidR="00514C1A" w14:paraId="043BED4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$10,697,319 </w:t>
            </w:r>
          </w:p>
        </w:tc>
      </w:tr>
      <w:tr w14:paraId="762E3C8A" w14:textId="77777777" w:rsidTr="00514C1A">
        <w:tblPrEx>
          <w:tblW w:w="11250" w:type="dxa"/>
          <w:tblInd w:w="-820" w:type="dxa"/>
          <w:tblLayout w:type="fixed"/>
          <w:tblLook w:val="04A0"/>
        </w:tblPrEx>
        <w:trPr>
          <w:trHeight w:val="1348"/>
        </w:trPr>
        <w:tc>
          <w:tcPr>
            <w:tcW w:w="1440" w:type="dxa"/>
            <w:tcBorders>
              <w:top w:val="nil"/>
              <w:left w:val="single" w:sz="8" w:space="0" w:color="auto"/>
              <w:bottom w:val="single" w:sz="8" w:space="0" w:color="auto"/>
              <w:right w:val="single" w:sz="8" w:space="0" w:color="auto"/>
            </w:tcBorders>
            <w:vAlign w:val="center"/>
            <w:hideMark/>
          </w:tcPr>
          <w:p w:rsidR="00514C1A" w14:paraId="6CBBD11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Business or other for-profit</w:t>
            </w:r>
          </w:p>
        </w:tc>
        <w:tc>
          <w:tcPr>
            <w:tcW w:w="1530" w:type="dxa"/>
            <w:tcBorders>
              <w:top w:val="nil"/>
              <w:left w:val="nil"/>
              <w:bottom w:val="single" w:sz="8" w:space="0" w:color="auto"/>
              <w:right w:val="single" w:sz="8" w:space="0" w:color="auto"/>
            </w:tcBorders>
            <w:vAlign w:val="center"/>
            <w:hideMark/>
          </w:tcPr>
          <w:p w:rsidR="00514C1A" w14:paraId="7C50F5F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Account Interactions (Profiles, invitations, management)</w:t>
            </w:r>
          </w:p>
        </w:tc>
        <w:tc>
          <w:tcPr>
            <w:tcW w:w="1350" w:type="dxa"/>
            <w:tcBorders>
              <w:top w:val="nil"/>
              <w:left w:val="nil"/>
              <w:bottom w:val="single" w:sz="8" w:space="0" w:color="auto"/>
              <w:right w:val="single" w:sz="8" w:space="0" w:color="auto"/>
            </w:tcBorders>
            <w:vAlign w:val="center"/>
            <w:hideMark/>
          </w:tcPr>
          <w:p w:rsidR="00514C1A" w14:paraId="48F998F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300,000 </w:t>
            </w:r>
          </w:p>
        </w:tc>
        <w:tc>
          <w:tcPr>
            <w:tcW w:w="1260" w:type="dxa"/>
            <w:tcBorders>
              <w:top w:val="nil"/>
              <w:left w:val="nil"/>
              <w:bottom w:val="single" w:sz="8" w:space="0" w:color="auto"/>
              <w:right w:val="single" w:sz="8" w:space="0" w:color="auto"/>
            </w:tcBorders>
            <w:vAlign w:val="center"/>
            <w:hideMark/>
          </w:tcPr>
          <w:p w:rsidR="00514C1A" w14:paraId="2A6F170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vAlign w:val="center"/>
            <w:hideMark/>
          </w:tcPr>
          <w:p w:rsidR="00514C1A" w14:paraId="02D3175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300,000</w:t>
            </w:r>
          </w:p>
        </w:tc>
        <w:tc>
          <w:tcPr>
            <w:tcW w:w="1080" w:type="dxa"/>
            <w:tcBorders>
              <w:top w:val="nil"/>
              <w:left w:val="nil"/>
              <w:bottom w:val="single" w:sz="8" w:space="0" w:color="auto"/>
              <w:right w:val="single" w:sz="8" w:space="0" w:color="auto"/>
            </w:tcBorders>
            <w:vAlign w:val="center"/>
            <w:hideMark/>
          </w:tcPr>
          <w:p w:rsidR="00514C1A" w14:paraId="773386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0.315</w:t>
            </w:r>
          </w:p>
        </w:tc>
        <w:tc>
          <w:tcPr>
            <w:tcW w:w="1080" w:type="dxa"/>
            <w:tcBorders>
              <w:top w:val="nil"/>
              <w:left w:val="nil"/>
              <w:bottom w:val="single" w:sz="8" w:space="0" w:color="auto"/>
              <w:right w:val="single" w:sz="8" w:space="0" w:color="auto"/>
            </w:tcBorders>
            <w:vAlign w:val="center"/>
            <w:hideMark/>
          </w:tcPr>
          <w:p w:rsidR="00514C1A" w14:paraId="0EC8302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94,500</w:t>
            </w:r>
          </w:p>
        </w:tc>
        <w:tc>
          <w:tcPr>
            <w:tcW w:w="1080" w:type="dxa"/>
            <w:tcBorders>
              <w:top w:val="nil"/>
              <w:left w:val="nil"/>
              <w:bottom w:val="single" w:sz="8" w:space="0" w:color="auto"/>
              <w:right w:val="single" w:sz="8" w:space="0" w:color="auto"/>
            </w:tcBorders>
            <w:vAlign w:val="center"/>
            <w:hideMark/>
          </w:tcPr>
          <w:p w:rsidR="00514C1A" w14:paraId="30EC67D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$60.43** </w:t>
            </w:r>
          </w:p>
        </w:tc>
        <w:tc>
          <w:tcPr>
            <w:tcW w:w="1260" w:type="dxa"/>
            <w:tcBorders>
              <w:top w:val="nil"/>
              <w:left w:val="nil"/>
              <w:bottom w:val="single" w:sz="8" w:space="0" w:color="auto"/>
              <w:right w:val="single" w:sz="8" w:space="0" w:color="auto"/>
            </w:tcBorders>
            <w:vAlign w:val="center"/>
            <w:hideMark/>
          </w:tcPr>
          <w:p w:rsidR="00514C1A" w14:paraId="78587FD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$5,710,635</w:t>
            </w:r>
          </w:p>
        </w:tc>
      </w:tr>
      <w:tr w14:paraId="1DB719EE" w14:textId="77777777" w:rsidTr="00514C1A">
        <w:tblPrEx>
          <w:tblW w:w="11250" w:type="dxa"/>
          <w:tblInd w:w="-820" w:type="dxa"/>
          <w:tblLayout w:type="fixed"/>
          <w:tblLook w:val="04A0"/>
        </w:tblPrEx>
        <w:trPr>
          <w:trHeight w:val="358"/>
        </w:trPr>
        <w:tc>
          <w:tcPr>
            <w:tcW w:w="1440" w:type="dxa"/>
            <w:tcBorders>
              <w:top w:val="nil"/>
              <w:left w:val="single" w:sz="8" w:space="0" w:color="auto"/>
              <w:bottom w:val="single" w:sz="8" w:space="0" w:color="auto"/>
              <w:right w:val="single" w:sz="8" w:space="0" w:color="auto"/>
            </w:tcBorders>
            <w:vAlign w:val="center"/>
            <w:hideMark/>
          </w:tcPr>
          <w:p w:rsidR="00514C1A" w14:paraId="66D572B1"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Total</w:t>
            </w:r>
          </w:p>
        </w:tc>
        <w:tc>
          <w:tcPr>
            <w:tcW w:w="1530" w:type="dxa"/>
            <w:tcBorders>
              <w:top w:val="nil"/>
              <w:left w:val="nil"/>
              <w:bottom w:val="single" w:sz="8" w:space="0" w:color="auto"/>
              <w:right w:val="single" w:sz="8" w:space="0" w:color="auto"/>
            </w:tcBorders>
            <w:shd w:val="clear" w:color="auto" w:fill="000000"/>
            <w:vAlign w:val="center"/>
            <w:hideMark/>
          </w:tcPr>
          <w:p w:rsidR="00514C1A" w14:paraId="259DD42F" w14:textId="77777777">
            <w:pPr>
              <w:widowControl/>
              <w:autoSpaceDE/>
              <w:adjustRightInd/>
              <w:rPr>
                <w:rFonts w:ascii="Times New Roman" w:hAnsi="Times New Roman"/>
                <w:color w:val="000000"/>
                <w:sz w:val="20"/>
                <w:szCs w:val="20"/>
              </w:rPr>
            </w:pPr>
            <w:r>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000000"/>
            <w:vAlign w:val="center"/>
            <w:hideMark/>
          </w:tcPr>
          <w:p w:rsidR="00514C1A" w14:paraId="32E1C76C"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000000"/>
            <w:vAlign w:val="center"/>
            <w:hideMark/>
          </w:tcPr>
          <w:p w:rsidR="00514C1A" w14:paraId="1AAC447E" w14:textId="77777777">
            <w:pPr>
              <w:widowControl/>
              <w:autoSpaceDE/>
              <w:adjustRightInd/>
              <w:rPr>
                <w:rFonts w:ascii="Times New Roman" w:hAnsi="Times New Roman"/>
                <w:color w:val="000000"/>
                <w:sz w:val="20"/>
                <w:szCs w:val="20"/>
              </w:rPr>
            </w:pPr>
            <w:r>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vAlign w:val="center"/>
            <w:hideMark/>
          </w:tcPr>
          <w:p w:rsidR="00514C1A" w14:paraId="5DCC4979"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5,600,000</w:t>
            </w:r>
          </w:p>
        </w:tc>
        <w:tc>
          <w:tcPr>
            <w:tcW w:w="1080" w:type="dxa"/>
            <w:tcBorders>
              <w:top w:val="nil"/>
              <w:left w:val="nil"/>
              <w:bottom w:val="single" w:sz="8" w:space="0" w:color="auto"/>
              <w:right w:val="single" w:sz="8" w:space="0" w:color="auto"/>
            </w:tcBorders>
            <w:shd w:val="clear" w:color="auto" w:fill="000000"/>
            <w:vAlign w:val="center"/>
            <w:hideMark/>
          </w:tcPr>
          <w:p w:rsidR="00514C1A" w14:paraId="012B8D8A" w14:textId="77777777">
            <w:pPr>
              <w:widowControl/>
              <w:autoSpaceDE/>
              <w:adjustRightInd/>
              <w:rPr>
                <w:rFonts w:ascii="Times New Roman" w:hAnsi="Times New Roman"/>
                <w:color w:val="000000"/>
                <w:sz w:val="20"/>
                <w:szCs w:val="20"/>
              </w:rPr>
            </w:pPr>
            <w:r>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vAlign w:val="center"/>
            <w:hideMark/>
          </w:tcPr>
          <w:p w:rsidR="00514C1A" w14:paraId="7EE18DCB"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979,600</w:t>
            </w:r>
          </w:p>
        </w:tc>
        <w:tc>
          <w:tcPr>
            <w:tcW w:w="1080" w:type="dxa"/>
            <w:tcBorders>
              <w:top w:val="nil"/>
              <w:left w:val="nil"/>
              <w:bottom w:val="single" w:sz="8" w:space="0" w:color="auto"/>
              <w:right w:val="single" w:sz="8" w:space="0" w:color="auto"/>
            </w:tcBorders>
            <w:shd w:val="clear" w:color="auto" w:fill="000000"/>
            <w:vAlign w:val="center"/>
            <w:hideMark/>
          </w:tcPr>
          <w:p w:rsidR="00514C1A" w14:paraId="2E099A76" w14:textId="77777777">
            <w:pPr>
              <w:widowControl/>
              <w:autoSpaceDE/>
              <w:adjustRightInd/>
              <w:rPr>
                <w:rFonts w:ascii="Times New Roman" w:hAnsi="Times New Roman"/>
                <w:color w:val="000000"/>
                <w:sz w:val="20"/>
                <w:szCs w:val="20"/>
              </w:rPr>
            </w:pPr>
            <w:r>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vAlign w:val="center"/>
            <w:hideMark/>
          </w:tcPr>
          <w:p w:rsidR="00514C1A" w14:paraId="41776DAB" w14:textId="77777777">
            <w:pPr>
              <w:widowControl/>
              <w:autoSpaceDE/>
              <w:adjustRightInd/>
              <w:jc w:val="center"/>
              <w:rPr>
                <w:rFonts w:ascii="Times New Roman" w:hAnsi="Times New Roman"/>
                <w:b/>
                <w:bCs/>
                <w:color w:val="000000"/>
                <w:sz w:val="20"/>
                <w:szCs w:val="20"/>
              </w:rPr>
            </w:pPr>
            <w:r>
              <w:rPr>
                <w:rFonts w:ascii="Times New Roman" w:hAnsi="Times New Roman"/>
                <w:b/>
                <w:bCs/>
                <w:color w:val="000000"/>
                <w:sz w:val="20"/>
                <w:szCs w:val="20"/>
              </w:rPr>
              <w:t xml:space="preserve">$47,174,030 </w:t>
            </w:r>
          </w:p>
        </w:tc>
      </w:tr>
    </w:tbl>
    <w:p w:rsidR="00DE64B1" w:rsidP="00D64D94" w14:paraId="625F20A1" w14:textId="77777777">
      <w:pPr>
        <w:tabs>
          <w:tab w:val="left" w:pos="-1440"/>
        </w:tabs>
        <w:jc w:val="both"/>
        <w:rPr>
          <w:rFonts w:ascii="Times New Roman" w:hAnsi="Times New Roman"/>
          <w:i/>
          <w:iCs/>
          <w:sz w:val="20"/>
          <w:szCs w:val="20"/>
        </w:rPr>
      </w:pPr>
    </w:p>
    <w:p w:rsidR="00D64D94" w:rsidP="006C6D7D" w14:paraId="73B88F29" w14:textId="77777777">
      <w:pPr>
        <w:tabs>
          <w:tab w:val="left" w:pos="-1440"/>
        </w:tabs>
        <w:ind w:left="720"/>
        <w:jc w:val="both"/>
        <w:rPr>
          <w:rFonts w:ascii="Times New Roman" w:hAnsi="Times New Roman"/>
          <w:i/>
          <w:iCs/>
          <w:sz w:val="20"/>
          <w:szCs w:val="20"/>
        </w:rPr>
      </w:pPr>
    </w:p>
    <w:p w:rsidR="00503F59" w:rsidP="006C6D7D" w14:paraId="1BCEB3FA" w14:textId="26ADC703">
      <w:pPr>
        <w:tabs>
          <w:tab w:val="left" w:pos="-1440"/>
        </w:tabs>
        <w:ind w:left="720"/>
        <w:jc w:val="both"/>
        <w:rPr>
          <w:rFonts w:ascii="Times New Roman" w:hAnsi="Times New Roman"/>
          <w:i/>
          <w:iCs/>
          <w:sz w:val="20"/>
          <w:szCs w:val="20"/>
        </w:rPr>
      </w:pPr>
      <w:r w:rsidRPr="00727E7B">
        <w:rPr>
          <w:rFonts w:ascii="Times New Roman" w:hAnsi="Times New Roman"/>
          <w:i/>
          <w:iCs/>
          <w:sz w:val="20"/>
          <w:szCs w:val="20"/>
        </w:rPr>
        <w:t xml:space="preserve">*  The above Average Hourly Wage Rate is the </w:t>
      </w:r>
      <w:hyperlink r:id="rId12" w:history="1">
        <w:r w:rsidRPr="00727E7B">
          <w:rPr>
            <w:rStyle w:val="Hyperlink"/>
            <w:rFonts w:ascii="Times New Roman" w:hAnsi="Times New Roman"/>
            <w:i/>
            <w:iCs/>
            <w:sz w:val="20"/>
            <w:szCs w:val="20"/>
          </w:rPr>
          <w:t>May 2022 Bureau of Labor Statistics</w:t>
        </w:r>
      </w:hyperlink>
      <w:r w:rsidRPr="00727E7B">
        <w:rPr>
          <w:rFonts w:ascii="Times New Roman" w:hAnsi="Times New Roman"/>
          <w:i/>
          <w:iCs/>
          <w:sz w:val="20"/>
          <w:szCs w:val="20"/>
        </w:rPr>
        <w:t xml:space="preserve"> average wage for All </w:t>
      </w:r>
      <w:r w:rsidRPr="00727E7B">
        <w:rPr>
          <w:rFonts w:ascii="Times New Roman" w:hAnsi="Times New Roman"/>
          <w:i/>
          <w:iCs/>
          <w:sz w:val="20"/>
          <w:szCs w:val="20"/>
        </w:rPr>
        <w:t>Occupations $29.76 times the wage rate benefit multiplier of 1.46 (to account for benefits provided) equaling $43.45.  The selection of “All Occupations” was chosen because respondents to this collection could be expected from any occupation.</w:t>
      </w:r>
      <w:r>
        <w:rPr>
          <w:rFonts w:ascii="Times New Roman" w:hAnsi="Times New Roman"/>
          <w:i/>
          <w:iCs/>
          <w:sz w:val="20"/>
          <w:szCs w:val="20"/>
        </w:rPr>
        <w:tab/>
      </w:r>
    </w:p>
    <w:p w:rsidR="00503F59" w:rsidP="00503F59" w14:paraId="63DB2FDF"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r>
    </w:p>
    <w:p w:rsidR="00503F59" w:rsidP="00503F59" w14:paraId="6AC864BC"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t>*</w:t>
      </w:r>
      <w:r w:rsidRPr="002646A9">
        <w:rPr>
          <w:rFonts w:ascii="Times New Roman" w:hAnsi="Times New Roman"/>
          <w:i/>
          <w:iCs/>
          <w:sz w:val="20"/>
          <w:szCs w:val="20"/>
        </w:rPr>
        <w:t>*</w:t>
      </w:r>
      <w:r>
        <w:rPr>
          <w:rFonts w:ascii="Times New Roman" w:hAnsi="Times New Roman"/>
          <w:i/>
          <w:iCs/>
          <w:sz w:val="20"/>
          <w:szCs w:val="20"/>
        </w:rPr>
        <w:t xml:space="preserve"> </w:t>
      </w:r>
      <w:r w:rsidRPr="002646A9">
        <w:rPr>
          <w:rFonts w:ascii="Times New Roman" w:hAnsi="Times New Roman"/>
          <w:i/>
          <w:iCs/>
          <w:sz w:val="20"/>
          <w:szCs w:val="20"/>
        </w:rPr>
        <w:t xml:space="preserve">The above Average Hourly Wage Rate is the </w:t>
      </w:r>
      <w:hyperlink r:id="rId12" w:history="1">
        <w:r w:rsidRPr="003A6CE4">
          <w:rPr>
            <w:rStyle w:val="Hyperlink"/>
            <w:rFonts w:ascii="Times New Roman" w:hAnsi="Times New Roman"/>
            <w:i/>
            <w:iCs/>
            <w:sz w:val="20"/>
            <w:szCs w:val="20"/>
          </w:rPr>
          <w:t>May 2022 Bureau of Labor Statistics</w:t>
        </w:r>
      </w:hyperlink>
      <w:r>
        <w:rPr>
          <w:rFonts w:ascii="Times New Roman" w:hAnsi="Times New Roman"/>
          <w:sz w:val="20"/>
          <w:szCs w:val="20"/>
        </w:rPr>
        <w:t xml:space="preserve"> </w:t>
      </w:r>
      <w:r w:rsidRPr="002646A9">
        <w:rPr>
          <w:rFonts w:ascii="Times New Roman" w:hAnsi="Times New Roman"/>
          <w:i/>
          <w:iCs/>
          <w:sz w:val="20"/>
          <w:szCs w:val="20"/>
        </w:rPr>
        <w:t>average wage for Business and Financial Operations Occupations of $</w:t>
      </w:r>
      <w:r>
        <w:rPr>
          <w:rFonts w:ascii="Times New Roman" w:hAnsi="Times New Roman"/>
          <w:i/>
          <w:iCs/>
          <w:sz w:val="20"/>
          <w:szCs w:val="20"/>
        </w:rPr>
        <w:t>41.39</w:t>
      </w:r>
      <w:r w:rsidRPr="002646A9">
        <w:rPr>
          <w:rFonts w:ascii="Times New Roman" w:hAnsi="Times New Roman"/>
          <w:i/>
          <w:iCs/>
          <w:sz w:val="20"/>
          <w:szCs w:val="20"/>
        </w:rPr>
        <w:t xml:space="preserve"> times the wage rate benefit multiplier of 1.46 (to account for benefits provided) equaling $</w:t>
      </w:r>
      <w:r>
        <w:rPr>
          <w:rFonts w:ascii="Times New Roman" w:hAnsi="Times New Roman"/>
          <w:i/>
          <w:iCs/>
          <w:sz w:val="20"/>
          <w:szCs w:val="20"/>
        </w:rPr>
        <w:t>60.43</w:t>
      </w:r>
      <w:r w:rsidRPr="002646A9">
        <w:rPr>
          <w:rFonts w:ascii="Times New Roman" w:hAnsi="Times New Roman"/>
          <w:i/>
          <w:iCs/>
          <w:sz w:val="20"/>
          <w:szCs w:val="20"/>
        </w:rPr>
        <w:t>.</w:t>
      </w:r>
    </w:p>
    <w:p w:rsidR="002646A9" w:rsidRPr="002646A9" w:rsidP="006049A7" w14:paraId="48698012" w14:textId="77777777">
      <w:pPr>
        <w:tabs>
          <w:tab w:val="left" w:pos="-1440"/>
        </w:tabs>
        <w:ind w:left="720" w:hanging="720"/>
        <w:jc w:val="both"/>
        <w:rPr>
          <w:rFonts w:ascii="Times New Roman" w:hAnsi="Times New Roman"/>
          <w:sz w:val="20"/>
          <w:szCs w:val="20"/>
        </w:rPr>
      </w:pPr>
    </w:p>
    <w:p w:rsidR="00B27061" w:rsidRPr="000B00D2" w:rsidP="00F401EC" w14:paraId="42A15BB5" w14:textId="208F45D4">
      <w:pPr>
        <w:tabs>
          <w:tab w:val="left" w:pos="-1440"/>
        </w:tabs>
        <w:ind w:left="720" w:hanging="1440"/>
        <w:rPr>
          <w:rFonts w:ascii="Times New Roman" w:hAnsi="Times New Roman"/>
          <w:b/>
        </w:rPr>
      </w:pPr>
      <w:r>
        <w:rPr>
          <w:rFonts w:ascii="Times New Roman" w:hAnsi="Times New Roman"/>
          <w:b/>
        </w:rPr>
        <w:t xml:space="preserve">            </w:t>
      </w:r>
      <w:r w:rsidRPr="00B1471A">
        <w:rPr>
          <w:rFonts w:ascii="Times New Roman" w:hAnsi="Times New Roman"/>
          <w:b/>
        </w:rPr>
        <w:t>13.</w:t>
      </w:r>
      <w:r>
        <w:rPr>
          <w:rFonts w:ascii="Times New Roman" w:hAnsi="Times New Roman"/>
          <w:b/>
        </w:rPr>
        <w:tab/>
      </w:r>
      <w:r w:rsidRPr="00B1471A">
        <w:rPr>
          <w:rFonts w:ascii="Times New Roman" w:hAnsi="Times New Roman"/>
          <w:b/>
        </w:rPr>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35DAAFD4">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B00D2" w:rsidP="003116A2" w14:paraId="3C760F75" w14:textId="621FED3B">
      <w:pPr>
        <w:tabs>
          <w:tab w:val="left" w:pos="-1440"/>
        </w:tabs>
        <w:ind w:left="720"/>
        <w:rPr>
          <w:rFonts w:ascii="Times New Roman" w:hAnsi="Times New Roman"/>
        </w:rPr>
      </w:pPr>
      <w:r>
        <w:rPr>
          <w:rFonts w:ascii="Times New Roman" w:hAnsi="Times New Roman"/>
        </w:rPr>
        <w:t>There are no costs to respondents associated with this collection</w:t>
      </w:r>
      <w:r w:rsidR="00F401EC">
        <w:rPr>
          <w:rFonts w:ascii="Times New Roman" w:hAnsi="Times New Roman"/>
        </w:rPr>
        <w:t xml:space="preserve">. </w:t>
      </w:r>
      <w:r>
        <w:rPr>
          <w:rFonts w:ascii="Times New Roman" w:hAnsi="Times New Roman"/>
        </w:rPr>
        <w:t>Any costs are captured within the OMB Controlled collections that can be electronically filed.</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t>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3116A2" w:rsidP="003116A2" w14:paraId="50FADDD2" w14:textId="0D9153BF">
      <w:pPr>
        <w:tabs>
          <w:tab w:val="left" w:pos="-1440"/>
        </w:tabs>
        <w:ind w:left="720"/>
        <w:rPr>
          <w:rFonts w:ascii="Times New Roman" w:hAnsi="Times New Roman"/>
        </w:rPr>
      </w:pPr>
      <w:r>
        <w:rPr>
          <w:rFonts w:ascii="Times New Roman" w:hAnsi="Times New Roman"/>
        </w:rPr>
        <w:t xml:space="preserve">Any costs to the Federal Government are captured within the OMB Controlled collections the respondent </w:t>
      </w:r>
      <w:r w:rsidR="00F401EC">
        <w:rPr>
          <w:rFonts w:ascii="Times New Roman" w:hAnsi="Times New Roman"/>
        </w:rPr>
        <w:t>is using the USCIS Online Account process to access.</w:t>
      </w:r>
    </w:p>
    <w:p w:rsidR="00663D52" w:rsidRPr="00663D52" w:rsidP="00663D52" w14:paraId="1CE1EB25" w14:textId="77777777">
      <w:pPr>
        <w:tabs>
          <w:tab w:val="left" w:pos="-1440"/>
        </w:tabs>
        <w:ind w:left="720"/>
        <w:rPr>
          <w:rFonts w:ascii="Times New Roman" w:hAnsi="Times New Roman"/>
        </w:rPr>
      </w:pPr>
    </w:p>
    <w:p w:rsidR="00B27061" w:rsidP="00914A5D" w14:paraId="0A96F28A" w14:textId="265B639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9281B" w:rsidRPr="002164EF" w:rsidP="002164EF" w14:paraId="5AEC409D" w14:textId="6F8F6988">
      <w:pPr>
        <w:tabs>
          <w:tab w:val="left" w:pos="-1440"/>
        </w:tabs>
        <w:ind w:left="720" w:hanging="720"/>
        <w:rPr>
          <w:rFonts w:ascii="Times New Roman" w:hAnsi="Times New Roman"/>
        </w:rPr>
      </w:pPr>
      <w:r>
        <w:rPr>
          <w:rFonts w:ascii="Times New Roman" w:hAnsi="Times New Roman"/>
        </w:rPr>
        <w:tab/>
      </w:r>
    </w:p>
    <w:p w:rsidR="00E031BB" w:rsidRPr="00F45F5D" w:rsidP="00E031BB" w14:paraId="2DAB548B" w14:textId="77777777">
      <w:pPr>
        <w:tabs>
          <w:tab w:val="left" w:pos="-1440"/>
        </w:tabs>
        <w:ind w:left="720"/>
        <w:rPr>
          <w:rFonts w:ascii="Times New Roman" w:hAnsi="Times New Roman"/>
        </w:rPr>
      </w:pPr>
      <w:r>
        <w:rPr>
          <w:rFonts w:ascii="Times New Roman" w:hAnsi="Times New Roman"/>
          <w:bCs/>
        </w:rPr>
        <w:t>There are no changes to the estimated annual hour burden or cost burden to respondents.</w:t>
      </w:r>
    </w:p>
    <w:p w:rsidR="0005641F" w:rsidRPr="0029577A" w:rsidP="00B6390A" w14:paraId="1E5973C0"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3"/>
      <w:footerReference w:type="default" r:id="rId1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2522"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F6E80">
      <w:rPr>
        <w:rStyle w:val="PageNumber"/>
      </w:rPr>
      <w:fldChar w:fldCharType="separate"/>
    </w:r>
    <w:r>
      <w:rPr>
        <w:rStyle w:val="PageNumber"/>
      </w:rPr>
      <w:fldChar w:fldCharType="end"/>
    </w:r>
  </w:p>
  <w:p w:rsidR="00B92522"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2522" w14:paraId="138A944D" w14:textId="77777777">
    <w:pPr>
      <w:spacing w:line="240" w:lineRule="exact"/>
    </w:pPr>
  </w:p>
  <w:p w:rsidR="00B92522" w:rsidRPr="000712DA" w:rsidP="007F5988" w14:paraId="466800C6" w14:textId="6E008D92">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7391F">
      <w:rPr>
        <w:rFonts w:ascii="Times New Roman" w:hAnsi="Times New Roman"/>
        <w:noProof/>
      </w:rPr>
      <w:t>1</w:t>
    </w:r>
    <w:r w:rsidRPr="000712DA">
      <w:rPr>
        <w:rFonts w:ascii="Times New Roman" w:hAnsi="Times New Roman"/>
      </w:rPr>
      <w:fldChar w:fldCharType="end"/>
    </w:r>
  </w:p>
  <w:p w:rsidR="00B92522"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013467"/>
    <w:multiLevelType w:val="hybridMultilevel"/>
    <w:tmpl w:val="7EF01D64"/>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957D96"/>
    <w:multiLevelType w:val="hybridMultilevel"/>
    <w:tmpl w:val="CE484BC8"/>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03729F"/>
    <w:multiLevelType w:val="hybridMultilevel"/>
    <w:tmpl w:val="41EA28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4F437823"/>
    <w:multiLevelType w:val="hybridMultilevel"/>
    <w:tmpl w:val="602C0F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2701D22"/>
    <w:multiLevelType w:val="hybridMultilevel"/>
    <w:tmpl w:val="A7A286B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4064C0E"/>
    <w:multiLevelType w:val="hybridMultilevel"/>
    <w:tmpl w:val="16EEF3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06558720">
    <w:abstractNumId w:val="10"/>
  </w:num>
  <w:num w:numId="2" w16cid:durableId="1197816650">
    <w:abstractNumId w:val="0"/>
  </w:num>
  <w:num w:numId="3" w16cid:durableId="1822847337">
    <w:abstractNumId w:val="6"/>
  </w:num>
  <w:num w:numId="4" w16cid:durableId="40330490">
    <w:abstractNumId w:val="11"/>
  </w:num>
  <w:num w:numId="5" w16cid:durableId="19867539">
    <w:abstractNumId w:val="1"/>
  </w:num>
  <w:num w:numId="6" w16cid:durableId="738553427">
    <w:abstractNumId w:val="5"/>
  </w:num>
  <w:num w:numId="7" w16cid:durableId="686639187">
    <w:abstractNumId w:val="4"/>
  </w:num>
  <w:num w:numId="8" w16cid:durableId="1949268284">
    <w:abstractNumId w:val="2"/>
  </w:num>
  <w:num w:numId="9" w16cid:durableId="767845041">
    <w:abstractNumId w:val="14"/>
  </w:num>
  <w:num w:numId="10" w16cid:durableId="1400516125">
    <w:abstractNumId w:val="9"/>
  </w:num>
  <w:num w:numId="11" w16cid:durableId="1529561510">
    <w:abstractNumId w:val="8"/>
  </w:num>
  <w:num w:numId="12" w16cid:durableId="1998849112">
    <w:abstractNumId w:val="12"/>
  </w:num>
  <w:num w:numId="13" w16cid:durableId="1593969419">
    <w:abstractNumId w:val="13"/>
  </w:num>
  <w:num w:numId="14" w16cid:durableId="222106702">
    <w:abstractNumId w:val="3"/>
  </w:num>
  <w:num w:numId="15" w16cid:durableId="785545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D76"/>
    <w:rsid w:val="00014961"/>
    <w:rsid w:val="00022940"/>
    <w:rsid w:val="00022B67"/>
    <w:rsid w:val="00027F52"/>
    <w:rsid w:val="00030240"/>
    <w:rsid w:val="000403B2"/>
    <w:rsid w:val="0005641F"/>
    <w:rsid w:val="00064715"/>
    <w:rsid w:val="000712DA"/>
    <w:rsid w:val="00071897"/>
    <w:rsid w:val="00080CE0"/>
    <w:rsid w:val="000868D8"/>
    <w:rsid w:val="00093A55"/>
    <w:rsid w:val="00093DB1"/>
    <w:rsid w:val="000A17AF"/>
    <w:rsid w:val="000A42FA"/>
    <w:rsid w:val="000B00D2"/>
    <w:rsid w:val="000C3216"/>
    <w:rsid w:val="000C55DF"/>
    <w:rsid w:val="000C7201"/>
    <w:rsid w:val="000C7278"/>
    <w:rsid w:val="000D1E6D"/>
    <w:rsid w:val="000D55D9"/>
    <w:rsid w:val="000D6A0C"/>
    <w:rsid w:val="000E47CE"/>
    <w:rsid w:val="000F1A9A"/>
    <w:rsid w:val="0010769F"/>
    <w:rsid w:val="00114664"/>
    <w:rsid w:val="001650D8"/>
    <w:rsid w:val="00174369"/>
    <w:rsid w:val="00174E7E"/>
    <w:rsid w:val="0018275D"/>
    <w:rsid w:val="00184121"/>
    <w:rsid w:val="0019281B"/>
    <w:rsid w:val="0019320E"/>
    <w:rsid w:val="001A595D"/>
    <w:rsid w:val="001A5A88"/>
    <w:rsid w:val="001A6D21"/>
    <w:rsid w:val="001D6361"/>
    <w:rsid w:val="001D7AC4"/>
    <w:rsid w:val="001E5D14"/>
    <w:rsid w:val="001F67BB"/>
    <w:rsid w:val="0020110E"/>
    <w:rsid w:val="00215244"/>
    <w:rsid w:val="002164EF"/>
    <w:rsid w:val="00231768"/>
    <w:rsid w:val="00236A46"/>
    <w:rsid w:val="0025419D"/>
    <w:rsid w:val="00257A25"/>
    <w:rsid w:val="00260208"/>
    <w:rsid w:val="002646A9"/>
    <w:rsid w:val="002767E0"/>
    <w:rsid w:val="00276C39"/>
    <w:rsid w:val="0029577A"/>
    <w:rsid w:val="002A4A73"/>
    <w:rsid w:val="002B4DE0"/>
    <w:rsid w:val="002B6812"/>
    <w:rsid w:val="002C3934"/>
    <w:rsid w:val="002C6AE2"/>
    <w:rsid w:val="002C7BB9"/>
    <w:rsid w:val="002D040D"/>
    <w:rsid w:val="002E199D"/>
    <w:rsid w:val="002E7594"/>
    <w:rsid w:val="003052C4"/>
    <w:rsid w:val="0030551E"/>
    <w:rsid w:val="003116A2"/>
    <w:rsid w:val="00312153"/>
    <w:rsid w:val="00323F18"/>
    <w:rsid w:val="003253C6"/>
    <w:rsid w:val="003338D4"/>
    <w:rsid w:val="00343643"/>
    <w:rsid w:val="00355F9E"/>
    <w:rsid w:val="00363ECB"/>
    <w:rsid w:val="00364FE0"/>
    <w:rsid w:val="00387CDF"/>
    <w:rsid w:val="003927D7"/>
    <w:rsid w:val="003A0F52"/>
    <w:rsid w:val="003A36C2"/>
    <w:rsid w:val="003A6CE4"/>
    <w:rsid w:val="003C52BB"/>
    <w:rsid w:val="003C77CB"/>
    <w:rsid w:val="003E7AA1"/>
    <w:rsid w:val="003F1666"/>
    <w:rsid w:val="003F352E"/>
    <w:rsid w:val="003F59FA"/>
    <w:rsid w:val="00422080"/>
    <w:rsid w:val="00424075"/>
    <w:rsid w:val="00430099"/>
    <w:rsid w:val="00452BBB"/>
    <w:rsid w:val="00461757"/>
    <w:rsid w:val="00483159"/>
    <w:rsid w:val="004876E0"/>
    <w:rsid w:val="00492ECA"/>
    <w:rsid w:val="00494557"/>
    <w:rsid w:val="004A76CE"/>
    <w:rsid w:val="004B4223"/>
    <w:rsid w:val="004E099B"/>
    <w:rsid w:val="004F071A"/>
    <w:rsid w:val="004F3779"/>
    <w:rsid w:val="00503F59"/>
    <w:rsid w:val="00514C1A"/>
    <w:rsid w:val="00521A09"/>
    <w:rsid w:val="00525E40"/>
    <w:rsid w:val="0053739E"/>
    <w:rsid w:val="005423DD"/>
    <w:rsid w:val="0054585A"/>
    <w:rsid w:val="00546BFD"/>
    <w:rsid w:val="00547EB4"/>
    <w:rsid w:val="00553696"/>
    <w:rsid w:val="005543AD"/>
    <w:rsid w:val="005717B8"/>
    <w:rsid w:val="0057391F"/>
    <w:rsid w:val="00582A29"/>
    <w:rsid w:val="00590B61"/>
    <w:rsid w:val="005B5E5D"/>
    <w:rsid w:val="005B6129"/>
    <w:rsid w:val="005B63C8"/>
    <w:rsid w:val="005C1AB7"/>
    <w:rsid w:val="005C3DD7"/>
    <w:rsid w:val="005E139A"/>
    <w:rsid w:val="005E27C3"/>
    <w:rsid w:val="005F6EC8"/>
    <w:rsid w:val="00603702"/>
    <w:rsid w:val="006049A7"/>
    <w:rsid w:val="00617853"/>
    <w:rsid w:val="0062028A"/>
    <w:rsid w:val="0063778A"/>
    <w:rsid w:val="00661952"/>
    <w:rsid w:val="00662686"/>
    <w:rsid w:val="00663D52"/>
    <w:rsid w:val="00667AC9"/>
    <w:rsid w:val="0067606B"/>
    <w:rsid w:val="00677EED"/>
    <w:rsid w:val="0068786B"/>
    <w:rsid w:val="00693521"/>
    <w:rsid w:val="006A0CC6"/>
    <w:rsid w:val="006A2500"/>
    <w:rsid w:val="006B0B31"/>
    <w:rsid w:val="006B3026"/>
    <w:rsid w:val="006B38F6"/>
    <w:rsid w:val="006C6D7D"/>
    <w:rsid w:val="006C79B6"/>
    <w:rsid w:val="006D1A2E"/>
    <w:rsid w:val="006E606E"/>
    <w:rsid w:val="006F083F"/>
    <w:rsid w:val="006F7892"/>
    <w:rsid w:val="00701EB2"/>
    <w:rsid w:val="00703B09"/>
    <w:rsid w:val="00710E7E"/>
    <w:rsid w:val="0071391D"/>
    <w:rsid w:val="00723E9E"/>
    <w:rsid w:val="00727E7B"/>
    <w:rsid w:val="007312F9"/>
    <w:rsid w:val="00734776"/>
    <w:rsid w:val="00735F6C"/>
    <w:rsid w:val="007454CD"/>
    <w:rsid w:val="00765E88"/>
    <w:rsid w:val="00776ECE"/>
    <w:rsid w:val="007838B7"/>
    <w:rsid w:val="0078718F"/>
    <w:rsid w:val="0079111E"/>
    <w:rsid w:val="007916A7"/>
    <w:rsid w:val="00792B9D"/>
    <w:rsid w:val="007A1906"/>
    <w:rsid w:val="007B07BC"/>
    <w:rsid w:val="007B32A5"/>
    <w:rsid w:val="007C03A1"/>
    <w:rsid w:val="007C2E07"/>
    <w:rsid w:val="007E6F17"/>
    <w:rsid w:val="007E79E8"/>
    <w:rsid w:val="007F45F5"/>
    <w:rsid w:val="007F5988"/>
    <w:rsid w:val="007F70DB"/>
    <w:rsid w:val="008029E9"/>
    <w:rsid w:val="00807BA2"/>
    <w:rsid w:val="0081460B"/>
    <w:rsid w:val="008255EE"/>
    <w:rsid w:val="00832969"/>
    <w:rsid w:val="00833B6C"/>
    <w:rsid w:val="00835FF1"/>
    <w:rsid w:val="0084062A"/>
    <w:rsid w:val="00847655"/>
    <w:rsid w:val="00847763"/>
    <w:rsid w:val="0088384E"/>
    <w:rsid w:val="008A3B73"/>
    <w:rsid w:val="008A42B6"/>
    <w:rsid w:val="008A4764"/>
    <w:rsid w:val="008B673B"/>
    <w:rsid w:val="008C1FFE"/>
    <w:rsid w:val="008C4945"/>
    <w:rsid w:val="008D0F4C"/>
    <w:rsid w:val="008D5FC7"/>
    <w:rsid w:val="008D619B"/>
    <w:rsid w:val="008D7291"/>
    <w:rsid w:val="008F0107"/>
    <w:rsid w:val="008F233F"/>
    <w:rsid w:val="008F5134"/>
    <w:rsid w:val="008F74F4"/>
    <w:rsid w:val="00901978"/>
    <w:rsid w:val="00912DD5"/>
    <w:rsid w:val="009147A2"/>
    <w:rsid w:val="00914A5D"/>
    <w:rsid w:val="00920D27"/>
    <w:rsid w:val="00921351"/>
    <w:rsid w:val="0092685B"/>
    <w:rsid w:val="009404C1"/>
    <w:rsid w:val="009429BC"/>
    <w:rsid w:val="00944659"/>
    <w:rsid w:val="00944A8A"/>
    <w:rsid w:val="00945320"/>
    <w:rsid w:val="00955508"/>
    <w:rsid w:val="009556EE"/>
    <w:rsid w:val="009569A9"/>
    <w:rsid w:val="00974223"/>
    <w:rsid w:val="00981139"/>
    <w:rsid w:val="00992111"/>
    <w:rsid w:val="009A1A52"/>
    <w:rsid w:val="009C023A"/>
    <w:rsid w:val="009D1DF6"/>
    <w:rsid w:val="009D5D2B"/>
    <w:rsid w:val="009E3120"/>
    <w:rsid w:val="009E5E5E"/>
    <w:rsid w:val="009F15D0"/>
    <w:rsid w:val="00A0087E"/>
    <w:rsid w:val="00A05B27"/>
    <w:rsid w:val="00A05B44"/>
    <w:rsid w:val="00A1358D"/>
    <w:rsid w:val="00A244D1"/>
    <w:rsid w:val="00A307F8"/>
    <w:rsid w:val="00A32745"/>
    <w:rsid w:val="00A3466A"/>
    <w:rsid w:val="00A35EB4"/>
    <w:rsid w:val="00A420A8"/>
    <w:rsid w:val="00A447D7"/>
    <w:rsid w:val="00A5237F"/>
    <w:rsid w:val="00A56B2D"/>
    <w:rsid w:val="00A57ACE"/>
    <w:rsid w:val="00A847D1"/>
    <w:rsid w:val="00A91A2B"/>
    <w:rsid w:val="00A91DC5"/>
    <w:rsid w:val="00AA0B3F"/>
    <w:rsid w:val="00AB3A52"/>
    <w:rsid w:val="00AB41DF"/>
    <w:rsid w:val="00AB68B3"/>
    <w:rsid w:val="00AC525F"/>
    <w:rsid w:val="00AD3752"/>
    <w:rsid w:val="00AF45F2"/>
    <w:rsid w:val="00B04273"/>
    <w:rsid w:val="00B0571D"/>
    <w:rsid w:val="00B061E1"/>
    <w:rsid w:val="00B1471A"/>
    <w:rsid w:val="00B27061"/>
    <w:rsid w:val="00B31EBB"/>
    <w:rsid w:val="00B34FDE"/>
    <w:rsid w:val="00B431E0"/>
    <w:rsid w:val="00B61A4D"/>
    <w:rsid w:val="00B635A9"/>
    <w:rsid w:val="00B6390A"/>
    <w:rsid w:val="00B7349D"/>
    <w:rsid w:val="00B7457C"/>
    <w:rsid w:val="00B75A33"/>
    <w:rsid w:val="00B76E41"/>
    <w:rsid w:val="00B8182F"/>
    <w:rsid w:val="00B861E7"/>
    <w:rsid w:val="00B90B55"/>
    <w:rsid w:val="00B9122D"/>
    <w:rsid w:val="00B92522"/>
    <w:rsid w:val="00B960BB"/>
    <w:rsid w:val="00BA4E7D"/>
    <w:rsid w:val="00BA4F15"/>
    <w:rsid w:val="00BA56B1"/>
    <w:rsid w:val="00BB0B9A"/>
    <w:rsid w:val="00BC47F2"/>
    <w:rsid w:val="00BC54A5"/>
    <w:rsid w:val="00BD24F2"/>
    <w:rsid w:val="00BD3260"/>
    <w:rsid w:val="00BE3C63"/>
    <w:rsid w:val="00C04531"/>
    <w:rsid w:val="00C1411D"/>
    <w:rsid w:val="00C3345E"/>
    <w:rsid w:val="00C43FEC"/>
    <w:rsid w:val="00C53EDD"/>
    <w:rsid w:val="00C54684"/>
    <w:rsid w:val="00C61348"/>
    <w:rsid w:val="00C62A1F"/>
    <w:rsid w:val="00C6526D"/>
    <w:rsid w:val="00C726CB"/>
    <w:rsid w:val="00C74677"/>
    <w:rsid w:val="00C9224C"/>
    <w:rsid w:val="00C97339"/>
    <w:rsid w:val="00CA31B4"/>
    <w:rsid w:val="00CB6A2D"/>
    <w:rsid w:val="00CC620E"/>
    <w:rsid w:val="00CD43E7"/>
    <w:rsid w:val="00CD6D53"/>
    <w:rsid w:val="00CE0D6D"/>
    <w:rsid w:val="00CF28AD"/>
    <w:rsid w:val="00CF614A"/>
    <w:rsid w:val="00CF6E80"/>
    <w:rsid w:val="00D049AD"/>
    <w:rsid w:val="00D118B8"/>
    <w:rsid w:val="00D1445A"/>
    <w:rsid w:val="00D14D11"/>
    <w:rsid w:val="00D15779"/>
    <w:rsid w:val="00D22B13"/>
    <w:rsid w:val="00D3403B"/>
    <w:rsid w:val="00D64D94"/>
    <w:rsid w:val="00D66C12"/>
    <w:rsid w:val="00D72E2E"/>
    <w:rsid w:val="00D8096A"/>
    <w:rsid w:val="00D809CF"/>
    <w:rsid w:val="00D80E94"/>
    <w:rsid w:val="00DA2D6B"/>
    <w:rsid w:val="00DC033A"/>
    <w:rsid w:val="00DC41B4"/>
    <w:rsid w:val="00DC625A"/>
    <w:rsid w:val="00DD47CF"/>
    <w:rsid w:val="00DE0675"/>
    <w:rsid w:val="00DE08FF"/>
    <w:rsid w:val="00DE1203"/>
    <w:rsid w:val="00DE64B1"/>
    <w:rsid w:val="00E031BB"/>
    <w:rsid w:val="00E06B70"/>
    <w:rsid w:val="00E15619"/>
    <w:rsid w:val="00E1701C"/>
    <w:rsid w:val="00E373F7"/>
    <w:rsid w:val="00E46611"/>
    <w:rsid w:val="00E504AF"/>
    <w:rsid w:val="00E61E1B"/>
    <w:rsid w:val="00E7131D"/>
    <w:rsid w:val="00E77B24"/>
    <w:rsid w:val="00E85D6D"/>
    <w:rsid w:val="00E91139"/>
    <w:rsid w:val="00E91412"/>
    <w:rsid w:val="00E9741A"/>
    <w:rsid w:val="00EA1FB2"/>
    <w:rsid w:val="00EA3C1D"/>
    <w:rsid w:val="00EB393D"/>
    <w:rsid w:val="00EB7144"/>
    <w:rsid w:val="00EC29D1"/>
    <w:rsid w:val="00EC3504"/>
    <w:rsid w:val="00EC5F60"/>
    <w:rsid w:val="00ED4461"/>
    <w:rsid w:val="00ED4E0C"/>
    <w:rsid w:val="00EF4248"/>
    <w:rsid w:val="00F043E4"/>
    <w:rsid w:val="00F14060"/>
    <w:rsid w:val="00F17A4A"/>
    <w:rsid w:val="00F323B1"/>
    <w:rsid w:val="00F401EC"/>
    <w:rsid w:val="00F4534A"/>
    <w:rsid w:val="00F45F5D"/>
    <w:rsid w:val="00F517AC"/>
    <w:rsid w:val="00F616FE"/>
    <w:rsid w:val="00FB0E06"/>
    <w:rsid w:val="00FD21A4"/>
    <w:rsid w:val="00FD7B5D"/>
    <w:rsid w:val="00FE6914"/>
    <w:rsid w:val="00FE69A8"/>
    <w:rsid w:val="00FE7590"/>
    <w:rsid w:val="00FF2C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4B099F08-023D-448A-81CB-9E857860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Revision">
    <w:name w:val="Revision"/>
    <w:hidden/>
    <w:uiPriority w:val="99"/>
    <w:semiHidden/>
    <w:rsid w:val="00B76E41"/>
    <w:rPr>
      <w:rFonts w:ascii="Courier" w:hAnsi="Courier"/>
      <w:sz w:val="24"/>
      <w:szCs w:val="24"/>
    </w:rPr>
  </w:style>
  <w:style w:type="paragraph" w:styleId="NormalWeb">
    <w:name w:val="Normal (Web)"/>
    <w:basedOn w:val="Normal"/>
    <w:uiPriority w:val="99"/>
    <w:unhideWhenUsed/>
    <w:rsid w:val="009C023A"/>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231768"/>
    <w:rPr>
      <w:color w:val="605E5C"/>
      <w:shd w:val="clear" w:color="auto" w:fill="E1DFDD"/>
    </w:rPr>
  </w:style>
  <w:style w:type="character" w:styleId="FollowedHyperlink">
    <w:name w:val="FollowedHyperlink"/>
    <w:basedOn w:val="DefaultParagraphFont"/>
    <w:semiHidden/>
    <w:unhideWhenUsed/>
    <w:rsid w:val="009555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ist.gov/identity-access-management/nist-special-publication-800-63-digital-identity-guidelines" TargetMode="External" /><Relationship Id="rId11" Type="http://schemas.openxmlformats.org/officeDocument/2006/relationships/hyperlink" Target="http://www.uscis.gov/outreach" TargetMode="External" /><Relationship Id="rId12" Type="http://schemas.openxmlformats.org/officeDocument/2006/relationships/hyperlink" Target="https://www.bls.gov/oes/current/oes_nat.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gov/fdsys/pkg/PLAW-107publ347/content-detail.html" TargetMode="External" /><Relationship Id="rId9" Type="http://schemas.openxmlformats.org/officeDocument/2006/relationships/hyperlink" Target="https://www.whitehouse.gov/wp-content/uploads/2019/05/M-19-1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H-1B Registration Rule</Rulemaking>
    <Submission_x0020_to_x0020_DHS xmlns="22ac6cab-782d-443c-b600-8507bc21811b" xsi:nil="true"/>
    <RIN_x0020_Number xmlns="22ac6cab-782d-443c-b600-8507bc21811b" xsi:nil="true"/>
    <ROCIS_x0020_ICR_x0023_ xmlns="22ac6cab-782d-443c-b600-8507bc21811b" xsi:nil="true"/>
    <Estimated_x0020_Project_x0020_End_x0020_Date xmlns="22ac6cab-782d-443c-b600-8507bc21811b" xsi:nil="true"/>
    <OMB_x0020_Conclusion_x0020_Date xmlns="22ac6cab-782d-443c-b600-8507bc21811b" xsi:nil="true"/>
    <Rule xmlns="22ac6cab-782d-443c-b600-8507bc21811b">false</Rule>
    <Priority_x0020_Type xmlns="22ac6cab-782d-443c-b600-8507bc21811b" xsi:nil="true"/>
    <Priority_x0020_Justifcation xmlns="22ac6cab-782d-443c-b600-8507bc21811b" xsi:nil="true"/>
    <_x0033_0_x0020_Day_x0020_FRN_x0020__x002d__x0020_Comment_x0020_End_x0020_Date xmlns="22ac6cab-782d-443c-b600-8507bc21811b" xsi:nil="true"/>
    <Rule_x0020_Short_x0020_Name xmlns="22ac6cab-782d-443c-b600-8507bc21811b" xsi:nil="true"/>
    <Rule_x0020_Type xmlns="22ac6cab-782d-443c-b600-8507bc21811b">None</Rule_x0020_Type>
    <Priority xmlns="22ac6cab-782d-443c-b600-8507bc21811b">false</Priority>
    <Submitted_x0020_to_x0020_OMB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E97EC-D25A-482E-8B57-7818B3AE813B}">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2.xml><?xml version="1.0" encoding="utf-8"?>
<ds:datastoreItem xmlns:ds="http://schemas.openxmlformats.org/officeDocument/2006/customXml" ds:itemID="{85183C35-7B6B-416A-B590-C0CBEF756E38}">
  <ds:schemaRefs>
    <ds:schemaRef ds:uri="http://schemas.microsoft.com/sharepoint/v3/contenttype/forms"/>
  </ds:schemaRefs>
</ds:datastoreItem>
</file>

<file path=customXml/itemProps3.xml><?xml version="1.0" encoding="utf-8"?>
<ds:datastoreItem xmlns:ds="http://schemas.openxmlformats.org/officeDocument/2006/customXml" ds:itemID="{52AC4441-BD82-47CE-9BC9-C82B1456D0D5}">
  <ds:schemaRefs>
    <ds:schemaRef ds:uri="http://schemas.openxmlformats.org/officeDocument/2006/bibliography"/>
  </ds:schemaRefs>
</ds:datastoreItem>
</file>

<file path=customXml/itemProps4.xml><?xml version="1.0" encoding="utf-8"?>
<ds:datastoreItem xmlns:ds="http://schemas.openxmlformats.org/officeDocument/2006/customXml" ds:itemID="{8FDF2494-9C19-4DE8-B134-971B9158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3407</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132</cp:revision>
  <cp:lastPrinted>2010-05-14T16:20:00Z</cp:lastPrinted>
  <dcterms:created xsi:type="dcterms:W3CDTF">2024-05-22T16:35:00Z</dcterms:created>
  <dcterms:modified xsi:type="dcterms:W3CDTF">2024-09-27T13:14:00Z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ies>
</file>