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B61" w:rsidP="006A03B3" w14:paraId="2E725073" w14:textId="6C3857AC">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8F7B61" w:rsidP="002F4C5D" w14:paraId="72850758" w14:textId="77777777">
      <w:pPr>
        <w:numPr>
          <w:ilvl w:val="12"/>
          <w:numId w:val="0"/>
        </w:numPr>
        <w:ind w:left="360"/>
        <w:rPr>
          <w:szCs w:val="24"/>
        </w:rPr>
      </w:pPr>
    </w:p>
    <w:p w:rsidR="00914986" w:rsidRPr="00914986" w:rsidP="00813709" w14:paraId="7477A451" w14:textId="6530EE0D">
      <w:pPr>
        <w:ind w:left="360"/>
        <w:rPr>
          <w:bCs/>
          <w:i/>
        </w:rPr>
      </w:pPr>
      <w:r w:rsidRPr="00914986">
        <w:rPr>
          <w:bCs/>
          <w:i/>
        </w:rPr>
        <w:t xml:space="preserve">REAL ID Act and </w:t>
      </w:r>
      <w:r w:rsidR="00426579">
        <w:rPr>
          <w:bCs/>
          <w:i/>
        </w:rPr>
        <w:t>Final Rule</w:t>
      </w:r>
    </w:p>
    <w:p w:rsidR="00914986" w:rsidP="00813709" w14:paraId="2CE7A041" w14:textId="77777777">
      <w:pPr>
        <w:ind w:left="360"/>
        <w:rPr>
          <w:bCs/>
        </w:rPr>
      </w:pPr>
    </w:p>
    <w:p w:rsidR="00297CDE" w:rsidRPr="00C40801" w:rsidP="00813709" w14:paraId="4CFB9596" w14:textId="720DE8A0">
      <w:pPr>
        <w:ind w:left="360"/>
        <w:rPr>
          <w:rFonts w:cs="Times New Roman"/>
        </w:rPr>
      </w:pPr>
      <w:r w:rsidRPr="00FA4B18">
        <w:rPr>
          <w:bCs/>
        </w:rPr>
        <w:t xml:space="preserve">The </w:t>
      </w:r>
      <w:r w:rsidRPr="00D12C9B">
        <w:rPr>
          <w:bCs/>
        </w:rPr>
        <w:t xml:space="preserve">REAL ID Act of 2005 (the Act) prohibits </w:t>
      </w:r>
      <w:r w:rsidR="0094774A">
        <w:rPr>
          <w:bCs/>
        </w:rPr>
        <w:t>F</w:t>
      </w:r>
      <w:r w:rsidRPr="00D12C9B" w:rsidR="0094774A">
        <w:rPr>
          <w:bCs/>
        </w:rPr>
        <w:t xml:space="preserve">ederal </w:t>
      </w:r>
      <w:r w:rsidRPr="00D12C9B">
        <w:rPr>
          <w:bCs/>
        </w:rPr>
        <w:t xml:space="preserve">agencies from accepting </w:t>
      </w:r>
      <w:r w:rsidR="0094774A">
        <w:rPr>
          <w:bCs/>
        </w:rPr>
        <w:t>S</w:t>
      </w:r>
      <w:r w:rsidRPr="00D12C9B" w:rsidR="0094774A">
        <w:rPr>
          <w:bCs/>
        </w:rPr>
        <w:t>tate</w:t>
      </w:r>
      <w:r w:rsidRPr="00D12C9B">
        <w:rPr>
          <w:bCs/>
        </w:rPr>
        <w:t xml:space="preserve">-issued drivers’ licenses or identification cards </w:t>
      </w:r>
      <w:r w:rsidR="00506D3A">
        <w:rPr>
          <w:bCs/>
        </w:rPr>
        <w:t>(</w:t>
      </w:r>
      <w:r w:rsidR="00C94EC3">
        <w:rPr>
          <w:bCs/>
        </w:rPr>
        <w:t>DL/ID</w:t>
      </w:r>
      <w:r w:rsidR="00506D3A">
        <w:rPr>
          <w:bCs/>
        </w:rPr>
        <w:t xml:space="preserve">) </w:t>
      </w:r>
      <w:r w:rsidRPr="00D12C9B">
        <w:rPr>
          <w:bCs/>
        </w:rPr>
        <w:t>for official purpose</w:t>
      </w:r>
      <w:r w:rsidR="00C94EC3">
        <w:rPr>
          <w:bCs/>
        </w:rPr>
        <w:t>s</w:t>
      </w:r>
      <w:r w:rsidRPr="00D12C9B">
        <w:rPr>
          <w:bCs/>
        </w:rPr>
        <w:t xml:space="preserve"> – defined by the Act as boarding commercial aircraft, accessing </w:t>
      </w:r>
      <w:r w:rsidR="000C31E3">
        <w:rPr>
          <w:bCs/>
        </w:rPr>
        <w:t>Federal</w:t>
      </w:r>
      <w:r w:rsidRPr="00D12C9B">
        <w:rPr>
          <w:bCs/>
        </w:rPr>
        <w:t xml:space="preserve"> facilities, entering nuclear power plants</w:t>
      </w:r>
      <w:r w:rsidR="00F661DD">
        <w:rPr>
          <w:bCs/>
        </w:rPr>
        <w:t>, and any other purposes as determined by the Secretary</w:t>
      </w:r>
      <w:r w:rsidRPr="00D12C9B">
        <w:rPr>
          <w:bCs/>
        </w:rPr>
        <w:t xml:space="preserve"> – unless the </w:t>
      </w:r>
      <w:r w:rsidR="00ED7D24">
        <w:rPr>
          <w:bCs/>
        </w:rPr>
        <w:t>DL/ID</w:t>
      </w:r>
      <w:r w:rsidRPr="00D12C9B">
        <w:rPr>
          <w:bCs/>
        </w:rPr>
        <w:t xml:space="preserve"> is issued by a </w:t>
      </w:r>
      <w:r w:rsidR="0094774A">
        <w:rPr>
          <w:bCs/>
        </w:rPr>
        <w:t>S</w:t>
      </w:r>
      <w:r w:rsidRPr="00D12C9B" w:rsidR="0094774A">
        <w:rPr>
          <w:bCs/>
        </w:rPr>
        <w:t xml:space="preserve">tate </w:t>
      </w:r>
      <w:r w:rsidRPr="00D12C9B">
        <w:rPr>
          <w:bCs/>
        </w:rPr>
        <w:t>that meets the requirements set forth in the Act.</w:t>
      </w:r>
      <w:r>
        <w:rPr>
          <w:rStyle w:val="FootnoteReference"/>
          <w:bCs/>
        </w:rPr>
        <w:footnoteReference w:id="3"/>
      </w:r>
      <w:r w:rsidRPr="00D12C9B">
        <w:rPr>
          <w:bCs/>
        </w:rPr>
        <w:t xml:space="preserve">  </w:t>
      </w:r>
      <w:r w:rsidR="005515B1">
        <w:rPr>
          <w:bCs/>
        </w:rPr>
        <w:t>Implementing</w:t>
      </w:r>
      <w:r w:rsidRPr="00D12C9B" w:rsidR="005515B1">
        <w:rPr>
          <w:bCs/>
        </w:rPr>
        <w:t xml:space="preserve"> </w:t>
      </w:r>
      <w:r w:rsidRPr="00D12C9B">
        <w:rPr>
          <w:bCs/>
        </w:rPr>
        <w:t xml:space="preserve">regulations, which DHS issued in January 2008, establish the minimum standards that </w:t>
      </w:r>
      <w:r w:rsidR="005A1B0A">
        <w:rPr>
          <w:bCs/>
        </w:rPr>
        <w:t>S</w:t>
      </w:r>
      <w:r w:rsidRPr="00D12C9B">
        <w:rPr>
          <w:bCs/>
        </w:rPr>
        <w:t>tates must meet to comply with the Act.</w:t>
      </w:r>
      <w:r>
        <w:rPr>
          <w:rStyle w:val="FootnoteReference"/>
          <w:bCs/>
        </w:rPr>
        <w:footnoteReference w:id="4"/>
      </w:r>
      <w:r w:rsidRPr="00D12C9B">
        <w:rPr>
          <w:bCs/>
        </w:rPr>
        <w:t xml:space="preserve">  These </w:t>
      </w:r>
      <w:r w:rsidR="005515B1">
        <w:rPr>
          <w:bCs/>
        </w:rPr>
        <w:t xml:space="preserve">standards </w:t>
      </w:r>
      <w:r w:rsidRPr="00D12C9B">
        <w:rPr>
          <w:bCs/>
        </w:rPr>
        <w:t xml:space="preserve">include requirements for presentation and verification of documents to establish identity and lawful status, document issuance and security, and physical security for driver’s license production facilities.  </w:t>
      </w:r>
      <w:r w:rsidRPr="1D490CDF" w:rsidR="00D320FE">
        <w:t xml:space="preserve">In addition, </w:t>
      </w:r>
      <w:r w:rsidRPr="1D490CDF" w:rsidR="00506D3A">
        <w:t xml:space="preserve">beginning May </w:t>
      </w:r>
      <w:r w:rsidRPr="1D490CDF" w:rsidR="00490F3B">
        <w:t>7</w:t>
      </w:r>
      <w:r w:rsidRPr="1D490CDF" w:rsidR="00506D3A">
        <w:t>, 202</w:t>
      </w:r>
      <w:r w:rsidRPr="1D490CDF" w:rsidR="00490F3B">
        <w:t>5</w:t>
      </w:r>
      <w:r w:rsidR="00506D3A">
        <w:rPr>
          <w:szCs w:val="24"/>
        </w:rPr>
        <w:t xml:space="preserve">, </w:t>
      </w:r>
      <w:r w:rsidRPr="1D490CDF" w:rsidR="005515B1">
        <w:t xml:space="preserve">the regulations prohibited </w:t>
      </w:r>
      <w:r w:rsidRPr="1D490CDF" w:rsidR="00506D3A">
        <w:t xml:space="preserve">Federal agencies </w:t>
      </w:r>
      <w:r w:rsidRPr="189AAE92">
        <w:rPr>
          <w:rFonts w:cs="Times New Roman"/>
        </w:rPr>
        <w:t>from accepting a State-issued card for official purposes unless the card is compliant with the REAL ID Act and regulation</w:t>
      </w:r>
      <w:r w:rsidR="00BA6389">
        <w:rPr>
          <w:rFonts w:cs="Times New Roman"/>
        </w:rPr>
        <w:t>s</w:t>
      </w:r>
      <w:r w:rsidRPr="189AAE92">
        <w:rPr>
          <w:rFonts w:cs="Times New Roman"/>
        </w:rPr>
        <w:t>.</w:t>
      </w:r>
      <w:r>
        <w:rPr>
          <w:rStyle w:val="FootnoteReference"/>
        </w:rPr>
        <w:footnoteReference w:id="5"/>
      </w:r>
      <w:r w:rsidRPr="189AAE92">
        <w:rPr>
          <w:rFonts w:cs="Times New Roman"/>
        </w:rPr>
        <w:t xml:space="preserve"> </w:t>
      </w:r>
      <w:r w:rsidR="005B488E">
        <w:rPr>
          <w:rFonts w:cs="Times New Roman"/>
        </w:rPr>
        <w:t xml:space="preserve"> </w:t>
      </w:r>
      <w:r>
        <w:rPr>
          <w:rFonts w:cs="Times New Roman"/>
        </w:rPr>
        <w:t xml:space="preserve">This </w:t>
      </w:r>
      <w:r w:rsidR="005515B1">
        <w:rPr>
          <w:rFonts w:cs="Times New Roman"/>
        </w:rPr>
        <w:t xml:space="preserve">requirement for compliance cards </w:t>
      </w:r>
      <w:r>
        <w:rPr>
          <w:rFonts w:cs="Times New Roman"/>
        </w:rPr>
        <w:t>is known as “card-based enforcement.”</w:t>
      </w:r>
    </w:p>
    <w:p w:rsidR="00506D3A" w:rsidP="00813709" w14:paraId="6AA66944" w14:textId="77777777">
      <w:pPr>
        <w:ind w:left="360"/>
        <w:rPr>
          <w:szCs w:val="24"/>
        </w:rPr>
      </w:pPr>
    </w:p>
    <w:p w:rsidR="00580760" w:rsidP="00813709" w14:paraId="0D214460" w14:textId="444599B6">
      <w:pPr>
        <w:ind w:left="360"/>
      </w:pPr>
      <w:r w:rsidRPr="1D490CDF">
        <w:rPr>
          <w:lang w:val="en"/>
        </w:rPr>
        <w:t xml:space="preserve">In December 2020, the REAL ID Modernization Act </w:t>
      </w:r>
      <w:r w:rsidRPr="00923D55">
        <w:t xml:space="preserve">clarified that </w:t>
      </w:r>
      <w:r w:rsidRPr="1D490CDF">
        <w:rPr>
          <w:lang w:val="en"/>
        </w:rPr>
        <w:t>digital versions of State-issued driver’s licenses or State-issued identification cards, which are known collectively as “mobile driver’s licenses” (mDLs</w:t>
      </w:r>
      <w:r>
        <w:rPr>
          <w:rStyle w:val="FootnoteReference"/>
          <w:lang w:val="en"/>
        </w:rPr>
        <w:footnoteReference w:id="6"/>
      </w:r>
      <w:r w:rsidRPr="1D490CDF">
        <w:rPr>
          <w:lang w:val="en"/>
        </w:rPr>
        <w:t xml:space="preserve">), </w:t>
      </w:r>
      <w:r w:rsidRPr="00923D55">
        <w:t>are subject to REAL ID requirements</w:t>
      </w:r>
      <w:r>
        <w:t xml:space="preserve">.  This act amended </w:t>
      </w:r>
      <w:r w:rsidRPr="00923D55">
        <w:t xml:space="preserve">the </w:t>
      </w:r>
      <w:r w:rsidR="005515B1">
        <w:t xml:space="preserve">statutory </w:t>
      </w:r>
      <w:r w:rsidRPr="00923D55">
        <w:t>definitions of “driver’s license” and “identification card” to specifically include mDLs that have been issued in accordance with regulations prescribed by the Secretary.</w:t>
      </w:r>
      <w:r>
        <w:rPr>
          <w:rStyle w:val="FootnoteReference"/>
        </w:rPr>
        <w:footnoteReference w:id="7"/>
      </w:r>
      <w:r w:rsidRPr="00923D55">
        <w:t xml:space="preserve"> </w:t>
      </w:r>
      <w:r w:rsidR="004C1963">
        <w:t xml:space="preserve"> </w:t>
      </w:r>
      <w:r w:rsidRPr="1D490CDF" w:rsidR="00506D3A">
        <w:rPr>
          <w:lang w:val="en"/>
        </w:rPr>
        <w:t>As both the REAL ID Act and regulation</w:t>
      </w:r>
      <w:r w:rsidRPr="1D490CDF" w:rsidR="00BA6389">
        <w:rPr>
          <w:lang w:val="en"/>
        </w:rPr>
        <w:t>s</w:t>
      </w:r>
      <w:r w:rsidRPr="1D490CDF" w:rsidR="00506D3A">
        <w:rPr>
          <w:lang w:val="en"/>
        </w:rPr>
        <w:t xml:space="preserve"> were issued before the inception of mDLs, they do not address </w:t>
      </w:r>
      <w:r w:rsidRPr="1D490CDF">
        <w:rPr>
          <w:lang w:val="en"/>
        </w:rPr>
        <w:t>security requirements for this type of identity documentation</w:t>
      </w:r>
      <w:r w:rsidRPr="1D490CDF" w:rsidR="00506D3A">
        <w:rPr>
          <w:lang w:val="en"/>
        </w:rPr>
        <w:t>.</w:t>
      </w:r>
      <w:r w:rsidRPr="1D490CDF" w:rsidR="00ED7D24">
        <w:rPr>
          <w:lang w:val="en"/>
        </w:rPr>
        <w:t xml:space="preserve">  </w:t>
      </w:r>
      <w:r w:rsidRPr="1D490CDF" w:rsidR="005515B1">
        <w:rPr>
          <w:lang w:val="en"/>
        </w:rPr>
        <w:t>For example,</w:t>
      </w:r>
      <w:r w:rsidRPr="1D490CDF" w:rsidR="00685003">
        <w:rPr>
          <w:lang w:val="en"/>
        </w:rPr>
        <w:t xml:space="preserve"> </w:t>
      </w:r>
      <w:r w:rsidRPr="1D490CDF" w:rsidR="003129A6">
        <w:rPr>
          <w:lang w:val="en"/>
        </w:rPr>
        <w:t>t</w:t>
      </w:r>
      <w:r w:rsidR="003129A6">
        <w:rPr>
          <w:bCs/>
        </w:rPr>
        <w:t>he</w:t>
      </w:r>
      <w:r w:rsidR="00685003">
        <w:rPr>
          <w:bCs/>
        </w:rPr>
        <w:t xml:space="preserve"> </w:t>
      </w:r>
      <w:r w:rsidR="00E35084">
        <w:rPr>
          <w:bCs/>
        </w:rPr>
        <w:t xml:space="preserve">current </w:t>
      </w:r>
      <w:r w:rsidR="00685003">
        <w:rPr>
          <w:bCs/>
        </w:rPr>
        <w:t>regulation</w:t>
      </w:r>
      <w:r w:rsidR="00ED7D24">
        <w:rPr>
          <w:bCs/>
        </w:rPr>
        <w:t>s</w:t>
      </w:r>
      <w:r w:rsidR="00685003">
        <w:rPr>
          <w:bCs/>
        </w:rPr>
        <w:t xml:space="preserve"> </w:t>
      </w:r>
      <w:r>
        <w:rPr>
          <w:bCs/>
        </w:rPr>
        <w:t>prescribe</w:t>
      </w:r>
      <w:r w:rsidR="007A4233">
        <w:rPr>
          <w:bCs/>
        </w:rPr>
        <w:t xml:space="preserve"> security requirements</w:t>
      </w:r>
      <w:r>
        <w:rPr>
          <w:bCs/>
        </w:rPr>
        <w:t xml:space="preserve"> for card-based driver’s licenses</w:t>
      </w:r>
      <w:r w:rsidR="00685003">
        <w:rPr>
          <w:bCs/>
        </w:rPr>
        <w:t xml:space="preserve">, such as </w:t>
      </w:r>
      <w:r w:rsidRPr="1D490CDF" w:rsidR="007A4233">
        <w:t>physical security features</w:t>
      </w:r>
      <w:r w:rsidRPr="1D490CDF" w:rsidR="00685003">
        <w:t xml:space="preserve"> to deter fraud and tampering</w:t>
      </w:r>
      <w:r w:rsidR="00A744F8">
        <w:rPr>
          <w:szCs w:val="24"/>
        </w:rPr>
        <w:t>,</w:t>
      </w:r>
      <w:r>
        <w:rPr>
          <w:rStyle w:val="FootnoteReference"/>
        </w:rPr>
        <w:footnoteReference w:id="8"/>
      </w:r>
      <w:r w:rsidRPr="1D490CDF" w:rsidR="005515B1">
        <w:t xml:space="preserve"> but</w:t>
      </w:r>
      <w:r w:rsidRPr="1D490CDF" w:rsidR="00685003">
        <w:t xml:space="preserve"> many of these requirements do </w:t>
      </w:r>
      <w:r w:rsidRPr="1D490CDF" w:rsidR="00685003">
        <w:t>not apply to mDLs</w:t>
      </w:r>
      <w:r w:rsidRPr="1D490CDF">
        <w:t>.  In the absence of regulatory requirements to address mDLs</w:t>
      </w:r>
      <w:r w:rsidRPr="1D490CDF" w:rsidR="00685003">
        <w:t xml:space="preserve">, States </w:t>
      </w:r>
      <w:r w:rsidRPr="1D490CDF">
        <w:t xml:space="preserve">are prevented </w:t>
      </w:r>
      <w:r w:rsidRPr="1D490CDF" w:rsidR="00685003">
        <w:t>from issuing REAL ID-compliant mDLs</w:t>
      </w:r>
      <w:r w:rsidR="00685003">
        <w:rPr>
          <w:szCs w:val="24"/>
        </w:rPr>
        <w:t>.</w:t>
      </w:r>
    </w:p>
    <w:p w:rsidR="00580760" w:rsidP="00813709" w14:paraId="5048D537" w14:textId="77777777">
      <w:pPr>
        <w:ind w:left="360"/>
        <w:rPr>
          <w:szCs w:val="24"/>
        </w:rPr>
      </w:pPr>
    </w:p>
    <w:p w:rsidR="00914986" w:rsidP="00914986" w14:paraId="0A7147C3" w14:textId="1C8357FF">
      <w:pPr>
        <w:ind w:left="360"/>
        <w:rPr>
          <w:rFonts w:cs="Times New Roman"/>
        </w:rPr>
      </w:pPr>
      <w:r w:rsidRPr="1D490CDF">
        <w:t>The Transportation Security Administration (TSA)</w:t>
      </w:r>
      <w:r w:rsidRPr="1D490CDF" w:rsidR="00492EBB">
        <w:t xml:space="preserve"> is conducting a </w:t>
      </w:r>
      <w:r w:rsidR="005515B1">
        <w:t xml:space="preserve">multiphase </w:t>
      </w:r>
      <w:r w:rsidRPr="1D490CDF" w:rsidR="00492EBB">
        <w:t>rulemaking to amend the regulations to address mDLs</w:t>
      </w:r>
      <w:r w:rsidR="002C2136">
        <w:rPr>
          <w:szCs w:val="24"/>
        </w:rPr>
        <w:t>.</w:t>
      </w:r>
      <w:r>
        <w:rPr>
          <w:rStyle w:val="FootnoteReference"/>
        </w:rPr>
        <w:footnoteReference w:id="9"/>
      </w:r>
      <w:r w:rsidR="002C2136">
        <w:rPr>
          <w:szCs w:val="24"/>
        </w:rPr>
        <w:t xml:space="preserve">  </w:t>
      </w:r>
      <w:r w:rsidR="005515B1">
        <w:t xml:space="preserve"> To initiate the first phase, TSA published a n</w:t>
      </w:r>
      <w:r w:rsidR="006F7CD0">
        <w:rPr>
          <w:rFonts w:cs="Times New Roman"/>
        </w:rPr>
        <w:t xml:space="preserve">otice of </w:t>
      </w:r>
      <w:r w:rsidRPr="1D490CDF" w:rsidR="005515B1">
        <w:rPr>
          <w:rFonts w:cs="Times New Roman"/>
        </w:rPr>
        <w:t>p</w:t>
      </w:r>
      <w:r w:rsidR="006F7CD0">
        <w:rPr>
          <w:rFonts w:cs="Times New Roman"/>
        </w:rPr>
        <w:t xml:space="preserve">roposed </w:t>
      </w:r>
      <w:r w:rsidRPr="1D490CDF" w:rsidR="005515B1">
        <w:rPr>
          <w:rFonts w:cs="Times New Roman"/>
        </w:rPr>
        <w:t>r</w:t>
      </w:r>
      <w:r w:rsidR="006F7CD0">
        <w:rPr>
          <w:rFonts w:cs="Times New Roman"/>
        </w:rPr>
        <w:t>ulemaking</w:t>
      </w:r>
      <w:r>
        <w:rPr>
          <w:rStyle w:val="FootnoteReference"/>
        </w:rPr>
        <w:footnoteReference w:id="10"/>
      </w:r>
      <w:r w:rsidR="006F7CD0">
        <w:rPr>
          <w:rFonts w:cs="Times New Roman"/>
        </w:rPr>
        <w:t xml:space="preserve"> (NPRM)</w:t>
      </w:r>
      <w:r w:rsidR="00EF7ACC">
        <w:rPr>
          <w:rFonts w:cs="Times New Roman"/>
        </w:rPr>
        <w:t xml:space="preserve"> on August 30, 2023</w:t>
      </w:r>
      <w:r w:rsidRPr="1D490CDF" w:rsidR="005515B1">
        <w:rPr>
          <w:rFonts w:cs="Times New Roman"/>
        </w:rPr>
        <w:t xml:space="preserve">, and a final rule on </w:t>
      </w:r>
      <w:r w:rsidR="00140692">
        <w:rPr>
          <w:rFonts w:cs="Times New Roman"/>
        </w:rPr>
        <w:t>October 25, 2024</w:t>
      </w:r>
      <w:r w:rsidRPr="1D490CDF" w:rsidR="005515B1">
        <w:rPr>
          <w:rFonts w:cs="Times New Roman"/>
        </w:rPr>
        <w:t xml:space="preserve">. </w:t>
      </w:r>
      <w:r w:rsidR="005515B1">
        <w:rPr>
          <w:rFonts w:cs="Times New Roman"/>
        </w:rPr>
        <w:t>This initial phase</w:t>
      </w:r>
      <w:r w:rsidRPr="4F28CF06" w:rsidR="00EF7ACC">
        <w:rPr>
          <w:rFonts w:cs="Times New Roman"/>
        </w:rPr>
        <w:t xml:space="preserve"> </w:t>
      </w:r>
      <w:r w:rsidR="00302BE6">
        <w:rPr>
          <w:rFonts w:cs="Times New Roman"/>
        </w:rPr>
        <w:t>enable</w:t>
      </w:r>
      <w:r w:rsidR="00EF7ACC">
        <w:rPr>
          <w:rFonts w:cs="Times New Roman"/>
        </w:rPr>
        <w:t>s</w:t>
      </w:r>
      <w:r w:rsidR="00302BE6">
        <w:rPr>
          <w:rFonts w:cs="Times New Roman"/>
        </w:rPr>
        <w:t xml:space="preserve"> States to apply to </w:t>
      </w:r>
      <w:r>
        <w:rPr>
          <w:rFonts w:cs="Times New Roman"/>
        </w:rPr>
        <w:t>TSA</w:t>
      </w:r>
      <w:r w:rsidR="00302BE6">
        <w:rPr>
          <w:rFonts w:cs="Times New Roman"/>
        </w:rPr>
        <w:t xml:space="preserve"> for a</w:t>
      </w:r>
      <w:r w:rsidRPr="4F28CF06" w:rsidR="0064148D">
        <w:rPr>
          <w:rFonts w:cs="Times New Roman"/>
        </w:rPr>
        <w:t xml:space="preserve"> </w:t>
      </w:r>
      <w:r w:rsidR="00302BE6">
        <w:rPr>
          <w:rFonts w:cs="Times New Roman"/>
        </w:rPr>
        <w:t xml:space="preserve">temporary </w:t>
      </w:r>
      <w:r w:rsidRPr="4F28CF06" w:rsidR="0064148D">
        <w:rPr>
          <w:rFonts w:cs="Times New Roman"/>
        </w:rPr>
        <w:t>waive</w:t>
      </w:r>
      <w:r w:rsidR="00302BE6">
        <w:rPr>
          <w:rFonts w:cs="Times New Roman"/>
        </w:rPr>
        <w:t xml:space="preserve">r of </w:t>
      </w:r>
      <w:r w:rsidRPr="4F28CF06" w:rsidR="0064148D">
        <w:rPr>
          <w:rFonts w:cs="Times New Roman"/>
        </w:rPr>
        <w:t xml:space="preserve">the </w:t>
      </w:r>
      <w:r w:rsidR="00A8014D">
        <w:rPr>
          <w:rFonts w:cs="Times New Roman"/>
        </w:rPr>
        <w:t>prohibition on Federal acceptance of non-compliant mDLs</w:t>
      </w:r>
      <w:r w:rsidRPr="4F28CF06" w:rsidR="0064148D">
        <w:rPr>
          <w:rFonts w:cs="Times New Roman"/>
        </w:rPr>
        <w:t>.</w:t>
      </w:r>
      <w:r w:rsidR="0064148D">
        <w:rPr>
          <w:rFonts w:cs="Times New Roman"/>
        </w:rPr>
        <w:t xml:space="preserve"> </w:t>
      </w:r>
      <w:r w:rsidRPr="4F28CF06" w:rsidR="0064148D">
        <w:rPr>
          <w:rFonts w:cs="Times New Roman"/>
        </w:rPr>
        <w:t xml:space="preserve"> </w:t>
      </w:r>
      <w:r w:rsidRPr="4F28CF06" w:rsidR="0064148D">
        <w:rPr>
          <w:rFonts w:cs="Times New Roman"/>
          <w:spacing w:val="-2"/>
        </w:rPr>
        <w:t>The waiver enabled by this rule</w:t>
      </w:r>
      <w:r w:rsidRPr="307FF2D4" w:rsidR="0064148D">
        <w:rPr>
          <w:rFonts w:cs="Times New Roman"/>
        </w:rPr>
        <w:t xml:space="preserve"> </w:t>
      </w:r>
      <w:r w:rsidR="0064148D">
        <w:rPr>
          <w:rFonts w:cs="Times New Roman"/>
        </w:rPr>
        <w:t>permit</w:t>
      </w:r>
      <w:r w:rsidR="00EF7ACC">
        <w:rPr>
          <w:rFonts w:cs="Times New Roman"/>
        </w:rPr>
        <w:t>s</w:t>
      </w:r>
      <w:r w:rsidRPr="4F28CF06" w:rsidR="0064148D">
        <w:rPr>
          <w:rFonts w:cs="Times New Roman"/>
          <w:spacing w:val="-2"/>
        </w:rPr>
        <w:t xml:space="preserve"> </w:t>
      </w:r>
      <w:r w:rsidR="0064148D">
        <w:rPr>
          <w:rFonts w:cs="Times New Roman"/>
          <w:spacing w:val="-2"/>
        </w:rPr>
        <w:t>Federal</w:t>
      </w:r>
      <w:r w:rsidRPr="4F28CF06" w:rsidR="0064148D">
        <w:rPr>
          <w:rFonts w:cs="Times New Roman"/>
          <w:spacing w:val="-2"/>
        </w:rPr>
        <w:t xml:space="preserve"> </w:t>
      </w:r>
      <w:r w:rsidRPr="3789DCC5" w:rsidR="0064148D">
        <w:rPr>
          <w:rFonts w:cs="Times New Roman"/>
          <w:spacing w:val="-2"/>
          <w:szCs w:val="24"/>
        </w:rPr>
        <w:t>agencies</w:t>
      </w:r>
      <w:r w:rsidRPr="3789DCC5" w:rsidR="0064148D">
        <w:rPr>
          <w:rFonts w:cs="Times New Roman"/>
          <w:szCs w:val="24"/>
        </w:rPr>
        <w:t xml:space="preserve">, at their discretion, </w:t>
      </w:r>
      <w:r w:rsidRPr="3789DCC5" w:rsidR="0064148D">
        <w:rPr>
          <w:rFonts w:cs="Times New Roman"/>
          <w:spacing w:val="-2"/>
          <w:szCs w:val="24"/>
        </w:rPr>
        <w:t xml:space="preserve">to continue accepting for official </w:t>
      </w:r>
      <w:r w:rsidRPr="3789DCC5" w:rsidR="00AE0B85">
        <w:rPr>
          <w:rFonts w:cs="Times New Roman"/>
          <w:spacing w:val="-2"/>
          <w:szCs w:val="24"/>
        </w:rPr>
        <w:t xml:space="preserve">REAL ID </w:t>
      </w:r>
      <w:r w:rsidRPr="3789DCC5" w:rsidR="0064148D">
        <w:rPr>
          <w:rFonts w:cs="Times New Roman"/>
          <w:spacing w:val="-2"/>
          <w:szCs w:val="24"/>
        </w:rPr>
        <w:t>purposes</w:t>
      </w:r>
      <w:r w:rsidRPr="3789DCC5" w:rsidR="00E60021">
        <w:rPr>
          <w:rFonts w:cs="Times New Roman"/>
          <w:spacing w:val="-2"/>
          <w:szCs w:val="24"/>
        </w:rPr>
        <w:t xml:space="preserve"> </w:t>
      </w:r>
      <w:r w:rsidRPr="3789DCC5" w:rsidR="0064148D">
        <w:rPr>
          <w:rFonts w:cs="Times New Roman"/>
          <w:szCs w:val="24"/>
        </w:rPr>
        <w:t>mDLs</w:t>
      </w:r>
      <w:r w:rsidRPr="3789DCC5" w:rsidR="00AE0B85">
        <w:rPr>
          <w:rFonts w:cs="Times New Roman"/>
          <w:szCs w:val="24"/>
        </w:rPr>
        <w:t xml:space="preserve"> issued by States</w:t>
      </w:r>
      <w:r w:rsidRPr="3789DCC5" w:rsidR="000F2C90">
        <w:rPr>
          <w:rFonts w:cs="Times New Roman"/>
          <w:szCs w:val="24"/>
        </w:rPr>
        <w:t xml:space="preserve"> </w:t>
      </w:r>
      <w:r w:rsidRPr="3789DCC5" w:rsidR="0064148D">
        <w:rPr>
          <w:rFonts w:cs="Times New Roman"/>
          <w:szCs w:val="24"/>
        </w:rPr>
        <w:t xml:space="preserve">to whom </w:t>
      </w:r>
      <w:r w:rsidRPr="3789DCC5">
        <w:rPr>
          <w:rFonts w:cs="Times New Roman"/>
          <w:szCs w:val="24"/>
        </w:rPr>
        <w:t>TSA</w:t>
      </w:r>
      <w:r w:rsidRPr="3789DCC5" w:rsidR="0064148D">
        <w:rPr>
          <w:rFonts w:cs="Times New Roman"/>
          <w:szCs w:val="24"/>
        </w:rPr>
        <w:t xml:space="preserve"> has issued a waiver.  In </w:t>
      </w:r>
      <w:r w:rsidRPr="3789DCC5" w:rsidR="00E35084">
        <w:rPr>
          <w:rFonts w:cs="Times New Roman"/>
          <w:szCs w:val="24"/>
        </w:rPr>
        <w:t xml:space="preserve">the </w:t>
      </w:r>
      <w:r w:rsidRPr="3789DCC5" w:rsidR="0064148D">
        <w:rPr>
          <w:rFonts w:cs="Times New Roman"/>
          <w:szCs w:val="24"/>
        </w:rPr>
        <w:t xml:space="preserve">second phase, </w:t>
      </w:r>
      <w:r w:rsidRPr="3789DCC5">
        <w:rPr>
          <w:rFonts w:cs="Times New Roman"/>
          <w:szCs w:val="24"/>
        </w:rPr>
        <w:t>TSA</w:t>
      </w:r>
      <w:r w:rsidRPr="3789DCC5" w:rsidR="0064148D">
        <w:rPr>
          <w:rFonts w:cs="Times New Roman"/>
          <w:szCs w:val="24"/>
        </w:rPr>
        <w:t xml:space="preserve"> </w:t>
      </w:r>
      <w:r w:rsidRPr="3789DCC5" w:rsidR="00D07D1F">
        <w:rPr>
          <w:rFonts w:cs="Times New Roman"/>
          <w:szCs w:val="24"/>
        </w:rPr>
        <w:t xml:space="preserve">intends to </w:t>
      </w:r>
      <w:r w:rsidRPr="3789DCC5" w:rsidR="38E107A2">
        <w:rPr>
          <w:rFonts w:eastAsia="Calibri" w:cs="Times New Roman"/>
          <w:szCs w:val="24"/>
        </w:rPr>
        <w:t xml:space="preserve">follow the finalization of industry technical standards and issue another rule that would replace </w:t>
      </w:r>
      <w:r w:rsidRPr="00403AED" w:rsidR="00AE0B85">
        <w:rPr>
          <w:rFonts w:cs="Times New Roman"/>
          <w:szCs w:val="24"/>
        </w:rPr>
        <w:t>the waiver provisions</w:t>
      </w:r>
      <w:r w:rsidRPr="3789DCC5" w:rsidR="00AE0B85">
        <w:rPr>
          <w:rFonts w:cs="Times New Roman"/>
          <w:szCs w:val="24"/>
        </w:rPr>
        <w:t xml:space="preserve"> </w:t>
      </w:r>
      <w:r w:rsidRPr="3789DCC5" w:rsidR="2D7ED9E3">
        <w:rPr>
          <w:rFonts w:eastAsia="Calibri" w:cs="Times New Roman"/>
          <w:szCs w:val="24"/>
        </w:rPr>
        <w:t>with minimum technical requirements and security standards necessary for states to issue REAL ID-compliant mDLs</w:t>
      </w:r>
      <w:r w:rsidRPr="00403AED" w:rsidR="002C2136">
        <w:rPr>
          <w:rFonts w:cs="Times New Roman"/>
          <w:szCs w:val="24"/>
        </w:rPr>
        <w:t>.</w:t>
      </w:r>
      <w:r w:rsidRPr="00403AED" w:rsidR="00FA09B6">
        <w:rPr>
          <w:rFonts w:cs="Times New Roman"/>
          <w:szCs w:val="24"/>
        </w:rPr>
        <w:t xml:space="preserve">  </w:t>
      </w:r>
      <w:r w:rsidRPr="3789DCC5" w:rsidR="00310F35">
        <w:rPr>
          <w:rFonts w:cs="Times New Roman"/>
          <w:szCs w:val="24"/>
        </w:rPr>
        <w:t xml:space="preserve">Through this </w:t>
      </w:r>
      <w:r w:rsidRPr="3789DCC5" w:rsidR="00EF7ACC">
        <w:rPr>
          <w:rFonts w:cs="Times New Roman"/>
          <w:szCs w:val="24"/>
        </w:rPr>
        <w:t>final rule</w:t>
      </w:r>
      <w:r w:rsidRPr="3789DCC5" w:rsidR="00310F35">
        <w:rPr>
          <w:rFonts w:cs="Times New Roman"/>
          <w:szCs w:val="24"/>
        </w:rPr>
        <w:t xml:space="preserve">, </w:t>
      </w:r>
      <w:r w:rsidRPr="3789DCC5">
        <w:rPr>
          <w:rFonts w:cs="Times New Roman"/>
          <w:szCs w:val="24"/>
        </w:rPr>
        <w:t>TSA</w:t>
      </w:r>
      <w:r w:rsidRPr="3789DCC5" w:rsidR="00310F35">
        <w:rPr>
          <w:rFonts w:cs="Times New Roman"/>
          <w:szCs w:val="24"/>
        </w:rPr>
        <w:t xml:space="preserve"> </w:t>
      </w:r>
      <w:r w:rsidRPr="3789DCC5" w:rsidR="00066B09">
        <w:rPr>
          <w:rFonts w:cs="Times New Roman"/>
          <w:szCs w:val="24"/>
        </w:rPr>
        <w:t>require</w:t>
      </w:r>
      <w:r w:rsidRPr="3789DCC5" w:rsidR="00EF7ACC">
        <w:rPr>
          <w:rFonts w:cs="Times New Roman"/>
          <w:szCs w:val="24"/>
        </w:rPr>
        <w:t>s</w:t>
      </w:r>
      <w:r w:rsidRPr="3789DCC5" w:rsidR="00066B09">
        <w:rPr>
          <w:rFonts w:cs="Times New Roman"/>
          <w:szCs w:val="24"/>
        </w:rPr>
        <w:t xml:space="preserve"> States to apply to </w:t>
      </w:r>
      <w:r w:rsidRPr="3789DCC5">
        <w:rPr>
          <w:rFonts w:cs="Times New Roman"/>
          <w:szCs w:val="24"/>
        </w:rPr>
        <w:t>TSA</w:t>
      </w:r>
      <w:r w:rsidRPr="3789DCC5" w:rsidR="00066B09">
        <w:rPr>
          <w:rFonts w:cs="Times New Roman"/>
          <w:szCs w:val="24"/>
        </w:rPr>
        <w:t xml:space="preserve"> for a waiver, following the processes set forth in </w:t>
      </w:r>
      <w:r w:rsidRPr="3789DCC5" w:rsidR="00655E76">
        <w:rPr>
          <w:rFonts w:cs="Times New Roman"/>
          <w:szCs w:val="24"/>
        </w:rPr>
        <w:t>section 37.</w:t>
      </w:r>
      <w:r w:rsidRPr="3789DCC5" w:rsidR="00066B09">
        <w:rPr>
          <w:rFonts w:cs="Times New Roman"/>
          <w:szCs w:val="24"/>
        </w:rPr>
        <w:t>9(a) and submitting materials required by section</w:t>
      </w:r>
      <w:r w:rsidRPr="3789DCC5">
        <w:rPr>
          <w:rFonts w:cs="Times New Roman"/>
          <w:szCs w:val="24"/>
        </w:rPr>
        <w:t>s</w:t>
      </w:r>
      <w:r w:rsidRPr="3789DCC5" w:rsidR="00066B09">
        <w:rPr>
          <w:rFonts w:cs="Times New Roman"/>
          <w:szCs w:val="24"/>
        </w:rPr>
        <w:t xml:space="preserve"> 37.10(a) and (b)</w:t>
      </w:r>
      <w:r w:rsidRPr="3789DCC5" w:rsidR="00655E76">
        <w:rPr>
          <w:rFonts w:cs="Times New Roman"/>
          <w:szCs w:val="24"/>
        </w:rPr>
        <w:t xml:space="preserve">. </w:t>
      </w:r>
      <w:r w:rsidRPr="3789DCC5" w:rsidR="00066B09">
        <w:rPr>
          <w:rFonts w:cs="Times New Roman"/>
          <w:szCs w:val="24"/>
        </w:rPr>
        <w:t xml:space="preserve"> The </w:t>
      </w:r>
      <w:r w:rsidRPr="3789DCC5" w:rsidR="00EF7ACC">
        <w:rPr>
          <w:rFonts w:cs="Times New Roman"/>
          <w:szCs w:val="24"/>
        </w:rPr>
        <w:t xml:space="preserve">final rule </w:t>
      </w:r>
      <w:r w:rsidRPr="3789DCC5" w:rsidR="001103E2">
        <w:rPr>
          <w:rFonts w:cs="Times New Roman"/>
          <w:szCs w:val="24"/>
        </w:rPr>
        <w:t>also impose</w:t>
      </w:r>
      <w:r w:rsidRPr="3789DCC5" w:rsidR="00EF7ACC">
        <w:rPr>
          <w:rFonts w:cs="Times New Roman"/>
          <w:szCs w:val="24"/>
        </w:rPr>
        <w:t>s</w:t>
      </w:r>
      <w:r w:rsidRPr="3789DCC5" w:rsidR="00066B09">
        <w:rPr>
          <w:rFonts w:cs="Times New Roman"/>
          <w:szCs w:val="24"/>
        </w:rPr>
        <w:t xml:space="preserve"> continuing ob</w:t>
      </w:r>
      <w:r w:rsidR="00066B09">
        <w:rPr>
          <w:rFonts w:cs="Times New Roman"/>
        </w:rPr>
        <w:t xml:space="preserve">ligations on a State that has been issued a waiver, which may require States to submit additional materials to </w:t>
      </w:r>
      <w:r>
        <w:rPr>
          <w:rFonts w:cs="Times New Roman"/>
        </w:rPr>
        <w:t>TSA</w:t>
      </w:r>
      <w:r w:rsidR="00066B09">
        <w:rPr>
          <w:rFonts w:cs="Times New Roman"/>
        </w:rPr>
        <w:t xml:space="preserve">.  As discussed in detail in response to question 2 below, </w:t>
      </w:r>
      <w:r w:rsidR="00FA09B6">
        <w:rPr>
          <w:rFonts w:cs="Times New Roman"/>
        </w:rPr>
        <w:t xml:space="preserve">the waiver process involves </w:t>
      </w:r>
      <w:r w:rsidR="00066B09">
        <w:rPr>
          <w:rFonts w:cs="Times New Roman"/>
        </w:rPr>
        <w:t xml:space="preserve">new collections of information </w:t>
      </w:r>
      <w:r w:rsidR="00FA09B6">
        <w:rPr>
          <w:rFonts w:cs="Times New Roman"/>
        </w:rPr>
        <w:t xml:space="preserve">from States that are </w:t>
      </w:r>
      <w:r w:rsidR="00066B09">
        <w:rPr>
          <w:rFonts w:cs="Times New Roman"/>
        </w:rPr>
        <w:t xml:space="preserve">subject to the Paperwork Reduction Act.  </w:t>
      </w:r>
    </w:p>
    <w:p w:rsidR="00914986" w:rsidRPr="0078711D" w:rsidP="00761210" w14:paraId="6176CAAB" w14:textId="77777777">
      <w:pPr>
        <w:ind w:left="360"/>
        <w:rPr>
          <w:rFonts w:cs="Times New Roman"/>
        </w:rPr>
      </w:pPr>
    </w:p>
    <w:p w:rsidR="008F7B61" w:rsidP="006A03B3" w14:paraId="2549F48A" w14:textId="77777777">
      <w:pPr>
        <w:keepNext/>
        <w:numPr>
          <w:ilvl w:val="0"/>
          <w:numId w:val="1"/>
        </w:numPr>
        <w:tabs>
          <w:tab w:val="left" w:pos="360"/>
        </w:tabs>
        <w:rPr>
          <w:b/>
          <w:i/>
        </w:rPr>
      </w:pPr>
      <w:r w:rsidRPr="004D2EDA">
        <w:rPr>
          <w:i/>
        </w:rPr>
        <w:t xml:space="preserve"> </w:t>
      </w:r>
      <w:r>
        <w:rPr>
          <w:b/>
          <w:i/>
        </w:rPr>
        <w:t>Indicate how, by whom, and for what purpose the information is to be used.  Except for a new collection, indicate the actual use the agency has made of the information received from the current collection.</w:t>
      </w:r>
    </w:p>
    <w:p w:rsidR="008F7B61" w:rsidP="00650E64" w14:paraId="2137139F" w14:textId="77777777">
      <w:pPr>
        <w:numPr>
          <w:ilvl w:val="12"/>
          <w:numId w:val="0"/>
        </w:numPr>
        <w:ind w:left="360"/>
      </w:pPr>
    </w:p>
    <w:p w:rsidR="001103E2" w:rsidP="00A44A89" w14:paraId="2EE7A49E" w14:textId="35068368">
      <w:pPr>
        <w:ind w:left="360"/>
        <w:rPr>
          <w:rStyle w:val="RegEvalTextChar"/>
        </w:rPr>
      </w:pPr>
      <w:r>
        <w:t>As discussed above, t</w:t>
      </w:r>
      <w:r w:rsidRPr="00EA5465" w:rsidR="00EA5465">
        <w:t xml:space="preserve">he </w:t>
      </w:r>
      <w:r w:rsidR="00EF7ACC">
        <w:t>final</w:t>
      </w:r>
      <w:r w:rsidRPr="00EA5465" w:rsidR="00EF7ACC">
        <w:t xml:space="preserve"> </w:t>
      </w:r>
      <w:r w:rsidRPr="00EA5465" w:rsidR="00EA5465">
        <w:t>rule establish</w:t>
      </w:r>
      <w:r w:rsidR="00EF7ACC">
        <w:t>es</w:t>
      </w:r>
      <w:r w:rsidRPr="00EA5465" w:rsidR="00EA5465">
        <w:t xml:space="preserve"> a limited and temporary process for States to apply to </w:t>
      </w:r>
      <w:r w:rsidR="00426579">
        <w:t>TSA</w:t>
      </w:r>
      <w:r w:rsidRPr="00EA5465" w:rsidR="00EA5465">
        <w:t xml:space="preserve"> for a certificate of waiver that exempt</w:t>
      </w:r>
      <w:r w:rsidR="00EF7ACC">
        <w:t>s</w:t>
      </w:r>
      <w:r w:rsidRPr="00EA5465" w:rsidR="00EA5465">
        <w:t xml:space="preserve"> their mDLs from </w:t>
      </w:r>
      <w:r w:rsidRPr="4F28CF06" w:rsidR="00A8014D">
        <w:rPr>
          <w:rFonts w:cs="Times New Roman"/>
        </w:rPr>
        <w:t xml:space="preserve">the </w:t>
      </w:r>
      <w:r w:rsidR="00A8014D">
        <w:rPr>
          <w:rFonts w:cs="Times New Roman"/>
        </w:rPr>
        <w:t>prohibition on Federal acceptance of non-compliant mDLs</w:t>
      </w:r>
      <w:r w:rsidR="00410C2F">
        <w:rPr>
          <w:rFonts w:cs="Times New Roman"/>
        </w:rPr>
        <w:t xml:space="preserve"> </w:t>
      </w:r>
      <w:r w:rsidRPr="00EA5465">
        <w:rPr>
          <w:rFonts w:cs="Times New Roman"/>
        </w:rPr>
        <w:t xml:space="preserve">for official purposes.  </w:t>
      </w:r>
      <w:r w:rsidRPr="00EA5465" w:rsidR="00EA5465">
        <w:t xml:space="preserve">The collection of the information will enable </w:t>
      </w:r>
      <w:r w:rsidR="00426579">
        <w:t>TSA</w:t>
      </w:r>
      <w:r w:rsidRPr="00EA5465" w:rsidR="00EA5465">
        <w:t xml:space="preserve"> to issue a waiver to States, </w:t>
      </w:r>
      <w:r>
        <w:t xml:space="preserve">and </w:t>
      </w:r>
      <w:r w:rsidR="00426579">
        <w:t>TSA</w:t>
      </w:r>
      <w:r w:rsidRPr="00A44A89" w:rsidR="00A44A89">
        <w:t xml:space="preserve"> will use all of the submitted documentation to evaluate a State’s request for a waiver.</w:t>
      </w:r>
      <w:r w:rsidR="00A32438">
        <w:t xml:space="preserve">  </w:t>
      </w:r>
      <w:r>
        <w:rPr>
          <w:bCs/>
        </w:rPr>
        <w:t xml:space="preserve">States will be required to submit information to </w:t>
      </w:r>
      <w:r w:rsidR="00426579">
        <w:rPr>
          <w:bCs/>
        </w:rPr>
        <w:t>TSA</w:t>
      </w:r>
      <w:r>
        <w:rPr>
          <w:bCs/>
        </w:rPr>
        <w:t xml:space="preserve"> as part of their applications for a certificate of waiver for mDLs, in compliance with reporting requirements, and in response to </w:t>
      </w:r>
      <w:r w:rsidR="00426579">
        <w:rPr>
          <w:bCs/>
        </w:rPr>
        <w:t>TSA</w:t>
      </w:r>
      <w:r>
        <w:rPr>
          <w:bCs/>
        </w:rPr>
        <w:t xml:space="preserve"> notices of suspension and termination.  </w:t>
      </w:r>
      <w:r w:rsidR="00A44A89">
        <w:t xml:space="preserve">The </w:t>
      </w:r>
      <w:r w:rsidRPr="00EF7ACC" w:rsidR="00EF7ACC">
        <w:t xml:space="preserve">final </w:t>
      </w:r>
      <w:r w:rsidRPr="00EF7ACC" w:rsidR="00A44A89">
        <w:t>rule</w:t>
      </w:r>
      <w:r w:rsidR="00A44A89">
        <w:t xml:space="preserve"> </w:t>
      </w:r>
      <w:r w:rsidRPr="189AAE92" w:rsidR="00A44A89">
        <w:rPr>
          <w:rStyle w:val="RegEvalTextChar"/>
        </w:rPr>
        <w:t>require</w:t>
      </w:r>
      <w:r w:rsidR="00EF7ACC">
        <w:rPr>
          <w:rStyle w:val="RegEvalTextChar"/>
        </w:rPr>
        <w:t>s</w:t>
      </w:r>
      <w:r w:rsidRPr="189AAE92" w:rsidR="00A44A89">
        <w:rPr>
          <w:rStyle w:val="RegEvalTextChar"/>
        </w:rPr>
        <w:t xml:space="preserve"> the </w:t>
      </w:r>
      <w:r>
        <w:rPr>
          <w:rStyle w:val="RegEvalTextChar"/>
        </w:rPr>
        <w:t>following information collections from States</w:t>
      </w:r>
      <w:r>
        <w:rPr>
          <w:rStyle w:val="RegEvalTextChar"/>
        </w:rPr>
        <w:t>.</w:t>
      </w:r>
    </w:p>
    <w:p w:rsidR="001103E2" w:rsidP="00A44A89" w14:paraId="0A5837A9" w14:textId="77777777">
      <w:pPr>
        <w:ind w:left="360"/>
        <w:rPr>
          <w:rStyle w:val="RegEvalTextChar"/>
        </w:rPr>
      </w:pPr>
    </w:p>
    <w:p w:rsidR="001103E2" w:rsidRPr="00094125" w:rsidP="001103E2" w14:paraId="66F9EA68" w14:textId="58447202">
      <w:pPr>
        <w:rPr>
          <w:szCs w:val="24"/>
        </w:rPr>
      </w:pPr>
      <w:r w:rsidRPr="00094125">
        <w:rPr>
          <w:bCs/>
        </w:rPr>
        <w:tab/>
        <w:t>(</w:t>
      </w:r>
      <w:r w:rsidR="009441A4">
        <w:rPr>
          <w:bCs/>
        </w:rPr>
        <w:t>i</w:t>
      </w:r>
      <w:r w:rsidRPr="00094125">
        <w:rPr>
          <w:bCs/>
        </w:rPr>
        <w:t xml:space="preserve">) </w:t>
      </w:r>
      <w:r>
        <w:rPr>
          <w:bCs/>
        </w:rPr>
        <w:t xml:space="preserve">Submission of Initial </w:t>
      </w:r>
      <w:r w:rsidRPr="00094125">
        <w:rPr>
          <w:bCs/>
        </w:rPr>
        <w:t xml:space="preserve">Application </w:t>
      </w:r>
      <w:r>
        <w:rPr>
          <w:bCs/>
        </w:rPr>
        <w:t>and Audit Report</w:t>
      </w:r>
    </w:p>
    <w:p w:rsidR="001103E2" w:rsidP="001103E2" w14:paraId="1CA29178" w14:textId="77777777">
      <w:pPr>
        <w:numPr>
          <w:ilvl w:val="12"/>
          <w:numId w:val="0"/>
        </w:numPr>
        <w:ind w:left="360"/>
        <w:rPr>
          <w:i/>
          <w:szCs w:val="24"/>
        </w:rPr>
      </w:pPr>
    </w:p>
    <w:p w:rsidR="001103E2" w:rsidP="001103E2" w14:paraId="23B35B79" w14:textId="5EF0E1D5">
      <w:pPr>
        <w:ind w:left="360"/>
        <w:rPr>
          <w:rFonts w:eastAsia="Calibri" w:cs="Times New Roman"/>
          <w:szCs w:val="24"/>
        </w:rPr>
      </w:pPr>
      <w:r w:rsidRPr="00093F98">
        <w:t xml:space="preserve">A State seeking a certificate of waiver must follow the application process set forth in section 37.9(a) of the </w:t>
      </w:r>
      <w:r w:rsidR="00D74B86">
        <w:t>final</w:t>
      </w:r>
      <w:r w:rsidRPr="00093F98">
        <w:t xml:space="preserve"> rule.  </w:t>
      </w:r>
      <w:r>
        <w:t>Specifically, a</w:t>
      </w:r>
      <w:r w:rsidRPr="00093F98">
        <w:t xml:space="preserve"> State must file a complete application as set forth in sections 37.10(a) and (b) of the </w:t>
      </w:r>
      <w:r w:rsidR="00D74B86">
        <w:t>final</w:t>
      </w:r>
      <w:r w:rsidRPr="00093F98">
        <w:t xml:space="preserve"> rule.  Section 37.10(a) (and accompanying Appendix A) set</w:t>
      </w:r>
      <w:r>
        <w:t>s</w:t>
      </w:r>
      <w:r w:rsidRPr="00093F98">
        <w:t xml:space="preserve"> forth all information, documents, and data that a State must include in its application, and section 37.10(b) require</w:t>
      </w:r>
      <w:r>
        <w:t>s</w:t>
      </w:r>
      <w:r w:rsidRPr="00093F98">
        <w:t xml:space="preserve"> a State to submit a</w:t>
      </w:r>
      <w:r w:rsidRPr="001A7EA3">
        <w:t xml:space="preserve"> report prepared by an independent auditor verifying the accuracy of the information provided by the </w:t>
      </w:r>
      <w:r>
        <w:t>St</w:t>
      </w:r>
      <w:r w:rsidRPr="001A7EA3">
        <w:t xml:space="preserve">ate in response to section </w:t>
      </w:r>
      <w:r w:rsidRPr="001A7EA3">
        <w:t xml:space="preserve">37.10(a).  </w:t>
      </w:r>
      <w:r w:rsidRPr="004A30A6">
        <w:rPr>
          <w:rFonts w:eastAsia="Calibri" w:cs="Times New Roman"/>
          <w:szCs w:val="24"/>
        </w:rPr>
        <w:t>To assi</w:t>
      </w:r>
      <w:r>
        <w:rPr>
          <w:rFonts w:eastAsia="Calibri" w:cs="Times New Roman"/>
          <w:szCs w:val="24"/>
        </w:rPr>
        <w:t xml:space="preserve">st </w:t>
      </w:r>
      <w:r w:rsidRPr="004A30A6">
        <w:rPr>
          <w:rFonts w:eastAsia="Calibri" w:cs="Times New Roman"/>
          <w:szCs w:val="24"/>
        </w:rPr>
        <w:t xml:space="preserve">States that are considering applying for a waiver, </w:t>
      </w:r>
      <w:r w:rsidR="00426579">
        <w:rPr>
          <w:rFonts w:eastAsia="Calibri" w:cs="Times New Roman"/>
          <w:szCs w:val="24"/>
        </w:rPr>
        <w:t>TSA</w:t>
      </w:r>
      <w:r w:rsidRPr="004A30A6">
        <w:rPr>
          <w:rFonts w:eastAsia="Calibri" w:cs="Times New Roman"/>
          <w:szCs w:val="24"/>
        </w:rPr>
        <w:t xml:space="preserve"> has developed guidelines, entitled, “Mobile Driver’s License Waiver Application Guidance,” which provide non-binding recommendations of some ways that States can meet the application requirements set forth in the rule.</w:t>
      </w:r>
    </w:p>
    <w:p w:rsidR="001103E2" w:rsidP="001103E2" w14:paraId="32C8F13F" w14:textId="77777777">
      <w:pPr>
        <w:ind w:left="360"/>
      </w:pPr>
    </w:p>
    <w:p w:rsidR="001103E2" w:rsidP="001103E2" w14:paraId="61DBD1E1" w14:textId="3B52BEB9">
      <w:pPr>
        <w:ind w:left="360"/>
      </w:pPr>
      <w:r>
        <w:rPr>
          <w:rFonts w:cs="Times New Roman"/>
        </w:rPr>
        <w:t>S</w:t>
      </w:r>
      <w:r w:rsidRPr="00CA7F82">
        <w:rPr>
          <w:rFonts w:cs="Times New Roman"/>
        </w:rPr>
        <w:t>ection 37.9(</w:t>
      </w:r>
      <w:r>
        <w:rPr>
          <w:rFonts w:cs="Times New Roman"/>
        </w:rPr>
        <w:t>b</w:t>
      </w:r>
      <w:r w:rsidRPr="00CA7F82">
        <w:rPr>
          <w:rFonts w:cs="Times New Roman"/>
        </w:rPr>
        <w:t>) e</w:t>
      </w:r>
      <w:r>
        <w:rPr>
          <w:rFonts w:cs="Times New Roman"/>
        </w:rPr>
        <w:t>st</w:t>
      </w:r>
      <w:r w:rsidRPr="00CA7F82">
        <w:rPr>
          <w:rFonts w:cs="Times New Roman"/>
        </w:rPr>
        <w:t>ablish</w:t>
      </w:r>
      <w:r>
        <w:rPr>
          <w:rFonts w:cs="Times New Roman"/>
        </w:rPr>
        <w:t>es</w:t>
      </w:r>
      <w:r w:rsidRPr="00CA7F82">
        <w:rPr>
          <w:rFonts w:cs="Times New Roman"/>
        </w:rPr>
        <w:t xml:space="preserve"> a timeline for </w:t>
      </w:r>
      <w:r w:rsidR="00426579">
        <w:rPr>
          <w:rFonts w:cs="Times New Roman"/>
        </w:rPr>
        <w:t>TSA</w:t>
      </w:r>
      <w:r>
        <w:rPr>
          <w:rFonts w:cs="Times New Roman"/>
        </w:rPr>
        <w:t xml:space="preserve"> to issue </w:t>
      </w:r>
      <w:r w:rsidRPr="00CA7F82">
        <w:rPr>
          <w:rFonts w:cs="Times New Roman"/>
        </w:rPr>
        <w:t xml:space="preserve">decisions on a waiver application.  Under this </w:t>
      </w:r>
      <w:r>
        <w:rPr>
          <w:rFonts w:cs="Times New Roman"/>
        </w:rPr>
        <w:t>section</w:t>
      </w:r>
      <w:r w:rsidRPr="00CA7F82">
        <w:rPr>
          <w:rFonts w:cs="Times New Roman"/>
        </w:rPr>
        <w:t xml:space="preserve">, </w:t>
      </w:r>
      <w:r w:rsidR="00426579">
        <w:rPr>
          <w:rFonts w:cs="Times New Roman"/>
        </w:rPr>
        <w:t>TSA</w:t>
      </w:r>
      <w:r w:rsidRPr="00CA7F82">
        <w:rPr>
          <w:rFonts w:cs="Times New Roman"/>
        </w:rPr>
        <w:t xml:space="preserve"> endeavor</w:t>
      </w:r>
      <w:r w:rsidR="00EF7ACC">
        <w:rPr>
          <w:rFonts w:cs="Times New Roman"/>
        </w:rPr>
        <w:t>s</w:t>
      </w:r>
      <w:r w:rsidRPr="00CA7F82">
        <w:rPr>
          <w:rFonts w:cs="Times New Roman"/>
        </w:rPr>
        <w:t xml:space="preserve"> to provide a decision on initial applications within 60 </w:t>
      </w:r>
      <w:r>
        <w:rPr>
          <w:rFonts w:cs="Times New Roman"/>
        </w:rPr>
        <w:t xml:space="preserve">calendar </w:t>
      </w:r>
      <w:r w:rsidRPr="00CA7F82">
        <w:rPr>
          <w:rFonts w:cs="Times New Roman"/>
        </w:rPr>
        <w:t>days, but not longer than 90</w:t>
      </w:r>
      <w:r w:rsidRPr="00D07D1F">
        <w:rPr>
          <w:rFonts w:cs="Times New Roman"/>
        </w:rPr>
        <w:t xml:space="preserve"> </w:t>
      </w:r>
      <w:r>
        <w:rPr>
          <w:rFonts w:cs="Times New Roman"/>
        </w:rPr>
        <w:t>calendar</w:t>
      </w:r>
      <w:r w:rsidRPr="00CA7F82">
        <w:rPr>
          <w:rFonts w:cs="Times New Roman"/>
        </w:rPr>
        <w:t xml:space="preserve"> days.  </w:t>
      </w:r>
      <w:r w:rsidR="00426579">
        <w:t>TSA</w:t>
      </w:r>
      <w:r w:rsidRPr="00CA7F82">
        <w:t xml:space="preserve"> </w:t>
      </w:r>
      <w:r w:rsidR="00EF7ACC">
        <w:t>will</w:t>
      </w:r>
      <w:r w:rsidRPr="00CA7F82" w:rsidR="00EF7ACC">
        <w:t xml:space="preserve"> </w:t>
      </w:r>
      <w:r w:rsidRPr="00CA7F82">
        <w:t xml:space="preserve">provide three types of notice: approved, insufficient, or denied.  </w:t>
      </w:r>
      <w:r w:rsidRPr="00CA7F82">
        <w:rPr>
          <w:rFonts w:cs="Times New Roman"/>
        </w:rPr>
        <w:t xml:space="preserve">States that are granted a waiver </w:t>
      </w:r>
      <w:r w:rsidR="00EF7ACC">
        <w:rPr>
          <w:rFonts w:cs="Times New Roman"/>
        </w:rPr>
        <w:t>will</w:t>
      </w:r>
      <w:r w:rsidRPr="00CA7F82" w:rsidR="00EF7ACC">
        <w:rPr>
          <w:rFonts w:cs="Times New Roman"/>
        </w:rPr>
        <w:t xml:space="preserve"> </w:t>
      </w:r>
      <w:r w:rsidRPr="00CA7F82">
        <w:rPr>
          <w:rFonts w:cs="Times New Roman"/>
        </w:rPr>
        <w:t xml:space="preserve">be included in a list of State-mDLs approved for Federal use, published by </w:t>
      </w:r>
      <w:r w:rsidR="00F76139">
        <w:rPr>
          <w:rFonts w:cs="Times New Roman"/>
        </w:rPr>
        <w:t>TSA</w:t>
      </w:r>
      <w:r w:rsidRPr="00CA7F82" w:rsidR="00F76139">
        <w:rPr>
          <w:rFonts w:cs="Times New Roman"/>
        </w:rPr>
        <w:t xml:space="preserve"> </w:t>
      </w:r>
      <w:r>
        <w:rPr>
          <w:rFonts w:cs="Times New Roman"/>
        </w:rPr>
        <w:t xml:space="preserve">at </w:t>
      </w:r>
      <w:r w:rsidRPr="00CA7F82">
        <w:rPr>
          <w:rFonts w:cs="Times New Roman"/>
        </w:rPr>
        <w:t>www.</w:t>
      </w:r>
      <w:r w:rsidR="00F76139">
        <w:rPr>
          <w:rFonts w:cs="Times New Roman"/>
        </w:rPr>
        <w:t>tsa</w:t>
      </w:r>
      <w:r w:rsidRPr="00CA7F82">
        <w:rPr>
          <w:rFonts w:cs="Times New Roman"/>
        </w:rPr>
        <w:t>.gov/real-id/</w:t>
      </w:r>
      <w:r>
        <w:rPr>
          <w:rFonts w:cs="Times New Roman"/>
        </w:rPr>
        <w:t>mDL</w:t>
      </w:r>
      <w:r w:rsidRPr="00CA7F82">
        <w:rPr>
          <w:rFonts w:cs="Times New Roman"/>
        </w:rPr>
        <w:t>.</w:t>
      </w:r>
    </w:p>
    <w:p w:rsidR="001103E2" w:rsidP="001103E2" w14:paraId="490F9654" w14:textId="77777777">
      <w:pPr>
        <w:ind w:left="360"/>
      </w:pPr>
    </w:p>
    <w:p w:rsidR="001103E2" w:rsidRPr="00CE48D0" w:rsidP="001103E2" w14:paraId="7606FC70" w14:textId="7C85941A">
      <w:pPr>
        <w:ind w:left="360"/>
        <w:rPr>
          <w:rFonts w:cs="Times New Roman"/>
        </w:rPr>
      </w:pPr>
      <w:r w:rsidRPr="00CE48D0">
        <w:rPr>
          <w:rFonts w:cs="Times New Roman"/>
        </w:rPr>
        <w:tab/>
        <w:t>(</w:t>
      </w:r>
      <w:r w:rsidR="009441A4">
        <w:rPr>
          <w:rFonts w:cs="Times New Roman"/>
        </w:rPr>
        <w:t>ii</w:t>
      </w:r>
      <w:r w:rsidRPr="00CE48D0">
        <w:rPr>
          <w:rFonts w:cs="Times New Roman"/>
        </w:rPr>
        <w:t>) Supplemental Submissions</w:t>
      </w:r>
    </w:p>
    <w:p w:rsidR="001103E2" w:rsidP="001103E2" w14:paraId="050F526C" w14:textId="77777777">
      <w:pPr>
        <w:ind w:left="360"/>
        <w:rPr>
          <w:rFonts w:cs="Times New Roman"/>
        </w:rPr>
      </w:pPr>
    </w:p>
    <w:p w:rsidR="001103E2" w:rsidRPr="00093F98" w:rsidP="001103E2" w14:paraId="37D9A4EB" w14:textId="5A69F755">
      <w:pPr>
        <w:ind w:left="360"/>
      </w:pPr>
      <w:r>
        <w:rPr>
          <w:rFonts w:cs="Times New Roman"/>
        </w:rPr>
        <w:t>TSA</w:t>
      </w:r>
      <w:r w:rsidRPr="00093F98">
        <w:rPr>
          <w:rFonts w:cs="Times New Roman"/>
        </w:rPr>
        <w:t xml:space="preserve"> may notify a State that its application is insufficient upon finding that an application did not respond to certain information or contains other deficiencies.  In this instance, </w:t>
      </w:r>
      <w:r>
        <w:rPr>
          <w:rFonts w:cs="Times New Roman"/>
        </w:rPr>
        <w:t>TSA</w:t>
      </w:r>
      <w:r w:rsidRPr="00093F98">
        <w:rPr>
          <w:rFonts w:cs="Times New Roman"/>
        </w:rPr>
        <w:t xml:space="preserve"> </w:t>
      </w:r>
      <w:r w:rsidR="00EF7ACC">
        <w:rPr>
          <w:rFonts w:cs="Times New Roman"/>
        </w:rPr>
        <w:t>will</w:t>
      </w:r>
      <w:r w:rsidRPr="00093F98" w:rsidR="00EF7ACC">
        <w:rPr>
          <w:rFonts w:cs="Times New Roman"/>
        </w:rPr>
        <w:t xml:space="preserve"> </w:t>
      </w:r>
      <w:r w:rsidRPr="00093F98">
        <w:rPr>
          <w:rFonts w:cs="Times New Roman"/>
        </w:rPr>
        <w:t xml:space="preserve">provide </w:t>
      </w:r>
      <w:r>
        <w:rPr>
          <w:rFonts w:cs="Times New Roman"/>
        </w:rPr>
        <w:t xml:space="preserve">States </w:t>
      </w:r>
      <w:r w:rsidRPr="00093F98">
        <w:rPr>
          <w:rFonts w:cs="Times New Roman"/>
        </w:rPr>
        <w:t xml:space="preserve">an explanation of such deficiencies and afford </w:t>
      </w:r>
      <w:r>
        <w:rPr>
          <w:rFonts w:cs="Times New Roman"/>
        </w:rPr>
        <w:t>them</w:t>
      </w:r>
      <w:r w:rsidRPr="00093F98">
        <w:rPr>
          <w:rFonts w:cs="Times New Roman"/>
        </w:rPr>
        <w:t xml:space="preserve"> an opportunity to address deficiencies and </w:t>
      </w:r>
      <w:r>
        <w:rPr>
          <w:rFonts w:cs="Times New Roman"/>
        </w:rPr>
        <w:t>submit supplemental information</w:t>
      </w:r>
      <w:r w:rsidRPr="00093F98">
        <w:rPr>
          <w:rFonts w:cs="Times New Roman"/>
        </w:rPr>
        <w:t xml:space="preserve">.  </w:t>
      </w:r>
      <w:r>
        <w:rPr>
          <w:rFonts w:cs="Times New Roman"/>
        </w:rPr>
        <w:t>TSA</w:t>
      </w:r>
      <w:r w:rsidRPr="00093F98">
        <w:rPr>
          <w:rFonts w:cs="Times New Roman"/>
        </w:rPr>
        <w:t xml:space="preserve"> </w:t>
      </w:r>
      <w:r w:rsidR="00EF7ACC">
        <w:rPr>
          <w:rFonts w:cs="Times New Roman"/>
        </w:rPr>
        <w:t>will</w:t>
      </w:r>
      <w:r w:rsidRPr="00093F98" w:rsidR="00EF7ACC">
        <w:rPr>
          <w:rFonts w:cs="Times New Roman"/>
        </w:rPr>
        <w:t xml:space="preserve"> </w:t>
      </w:r>
      <w:r w:rsidRPr="00093F98">
        <w:rPr>
          <w:rFonts w:cs="Times New Roman"/>
        </w:rPr>
        <w:t xml:space="preserve">permit States to submit multiple amended applications if necessary, with the intent of working with States individually to enable their mDLs to comply with waiver criteria.  </w:t>
      </w:r>
      <w:r w:rsidRPr="00093F98">
        <w:t xml:space="preserve">States </w:t>
      </w:r>
      <w:r w:rsidR="00EF7ACC">
        <w:t>will</w:t>
      </w:r>
      <w:r w:rsidRPr="00093F98" w:rsidR="00EF7ACC">
        <w:t xml:space="preserve"> </w:t>
      </w:r>
      <w:r w:rsidRPr="00093F98">
        <w:t>have 60</w:t>
      </w:r>
      <w:r w:rsidRPr="00D07D1F" w:rsidR="00D07D1F">
        <w:rPr>
          <w:rFonts w:cs="Times New Roman"/>
        </w:rPr>
        <w:t xml:space="preserve"> </w:t>
      </w:r>
      <w:r w:rsidR="00D07D1F">
        <w:rPr>
          <w:rFonts w:cs="Times New Roman"/>
        </w:rPr>
        <w:t>calendar</w:t>
      </w:r>
      <w:r w:rsidRPr="00093F98">
        <w:t xml:space="preserve"> days to submit supplemental information.</w:t>
      </w:r>
    </w:p>
    <w:p w:rsidR="001103E2" w:rsidRPr="00093F98" w:rsidP="001103E2" w14:paraId="3398A13D" w14:textId="77777777">
      <w:pPr>
        <w:ind w:left="360"/>
      </w:pPr>
    </w:p>
    <w:p w:rsidR="001103E2" w:rsidRPr="00093F98" w:rsidP="001103E2" w14:paraId="016E8126" w14:textId="2E425684">
      <w:pPr>
        <w:ind w:left="360"/>
      </w:pPr>
      <w:r w:rsidRPr="00093F98">
        <w:tab/>
        <w:t>(</w:t>
      </w:r>
      <w:r w:rsidR="009441A4">
        <w:t>iii</w:t>
      </w:r>
      <w:r w:rsidRPr="00093F98">
        <w:t>) Request for Reconsideration of Denied Application</w:t>
      </w:r>
    </w:p>
    <w:p w:rsidR="001103E2" w:rsidRPr="00093F98" w:rsidP="001103E2" w14:paraId="075D3612" w14:textId="77777777">
      <w:pPr>
        <w:ind w:left="360"/>
      </w:pPr>
    </w:p>
    <w:p w:rsidR="001103E2" w:rsidRPr="00093F98" w:rsidP="001103E2" w14:paraId="1DF00AE9" w14:textId="41FDC93D">
      <w:pPr>
        <w:ind w:left="360"/>
      </w:pPr>
      <w:r w:rsidRPr="00093F98">
        <w:rPr>
          <w:rFonts w:cs="Times New Roman"/>
        </w:rPr>
        <w:t xml:space="preserve">If </w:t>
      </w:r>
      <w:r w:rsidR="00426579">
        <w:rPr>
          <w:rFonts w:cs="Times New Roman"/>
        </w:rPr>
        <w:t>TSA</w:t>
      </w:r>
      <w:r w:rsidRPr="00093F98">
        <w:rPr>
          <w:rFonts w:cs="Times New Roman"/>
        </w:rPr>
        <w:t xml:space="preserve"> denies an application, </w:t>
      </w:r>
      <w:r w:rsidR="00426579">
        <w:rPr>
          <w:rFonts w:cs="Times New Roman"/>
        </w:rPr>
        <w:t>TSA</w:t>
      </w:r>
      <w:r w:rsidRPr="00093F98">
        <w:rPr>
          <w:rFonts w:cs="Times New Roman"/>
        </w:rPr>
        <w:t xml:space="preserve"> </w:t>
      </w:r>
      <w:r w:rsidR="00EF7ACC">
        <w:rPr>
          <w:rFonts w:cs="Times New Roman"/>
        </w:rPr>
        <w:t>will</w:t>
      </w:r>
      <w:r w:rsidRPr="00093F98" w:rsidR="00EF7ACC">
        <w:rPr>
          <w:rFonts w:cs="Times New Roman"/>
        </w:rPr>
        <w:t xml:space="preserve"> </w:t>
      </w:r>
      <w:r w:rsidRPr="00093F98">
        <w:rPr>
          <w:rFonts w:cs="Times New Roman"/>
        </w:rPr>
        <w:t xml:space="preserve">provide </w:t>
      </w:r>
      <w:r>
        <w:rPr>
          <w:rFonts w:cs="Times New Roman"/>
        </w:rPr>
        <w:t xml:space="preserve">States </w:t>
      </w:r>
      <w:r w:rsidRPr="00093F98">
        <w:rPr>
          <w:rFonts w:cs="Times New Roman"/>
        </w:rPr>
        <w:t xml:space="preserve">the specific grounds for the basis of the denial and afford </w:t>
      </w:r>
      <w:r>
        <w:rPr>
          <w:rFonts w:cs="Times New Roman"/>
        </w:rPr>
        <w:t>them</w:t>
      </w:r>
      <w:r w:rsidRPr="00093F98">
        <w:rPr>
          <w:rFonts w:cs="Times New Roman"/>
        </w:rPr>
        <w:t xml:space="preserve"> an opportunity to </w:t>
      </w:r>
      <w:r w:rsidRPr="00093F98">
        <w:t xml:space="preserve">seek reconsideration of a denied application.  </w:t>
      </w:r>
      <w:r>
        <w:t xml:space="preserve">A </w:t>
      </w:r>
      <w:r w:rsidRPr="00093F98">
        <w:t xml:space="preserve">State </w:t>
      </w:r>
      <w:r w:rsidR="00EF7ACC">
        <w:t>will</w:t>
      </w:r>
      <w:r w:rsidRPr="00093F98">
        <w:t xml:space="preserve"> have 90 </w:t>
      </w:r>
      <w:r w:rsidR="00D07D1F">
        <w:rPr>
          <w:rFonts w:cs="Times New Roman"/>
        </w:rPr>
        <w:t>calendar</w:t>
      </w:r>
      <w:r w:rsidRPr="00093F98" w:rsidR="00D07D1F">
        <w:t xml:space="preserve"> </w:t>
      </w:r>
      <w:r w:rsidRPr="00093F98">
        <w:t>days to file a request for reconsideration, explaining what corrective actions it intends to implement, or explain why the denial is incorrect.</w:t>
      </w:r>
    </w:p>
    <w:p w:rsidR="001103E2" w:rsidRPr="00093F98" w:rsidP="001103E2" w14:paraId="1CDF5EBB" w14:textId="77777777">
      <w:pPr>
        <w:ind w:left="360"/>
      </w:pPr>
    </w:p>
    <w:p w:rsidR="001103E2" w:rsidRPr="00CE48D0" w:rsidP="001103E2" w14:paraId="4041F21B" w14:textId="045E5F3E">
      <w:pPr>
        <w:ind w:left="360"/>
      </w:pPr>
      <w:r w:rsidRPr="00CE48D0">
        <w:tab/>
        <w:t>(</w:t>
      </w:r>
      <w:r w:rsidR="009441A4">
        <w:t>iv</w:t>
      </w:r>
      <w:r w:rsidRPr="00CE48D0">
        <w:t>) Re-Application</w:t>
      </w:r>
    </w:p>
    <w:p w:rsidR="001103E2" w:rsidP="001103E2" w14:paraId="3CF1C08D" w14:textId="77777777">
      <w:pPr>
        <w:ind w:left="360"/>
      </w:pPr>
    </w:p>
    <w:p w:rsidR="001103E2" w:rsidP="001103E2" w14:paraId="2174AF00" w14:textId="1BF4EAF1">
      <w:pPr>
        <w:ind w:left="360"/>
        <w:rPr>
          <w:rFonts w:cs="Times New Roman"/>
        </w:rPr>
      </w:pPr>
      <w:r>
        <w:t xml:space="preserve">A State whose request for reconsideration has been denied may choose to submit a new application.  In addition, </w:t>
      </w:r>
      <w:r w:rsidRPr="00E62708">
        <w:rPr>
          <w:rFonts w:cs="Times New Roman"/>
        </w:rPr>
        <w:t>a State that seeks to renew a certificate of waiver that has expired must submit a new application</w:t>
      </w:r>
      <w:r>
        <w:rPr>
          <w:rFonts w:cs="Times New Roman"/>
        </w:rPr>
        <w:t xml:space="preserve">.  </w:t>
      </w:r>
      <w:r w:rsidR="00C52E50">
        <w:rPr>
          <w:rFonts w:cs="Times New Roman"/>
        </w:rPr>
        <w:t>A</w:t>
      </w:r>
      <w:r>
        <w:rPr>
          <w:rFonts w:cs="Times New Roman"/>
        </w:rPr>
        <w:t xml:space="preserve"> State to whom </w:t>
      </w:r>
      <w:r w:rsidR="00426579">
        <w:rPr>
          <w:rFonts w:cs="Times New Roman"/>
        </w:rPr>
        <w:t>TSA</w:t>
      </w:r>
      <w:r>
        <w:rPr>
          <w:rFonts w:cs="Times New Roman"/>
        </w:rPr>
        <w:t xml:space="preserve"> has issued a final suspension or termination</w:t>
      </w:r>
      <w:r w:rsidR="00C52E50">
        <w:rPr>
          <w:rFonts w:cs="Times New Roman"/>
        </w:rPr>
        <w:t>, as set forth in section 37.9(e),</w:t>
      </w:r>
      <w:r>
        <w:rPr>
          <w:rFonts w:cs="Times New Roman"/>
        </w:rPr>
        <w:t xml:space="preserve"> may apply for a new waiver.</w:t>
      </w:r>
    </w:p>
    <w:p w:rsidR="001103E2" w:rsidRPr="00094125" w:rsidP="001103E2" w14:paraId="146A5B4F" w14:textId="77777777">
      <w:pPr>
        <w:ind w:left="360"/>
      </w:pPr>
    </w:p>
    <w:p w:rsidR="001103E2" w:rsidRPr="00094125" w:rsidP="001103E2" w14:paraId="4F3DA40A" w14:textId="4A645AB5">
      <w:pPr>
        <w:ind w:left="720"/>
      </w:pPr>
      <w:r w:rsidRPr="00094125">
        <w:t>(</w:t>
      </w:r>
      <w:r w:rsidR="009441A4">
        <w:t>v</w:t>
      </w:r>
      <w:r w:rsidRPr="00094125">
        <w:t xml:space="preserve">) Reporting </w:t>
      </w:r>
      <w:r>
        <w:t>of Significant Modifications to mDL Issuance Processes</w:t>
      </w:r>
    </w:p>
    <w:p w:rsidR="001103E2" w:rsidP="001103E2" w14:paraId="0ACAF245" w14:textId="77777777">
      <w:pPr>
        <w:ind w:left="360"/>
        <w:rPr>
          <w:rFonts w:cs="Times New Roman"/>
        </w:rPr>
      </w:pPr>
    </w:p>
    <w:p w:rsidR="001103E2" w:rsidRPr="001109A8" w:rsidP="001103E2" w14:paraId="26BD045B" w14:textId="401E0758">
      <w:pPr>
        <w:ind w:left="360"/>
        <w:rPr>
          <w:rFonts w:eastAsia="Calibri" w:cs="Times New Roman"/>
          <w:szCs w:val="24"/>
        </w:rPr>
      </w:pPr>
      <w:r w:rsidRPr="00093F98">
        <w:rPr>
          <w:rFonts w:cs="Times New Roman"/>
        </w:rPr>
        <w:t xml:space="preserve">Under section 37.9(e)(2), </w:t>
      </w:r>
      <w:r w:rsidRPr="00093F98">
        <w:rPr>
          <w:rFonts w:eastAsia="Calibri" w:cs="Times New Roman"/>
          <w:szCs w:val="24"/>
        </w:rPr>
        <w:t xml:space="preserve">a State must report to </w:t>
      </w:r>
      <w:r w:rsidR="00426579">
        <w:rPr>
          <w:rFonts w:eastAsia="Calibri" w:cs="Times New Roman"/>
          <w:szCs w:val="24"/>
        </w:rPr>
        <w:t>TSA</w:t>
      </w:r>
      <w:r w:rsidRPr="00093F98">
        <w:rPr>
          <w:rFonts w:eastAsia="Calibri" w:cs="Times New Roman"/>
          <w:szCs w:val="24"/>
        </w:rPr>
        <w:t xml:space="preserve"> if the State, after receiving a certificate of waiver, makes significant modifications to its mDL issuance processes that differ in a material way from information that the State provided in its application.  States must provide written notice of such changes to </w:t>
      </w:r>
      <w:r w:rsidR="00F76139">
        <w:rPr>
          <w:rFonts w:eastAsia="Calibri" w:cs="Times New Roman"/>
          <w:szCs w:val="24"/>
        </w:rPr>
        <w:t>TSA</w:t>
      </w:r>
      <w:r w:rsidRPr="00093F98" w:rsidR="00F76139">
        <w:rPr>
          <w:rFonts w:eastAsia="Calibri" w:cs="Times New Roman"/>
          <w:szCs w:val="24"/>
        </w:rPr>
        <w:t xml:space="preserve"> </w:t>
      </w:r>
      <w:r w:rsidRPr="00093F98">
        <w:rPr>
          <w:rFonts w:eastAsia="Calibri" w:cs="Times New Roman"/>
          <w:szCs w:val="24"/>
        </w:rPr>
        <w:t>at www.</w:t>
      </w:r>
      <w:r w:rsidR="00F76139">
        <w:rPr>
          <w:rFonts w:eastAsia="Calibri" w:cs="Times New Roman"/>
          <w:szCs w:val="24"/>
        </w:rPr>
        <w:t>tsa</w:t>
      </w:r>
      <w:r w:rsidRPr="00093F98">
        <w:rPr>
          <w:rFonts w:eastAsia="Calibri" w:cs="Times New Roman"/>
          <w:szCs w:val="24"/>
        </w:rPr>
        <w:t xml:space="preserve">.gov/real-id/mDL 60 </w:t>
      </w:r>
      <w:r w:rsidR="00D07D1F">
        <w:rPr>
          <w:rFonts w:cs="Times New Roman"/>
        </w:rPr>
        <w:t>calendar</w:t>
      </w:r>
      <w:r w:rsidRPr="00093F98" w:rsidR="00D07D1F">
        <w:rPr>
          <w:rFonts w:eastAsia="Calibri" w:cs="Times New Roman"/>
          <w:szCs w:val="24"/>
        </w:rPr>
        <w:t xml:space="preserve"> </w:t>
      </w:r>
      <w:r w:rsidRPr="00093F98">
        <w:rPr>
          <w:rFonts w:eastAsia="Calibri" w:cs="Times New Roman"/>
          <w:szCs w:val="24"/>
        </w:rPr>
        <w:t xml:space="preserve">days before implementing such changes.  This requirement is intended to apply to changes that may undermine the bases under which </w:t>
      </w:r>
      <w:r w:rsidR="00426579">
        <w:rPr>
          <w:rFonts w:eastAsia="Calibri" w:cs="Times New Roman"/>
          <w:szCs w:val="24"/>
        </w:rPr>
        <w:t>TSA</w:t>
      </w:r>
      <w:r w:rsidRPr="00093F98">
        <w:rPr>
          <w:rFonts w:eastAsia="Calibri" w:cs="Times New Roman"/>
          <w:szCs w:val="24"/>
        </w:rPr>
        <w:t xml:space="preserve"> granted a waiver.  The reporting requirement is </w:t>
      </w:r>
      <w:r w:rsidRPr="001109A8">
        <w:rPr>
          <w:rFonts w:eastAsia="Calibri" w:cs="Times New Roman"/>
          <w:szCs w:val="24"/>
        </w:rPr>
        <w:t>not intended to apply to routine, low-level changes, such as software updates and patches.</w:t>
      </w:r>
    </w:p>
    <w:p w:rsidR="001103E2" w:rsidRPr="00426579" w:rsidP="001103E2" w14:paraId="3C5CCEE1" w14:textId="77777777">
      <w:pPr>
        <w:ind w:left="360"/>
        <w:rPr>
          <w:rFonts w:eastAsia="Calibri" w:cs="Times New Roman"/>
          <w:szCs w:val="24"/>
          <w:highlight w:val="yellow"/>
        </w:rPr>
      </w:pPr>
    </w:p>
    <w:p w:rsidR="001103E2" w:rsidRPr="001109A8" w:rsidP="001103E2" w14:paraId="4F7973F1" w14:textId="3ACA1EBE">
      <w:pPr>
        <w:ind w:left="720"/>
      </w:pPr>
      <w:r w:rsidRPr="001109A8">
        <w:t>(</w:t>
      </w:r>
      <w:r w:rsidRPr="001109A8" w:rsidR="009441A4">
        <w:t>vi</w:t>
      </w:r>
      <w:r w:rsidRPr="001109A8">
        <w:t>) Reporting of Discovery of Significant Cyber Incident or Breach</w:t>
      </w:r>
    </w:p>
    <w:p w:rsidR="001103E2" w:rsidRPr="001109A8" w:rsidP="001103E2" w14:paraId="0161B51A" w14:textId="77777777">
      <w:pPr>
        <w:ind w:left="360"/>
        <w:rPr>
          <w:rFonts w:cs="Times New Roman"/>
        </w:rPr>
      </w:pPr>
    </w:p>
    <w:p w:rsidR="001103E2" w:rsidRPr="00093F98" w:rsidP="001103E2" w14:paraId="1C6D640A" w14:textId="76ED58CD">
      <w:pPr>
        <w:ind w:left="360"/>
        <w:rPr>
          <w:rFonts w:cs="Times New Roman"/>
        </w:rPr>
      </w:pPr>
      <w:r w:rsidRPr="001109A8">
        <w:rPr>
          <w:rFonts w:cs="Times New Roman"/>
        </w:rPr>
        <w:t xml:space="preserve">Under </w:t>
      </w:r>
      <w:r w:rsidR="00F63766">
        <w:rPr>
          <w:rFonts w:cs="Times New Roman"/>
        </w:rPr>
        <w:t>paragraph</w:t>
      </w:r>
      <w:r w:rsidRPr="001109A8" w:rsidR="00F63766">
        <w:rPr>
          <w:rFonts w:cs="Times New Roman"/>
        </w:rPr>
        <w:t xml:space="preserve"> </w:t>
      </w:r>
      <w:r w:rsidRPr="001109A8">
        <w:rPr>
          <w:rFonts w:cs="Times New Roman"/>
        </w:rPr>
        <w:t xml:space="preserve">8.6 of Appendix A, States are required to provide written notice to </w:t>
      </w:r>
      <w:r w:rsidR="008C5FFE">
        <w:rPr>
          <w:rFonts w:cs="Times New Roman"/>
        </w:rPr>
        <w:t>TSA</w:t>
      </w:r>
      <w:r w:rsidRPr="001109A8" w:rsidR="008C5FFE">
        <w:rPr>
          <w:rFonts w:cs="Times New Roman"/>
        </w:rPr>
        <w:t xml:space="preserve"> </w:t>
      </w:r>
      <w:r w:rsidRPr="001109A8" w:rsidR="001109A8">
        <w:rPr>
          <w:rFonts w:cs="Times New Roman"/>
        </w:rPr>
        <w:t xml:space="preserve">of any reportable cybersecurity incident, as defined in the TSA Cybersecurity Lexicon available at www.TSA.gov, that may compromise the integrity of State mDL systems within no more than 72 hours of the incident or breach. </w:t>
      </w:r>
      <w:r w:rsidR="007B549A">
        <w:rPr>
          <w:rFonts w:cs="Times New Roman"/>
        </w:rPr>
        <w:t xml:space="preserve"> </w:t>
      </w:r>
      <w:r w:rsidRPr="001109A8" w:rsidR="001109A8">
        <w:rPr>
          <w:rFonts w:cs="Times New Roman"/>
        </w:rPr>
        <w:t>Reports must be made as directed</w:t>
      </w:r>
      <w:r w:rsidRPr="001109A8">
        <w:rPr>
          <w:rFonts w:cs="Times New Roman"/>
        </w:rPr>
        <w:t xml:space="preserve"> at www.</w:t>
      </w:r>
      <w:r w:rsidR="00F76139">
        <w:rPr>
          <w:rFonts w:cs="Times New Roman"/>
        </w:rPr>
        <w:t>tsa</w:t>
      </w:r>
      <w:r w:rsidRPr="001109A8">
        <w:rPr>
          <w:rFonts w:cs="Times New Roman"/>
        </w:rPr>
        <w:t>.gov/real-id/mDL.</w:t>
      </w:r>
    </w:p>
    <w:p w:rsidR="001103E2" w:rsidRPr="00093F98" w:rsidP="001103E2" w14:paraId="2BA392F3" w14:textId="77777777">
      <w:pPr>
        <w:ind w:left="360"/>
        <w:rPr>
          <w:rFonts w:cs="Times New Roman"/>
        </w:rPr>
      </w:pPr>
    </w:p>
    <w:p w:rsidR="001103E2" w:rsidRPr="00093F98" w:rsidP="001103E2" w14:paraId="3D4945EA" w14:textId="0A74B0E7">
      <w:pPr>
        <w:ind w:left="360"/>
        <w:rPr>
          <w:rFonts w:cs="Times New Roman"/>
        </w:rPr>
      </w:pPr>
      <w:r w:rsidRPr="00093F98">
        <w:rPr>
          <w:rFonts w:cs="Times New Roman"/>
        </w:rPr>
        <w:tab/>
        <w:t>(</w:t>
      </w:r>
      <w:r w:rsidR="009441A4">
        <w:rPr>
          <w:rFonts w:cs="Times New Roman"/>
        </w:rPr>
        <w:t>vii</w:t>
      </w:r>
      <w:r w:rsidRPr="00093F98">
        <w:rPr>
          <w:rFonts w:cs="Times New Roman"/>
        </w:rPr>
        <w:t>)</w:t>
      </w:r>
      <w:r w:rsidRPr="00093F98">
        <w:t xml:space="preserve"> Responses to </w:t>
      </w:r>
      <w:r w:rsidR="00426579">
        <w:t>TSA</w:t>
      </w:r>
      <w:r w:rsidRPr="00093F98">
        <w:t xml:space="preserve"> Notices of Suspension and Termination</w:t>
      </w:r>
    </w:p>
    <w:p w:rsidR="001103E2" w:rsidRPr="00093F98" w:rsidP="001103E2" w14:paraId="3F0BE4BB" w14:textId="77777777">
      <w:pPr>
        <w:ind w:left="360"/>
        <w:rPr>
          <w:rFonts w:cs="Times New Roman"/>
        </w:rPr>
      </w:pPr>
    </w:p>
    <w:p w:rsidR="001103E2" w:rsidRPr="00093F98" w:rsidP="001103E2" w14:paraId="4652BD70" w14:textId="37082B5D">
      <w:pPr>
        <w:ind w:left="360"/>
        <w:rPr>
          <w:rFonts w:cs="Times New Roman"/>
        </w:rPr>
      </w:pPr>
      <w:r>
        <w:rPr>
          <w:rFonts w:cs="Times New Roman"/>
        </w:rPr>
        <w:t>S</w:t>
      </w:r>
      <w:r w:rsidRPr="00093F98">
        <w:rPr>
          <w:rFonts w:cs="Times New Roman"/>
        </w:rPr>
        <w:t xml:space="preserve">ection 37.9(e)(4) of the </w:t>
      </w:r>
      <w:r w:rsidR="00D74B86">
        <w:rPr>
          <w:rFonts w:cs="Times New Roman"/>
        </w:rPr>
        <w:t>final</w:t>
      </w:r>
      <w:r w:rsidRPr="00093F98">
        <w:rPr>
          <w:rFonts w:cs="Times New Roman"/>
        </w:rPr>
        <w:t xml:space="preserve"> rule set</w:t>
      </w:r>
      <w:r>
        <w:rPr>
          <w:rFonts w:cs="Times New Roman"/>
        </w:rPr>
        <w:t>s</w:t>
      </w:r>
      <w:r w:rsidRPr="00093F98">
        <w:rPr>
          <w:rFonts w:cs="Times New Roman"/>
        </w:rPr>
        <w:t xml:space="preserve"> forth processes for suspension of certificates of waiver.  </w:t>
      </w:r>
      <w:r w:rsidR="00426579">
        <w:rPr>
          <w:rFonts w:cs="Times New Roman"/>
        </w:rPr>
        <w:t>TSA</w:t>
      </w:r>
      <w:r w:rsidRPr="00093F98">
        <w:rPr>
          <w:rFonts w:cs="Times New Roman"/>
        </w:rPr>
        <w:t xml:space="preserve"> may suspend a certificate of waiver if </w:t>
      </w:r>
      <w:r w:rsidR="00426579">
        <w:rPr>
          <w:rFonts w:cs="Times New Roman"/>
        </w:rPr>
        <w:t>TSA</w:t>
      </w:r>
      <w:r w:rsidRPr="00093F98">
        <w:rPr>
          <w:rFonts w:cs="Times New Roman"/>
        </w:rPr>
        <w:t xml:space="preserve"> determines that a State: (1) failed to comply with any terms and conditions specified in the certificate of waiver, (2) failed to comply with reporting requirements, or (3) issues mDLs in a manner that is not consistent with the information the State provided in its application.  Before suspending a waiver for these reasons, </w:t>
      </w:r>
      <w:r w:rsidR="00426579">
        <w:rPr>
          <w:rFonts w:cs="Times New Roman"/>
        </w:rPr>
        <w:t>TSA</w:t>
      </w:r>
      <w:r w:rsidRPr="00093F98">
        <w:rPr>
          <w:rFonts w:cs="Times New Roman"/>
        </w:rPr>
        <w:t xml:space="preserve"> will provide such State written notice via email that it intends to suspend its waiver, along with an explanation of the reasons, </w:t>
      </w:r>
      <w:r w:rsidR="007B549A">
        <w:rPr>
          <w:rFonts w:cs="Times New Roman"/>
        </w:rPr>
        <w:t xml:space="preserve">and </w:t>
      </w:r>
      <w:r w:rsidRPr="00093F98">
        <w:rPr>
          <w:rFonts w:cs="Times New Roman"/>
        </w:rPr>
        <w:t xml:space="preserve">information on how the State may address the deficiencies.  States will have 30 </w:t>
      </w:r>
      <w:r>
        <w:rPr>
          <w:rFonts w:cs="Times New Roman"/>
        </w:rPr>
        <w:t>calendar</w:t>
      </w:r>
      <w:r w:rsidRPr="00093F98">
        <w:rPr>
          <w:rFonts w:cs="Times New Roman"/>
        </w:rPr>
        <w:t xml:space="preserve"> </w:t>
      </w:r>
      <w:r w:rsidRPr="00093F98">
        <w:rPr>
          <w:rFonts w:cs="Times New Roman"/>
        </w:rPr>
        <w:t xml:space="preserve">days to respond, and </w:t>
      </w:r>
      <w:r w:rsidR="00426579">
        <w:rPr>
          <w:rFonts w:cs="Times New Roman"/>
        </w:rPr>
        <w:t>TSA</w:t>
      </w:r>
      <w:r w:rsidRPr="00093F98">
        <w:rPr>
          <w:rFonts w:cs="Times New Roman"/>
        </w:rPr>
        <w:t xml:space="preserve"> will respond to the State via email within 30 </w:t>
      </w:r>
      <w:r>
        <w:rPr>
          <w:rFonts w:cs="Times New Roman"/>
        </w:rPr>
        <w:t>calendar</w:t>
      </w:r>
      <w:r w:rsidRPr="00093F98">
        <w:rPr>
          <w:rFonts w:cs="Times New Roman"/>
        </w:rPr>
        <w:t xml:space="preserve"> </w:t>
      </w:r>
      <w:r w:rsidRPr="00093F98">
        <w:rPr>
          <w:rFonts w:cs="Times New Roman"/>
        </w:rPr>
        <w:t xml:space="preserve">days.  </w:t>
      </w:r>
      <w:r w:rsidR="00426579">
        <w:rPr>
          <w:rFonts w:cs="Times New Roman"/>
        </w:rPr>
        <w:t>TSA</w:t>
      </w:r>
      <w:r w:rsidRPr="00093F98">
        <w:rPr>
          <w:rFonts w:cs="Times New Roman"/>
        </w:rPr>
        <w:t xml:space="preserve"> may withdraw the suspension notice, issue a final suspension, or request additional information from the State.</w:t>
      </w:r>
    </w:p>
    <w:p w:rsidR="001103E2" w:rsidRPr="00093F98" w:rsidP="001103E2" w14:paraId="6F3A53EA" w14:textId="77777777">
      <w:pPr>
        <w:ind w:left="360"/>
        <w:rPr>
          <w:rFonts w:cs="Times New Roman"/>
        </w:rPr>
      </w:pPr>
    </w:p>
    <w:p w:rsidR="001103E2" w:rsidRPr="00093F98" w:rsidP="001103E2" w14:paraId="2BB23D3B" w14:textId="553223D8">
      <w:pPr>
        <w:ind w:left="360"/>
        <w:rPr>
          <w:rFonts w:cs="Times New Roman"/>
        </w:rPr>
      </w:pPr>
      <w:r w:rsidRPr="00093F98">
        <w:rPr>
          <w:rFonts w:cs="Times New Roman"/>
        </w:rPr>
        <w:t xml:space="preserve">In addition, </w:t>
      </w:r>
      <w:r w:rsidR="00426579">
        <w:rPr>
          <w:rFonts w:cs="Times New Roman"/>
        </w:rPr>
        <w:t>TSA</w:t>
      </w:r>
      <w:r w:rsidRPr="00093F98">
        <w:rPr>
          <w:rFonts w:cs="Times New Roman"/>
        </w:rPr>
        <w:t xml:space="preserve"> may suspend a waiver at any time upon discovery of imminent or serious threats to security, privacy, or data integrity, such as cyber-attacks and other events that cause serious harm to Federal agencies, such as cyber-attacks on a State’s mDL issuance </w:t>
      </w:r>
      <w:r>
        <w:rPr>
          <w:rFonts w:cs="Times New Roman"/>
        </w:rPr>
        <w:t>processes</w:t>
      </w:r>
      <w:r w:rsidRPr="00093F98">
        <w:rPr>
          <w:rFonts w:cs="Times New Roman"/>
        </w:rPr>
        <w:t xml:space="preserve"> that compromise the integrity of its mDLs.  If </w:t>
      </w:r>
      <w:r w:rsidR="00426579">
        <w:rPr>
          <w:rFonts w:cs="Times New Roman"/>
        </w:rPr>
        <w:t>TSA</w:t>
      </w:r>
      <w:r w:rsidRPr="00093F98">
        <w:rPr>
          <w:rFonts w:cs="Times New Roman"/>
        </w:rPr>
        <w:t xml:space="preserve"> determines such suspension is necessary, </w:t>
      </w:r>
      <w:r w:rsidR="00426579">
        <w:rPr>
          <w:rFonts w:cs="Times New Roman"/>
        </w:rPr>
        <w:t>TSA</w:t>
      </w:r>
      <w:r w:rsidRPr="00093F98">
        <w:rPr>
          <w:rFonts w:cs="Times New Roman"/>
        </w:rPr>
        <w:t xml:space="preserve"> will provide written notice via email to each State whose certificate of waiver is affected, as soon as practicable after discovery of the triggering event, providing an explanation for the suspension, as well as an estimated timeframe for resumption of the validity of the certificate of waiver.  A State that has been issued a final suspension may seek to apply for a new certificate of waiver by submitting a new application.</w:t>
      </w:r>
    </w:p>
    <w:p w:rsidR="001103E2" w:rsidRPr="00093F98" w:rsidP="001103E2" w14:paraId="6FE3D8C5" w14:textId="77777777">
      <w:pPr>
        <w:ind w:left="360"/>
        <w:rPr>
          <w:rFonts w:cs="Times New Roman"/>
          <w:i/>
        </w:rPr>
      </w:pPr>
    </w:p>
    <w:p w:rsidR="001103E2" w:rsidRPr="00093F98" w:rsidP="001103E2" w14:paraId="130003B1" w14:textId="380F5A55">
      <w:pPr>
        <w:ind w:left="360"/>
        <w:rPr>
          <w:rFonts w:cs="Times New Roman"/>
        </w:rPr>
      </w:pPr>
      <w:r>
        <w:rPr>
          <w:rFonts w:cs="Times New Roman"/>
        </w:rPr>
        <w:t xml:space="preserve">Under </w:t>
      </w:r>
      <w:r w:rsidRPr="00093F98">
        <w:rPr>
          <w:rFonts w:cs="Times New Roman"/>
        </w:rPr>
        <w:t>section 37.9(e)(5)</w:t>
      </w:r>
      <w:r>
        <w:rPr>
          <w:rFonts w:cs="Times New Roman"/>
        </w:rPr>
        <w:t>,</w:t>
      </w:r>
      <w:r w:rsidRPr="00093F98">
        <w:rPr>
          <w:rFonts w:cs="Times New Roman"/>
        </w:rPr>
        <w:t xml:space="preserve"> </w:t>
      </w:r>
      <w:r w:rsidR="00426579">
        <w:rPr>
          <w:rFonts w:cs="Times New Roman"/>
        </w:rPr>
        <w:t>TSA</w:t>
      </w:r>
      <w:r w:rsidRPr="00093F98">
        <w:rPr>
          <w:rFonts w:cs="Times New Roman"/>
        </w:rPr>
        <w:t xml:space="preserve"> may terminate a certificate of waiver for specified violations, including: (1) failure to comply with REAL ID requirements in section 37.51(a) of this part, (2) egregious violations of any terms and conditions specified in the certificate of waiver that the State is unwilling to cure, (3) egregious violation of reporting requirements that the State is unwilling to cure, and (4) providing false information in its waiver application.  Before terminating a certificate of waiver, </w:t>
      </w:r>
      <w:r w:rsidR="00426579">
        <w:rPr>
          <w:rFonts w:cs="Times New Roman"/>
        </w:rPr>
        <w:t>TSA</w:t>
      </w:r>
      <w:r w:rsidRPr="00093F98">
        <w:rPr>
          <w:rFonts w:cs="Times New Roman"/>
        </w:rPr>
        <w:t xml:space="preserve"> </w:t>
      </w:r>
      <w:r w:rsidR="00EF7ACC">
        <w:rPr>
          <w:rFonts w:cs="Times New Roman"/>
        </w:rPr>
        <w:t>will</w:t>
      </w:r>
      <w:r w:rsidRPr="00093F98">
        <w:rPr>
          <w:rFonts w:cs="Times New Roman"/>
        </w:rPr>
        <w:t xml:space="preserve"> provide via email written notice of intent to terminate, including findings supporting the termination and an opportunity to present information.  A State </w:t>
      </w:r>
      <w:r w:rsidR="00EF7ACC">
        <w:rPr>
          <w:rFonts w:cs="Times New Roman"/>
        </w:rPr>
        <w:t>will</w:t>
      </w:r>
      <w:r w:rsidRPr="00093F98">
        <w:rPr>
          <w:rFonts w:cs="Times New Roman"/>
        </w:rPr>
        <w:t xml:space="preserve"> have </w:t>
      </w:r>
      <w:r w:rsidR="00D07D1F">
        <w:rPr>
          <w:rFonts w:cs="Times New Roman"/>
        </w:rPr>
        <w:t>7</w:t>
      </w:r>
      <w:r w:rsidRPr="00093F98" w:rsidR="00D07D1F">
        <w:rPr>
          <w:rFonts w:cs="Times New Roman"/>
        </w:rPr>
        <w:t xml:space="preserve"> </w:t>
      </w:r>
      <w:r w:rsidR="00D07D1F">
        <w:rPr>
          <w:rFonts w:cs="Times New Roman"/>
        </w:rPr>
        <w:t>calendar</w:t>
      </w:r>
      <w:r w:rsidRPr="00093F98" w:rsidR="00D07D1F">
        <w:rPr>
          <w:rFonts w:cs="Times New Roman"/>
        </w:rPr>
        <w:t xml:space="preserve"> </w:t>
      </w:r>
      <w:r w:rsidRPr="00093F98">
        <w:rPr>
          <w:rFonts w:cs="Times New Roman"/>
        </w:rPr>
        <w:t xml:space="preserve">days to respond to the notice, and </w:t>
      </w:r>
      <w:r w:rsidR="00426579">
        <w:rPr>
          <w:rFonts w:cs="Times New Roman"/>
        </w:rPr>
        <w:t>TSA</w:t>
      </w:r>
      <w:r w:rsidRPr="00093F98">
        <w:rPr>
          <w:rFonts w:cs="Times New Roman"/>
        </w:rPr>
        <w:t xml:space="preserve"> </w:t>
      </w:r>
      <w:r w:rsidR="00EF7ACC">
        <w:rPr>
          <w:rFonts w:cs="Times New Roman"/>
        </w:rPr>
        <w:t>will</w:t>
      </w:r>
      <w:r w:rsidRPr="00093F98">
        <w:rPr>
          <w:rFonts w:cs="Times New Roman"/>
        </w:rPr>
        <w:t xml:space="preserve"> respond via email within 30 </w:t>
      </w:r>
      <w:r w:rsidR="00D07D1F">
        <w:rPr>
          <w:rFonts w:cs="Times New Roman"/>
        </w:rPr>
        <w:t>calendar</w:t>
      </w:r>
      <w:r w:rsidRPr="00093F98" w:rsidR="00D07D1F">
        <w:rPr>
          <w:rFonts w:cs="Times New Roman"/>
        </w:rPr>
        <w:t xml:space="preserve"> </w:t>
      </w:r>
      <w:r w:rsidRPr="00093F98">
        <w:rPr>
          <w:rFonts w:cs="Times New Roman"/>
        </w:rPr>
        <w:t>days.  A State whose certificate of waiver has been terminated may apply for a new certificate of waiver by submitting a new application.</w:t>
      </w:r>
    </w:p>
    <w:p w:rsidR="00CA2315" w:rsidP="00A44A89" w14:paraId="58F88B29" w14:textId="3994FD35">
      <w:pPr>
        <w:ind w:left="360"/>
        <w:rPr>
          <w:rStyle w:val="RegEvalTextChar"/>
        </w:rPr>
      </w:pPr>
    </w:p>
    <w:p w:rsidR="00751167" w:rsidP="00751167" w14:paraId="55D09D3A" w14:textId="45E22BCA">
      <w:pPr>
        <w:ind w:left="360"/>
        <w:rPr>
          <w:rStyle w:val="RegEvalTextChar"/>
        </w:rPr>
      </w:pPr>
      <w:r w:rsidRPr="189AAE92">
        <w:rPr>
          <w:rStyle w:val="RegEvalTextChar"/>
        </w:rPr>
        <w:t xml:space="preserve">All of </w:t>
      </w:r>
      <w:r w:rsidR="008B13FE">
        <w:rPr>
          <w:rStyle w:val="RegEvalTextChar"/>
        </w:rPr>
        <w:t>the</w:t>
      </w:r>
      <w:r w:rsidR="00486E6F">
        <w:rPr>
          <w:rStyle w:val="RegEvalTextChar"/>
        </w:rPr>
        <w:t xml:space="preserve"> preceding</w:t>
      </w:r>
      <w:r w:rsidR="008B13FE">
        <w:rPr>
          <w:rStyle w:val="RegEvalTextChar"/>
        </w:rPr>
        <w:t xml:space="preserve"> </w:t>
      </w:r>
      <w:r>
        <w:rPr>
          <w:rStyle w:val="RegEvalTextChar"/>
        </w:rPr>
        <w:t xml:space="preserve">items </w:t>
      </w:r>
      <w:r w:rsidR="00C06417">
        <w:rPr>
          <w:rStyle w:val="RegEvalTextChar"/>
        </w:rPr>
        <w:t>are</w:t>
      </w:r>
      <w:r w:rsidRPr="189AAE92">
        <w:rPr>
          <w:rStyle w:val="RegEvalTextChar"/>
        </w:rPr>
        <w:t xml:space="preserve"> considered new information collections.</w:t>
      </w:r>
    </w:p>
    <w:p w:rsidR="00751167" w:rsidP="00751167" w14:paraId="3F2C95A2" w14:textId="77777777">
      <w:pPr>
        <w:ind w:left="360"/>
        <w:rPr>
          <w:rStyle w:val="RegEvalTextChar"/>
        </w:rPr>
      </w:pPr>
    </w:p>
    <w:p w:rsidR="008F7B61" w:rsidRPr="00D12C9B" w:rsidP="006A03B3" w14:paraId="2C754058" w14:textId="77777777">
      <w:pPr>
        <w:keepNext/>
        <w:numPr>
          <w:ilvl w:val="0"/>
          <w:numId w:val="1"/>
        </w:numPr>
        <w:tabs>
          <w:tab w:val="left" w:pos="360"/>
        </w:tabs>
        <w:rPr>
          <w:b/>
          <w:i/>
        </w:rPr>
      </w:pPr>
      <w:r w:rsidRPr="00D12C9B">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D12C9B">
        <w:rPr>
          <w:b/>
          <w:i/>
        </w:rPr>
        <w:t>the basis for the decision for adopting this means of collection.  Also describe any consideration of using information technology to reduce burden.</w:t>
      </w:r>
      <w:r w:rsidRPr="00D12C9B">
        <w:rPr>
          <w:rFonts w:ascii="Courier New" w:hAnsi="Courier New"/>
          <w:snapToGrid w:val="0"/>
        </w:rPr>
        <w:t xml:space="preserve">  </w:t>
      </w:r>
      <w:r w:rsidRPr="00D12C9B">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8F7B61" w:rsidRPr="00D12C9B" w:rsidP="007460E9" w14:paraId="2932374D" w14:textId="77777777">
      <w:pPr>
        <w:keepNext/>
        <w:numPr>
          <w:ilvl w:val="12"/>
          <w:numId w:val="0"/>
        </w:numPr>
        <w:spacing w:line="360" w:lineRule="auto"/>
        <w:ind w:left="360"/>
      </w:pPr>
    </w:p>
    <w:p w:rsidR="008F7B61" w:rsidRPr="005C609B" w:rsidP="00C168BF" w14:paraId="06805BD2" w14:textId="32761C63">
      <w:pPr>
        <w:numPr>
          <w:ilvl w:val="12"/>
          <w:numId w:val="0"/>
        </w:numPr>
        <w:ind w:left="360"/>
      </w:pPr>
      <w:r w:rsidRPr="001E55FF">
        <w:t xml:space="preserve">In </w:t>
      </w:r>
      <w:r w:rsidRPr="001E55FF">
        <w:t xml:space="preserve">compliance with GPEA, </w:t>
      </w:r>
      <w:r w:rsidR="009B48E3">
        <w:t>St</w:t>
      </w:r>
      <w:r w:rsidRPr="001E55FF" w:rsidR="00E0193D">
        <w:t xml:space="preserve">ates will be permitted to electronically submit the information for their </w:t>
      </w:r>
      <w:r w:rsidRPr="001E55FF">
        <w:t>waiver applications</w:t>
      </w:r>
      <w:r w:rsidRPr="001E55FF" w:rsidR="00E0193D">
        <w:t xml:space="preserve">.  </w:t>
      </w:r>
      <w:r w:rsidRPr="001E55FF">
        <w:t xml:space="preserve">The final rule does not define specific format submission requirements for </w:t>
      </w:r>
      <w:r w:rsidR="008B3715">
        <w:t>States</w:t>
      </w:r>
      <w:r w:rsidRPr="001E55FF">
        <w:t xml:space="preserve">.  </w:t>
      </w:r>
      <w:r w:rsidRPr="001E55FF" w:rsidR="00E0193D">
        <w:t>States will be permitted to submit electronic signatures but must keep the original signature on file.</w:t>
      </w:r>
    </w:p>
    <w:p w:rsidR="008F7B61" w:rsidRPr="00D12C9B" w:rsidP="007460E9" w14:paraId="054F2869" w14:textId="77777777">
      <w:pPr>
        <w:numPr>
          <w:ilvl w:val="12"/>
          <w:numId w:val="0"/>
        </w:numPr>
        <w:spacing w:line="360" w:lineRule="auto"/>
      </w:pPr>
      <w:bookmarkStart w:id="0" w:name="OLE_LINK5"/>
      <w:bookmarkStart w:id="1" w:name="OLE_LINK6"/>
    </w:p>
    <w:bookmarkEnd w:id="0"/>
    <w:bookmarkEnd w:id="1"/>
    <w:p w:rsidR="008F7B61" w:rsidRPr="00D12C9B" w:rsidP="006A03B3" w14:paraId="48CE028F" w14:textId="77777777">
      <w:pPr>
        <w:keepNext/>
        <w:numPr>
          <w:ilvl w:val="0"/>
          <w:numId w:val="1"/>
        </w:numPr>
        <w:tabs>
          <w:tab w:val="left" w:pos="360"/>
        </w:tabs>
        <w:rPr>
          <w:b/>
          <w:i/>
        </w:rPr>
      </w:pPr>
      <w:r w:rsidRPr="00D12C9B">
        <w:rPr>
          <w:b/>
          <w:i/>
        </w:rPr>
        <w:t>Describe efforts to identify duplication.  Show specifically why any similar information already available cannot be used or modified for use for the purpose(s) described in Item 2 above.</w:t>
      </w:r>
    </w:p>
    <w:p w:rsidR="008F7B61" w:rsidRPr="00D12C9B" w:rsidP="00BF5D36" w14:paraId="22450D8E" w14:textId="77777777">
      <w:pPr>
        <w:keepNext/>
        <w:numPr>
          <w:ilvl w:val="12"/>
          <w:numId w:val="0"/>
        </w:numPr>
        <w:ind w:left="360"/>
      </w:pPr>
    </w:p>
    <w:p w:rsidR="008F7B61" w:rsidRPr="00D12C9B" w:rsidP="00A07A22" w14:paraId="4E25BFC0" w14:textId="782BDC53">
      <w:pPr>
        <w:keepNext/>
        <w:numPr>
          <w:ilvl w:val="12"/>
          <w:numId w:val="0"/>
        </w:numPr>
        <w:ind w:left="360"/>
      </w:pPr>
      <w:r w:rsidRPr="00D12C9B">
        <w:t xml:space="preserve">This information will be collected directly from the </w:t>
      </w:r>
      <w:r w:rsidR="00D73AE8">
        <w:t>S</w:t>
      </w:r>
      <w:r w:rsidRPr="00D12C9B">
        <w:t xml:space="preserve">tates to assist </w:t>
      </w:r>
      <w:r w:rsidR="00426579">
        <w:t>TSA</w:t>
      </w:r>
      <w:r w:rsidRPr="00D12C9B">
        <w:t xml:space="preserve"> in making determinations </w:t>
      </w:r>
      <w:r w:rsidR="00463EAE">
        <w:t>on applications for a temporary certificate of waiver</w:t>
      </w:r>
      <w:r w:rsidR="008F3008">
        <w:t xml:space="preserve">.  This information </w:t>
      </w:r>
      <w:r w:rsidRPr="00D12C9B">
        <w:t>is not otherwise available</w:t>
      </w:r>
      <w:r w:rsidR="008F3008">
        <w:t xml:space="preserve"> to </w:t>
      </w:r>
      <w:r w:rsidR="00426579">
        <w:t>TSA</w:t>
      </w:r>
      <w:r w:rsidRPr="00D12C9B">
        <w:t>.</w:t>
      </w:r>
    </w:p>
    <w:p w:rsidR="008F7B61" w:rsidRPr="00D12C9B" w:rsidP="002F4C5D" w14:paraId="193A0750" w14:textId="77777777">
      <w:pPr>
        <w:numPr>
          <w:ilvl w:val="12"/>
          <w:numId w:val="0"/>
        </w:numPr>
        <w:spacing w:line="360" w:lineRule="auto"/>
      </w:pPr>
    </w:p>
    <w:p w:rsidR="008F7B61" w:rsidRPr="00D12C9B" w:rsidP="006A03B3" w14:paraId="62374461" w14:textId="77777777">
      <w:pPr>
        <w:keepNext/>
        <w:numPr>
          <w:ilvl w:val="0"/>
          <w:numId w:val="1"/>
        </w:numPr>
        <w:tabs>
          <w:tab w:val="left" w:pos="360"/>
        </w:tabs>
        <w:rPr>
          <w:b/>
          <w:i/>
        </w:rPr>
      </w:pPr>
      <w:r w:rsidRPr="00D12C9B">
        <w:rPr>
          <w:b/>
          <w:i/>
        </w:rPr>
        <w:t>If the collection of information has a significant impact on a substantial number of small businesses or other small entities (Item 5 of the Paperwork Reduction Act submission form), describe the methods used to minimize burden.</w:t>
      </w:r>
    </w:p>
    <w:p w:rsidR="008F7B61" w:rsidRPr="00D12C9B" w:rsidP="00650E64" w14:paraId="7D471F8A" w14:textId="77777777">
      <w:pPr>
        <w:numPr>
          <w:ilvl w:val="12"/>
          <w:numId w:val="0"/>
        </w:numPr>
        <w:ind w:left="360"/>
      </w:pPr>
    </w:p>
    <w:p w:rsidR="008F7B61" w:rsidRPr="00D12C9B" w:rsidP="00650E64" w14:paraId="2C91FD53" w14:textId="16EB45C6">
      <w:pPr>
        <w:numPr>
          <w:ilvl w:val="12"/>
          <w:numId w:val="0"/>
        </w:numPr>
        <w:ind w:left="360"/>
      </w:pPr>
      <w:r w:rsidRPr="00D12C9B">
        <w:t xml:space="preserve">The information collection discussed in this analysis applies to </w:t>
      </w:r>
      <w:r w:rsidR="009B48E3">
        <w:t>St</w:t>
      </w:r>
      <w:r w:rsidRPr="00D12C9B" w:rsidR="008F3008">
        <w:t>ates</w:t>
      </w:r>
      <w:r w:rsidRPr="00D12C9B">
        <w:t xml:space="preserve">, </w:t>
      </w:r>
      <w:r w:rsidR="009B48E3">
        <w:t>St</w:t>
      </w:r>
      <w:r w:rsidRPr="00D12C9B" w:rsidR="008F3008">
        <w:t xml:space="preserve">ate </w:t>
      </w:r>
      <w:r w:rsidRPr="00D12C9B">
        <w:t xml:space="preserve">agencies, and certain employees involved in </w:t>
      </w:r>
      <w:r w:rsidR="00885B44">
        <w:t xml:space="preserve">the </w:t>
      </w:r>
      <w:r w:rsidRPr="00D12C9B">
        <w:t>process</w:t>
      </w:r>
      <w:r w:rsidR="00463EAE">
        <w:t xml:space="preserve"> to apply for a temporary certificate of waiver</w:t>
      </w:r>
      <w:r w:rsidRPr="00D12C9B">
        <w:t xml:space="preserve">.  Therefore, it is </w:t>
      </w:r>
      <w:r w:rsidR="00426579">
        <w:t>TSA</w:t>
      </w:r>
      <w:r w:rsidRPr="00D12C9B">
        <w:t>’s belief that the information collection does not have a significant impact on a substantial number of small businesses</w:t>
      </w:r>
      <w:r w:rsidR="00F54241">
        <w:t xml:space="preserve"> or other small entities</w:t>
      </w:r>
      <w:r w:rsidRPr="00D12C9B">
        <w:t>.</w:t>
      </w:r>
    </w:p>
    <w:p w:rsidR="008F7B61" w:rsidRPr="00D12C9B" w:rsidP="007460E9" w14:paraId="77B02D4B" w14:textId="77777777">
      <w:pPr>
        <w:numPr>
          <w:ilvl w:val="12"/>
          <w:numId w:val="0"/>
        </w:numPr>
        <w:spacing w:line="360" w:lineRule="auto"/>
      </w:pPr>
    </w:p>
    <w:p w:rsidR="008F7B61" w:rsidRPr="00D12C9B" w:rsidP="006A03B3" w14:paraId="3CC695C6" w14:textId="77777777">
      <w:pPr>
        <w:keepNext/>
        <w:numPr>
          <w:ilvl w:val="0"/>
          <w:numId w:val="1"/>
        </w:numPr>
        <w:tabs>
          <w:tab w:val="left" w:pos="360"/>
        </w:tabs>
        <w:rPr>
          <w:b/>
          <w:i/>
        </w:rPr>
      </w:pPr>
      <w:r w:rsidRPr="00D12C9B">
        <w:rPr>
          <w:b/>
          <w:i/>
        </w:rPr>
        <w:t>Describe the consequence to Federal program or policy activities if the collection is not conducted or is conducted less frequently, as well as any technical or legal obstacles to reducing burden.</w:t>
      </w:r>
    </w:p>
    <w:p w:rsidR="008F7B61" w:rsidRPr="00D12C9B" w:rsidP="00650E64" w14:paraId="296CACC4" w14:textId="77777777">
      <w:pPr>
        <w:numPr>
          <w:ilvl w:val="12"/>
          <w:numId w:val="0"/>
        </w:numPr>
        <w:ind w:left="360"/>
      </w:pPr>
    </w:p>
    <w:p w:rsidR="001E55FF" w:rsidP="00650E64" w14:paraId="492C9AE4" w14:textId="6AFA2CA3">
      <w:pPr>
        <w:numPr>
          <w:ilvl w:val="12"/>
          <w:numId w:val="0"/>
        </w:numPr>
        <w:ind w:left="360"/>
        <w:rPr>
          <w:rFonts w:cs="Times New Roman"/>
        </w:rPr>
      </w:pPr>
      <w:r w:rsidRPr="00EA5465">
        <w:t xml:space="preserve">The collection of the information will enable </w:t>
      </w:r>
      <w:r w:rsidR="00426579">
        <w:t>TSA</w:t>
      </w:r>
      <w:r w:rsidRPr="00EA5465">
        <w:t xml:space="preserve"> to issue a waiver to States, which </w:t>
      </w:r>
      <w:r w:rsidR="00EF7ACC">
        <w:t>will</w:t>
      </w:r>
      <w:r w:rsidRPr="00EA5465">
        <w:t xml:space="preserve"> </w:t>
      </w:r>
      <w:r w:rsidRPr="00EA5465">
        <w:rPr>
          <w:rFonts w:cs="Times New Roman"/>
        </w:rPr>
        <w:t xml:space="preserve">authorize Federal agencies to accept, at their discretion, a State’s mDL for official purposes.  </w:t>
      </w:r>
      <w:r>
        <w:rPr>
          <w:rFonts w:cs="Times New Roman"/>
        </w:rPr>
        <w:t xml:space="preserve">Without this information collection, </w:t>
      </w:r>
      <w:r w:rsidR="003E5FCF">
        <w:rPr>
          <w:rFonts w:cs="Times New Roman"/>
        </w:rPr>
        <w:t>under</w:t>
      </w:r>
      <w:r w:rsidR="00286CF7">
        <w:rPr>
          <w:rFonts w:cs="Times New Roman"/>
        </w:rPr>
        <w:t xml:space="preserve"> 6 CFR 37.5(b), mDLs issued by </w:t>
      </w:r>
      <w:r>
        <w:rPr>
          <w:rFonts w:cs="Times New Roman"/>
        </w:rPr>
        <w:t xml:space="preserve">States </w:t>
      </w:r>
      <w:r w:rsidR="00FF40A6">
        <w:rPr>
          <w:rFonts w:cs="Times New Roman"/>
        </w:rPr>
        <w:t>will not be</w:t>
      </w:r>
      <w:r w:rsidR="00286CF7">
        <w:rPr>
          <w:rFonts w:cs="Times New Roman"/>
        </w:rPr>
        <w:t xml:space="preserve"> accepted by </w:t>
      </w:r>
      <w:r w:rsidR="003E5FCF">
        <w:rPr>
          <w:rFonts w:cs="Times New Roman"/>
        </w:rPr>
        <w:t>F</w:t>
      </w:r>
      <w:r w:rsidR="00286CF7">
        <w:rPr>
          <w:rFonts w:cs="Times New Roman"/>
        </w:rPr>
        <w:t xml:space="preserve">ederal agencies for official purposes </w:t>
      </w:r>
      <w:r w:rsidRPr="004A30A6">
        <w:rPr>
          <w:rFonts w:cs="Times New Roman"/>
        </w:rPr>
        <w:t xml:space="preserve">beginning May </w:t>
      </w:r>
      <w:r w:rsidRPr="004A30A6" w:rsidR="004A30A6">
        <w:rPr>
          <w:rFonts w:cs="Times New Roman"/>
        </w:rPr>
        <w:t>7</w:t>
      </w:r>
      <w:r w:rsidRPr="004A30A6">
        <w:rPr>
          <w:rFonts w:cs="Times New Roman"/>
        </w:rPr>
        <w:t xml:space="preserve">, </w:t>
      </w:r>
      <w:r w:rsidRPr="004A30A6" w:rsidR="004A30A6">
        <w:rPr>
          <w:rFonts w:cs="Times New Roman"/>
        </w:rPr>
        <w:t>2025</w:t>
      </w:r>
      <w:r w:rsidRPr="004A30A6">
        <w:rPr>
          <w:rFonts w:cs="Times New Roman"/>
        </w:rPr>
        <w:t xml:space="preserve">. </w:t>
      </w:r>
      <w:r w:rsidR="00885B44">
        <w:rPr>
          <w:rFonts w:cs="Times New Roman"/>
        </w:rPr>
        <w:t xml:space="preserve"> </w:t>
      </w:r>
      <w:r w:rsidRPr="004A30A6" w:rsidR="001D631A">
        <w:rPr>
          <w:rFonts w:cs="Times New Roman"/>
        </w:rPr>
        <w:t xml:space="preserve">As discussed in response to </w:t>
      </w:r>
      <w:r w:rsidR="00885B44">
        <w:rPr>
          <w:rFonts w:cs="Times New Roman"/>
        </w:rPr>
        <w:t>q</w:t>
      </w:r>
      <w:r w:rsidRPr="004A30A6" w:rsidR="001D631A">
        <w:rPr>
          <w:rFonts w:cs="Times New Roman"/>
        </w:rPr>
        <w:t xml:space="preserve">uestion 1 above, mDLs potentially provide significant security benefits to Federal agencies.  Without this information collection, Federal agencies </w:t>
      </w:r>
      <w:r w:rsidR="00EF7ACC">
        <w:rPr>
          <w:rFonts w:cs="Times New Roman"/>
        </w:rPr>
        <w:t>will</w:t>
      </w:r>
      <w:r w:rsidRPr="004A30A6" w:rsidR="001D631A">
        <w:rPr>
          <w:rFonts w:cs="Times New Roman"/>
        </w:rPr>
        <w:t xml:space="preserve"> be prohibited from accepting mDLs on May </w:t>
      </w:r>
      <w:r w:rsidRPr="004A30A6" w:rsidR="004A30A6">
        <w:rPr>
          <w:rFonts w:cs="Times New Roman"/>
        </w:rPr>
        <w:t>7</w:t>
      </w:r>
      <w:r w:rsidRPr="004A30A6" w:rsidR="001D631A">
        <w:rPr>
          <w:rFonts w:cs="Times New Roman"/>
        </w:rPr>
        <w:t xml:space="preserve">, </w:t>
      </w:r>
      <w:r w:rsidRPr="004A30A6" w:rsidR="004A30A6">
        <w:rPr>
          <w:rFonts w:cs="Times New Roman"/>
        </w:rPr>
        <w:t>2025</w:t>
      </w:r>
      <w:r w:rsidRPr="004A30A6" w:rsidR="001D631A">
        <w:rPr>
          <w:rFonts w:cs="Times New Roman"/>
        </w:rPr>
        <w:t>, thereby depriving them of this potential security enhancement.</w:t>
      </w:r>
    </w:p>
    <w:p w:rsidR="001D631A" w:rsidP="00650E64" w14:paraId="4F3F05CD" w14:textId="77777777">
      <w:pPr>
        <w:numPr>
          <w:ilvl w:val="12"/>
          <w:numId w:val="0"/>
        </w:numPr>
        <w:ind w:left="360"/>
        <w:rPr>
          <w:rFonts w:cs="Times New Roman"/>
        </w:rPr>
      </w:pPr>
    </w:p>
    <w:p w:rsidR="001D631A" w:rsidP="00650E64" w14:paraId="3FCE75AB" w14:textId="57D4A540">
      <w:pPr>
        <w:numPr>
          <w:ilvl w:val="12"/>
          <w:numId w:val="0"/>
        </w:numPr>
        <w:ind w:left="360"/>
        <w:rPr>
          <w:rFonts w:cs="Times New Roman"/>
        </w:rPr>
      </w:pPr>
      <w:r>
        <w:rPr>
          <w:rFonts w:cs="Times New Roman"/>
        </w:rPr>
        <w:t xml:space="preserve">The </w:t>
      </w:r>
      <w:r w:rsidR="00D74B86">
        <w:rPr>
          <w:rFonts w:cs="Times New Roman"/>
        </w:rPr>
        <w:t>final</w:t>
      </w:r>
      <w:r>
        <w:rPr>
          <w:rFonts w:cs="Times New Roman"/>
        </w:rPr>
        <w:t xml:space="preserve"> rule, and therefore this collection, also supports </w:t>
      </w:r>
      <w:r w:rsidR="00426579">
        <w:rPr>
          <w:rFonts w:cs="Times New Roman"/>
        </w:rPr>
        <w:t>TSA</w:t>
      </w:r>
      <w:r>
        <w:rPr>
          <w:rFonts w:cs="Times New Roman"/>
        </w:rPr>
        <w:t xml:space="preserve">’s commitment to </w:t>
      </w:r>
      <w:bookmarkStart w:id="2" w:name="_Hlk179295679"/>
      <w:r>
        <w:rPr>
          <w:rFonts w:cs="Times New Roman"/>
        </w:rPr>
        <w:t xml:space="preserve">Executive Order </w:t>
      </w:r>
      <w:bookmarkEnd w:id="2"/>
      <w:r>
        <w:rPr>
          <w:rFonts w:cs="Times New Roman"/>
        </w:rPr>
        <w:t xml:space="preserve">14058 </w:t>
      </w:r>
      <w:r w:rsidRPr="001D631A">
        <w:rPr>
          <w:rFonts w:cs="Times New Roman"/>
        </w:rPr>
        <w:t xml:space="preserve">of December 13, 2021 (Transforming Federal Customer Experience and Service </w:t>
      </w:r>
      <w:r w:rsidRPr="001D631A">
        <w:rPr>
          <w:rFonts w:cs="Times New Roman"/>
        </w:rPr>
        <w:t xml:space="preserve">Delivery </w:t>
      </w:r>
      <w:r>
        <w:rPr>
          <w:rFonts w:cs="Times New Roman"/>
        </w:rPr>
        <w:t xml:space="preserve">to Rebuild Trust in Government).  This </w:t>
      </w:r>
      <w:r w:rsidR="00A312D7">
        <w:rPr>
          <w:rFonts w:cs="Times New Roman"/>
        </w:rPr>
        <w:t xml:space="preserve">Executive Order </w:t>
      </w:r>
      <w:r w:rsidRPr="001D631A">
        <w:rPr>
          <w:rFonts w:cs="Times New Roman"/>
        </w:rPr>
        <w:t xml:space="preserve">focused on enhancing the technology “to modernize Government and implement services that are simple to use, accessible, equitable, protective, transparent, and responsive for all people of the United States.”  The Secretary of Homeland Security has specifically committed to testing the use of </w:t>
      </w:r>
      <w:r>
        <w:rPr>
          <w:rFonts w:cs="Times New Roman"/>
        </w:rPr>
        <w:t>mDLs</w:t>
      </w:r>
      <w:r w:rsidRPr="001D631A">
        <w:rPr>
          <w:rFonts w:cs="Times New Roman"/>
        </w:rPr>
        <w:t xml:space="preserve"> </w:t>
      </w:r>
      <w:r>
        <w:rPr>
          <w:rFonts w:cs="Times New Roman"/>
        </w:rPr>
        <w:t xml:space="preserve">to </w:t>
      </w:r>
      <w:r w:rsidRPr="001D631A">
        <w:rPr>
          <w:rFonts w:cs="Times New Roman"/>
        </w:rPr>
        <w:t>establish identity at airport security checkpoints</w:t>
      </w:r>
      <w:r>
        <w:rPr>
          <w:rFonts w:cs="Times New Roman"/>
        </w:rPr>
        <w:t xml:space="preserve">, which </w:t>
      </w:r>
      <w:r w:rsidR="00EF7ACC">
        <w:rPr>
          <w:rFonts w:cs="Times New Roman"/>
        </w:rPr>
        <w:t>will</w:t>
      </w:r>
      <w:r>
        <w:rPr>
          <w:rFonts w:cs="Times New Roman"/>
        </w:rPr>
        <w:t xml:space="preserve"> </w:t>
      </w:r>
      <w:r w:rsidRPr="001D631A">
        <w:rPr>
          <w:rFonts w:cs="Times New Roman"/>
        </w:rPr>
        <w:t>provide the public with increased convenience</w:t>
      </w:r>
      <w:r>
        <w:rPr>
          <w:rFonts w:cs="Times New Roman"/>
        </w:rPr>
        <w:t xml:space="preserve"> from reduced wait times</w:t>
      </w:r>
      <w:r w:rsidRPr="001D631A">
        <w:rPr>
          <w:rFonts w:cs="Times New Roman"/>
        </w:rPr>
        <w:t>, security, privacy, and health benefits from “contact-free” identity verification.</w:t>
      </w:r>
    </w:p>
    <w:p w:rsidR="001E55FF" w:rsidP="00650E64" w14:paraId="6E85060C" w14:textId="77777777">
      <w:pPr>
        <w:numPr>
          <w:ilvl w:val="12"/>
          <w:numId w:val="0"/>
        </w:numPr>
        <w:ind w:left="360"/>
        <w:rPr>
          <w:rFonts w:cs="Times New Roman"/>
        </w:rPr>
      </w:pPr>
    </w:p>
    <w:p w:rsidR="008F7B61" w:rsidRPr="00D12C9B" w:rsidP="006A03B3" w14:paraId="0045EDE7" w14:textId="77777777">
      <w:pPr>
        <w:keepNext/>
        <w:numPr>
          <w:ilvl w:val="0"/>
          <w:numId w:val="1"/>
        </w:numPr>
        <w:tabs>
          <w:tab w:val="left" w:pos="360"/>
        </w:tabs>
        <w:rPr>
          <w:b/>
          <w:i/>
        </w:rPr>
      </w:pPr>
      <w:r w:rsidRPr="00D12C9B">
        <w:rPr>
          <w:b/>
          <w:i/>
        </w:rPr>
        <w:t>Explain any special circumstances that require the collection to be conducted in a manner inconsistent with the general information collection guidelines in 5 CFR 1320.5(d)(2).</w:t>
      </w:r>
    </w:p>
    <w:p w:rsidR="008F7B61" w:rsidRPr="00D12C9B" w:rsidP="00754324" w14:paraId="15C46DFE" w14:textId="77777777">
      <w:pPr>
        <w:numPr>
          <w:ilvl w:val="12"/>
          <w:numId w:val="0"/>
        </w:numPr>
        <w:ind w:left="360"/>
      </w:pPr>
    </w:p>
    <w:p w:rsidR="008F7B61" w:rsidRPr="00D12C9B" w:rsidP="0038134A" w14:paraId="2BBC7029" w14:textId="77777777">
      <w:pPr>
        <w:pStyle w:val="BodyTextIndent"/>
      </w:pPr>
      <w:r w:rsidRPr="00FF4F47">
        <w:t>This collection is conducted consistent with the information collection guidelines, except for those in 5 CFR 1320.5(d)(2)(i).  This collection requires respondents to report information to the agency more often than quarterly.  Quarterly reporting would not meet the security needs that is the basis for this information collection.</w:t>
      </w:r>
    </w:p>
    <w:p w:rsidR="008F7B61" w:rsidRPr="00D12C9B" w:rsidP="007460E9" w14:paraId="7727904A" w14:textId="77777777">
      <w:pPr>
        <w:numPr>
          <w:ilvl w:val="12"/>
          <w:numId w:val="0"/>
        </w:numPr>
        <w:spacing w:line="360" w:lineRule="auto"/>
      </w:pPr>
    </w:p>
    <w:p w:rsidR="008F7B61" w:rsidP="006A03B3" w14:paraId="43D77087" w14:textId="77777777">
      <w:pPr>
        <w:keepNext/>
        <w:numPr>
          <w:ilvl w:val="0"/>
          <w:numId w:val="1"/>
        </w:numPr>
        <w:tabs>
          <w:tab w:val="left" w:pos="360"/>
        </w:tabs>
        <w:rPr>
          <w:b/>
          <w:i/>
        </w:rPr>
      </w:pPr>
      <w:r w:rsidRPr="00D12C9B">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D12C9B">
        <w:rPr>
          <w:b/>
          <w:i/>
          <w:u w:val="single"/>
        </w:rPr>
        <w:t>Federal Register</w:t>
      </w:r>
      <w:r w:rsidRPr="00D12C9B">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11FA2" w:rsidRPr="00D12C9B" w:rsidP="00B11FA2" w14:paraId="3B04B872" w14:textId="77777777">
      <w:pPr>
        <w:keepNext/>
        <w:tabs>
          <w:tab w:val="left" w:pos="360"/>
        </w:tabs>
        <w:ind w:left="360"/>
        <w:rPr>
          <w:b/>
          <w:i/>
        </w:rPr>
      </w:pPr>
    </w:p>
    <w:p w:rsidR="00985776" w:rsidP="00985776" w14:paraId="3F24B93E" w14:textId="56636899">
      <w:pPr>
        <w:pStyle w:val="ListParagraph"/>
        <w:ind w:left="360"/>
        <w:rPr>
          <w:rFonts w:cs="Times New Roman"/>
          <w:color w:val="auto"/>
          <w:szCs w:val="24"/>
        </w:rPr>
      </w:pPr>
      <w:r>
        <w:rPr>
          <w:rFonts w:cs="Times New Roman"/>
          <w:color w:val="auto"/>
          <w:szCs w:val="24"/>
        </w:rPr>
        <w:t>In April 2021, DHS issued a Request for Information</w:t>
      </w:r>
      <w:r>
        <w:rPr>
          <w:rStyle w:val="FootnoteReference"/>
          <w:color w:val="auto"/>
          <w:szCs w:val="24"/>
        </w:rPr>
        <w:footnoteReference w:id="11"/>
      </w:r>
      <w:r>
        <w:rPr>
          <w:rFonts w:cs="Times New Roman"/>
          <w:color w:val="auto"/>
          <w:szCs w:val="24"/>
        </w:rPr>
        <w:t xml:space="preserve"> (</w:t>
      </w:r>
      <w:r w:rsidRPr="00985776">
        <w:rPr>
          <w:rFonts w:cs="Times New Roman"/>
          <w:color w:val="auto"/>
          <w:szCs w:val="24"/>
        </w:rPr>
        <w:t>RFI</w:t>
      </w:r>
      <w:r>
        <w:rPr>
          <w:rFonts w:cs="Times New Roman"/>
          <w:color w:val="auto"/>
          <w:szCs w:val="24"/>
        </w:rPr>
        <w:t>)</w:t>
      </w:r>
      <w:r w:rsidRPr="00985776">
        <w:rPr>
          <w:rFonts w:cs="Times New Roman"/>
          <w:color w:val="auto"/>
          <w:szCs w:val="24"/>
        </w:rPr>
        <w:t xml:space="preserve"> announcing DHS’s intent to commence future rulemaking to set the minimum technical requirements and security standards for mDLs to enable Federal agencies to accept mDLs for official purposes.  The RFI requested comments and information to inform DHS’s rulemaking.  In June 2021, DHS held a public meeting</w:t>
      </w:r>
      <w:r>
        <w:rPr>
          <w:rStyle w:val="FootnoteReference"/>
          <w:color w:val="auto"/>
          <w:szCs w:val="24"/>
        </w:rPr>
        <w:footnoteReference w:id="12"/>
      </w:r>
      <w:r w:rsidRPr="00985776">
        <w:rPr>
          <w:rFonts w:cs="Times New Roman"/>
          <w:color w:val="auto"/>
          <w:szCs w:val="24"/>
        </w:rPr>
        <w:t xml:space="preserve"> to provide an additional forum for comment</w:t>
      </w:r>
      <w:r>
        <w:rPr>
          <w:rFonts w:cs="Times New Roman"/>
          <w:color w:val="auto"/>
          <w:szCs w:val="24"/>
        </w:rPr>
        <w:t>, and extended the comment period</w:t>
      </w:r>
      <w:r w:rsidRPr="00985776">
        <w:rPr>
          <w:rFonts w:cs="Times New Roman"/>
          <w:color w:val="auto"/>
          <w:szCs w:val="24"/>
        </w:rPr>
        <w:t>.  In response to comments at the public meeting concerning the importance of public access to an indu</w:t>
      </w:r>
      <w:r w:rsidR="009B48E3">
        <w:rPr>
          <w:rFonts w:cs="Times New Roman"/>
          <w:color w:val="auto"/>
          <w:szCs w:val="24"/>
        </w:rPr>
        <w:t>st</w:t>
      </w:r>
      <w:r w:rsidRPr="00985776">
        <w:rPr>
          <w:rFonts w:cs="Times New Roman"/>
          <w:color w:val="auto"/>
          <w:szCs w:val="24"/>
        </w:rPr>
        <w:t xml:space="preserve">ry-developed </w:t>
      </w:r>
      <w:r w:rsidR="009B48E3">
        <w:rPr>
          <w:rFonts w:cs="Times New Roman"/>
          <w:color w:val="auto"/>
          <w:szCs w:val="24"/>
        </w:rPr>
        <w:t>st</w:t>
      </w:r>
      <w:r w:rsidRPr="00985776">
        <w:rPr>
          <w:rFonts w:cs="Times New Roman"/>
          <w:color w:val="auto"/>
          <w:szCs w:val="24"/>
        </w:rPr>
        <w:t>andard referenced in the RFI, DHS subsequently published a notice</w:t>
      </w:r>
      <w:r>
        <w:rPr>
          <w:rStyle w:val="FootnoteReference"/>
          <w:color w:val="auto"/>
          <w:szCs w:val="24"/>
        </w:rPr>
        <w:footnoteReference w:id="13"/>
      </w:r>
      <w:r w:rsidRPr="00985776">
        <w:rPr>
          <w:rFonts w:cs="Times New Roman"/>
          <w:color w:val="auto"/>
          <w:szCs w:val="24"/>
        </w:rPr>
        <w:t xml:space="preserve"> in the </w:t>
      </w:r>
      <w:r w:rsidRPr="00985776">
        <w:rPr>
          <w:rFonts w:cs="Times New Roman"/>
          <w:i/>
          <w:color w:val="auto"/>
          <w:szCs w:val="24"/>
        </w:rPr>
        <w:t>Federal Regi</w:t>
      </w:r>
      <w:r w:rsidR="009B48E3">
        <w:rPr>
          <w:rFonts w:cs="Times New Roman"/>
          <w:i/>
          <w:color w:val="auto"/>
          <w:szCs w:val="24"/>
        </w:rPr>
        <w:t>st</w:t>
      </w:r>
      <w:r w:rsidRPr="00985776">
        <w:rPr>
          <w:rFonts w:cs="Times New Roman"/>
          <w:i/>
          <w:color w:val="auto"/>
          <w:szCs w:val="24"/>
        </w:rPr>
        <w:t>er</w:t>
      </w:r>
      <w:r w:rsidRPr="00985776">
        <w:rPr>
          <w:rFonts w:cs="Times New Roman"/>
          <w:color w:val="auto"/>
          <w:szCs w:val="24"/>
        </w:rPr>
        <w:t xml:space="preserve"> to facilitate access to the </w:t>
      </w:r>
      <w:r w:rsidR="009B48E3">
        <w:rPr>
          <w:rFonts w:cs="Times New Roman"/>
          <w:color w:val="auto"/>
          <w:szCs w:val="24"/>
        </w:rPr>
        <w:t>st</w:t>
      </w:r>
      <w:r w:rsidRPr="00985776">
        <w:rPr>
          <w:rFonts w:cs="Times New Roman"/>
          <w:color w:val="auto"/>
          <w:szCs w:val="24"/>
        </w:rPr>
        <w:t>andard</w:t>
      </w:r>
      <w:r>
        <w:rPr>
          <w:rFonts w:cs="Times New Roman"/>
          <w:color w:val="auto"/>
          <w:szCs w:val="24"/>
        </w:rPr>
        <w:t>, and further extended the comment period</w:t>
      </w:r>
      <w:r w:rsidRPr="00985776">
        <w:rPr>
          <w:rFonts w:cs="Times New Roman"/>
          <w:color w:val="auto"/>
          <w:szCs w:val="24"/>
        </w:rPr>
        <w:t>.  The RFI reque</w:t>
      </w:r>
      <w:r w:rsidR="009B48E3">
        <w:rPr>
          <w:rFonts w:cs="Times New Roman"/>
          <w:color w:val="auto"/>
          <w:szCs w:val="24"/>
        </w:rPr>
        <w:t>st</w:t>
      </w:r>
      <w:r w:rsidRPr="00985776">
        <w:rPr>
          <w:rFonts w:cs="Times New Roman"/>
          <w:color w:val="auto"/>
          <w:szCs w:val="24"/>
        </w:rPr>
        <w:t>ed comments on 13 specific topics, including: potential security risks arising from mDL usage and mitigating solutions, potential privacy concerns or benefits associated with mDL transactions, the maturity of certain indu</w:t>
      </w:r>
      <w:r w:rsidR="009B48E3">
        <w:rPr>
          <w:rFonts w:cs="Times New Roman"/>
          <w:color w:val="auto"/>
          <w:szCs w:val="24"/>
        </w:rPr>
        <w:t>st</w:t>
      </w:r>
      <w:r w:rsidRPr="00985776">
        <w:rPr>
          <w:rFonts w:cs="Times New Roman"/>
          <w:color w:val="auto"/>
          <w:szCs w:val="24"/>
        </w:rPr>
        <w:t xml:space="preserve">ry </w:t>
      </w:r>
      <w:r w:rsidR="009B48E3">
        <w:rPr>
          <w:rFonts w:cs="Times New Roman"/>
          <w:color w:val="auto"/>
          <w:szCs w:val="24"/>
        </w:rPr>
        <w:t>st</w:t>
      </w:r>
      <w:r w:rsidRPr="00985776">
        <w:rPr>
          <w:rFonts w:cs="Times New Roman"/>
          <w:color w:val="auto"/>
          <w:szCs w:val="24"/>
        </w:rPr>
        <w:t>andards and the appropriateness of DHS’s adoption of them, co</w:t>
      </w:r>
      <w:r w:rsidR="009B48E3">
        <w:rPr>
          <w:rFonts w:cs="Times New Roman"/>
          <w:color w:val="auto"/>
          <w:szCs w:val="24"/>
        </w:rPr>
        <w:t>st</w:t>
      </w:r>
      <w:r w:rsidRPr="00985776">
        <w:rPr>
          <w:rFonts w:cs="Times New Roman"/>
          <w:color w:val="auto"/>
          <w:szCs w:val="24"/>
        </w:rPr>
        <w:t>s to individuals to obtain mDLs, and various technical topics associated with mDL issuance and communications.</w:t>
      </w:r>
    </w:p>
    <w:p w:rsidR="00985776" w:rsidP="00985776" w14:paraId="7EE35277" w14:textId="77777777">
      <w:pPr>
        <w:pStyle w:val="ListParagraph"/>
        <w:ind w:left="360"/>
        <w:rPr>
          <w:rFonts w:cs="Times New Roman"/>
          <w:color w:val="auto"/>
          <w:szCs w:val="24"/>
        </w:rPr>
      </w:pPr>
    </w:p>
    <w:p w:rsidR="00985776" w:rsidP="00985776" w14:paraId="71DFA25A" w14:textId="73D4F73D">
      <w:pPr>
        <w:pStyle w:val="ListParagraph"/>
        <w:ind w:left="360"/>
        <w:rPr>
          <w:rFonts w:cs="Times New Roman"/>
          <w:color w:val="auto"/>
          <w:szCs w:val="24"/>
        </w:rPr>
      </w:pPr>
      <w:r w:rsidRPr="00985776">
        <w:rPr>
          <w:rFonts w:cs="Times New Roman"/>
          <w:color w:val="auto"/>
          <w:szCs w:val="24"/>
        </w:rPr>
        <w:t xml:space="preserve">DHS received roughly 60 comments to the RFI from a diverse group of </w:t>
      </w:r>
      <w:r w:rsidR="009B48E3">
        <w:rPr>
          <w:rFonts w:cs="Times New Roman"/>
          <w:color w:val="auto"/>
          <w:szCs w:val="24"/>
        </w:rPr>
        <w:t>st</w:t>
      </w:r>
      <w:r w:rsidRPr="00985776">
        <w:rPr>
          <w:rFonts w:cs="Times New Roman"/>
          <w:color w:val="auto"/>
          <w:szCs w:val="24"/>
        </w:rPr>
        <w:t>akeholders, including advocacy groups representing varied intere</w:t>
      </w:r>
      <w:r w:rsidR="009B48E3">
        <w:rPr>
          <w:rFonts w:cs="Times New Roman"/>
          <w:color w:val="auto"/>
          <w:szCs w:val="24"/>
        </w:rPr>
        <w:t>st</w:t>
      </w:r>
      <w:r w:rsidRPr="00985776">
        <w:rPr>
          <w:rFonts w:cs="Times New Roman"/>
          <w:color w:val="auto"/>
          <w:szCs w:val="24"/>
        </w:rPr>
        <w:t xml:space="preserve">s, individuals, </w:t>
      </w:r>
      <w:r w:rsidR="009B48E3">
        <w:rPr>
          <w:rFonts w:cs="Times New Roman"/>
          <w:color w:val="auto"/>
          <w:szCs w:val="24"/>
        </w:rPr>
        <w:t>St</w:t>
      </w:r>
      <w:r w:rsidRPr="00985776">
        <w:rPr>
          <w:rFonts w:cs="Times New Roman"/>
          <w:color w:val="auto"/>
          <w:szCs w:val="24"/>
        </w:rPr>
        <w:t xml:space="preserve">ate government </w:t>
      </w:r>
      <w:r w:rsidRPr="00985776">
        <w:rPr>
          <w:rFonts w:cs="Times New Roman"/>
          <w:color w:val="auto"/>
          <w:szCs w:val="24"/>
        </w:rPr>
        <w:t>agencies, trade associations, and indu</w:t>
      </w:r>
      <w:r w:rsidR="009B48E3">
        <w:rPr>
          <w:rFonts w:cs="Times New Roman"/>
          <w:color w:val="auto"/>
          <w:szCs w:val="24"/>
        </w:rPr>
        <w:t>st</w:t>
      </w:r>
      <w:r w:rsidRPr="00985776">
        <w:rPr>
          <w:rFonts w:cs="Times New Roman"/>
          <w:color w:val="auto"/>
          <w:szCs w:val="24"/>
        </w:rPr>
        <w:t>ry.  An analysis of comments received showed that topics of intere</w:t>
      </w:r>
      <w:r w:rsidR="009B48E3">
        <w:rPr>
          <w:rFonts w:cs="Times New Roman"/>
          <w:color w:val="auto"/>
          <w:szCs w:val="24"/>
        </w:rPr>
        <w:t>st</w:t>
      </w:r>
      <w:r w:rsidRPr="00985776">
        <w:rPr>
          <w:rFonts w:cs="Times New Roman"/>
          <w:color w:val="auto"/>
          <w:szCs w:val="24"/>
        </w:rPr>
        <w:t xml:space="preserve"> to </w:t>
      </w:r>
      <w:r w:rsidR="009B48E3">
        <w:rPr>
          <w:rFonts w:cs="Times New Roman"/>
          <w:color w:val="auto"/>
          <w:szCs w:val="24"/>
        </w:rPr>
        <w:t>st</w:t>
      </w:r>
      <w:r w:rsidRPr="00985776">
        <w:rPr>
          <w:rFonts w:cs="Times New Roman"/>
          <w:color w:val="auto"/>
          <w:szCs w:val="24"/>
        </w:rPr>
        <w:t xml:space="preserve">akeholders concerned: the need for </w:t>
      </w:r>
      <w:r w:rsidR="009B48E3">
        <w:rPr>
          <w:rFonts w:cs="Times New Roman"/>
          <w:color w:val="auto"/>
          <w:szCs w:val="24"/>
        </w:rPr>
        <w:t>st</w:t>
      </w:r>
      <w:r w:rsidRPr="00985776">
        <w:rPr>
          <w:rFonts w:cs="Times New Roman"/>
          <w:color w:val="auto"/>
          <w:szCs w:val="24"/>
        </w:rPr>
        <w:t xml:space="preserve">andardization and/or Federal guidance, potential benefits to the public from mDLs generally, and the appropriateness of </w:t>
      </w:r>
      <w:r>
        <w:rPr>
          <w:rFonts w:cs="Times New Roman"/>
          <w:color w:val="auto"/>
          <w:szCs w:val="24"/>
        </w:rPr>
        <w:t>certain indu</w:t>
      </w:r>
      <w:r w:rsidR="009B48E3">
        <w:rPr>
          <w:rFonts w:cs="Times New Roman"/>
          <w:color w:val="auto"/>
          <w:szCs w:val="24"/>
        </w:rPr>
        <w:t>st</w:t>
      </w:r>
      <w:r>
        <w:rPr>
          <w:rFonts w:cs="Times New Roman"/>
          <w:color w:val="auto"/>
          <w:szCs w:val="24"/>
        </w:rPr>
        <w:t xml:space="preserve">ry </w:t>
      </w:r>
      <w:r w:rsidR="009B48E3">
        <w:rPr>
          <w:rFonts w:cs="Times New Roman"/>
          <w:color w:val="auto"/>
          <w:szCs w:val="24"/>
        </w:rPr>
        <w:t>st</w:t>
      </w:r>
      <w:r w:rsidRPr="00985776">
        <w:rPr>
          <w:rFonts w:cs="Times New Roman"/>
          <w:color w:val="auto"/>
          <w:szCs w:val="24"/>
        </w:rPr>
        <w:t xml:space="preserve">andards as a </w:t>
      </w:r>
      <w:r w:rsidR="009B48E3">
        <w:rPr>
          <w:rFonts w:cs="Times New Roman"/>
          <w:color w:val="auto"/>
          <w:szCs w:val="24"/>
        </w:rPr>
        <w:t>st</w:t>
      </w:r>
      <w:r w:rsidRPr="00985776">
        <w:rPr>
          <w:rFonts w:cs="Times New Roman"/>
          <w:color w:val="auto"/>
          <w:szCs w:val="24"/>
        </w:rPr>
        <w:t>arting point for regulatory requirements.</w:t>
      </w:r>
    </w:p>
    <w:p w:rsidR="00985776" w:rsidP="00985776" w14:paraId="2B64521B" w14:textId="77777777">
      <w:pPr>
        <w:pStyle w:val="ListParagraph"/>
        <w:ind w:left="360"/>
        <w:rPr>
          <w:rFonts w:cs="Times New Roman"/>
          <w:color w:val="auto"/>
          <w:szCs w:val="24"/>
        </w:rPr>
      </w:pPr>
    </w:p>
    <w:p w:rsidR="00D74B86" w:rsidP="00985776" w14:paraId="33EE5322" w14:textId="48F0D4B7">
      <w:pPr>
        <w:pStyle w:val="ListParagraph"/>
        <w:ind w:left="360"/>
        <w:rPr>
          <w:rFonts w:cs="Times New Roman"/>
          <w:color w:val="auto"/>
          <w:szCs w:val="24"/>
        </w:rPr>
      </w:pPr>
      <w:r>
        <w:rPr>
          <w:rFonts w:cs="Times New Roman"/>
          <w:color w:val="auto"/>
          <w:szCs w:val="24"/>
        </w:rPr>
        <w:t xml:space="preserve">On August 30, 2023, TSA published an NPRM, seeking comments on </w:t>
      </w:r>
      <w:r w:rsidR="00A1161B">
        <w:rPr>
          <w:rFonts w:cs="Times New Roman"/>
          <w:color w:val="auto"/>
          <w:szCs w:val="24"/>
        </w:rPr>
        <w:t xml:space="preserve">nine </w:t>
      </w:r>
      <w:r>
        <w:rPr>
          <w:rFonts w:cs="Times New Roman"/>
          <w:color w:val="auto"/>
          <w:szCs w:val="24"/>
        </w:rPr>
        <w:t xml:space="preserve">specific topics </w:t>
      </w:r>
      <w:r w:rsidR="00871B5B">
        <w:rPr>
          <w:rFonts w:cs="Times New Roman"/>
          <w:color w:val="auto"/>
          <w:szCs w:val="24"/>
        </w:rPr>
        <w:t>as well as</w:t>
      </w:r>
      <w:r>
        <w:rPr>
          <w:rFonts w:cs="Times New Roman"/>
          <w:color w:val="auto"/>
          <w:szCs w:val="24"/>
        </w:rPr>
        <w:t xml:space="preserve"> general comments on the NPRM.  </w:t>
      </w:r>
      <w:r w:rsidRPr="00DA42BB" w:rsidR="00DA42BB">
        <w:rPr>
          <w:rFonts w:cs="Times New Roman"/>
          <w:i/>
          <w:iCs/>
          <w:color w:val="auto"/>
          <w:szCs w:val="24"/>
        </w:rPr>
        <w:t>See</w:t>
      </w:r>
      <w:r w:rsidR="00DA42BB">
        <w:rPr>
          <w:rFonts w:cs="Times New Roman"/>
          <w:color w:val="auto"/>
          <w:szCs w:val="24"/>
        </w:rPr>
        <w:t xml:space="preserve"> 88 FR 60056.  </w:t>
      </w:r>
      <w:r w:rsidRPr="00443347">
        <w:rPr>
          <w:szCs w:val="24"/>
        </w:rPr>
        <w:t>TSA received 31 comments</w:t>
      </w:r>
      <w:r w:rsidR="00871B5B">
        <w:rPr>
          <w:szCs w:val="24"/>
        </w:rPr>
        <w:t>,</w:t>
      </w:r>
      <w:r>
        <w:rPr>
          <w:rStyle w:val="FootnoteReference"/>
          <w:szCs w:val="24"/>
        </w:rPr>
        <w:footnoteReference w:id="14"/>
      </w:r>
      <w:r w:rsidRPr="00443347">
        <w:rPr>
          <w:szCs w:val="24"/>
        </w:rPr>
        <w:t xml:space="preserve"> including some comments that were submitted shortly after the comment period closed.  TSA accepted every comment received as part of the official record, including those that were submitted late.  </w:t>
      </w:r>
      <w:r w:rsidRPr="001109A8" w:rsidR="001109A8">
        <w:rPr>
          <w:szCs w:val="24"/>
        </w:rPr>
        <w:t xml:space="preserve">Following careful consideration of </w:t>
      </w:r>
      <w:r w:rsidR="001109A8">
        <w:rPr>
          <w:szCs w:val="24"/>
        </w:rPr>
        <w:t xml:space="preserve">all </w:t>
      </w:r>
      <w:r w:rsidRPr="001109A8" w:rsidR="001109A8">
        <w:rPr>
          <w:szCs w:val="24"/>
        </w:rPr>
        <w:t xml:space="preserve">public comments received, TSA made </w:t>
      </w:r>
      <w:r w:rsidR="001109A8">
        <w:rPr>
          <w:szCs w:val="24"/>
        </w:rPr>
        <w:t xml:space="preserve">some </w:t>
      </w:r>
      <w:r w:rsidRPr="001109A8" w:rsidR="001109A8">
        <w:rPr>
          <w:szCs w:val="24"/>
        </w:rPr>
        <w:t>modifications to the regulatory text proposed in the NPRM</w:t>
      </w:r>
      <w:r w:rsidR="001109A8">
        <w:rPr>
          <w:szCs w:val="24"/>
        </w:rPr>
        <w:t>, as noted in the final rule.</w:t>
      </w:r>
    </w:p>
    <w:p w:rsidR="00D74B86" w:rsidP="00985776" w14:paraId="0C581163" w14:textId="77777777">
      <w:pPr>
        <w:pStyle w:val="ListParagraph"/>
        <w:ind w:left="360"/>
        <w:rPr>
          <w:rFonts w:cs="Times New Roman"/>
          <w:color w:val="auto"/>
          <w:szCs w:val="24"/>
        </w:rPr>
      </w:pPr>
    </w:p>
    <w:p w:rsidR="00985776" w:rsidP="00985776" w14:paraId="42AE8F94" w14:textId="78B25678">
      <w:pPr>
        <w:pStyle w:val="ListParagraph"/>
        <w:ind w:left="360"/>
        <w:rPr>
          <w:rFonts w:cs="Times New Roman"/>
          <w:color w:val="auto"/>
          <w:szCs w:val="24"/>
        </w:rPr>
      </w:pPr>
      <w:r w:rsidRPr="00985776">
        <w:rPr>
          <w:rFonts w:cs="Times New Roman"/>
          <w:color w:val="auto"/>
          <w:szCs w:val="24"/>
        </w:rPr>
        <w:t xml:space="preserve">DHS </w:t>
      </w:r>
      <w:r w:rsidR="001109A8">
        <w:rPr>
          <w:rFonts w:cs="Times New Roman"/>
          <w:color w:val="auto"/>
          <w:szCs w:val="24"/>
        </w:rPr>
        <w:t xml:space="preserve">and TSA have </w:t>
      </w:r>
      <w:r w:rsidRPr="00985776">
        <w:rPr>
          <w:rFonts w:cs="Times New Roman"/>
          <w:color w:val="auto"/>
          <w:szCs w:val="24"/>
        </w:rPr>
        <w:t xml:space="preserve">also conducted extensive outreach and engagement with affected </w:t>
      </w:r>
      <w:r w:rsidR="009B48E3">
        <w:rPr>
          <w:rFonts w:cs="Times New Roman"/>
          <w:color w:val="auto"/>
          <w:szCs w:val="24"/>
        </w:rPr>
        <w:t>st</w:t>
      </w:r>
      <w:r w:rsidRPr="00985776">
        <w:rPr>
          <w:rFonts w:cs="Times New Roman"/>
          <w:color w:val="auto"/>
          <w:szCs w:val="24"/>
        </w:rPr>
        <w:t xml:space="preserve">akeholders, including </w:t>
      </w:r>
      <w:r w:rsidR="009B48E3">
        <w:rPr>
          <w:rFonts w:cs="Times New Roman"/>
          <w:color w:val="auto"/>
          <w:szCs w:val="24"/>
        </w:rPr>
        <w:t>St</w:t>
      </w:r>
      <w:r w:rsidRPr="00985776">
        <w:rPr>
          <w:rFonts w:cs="Times New Roman"/>
          <w:color w:val="auto"/>
          <w:szCs w:val="24"/>
        </w:rPr>
        <w:t>ates, indu</w:t>
      </w:r>
      <w:r w:rsidR="009B48E3">
        <w:rPr>
          <w:rFonts w:cs="Times New Roman"/>
          <w:color w:val="auto"/>
          <w:szCs w:val="24"/>
        </w:rPr>
        <w:t>st</w:t>
      </w:r>
      <w:r w:rsidRPr="00985776">
        <w:rPr>
          <w:rFonts w:cs="Times New Roman"/>
          <w:color w:val="auto"/>
          <w:szCs w:val="24"/>
        </w:rPr>
        <w:t xml:space="preserve">ry, and individuals. </w:t>
      </w:r>
      <w:r>
        <w:rPr>
          <w:rFonts w:cs="Times New Roman"/>
          <w:color w:val="auto"/>
          <w:szCs w:val="24"/>
        </w:rPr>
        <w:t xml:space="preserve"> In addition,</w:t>
      </w:r>
      <w:r w:rsidRPr="00985776">
        <w:rPr>
          <w:rFonts w:cs="Times New Roman"/>
          <w:color w:val="auto"/>
          <w:szCs w:val="24"/>
        </w:rPr>
        <w:t xml:space="preserve"> </w:t>
      </w:r>
      <w:r w:rsidR="001109A8">
        <w:rPr>
          <w:rFonts w:cs="Times New Roman"/>
          <w:color w:val="auto"/>
          <w:szCs w:val="24"/>
        </w:rPr>
        <w:t>the agencies</w:t>
      </w:r>
      <w:r w:rsidRPr="00985776" w:rsidR="001109A8">
        <w:rPr>
          <w:rFonts w:cs="Times New Roman"/>
          <w:color w:val="auto"/>
          <w:szCs w:val="24"/>
        </w:rPr>
        <w:t xml:space="preserve"> </w:t>
      </w:r>
      <w:r w:rsidRPr="00985776">
        <w:rPr>
          <w:rFonts w:cs="Times New Roman"/>
          <w:color w:val="auto"/>
          <w:szCs w:val="24"/>
        </w:rPr>
        <w:t>conducted a roundtable discussion on privacy considerations with non-profit organizations representing varied intere</w:t>
      </w:r>
      <w:r w:rsidR="009B48E3">
        <w:rPr>
          <w:rFonts w:cs="Times New Roman"/>
          <w:color w:val="auto"/>
          <w:szCs w:val="24"/>
        </w:rPr>
        <w:t>st</w:t>
      </w:r>
      <w:r w:rsidRPr="00985776">
        <w:rPr>
          <w:rFonts w:cs="Times New Roman"/>
          <w:color w:val="auto"/>
          <w:szCs w:val="24"/>
        </w:rPr>
        <w:t>s.</w:t>
      </w:r>
    </w:p>
    <w:p w:rsidR="001E520C" w:rsidP="00985776" w14:paraId="01A5DC85" w14:textId="77777777">
      <w:pPr>
        <w:pStyle w:val="ListParagraph"/>
        <w:ind w:left="360"/>
        <w:rPr>
          <w:rFonts w:cs="Times New Roman"/>
          <w:color w:val="auto"/>
          <w:szCs w:val="24"/>
        </w:rPr>
      </w:pPr>
    </w:p>
    <w:p w:rsidR="001E520C" w:rsidP="00985776" w14:paraId="038E13F6" w14:textId="1305CD2D">
      <w:pPr>
        <w:pStyle w:val="ListParagraph"/>
        <w:ind w:left="360"/>
        <w:rPr>
          <w:rFonts w:cs="Times New Roman"/>
          <w:color w:val="auto"/>
          <w:szCs w:val="24"/>
        </w:rPr>
      </w:pPr>
      <w:r w:rsidRPr="001E520C">
        <w:rPr>
          <w:rFonts w:cs="Times New Roman"/>
          <w:color w:val="auto"/>
          <w:szCs w:val="24"/>
        </w:rPr>
        <w:t xml:space="preserve">TSA published a 30-day notice in the </w:t>
      </w:r>
      <w:r w:rsidRPr="001E520C">
        <w:rPr>
          <w:rFonts w:cs="Times New Roman"/>
          <w:i/>
          <w:iCs/>
          <w:color w:val="auto"/>
          <w:szCs w:val="24"/>
        </w:rPr>
        <w:t>Federal Register</w:t>
      </w:r>
      <w:r w:rsidRPr="001E520C">
        <w:rPr>
          <w:rFonts w:cs="Times New Roman"/>
          <w:color w:val="auto"/>
          <w:szCs w:val="24"/>
        </w:rPr>
        <w:t xml:space="preserve"> to solicit public comment on the information collection.  </w:t>
      </w:r>
      <w:r w:rsidRPr="001E520C">
        <w:rPr>
          <w:rFonts w:cs="Times New Roman"/>
          <w:i/>
          <w:iCs/>
          <w:color w:val="auto"/>
          <w:szCs w:val="24"/>
        </w:rPr>
        <w:t>See</w:t>
      </w:r>
      <w:r w:rsidRPr="001E520C">
        <w:rPr>
          <w:rFonts w:cs="Times New Roman"/>
          <w:color w:val="auto"/>
          <w:szCs w:val="24"/>
        </w:rPr>
        <w:t xml:space="preserve"> 89 FR </w:t>
      </w:r>
      <w:r>
        <w:rPr>
          <w:rFonts w:cs="Times New Roman"/>
          <w:color w:val="auto"/>
          <w:szCs w:val="24"/>
        </w:rPr>
        <w:t>77536</w:t>
      </w:r>
      <w:r w:rsidRPr="001E520C">
        <w:rPr>
          <w:rFonts w:cs="Times New Roman"/>
          <w:color w:val="auto"/>
          <w:szCs w:val="24"/>
        </w:rPr>
        <w:t xml:space="preserve"> (</w:t>
      </w:r>
      <w:r>
        <w:rPr>
          <w:rFonts w:cs="Times New Roman"/>
          <w:color w:val="auto"/>
          <w:szCs w:val="24"/>
        </w:rPr>
        <w:t>September 23, 2024</w:t>
      </w:r>
      <w:r w:rsidRPr="001E520C">
        <w:rPr>
          <w:rFonts w:cs="Times New Roman"/>
          <w:color w:val="auto"/>
          <w:szCs w:val="24"/>
        </w:rPr>
        <w:t>)</w:t>
      </w:r>
      <w:r>
        <w:rPr>
          <w:rFonts w:cs="Times New Roman"/>
          <w:color w:val="auto"/>
          <w:szCs w:val="24"/>
        </w:rPr>
        <w:t xml:space="preserve">.  </w:t>
      </w:r>
      <w:r w:rsidRPr="001E520C">
        <w:rPr>
          <w:rFonts w:cs="Times New Roman"/>
          <w:color w:val="auto"/>
          <w:szCs w:val="24"/>
        </w:rPr>
        <w:t xml:space="preserve">TSA received no public comment on </w:t>
      </w:r>
      <w:r>
        <w:rPr>
          <w:rFonts w:cs="Times New Roman"/>
          <w:color w:val="auto"/>
          <w:szCs w:val="24"/>
        </w:rPr>
        <w:t>the</w:t>
      </w:r>
      <w:r w:rsidRPr="001E520C">
        <w:rPr>
          <w:rFonts w:cs="Times New Roman"/>
          <w:color w:val="auto"/>
          <w:szCs w:val="24"/>
        </w:rPr>
        <w:t xml:space="preserve"> information collection.  </w:t>
      </w:r>
    </w:p>
    <w:p w:rsidR="00102261" w:rsidP="00985776" w14:paraId="7EBE5443" w14:textId="77777777">
      <w:pPr>
        <w:pStyle w:val="ListParagraph"/>
        <w:ind w:left="360"/>
        <w:rPr>
          <w:rFonts w:cs="Times New Roman"/>
          <w:color w:val="auto"/>
          <w:szCs w:val="24"/>
        </w:rPr>
      </w:pPr>
    </w:p>
    <w:p w:rsidR="00102261" w:rsidRPr="00985776" w:rsidP="00985776" w14:paraId="0F22F6D5" w14:textId="5468B78A">
      <w:pPr>
        <w:pStyle w:val="ListParagraph"/>
        <w:ind w:left="360"/>
        <w:rPr>
          <w:rFonts w:cs="Times New Roman"/>
          <w:color w:val="auto"/>
          <w:szCs w:val="24"/>
        </w:rPr>
      </w:pPr>
      <w:r w:rsidRPr="005A38DE">
        <w:rPr>
          <w:rFonts w:cs="Times New Roman"/>
          <w:color w:val="auto"/>
          <w:szCs w:val="24"/>
        </w:rPr>
        <w:t xml:space="preserve">Finally, </w:t>
      </w:r>
      <w:r w:rsidRPr="005A38DE" w:rsidR="007D64B0">
        <w:rPr>
          <w:rFonts w:cs="Times New Roman"/>
          <w:color w:val="auto"/>
          <w:szCs w:val="24"/>
        </w:rPr>
        <w:t xml:space="preserve">on October </w:t>
      </w:r>
      <w:r w:rsidRPr="005A38DE" w:rsidR="00140692">
        <w:rPr>
          <w:rFonts w:cs="Times New Roman"/>
          <w:color w:val="auto"/>
          <w:szCs w:val="24"/>
        </w:rPr>
        <w:t>25</w:t>
      </w:r>
      <w:r w:rsidRPr="005A38DE" w:rsidR="007D64B0">
        <w:rPr>
          <w:rFonts w:cs="Times New Roman"/>
          <w:color w:val="auto"/>
          <w:szCs w:val="24"/>
        </w:rPr>
        <w:t xml:space="preserve">, 2024, </w:t>
      </w:r>
      <w:r w:rsidRPr="005A38DE">
        <w:rPr>
          <w:rFonts w:cs="Times New Roman"/>
          <w:color w:val="auto"/>
          <w:szCs w:val="24"/>
        </w:rPr>
        <w:t xml:space="preserve">TSA published the </w:t>
      </w:r>
      <w:r w:rsidRPr="005A38DE">
        <w:rPr>
          <w:rFonts w:cs="Times New Roman"/>
        </w:rPr>
        <w:t>final rule</w:t>
      </w:r>
      <w:r w:rsidRPr="005A38DE" w:rsidR="007D64B0">
        <w:rPr>
          <w:rFonts w:cs="Times New Roman"/>
        </w:rPr>
        <w:t xml:space="preserve">.  </w:t>
      </w:r>
      <w:r w:rsidRPr="005A38DE" w:rsidR="007D64B0">
        <w:rPr>
          <w:rFonts w:cs="Times New Roman"/>
          <w:i/>
          <w:iCs/>
        </w:rPr>
        <w:t xml:space="preserve">See </w:t>
      </w:r>
      <w:r w:rsidRPr="005A38DE" w:rsidR="002414C2">
        <w:rPr>
          <w:rFonts w:cs="Times New Roman"/>
        </w:rPr>
        <w:t xml:space="preserve">89 FR </w:t>
      </w:r>
      <w:r w:rsidRPr="005A38DE" w:rsidR="005A38DE">
        <w:rPr>
          <w:rFonts w:cs="Times New Roman"/>
        </w:rPr>
        <w:t>85340</w:t>
      </w:r>
      <w:r w:rsidRPr="005A38DE">
        <w:rPr>
          <w:rFonts w:cs="Times New Roman"/>
        </w:rPr>
        <w:t>.</w:t>
      </w:r>
      <w:r w:rsidRPr="1D490CDF">
        <w:rPr>
          <w:rFonts w:cs="Times New Roman"/>
        </w:rPr>
        <w:t xml:space="preserve"> </w:t>
      </w:r>
    </w:p>
    <w:p w:rsidR="00985776" w:rsidRPr="00D12C9B" w:rsidP="00960997" w14:paraId="3DC6FC54" w14:textId="77777777">
      <w:pPr>
        <w:pStyle w:val="ListParagraph"/>
        <w:ind w:left="360"/>
      </w:pPr>
    </w:p>
    <w:p w:rsidR="008F7B61" w:rsidRPr="005C609B" w:rsidP="006A03B3" w14:paraId="15CAFB02" w14:textId="77777777">
      <w:pPr>
        <w:keepNext/>
        <w:numPr>
          <w:ilvl w:val="0"/>
          <w:numId w:val="1"/>
        </w:numPr>
        <w:tabs>
          <w:tab w:val="left" w:pos="360"/>
        </w:tabs>
        <w:rPr>
          <w:b/>
          <w:i/>
        </w:rPr>
      </w:pPr>
      <w:r w:rsidRPr="005C609B">
        <w:rPr>
          <w:b/>
          <w:i/>
        </w:rPr>
        <w:t>Explain any decision to provide any payment or gift to respondents, other than remuneration of contractors or grantees.</w:t>
      </w:r>
    </w:p>
    <w:p w:rsidR="008F7B61" w:rsidRPr="00D12C9B" w:rsidP="0047710A" w14:paraId="270C430F" w14:textId="77777777">
      <w:pPr>
        <w:numPr>
          <w:ilvl w:val="12"/>
          <w:numId w:val="0"/>
        </w:numPr>
        <w:spacing w:line="360" w:lineRule="auto"/>
        <w:ind w:left="360"/>
        <w:outlineLvl w:val="0"/>
      </w:pPr>
    </w:p>
    <w:p w:rsidR="008F7B61" w:rsidP="00D9343C" w14:paraId="1C756D4B" w14:textId="39D0C739">
      <w:pPr>
        <w:numPr>
          <w:ilvl w:val="12"/>
          <w:numId w:val="0"/>
        </w:numPr>
        <w:ind w:left="360"/>
        <w:outlineLvl w:val="0"/>
      </w:pPr>
      <w:r>
        <w:t>TSA</w:t>
      </w:r>
      <w:r w:rsidRPr="00D12C9B">
        <w:t xml:space="preserve"> will not provide any payment or gift to respondents.</w:t>
      </w:r>
    </w:p>
    <w:p w:rsidR="008F06A0" w:rsidRPr="00D12C9B" w:rsidP="0047710A" w14:paraId="5FEE9DBA" w14:textId="77777777">
      <w:pPr>
        <w:numPr>
          <w:ilvl w:val="12"/>
          <w:numId w:val="0"/>
        </w:numPr>
        <w:spacing w:line="360" w:lineRule="auto"/>
        <w:ind w:left="360"/>
        <w:outlineLvl w:val="0"/>
      </w:pPr>
    </w:p>
    <w:p w:rsidR="008F7B61" w:rsidRPr="00D12C9B" w:rsidP="006A03B3" w14:paraId="6025CD59" w14:textId="77777777">
      <w:pPr>
        <w:keepNext/>
        <w:numPr>
          <w:ilvl w:val="0"/>
          <w:numId w:val="1"/>
        </w:numPr>
        <w:tabs>
          <w:tab w:val="left" w:pos="360"/>
        </w:tabs>
        <w:rPr>
          <w:b/>
          <w:i/>
        </w:rPr>
      </w:pPr>
      <w:r w:rsidRPr="00D12C9B">
        <w:rPr>
          <w:b/>
          <w:i/>
        </w:rPr>
        <w:t xml:space="preserve">Describe any assurance of confidentiality provided to respondents and the basis for the assurance in </w:t>
      </w:r>
      <w:r w:rsidR="009B48E3">
        <w:rPr>
          <w:b/>
          <w:i/>
        </w:rPr>
        <w:t>st</w:t>
      </w:r>
      <w:r w:rsidRPr="00D12C9B">
        <w:rPr>
          <w:b/>
          <w:i/>
        </w:rPr>
        <w:t>atute, regulation, or agency policy.</w:t>
      </w:r>
    </w:p>
    <w:p w:rsidR="008F7B61" w:rsidRPr="00D12C9B" w:rsidP="004657B4" w14:paraId="2543B4F0" w14:textId="77777777">
      <w:pPr>
        <w:ind w:left="360"/>
        <w:rPr>
          <w:rFonts w:cs="Times New Roman"/>
          <w:color w:val="auto"/>
          <w:szCs w:val="24"/>
        </w:rPr>
      </w:pPr>
    </w:p>
    <w:p w:rsidR="008F7B61" w:rsidRPr="00D12C9B" w:rsidP="004657B4" w14:paraId="31811A5A" w14:textId="00697298">
      <w:pPr>
        <w:ind w:left="360"/>
        <w:rPr>
          <w:rFonts w:cs="Times New Roman"/>
          <w:color w:val="auto"/>
          <w:szCs w:val="24"/>
        </w:rPr>
      </w:pPr>
      <w:r>
        <w:rPr>
          <w:rFonts w:cs="Times New Roman"/>
          <w:color w:val="auto"/>
          <w:szCs w:val="24"/>
        </w:rPr>
        <w:t>While there is no assurance of confidentiality, i</w:t>
      </w:r>
      <w:r w:rsidRPr="00D12C9B">
        <w:rPr>
          <w:rFonts w:cs="Times New Roman"/>
          <w:color w:val="auto"/>
          <w:szCs w:val="24"/>
        </w:rPr>
        <w:t>nformation provided will be protected from disclosure to the extent appropriate under applicable provisions of the Freedom of Information Act, the Privacy Act of 1974, the Driver’s Privacy Protection Act, as well as DHS’s Privacy Impact Assessment for the REAL ID Act.</w:t>
      </w:r>
    </w:p>
    <w:p w:rsidR="008F7B61" w:rsidRPr="00D12C9B" w:rsidP="007460E9" w14:paraId="40DCCD41" w14:textId="77777777">
      <w:pPr>
        <w:keepNext/>
        <w:numPr>
          <w:ilvl w:val="12"/>
          <w:numId w:val="0"/>
        </w:numPr>
        <w:spacing w:line="360" w:lineRule="auto"/>
        <w:ind w:left="360"/>
      </w:pPr>
    </w:p>
    <w:p w:rsidR="008F7B61" w:rsidRPr="00D12C9B" w:rsidP="006A03B3" w14:paraId="71BB194B" w14:textId="77777777">
      <w:pPr>
        <w:keepNext/>
        <w:numPr>
          <w:ilvl w:val="0"/>
          <w:numId w:val="1"/>
        </w:numPr>
        <w:tabs>
          <w:tab w:val="left" w:pos="360"/>
        </w:tabs>
        <w:rPr>
          <w:b/>
          <w:i/>
        </w:rPr>
      </w:pPr>
      <w:r w:rsidRPr="00D12C9B">
        <w:rPr>
          <w:b/>
          <w:i/>
        </w:rPr>
        <w:t>Provide additional ju</w:t>
      </w:r>
      <w:r w:rsidR="009B48E3">
        <w:rPr>
          <w:b/>
          <w:i/>
        </w:rPr>
        <w:t>st</w:t>
      </w:r>
      <w:r w:rsidRPr="00D12C9B">
        <w:rPr>
          <w:b/>
          <w:i/>
        </w:rPr>
        <w:t>ification for any que</w:t>
      </w:r>
      <w:r w:rsidR="009B48E3">
        <w:rPr>
          <w:b/>
          <w:i/>
        </w:rPr>
        <w:t>st</w:t>
      </w:r>
      <w:r w:rsidRPr="00D12C9B">
        <w:rPr>
          <w:b/>
          <w:i/>
        </w:rPr>
        <w:t>ions of sensitive nature, such as sexual behavior and attitudes, religious beliefs, and other matters that are commonly considered private.</w:t>
      </w:r>
    </w:p>
    <w:p w:rsidR="008F7B61" w:rsidRPr="005C609B" w:rsidP="005507AC" w14:paraId="31C6348E" w14:textId="77777777">
      <w:pPr>
        <w:numPr>
          <w:ilvl w:val="12"/>
          <w:numId w:val="0"/>
        </w:numPr>
        <w:ind w:left="360"/>
      </w:pPr>
    </w:p>
    <w:p w:rsidR="008F7B61" w:rsidP="0084194C" w14:paraId="1BDAEB0E" w14:textId="7736DCE1">
      <w:pPr>
        <w:numPr>
          <w:ilvl w:val="12"/>
          <w:numId w:val="0"/>
        </w:numPr>
        <w:spacing w:line="360" w:lineRule="auto"/>
        <w:ind w:firstLine="360"/>
      </w:pPr>
      <w:r>
        <w:t>TSA</w:t>
      </w:r>
      <w:r w:rsidRPr="005C609B">
        <w:t xml:space="preserve"> will not ask any que</w:t>
      </w:r>
      <w:r w:rsidR="009B48E3">
        <w:t>st</w:t>
      </w:r>
      <w:r w:rsidRPr="005C609B">
        <w:t>ions of a sensitive nature.</w:t>
      </w:r>
    </w:p>
    <w:p w:rsidR="008F06A0" w:rsidRPr="005C609B" w:rsidP="0084194C" w14:paraId="387825CB" w14:textId="77777777">
      <w:pPr>
        <w:numPr>
          <w:ilvl w:val="12"/>
          <w:numId w:val="0"/>
        </w:numPr>
        <w:spacing w:line="360" w:lineRule="auto"/>
        <w:ind w:firstLine="360"/>
      </w:pPr>
    </w:p>
    <w:p w:rsidR="008F7B61" w:rsidRPr="003E5FCF" w:rsidP="006A03B3" w14:paraId="744EAEF1" w14:textId="77777777">
      <w:pPr>
        <w:keepNext/>
        <w:numPr>
          <w:ilvl w:val="0"/>
          <w:numId w:val="1"/>
        </w:numPr>
        <w:tabs>
          <w:tab w:val="left" w:pos="360"/>
        </w:tabs>
        <w:rPr>
          <w:b/>
          <w:i/>
        </w:rPr>
      </w:pPr>
      <w:r w:rsidRPr="003E5FCF">
        <w:rPr>
          <w:b/>
          <w:i/>
        </w:rPr>
        <w:t>Provide e</w:t>
      </w:r>
      <w:r w:rsidR="009B48E3">
        <w:rPr>
          <w:b/>
          <w:i/>
        </w:rPr>
        <w:t>st</w:t>
      </w:r>
      <w:r w:rsidRPr="003E5FCF">
        <w:rPr>
          <w:b/>
          <w:i/>
        </w:rPr>
        <w:t>imates of hour</w:t>
      </w:r>
      <w:r w:rsidR="00FB4DBF">
        <w:rPr>
          <w:b/>
          <w:i/>
        </w:rPr>
        <w:t xml:space="preserve"> and co</w:t>
      </w:r>
      <w:r w:rsidR="009B48E3">
        <w:rPr>
          <w:b/>
          <w:i/>
        </w:rPr>
        <w:t>st</w:t>
      </w:r>
      <w:r w:rsidRPr="003E5FCF">
        <w:rPr>
          <w:b/>
          <w:i/>
        </w:rPr>
        <w:t xml:space="preserve"> burden</w:t>
      </w:r>
      <w:r w:rsidR="00FB4DBF">
        <w:rPr>
          <w:b/>
          <w:i/>
        </w:rPr>
        <w:t>s</w:t>
      </w:r>
      <w:r w:rsidRPr="003E5FCF">
        <w:rPr>
          <w:b/>
          <w:i/>
        </w:rPr>
        <w:t xml:space="preserve"> of the collection of information.</w:t>
      </w:r>
    </w:p>
    <w:p w:rsidR="008F7B61" w:rsidRPr="003E5FCF" w:rsidP="00180627" w14:paraId="099A375C" w14:textId="77777777">
      <w:pPr>
        <w:keepNext/>
        <w:tabs>
          <w:tab w:val="left" w:pos="360"/>
        </w:tabs>
        <w:rPr>
          <w:b/>
          <w:i/>
        </w:rPr>
      </w:pPr>
    </w:p>
    <w:p w:rsidR="00FD5F84" w:rsidP="00FD5F84" w14:paraId="7C4A75CC" w14:textId="590002F9">
      <w:pPr>
        <w:ind w:left="360"/>
        <w:rPr>
          <w:rStyle w:val="RegEvalTextChar"/>
        </w:rPr>
      </w:pPr>
      <w:r>
        <w:t xml:space="preserve">The </w:t>
      </w:r>
      <w:r w:rsidR="00EF7ACC">
        <w:t xml:space="preserve">final </w:t>
      </w:r>
      <w:r>
        <w:t xml:space="preserve">rule </w:t>
      </w:r>
      <w:r w:rsidRPr="189AAE92">
        <w:rPr>
          <w:rStyle w:val="RegEvalTextChar"/>
        </w:rPr>
        <w:t>require</w:t>
      </w:r>
      <w:r w:rsidR="00EF7ACC">
        <w:rPr>
          <w:rStyle w:val="RegEvalTextChar"/>
        </w:rPr>
        <w:t>s</w:t>
      </w:r>
      <w:r w:rsidRPr="189AAE92">
        <w:rPr>
          <w:rStyle w:val="RegEvalTextChar"/>
        </w:rPr>
        <w:t xml:space="preserve"> the </w:t>
      </w:r>
      <w:r>
        <w:rPr>
          <w:rStyle w:val="RegEvalTextChar"/>
        </w:rPr>
        <w:t>following information collections from States:</w:t>
      </w:r>
    </w:p>
    <w:p w:rsidR="00FD5F84" w:rsidP="00FD5F84" w14:paraId="4F9607D9" w14:textId="77777777">
      <w:pPr>
        <w:ind w:left="360"/>
        <w:rPr>
          <w:rStyle w:val="RegEvalTextChar"/>
        </w:rPr>
      </w:pPr>
    </w:p>
    <w:p w:rsidR="00D9343C" w:rsidP="004E4C0D" w14:paraId="49B7E9AC" w14:textId="6FCDABD5">
      <w:pPr>
        <w:pStyle w:val="ListParagraph"/>
        <w:numPr>
          <w:ilvl w:val="0"/>
          <w:numId w:val="29"/>
        </w:numPr>
        <w:rPr>
          <w:rStyle w:val="RegEvalTextChar"/>
        </w:rPr>
      </w:pPr>
      <w:r>
        <w:rPr>
          <w:rStyle w:val="RegEvalTextChar"/>
        </w:rPr>
        <w:t>S</w:t>
      </w:r>
      <w:r w:rsidRPr="189AAE92">
        <w:rPr>
          <w:rStyle w:val="RegEvalTextChar"/>
        </w:rPr>
        <w:t xml:space="preserve">ubmission of </w:t>
      </w:r>
      <w:r>
        <w:rPr>
          <w:rStyle w:val="RegEvalTextChar"/>
        </w:rPr>
        <w:t>initial</w:t>
      </w:r>
      <w:r w:rsidRPr="189AAE92">
        <w:rPr>
          <w:rStyle w:val="RegEvalTextChar"/>
        </w:rPr>
        <w:t xml:space="preserve"> application</w:t>
      </w:r>
      <w:r w:rsidR="009441A4">
        <w:rPr>
          <w:rStyle w:val="RegEvalTextChar"/>
        </w:rPr>
        <w:t xml:space="preserve"> and </w:t>
      </w:r>
      <w:r>
        <w:rPr>
          <w:rStyle w:val="RegEvalTextChar"/>
        </w:rPr>
        <w:t>audit report;</w:t>
      </w:r>
    </w:p>
    <w:p w:rsidR="00D9343C" w:rsidP="004E4C0D" w14:paraId="2F8C3D28" w14:textId="545DB0AA">
      <w:pPr>
        <w:pStyle w:val="ListParagraph"/>
        <w:numPr>
          <w:ilvl w:val="0"/>
          <w:numId w:val="29"/>
        </w:numPr>
        <w:rPr>
          <w:rStyle w:val="RegEvalTextChar"/>
        </w:rPr>
      </w:pPr>
      <w:r>
        <w:rPr>
          <w:rStyle w:val="RegEvalTextChar"/>
        </w:rPr>
        <w:t>Supplemental submissions;</w:t>
      </w:r>
    </w:p>
    <w:p w:rsidR="00D9343C" w:rsidP="004E4C0D" w14:paraId="321300EC" w14:textId="373DC5EC">
      <w:pPr>
        <w:pStyle w:val="ListParagraph"/>
        <w:numPr>
          <w:ilvl w:val="0"/>
          <w:numId w:val="29"/>
        </w:numPr>
        <w:rPr>
          <w:rStyle w:val="RegEvalTextChar"/>
        </w:rPr>
      </w:pPr>
      <w:r>
        <w:rPr>
          <w:rStyle w:val="RegEvalTextChar"/>
        </w:rPr>
        <w:t xml:space="preserve">Request for reconsideration of </w:t>
      </w:r>
      <w:r w:rsidR="009441A4">
        <w:rPr>
          <w:rStyle w:val="RegEvalTextChar"/>
        </w:rPr>
        <w:t xml:space="preserve">denied </w:t>
      </w:r>
      <w:r>
        <w:rPr>
          <w:rStyle w:val="RegEvalTextChar"/>
        </w:rPr>
        <w:t>applications;</w:t>
      </w:r>
    </w:p>
    <w:p w:rsidR="00D9343C" w:rsidP="004E4C0D" w14:paraId="1E172BF6" w14:textId="2ECD968D">
      <w:pPr>
        <w:pStyle w:val="ListParagraph"/>
        <w:numPr>
          <w:ilvl w:val="0"/>
          <w:numId w:val="29"/>
        </w:numPr>
        <w:rPr>
          <w:rStyle w:val="RegEvalTextChar"/>
        </w:rPr>
      </w:pPr>
      <w:r>
        <w:rPr>
          <w:rStyle w:val="RegEvalTextChar"/>
        </w:rPr>
        <w:t>Re-application</w:t>
      </w:r>
      <w:r>
        <w:rPr>
          <w:rStyle w:val="RegEvalTextChar"/>
        </w:rPr>
        <w:t>;</w:t>
      </w:r>
    </w:p>
    <w:p w:rsidR="00D9343C" w:rsidP="004E4C0D" w14:paraId="79FE481E" w14:textId="707F0304">
      <w:pPr>
        <w:pStyle w:val="ListParagraph"/>
        <w:numPr>
          <w:ilvl w:val="0"/>
          <w:numId w:val="29"/>
        </w:numPr>
        <w:rPr>
          <w:rStyle w:val="RegEvalTextChar"/>
        </w:rPr>
      </w:pPr>
      <w:r>
        <w:rPr>
          <w:rStyle w:val="RegEvalTextChar"/>
        </w:rPr>
        <w:t xml:space="preserve">Reporting </w:t>
      </w:r>
      <w:r w:rsidR="009441A4">
        <w:rPr>
          <w:rStyle w:val="RegEvalTextChar"/>
        </w:rPr>
        <w:t>of</w:t>
      </w:r>
      <w:r>
        <w:rPr>
          <w:rStyle w:val="RegEvalTextChar"/>
        </w:rPr>
        <w:t xml:space="preserve"> </w:t>
      </w:r>
      <w:r w:rsidRPr="00CA2315">
        <w:rPr>
          <w:rFonts w:eastAsia="Calibri" w:cs="Times New Roman"/>
          <w:szCs w:val="24"/>
        </w:rPr>
        <w:t>significant modifications to mDL issuance processes</w:t>
      </w:r>
      <w:r>
        <w:rPr>
          <w:rFonts w:eastAsia="Calibri" w:cs="Times New Roman"/>
          <w:szCs w:val="24"/>
        </w:rPr>
        <w:t>;</w:t>
      </w:r>
    </w:p>
    <w:p w:rsidR="00D9343C" w:rsidP="004E4C0D" w14:paraId="2B21993E" w14:textId="3F55BC12">
      <w:pPr>
        <w:pStyle w:val="ListParagraph"/>
        <w:numPr>
          <w:ilvl w:val="0"/>
          <w:numId w:val="29"/>
        </w:numPr>
        <w:rPr>
          <w:rStyle w:val="RegEvalTextChar"/>
        </w:rPr>
      </w:pPr>
      <w:r w:rsidRPr="00CA2315">
        <w:rPr>
          <w:bCs/>
        </w:rPr>
        <w:t>Reporting of significant cyber incident or breach</w:t>
      </w:r>
      <w:r>
        <w:rPr>
          <w:bCs/>
        </w:rPr>
        <w:t>; and</w:t>
      </w:r>
    </w:p>
    <w:p w:rsidR="00D9343C" w:rsidP="004E4C0D" w14:paraId="43009A31" w14:textId="521EB653">
      <w:pPr>
        <w:pStyle w:val="ListParagraph"/>
        <w:numPr>
          <w:ilvl w:val="0"/>
          <w:numId w:val="29"/>
        </w:numPr>
        <w:rPr>
          <w:rStyle w:val="RegEvalTextChar"/>
        </w:rPr>
      </w:pPr>
      <w:r>
        <w:rPr>
          <w:bCs/>
        </w:rPr>
        <w:t xml:space="preserve">Responses to </w:t>
      </w:r>
      <w:r w:rsidR="00426579">
        <w:rPr>
          <w:bCs/>
        </w:rPr>
        <w:t>TSA</w:t>
      </w:r>
      <w:r>
        <w:rPr>
          <w:bCs/>
        </w:rPr>
        <w:t xml:space="preserve"> notices of suspension or termination.</w:t>
      </w:r>
    </w:p>
    <w:p w:rsidR="00FD5F84" w:rsidP="00FD5F84" w14:paraId="09282C43" w14:textId="77777777">
      <w:pPr>
        <w:ind w:left="360"/>
        <w:rPr>
          <w:rStyle w:val="RegEvalTextChar"/>
        </w:rPr>
      </w:pPr>
    </w:p>
    <w:p w:rsidR="00BD430B" w:rsidP="00341316" w14:paraId="6536AD60" w14:textId="097FAC1D">
      <w:pPr>
        <w:ind w:left="360"/>
      </w:pPr>
      <w:r w:rsidRPr="00D82898">
        <w:t xml:space="preserve">All </w:t>
      </w:r>
      <w:r w:rsidR="00A1161B">
        <w:t>50</w:t>
      </w:r>
      <w:r w:rsidRPr="00D82898" w:rsidR="00A1161B">
        <w:t xml:space="preserve"> </w:t>
      </w:r>
      <w:r w:rsidR="009B48E3">
        <w:t>St</w:t>
      </w:r>
      <w:r>
        <w:t>ate</w:t>
      </w:r>
      <w:r w:rsidRPr="00D82898">
        <w:t>s, the Di</w:t>
      </w:r>
      <w:r w:rsidR="009B48E3">
        <w:t>st</w:t>
      </w:r>
      <w:r w:rsidRPr="00D82898">
        <w:t xml:space="preserve">rict of Columbia, and five territories (collectively </w:t>
      </w:r>
      <w:r w:rsidR="000C31E3">
        <w:t>“S</w:t>
      </w:r>
      <w:r w:rsidR="009B48E3">
        <w:t>t</w:t>
      </w:r>
      <w:r w:rsidRPr="00D82898">
        <w:t>ates</w:t>
      </w:r>
      <w:r w:rsidR="000C31E3">
        <w:t>”</w:t>
      </w:r>
      <w:r w:rsidRPr="00D82898">
        <w:t>) are eligi</w:t>
      </w:r>
      <w:r>
        <w:t xml:space="preserve">ble to </w:t>
      </w:r>
      <w:r w:rsidR="00341316">
        <w:t xml:space="preserve">voluntarily </w:t>
      </w:r>
      <w:r>
        <w:t>apply for a</w:t>
      </w:r>
      <w:r w:rsidR="00AA7F68">
        <w:t>n</w:t>
      </w:r>
      <w:r>
        <w:t xml:space="preserve"> mDL waiver.  However, </w:t>
      </w:r>
      <w:r w:rsidR="00426579">
        <w:t>TSA</w:t>
      </w:r>
      <w:r w:rsidRPr="009E2EC7">
        <w:t xml:space="preserve"> assumes that not all </w:t>
      </w:r>
      <w:r w:rsidR="000C31E3">
        <w:t>State</w:t>
      </w:r>
      <w:r w:rsidRPr="009E2EC7">
        <w:t>s eligible</w:t>
      </w:r>
      <w:r>
        <w:t xml:space="preserve"> for the mDL waiver </w:t>
      </w:r>
      <w:r w:rsidR="007D04FB">
        <w:t>will</w:t>
      </w:r>
      <w:r>
        <w:t xml:space="preserve"> apply.</w:t>
      </w:r>
      <w:r w:rsidRPr="009E2EC7">
        <w:t xml:space="preserve"> </w:t>
      </w:r>
      <w:r>
        <w:t xml:space="preserve"> Some </w:t>
      </w:r>
      <w:r w:rsidR="000C31E3">
        <w:t>State</w:t>
      </w:r>
      <w:r>
        <w:t>s</w:t>
      </w:r>
      <w:r w:rsidRPr="009E2EC7">
        <w:t xml:space="preserve"> have not taken action towards mDL implementation, </w:t>
      </w:r>
      <w:r>
        <w:t xml:space="preserve">and there may be </w:t>
      </w:r>
      <w:r w:rsidR="000C31E3">
        <w:t>State</w:t>
      </w:r>
      <w:r>
        <w:t xml:space="preserve">s </w:t>
      </w:r>
      <w:r w:rsidRPr="009E2EC7">
        <w:t xml:space="preserve">whose </w:t>
      </w:r>
      <w:r>
        <w:t xml:space="preserve">mDL </w:t>
      </w:r>
      <w:r w:rsidR="00EF7ACC">
        <w:t xml:space="preserve">issuance </w:t>
      </w:r>
      <w:r w:rsidR="008C5FFE">
        <w:t xml:space="preserve">processes and IT </w:t>
      </w:r>
      <w:r w:rsidR="00EF7ACC">
        <w:t xml:space="preserve">systems </w:t>
      </w:r>
      <w:r>
        <w:t xml:space="preserve">or philosophy </w:t>
      </w:r>
      <w:r w:rsidR="007D04FB">
        <w:t>will</w:t>
      </w:r>
      <w:r>
        <w:t xml:space="preserve"> lend them towards </w:t>
      </w:r>
      <w:r w:rsidRPr="009E2EC7">
        <w:t>wait</w:t>
      </w:r>
      <w:r>
        <w:t>ing</w:t>
      </w:r>
      <w:r w:rsidRPr="009E2EC7">
        <w:t xml:space="preserve"> until the mDL ecosy</w:t>
      </w:r>
      <w:r w:rsidR="009B48E3">
        <w:t>st</w:t>
      </w:r>
      <w:r w:rsidRPr="009E2EC7">
        <w:t>em is more fully developed</w:t>
      </w:r>
      <w:r>
        <w:t xml:space="preserve">.  </w:t>
      </w:r>
      <w:r w:rsidR="00341316">
        <w:t xml:space="preserve">As a result, </w:t>
      </w:r>
      <w:r w:rsidR="00426579">
        <w:t>TSA</w:t>
      </w:r>
      <w:r>
        <w:t xml:space="preserve"> believes some, but not all, </w:t>
      </w:r>
      <w:r w:rsidR="000C31E3">
        <w:t>State</w:t>
      </w:r>
      <w:r>
        <w:t xml:space="preserve">s </w:t>
      </w:r>
      <w:r w:rsidR="00341316">
        <w:t>will</w:t>
      </w:r>
      <w:r>
        <w:t xml:space="preserve"> reque</w:t>
      </w:r>
      <w:r w:rsidR="009B48E3">
        <w:t>st</w:t>
      </w:r>
      <w:r>
        <w:t xml:space="preserve"> a</w:t>
      </w:r>
      <w:r w:rsidR="00AA7F68">
        <w:t>n</w:t>
      </w:r>
      <w:r>
        <w:t xml:space="preserve"> mDL waiver.</w:t>
      </w:r>
      <w:r w:rsidR="00341316">
        <w:t xml:space="preserve">  Specifically</w:t>
      </w:r>
      <w:r w:rsidRPr="009E2EC7">
        <w:t xml:space="preserve">, </w:t>
      </w:r>
      <w:r w:rsidR="00426579">
        <w:t>TSA</w:t>
      </w:r>
      <w:r w:rsidRPr="009E2EC7">
        <w:t xml:space="preserve"> assumes</w:t>
      </w:r>
      <w:r w:rsidRPr="00875D5E">
        <w:t xml:space="preserve"> </w:t>
      </w:r>
      <w:r>
        <w:t>15</w:t>
      </w:r>
      <w:r w:rsidRPr="00875D5E">
        <w:t xml:space="preserve"> </w:t>
      </w:r>
      <w:r w:rsidR="000C31E3">
        <w:t>State</w:t>
      </w:r>
      <w:r w:rsidRPr="00875D5E">
        <w:t xml:space="preserve">s </w:t>
      </w:r>
      <w:r w:rsidR="007D04FB">
        <w:t>will</w:t>
      </w:r>
      <w:r w:rsidRPr="00875D5E">
        <w:t xml:space="preserve"> apply for a</w:t>
      </w:r>
      <w:r w:rsidR="00AA7F68">
        <w:t>n</w:t>
      </w:r>
      <w:r w:rsidRPr="00875D5E">
        <w:t xml:space="preserve"> mDL waiver in </w:t>
      </w:r>
      <w:r w:rsidR="00EE36A8">
        <w:t>y</w:t>
      </w:r>
      <w:r w:rsidRPr="00875D5E">
        <w:t xml:space="preserve">ear 1 of the analysis, </w:t>
      </w:r>
      <w:r>
        <w:t>10</w:t>
      </w:r>
      <w:r w:rsidRPr="00875D5E">
        <w:t xml:space="preserve"> </w:t>
      </w:r>
      <w:r w:rsidR="000C31E3">
        <w:t>State</w:t>
      </w:r>
      <w:r w:rsidRPr="00875D5E">
        <w:t xml:space="preserve">s in </w:t>
      </w:r>
      <w:r w:rsidR="00EE36A8">
        <w:t>y</w:t>
      </w:r>
      <w:r w:rsidRPr="00875D5E">
        <w:t xml:space="preserve">ear 2, and </w:t>
      </w:r>
      <w:r>
        <w:t>5</w:t>
      </w:r>
      <w:r w:rsidRPr="00875D5E">
        <w:t xml:space="preserve"> </w:t>
      </w:r>
      <w:r w:rsidR="000C31E3">
        <w:t>State</w:t>
      </w:r>
      <w:r>
        <w:t xml:space="preserve">s in </w:t>
      </w:r>
      <w:r w:rsidR="00EE36A8">
        <w:t>y</w:t>
      </w:r>
      <w:r>
        <w:t>ear</w:t>
      </w:r>
      <w:r w:rsidRPr="009E2EC7">
        <w:t xml:space="preserve"> 3</w:t>
      </w:r>
      <w:r w:rsidR="00952BDF">
        <w:t>, a total of 30 responses over a three</w:t>
      </w:r>
      <w:r w:rsidR="0085192D">
        <w:t>-</w:t>
      </w:r>
      <w:r w:rsidR="00952BDF">
        <w:t xml:space="preserve">year period and </w:t>
      </w:r>
      <w:r w:rsidR="00D259C8">
        <w:t xml:space="preserve">an average of </w:t>
      </w:r>
      <w:r w:rsidR="00952BDF">
        <w:t>10 annual responses</w:t>
      </w:r>
      <w:r w:rsidRPr="009E2EC7">
        <w:t>.</w:t>
      </w:r>
    </w:p>
    <w:p w:rsidR="00BD430B" w:rsidP="00BD430B" w14:paraId="7DA62E10" w14:textId="77777777">
      <w:pPr>
        <w:ind w:left="360"/>
      </w:pPr>
    </w:p>
    <w:p w:rsidR="00BD430B" w:rsidP="00BD430B" w14:paraId="6B42151E" w14:textId="4F3D6976">
      <w:pPr>
        <w:ind w:left="360"/>
      </w:pPr>
      <w:r w:rsidRPr="00680E8C">
        <w:t xml:space="preserve">After submission of the </w:t>
      </w:r>
      <w:r>
        <w:t xml:space="preserve">mDL </w:t>
      </w:r>
      <w:r w:rsidRPr="00680E8C">
        <w:t xml:space="preserve">waiver application and </w:t>
      </w:r>
      <w:r>
        <w:t xml:space="preserve">a </w:t>
      </w:r>
      <w:r w:rsidR="00426579">
        <w:t>TSA</w:t>
      </w:r>
      <w:r w:rsidRPr="00680E8C">
        <w:t xml:space="preserve"> review, </w:t>
      </w:r>
      <w:r w:rsidR="00426579">
        <w:t>TSA</w:t>
      </w:r>
      <w:r w:rsidRPr="00680E8C">
        <w:t xml:space="preserve"> can make one of three determinations on the reque</w:t>
      </w:r>
      <w:r w:rsidR="009B48E3">
        <w:t>st</w:t>
      </w:r>
      <w:r w:rsidRPr="00680E8C">
        <w:t xml:space="preserve"> for a</w:t>
      </w:r>
      <w:r w:rsidR="00AA7F68">
        <w:t>n</w:t>
      </w:r>
      <w:r w:rsidRPr="00680E8C">
        <w:t xml:space="preserve"> </w:t>
      </w:r>
      <w:r>
        <w:t xml:space="preserve">mDL </w:t>
      </w:r>
      <w:r w:rsidRPr="00680E8C">
        <w:t xml:space="preserve">waiver: approval, insufficient, or denial. </w:t>
      </w:r>
      <w:r>
        <w:t xml:space="preserve"> </w:t>
      </w:r>
      <w:r w:rsidR="009B48E3">
        <w:t>St</w:t>
      </w:r>
      <w:r>
        <w:t>ates</w:t>
      </w:r>
      <w:r w:rsidRPr="00680E8C">
        <w:t xml:space="preserve"> </w:t>
      </w:r>
      <w:r w:rsidR="00341316">
        <w:t xml:space="preserve">can </w:t>
      </w:r>
      <w:r w:rsidRPr="00680E8C">
        <w:t xml:space="preserve">amend an insufficient waiver application and resubmit for </w:t>
      </w:r>
      <w:r w:rsidR="00426579">
        <w:t>TSA</w:t>
      </w:r>
      <w:r w:rsidRPr="00680E8C">
        <w:t xml:space="preserve"> review</w:t>
      </w:r>
      <w:r w:rsidR="00B67394">
        <w:t xml:space="preserve"> or submit a new application if the initial application is denied</w:t>
      </w:r>
      <w:r w:rsidRPr="00680E8C">
        <w:t>.</w:t>
      </w:r>
      <w:r>
        <w:t xml:space="preserve">  </w:t>
      </w:r>
      <w:r w:rsidR="00426579">
        <w:t>TSA</w:t>
      </w:r>
      <w:r w:rsidRPr="00680E8C">
        <w:t xml:space="preserve"> </w:t>
      </w:r>
      <w:r>
        <w:t>anticipates</w:t>
      </w:r>
      <w:r w:rsidRPr="00680E8C">
        <w:t xml:space="preserve"> all initial mDL waiver applications </w:t>
      </w:r>
      <w:r w:rsidR="007D04FB">
        <w:t>will</w:t>
      </w:r>
      <w:r w:rsidRPr="00680E8C">
        <w:t xml:space="preserve"> </w:t>
      </w:r>
      <w:r>
        <w:t>receive a determination of insufficient.</w:t>
      </w:r>
      <w:r w:rsidR="004D4198">
        <w:t xml:space="preserve"> </w:t>
      </w:r>
      <w:r>
        <w:t xml:space="preserve"> </w:t>
      </w:r>
      <w:r w:rsidR="00341316">
        <w:t xml:space="preserve">However, </w:t>
      </w:r>
      <w:r w:rsidR="00426579">
        <w:t>TSA</w:t>
      </w:r>
      <w:r w:rsidRPr="00680E8C">
        <w:t xml:space="preserve"> intends to work with </w:t>
      </w:r>
      <w:r w:rsidR="000C31E3">
        <w:t>State</w:t>
      </w:r>
      <w:r w:rsidRPr="00680E8C">
        <w:t xml:space="preserve">s to meet the mDL </w:t>
      </w:r>
      <w:r w:rsidR="00925D27">
        <w:t>application criteria</w:t>
      </w:r>
      <w:r>
        <w:t xml:space="preserve"> and as a result does not anticipate any applications being denied. </w:t>
      </w:r>
      <w:r w:rsidR="004D4198">
        <w:t xml:space="preserve"> </w:t>
      </w:r>
      <w:r w:rsidR="00B67394">
        <w:t xml:space="preserve">As a result, </w:t>
      </w:r>
      <w:r w:rsidR="00BE57CF">
        <w:t>States</w:t>
      </w:r>
      <w:r w:rsidR="00B67394">
        <w:t xml:space="preserve"> </w:t>
      </w:r>
      <w:r w:rsidR="007D04FB">
        <w:t>will</w:t>
      </w:r>
      <w:r w:rsidR="00B67394">
        <w:t xml:space="preserve"> not submit any new applications as a result of a denial or a request for reconsideration of a denied application.  However</w:t>
      </w:r>
      <w:r>
        <w:t xml:space="preserve">, </w:t>
      </w:r>
      <w:r w:rsidR="00426579">
        <w:t>TSA</w:t>
      </w:r>
      <w:r w:rsidRPr="00680E8C">
        <w:t xml:space="preserve"> assumes </w:t>
      </w:r>
      <w:r>
        <w:t xml:space="preserve">only </w:t>
      </w:r>
      <w:r w:rsidRPr="00680E8C">
        <w:t>90 percent of applicants will resubmit</w:t>
      </w:r>
      <w:r>
        <w:t xml:space="preserve"> their</w:t>
      </w:r>
      <w:r w:rsidRPr="00680E8C">
        <w:t xml:space="preserve"> waiver applications initially deemed insufficient</w:t>
      </w:r>
      <w:r w:rsidR="00341316">
        <w:t xml:space="preserve"> with </w:t>
      </w:r>
      <w:r>
        <w:t>the remaining percentage of applicants not continu</w:t>
      </w:r>
      <w:r w:rsidR="00341316">
        <w:t>ing</w:t>
      </w:r>
      <w:r>
        <w:t xml:space="preserve"> to pursue a</w:t>
      </w:r>
      <w:r w:rsidR="00AA7F68">
        <w:t>n</w:t>
      </w:r>
      <w:r>
        <w:t xml:space="preserve"> mDL waiver and</w:t>
      </w:r>
      <w:r w:rsidRPr="00680E8C">
        <w:t xml:space="preserve"> wait</w:t>
      </w:r>
      <w:r w:rsidR="004D4198">
        <w:t>ing</w:t>
      </w:r>
      <w:r w:rsidRPr="00680E8C">
        <w:t xml:space="preserve"> until the mDL environment </w:t>
      </w:r>
      <w:r>
        <w:t>is</w:t>
      </w:r>
      <w:r w:rsidRPr="00680E8C">
        <w:t xml:space="preserve"> more fully developed</w:t>
      </w:r>
      <w:r>
        <w:t xml:space="preserve">.  </w:t>
      </w:r>
      <w:r w:rsidR="00D259C8">
        <w:t>Therefore</w:t>
      </w:r>
      <w:r w:rsidR="00952BDF">
        <w:t xml:space="preserve">, </w:t>
      </w:r>
      <w:r w:rsidR="00426579">
        <w:t>TSA</w:t>
      </w:r>
      <w:r w:rsidRPr="003B6A4B" w:rsidR="003B6A4B">
        <w:t xml:space="preserve"> assumes 1</w:t>
      </w:r>
      <w:r w:rsidR="003B6A4B">
        <w:t>3.</w:t>
      </w:r>
      <w:r w:rsidRPr="003B6A4B" w:rsidR="003B6A4B">
        <w:t xml:space="preserve">5 States </w:t>
      </w:r>
      <w:r w:rsidR="007D04FB">
        <w:t>will</w:t>
      </w:r>
      <w:r w:rsidRPr="003B6A4B" w:rsidR="003B6A4B">
        <w:t xml:space="preserve"> </w:t>
      </w:r>
      <w:r w:rsidRPr="00680E8C" w:rsidR="003B6A4B">
        <w:t>resubmit</w:t>
      </w:r>
      <w:r w:rsidR="003B6A4B">
        <w:t xml:space="preserve"> their</w:t>
      </w:r>
      <w:r w:rsidRPr="00680E8C" w:rsidR="003B6A4B">
        <w:t xml:space="preserve"> waiver </w:t>
      </w:r>
      <w:r w:rsidR="003B6A4B">
        <w:t>applications in year 1, 9</w:t>
      </w:r>
      <w:r w:rsidRPr="003B6A4B" w:rsidR="003B6A4B">
        <w:t xml:space="preserve"> States in year 2, and </w:t>
      </w:r>
      <w:r w:rsidR="003B6A4B">
        <w:t>4.</w:t>
      </w:r>
      <w:r w:rsidRPr="003B6A4B" w:rsidR="003B6A4B">
        <w:t>5 States in year 3</w:t>
      </w:r>
      <w:r w:rsidR="00952BDF">
        <w:t>, a total of 27 responses over a three</w:t>
      </w:r>
      <w:r w:rsidR="00F32E6F">
        <w:t>-</w:t>
      </w:r>
      <w:r w:rsidR="00952BDF">
        <w:t xml:space="preserve">year period and </w:t>
      </w:r>
      <w:r w:rsidR="00F32E6F">
        <w:t xml:space="preserve">an average of </w:t>
      </w:r>
      <w:r w:rsidR="00952BDF">
        <w:t>9 annual responses</w:t>
      </w:r>
      <w:r w:rsidRPr="003B6A4B" w:rsidR="003B6A4B">
        <w:t>.</w:t>
      </w:r>
    </w:p>
    <w:p w:rsidR="00BD430B" w:rsidP="00BD430B" w14:paraId="61312319" w14:textId="77777777">
      <w:pPr>
        <w:ind w:left="360"/>
      </w:pPr>
    </w:p>
    <w:p w:rsidR="00BD430B" w:rsidP="00BD430B" w14:paraId="351C5205" w14:textId="5461AE3B">
      <w:pPr>
        <w:ind w:left="360"/>
      </w:pPr>
      <w:r>
        <w:t xml:space="preserve">A </w:t>
      </w:r>
      <w:r w:rsidR="000C31E3">
        <w:t>State</w:t>
      </w:r>
      <w:r>
        <w:t>’s mDL waiver</w:t>
      </w:r>
      <w:r w:rsidRPr="00715EB5">
        <w:t xml:space="preserve"> </w:t>
      </w:r>
      <w:r w:rsidR="007D04FB">
        <w:t>will</w:t>
      </w:r>
      <w:r w:rsidRPr="00715EB5">
        <w:t xml:space="preserve"> be </w:t>
      </w:r>
      <w:r>
        <w:t>valid for</w:t>
      </w:r>
      <w:r w:rsidRPr="00715EB5">
        <w:t xml:space="preserve"> </w:t>
      </w:r>
      <w:r w:rsidR="00F05254">
        <w:t>3</w:t>
      </w:r>
      <w:r w:rsidRPr="00715EB5" w:rsidR="00F05254">
        <w:t xml:space="preserve"> </w:t>
      </w:r>
      <w:r w:rsidRPr="00715EB5">
        <w:t>years</w:t>
      </w:r>
      <w:r>
        <w:t xml:space="preserve">.  </w:t>
      </w:r>
      <w:r w:rsidR="000C31E3">
        <w:rPr>
          <w:rStyle w:val="RegEvalTextChar"/>
        </w:rPr>
        <w:t>State</w:t>
      </w:r>
      <w:r w:rsidRPr="004800CE">
        <w:rPr>
          <w:rStyle w:val="RegEvalTextChar"/>
        </w:rPr>
        <w:t>s granted a</w:t>
      </w:r>
      <w:r w:rsidR="00F05254">
        <w:rPr>
          <w:rStyle w:val="RegEvalTextChar"/>
        </w:rPr>
        <w:t>n</w:t>
      </w:r>
      <w:r w:rsidRPr="004800CE">
        <w:rPr>
          <w:rStyle w:val="RegEvalTextChar"/>
        </w:rPr>
        <w:t xml:space="preserve"> mDL waiver in Year 1 </w:t>
      </w:r>
      <w:r w:rsidR="007D04FB">
        <w:rPr>
          <w:rStyle w:val="RegEvalTextChar"/>
        </w:rPr>
        <w:t>will</w:t>
      </w:r>
      <w:r w:rsidRPr="004800CE">
        <w:rPr>
          <w:rStyle w:val="RegEvalTextChar"/>
        </w:rPr>
        <w:t xml:space="preserve"> </w:t>
      </w:r>
      <w:r w:rsidR="008C5004">
        <w:rPr>
          <w:rStyle w:val="RegEvalTextChar"/>
        </w:rPr>
        <w:t xml:space="preserve">not </w:t>
      </w:r>
      <w:r>
        <w:rPr>
          <w:rStyle w:val="RegEvalTextChar"/>
        </w:rPr>
        <w:t xml:space="preserve">need to </w:t>
      </w:r>
      <w:r w:rsidR="00EF604C">
        <w:rPr>
          <w:rStyle w:val="RegEvalTextChar"/>
        </w:rPr>
        <w:t>submit a</w:t>
      </w:r>
      <w:r w:rsidR="00F05254">
        <w:rPr>
          <w:rStyle w:val="RegEvalTextChar"/>
        </w:rPr>
        <w:t>n</w:t>
      </w:r>
      <w:r w:rsidR="00EF604C">
        <w:rPr>
          <w:rStyle w:val="RegEvalTextChar"/>
        </w:rPr>
        <w:t xml:space="preserve"> mDL waiver reapplication</w:t>
      </w:r>
      <w:r w:rsidRPr="004800CE">
        <w:rPr>
          <w:rStyle w:val="RegEvalTextChar"/>
        </w:rPr>
        <w:t xml:space="preserve"> </w:t>
      </w:r>
      <w:r w:rsidR="008C5004">
        <w:rPr>
          <w:rStyle w:val="RegEvalTextChar"/>
        </w:rPr>
        <w:t>until</w:t>
      </w:r>
      <w:r>
        <w:rPr>
          <w:rStyle w:val="RegEvalTextChar"/>
        </w:rPr>
        <w:t xml:space="preserve"> </w:t>
      </w:r>
      <w:r>
        <w:t>Year 4 of the analysis</w:t>
      </w:r>
      <w:r w:rsidR="00D41350">
        <w:t>.</w:t>
      </w:r>
      <w:r w:rsidR="008C5004">
        <w:t xml:space="preserve"> </w:t>
      </w:r>
      <w:r w:rsidR="00F05254">
        <w:t xml:space="preserve"> </w:t>
      </w:r>
      <w:r w:rsidR="008C5004">
        <w:t>Therefore, TSA estimates</w:t>
      </w:r>
      <w:r w:rsidRPr="00CE21B1" w:rsidR="008C5004">
        <w:t xml:space="preserve"> t</w:t>
      </w:r>
      <w:r w:rsidR="008C5004">
        <w:t>here will be no reapplications</w:t>
      </w:r>
      <w:r w:rsidRPr="00CE21B1" w:rsidR="008C5004">
        <w:t xml:space="preserve"> within the three-year Paperwork Reduction Act cycle</w:t>
      </w:r>
      <w:r w:rsidR="008C5004">
        <w:t>.</w:t>
      </w:r>
    </w:p>
    <w:p w:rsidR="00BD430B" w:rsidP="00BD430B" w14:paraId="1A835ECA" w14:textId="77777777">
      <w:pPr>
        <w:ind w:left="360"/>
      </w:pPr>
    </w:p>
    <w:p w:rsidR="00BD430B" w:rsidP="00BD430B" w14:paraId="3CD81E1C" w14:textId="52767B0C">
      <w:pPr>
        <w:ind w:left="360"/>
      </w:pPr>
      <w:r>
        <w:t>TSA</w:t>
      </w:r>
      <w:r w:rsidRPr="00715EB5">
        <w:t xml:space="preserve"> technology </w:t>
      </w:r>
      <w:r>
        <w:t xml:space="preserve">subject matter experts </w:t>
      </w:r>
      <w:r w:rsidRPr="00715EB5">
        <w:t>e</w:t>
      </w:r>
      <w:r w:rsidR="009B48E3">
        <w:t>st</w:t>
      </w:r>
      <w:r w:rsidRPr="00715EB5">
        <w:t xml:space="preserve">imate that the </w:t>
      </w:r>
      <w:r w:rsidR="00F32E6F">
        <w:t xml:space="preserve">initial </w:t>
      </w:r>
      <w:r w:rsidRPr="00715EB5">
        <w:t xml:space="preserve">mDL waiver application </w:t>
      </w:r>
      <w:r w:rsidR="007D04FB">
        <w:t>will</w:t>
      </w:r>
      <w:r w:rsidRPr="00715EB5">
        <w:t xml:space="preserve"> take, on average, </w:t>
      </w:r>
      <w:r w:rsidR="00CE21B1">
        <w:t>20</w:t>
      </w:r>
      <w:r w:rsidRPr="00715EB5">
        <w:t xml:space="preserve"> hours to complete. </w:t>
      </w:r>
      <w:r>
        <w:t xml:space="preserve"> </w:t>
      </w:r>
      <w:r>
        <w:t>TSA</w:t>
      </w:r>
      <w:r w:rsidRPr="00715EB5">
        <w:t xml:space="preserve"> also e</w:t>
      </w:r>
      <w:r w:rsidR="009B48E3">
        <w:t>st</w:t>
      </w:r>
      <w:r w:rsidRPr="00715EB5">
        <w:t xml:space="preserve">imates that mDL waiver resubmissions </w:t>
      </w:r>
      <w:r w:rsidR="007D04FB">
        <w:t>will</w:t>
      </w:r>
      <w:r w:rsidRPr="00715EB5">
        <w:t xml:space="preserve"> take 25 percent of the initial mDL waiver application time</w:t>
      </w:r>
      <w:r>
        <w:t>,</w:t>
      </w:r>
      <w:r w:rsidRPr="00715EB5">
        <w:t xml:space="preserve"> which equates </w:t>
      </w:r>
      <w:r>
        <w:t xml:space="preserve">to </w:t>
      </w:r>
      <w:r w:rsidR="00CE21B1">
        <w:t>5</w:t>
      </w:r>
      <w:r>
        <w:t xml:space="preserve"> hours.</w:t>
      </w:r>
      <w:r>
        <w:rPr>
          <w:rStyle w:val="FootnoteReference"/>
        </w:rPr>
        <w:footnoteReference w:id="15"/>
      </w:r>
    </w:p>
    <w:p w:rsidR="00CE21B1" w:rsidP="00BD430B" w14:paraId="4A07F0E3" w14:textId="77777777">
      <w:pPr>
        <w:ind w:left="360"/>
      </w:pPr>
    </w:p>
    <w:p w:rsidR="00CE21B1" w:rsidP="00BD430B" w14:paraId="2DB110B4" w14:textId="2B01A091">
      <w:pPr>
        <w:ind w:left="360"/>
      </w:pPr>
      <w:r>
        <w:t>TSA</w:t>
      </w:r>
      <w:r w:rsidRPr="00CE21B1">
        <w:t xml:space="preserve"> does not possess sufficient information to e</w:t>
      </w:r>
      <w:r w:rsidR="009B48E3">
        <w:t>st</w:t>
      </w:r>
      <w:r w:rsidRPr="00CE21B1">
        <w:t xml:space="preserve">imate the frequency </w:t>
      </w:r>
      <w:r w:rsidR="00DA7898">
        <w:t xml:space="preserve">of potential or actual suspensions or terminations of a State’s mDL waiver or the frequency of reporting related to </w:t>
      </w:r>
      <w:r w:rsidRPr="00CE21B1">
        <w:t>material changes</w:t>
      </w:r>
      <w:r w:rsidR="00341316">
        <w:t xml:space="preserve"> </w:t>
      </w:r>
      <w:r w:rsidR="002E1BB0">
        <w:t xml:space="preserve">or threats to security, privacy, or data integrity.  </w:t>
      </w:r>
      <w:r>
        <w:t>TSA</w:t>
      </w:r>
      <w:r w:rsidR="00BE57CF">
        <w:t xml:space="preserve"> assumes there </w:t>
      </w:r>
      <w:r w:rsidR="007D04FB">
        <w:t>will</w:t>
      </w:r>
      <w:r w:rsidR="00BE57CF">
        <w:t xml:space="preserve"> not be more than </w:t>
      </w:r>
      <w:r w:rsidR="00F05254">
        <w:t xml:space="preserve">nine </w:t>
      </w:r>
      <w:r w:rsidR="00BE57CF">
        <w:t xml:space="preserve">collections related to reporting or responses to </w:t>
      </w:r>
      <w:r>
        <w:t>TSA</w:t>
      </w:r>
      <w:r w:rsidR="00BE57CF">
        <w:t xml:space="preserve"> notices of suspensions or terminations, and as such, these collections </w:t>
      </w:r>
      <w:r w:rsidR="007D04FB">
        <w:t>will</w:t>
      </w:r>
      <w:r w:rsidR="00BE57CF">
        <w:t xml:space="preserve"> not be subject to the </w:t>
      </w:r>
      <w:bookmarkStart w:id="3" w:name="_Hlk179297639"/>
      <w:r w:rsidRPr="00CE21B1" w:rsidR="00F05254">
        <w:t>Paperwork Reduction Act</w:t>
      </w:r>
      <w:bookmarkEnd w:id="3"/>
      <w:r w:rsidR="00BE57CF">
        <w:t xml:space="preserve">.  Events related to reporting or waiver suspensions and terminations likely have a low probability of occurrence.  In addition, </w:t>
      </w:r>
      <w:r>
        <w:t>TSA</w:t>
      </w:r>
      <w:r w:rsidR="00BE57CF">
        <w:t xml:space="preserve"> estimates only 30 States </w:t>
      </w:r>
      <w:r w:rsidR="007D04FB">
        <w:t>will</w:t>
      </w:r>
      <w:r w:rsidR="00BE57CF">
        <w:t xml:space="preserve"> submit a</w:t>
      </w:r>
      <w:r w:rsidR="00F05254">
        <w:t>n</w:t>
      </w:r>
      <w:r w:rsidR="00BE57CF">
        <w:t xml:space="preserve"> mDL waiver application over the three-year period.  </w:t>
      </w:r>
      <w:r>
        <w:t>TSA</w:t>
      </w:r>
      <w:r w:rsidR="00DA7898">
        <w:t xml:space="preserve"> </w:t>
      </w:r>
      <w:r w:rsidR="00FE48F2">
        <w:t>will provide more</w:t>
      </w:r>
      <w:r w:rsidR="00EA0386">
        <w:t xml:space="preserve"> data on the frequency and burden of suspensions, terminations, and reporting </w:t>
      </w:r>
      <w:r w:rsidR="00FE48F2">
        <w:t>upon the renewal of this information collection.</w:t>
      </w:r>
    </w:p>
    <w:p w:rsidR="00BD430B" w:rsidP="00BD430B" w14:paraId="7CDA93DE" w14:textId="77777777">
      <w:pPr>
        <w:ind w:left="360"/>
      </w:pPr>
    </w:p>
    <w:p w:rsidR="00BD430B" w:rsidP="00BD430B" w14:paraId="68679A9D" w14:textId="485B5B38">
      <w:pPr>
        <w:ind w:left="360"/>
        <w:rPr>
          <w:rFonts w:eastAsiaTheme="minorHAnsi"/>
        </w:rPr>
      </w:pPr>
      <w:r>
        <w:rPr>
          <w:rFonts w:eastAsiaTheme="minorHAnsi"/>
        </w:rPr>
        <w:t>TSA</w:t>
      </w:r>
      <w:r>
        <w:rPr>
          <w:rFonts w:eastAsiaTheme="minorHAnsi"/>
        </w:rPr>
        <w:t xml:space="preserve"> e</w:t>
      </w:r>
      <w:r w:rsidR="009B48E3">
        <w:rPr>
          <w:rFonts w:eastAsiaTheme="minorHAnsi"/>
        </w:rPr>
        <w:t>st</w:t>
      </w:r>
      <w:r>
        <w:rPr>
          <w:rFonts w:eastAsiaTheme="minorHAnsi"/>
        </w:rPr>
        <w:t>imates t</w:t>
      </w:r>
      <w:r w:rsidRPr="00FB51B1">
        <w:rPr>
          <w:rFonts w:eastAsiaTheme="minorHAnsi"/>
        </w:rPr>
        <w:t xml:space="preserve">he </w:t>
      </w:r>
      <w:r>
        <w:rPr>
          <w:rFonts w:eastAsiaTheme="minorHAnsi"/>
        </w:rPr>
        <w:t>total three-year</w:t>
      </w:r>
      <w:r w:rsidRPr="00FB51B1">
        <w:rPr>
          <w:rFonts w:eastAsiaTheme="minorHAnsi"/>
        </w:rPr>
        <w:t xml:space="preserve"> burden for </w:t>
      </w:r>
      <w:r>
        <w:rPr>
          <w:rFonts w:eastAsiaTheme="minorHAnsi"/>
        </w:rPr>
        <w:t>mDL waiver applicati</w:t>
      </w:r>
      <w:r w:rsidR="00EF604C">
        <w:rPr>
          <w:rFonts w:eastAsiaTheme="minorHAnsi"/>
        </w:rPr>
        <w:t>ons and mDL waiver resubmissions</w:t>
      </w:r>
      <w:r w:rsidRPr="00FB51B1">
        <w:rPr>
          <w:rFonts w:eastAsiaTheme="minorHAnsi"/>
        </w:rPr>
        <w:t xml:space="preserve"> is </w:t>
      </w:r>
      <w:r>
        <w:rPr>
          <w:rFonts w:eastAsiaTheme="minorHAnsi"/>
        </w:rPr>
        <w:t>57</w:t>
      </w:r>
      <w:r w:rsidRPr="00FB51B1">
        <w:rPr>
          <w:rFonts w:eastAsiaTheme="minorHAnsi"/>
        </w:rPr>
        <w:t xml:space="preserve"> responses and </w:t>
      </w:r>
      <w:r w:rsidR="009C4AE9">
        <w:rPr>
          <w:rFonts w:eastAsiaTheme="minorHAnsi"/>
        </w:rPr>
        <w:t>735</w:t>
      </w:r>
      <w:r>
        <w:rPr>
          <w:rFonts w:eastAsiaTheme="minorHAnsi"/>
        </w:rPr>
        <w:t xml:space="preserve"> </w:t>
      </w:r>
      <w:r w:rsidRPr="00FB51B1">
        <w:rPr>
          <w:rFonts w:eastAsiaTheme="minorHAnsi"/>
        </w:rPr>
        <w:t>hours.</w:t>
      </w:r>
      <w:r>
        <w:rPr>
          <w:rFonts w:eastAsiaTheme="minorHAnsi"/>
        </w:rPr>
        <w:t xml:space="preserve">  </w:t>
      </w:r>
      <w:r>
        <w:rPr>
          <w:rFonts w:eastAsiaTheme="minorHAnsi"/>
        </w:rPr>
        <w:t>TSA</w:t>
      </w:r>
      <w:r>
        <w:rPr>
          <w:rFonts w:eastAsiaTheme="minorHAnsi"/>
        </w:rPr>
        <w:t xml:space="preserve"> e</w:t>
      </w:r>
      <w:r w:rsidR="009B48E3">
        <w:rPr>
          <w:rFonts w:eastAsiaTheme="minorHAnsi"/>
        </w:rPr>
        <w:t>st</w:t>
      </w:r>
      <w:r>
        <w:rPr>
          <w:rFonts w:eastAsiaTheme="minorHAnsi"/>
        </w:rPr>
        <w:t xml:space="preserve">imates an average yearly burden of 19 responses and </w:t>
      </w:r>
      <w:r w:rsidR="009C4AE9">
        <w:rPr>
          <w:rFonts w:eastAsiaTheme="minorHAnsi"/>
        </w:rPr>
        <w:t>245</w:t>
      </w:r>
      <w:r>
        <w:rPr>
          <w:rFonts w:eastAsiaTheme="minorHAnsi"/>
        </w:rPr>
        <w:t xml:space="preserve"> hours.</w:t>
      </w:r>
    </w:p>
    <w:p w:rsidR="00BD430B" w:rsidP="00BD430B" w14:paraId="69A379AF" w14:textId="77777777">
      <w:pPr>
        <w:ind w:left="360"/>
        <w:rPr>
          <w:rFonts w:eastAsiaTheme="minorHAnsi"/>
        </w:rPr>
      </w:pPr>
    </w:p>
    <w:p w:rsidR="00BD430B" w:rsidRPr="00182B0F" w:rsidP="00BD430B" w14:paraId="3F802A0E" w14:textId="73C7422A">
      <w:pPr>
        <w:ind w:left="360"/>
      </w:pPr>
      <w:r>
        <w:t>TSA</w:t>
      </w:r>
      <w:r w:rsidRPr="00182B0F">
        <w:t xml:space="preserve"> assumes a weighted average hourly compensation rate of $</w:t>
      </w:r>
      <w:r w:rsidR="00BA0A59">
        <w:t>81.83</w:t>
      </w:r>
      <w:r>
        <w:rPr>
          <w:rStyle w:val="FootnoteReference"/>
        </w:rPr>
        <w:footnoteReference w:id="16"/>
      </w:r>
      <w:r w:rsidRPr="00182B0F">
        <w:t xml:space="preserve"> for the </w:t>
      </w:r>
      <w:r w:rsidR="000C31E3">
        <w:t>State</w:t>
      </w:r>
      <w:r w:rsidRPr="00182B0F">
        <w:t xml:space="preserve"> </w:t>
      </w:r>
      <w:r>
        <w:t>employees</w:t>
      </w:r>
      <w:r w:rsidRPr="00182B0F">
        <w:t xml:space="preserve"> that </w:t>
      </w:r>
      <w:r w:rsidR="007D04FB">
        <w:t>will</w:t>
      </w:r>
      <w:r w:rsidRPr="00182B0F">
        <w:t xml:space="preserve"> submit the information collections. </w:t>
      </w:r>
      <w:r>
        <w:t xml:space="preserve"> </w:t>
      </w:r>
      <w:r>
        <w:t>TSA</w:t>
      </w:r>
      <w:r w:rsidRPr="00182B0F">
        <w:t xml:space="preserve"> e</w:t>
      </w:r>
      <w:r w:rsidR="009B48E3">
        <w:t>st</w:t>
      </w:r>
      <w:r w:rsidRPr="00182B0F">
        <w:t xml:space="preserve">imates </w:t>
      </w:r>
      <w:r w:rsidR="000C31E3">
        <w:t>State</w:t>
      </w:r>
      <w:r w:rsidRPr="00182B0F">
        <w:t xml:space="preserve">s </w:t>
      </w:r>
      <w:r w:rsidR="007D04FB">
        <w:t>will</w:t>
      </w:r>
      <w:r w:rsidRPr="00182B0F">
        <w:t xml:space="preserve"> incur a total co</w:t>
      </w:r>
      <w:r w:rsidR="009B48E3">
        <w:t>st</w:t>
      </w:r>
      <w:r w:rsidRPr="00182B0F">
        <w:t xml:space="preserve"> of $</w:t>
      </w:r>
      <w:r w:rsidR="00FC38F4">
        <w:t>60,147</w:t>
      </w:r>
      <w:r w:rsidRPr="00182B0F">
        <w:t xml:space="preserve"> to submit the information collections in the fir</w:t>
      </w:r>
      <w:r w:rsidR="009B48E3">
        <w:t>st</w:t>
      </w:r>
      <w:r w:rsidRPr="00182B0F">
        <w:t xml:space="preserve"> </w:t>
      </w:r>
      <w:r w:rsidR="00F05254">
        <w:t>3</w:t>
      </w:r>
      <w:r w:rsidRPr="00182B0F" w:rsidR="00F05254">
        <w:t xml:space="preserve"> </w:t>
      </w:r>
      <w:r w:rsidRPr="00182B0F">
        <w:t xml:space="preserve">years of the analysis. </w:t>
      </w:r>
      <w:r>
        <w:t xml:space="preserve"> </w:t>
      </w:r>
      <w:r w:rsidRPr="00182B0F">
        <w:t>This equates to an annual average co</w:t>
      </w:r>
      <w:r w:rsidR="009B48E3">
        <w:t>st</w:t>
      </w:r>
      <w:r w:rsidRPr="00182B0F">
        <w:t xml:space="preserve"> of $</w:t>
      </w:r>
      <w:r w:rsidR="00FC38F4">
        <w:t>20,049</w:t>
      </w:r>
      <w:r w:rsidRPr="00182B0F">
        <w:t>.</w:t>
      </w:r>
      <w:r w:rsidRPr="001E5CA1">
        <w:rPr>
          <w:rStyle w:val="RegEvalTextChar"/>
        </w:rPr>
        <w:t xml:space="preserve"> </w:t>
      </w:r>
      <w:r w:rsidR="009C4AE9">
        <w:rPr>
          <w:rStyle w:val="RegEvalTextChar"/>
        </w:rPr>
        <w:t xml:space="preserve"> </w:t>
      </w:r>
      <w:r>
        <w:rPr>
          <w:rStyle w:val="RegEvalTextChar"/>
        </w:rPr>
        <w:t>Details of the calculations can be found in the following table.</w:t>
      </w:r>
    </w:p>
    <w:p w:rsidR="00BD430B" w:rsidP="00BD430B" w14:paraId="32DA421D" w14:textId="77777777">
      <w:pPr>
        <w:ind w:left="360"/>
      </w:pPr>
    </w:p>
    <w:p w:rsidR="00BD430B" w:rsidRPr="00AA7F68" w:rsidP="00BD430B" w14:paraId="7A272301" w14:textId="77777777">
      <w:pPr>
        <w:ind w:left="360"/>
        <w:rPr>
          <w:rFonts w:ascii="Arial" w:hAnsi="Arial"/>
          <w:b/>
          <w:color w:val="auto"/>
          <w:sz w:val="20"/>
        </w:rPr>
      </w:pPr>
      <w:r w:rsidRPr="00AA7F68">
        <w:rPr>
          <w:rFonts w:ascii="Arial" w:hAnsi="Arial"/>
          <w:b/>
          <w:color w:val="auto"/>
          <w:sz w:val="20"/>
        </w:rPr>
        <w:t>Table 1: Information Collection Responses, Burden Hours, and Burden Co</w:t>
      </w:r>
      <w:r w:rsidRPr="00AA7F68" w:rsidR="009B48E3">
        <w:rPr>
          <w:rFonts w:ascii="Arial" w:hAnsi="Arial"/>
          <w:b/>
          <w:color w:val="auto"/>
          <w:sz w:val="20"/>
        </w:rPr>
        <w:t>st</w:t>
      </w:r>
      <w:r w:rsidRPr="00AA7F68">
        <w:rPr>
          <w:rFonts w:ascii="Arial" w:hAnsi="Arial"/>
          <w:b/>
          <w:color w:val="auto"/>
          <w:sz w:val="20"/>
        </w:rPr>
        <w:t>s</w:t>
      </w:r>
    </w:p>
    <w:tbl>
      <w:tblPr>
        <w:tblW w:w="9340" w:type="dxa"/>
        <w:tblLook w:val="04A0"/>
      </w:tblPr>
      <w:tblGrid>
        <w:gridCol w:w="1006"/>
        <w:gridCol w:w="1511"/>
        <w:gridCol w:w="1730"/>
        <w:gridCol w:w="1283"/>
        <w:gridCol w:w="1401"/>
        <w:gridCol w:w="1221"/>
        <w:gridCol w:w="1188"/>
      </w:tblGrid>
      <w:tr w14:paraId="691361AE" w14:textId="77777777" w:rsidTr="00F05254">
        <w:tblPrEx>
          <w:tblW w:w="9340" w:type="dxa"/>
          <w:tblLook w:val="04A0"/>
        </w:tblPrEx>
        <w:trPr>
          <w:trHeight w:val="432"/>
        </w:trPr>
        <w:tc>
          <w:tcPr>
            <w:tcW w:w="100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D0E59" w:rsidRPr="00F05254" w:rsidP="00DD0E59" w14:paraId="4A76E0B6" w14:textId="77777777">
            <w:pPr>
              <w:jc w:val="center"/>
              <w:rPr>
                <w:rFonts w:ascii="Arial" w:hAnsi="Arial"/>
                <w:b/>
                <w:bCs/>
                <w:sz w:val="18"/>
                <w:szCs w:val="18"/>
              </w:rPr>
            </w:pPr>
            <w:r w:rsidRPr="00F05254">
              <w:rPr>
                <w:rFonts w:ascii="Arial" w:hAnsi="Arial"/>
                <w:b/>
                <w:bCs/>
                <w:sz w:val="18"/>
                <w:szCs w:val="18"/>
              </w:rPr>
              <w:t>Year</w:t>
            </w:r>
          </w:p>
        </w:tc>
        <w:tc>
          <w:tcPr>
            <w:tcW w:w="452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0E59" w:rsidRPr="00F05254" w:rsidP="00DD0E59" w14:paraId="4D978FFE" w14:textId="77777777">
            <w:pPr>
              <w:jc w:val="center"/>
              <w:rPr>
                <w:rFonts w:ascii="Arial" w:hAnsi="Arial"/>
                <w:b/>
                <w:bCs/>
                <w:sz w:val="18"/>
                <w:szCs w:val="18"/>
              </w:rPr>
            </w:pPr>
            <w:r w:rsidRPr="00F05254">
              <w:rPr>
                <w:rFonts w:ascii="Arial" w:hAnsi="Arial"/>
                <w:b/>
                <w:bCs/>
                <w:sz w:val="18"/>
                <w:szCs w:val="18"/>
              </w:rPr>
              <w:t>Collection Activity</w:t>
            </w:r>
            <w:r>
              <w:rPr>
                <w:rStyle w:val="FootnoteReference"/>
                <w:rFonts w:ascii="Arial" w:hAnsi="Arial" w:cs="Arial"/>
                <w:b/>
                <w:bCs/>
                <w:sz w:val="18"/>
                <w:szCs w:val="18"/>
              </w:rPr>
              <w:footnoteReference w:id="17"/>
            </w:r>
          </w:p>
        </w:tc>
        <w:tc>
          <w:tcPr>
            <w:tcW w:w="1401" w:type="dxa"/>
            <w:vMerge w:val="restart"/>
            <w:tcBorders>
              <w:top w:val="single" w:sz="8" w:space="0" w:color="auto"/>
              <w:left w:val="single" w:sz="8" w:space="0" w:color="auto"/>
              <w:bottom w:val="nil"/>
              <w:right w:val="single" w:sz="8" w:space="0" w:color="auto"/>
            </w:tcBorders>
            <w:shd w:val="clear" w:color="auto" w:fill="auto"/>
            <w:vAlign w:val="center"/>
            <w:hideMark/>
          </w:tcPr>
          <w:p w:rsidR="00DD0E59" w:rsidRPr="00F05254" w:rsidP="00DD0E59" w14:paraId="4A7BD000" w14:textId="77777777">
            <w:pPr>
              <w:jc w:val="center"/>
              <w:rPr>
                <w:rFonts w:ascii="Arial" w:hAnsi="Arial"/>
                <w:b/>
                <w:bCs/>
                <w:sz w:val="18"/>
                <w:szCs w:val="18"/>
              </w:rPr>
            </w:pPr>
            <w:r w:rsidRPr="00F05254">
              <w:rPr>
                <w:rFonts w:ascii="Arial" w:hAnsi="Arial"/>
                <w:b/>
                <w:bCs/>
                <w:sz w:val="18"/>
                <w:szCs w:val="18"/>
              </w:rPr>
              <w:t>Total Burden Hours</w:t>
            </w:r>
          </w:p>
        </w:tc>
        <w:tc>
          <w:tcPr>
            <w:tcW w:w="122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D0E59" w:rsidRPr="00F05254" w:rsidP="00DD0E59" w14:paraId="0AE769D8" w14:textId="77777777">
            <w:pPr>
              <w:jc w:val="center"/>
              <w:rPr>
                <w:rFonts w:ascii="Arial" w:hAnsi="Arial"/>
                <w:b/>
                <w:bCs/>
                <w:sz w:val="18"/>
                <w:szCs w:val="18"/>
              </w:rPr>
            </w:pPr>
            <w:r w:rsidRPr="00F05254">
              <w:rPr>
                <w:rFonts w:ascii="Arial" w:hAnsi="Arial"/>
                <w:b/>
                <w:bCs/>
                <w:sz w:val="18"/>
                <w:szCs w:val="18"/>
              </w:rPr>
              <w:t>Wage Rate</w:t>
            </w:r>
          </w:p>
        </w:tc>
        <w:tc>
          <w:tcPr>
            <w:tcW w:w="118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DD0E59" w:rsidRPr="00F05254" w:rsidP="00DD0E59" w14:paraId="6AD42EC6" w14:textId="77777777">
            <w:pPr>
              <w:jc w:val="center"/>
              <w:rPr>
                <w:rFonts w:ascii="Arial" w:hAnsi="Arial"/>
                <w:b/>
                <w:bCs/>
                <w:sz w:val="18"/>
                <w:szCs w:val="18"/>
              </w:rPr>
            </w:pPr>
            <w:r w:rsidRPr="00F05254">
              <w:rPr>
                <w:rFonts w:ascii="Arial" w:hAnsi="Arial"/>
                <w:b/>
                <w:bCs/>
                <w:sz w:val="18"/>
                <w:szCs w:val="18"/>
              </w:rPr>
              <w:t>Time Burden Co</w:t>
            </w:r>
            <w:r w:rsidRPr="00F05254" w:rsidR="009B48E3">
              <w:rPr>
                <w:rFonts w:ascii="Arial" w:hAnsi="Arial"/>
                <w:b/>
                <w:bCs/>
                <w:sz w:val="18"/>
                <w:szCs w:val="18"/>
              </w:rPr>
              <w:t>st</w:t>
            </w:r>
          </w:p>
        </w:tc>
      </w:tr>
      <w:tr w14:paraId="595D4D50" w14:textId="77777777" w:rsidTr="00F05254">
        <w:tblPrEx>
          <w:tblW w:w="9340" w:type="dxa"/>
          <w:tblLook w:val="04A0"/>
        </w:tblPrEx>
        <w:trPr>
          <w:trHeight w:val="530"/>
        </w:trPr>
        <w:tc>
          <w:tcPr>
            <w:tcW w:w="1006" w:type="dxa"/>
            <w:vMerge/>
            <w:tcBorders>
              <w:top w:val="single" w:sz="8" w:space="0" w:color="auto"/>
              <w:left w:val="single" w:sz="8" w:space="0" w:color="auto"/>
              <w:bottom w:val="single" w:sz="8" w:space="0" w:color="000000"/>
              <w:right w:val="single" w:sz="8" w:space="0" w:color="auto"/>
            </w:tcBorders>
            <w:vAlign w:val="center"/>
            <w:hideMark/>
          </w:tcPr>
          <w:p w:rsidR="00DD0E59" w:rsidRPr="00F05254" w:rsidP="00DD0E59" w14:paraId="279744E0" w14:textId="77777777">
            <w:pPr>
              <w:rPr>
                <w:rFonts w:ascii="Arial" w:hAnsi="Arial"/>
                <w:b/>
                <w:bCs/>
                <w:sz w:val="18"/>
                <w:szCs w:val="18"/>
              </w:rPr>
            </w:pPr>
          </w:p>
        </w:tc>
        <w:tc>
          <w:tcPr>
            <w:tcW w:w="1511" w:type="dxa"/>
            <w:tcBorders>
              <w:top w:val="nil"/>
              <w:left w:val="nil"/>
              <w:bottom w:val="nil"/>
              <w:right w:val="nil"/>
            </w:tcBorders>
            <w:shd w:val="clear" w:color="auto" w:fill="auto"/>
            <w:vAlign w:val="center"/>
            <w:hideMark/>
          </w:tcPr>
          <w:p w:rsidR="00DD0E59" w:rsidRPr="00F05254" w:rsidP="00DD0E59" w14:paraId="713A1818" w14:textId="77777777">
            <w:pPr>
              <w:jc w:val="center"/>
              <w:rPr>
                <w:rFonts w:ascii="Arial" w:hAnsi="Arial"/>
                <w:b/>
                <w:bCs/>
                <w:sz w:val="18"/>
                <w:szCs w:val="18"/>
              </w:rPr>
            </w:pPr>
            <w:r w:rsidRPr="00F05254">
              <w:rPr>
                <w:rFonts w:ascii="Arial" w:hAnsi="Arial"/>
                <w:b/>
                <w:bCs/>
                <w:sz w:val="18"/>
                <w:szCs w:val="18"/>
              </w:rPr>
              <w:t>Waiver Applications</w:t>
            </w:r>
          </w:p>
        </w:tc>
        <w:tc>
          <w:tcPr>
            <w:tcW w:w="1730" w:type="dxa"/>
            <w:tcBorders>
              <w:top w:val="nil"/>
              <w:left w:val="single" w:sz="8" w:space="0" w:color="auto"/>
              <w:bottom w:val="nil"/>
              <w:right w:val="single" w:sz="8" w:space="0" w:color="auto"/>
            </w:tcBorders>
            <w:shd w:val="clear" w:color="auto" w:fill="auto"/>
            <w:vAlign w:val="center"/>
            <w:hideMark/>
          </w:tcPr>
          <w:p w:rsidR="00DD0E59" w:rsidRPr="00F05254" w:rsidP="00DD0E59" w14:paraId="5CBB3EF0" w14:textId="77777777">
            <w:pPr>
              <w:jc w:val="center"/>
              <w:rPr>
                <w:rFonts w:ascii="Arial" w:hAnsi="Arial"/>
                <w:b/>
                <w:bCs/>
                <w:sz w:val="18"/>
                <w:szCs w:val="18"/>
              </w:rPr>
            </w:pPr>
            <w:r w:rsidRPr="00F05254">
              <w:rPr>
                <w:rFonts w:ascii="Arial" w:hAnsi="Arial"/>
                <w:b/>
                <w:bCs/>
                <w:sz w:val="18"/>
                <w:szCs w:val="18"/>
              </w:rPr>
              <w:t>Waiver Resubmissions</w:t>
            </w:r>
          </w:p>
        </w:tc>
        <w:tc>
          <w:tcPr>
            <w:tcW w:w="1283" w:type="dxa"/>
            <w:tcBorders>
              <w:top w:val="nil"/>
              <w:left w:val="nil"/>
              <w:bottom w:val="nil"/>
              <w:right w:val="nil"/>
            </w:tcBorders>
            <w:shd w:val="clear" w:color="auto" w:fill="auto"/>
            <w:vAlign w:val="center"/>
            <w:hideMark/>
          </w:tcPr>
          <w:p w:rsidR="00DD0E59" w:rsidRPr="00F05254" w:rsidP="00DD0E59" w14:paraId="166A5E86" w14:textId="77777777">
            <w:pPr>
              <w:jc w:val="center"/>
              <w:rPr>
                <w:rFonts w:ascii="Arial" w:hAnsi="Arial"/>
                <w:b/>
                <w:bCs/>
                <w:sz w:val="18"/>
                <w:szCs w:val="18"/>
              </w:rPr>
            </w:pPr>
            <w:r w:rsidRPr="00F05254">
              <w:rPr>
                <w:rFonts w:ascii="Arial" w:hAnsi="Arial"/>
                <w:b/>
                <w:bCs/>
                <w:sz w:val="18"/>
                <w:szCs w:val="18"/>
              </w:rPr>
              <w:t>Total Responses</w:t>
            </w:r>
          </w:p>
        </w:tc>
        <w:tc>
          <w:tcPr>
            <w:tcW w:w="1401" w:type="dxa"/>
            <w:vMerge/>
            <w:tcBorders>
              <w:top w:val="single" w:sz="8" w:space="0" w:color="auto"/>
              <w:left w:val="single" w:sz="8" w:space="0" w:color="auto"/>
              <w:bottom w:val="nil"/>
              <w:right w:val="single" w:sz="8" w:space="0" w:color="auto"/>
            </w:tcBorders>
            <w:vAlign w:val="center"/>
            <w:hideMark/>
          </w:tcPr>
          <w:p w:rsidR="00DD0E59" w:rsidRPr="00F05254" w:rsidP="00DD0E59" w14:paraId="09B8EC49" w14:textId="77777777">
            <w:pPr>
              <w:rPr>
                <w:rFonts w:ascii="Arial" w:hAnsi="Arial"/>
                <w:b/>
                <w:bCs/>
                <w:sz w:val="18"/>
                <w:szCs w:val="18"/>
              </w:rPr>
            </w:pPr>
          </w:p>
        </w:tc>
        <w:tc>
          <w:tcPr>
            <w:tcW w:w="1221" w:type="dxa"/>
            <w:vMerge/>
            <w:tcBorders>
              <w:top w:val="single" w:sz="8" w:space="0" w:color="auto"/>
              <w:left w:val="single" w:sz="4" w:space="0" w:color="auto"/>
              <w:bottom w:val="single" w:sz="4" w:space="0" w:color="auto"/>
              <w:right w:val="single" w:sz="4" w:space="0" w:color="auto"/>
            </w:tcBorders>
            <w:vAlign w:val="center"/>
            <w:hideMark/>
          </w:tcPr>
          <w:p w:rsidR="00DD0E59" w:rsidRPr="00F05254" w:rsidP="00DD0E59" w14:paraId="164D6970" w14:textId="77777777">
            <w:pPr>
              <w:rPr>
                <w:rFonts w:ascii="Arial" w:hAnsi="Arial"/>
                <w:b/>
                <w:bCs/>
                <w:sz w:val="18"/>
                <w:szCs w:val="18"/>
              </w:rPr>
            </w:pPr>
          </w:p>
        </w:tc>
        <w:tc>
          <w:tcPr>
            <w:tcW w:w="1188" w:type="dxa"/>
            <w:vMerge/>
            <w:tcBorders>
              <w:top w:val="single" w:sz="8" w:space="0" w:color="auto"/>
              <w:left w:val="single" w:sz="4" w:space="0" w:color="auto"/>
              <w:bottom w:val="single" w:sz="4" w:space="0" w:color="auto"/>
              <w:right w:val="single" w:sz="8" w:space="0" w:color="auto"/>
            </w:tcBorders>
            <w:vAlign w:val="center"/>
            <w:hideMark/>
          </w:tcPr>
          <w:p w:rsidR="00DD0E59" w:rsidRPr="00F05254" w:rsidP="00DD0E59" w14:paraId="32D2BB04" w14:textId="77777777">
            <w:pPr>
              <w:rPr>
                <w:rFonts w:ascii="Arial" w:hAnsi="Arial"/>
                <w:b/>
                <w:bCs/>
                <w:sz w:val="18"/>
                <w:szCs w:val="18"/>
              </w:rPr>
            </w:pPr>
          </w:p>
        </w:tc>
      </w:tr>
      <w:tr w14:paraId="5092C92E" w14:textId="77777777" w:rsidTr="00F05254">
        <w:tblPrEx>
          <w:tblW w:w="9340" w:type="dxa"/>
          <w:tblLook w:val="04A0"/>
        </w:tblPrEx>
        <w:trPr>
          <w:trHeight w:val="432"/>
        </w:trPr>
        <w:tc>
          <w:tcPr>
            <w:tcW w:w="1006" w:type="dxa"/>
            <w:vMerge/>
            <w:tcBorders>
              <w:top w:val="single" w:sz="8" w:space="0" w:color="auto"/>
              <w:left w:val="single" w:sz="8" w:space="0" w:color="auto"/>
              <w:bottom w:val="single" w:sz="8" w:space="0" w:color="000000"/>
              <w:right w:val="single" w:sz="8" w:space="0" w:color="auto"/>
            </w:tcBorders>
            <w:vAlign w:val="center"/>
            <w:hideMark/>
          </w:tcPr>
          <w:p w:rsidR="00DD0E59" w:rsidRPr="00F05254" w:rsidP="00DD0E59" w14:paraId="6B6BCD20" w14:textId="77777777">
            <w:pPr>
              <w:rPr>
                <w:rFonts w:ascii="Arial" w:hAnsi="Arial"/>
                <w:b/>
                <w:bCs/>
                <w:sz w:val="18"/>
                <w:szCs w:val="18"/>
              </w:rPr>
            </w:pPr>
          </w:p>
        </w:tc>
        <w:tc>
          <w:tcPr>
            <w:tcW w:w="1511" w:type="dxa"/>
            <w:tcBorders>
              <w:top w:val="single" w:sz="8" w:space="0" w:color="auto"/>
              <w:left w:val="nil"/>
              <w:bottom w:val="single" w:sz="8" w:space="0" w:color="auto"/>
              <w:right w:val="single" w:sz="8" w:space="0" w:color="auto"/>
            </w:tcBorders>
            <w:shd w:val="clear" w:color="auto" w:fill="auto"/>
            <w:noWrap/>
            <w:vAlign w:val="center"/>
            <w:hideMark/>
          </w:tcPr>
          <w:p w:rsidR="00DD0E59" w:rsidRPr="00F05254" w:rsidP="00DD0E59" w14:paraId="21A94761" w14:textId="77777777">
            <w:pPr>
              <w:jc w:val="center"/>
              <w:rPr>
                <w:rFonts w:ascii="Arial" w:hAnsi="Arial"/>
                <w:sz w:val="18"/>
                <w:szCs w:val="18"/>
              </w:rPr>
            </w:pPr>
            <w:r w:rsidRPr="00F05254">
              <w:rPr>
                <w:rFonts w:ascii="Arial" w:hAnsi="Arial"/>
                <w:sz w:val="18"/>
                <w:szCs w:val="18"/>
              </w:rPr>
              <w:t>a</w:t>
            </w:r>
          </w:p>
        </w:tc>
        <w:tc>
          <w:tcPr>
            <w:tcW w:w="1730" w:type="dxa"/>
            <w:tcBorders>
              <w:top w:val="single" w:sz="8" w:space="0" w:color="auto"/>
              <w:left w:val="nil"/>
              <w:bottom w:val="single" w:sz="8" w:space="0" w:color="auto"/>
              <w:right w:val="single" w:sz="8" w:space="0" w:color="auto"/>
            </w:tcBorders>
            <w:shd w:val="clear" w:color="auto" w:fill="auto"/>
            <w:noWrap/>
            <w:vAlign w:val="center"/>
            <w:hideMark/>
          </w:tcPr>
          <w:p w:rsidR="00DD0E59" w:rsidRPr="00F05254" w:rsidP="00DD0E59" w14:paraId="7624065D" w14:textId="77777777">
            <w:pPr>
              <w:jc w:val="center"/>
              <w:rPr>
                <w:rFonts w:ascii="Arial" w:hAnsi="Arial"/>
                <w:sz w:val="18"/>
                <w:szCs w:val="18"/>
              </w:rPr>
            </w:pPr>
            <w:r w:rsidRPr="00F05254">
              <w:rPr>
                <w:rFonts w:ascii="Arial" w:hAnsi="Arial"/>
                <w:sz w:val="18"/>
                <w:szCs w:val="18"/>
              </w:rPr>
              <w:t>b</w:t>
            </w:r>
          </w:p>
        </w:tc>
        <w:tc>
          <w:tcPr>
            <w:tcW w:w="1283" w:type="dxa"/>
            <w:tcBorders>
              <w:top w:val="single" w:sz="8" w:space="0" w:color="auto"/>
              <w:left w:val="nil"/>
              <w:bottom w:val="single" w:sz="8" w:space="0" w:color="auto"/>
              <w:right w:val="single" w:sz="8" w:space="0" w:color="auto"/>
            </w:tcBorders>
            <w:shd w:val="clear" w:color="auto" w:fill="auto"/>
            <w:noWrap/>
            <w:vAlign w:val="center"/>
            <w:hideMark/>
          </w:tcPr>
          <w:p w:rsidR="00DD0E59" w:rsidRPr="00F05254" w:rsidP="00DD0E59" w14:paraId="5F150B7B" w14:textId="77777777">
            <w:pPr>
              <w:jc w:val="center"/>
              <w:rPr>
                <w:rFonts w:ascii="Arial" w:hAnsi="Arial"/>
                <w:sz w:val="18"/>
                <w:szCs w:val="18"/>
              </w:rPr>
            </w:pPr>
            <w:r w:rsidRPr="00F05254">
              <w:rPr>
                <w:rFonts w:ascii="Arial" w:hAnsi="Arial"/>
                <w:sz w:val="18"/>
                <w:szCs w:val="18"/>
              </w:rPr>
              <w:t>c = a + b</w:t>
            </w:r>
          </w:p>
        </w:tc>
        <w:tc>
          <w:tcPr>
            <w:tcW w:w="1401" w:type="dxa"/>
            <w:tcBorders>
              <w:top w:val="single" w:sz="8" w:space="0" w:color="auto"/>
              <w:left w:val="nil"/>
              <w:bottom w:val="single" w:sz="8" w:space="0" w:color="auto"/>
              <w:right w:val="single" w:sz="8" w:space="0" w:color="auto"/>
            </w:tcBorders>
            <w:shd w:val="clear" w:color="auto" w:fill="auto"/>
            <w:vAlign w:val="center"/>
            <w:hideMark/>
          </w:tcPr>
          <w:p w:rsidR="00DD0E59" w:rsidRPr="00F05254" w:rsidP="00DD0E59" w14:paraId="45664487" w14:textId="77777777">
            <w:pPr>
              <w:jc w:val="center"/>
              <w:rPr>
                <w:rFonts w:ascii="Arial" w:hAnsi="Arial"/>
                <w:sz w:val="18"/>
                <w:szCs w:val="18"/>
              </w:rPr>
            </w:pPr>
            <w:r w:rsidRPr="00F05254">
              <w:rPr>
                <w:rFonts w:ascii="Arial" w:hAnsi="Arial"/>
                <w:sz w:val="18"/>
                <w:szCs w:val="18"/>
              </w:rPr>
              <w:t>d = (a×20) + (b×5)</w:t>
            </w:r>
          </w:p>
        </w:tc>
        <w:tc>
          <w:tcPr>
            <w:tcW w:w="1221" w:type="dxa"/>
            <w:tcBorders>
              <w:top w:val="single" w:sz="8" w:space="0" w:color="auto"/>
              <w:left w:val="nil"/>
              <w:bottom w:val="single" w:sz="8" w:space="0" w:color="auto"/>
              <w:right w:val="single" w:sz="8" w:space="0" w:color="auto"/>
            </w:tcBorders>
            <w:shd w:val="clear" w:color="auto" w:fill="auto"/>
            <w:vAlign w:val="center"/>
            <w:hideMark/>
          </w:tcPr>
          <w:p w:rsidR="00DD0E59" w:rsidRPr="00F05254" w:rsidP="00FC38F4" w14:paraId="7F5FB685" w14:textId="46CEA51B">
            <w:pPr>
              <w:jc w:val="center"/>
              <w:rPr>
                <w:rFonts w:ascii="Arial" w:hAnsi="Arial"/>
                <w:sz w:val="18"/>
                <w:szCs w:val="18"/>
              </w:rPr>
            </w:pPr>
            <w:r w:rsidRPr="00F05254">
              <w:rPr>
                <w:rFonts w:ascii="Arial" w:hAnsi="Arial"/>
                <w:sz w:val="18"/>
                <w:szCs w:val="18"/>
              </w:rPr>
              <w:t>e = $</w:t>
            </w:r>
            <w:r w:rsidRPr="00F05254" w:rsidR="00FC38F4">
              <w:rPr>
                <w:rFonts w:ascii="Arial" w:hAnsi="Arial"/>
                <w:sz w:val="18"/>
                <w:szCs w:val="18"/>
              </w:rPr>
              <w:t>81.83</w:t>
            </w:r>
          </w:p>
        </w:tc>
        <w:tc>
          <w:tcPr>
            <w:tcW w:w="1188" w:type="dxa"/>
            <w:tcBorders>
              <w:top w:val="single" w:sz="8" w:space="0" w:color="auto"/>
              <w:left w:val="nil"/>
              <w:bottom w:val="single" w:sz="8" w:space="0" w:color="auto"/>
              <w:right w:val="single" w:sz="8" w:space="0" w:color="auto"/>
            </w:tcBorders>
            <w:shd w:val="clear" w:color="auto" w:fill="auto"/>
            <w:vAlign w:val="center"/>
            <w:hideMark/>
          </w:tcPr>
          <w:p w:rsidR="00DD0E59" w:rsidRPr="00F05254" w:rsidP="00DD0E59" w14:paraId="15EA1776" w14:textId="77777777">
            <w:pPr>
              <w:jc w:val="center"/>
              <w:rPr>
                <w:rFonts w:ascii="Arial" w:hAnsi="Arial"/>
                <w:sz w:val="18"/>
                <w:szCs w:val="18"/>
              </w:rPr>
            </w:pPr>
            <w:r w:rsidRPr="00F05254">
              <w:rPr>
                <w:rFonts w:ascii="Arial" w:hAnsi="Arial"/>
                <w:sz w:val="18"/>
                <w:szCs w:val="18"/>
              </w:rPr>
              <w:t>f = d × e</w:t>
            </w:r>
          </w:p>
        </w:tc>
      </w:tr>
      <w:tr w14:paraId="7C487B6E" w14:textId="77777777" w:rsidTr="00F05254">
        <w:tblPrEx>
          <w:tblW w:w="9340" w:type="dxa"/>
          <w:tblLook w:val="04A0"/>
        </w:tblPrEx>
        <w:trPr>
          <w:trHeight w:val="288"/>
        </w:trPr>
        <w:tc>
          <w:tcPr>
            <w:tcW w:w="1006" w:type="dxa"/>
            <w:tcBorders>
              <w:top w:val="nil"/>
              <w:left w:val="single" w:sz="8" w:space="0" w:color="auto"/>
              <w:bottom w:val="single" w:sz="4" w:space="0" w:color="auto"/>
              <w:right w:val="single" w:sz="8" w:space="0" w:color="auto"/>
            </w:tcBorders>
            <w:shd w:val="clear" w:color="auto" w:fill="auto"/>
            <w:noWrap/>
            <w:vAlign w:val="bottom"/>
            <w:hideMark/>
          </w:tcPr>
          <w:p w:rsidR="00FC38F4" w:rsidRPr="00F05254" w:rsidP="00FC38F4" w14:paraId="2A3CD635" w14:textId="77777777">
            <w:pPr>
              <w:rPr>
                <w:rFonts w:ascii="Arial" w:hAnsi="Arial"/>
                <w:sz w:val="18"/>
                <w:szCs w:val="18"/>
              </w:rPr>
            </w:pPr>
            <w:r w:rsidRPr="00F05254">
              <w:rPr>
                <w:rFonts w:ascii="Arial" w:hAnsi="Arial"/>
                <w:sz w:val="18"/>
                <w:szCs w:val="18"/>
              </w:rPr>
              <w:t>Year 1</w:t>
            </w:r>
          </w:p>
        </w:tc>
        <w:tc>
          <w:tcPr>
            <w:tcW w:w="1511"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7AF289B0" w14:textId="77777777">
            <w:pPr>
              <w:jc w:val="right"/>
              <w:rPr>
                <w:rFonts w:ascii="Arial" w:hAnsi="Arial"/>
                <w:sz w:val="18"/>
                <w:szCs w:val="18"/>
              </w:rPr>
            </w:pPr>
            <w:r w:rsidRPr="00F05254">
              <w:rPr>
                <w:rFonts w:ascii="Arial" w:hAnsi="Arial"/>
                <w:sz w:val="18"/>
                <w:szCs w:val="18"/>
              </w:rPr>
              <w:t>15</w:t>
            </w:r>
          </w:p>
        </w:tc>
        <w:tc>
          <w:tcPr>
            <w:tcW w:w="1730"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45992E5B" w14:textId="77777777">
            <w:pPr>
              <w:jc w:val="right"/>
              <w:rPr>
                <w:rFonts w:ascii="Arial" w:hAnsi="Arial"/>
                <w:sz w:val="18"/>
                <w:szCs w:val="18"/>
              </w:rPr>
            </w:pPr>
            <w:r w:rsidRPr="00F05254">
              <w:rPr>
                <w:rFonts w:ascii="Arial" w:hAnsi="Arial"/>
                <w:sz w:val="18"/>
                <w:szCs w:val="18"/>
              </w:rPr>
              <w:t>13.5</w:t>
            </w:r>
          </w:p>
        </w:tc>
        <w:tc>
          <w:tcPr>
            <w:tcW w:w="1283"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209437FF" w14:textId="77777777">
            <w:pPr>
              <w:jc w:val="right"/>
              <w:rPr>
                <w:rFonts w:ascii="Arial" w:hAnsi="Arial"/>
                <w:sz w:val="18"/>
                <w:szCs w:val="18"/>
              </w:rPr>
            </w:pPr>
            <w:r w:rsidRPr="00F05254">
              <w:rPr>
                <w:rFonts w:ascii="Arial" w:hAnsi="Arial"/>
                <w:sz w:val="18"/>
                <w:szCs w:val="18"/>
              </w:rPr>
              <w:t>28.5</w:t>
            </w:r>
          </w:p>
        </w:tc>
        <w:tc>
          <w:tcPr>
            <w:tcW w:w="1401"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7134EA6E" w14:textId="77777777">
            <w:pPr>
              <w:jc w:val="right"/>
              <w:rPr>
                <w:rFonts w:ascii="Arial" w:hAnsi="Arial"/>
                <w:sz w:val="18"/>
                <w:szCs w:val="18"/>
              </w:rPr>
            </w:pPr>
            <w:r w:rsidRPr="00F05254">
              <w:rPr>
                <w:rFonts w:ascii="Arial" w:hAnsi="Arial"/>
                <w:sz w:val="18"/>
                <w:szCs w:val="18"/>
              </w:rPr>
              <w:t>367.5</w:t>
            </w:r>
          </w:p>
        </w:tc>
        <w:tc>
          <w:tcPr>
            <w:tcW w:w="1221" w:type="dxa"/>
            <w:tcBorders>
              <w:top w:val="nil"/>
              <w:left w:val="nil"/>
              <w:bottom w:val="single" w:sz="4" w:space="0" w:color="auto"/>
              <w:right w:val="single" w:sz="8" w:space="0" w:color="auto"/>
            </w:tcBorders>
            <w:shd w:val="clear" w:color="auto" w:fill="auto"/>
            <w:noWrap/>
            <w:vAlign w:val="bottom"/>
          </w:tcPr>
          <w:p w:rsidR="00FC38F4" w:rsidRPr="00F05254" w:rsidP="00FC38F4" w14:paraId="16127207" w14:textId="584D674B">
            <w:pPr>
              <w:jc w:val="right"/>
              <w:rPr>
                <w:rFonts w:ascii="Arial" w:hAnsi="Arial"/>
                <w:sz w:val="18"/>
                <w:szCs w:val="18"/>
              </w:rPr>
            </w:pPr>
            <w:r w:rsidRPr="00F05254">
              <w:rPr>
                <w:rFonts w:ascii="Arial" w:hAnsi="Arial"/>
                <w:sz w:val="18"/>
                <w:szCs w:val="18"/>
              </w:rPr>
              <w:t>$81.83</w:t>
            </w:r>
          </w:p>
        </w:tc>
        <w:tc>
          <w:tcPr>
            <w:tcW w:w="1188" w:type="dxa"/>
            <w:tcBorders>
              <w:top w:val="nil"/>
              <w:left w:val="nil"/>
              <w:bottom w:val="single" w:sz="4" w:space="0" w:color="auto"/>
              <w:right w:val="single" w:sz="8" w:space="0" w:color="auto"/>
            </w:tcBorders>
            <w:shd w:val="clear" w:color="auto" w:fill="auto"/>
            <w:noWrap/>
            <w:vAlign w:val="bottom"/>
          </w:tcPr>
          <w:p w:rsidR="00FC38F4" w:rsidRPr="00F05254" w:rsidP="00FC38F4" w14:paraId="5CAD37F4" w14:textId="3616A184">
            <w:pPr>
              <w:jc w:val="right"/>
              <w:rPr>
                <w:rFonts w:ascii="Arial" w:hAnsi="Arial"/>
                <w:sz w:val="18"/>
                <w:szCs w:val="18"/>
              </w:rPr>
            </w:pPr>
            <w:r w:rsidRPr="00F05254">
              <w:rPr>
                <w:rFonts w:ascii="Arial" w:hAnsi="Arial"/>
                <w:sz w:val="18"/>
                <w:szCs w:val="18"/>
              </w:rPr>
              <w:t>$30,073</w:t>
            </w:r>
          </w:p>
        </w:tc>
      </w:tr>
      <w:tr w14:paraId="56959FE0" w14:textId="77777777" w:rsidTr="00F05254">
        <w:tblPrEx>
          <w:tblW w:w="9340" w:type="dxa"/>
          <w:tblLook w:val="04A0"/>
        </w:tblPrEx>
        <w:trPr>
          <w:trHeight w:val="288"/>
        </w:trPr>
        <w:tc>
          <w:tcPr>
            <w:tcW w:w="1006" w:type="dxa"/>
            <w:tcBorders>
              <w:top w:val="nil"/>
              <w:left w:val="single" w:sz="8" w:space="0" w:color="auto"/>
              <w:bottom w:val="single" w:sz="4" w:space="0" w:color="auto"/>
              <w:right w:val="single" w:sz="8" w:space="0" w:color="auto"/>
            </w:tcBorders>
            <w:shd w:val="clear" w:color="auto" w:fill="auto"/>
            <w:noWrap/>
            <w:vAlign w:val="bottom"/>
            <w:hideMark/>
          </w:tcPr>
          <w:p w:rsidR="00FC38F4" w:rsidRPr="00F05254" w:rsidP="00FC38F4" w14:paraId="03B42B78" w14:textId="77777777">
            <w:pPr>
              <w:rPr>
                <w:rFonts w:ascii="Arial" w:hAnsi="Arial"/>
                <w:sz w:val="18"/>
                <w:szCs w:val="18"/>
              </w:rPr>
            </w:pPr>
            <w:r w:rsidRPr="00F05254">
              <w:rPr>
                <w:rFonts w:ascii="Arial" w:hAnsi="Arial"/>
                <w:sz w:val="18"/>
                <w:szCs w:val="18"/>
              </w:rPr>
              <w:t>Year 2</w:t>
            </w:r>
          </w:p>
        </w:tc>
        <w:tc>
          <w:tcPr>
            <w:tcW w:w="1511"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31F43B7D" w14:textId="77777777">
            <w:pPr>
              <w:jc w:val="right"/>
              <w:rPr>
                <w:rFonts w:ascii="Arial" w:hAnsi="Arial"/>
                <w:sz w:val="18"/>
                <w:szCs w:val="18"/>
              </w:rPr>
            </w:pPr>
            <w:r w:rsidRPr="00F05254">
              <w:rPr>
                <w:rFonts w:ascii="Arial" w:hAnsi="Arial"/>
                <w:sz w:val="18"/>
                <w:szCs w:val="18"/>
              </w:rPr>
              <w:t>10</w:t>
            </w:r>
          </w:p>
        </w:tc>
        <w:tc>
          <w:tcPr>
            <w:tcW w:w="1730"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019AFA4A" w14:textId="77777777">
            <w:pPr>
              <w:jc w:val="right"/>
              <w:rPr>
                <w:rFonts w:ascii="Arial" w:hAnsi="Arial"/>
                <w:sz w:val="18"/>
                <w:szCs w:val="18"/>
              </w:rPr>
            </w:pPr>
            <w:r w:rsidRPr="00F05254">
              <w:rPr>
                <w:rFonts w:ascii="Arial" w:hAnsi="Arial"/>
                <w:sz w:val="18"/>
                <w:szCs w:val="18"/>
              </w:rPr>
              <w:t>9</w:t>
            </w:r>
          </w:p>
        </w:tc>
        <w:tc>
          <w:tcPr>
            <w:tcW w:w="1283"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31808E20" w14:textId="77777777">
            <w:pPr>
              <w:jc w:val="right"/>
              <w:rPr>
                <w:rFonts w:ascii="Arial" w:hAnsi="Arial"/>
                <w:sz w:val="18"/>
                <w:szCs w:val="18"/>
              </w:rPr>
            </w:pPr>
            <w:r w:rsidRPr="00F05254">
              <w:rPr>
                <w:rFonts w:ascii="Arial" w:hAnsi="Arial"/>
                <w:sz w:val="18"/>
                <w:szCs w:val="18"/>
              </w:rPr>
              <w:t>19</w:t>
            </w:r>
          </w:p>
        </w:tc>
        <w:tc>
          <w:tcPr>
            <w:tcW w:w="1401"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2BD91FAB" w14:textId="77777777">
            <w:pPr>
              <w:jc w:val="right"/>
              <w:rPr>
                <w:rFonts w:ascii="Arial" w:hAnsi="Arial"/>
                <w:sz w:val="18"/>
                <w:szCs w:val="18"/>
              </w:rPr>
            </w:pPr>
            <w:r w:rsidRPr="00F05254">
              <w:rPr>
                <w:rFonts w:ascii="Arial" w:hAnsi="Arial"/>
                <w:sz w:val="18"/>
                <w:szCs w:val="18"/>
              </w:rPr>
              <w:t>245.0</w:t>
            </w:r>
          </w:p>
        </w:tc>
        <w:tc>
          <w:tcPr>
            <w:tcW w:w="1221" w:type="dxa"/>
            <w:tcBorders>
              <w:top w:val="nil"/>
              <w:left w:val="nil"/>
              <w:bottom w:val="single" w:sz="4" w:space="0" w:color="auto"/>
              <w:right w:val="single" w:sz="8" w:space="0" w:color="auto"/>
            </w:tcBorders>
            <w:shd w:val="clear" w:color="auto" w:fill="auto"/>
            <w:noWrap/>
            <w:vAlign w:val="bottom"/>
          </w:tcPr>
          <w:p w:rsidR="00FC38F4" w:rsidRPr="00F05254" w:rsidP="00FC38F4" w14:paraId="43A0B162" w14:textId="7290FD62">
            <w:pPr>
              <w:jc w:val="right"/>
              <w:rPr>
                <w:rFonts w:ascii="Arial" w:hAnsi="Arial"/>
                <w:sz w:val="18"/>
                <w:szCs w:val="18"/>
              </w:rPr>
            </w:pPr>
            <w:r w:rsidRPr="00F05254">
              <w:rPr>
                <w:rFonts w:ascii="Arial" w:hAnsi="Arial"/>
                <w:sz w:val="18"/>
                <w:szCs w:val="18"/>
              </w:rPr>
              <w:t>$81.83</w:t>
            </w:r>
          </w:p>
        </w:tc>
        <w:tc>
          <w:tcPr>
            <w:tcW w:w="1188" w:type="dxa"/>
            <w:tcBorders>
              <w:top w:val="nil"/>
              <w:left w:val="nil"/>
              <w:bottom w:val="single" w:sz="4" w:space="0" w:color="auto"/>
              <w:right w:val="single" w:sz="8" w:space="0" w:color="auto"/>
            </w:tcBorders>
            <w:shd w:val="clear" w:color="auto" w:fill="auto"/>
            <w:noWrap/>
            <w:vAlign w:val="bottom"/>
          </w:tcPr>
          <w:p w:rsidR="00FC38F4" w:rsidRPr="00F05254" w:rsidP="00FC38F4" w14:paraId="06C1DF06" w14:textId="1D3F0AB7">
            <w:pPr>
              <w:jc w:val="right"/>
              <w:rPr>
                <w:rFonts w:ascii="Arial" w:hAnsi="Arial"/>
                <w:sz w:val="18"/>
                <w:szCs w:val="18"/>
              </w:rPr>
            </w:pPr>
            <w:r w:rsidRPr="00F05254">
              <w:rPr>
                <w:rFonts w:ascii="Arial" w:hAnsi="Arial"/>
                <w:sz w:val="18"/>
                <w:szCs w:val="18"/>
              </w:rPr>
              <w:t>$20,049</w:t>
            </w:r>
          </w:p>
        </w:tc>
      </w:tr>
      <w:tr w14:paraId="0E3FCAF6" w14:textId="77777777" w:rsidTr="00F05254">
        <w:tblPrEx>
          <w:tblW w:w="9340" w:type="dxa"/>
          <w:tblLook w:val="04A0"/>
        </w:tblPrEx>
        <w:trPr>
          <w:trHeight w:val="288"/>
        </w:trPr>
        <w:tc>
          <w:tcPr>
            <w:tcW w:w="1006" w:type="dxa"/>
            <w:tcBorders>
              <w:top w:val="nil"/>
              <w:left w:val="single" w:sz="8" w:space="0" w:color="auto"/>
              <w:bottom w:val="nil"/>
              <w:right w:val="single" w:sz="8" w:space="0" w:color="auto"/>
            </w:tcBorders>
            <w:shd w:val="clear" w:color="auto" w:fill="auto"/>
            <w:noWrap/>
            <w:vAlign w:val="bottom"/>
            <w:hideMark/>
          </w:tcPr>
          <w:p w:rsidR="00FC38F4" w:rsidRPr="00F05254" w:rsidP="00FC38F4" w14:paraId="45234524" w14:textId="77777777">
            <w:pPr>
              <w:rPr>
                <w:rFonts w:ascii="Arial" w:hAnsi="Arial"/>
                <w:sz w:val="18"/>
                <w:szCs w:val="18"/>
              </w:rPr>
            </w:pPr>
            <w:r w:rsidRPr="00F05254">
              <w:rPr>
                <w:rFonts w:ascii="Arial" w:hAnsi="Arial"/>
                <w:sz w:val="18"/>
                <w:szCs w:val="18"/>
              </w:rPr>
              <w:t>Year 3</w:t>
            </w:r>
          </w:p>
        </w:tc>
        <w:tc>
          <w:tcPr>
            <w:tcW w:w="1511" w:type="dxa"/>
            <w:tcBorders>
              <w:top w:val="nil"/>
              <w:left w:val="nil"/>
              <w:bottom w:val="nil"/>
              <w:right w:val="single" w:sz="8" w:space="0" w:color="auto"/>
            </w:tcBorders>
            <w:shd w:val="clear" w:color="auto" w:fill="auto"/>
            <w:noWrap/>
            <w:vAlign w:val="bottom"/>
            <w:hideMark/>
          </w:tcPr>
          <w:p w:rsidR="00FC38F4" w:rsidRPr="00F05254" w:rsidP="00FC38F4" w14:paraId="75205E13" w14:textId="77777777">
            <w:pPr>
              <w:jc w:val="right"/>
              <w:rPr>
                <w:rFonts w:ascii="Arial" w:hAnsi="Arial"/>
                <w:sz w:val="18"/>
                <w:szCs w:val="18"/>
              </w:rPr>
            </w:pPr>
            <w:r w:rsidRPr="00F05254">
              <w:rPr>
                <w:rFonts w:ascii="Arial" w:hAnsi="Arial"/>
                <w:sz w:val="18"/>
                <w:szCs w:val="18"/>
              </w:rPr>
              <w:t>5</w:t>
            </w:r>
          </w:p>
        </w:tc>
        <w:tc>
          <w:tcPr>
            <w:tcW w:w="1730" w:type="dxa"/>
            <w:tcBorders>
              <w:top w:val="nil"/>
              <w:left w:val="nil"/>
              <w:bottom w:val="nil"/>
              <w:right w:val="single" w:sz="8" w:space="0" w:color="auto"/>
            </w:tcBorders>
            <w:shd w:val="clear" w:color="auto" w:fill="auto"/>
            <w:noWrap/>
            <w:vAlign w:val="bottom"/>
            <w:hideMark/>
          </w:tcPr>
          <w:p w:rsidR="00FC38F4" w:rsidRPr="00F05254" w:rsidP="00FC38F4" w14:paraId="75C60399" w14:textId="77777777">
            <w:pPr>
              <w:jc w:val="right"/>
              <w:rPr>
                <w:rFonts w:ascii="Arial" w:hAnsi="Arial"/>
                <w:sz w:val="18"/>
                <w:szCs w:val="18"/>
              </w:rPr>
            </w:pPr>
            <w:r w:rsidRPr="00F05254">
              <w:rPr>
                <w:rFonts w:ascii="Arial" w:hAnsi="Arial"/>
                <w:sz w:val="18"/>
                <w:szCs w:val="18"/>
              </w:rPr>
              <w:t>4.5</w:t>
            </w:r>
          </w:p>
        </w:tc>
        <w:tc>
          <w:tcPr>
            <w:tcW w:w="1283"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4884F8CC" w14:textId="77777777">
            <w:pPr>
              <w:jc w:val="right"/>
              <w:rPr>
                <w:rFonts w:ascii="Arial" w:hAnsi="Arial"/>
                <w:sz w:val="18"/>
                <w:szCs w:val="18"/>
              </w:rPr>
            </w:pPr>
            <w:r w:rsidRPr="00F05254">
              <w:rPr>
                <w:rFonts w:ascii="Arial" w:hAnsi="Arial"/>
                <w:sz w:val="18"/>
                <w:szCs w:val="18"/>
              </w:rPr>
              <w:t>9.5</w:t>
            </w:r>
          </w:p>
        </w:tc>
        <w:tc>
          <w:tcPr>
            <w:tcW w:w="1401" w:type="dxa"/>
            <w:tcBorders>
              <w:top w:val="nil"/>
              <w:left w:val="nil"/>
              <w:bottom w:val="single" w:sz="4" w:space="0" w:color="auto"/>
              <w:right w:val="single" w:sz="8" w:space="0" w:color="auto"/>
            </w:tcBorders>
            <w:shd w:val="clear" w:color="auto" w:fill="auto"/>
            <w:noWrap/>
            <w:vAlign w:val="bottom"/>
            <w:hideMark/>
          </w:tcPr>
          <w:p w:rsidR="00FC38F4" w:rsidRPr="00F05254" w:rsidP="00FC38F4" w14:paraId="30497976" w14:textId="77777777">
            <w:pPr>
              <w:jc w:val="right"/>
              <w:rPr>
                <w:rFonts w:ascii="Arial" w:hAnsi="Arial"/>
                <w:sz w:val="18"/>
                <w:szCs w:val="18"/>
              </w:rPr>
            </w:pPr>
            <w:r w:rsidRPr="00F05254">
              <w:rPr>
                <w:rFonts w:ascii="Arial" w:hAnsi="Arial"/>
                <w:sz w:val="18"/>
                <w:szCs w:val="18"/>
              </w:rPr>
              <w:t>122.5</w:t>
            </w:r>
          </w:p>
        </w:tc>
        <w:tc>
          <w:tcPr>
            <w:tcW w:w="1221" w:type="dxa"/>
            <w:tcBorders>
              <w:top w:val="nil"/>
              <w:left w:val="nil"/>
              <w:bottom w:val="single" w:sz="4" w:space="0" w:color="auto"/>
              <w:right w:val="single" w:sz="8" w:space="0" w:color="auto"/>
            </w:tcBorders>
            <w:shd w:val="clear" w:color="auto" w:fill="auto"/>
            <w:noWrap/>
            <w:vAlign w:val="bottom"/>
          </w:tcPr>
          <w:p w:rsidR="00FC38F4" w:rsidRPr="00F05254" w:rsidP="00FC38F4" w14:paraId="0DC5650F" w14:textId="2D1611BF">
            <w:pPr>
              <w:jc w:val="right"/>
              <w:rPr>
                <w:rFonts w:ascii="Arial" w:hAnsi="Arial"/>
                <w:sz w:val="18"/>
                <w:szCs w:val="18"/>
              </w:rPr>
            </w:pPr>
            <w:r w:rsidRPr="00F05254">
              <w:rPr>
                <w:rFonts w:ascii="Arial" w:hAnsi="Arial"/>
                <w:sz w:val="18"/>
                <w:szCs w:val="18"/>
              </w:rPr>
              <w:t>$81.83</w:t>
            </w:r>
          </w:p>
        </w:tc>
        <w:tc>
          <w:tcPr>
            <w:tcW w:w="1188" w:type="dxa"/>
            <w:tcBorders>
              <w:top w:val="nil"/>
              <w:left w:val="nil"/>
              <w:bottom w:val="single" w:sz="4" w:space="0" w:color="auto"/>
              <w:right w:val="single" w:sz="8" w:space="0" w:color="auto"/>
            </w:tcBorders>
            <w:shd w:val="clear" w:color="auto" w:fill="auto"/>
            <w:noWrap/>
            <w:vAlign w:val="bottom"/>
          </w:tcPr>
          <w:p w:rsidR="00FC38F4" w:rsidRPr="00F05254" w:rsidP="00FC38F4" w14:paraId="68C2A4F9" w14:textId="168AC615">
            <w:pPr>
              <w:jc w:val="right"/>
              <w:rPr>
                <w:rFonts w:ascii="Arial" w:hAnsi="Arial"/>
                <w:sz w:val="18"/>
                <w:szCs w:val="18"/>
              </w:rPr>
            </w:pPr>
            <w:r w:rsidRPr="00F05254">
              <w:rPr>
                <w:rFonts w:ascii="Arial" w:hAnsi="Arial"/>
                <w:sz w:val="18"/>
                <w:szCs w:val="18"/>
              </w:rPr>
              <w:t>$10,024</w:t>
            </w:r>
          </w:p>
        </w:tc>
      </w:tr>
      <w:tr w14:paraId="5340B110" w14:textId="77777777" w:rsidTr="00F05254">
        <w:tblPrEx>
          <w:tblW w:w="9340" w:type="dxa"/>
          <w:tblLook w:val="04A0"/>
        </w:tblPrEx>
        <w:trPr>
          <w:trHeight w:val="330"/>
        </w:trPr>
        <w:tc>
          <w:tcPr>
            <w:tcW w:w="100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C38F4" w:rsidRPr="00F05254" w:rsidP="00FC38F4" w14:paraId="405A056D" w14:textId="77777777">
            <w:pPr>
              <w:rPr>
                <w:rFonts w:ascii="Arial" w:hAnsi="Arial"/>
                <w:b/>
                <w:bCs/>
                <w:sz w:val="18"/>
                <w:szCs w:val="18"/>
              </w:rPr>
            </w:pPr>
            <w:r w:rsidRPr="00F05254">
              <w:rPr>
                <w:rFonts w:ascii="Arial" w:hAnsi="Arial"/>
                <w:b/>
                <w:bCs/>
                <w:sz w:val="18"/>
                <w:szCs w:val="18"/>
              </w:rPr>
              <w:t>Total</w:t>
            </w:r>
          </w:p>
        </w:tc>
        <w:tc>
          <w:tcPr>
            <w:tcW w:w="1511" w:type="dxa"/>
            <w:tcBorders>
              <w:top w:val="single" w:sz="8" w:space="0" w:color="auto"/>
              <w:left w:val="nil"/>
              <w:bottom w:val="single" w:sz="4" w:space="0" w:color="auto"/>
              <w:right w:val="single" w:sz="8" w:space="0" w:color="auto"/>
            </w:tcBorders>
            <w:shd w:val="clear" w:color="auto" w:fill="auto"/>
            <w:noWrap/>
            <w:vAlign w:val="bottom"/>
            <w:hideMark/>
          </w:tcPr>
          <w:p w:rsidR="00FC38F4" w:rsidRPr="00F05254" w:rsidP="00FC38F4" w14:paraId="588EFA11" w14:textId="77777777">
            <w:pPr>
              <w:jc w:val="right"/>
              <w:rPr>
                <w:rFonts w:ascii="Arial" w:hAnsi="Arial"/>
                <w:b/>
                <w:bCs/>
                <w:sz w:val="18"/>
                <w:szCs w:val="18"/>
              </w:rPr>
            </w:pPr>
            <w:r w:rsidRPr="00F05254">
              <w:rPr>
                <w:rFonts w:ascii="Arial" w:hAnsi="Arial"/>
                <w:b/>
                <w:bCs/>
                <w:sz w:val="18"/>
                <w:szCs w:val="18"/>
              </w:rPr>
              <w:t>30</w:t>
            </w:r>
          </w:p>
        </w:tc>
        <w:tc>
          <w:tcPr>
            <w:tcW w:w="1730" w:type="dxa"/>
            <w:tcBorders>
              <w:top w:val="single" w:sz="8" w:space="0" w:color="auto"/>
              <w:left w:val="nil"/>
              <w:bottom w:val="single" w:sz="4" w:space="0" w:color="auto"/>
              <w:right w:val="single" w:sz="8" w:space="0" w:color="auto"/>
            </w:tcBorders>
            <w:shd w:val="clear" w:color="auto" w:fill="auto"/>
            <w:noWrap/>
            <w:vAlign w:val="bottom"/>
            <w:hideMark/>
          </w:tcPr>
          <w:p w:rsidR="00FC38F4" w:rsidRPr="00F05254" w:rsidP="00FC38F4" w14:paraId="001C455B" w14:textId="77777777">
            <w:pPr>
              <w:jc w:val="right"/>
              <w:rPr>
                <w:rFonts w:ascii="Arial" w:hAnsi="Arial"/>
                <w:b/>
                <w:bCs/>
                <w:sz w:val="18"/>
                <w:szCs w:val="18"/>
              </w:rPr>
            </w:pPr>
            <w:r w:rsidRPr="00F05254">
              <w:rPr>
                <w:rFonts w:ascii="Arial" w:hAnsi="Arial"/>
                <w:b/>
                <w:bCs/>
                <w:sz w:val="18"/>
                <w:szCs w:val="18"/>
              </w:rPr>
              <w:t>27</w:t>
            </w:r>
          </w:p>
        </w:tc>
        <w:tc>
          <w:tcPr>
            <w:tcW w:w="1283" w:type="dxa"/>
            <w:tcBorders>
              <w:top w:val="single" w:sz="8" w:space="0" w:color="auto"/>
              <w:left w:val="nil"/>
              <w:bottom w:val="single" w:sz="4" w:space="0" w:color="auto"/>
              <w:right w:val="single" w:sz="8" w:space="0" w:color="auto"/>
            </w:tcBorders>
            <w:shd w:val="clear" w:color="auto" w:fill="auto"/>
            <w:noWrap/>
            <w:vAlign w:val="bottom"/>
            <w:hideMark/>
          </w:tcPr>
          <w:p w:rsidR="00FC38F4" w:rsidRPr="00F05254" w:rsidP="00FC38F4" w14:paraId="579D6C1B" w14:textId="77777777">
            <w:pPr>
              <w:jc w:val="right"/>
              <w:rPr>
                <w:rFonts w:ascii="Arial" w:hAnsi="Arial"/>
                <w:b/>
                <w:bCs/>
                <w:sz w:val="18"/>
                <w:szCs w:val="18"/>
              </w:rPr>
            </w:pPr>
            <w:r w:rsidRPr="00F05254">
              <w:rPr>
                <w:rFonts w:ascii="Arial" w:hAnsi="Arial"/>
                <w:b/>
                <w:bCs/>
                <w:sz w:val="18"/>
                <w:szCs w:val="18"/>
              </w:rPr>
              <w:t>57</w:t>
            </w:r>
          </w:p>
        </w:tc>
        <w:tc>
          <w:tcPr>
            <w:tcW w:w="1401" w:type="dxa"/>
            <w:tcBorders>
              <w:top w:val="single" w:sz="8" w:space="0" w:color="auto"/>
              <w:left w:val="nil"/>
              <w:bottom w:val="single" w:sz="4" w:space="0" w:color="auto"/>
              <w:right w:val="single" w:sz="8" w:space="0" w:color="auto"/>
            </w:tcBorders>
            <w:shd w:val="clear" w:color="auto" w:fill="auto"/>
            <w:noWrap/>
            <w:vAlign w:val="bottom"/>
            <w:hideMark/>
          </w:tcPr>
          <w:p w:rsidR="00FC38F4" w:rsidRPr="00F05254" w:rsidP="00FC38F4" w14:paraId="4D491C8E" w14:textId="77777777">
            <w:pPr>
              <w:jc w:val="right"/>
              <w:rPr>
                <w:rFonts w:ascii="Arial" w:hAnsi="Arial"/>
                <w:b/>
                <w:bCs/>
                <w:sz w:val="18"/>
                <w:szCs w:val="18"/>
              </w:rPr>
            </w:pPr>
            <w:r w:rsidRPr="00F05254">
              <w:rPr>
                <w:rFonts w:ascii="Arial" w:hAnsi="Arial"/>
                <w:b/>
                <w:bCs/>
                <w:sz w:val="18"/>
                <w:szCs w:val="18"/>
              </w:rPr>
              <w:t>735.0</w:t>
            </w:r>
          </w:p>
        </w:tc>
        <w:tc>
          <w:tcPr>
            <w:tcW w:w="1221" w:type="dxa"/>
            <w:tcBorders>
              <w:top w:val="single" w:sz="8" w:space="0" w:color="auto"/>
              <w:left w:val="nil"/>
              <w:bottom w:val="single" w:sz="4" w:space="0" w:color="auto"/>
              <w:right w:val="single" w:sz="8" w:space="0" w:color="auto"/>
            </w:tcBorders>
            <w:shd w:val="clear" w:color="auto" w:fill="auto"/>
            <w:noWrap/>
            <w:vAlign w:val="bottom"/>
            <w:hideMark/>
          </w:tcPr>
          <w:p w:rsidR="00FC38F4" w:rsidRPr="00F05254" w:rsidP="00FC38F4" w14:paraId="08D94629" w14:textId="77777777">
            <w:pPr>
              <w:rPr>
                <w:rFonts w:ascii="Arial" w:hAnsi="Arial"/>
                <w:b/>
                <w:bCs/>
                <w:sz w:val="18"/>
                <w:szCs w:val="18"/>
              </w:rPr>
            </w:pPr>
            <w:r w:rsidRPr="00F05254">
              <w:rPr>
                <w:rFonts w:ascii="Arial" w:hAnsi="Arial"/>
                <w:b/>
                <w:bCs/>
                <w:sz w:val="18"/>
                <w:szCs w:val="18"/>
              </w:rPr>
              <w:t> </w:t>
            </w:r>
          </w:p>
        </w:tc>
        <w:tc>
          <w:tcPr>
            <w:tcW w:w="1188" w:type="dxa"/>
            <w:tcBorders>
              <w:top w:val="single" w:sz="8" w:space="0" w:color="auto"/>
              <w:left w:val="nil"/>
              <w:bottom w:val="single" w:sz="4" w:space="0" w:color="auto"/>
              <w:right w:val="single" w:sz="8" w:space="0" w:color="auto"/>
            </w:tcBorders>
            <w:shd w:val="clear" w:color="auto" w:fill="auto"/>
            <w:noWrap/>
            <w:vAlign w:val="bottom"/>
          </w:tcPr>
          <w:p w:rsidR="00FC38F4" w:rsidRPr="00F05254" w:rsidP="00FC38F4" w14:paraId="12654CD1" w14:textId="64DDBE90">
            <w:pPr>
              <w:jc w:val="right"/>
              <w:rPr>
                <w:rFonts w:ascii="Arial" w:hAnsi="Arial"/>
                <w:b/>
                <w:bCs/>
                <w:sz w:val="18"/>
                <w:szCs w:val="18"/>
              </w:rPr>
            </w:pPr>
            <w:r w:rsidRPr="00F05254">
              <w:rPr>
                <w:rFonts w:ascii="Arial" w:hAnsi="Arial"/>
                <w:b/>
                <w:bCs/>
                <w:sz w:val="18"/>
                <w:szCs w:val="18"/>
              </w:rPr>
              <w:t>$60,147</w:t>
            </w:r>
          </w:p>
        </w:tc>
      </w:tr>
      <w:tr w14:paraId="0CF96B03" w14:textId="77777777" w:rsidTr="00F05254">
        <w:tblPrEx>
          <w:tblW w:w="9340" w:type="dxa"/>
          <w:tblLook w:val="04A0"/>
        </w:tblPrEx>
        <w:trPr>
          <w:trHeight w:val="330"/>
        </w:trPr>
        <w:tc>
          <w:tcPr>
            <w:tcW w:w="1006" w:type="dxa"/>
            <w:tcBorders>
              <w:top w:val="nil"/>
              <w:left w:val="single" w:sz="8" w:space="0" w:color="auto"/>
              <w:bottom w:val="single" w:sz="8" w:space="0" w:color="auto"/>
              <w:right w:val="single" w:sz="8" w:space="0" w:color="auto"/>
            </w:tcBorders>
            <w:shd w:val="clear" w:color="auto" w:fill="auto"/>
            <w:noWrap/>
            <w:vAlign w:val="bottom"/>
            <w:hideMark/>
          </w:tcPr>
          <w:p w:rsidR="00FC38F4" w:rsidRPr="00F05254" w:rsidP="00FC38F4" w14:paraId="73D5830F" w14:textId="77777777">
            <w:pPr>
              <w:rPr>
                <w:rFonts w:ascii="Arial" w:hAnsi="Arial"/>
                <w:b/>
                <w:bCs/>
                <w:sz w:val="18"/>
                <w:szCs w:val="18"/>
              </w:rPr>
            </w:pPr>
            <w:r w:rsidRPr="00F05254">
              <w:rPr>
                <w:rFonts w:ascii="Arial" w:hAnsi="Arial"/>
                <w:b/>
                <w:bCs/>
                <w:sz w:val="18"/>
                <w:szCs w:val="18"/>
              </w:rPr>
              <w:t xml:space="preserve">Average </w:t>
            </w:r>
          </w:p>
        </w:tc>
        <w:tc>
          <w:tcPr>
            <w:tcW w:w="1511" w:type="dxa"/>
            <w:tcBorders>
              <w:top w:val="nil"/>
              <w:left w:val="nil"/>
              <w:bottom w:val="single" w:sz="8" w:space="0" w:color="auto"/>
              <w:right w:val="single" w:sz="8" w:space="0" w:color="auto"/>
            </w:tcBorders>
            <w:shd w:val="clear" w:color="auto" w:fill="auto"/>
            <w:noWrap/>
            <w:vAlign w:val="bottom"/>
            <w:hideMark/>
          </w:tcPr>
          <w:p w:rsidR="00FC38F4" w:rsidRPr="00F05254" w:rsidP="00FC38F4" w14:paraId="6111C4E4" w14:textId="77777777">
            <w:pPr>
              <w:jc w:val="right"/>
              <w:rPr>
                <w:rFonts w:ascii="Arial" w:hAnsi="Arial"/>
                <w:b/>
                <w:bCs/>
                <w:sz w:val="18"/>
                <w:szCs w:val="18"/>
              </w:rPr>
            </w:pPr>
            <w:r w:rsidRPr="00F05254">
              <w:rPr>
                <w:rFonts w:ascii="Arial" w:hAnsi="Arial"/>
                <w:b/>
                <w:bCs/>
                <w:sz w:val="18"/>
                <w:szCs w:val="18"/>
              </w:rPr>
              <w:t>10</w:t>
            </w:r>
          </w:p>
        </w:tc>
        <w:tc>
          <w:tcPr>
            <w:tcW w:w="1730" w:type="dxa"/>
            <w:tcBorders>
              <w:top w:val="nil"/>
              <w:left w:val="nil"/>
              <w:bottom w:val="single" w:sz="8" w:space="0" w:color="auto"/>
              <w:right w:val="single" w:sz="8" w:space="0" w:color="auto"/>
            </w:tcBorders>
            <w:shd w:val="clear" w:color="auto" w:fill="auto"/>
            <w:noWrap/>
            <w:vAlign w:val="bottom"/>
            <w:hideMark/>
          </w:tcPr>
          <w:p w:rsidR="00FC38F4" w:rsidRPr="00F05254" w:rsidP="00FC38F4" w14:paraId="01BB5525" w14:textId="77777777">
            <w:pPr>
              <w:jc w:val="right"/>
              <w:rPr>
                <w:rFonts w:ascii="Arial" w:hAnsi="Arial"/>
                <w:b/>
                <w:bCs/>
                <w:sz w:val="18"/>
                <w:szCs w:val="18"/>
              </w:rPr>
            </w:pPr>
            <w:r w:rsidRPr="00F05254">
              <w:rPr>
                <w:rFonts w:ascii="Arial" w:hAnsi="Arial"/>
                <w:b/>
                <w:bCs/>
                <w:sz w:val="18"/>
                <w:szCs w:val="18"/>
              </w:rPr>
              <w:t>9</w:t>
            </w:r>
          </w:p>
        </w:tc>
        <w:tc>
          <w:tcPr>
            <w:tcW w:w="1283" w:type="dxa"/>
            <w:tcBorders>
              <w:top w:val="nil"/>
              <w:left w:val="nil"/>
              <w:bottom w:val="single" w:sz="8" w:space="0" w:color="auto"/>
              <w:right w:val="single" w:sz="8" w:space="0" w:color="auto"/>
            </w:tcBorders>
            <w:shd w:val="clear" w:color="auto" w:fill="auto"/>
            <w:noWrap/>
            <w:vAlign w:val="bottom"/>
            <w:hideMark/>
          </w:tcPr>
          <w:p w:rsidR="00FC38F4" w:rsidRPr="00F05254" w:rsidP="00FC38F4" w14:paraId="0ABE18A7" w14:textId="77777777">
            <w:pPr>
              <w:jc w:val="right"/>
              <w:rPr>
                <w:rFonts w:ascii="Arial" w:hAnsi="Arial"/>
                <w:b/>
                <w:bCs/>
                <w:sz w:val="18"/>
                <w:szCs w:val="18"/>
              </w:rPr>
            </w:pPr>
            <w:r w:rsidRPr="00F05254">
              <w:rPr>
                <w:rFonts w:ascii="Arial" w:hAnsi="Arial"/>
                <w:b/>
                <w:bCs/>
                <w:sz w:val="18"/>
                <w:szCs w:val="18"/>
              </w:rPr>
              <w:t>19</w:t>
            </w:r>
          </w:p>
        </w:tc>
        <w:tc>
          <w:tcPr>
            <w:tcW w:w="1401" w:type="dxa"/>
            <w:tcBorders>
              <w:top w:val="nil"/>
              <w:left w:val="nil"/>
              <w:bottom w:val="single" w:sz="8" w:space="0" w:color="auto"/>
              <w:right w:val="single" w:sz="8" w:space="0" w:color="auto"/>
            </w:tcBorders>
            <w:shd w:val="clear" w:color="auto" w:fill="auto"/>
            <w:noWrap/>
            <w:vAlign w:val="bottom"/>
            <w:hideMark/>
          </w:tcPr>
          <w:p w:rsidR="00FC38F4" w:rsidRPr="00F05254" w:rsidP="00FC38F4" w14:paraId="39C47897" w14:textId="77777777">
            <w:pPr>
              <w:jc w:val="right"/>
              <w:rPr>
                <w:rFonts w:ascii="Arial" w:hAnsi="Arial"/>
                <w:b/>
                <w:bCs/>
                <w:sz w:val="18"/>
                <w:szCs w:val="18"/>
              </w:rPr>
            </w:pPr>
            <w:r w:rsidRPr="00F05254">
              <w:rPr>
                <w:rFonts w:ascii="Arial" w:hAnsi="Arial"/>
                <w:b/>
                <w:bCs/>
                <w:sz w:val="18"/>
                <w:szCs w:val="18"/>
              </w:rPr>
              <w:t>245.0</w:t>
            </w:r>
          </w:p>
        </w:tc>
        <w:tc>
          <w:tcPr>
            <w:tcW w:w="1221" w:type="dxa"/>
            <w:tcBorders>
              <w:top w:val="nil"/>
              <w:left w:val="nil"/>
              <w:bottom w:val="single" w:sz="8" w:space="0" w:color="auto"/>
              <w:right w:val="single" w:sz="8" w:space="0" w:color="auto"/>
            </w:tcBorders>
            <w:shd w:val="clear" w:color="auto" w:fill="auto"/>
            <w:noWrap/>
            <w:vAlign w:val="bottom"/>
            <w:hideMark/>
          </w:tcPr>
          <w:p w:rsidR="00FC38F4" w:rsidRPr="00F05254" w:rsidP="00FC38F4" w14:paraId="415312FC" w14:textId="77777777">
            <w:pPr>
              <w:rPr>
                <w:rFonts w:ascii="Arial" w:hAnsi="Arial"/>
                <w:b/>
                <w:bCs/>
                <w:sz w:val="18"/>
                <w:szCs w:val="18"/>
              </w:rPr>
            </w:pPr>
            <w:r w:rsidRPr="00F05254">
              <w:rPr>
                <w:rFonts w:ascii="Arial" w:hAnsi="Arial"/>
                <w:b/>
                <w:bCs/>
                <w:sz w:val="18"/>
                <w:szCs w:val="18"/>
              </w:rPr>
              <w:t> </w:t>
            </w:r>
          </w:p>
        </w:tc>
        <w:tc>
          <w:tcPr>
            <w:tcW w:w="1188" w:type="dxa"/>
            <w:tcBorders>
              <w:top w:val="nil"/>
              <w:left w:val="nil"/>
              <w:bottom w:val="single" w:sz="8" w:space="0" w:color="auto"/>
              <w:right w:val="single" w:sz="8" w:space="0" w:color="auto"/>
            </w:tcBorders>
            <w:shd w:val="clear" w:color="auto" w:fill="auto"/>
            <w:noWrap/>
            <w:vAlign w:val="bottom"/>
          </w:tcPr>
          <w:p w:rsidR="00FC38F4" w:rsidRPr="00F05254" w:rsidP="00FC38F4" w14:paraId="2B0C2BCF" w14:textId="29E4773A">
            <w:pPr>
              <w:jc w:val="right"/>
              <w:rPr>
                <w:rFonts w:ascii="Arial" w:hAnsi="Arial"/>
                <w:b/>
                <w:bCs/>
                <w:sz w:val="18"/>
                <w:szCs w:val="18"/>
              </w:rPr>
            </w:pPr>
            <w:r w:rsidRPr="00F05254">
              <w:rPr>
                <w:rFonts w:ascii="Arial" w:hAnsi="Arial"/>
                <w:b/>
                <w:bCs/>
                <w:sz w:val="18"/>
                <w:szCs w:val="18"/>
              </w:rPr>
              <w:t>$20,049</w:t>
            </w:r>
          </w:p>
        </w:tc>
      </w:tr>
    </w:tbl>
    <w:p w:rsidR="00BD430B" w:rsidRPr="00182B0F" w:rsidP="00BD430B" w14:paraId="578AF827" w14:textId="77777777">
      <w:pPr>
        <w:ind w:left="360"/>
      </w:pPr>
    </w:p>
    <w:p w:rsidR="008F7B61" w:rsidRPr="003E5FCF" w:rsidP="006A03B3" w14:paraId="095ED480" w14:textId="77777777">
      <w:pPr>
        <w:keepNext/>
        <w:numPr>
          <w:ilvl w:val="0"/>
          <w:numId w:val="1"/>
        </w:numPr>
        <w:tabs>
          <w:tab w:val="left" w:pos="360"/>
        </w:tabs>
        <w:rPr>
          <w:b/>
          <w:i/>
        </w:rPr>
      </w:pPr>
      <w:r w:rsidRPr="003E5FCF">
        <w:rPr>
          <w:b/>
          <w:i/>
        </w:rPr>
        <w:t>Provide an e</w:t>
      </w:r>
      <w:r w:rsidR="009B48E3">
        <w:rPr>
          <w:b/>
          <w:i/>
        </w:rPr>
        <w:t>st</w:t>
      </w:r>
      <w:r w:rsidRPr="003E5FCF">
        <w:rPr>
          <w:b/>
          <w:i/>
        </w:rPr>
        <w:t>imate of the total annual co</w:t>
      </w:r>
      <w:r w:rsidR="009B48E3">
        <w:rPr>
          <w:b/>
          <w:i/>
        </w:rPr>
        <w:t>st</w:t>
      </w:r>
      <w:r w:rsidRPr="003E5FCF">
        <w:rPr>
          <w:b/>
          <w:i/>
        </w:rPr>
        <w:t xml:space="preserve"> burden to respondents or </w:t>
      </w:r>
      <w:r w:rsidRPr="003E5FCF" w:rsidR="003129A6">
        <w:rPr>
          <w:b/>
          <w:i/>
        </w:rPr>
        <w:t>record-keepers</w:t>
      </w:r>
      <w:r w:rsidRPr="003E5FCF">
        <w:rPr>
          <w:b/>
          <w:i/>
        </w:rPr>
        <w:t xml:space="preserve"> resulting from the collection of information.</w:t>
      </w:r>
    </w:p>
    <w:p w:rsidR="008F7B61" w:rsidRPr="003E5FCF" w:rsidP="002F4C5D" w14:paraId="160AEE4C" w14:textId="77777777">
      <w:pPr>
        <w:numPr>
          <w:ilvl w:val="12"/>
          <w:numId w:val="0"/>
        </w:numPr>
        <w:ind w:left="360"/>
        <w:outlineLvl w:val="0"/>
      </w:pPr>
      <w:r w:rsidRPr="003E5FCF">
        <w:tab/>
      </w:r>
      <w:r w:rsidR="00AC4A54">
        <w:t>`</w:t>
      </w:r>
    </w:p>
    <w:p w:rsidR="00FB4DBF" w:rsidRPr="003E5FCF" w:rsidP="004046DC" w14:paraId="3C648B23" w14:textId="4ED16E2B">
      <w:pPr>
        <w:ind w:left="360"/>
      </w:pPr>
      <w:r>
        <w:t>St</w:t>
      </w:r>
      <w:r w:rsidRPr="00AD70F3">
        <w:t xml:space="preserve">ates </w:t>
      </w:r>
      <w:r w:rsidR="008C5004">
        <w:t>will</w:t>
      </w:r>
      <w:r w:rsidRPr="00AD70F3" w:rsidR="008C5004">
        <w:t xml:space="preserve"> </w:t>
      </w:r>
      <w:r>
        <w:t xml:space="preserve">also </w:t>
      </w:r>
      <w:r w:rsidRPr="00AD70F3">
        <w:t>incur co</w:t>
      </w:r>
      <w:r>
        <w:t>st</w:t>
      </w:r>
      <w:r w:rsidRPr="00AD70F3">
        <w:t>s associated with audits of their mDL infra</w:t>
      </w:r>
      <w:r>
        <w:t>st</w:t>
      </w:r>
      <w:r w:rsidRPr="00AD70F3">
        <w:t xml:space="preserve">ructure.  </w:t>
      </w:r>
      <w:r>
        <w:t>St</w:t>
      </w:r>
      <w:r w:rsidRPr="00AD70F3">
        <w:t xml:space="preserve">ates </w:t>
      </w:r>
      <w:r w:rsidR="007D04FB">
        <w:t>will</w:t>
      </w:r>
      <w:r w:rsidRPr="00AD70F3" w:rsidR="007D04FB">
        <w:t xml:space="preserve"> </w:t>
      </w:r>
      <w:r w:rsidRPr="00AD70F3">
        <w:t>incur this co</w:t>
      </w:r>
      <w:r>
        <w:t>st</w:t>
      </w:r>
      <w:r w:rsidRPr="00AD70F3">
        <w:t xml:space="preserve"> for </w:t>
      </w:r>
      <w:r>
        <w:t>each</w:t>
      </w:r>
      <w:r w:rsidRPr="00AD70F3">
        <w:t xml:space="preserve"> initial mDL waiver application.  </w:t>
      </w:r>
      <w:r w:rsidR="00426579">
        <w:t>TSA</w:t>
      </w:r>
      <w:r w:rsidRPr="00AD70F3">
        <w:t xml:space="preserve"> e</w:t>
      </w:r>
      <w:r>
        <w:t>st</w:t>
      </w:r>
      <w:r w:rsidRPr="00AD70F3">
        <w:t xml:space="preserve">imates this </w:t>
      </w:r>
      <w:r>
        <w:t xml:space="preserve">audit </w:t>
      </w:r>
      <w:r w:rsidRPr="00AD70F3">
        <w:t>co</w:t>
      </w:r>
      <w:r>
        <w:t>st</w:t>
      </w:r>
      <w:r w:rsidRPr="00AD70F3">
        <w:t xml:space="preserve"> at $</w:t>
      </w:r>
      <w:r w:rsidR="007160A2">
        <w:t>26,974</w:t>
      </w:r>
      <w:r w:rsidRPr="00AD70F3">
        <w:t xml:space="preserve"> per </w:t>
      </w:r>
      <w:r>
        <w:t>waiver application.</w:t>
      </w:r>
      <w:r w:rsidR="004D4198">
        <w:t xml:space="preserve"> </w:t>
      </w:r>
      <w:r>
        <w:t xml:space="preserve"> </w:t>
      </w:r>
      <w:r w:rsidR="00426579">
        <w:t>TSA</w:t>
      </w:r>
      <w:r>
        <w:t xml:space="preserve"> e</w:t>
      </w:r>
      <w:r>
        <w:t>st</w:t>
      </w:r>
      <w:r>
        <w:t xml:space="preserve">imates </w:t>
      </w:r>
      <w:r w:rsidR="000C31E3">
        <w:t>State</w:t>
      </w:r>
      <w:r>
        <w:t xml:space="preserve">s </w:t>
      </w:r>
      <w:r w:rsidR="007D04FB">
        <w:t xml:space="preserve">will </w:t>
      </w:r>
      <w:r>
        <w:t>submit 30 waiver applications in the fir</w:t>
      </w:r>
      <w:r>
        <w:t>st</w:t>
      </w:r>
      <w:r>
        <w:t xml:space="preserve"> </w:t>
      </w:r>
      <w:r w:rsidR="00F05254">
        <w:t xml:space="preserve">3 </w:t>
      </w:r>
      <w:r>
        <w:t>years of the rule</w:t>
      </w:r>
      <w:r w:rsidRPr="00AD70F3">
        <w:t xml:space="preserve">, resulting in a total </w:t>
      </w:r>
      <w:r w:rsidR="00F05254">
        <w:t>3</w:t>
      </w:r>
      <w:r w:rsidRPr="00AD70F3">
        <w:t>-year co</w:t>
      </w:r>
      <w:r>
        <w:t>st</w:t>
      </w:r>
      <w:r w:rsidRPr="00AD70F3">
        <w:t xml:space="preserve"> of $0.</w:t>
      </w:r>
      <w:r w:rsidR="007160A2">
        <w:t>81</w:t>
      </w:r>
      <w:r w:rsidRPr="00AD70F3" w:rsidR="007160A2">
        <w:t xml:space="preserve"> </w:t>
      </w:r>
      <w:r w:rsidRPr="00AD70F3">
        <w:t>million and an annual average co</w:t>
      </w:r>
      <w:r>
        <w:t>st</w:t>
      </w:r>
      <w:r w:rsidRPr="00AD70F3">
        <w:t xml:space="preserve"> of $0.</w:t>
      </w:r>
      <w:r w:rsidR="007160A2">
        <w:t>27</w:t>
      </w:r>
      <w:r w:rsidRPr="00AD70F3" w:rsidR="007160A2">
        <w:t xml:space="preserve"> </w:t>
      </w:r>
      <w:r w:rsidRPr="00AD70F3">
        <w:t>million.</w:t>
      </w:r>
      <w:r>
        <w:rPr>
          <w:rStyle w:val="FootnoteReference"/>
        </w:rPr>
        <w:footnoteReference w:id="18"/>
      </w:r>
    </w:p>
    <w:p w:rsidR="008F7B61" w:rsidRPr="003E5FCF" w:rsidP="007460E9" w14:paraId="783A9A06" w14:textId="77777777">
      <w:pPr>
        <w:keepNext/>
        <w:numPr>
          <w:ilvl w:val="12"/>
          <w:numId w:val="0"/>
        </w:numPr>
        <w:spacing w:line="360" w:lineRule="auto"/>
        <w:ind w:left="360"/>
      </w:pPr>
    </w:p>
    <w:p w:rsidR="008F7B61" w:rsidRPr="003E5FCF" w:rsidP="006A03B3" w14:paraId="7B33CFFD" w14:textId="77777777">
      <w:pPr>
        <w:keepNext/>
        <w:numPr>
          <w:ilvl w:val="0"/>
          <w:numId w:val="1"/>
        </w:numPr>
        <w:tabs>
          <w:tab w:val="left" w:pos="360"/>
        </w:tabs>
        <w:rPr>
          <w:b/>
          <w:i/>
        </w:rPr>
      </w:pPr>
      <w:r w:rsidRPr="003E5FCF">
        <w:rPr>
          <w:b/>
          <w:i/>
        </w:rPr>
        <w:t>Provide e</w:t>
      </w:r>
      <w:r w:rsidR="009B48E3">
        <w:rPr>
          <w:b/>
          <w:i/>
        </w:rPr>
        <w:t>st</w:t>
      </w:r>
      <w:r w:rsidRPr="003E5FCF">
        <w:rPr>
          <w:b/>
          <w:i/>
        </w:rPr>
        <w:t>imates of annualized co</w:t>
      </w:r>
      <w:r w:rsidR="009B48E3">
        <w:rPr>
          <w:b/>
          <w:i/>
        </w:rPr>
        <w:t>st</w:t>
      </w:r>
      <w:r w:rsidRPr="003E5FCF">
        <w:rPr>
          <w:b/>
          <w:i/>
        </w:rPr>
        <w:t xml:space="preserve"> to the Federal Government.  Also, provide a description of the method used to e</w:t>
      </w:r>
      <w:r w:rsidR="009B48E3">
        <w:rPr>
          <w:b/>
          <w:i/>
        </w:rPr>
        <w:t>st</w:t>
      </w:r>
      <w:r w:rsidRPr="003E5FCF">
        <w:rPr>
          <w:b/>
          <w:i/>
        </w:rPr>
        <w:t>imate co</w:t>
      </w:r>
      <w:r w:rsidR="009B48E3">
        <w:rPr>
          <w:b/>
          <w:i/>
        </w:rPr>
        <w:t>st</w:t>
      </w:r>
      <w:r w:rsidRPr="003E5FCF">
        <w:rPr>
          <w:b/>
          <w:i/>
        </w:rPr>
        <w:t>, and other expenses that would not have been incurred without this collection of information.</w:t>
      </w:r>
    </w:p>
    <w:p w:rsidR="008F7B61" w:rsidRPr="003E5FCF" w:rsidP="007B743C" w14:paraId="0DBF07D6" w14:textId="77777777">
      <w:pPr>
        <w:keepNext/>
        <w:tabs>
          <w:tab w:val="left" w:pos="360"/>
        </w:tabs>
        <w:rPr>
          <w:b/>
          <w:i/>
        </w:rPr>
      </w:pPr>
    </w:p>
    <w:p w:rsidR="00E9184D" w:rsidRPr="00D12C9B" w:rsidP="0084194C" w14:paraId="749C5802" w14:textId="011E5F6D">
      <w:pPr>
        <w:keepNext/>
        <w:tabs>
          <w:tab w:val="left" w:pos="360"/>
        </w:tabs>
        <w:ind w:left="360"/>
        <w:rPr>
          <w:b/>
        </w:rPr>
      </w:pPr>
      <w:r>
        <w:t>TSA</w:t>
      </w:r>
      <w:r w:rsidRPr="00182B0F">
        <w:t xml:space="preserve"> technology </w:t>
      </w:r>
      <w:bookmarkStart w:id="4" w:name="_Hlk179297807"/>
      <w:r w:rsidR="00F05254">
        <w:t xml:space="preserve">subject matter experts </w:t>
      </w:r>
      <w:bookmarkEnd w:id="4"/>
      <w:r w:rsidRPr="00182B0F">
        <w:t>e</w:t>
      </w:r>
      <w:r w:rsidR="009B48E3">
        <w:t>st</w:t>
      </w:r>
      <w:r w:rsidRPr="00182B0F">
        <w:t xml:space="preserve">imate it </w:t>
      </w:r>
      <w:r w:rsidR="007D04FB">
        <w:t>will</w:t>
      </w:r>
      <w:r w:rsidRPr="00182B0F" w:rsidR="007D04FB">
        <w:t xml:space="preserve"> </w:t>
      </w:r>
      <w:r w:rsidRPr="00182B0F">
        <w:t xml:space="preserve">take a </w:t>
      </w:r>
      <w:r>
        <w:t>TSA</w:t>
      </w:r>
      <w:r w:rsidRPr="00182B0F">
        <w:t xml:space="preserve"> reviewer, on average, about 40 hours to complete an initial mDL waiver application review and 10 hours to review a resubmitted mDL waiver application that was initially insufficient. </w:t>
      </w:r>
      <w:r>
        <w:t xml:space="preserve"> </w:t>
      </w:r>
      <w:r>
        <w:t>TSA</w:t>
      </w:r>
      <w:r w:rsidRPr="00182B0F">
        <w:t xml:space="preserve"> also assumes a reviewer compensation rate of </w:t>
      </w:r>
      <w:r w:rsidRPr="009857F5">
        <w:t>$</w:t>
      </w:r>
      <w:r w:rsidR="007D04FB">
        <w:t>73.95</w:t>
      </w:r>
      <w:r>
        <w:rPr>
          <w:rStyle w:val="FootnoteReference"/>
        </w:rPr>
        <w:footnoteReference w:id="19"/>
      </w:r>
      <w:r w:rsidRPr="00182B0F">
        <w:t xml:space="preserve"> per hour. </w:t>
      </w:r>
      <w:r>
        <w:t xml:space="preserve"> </w:t>
      </w:r>
      <w:r>
        <w:t>TSA</w:t>
      </w:r>
      <w:r w:rsidRPr="00182B0F">
        <w:t xml:space="preserve"> e</w:t>
      </w:r>
      <w:r w:rsidR="009B48E3">
        <w:t>st</w:t>
      </w:r>
      <w:r w:rsidRPr="00182B0F">
        <w:t xml:space="preserve">imates </w:t>
      </w:r>
      <w:r>
        <w:t>TSA</w:t>
      </w:r>
      <w:r w:rsidRPr="00182B0F">
        <w:t xml:space="preserve"> </w:t>
      </w:r>
      <w:r w:rsidR="007D04FB">
        <w:t>will</w:t>
      </w:r>
      <w:r w:rsidRPr="00182B0F" w:rsidR="007D04FB">
        <w:t xml:space="preserve"> </w:t>
      </w:r>
      <w:r w:rsidRPr="00182B0F">
        <w:t>incur a total co</w:t>
      </w:r>
      <w:r w:rsidR="009B48E3">
        <w:t>st</w:t>
      </w:r>
      <w:r w:rsidRPr="00182B0F">
        <w:t xml:space="preserve"> of $</w:t>
      </w:r>
      <w:r w:rsidR="00FC38F4">
        <w:t>108,699</w:t>
      </w:r>
      <w:r>
        <w:rPr>
          <w:rStyle w:val="FootnoteReference"/>
        </w:rPr>
        <w:footnoteReference w:id="20"/>
      </w:r>
      <w:r w:rsidRPr="00182B0F">
        <w:t xml:space="preserve"> in the fir</w:t>
      </w:r>
      <w:r w:rsidR="009B48E3">
        <w:t>st</w:t>
      </w:r>
      <w:r w:rsidRPr="00182B0F">
        <w:t xml:space="preserve"> </w:t>
      </w:r>
      <w:r w:rsidR="00F05254">
        <w:t>3</w:t>
      </w:r>
      <w:r w:rsidRPr="00182B0F" w:rsidR="00F05254">
        <w:t xml:space="preserve"> </w:t>
      </w:r>
      <w:r w:rsidRPr="00182B0F">
        <w:t>years of the analysis and an average annual co</w:t>
      </w:r>
      <w:r w:rsidR="009B48E3">
        <w:t>st</w:t>
      </w:r>
      <w:r w:rsidRPr="00182B0F">
        <w:t xml:space="preserve"> of $</w:t>
      </w:r>
      <w:r w:rsidR="00FC38F4">
        <w:t>36,233</w:t>
      </w:r>
      <w:r w:rsidRPr="00182B0F">
        <w:t>.</w:t>
      </w:r>
    </w:p>
    <w:p w:rsidR="008F7B61" w:rsidRPr="00D12C9B" w:rsidP="007B743C" w14:paraId="2CE93891" w14:textId="77777777">
      <w:pPr>
        <w:keepNext/>
        <w:tabs>
          <w:tab w:val="left" w:pos="360"/>
        </w:tabs>
        <w:rPr>
          <w:b/>
          <w:i/>
        </w:rPr>
      </w:pPr>
    </w:p>
    <w:p w:rsidR="008F7B61" w:rsidRPr="00D12C9B" w:rsidP="006A03B3" w14:paraId="0A2BE5A0" w14:textId="77777777">
      <w:pPr>
        <w:keepNext/>
        <w:numPr>
          <w:ilvl w:val="0"/>
          <w:numId w:val="1"/>
        </w:numPr>
        <w:tabs>
          <w:tab w:val="left" w:pos="360"/>
        </w:tabs>
        <w:rPr>
          <w:b/>
          <w:i/>
        </w:rPr>
      </w:pPr>
      <w:r w:rsidRPr="00D12C9B">
        <w:rPr>
          <w:b/>
          <w:i/>
        </w:rPr>
        <w:t>Explain the reasons for any program changes or adju</w:t>
      </w:r>
      <w:r w:rsidR="009B48E3">
        <w:rPr>
          <w:b/>
          <w:i/>
        </w:rPr>
        <w:t>st</w:t>
      </w:r>
      <w:r w:rsidRPr="00D12C9B">
        <w:rPr>
          <w:b/>
          <w:i/>
        </w:rPr>
        <w:t>ments reported in Items 13 or 14 of the OMB Form 83-I.</w:t>
      </w:r>
    </w:p>
    <w:p w:rsidR="008F7B61" w:rsidRPr="00D12C9B" w:rsidP="007460E9" w14:paraId="5114E186" w14:textId="77777777">
      <w:pPr>
        <w:keepNext/>
        <w:numPr>
          <w:ilvl w:val="12"/>
          <w:numId w:val="0"/>
        </w:numPr>
        <w:spacing w:line="360" w:lineRule="auto"/>
        <w:ind w:left="360"/>
      </w:pPr>
    </w:p>
    <w:p w:rsidR="00EA38E8" w:rsidP="00EA38E8" w14:paraId="291CA693" w14:textId="4A20BF0D">
      <w:pPr>
        <w:numPr>
          <w:ilvl w:val="12"/>
          <w:numId w:val="0"/>
        </w:numPr>
        <w:ind w:left="360"/>
        <w:outlineLvl w:val="0"/>
      </w:pPr>
      <w:r>
        <w:t>There has been no program changes or new requirements e</w:t>
      </w:r>
      <w:r w:rsidR="009B48E3">
        <w:t>st</w:t>
      </w:r>
      <w:r>
        <w:t>ablished as a result of this collection reque</w:t>
      </w:r>
      <w:r w:rsidR="009B48E3">
        <w:t>st</w:t>
      </w:r>
      <w:r>
        <w:t>.</w:t>
      </w:r>
    </w:p>
    <w:p w:rsidR="00EA38E8" w:rsidP="00EA38E8" w14:paraId="4B2F2786" w14:textId="77777777">
      <w:pPr>
        <w:numPr>
          <w:ilvl w:val="12"/>
          <w:numId w:val="0"/>
        </w:numPr>
        <w:ind w:left="360"/>
        <w:outlineLvl w:val="0"/>
      </w:pPr>
    </w:p>
    <w:p w:rsidR="008F7B61" w:rsidRPr="000508BB" w:rsidP="006A03B3" w14:paraId="6B0C1C83" w14:textId="77777777">
      <w:pPr>
        <w:keepNext/>
        <w:numPr>
          <w:ilvl w:val="0"/>
          <w:numId w:val="1"/>
        </w:numPr>
        <w:tabs>
          <w:tab w:val="left" w:pos="360"/>
        </w:tabs>
        <w:rPr>
          <w:b/>
          <w:i/>
        </w:rPr>
      </w:pPr>
      <w:r w:rsidRPr="005C609B">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F7B61" w:rsidRPr="000508BB" w:rsidP="007460E9" w14:paraId="4AAECFD1" w14:textId="77777777">
      <w:pPr>
        <w:keepNext/>
        <w:numPr>
          <w:ilvl w:val="12"/>
          <w:numId w:val="0"/>
        </w:numPr>
        <w:spacing w:line="360" w:lineRule="auto"/>
        <w:ind w:left="360"/>
      </w:pPr>
    </w:p>
    <w:p w:rsidR="008F7B61" w:rsidRPr="000508BB" w:rsidP="00B11FA2" w14:paraId="2F675314" w14:textId="6499B25F">
      <w:pPr>
        <w:numPr>
          <w:ilvl w:val="12"/>
          <w:numId w:val="0"/>
        </w:numPr>
        <w:ind w:left="360"/>
        <w:outlineLvl w:val="0"/>
      </w:pPr>
      <w:r>
        <w:t>TSA</w:t>
      </w:r>
      <w:r w:rsidRPr="000508BB">
        <w:t xml:space="preserve"> will not publish the results of this collection.</w:t>
      </w:r>
      <w:r w:rsidR="00B11FA2">
        <w:t xml:space="preserve">  </w:t>
      </w:r>
      <w:r>
        <w:t>TSA</w:t>
      </w:r>
      <w:r w:rsidR="00B11FA2">
        <w:t xml:space="preserve"> will only publish the names of </w:t>
      </w:r>
      <w:r w:rsidR="009B48E3">
        <w:t>St</w:t>
      </w:r>
      <w:r w:rsidR="00B11FA2">
        <w:t>ates that have been issued a certificate of waiver.</w:t>
      </w:r>
    </w:p>
    <w:p w:rsidR="008F7B61" w:rsidRPr="00D12C9B" w:rsidP="007460E9" w14:paraId="29EAEB0D" w14:textId="77777777">
      <w:pPr>
        <w:pStyle w:val="IndexHeading"/>
        <w:keepNext w:val="0"/>
        <w:numPr>
          <w:ilvl w:val="12"/>
          <w:numId w:val="0"/>
        </w:numPr>
        <w:spacing w:line="360" w:lineRule="auto"/>
        <w:rPr>
          <w:rFonts w:ascii="Times New Roman" w:hAnsi="Times New Roman"/>
          <w:spacing w:val="0"/>
        </w:rPr>
      </w:pPr>
    </w:p>
    <w:p w:rsidR="008F7B61" w:rsidRPr="00D12C9B" w:rsidP="006A03B3" w14:paraId="344821D2" w14:textId="77777777">
      <w:pPr>
        <w:keepNext/>
        <w:numPr>
          <w:ilvl w:val="0"/>
          <w:numId w:val="1"/>
        </w:numPr>
        <w:tabs>
          <w:tab w:val="left" w:pos="360"/>
        </w:tabs>
        <w:rPr>
          <w:b/>
          <w:i/>
        </w:rPr>
      </w:pPr>
      <w:r w:rsidRPr="00D12C9B">
        <w:rPr>
          <w:b/>
          <w:i/>
        </w:rPr>
        <w:t>If seeking approval to not display the expiration date for OMB approval of the information collection, explain the reasons why display would be inappropriate.</w:t>
      </w:r>
    </w:p>
    <w:p w:rsidR="008F7B61" w:rsidRPr="00D12C9B" w:rsidP="007460E9" w14:paraId="4E4655CC" w14:textId="77777777">
      <w:pPr>
        <w:keepNext/>
        <w:numPr>
          <w:ilvl w:val="12"/>
          <w:numId w:val="0"/>
        </w:numPr>
        <w:spacing w:line="360" w:lineRule="auto"/>
        <w:ind w:left="360"/>
      </w:pPr>
    </w:p>
    <w:p w:rsidR="008F7B61" w:rsidRPr="00D12C9B" w:rsidP="0084194C" w14:paraId="7B564B26" w14:textId="654E3182">
      <w:pPr>
        <w:numPr>
          <w:ilvl w:val="12"/>
          <w:numId w:val="0"/>
        </w:numPr>
        <w:ind w:left="360"/>
        <w:outlineLvl w:val="0"/>
      </w:pPr>
      <w:r w:rsidRPr="00D12C9B">
        <w:t xml:space="preserve">All information gathered under this collection will be in formats governed by individual </w:t>
      </w:r>
      <w:r w:rsidR="009B48E3">
        <w:t>St</w:t>
      </w:r>
      <w:r w:rsidR="008B3715">
        <w:t xml:space="preserve">ate </w:t>
      </w:r>
      <w:r w:rsidRPr="00D12C9B">
        <w:t>requirements and formats, thus display of the OMB number would be inappropriate.</w:t>
      </w:r>
    </w:p>
    <w:p w:rsidR="008F7B61" w:rsidRPr="00D12C9B" w:rsidP="007460E9" w14:paraId="388DDB0E" w14:textId="77777777">
      <w:pPr>
        <w:numPr>
          <w:ilvl w:val="12"/>
          <w:numId w:val="0"/>
        </w:numPr>
        <w:tabs>
          <w:tab w:val="left" w:pos="360"/>
        </w:tabs>
        <w:spacing w:line="360" w:lineRule="auto"/>
      </w:pPr>
    </w:p>
    <w:p w:rsidR="008F7B61" w:rsidRPr="00D12C9B" w:rsidP="006A03B3" w14:paraId="35197171" w14:textId="77777777">
      <w:pPr>
        <w:keepNext/>
        <w:numPr>
          <w:ilvl w:val="0"/>
          <w:numId w:val="1"/>
        </w:numPr>
        <w:tabs>
          <w:tab w:val="left" w:pos="360"/>
        </w:tabs>
        <w:rPr>
          <w:b/>
          <w:i/>
        </w:rPr>
      </w:pPr>
      <w:r w:rsidRPr="00D12C9B">
        <w:rPr>
          <w:b/>
          <w:i/>
        </w:rPr>
        <w:t xml:space="preserve">Explain each exception to the certification </w:t>
      </w:r>
      <w:r w:rsidR="009B48E3">
        <w:rPr>
          <w:b/>
          <w:i/>
        </w:rPr>
        <w:t>st</w:t>
      </w:r>
      <w:r w:rsidRPr="00D12C9B">
        <w:rPr>
          <w:b/>
          <w:i/>
        </w:rPr>
        <w:t>atement identified in Item 19, “Certification for Paperwork Reduction Act Submissions,” of OMB Form 83-I.</w:t>
      </w:r>
    </w:p>
    <w:p w:rsidR="008F7B61" w:rsidRPr="00D12C9B" w:rsidP="007460E9" w14:paraId="2C21CF39" w14:textId="77777777">
      <w:pPr>
        <w:keepNext/>
        <w:numPr>
          <w:ilvl w:val="12"/>
          <w:numId w:val="0"/>
        </w:numPr>
        <w:spacing w:line="360" w:lineRule="auto"/>
        <w:ind w:left="360"/>
      </w:pPr>
    </w:p>
    <w:p w:rsidR="008F7B61" w:rsidP="0084194C" w14:paraId="28178903" w14:textId="03CE35A0">
      <w:pPr>
        <w:numPr>
          <w:ilvl w:val="12"/>
          <w:numId w:val="0"/>
        </w:numPr>
        <w:spacing w:line="360" w:lineRule="auto"/>
        <w:ind w:firstLine="360"/>
      </w:pPr>
      <w:r>
        <w:t>TSA</w:t>
      </w:r>
      <w:r w:rsidRPr="00D12C9B">
        <w:t xml:space="preserve"> is not seeking any exceptions.</w:t>
      </w:r>
    </w:p>
    <w:sectPr w:rsidSect="00830BF4">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rsidP="00C41323" w14:paraId="65476F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4125" w14:paraId="008015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6C7F219C" w14:textId="77777777">
    <w:pPr>
      <w:pStyle w:val="Footer"/>
    </w:pPr>
  </w:p>
  <w:p w:rsidR="00094125" w14:paraId="64393C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410EBA0D"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384E" w14:paraId="3FA14AA5" w14:textId="77777777">
      <w:r>
        <w:separator/>
      </w:r>
    </w:p>
  </w:footnote>
  <w:footnote w:type="continuationSeparator" w:id="1">
    <w:p w:rsidR="002A384E" w14:paraId="491F3FE4" w14:textId="77777777">
      <w:r>
        <w:continuationSeparator/>
      </w:r>
    </w:p>
  </w:footnote>
  <w:footnote w:type="continuationNotice" w:id="2">
    <w:p w:rsidR="002A384E" w14:paraId="7242F844" w14:textId="77777777"/>
  </w:footnote>
  <w:footnote w:id="3">
    <w:p w:rsidR="00094125" w14:paraId="43061D3C" w14:textId="77777777">
      <w:pPr>
        <w:pStyle w:val="FootnoteText"/>
      </w:pPr>
      <w:r>
        <w:rPr>
          <w:rStyle w:val="FootnoteReference"/>
        </w:rPr>
        <w:footnoteRef/>
      </w:r>
      <w:r>
        <w:t xml:space="preserve"> </w:t>
      </w:r>
      <w:r w:rsidRPr="00813709">
        <w:t>The REAL ID Act of 2005—Title II of division B of the FY05 Emergency Supplemental Appropriations Act, as amended, Public La</w:t>
      </w:r>
      <w:r>
        <w:t>w 109– 13, 49 U.S.C. 30301 note</w:t>
      </w:r>
      <w:r w:rsidRPr="00813709">
        <w:t>.</w:t>
      </w:r>
    </w:p>
  </w:footnote>
  <w:footnote w:id="4">
    <w:p w:rsidR="00094125" w14:paraId="5C9C71CB" w14:textId="3C9F59E6">
      <w:pPr>
        <w:pStyle w:val="FootnoteText"/>
      </w:pPr>
      <w:r>
        <w:rPr>
          <w:rStyle w:val="FootnoteReference"/>
        </w:rPr>
        <w:footnoteRef/>
      </w:r>
      <w:r>
        <w:t xml:space="preserve"> </w:t>
      </w:r>
      <w:r w:rsidRPr="00813709">
        <w:rPr>
          <w:i/>
        </w:rPr>
        <w:t>See</w:t>
      </w:r>
      <w:r w:rsidRPr="00813709">
        <w:t xml:space="preserve"> 73 FR 5272 (Jan. 29, 2008)</w:t>
      </w:r>
      <w:r>
        <w:t xml:space="preserve"> </w:t>
      </w:r>
      <w:r w:rsidRPr="00813709">
        <w:t>and 6 CFR part 37.</w:t>
      </w:r>
    </w:p>
  </w:footnote>
  <w:footnote w:id="5">
    <w:p w:rsidR="00094125" w:rsidRPr="002245A4" w:rsidP="00297CDE" w14:paraId="78C66145" w14:textId="77777777">
      <w:pPr>
        <w:pStyle w:val="FootnoteText"/>
      </w:pPr>
      <w:r w:rsidRPr="002245A4">
        <w:rPr>
          <w:rStyle w:val="FootnoteReference"/>
        </w:rPr>
        <w:footnoteRef/>
      </w:r>
      <w:r w:rsidRPr="002245A4">
        <w:t xml:space="preserve"> </w:t>
      </w:r>
      <w:r w:rsidRPr="00813709">
        <w:rPr>
          <w:i/>
        </w:rPr>
        <w:t>See</w:t>
      </w:r>
      <w:r w:rsidRPr="002245A4">
        <w:t xml:space="preserve"> 6 CFR 37.5(b).</w:t>
      </w:r>
    </w:p>
  </w:footnote>
  <w:footnote w:id="6">
    <w:p w:rsidR="00C17895" w:rsidP="00C17895" w14:paraId="7CA1B0C0" w14:textId="4848ABDD">
      <w:pPr>
        <w:pStyle w:val="FootnoteText"/>
      </w:pPr>
      <w:r>
        <w:rPr>
          <w:rStyle w:val="FootnoteReference"/>
        </w:rPr>
        <w:footnoteRef/>
      </w:r>
      <w:r>
        <w:t xml:space="preserve"> </w:t>
      </w:r>
      <w:r w:rsidRPr="00C17895">
        <w:t>An mDL is generally recognized as the digital representation of an individual’s identity information contained on a State-issued physical DL/ID, and is stored on mobile devices, such as smartphones.  A technical description of mDLs as envisioned by the American Association of Motor Vehicle Administrators may be found at https://www.aamva.org/Mobile-Drivers-License/.</w:t>
      </w:r>
    </w:p>
  </w:footnote>
  <w:footnote w:id="7">
    <w:p w:rsidR="00310F35" w:rsidRPr="0060792B" w:rsidP="00310F35" w14:paraId="6D8E7CD0" w14:textId="77777777">
      <w:pPr>
        <w:pStyle w:val="FootnoteText"/>
      </w:pPr>
      <w:r w:rsidRPr="0060792B">
        <w:rPr>
          <w:rStyle w:val="FootnoteReference"/>
        </w:rPr>
        <w:footnoteRef/>
      </w:r>
      <w:r w:rsidRPr="0060792B">
        <w:t xml:space="preserve"> Sec. 1001 of the REAL ID Modernization Act, Title X of Division U of the Consolidated Appropriations Act, 2021, Pub. L. No. 116-260, 134 Stat. 2304</w:t>
      </w:r>
      <w:r>
        <w:t xml:space="preserve">, </w:t>
      </w:r>
      <w:r w:rsidRPr="00E60C53">
        <w:rPr>
          <w:i/>
          <w:iCs/>
        </w:rPr>
        <w:t>available at</w:t>
      </w:r>
      <w:r w:rsidRPr="00E60C53">
        <w:t xml:space="preserve"> </w:t>
      </w:r>
      <w:hyperlink r:id="rId1" w:anchor=":~:text=An%20act%20making%20consolidated%20appropriations,relief%2C%20and%20for%20other%20purposes." w:history="1">
        <w:r w:rsidRPr="00E60C53">
          <w:rPr>
            <w:rStyle w:val="Hyperlink"/>
          </w:rPr>
          <w:t>Public Law 116 - 260 - Consolidated Appropriations Act, 2021 - Content Details - (govinfo.gov)</w:t>
        </w:r>
      </w:hyperlink>
      <w:r w:rsidRPr="0060792B">
        <w:t>.</w:t>
      </w:r>
    </w:p>
  </w:footnote>
  <w:footnote w:id="8">
    <w:p w:rsidR="00094125" w14:paraId="42A73017" w14:textId="77777777">
      <w:pPr>
        <w:pStyle w:val="FootnoteText"/>
      </w:pPr>
      <w:r>
        <w:rPr>
          <w:rStyle w:val="FootnoteReference"/>
        </w:rPr>
        <w:footnoteRef/>
      </w:r>
      <w:r>
        <w:t xml:space="preserve"> 6 CFR §§ 37.15(c) &amp; 37.17(h).</w:t>
      </w:r>
    </w:p>
  </w:footnote>
  <w:footnote w:id="9">
    <w:p w:rsidR="008C5FFE" w14:paraId="1F418943" w14:textId="339B7E31">
      <w:pPr>
        <w:pStyle w:val="FootnoteText"/>
      </w:pPr>
      <w:r>
        <w:rPr>
          <w:rStyle w:val="FootnoteReference"/>
        </w:rPr>
        <w:footnoteRef/>
      </w:r>
      <w:r>
        <w:t xml:space="preserve"> </w:t>
      </w:r>
      <w:r w:rsidRPr="0060792B">
        <w:t>The REAL ID Act of 2005, Division B of the FY05 Emergency Supplemental Appropriations Act, as amended, Public Law 109–13,</w:t>
      </w:r>
      <w:r>
        <w:t xml:space="preserve"> </w:t>
      </w:r>
      <w:r w:rsidRPr="0060792B">
        <w:t>119 Stat. 302.</w:t>
      </w:r>
      <w:r>
        <w:t xml:space="preserve">  Effective May 22, 2023</w:t>
      </w:r>
      <w:r w:rsidRPr="008D1840">
        <w:t xml:space="preserve">, </w:t>
      </w:r>
      <w:r w:rsidRPr="008D1840">
        <w:rPr>
          <w:iCs/>
          <w:spacing w:val="-4"/>
        </w:rPr>
        <w:t xml:space="preserve">authority to </w:t>
      </w:r>
      <w:r w:rsidRPr="008D1840">
        <w:rPr>
          <w:iCs/>
        </w:rPr>
        <w:t xml:space="preserve">administer </w:t>
      </w:r>
      <w:r w:rsidRPr="008D1840">
        <w:t>t</w:t>
      </w:r>
      <w:r>
        <w:t xml:space="preserve">he REAL ID program was delegated from the Secretary of Homeland Security to the Administrator of </w:t>
      </w:r>
      <w:r w:rsidRPr="008D1840">
        <w:t xml:space="preserve">TSA </w:t>
      </w:r>
      <w:r w:rsidRPr="008D1840">
        <w:rPr>
          <w:iCs/>
        </w:rPr>
        <w:t>pursuant to</w:t>
      </w:r>
      <w:r w:rsidRPr="008D1840">
        <w:rPr>
          <w:i/>
          <w:iCs/>
        </w:rPr>
        <w:t xml:space="preserve"> </w:t>
      </w:r>
      <w:r w:rsidRPr="008D1840">
        <w:t>DHS Delegation No. 7060.2.1.</w:t>
      </w:r>
    </w:p>
  </w:footnote>
  <w:footnote w:id="10">
    <w:p w:rsidR="001109A8" w14:paraId="64CCF10C" w14:textId="7444D1A9">
      <w:pPr>
        <w:pStyle w:val="FootnoteText"/>
      </w:pPr>
      <w:r>
        <w:rPr>
          <w:rStyle w:val="FootnoteReference"/>
        </w:rPr>
        <w:footnoteRef/>
      </w:r>
      <w:r>
        <w:t xml:space="preserve"> 88 FR 60056 (August 30, 2023).</w:t>
      </w:r>
    </w:p>
  </w:footnote>
  <w:footnote w:id="11">
    <w:p w:rsidR="00094125" w14:paraId="6CBAD5D4" w14:textId="77777777">
      <w:pPr>
        <w:pStyle w:val="FootnoteText"/>
      </w:pPr>
      <w:r>
        <w:rPr>
          <w:rStyle w:val="FootnoteReference"/>
        </w:rPr>
        <w:footnoteRef/>
      </w:r>
      <w:r>
        <w:t xml:space="preserve"> </w:t>
      </w:r>
      <w:r w:rsidRPr="00985776">
        <w:t>86 FR 20320 (April 19, 2021).</w:t>
      </w:r>
    </w:p>
  </w:footnote>
  <w:footnote w:id="12">
    <w:p w:rsidR="00094125" w14:paraId="56AA161B" w14:textId="77777777">
      <w:pPr>
        <w:pStyle w:val="FootnoteText"/>
      </w:pPr>
      <w:r>
        <w:rPr>
          <w:rStyle w:val="FootnoteReference"/>
        </w:rPr>
        <w:footnoteRef/>
      </w:r>
      <w:r>
        <w:t xml:space="preserve"> </w:t>
      </w:r>
      <w:r w:rsidRPr="0060792B">
        <w:t>86 FR 31987 (June 16, 2021).</w:t>
      </w:r>
    </w:p>
  </w:footnote>
  <w:footnote w:id="13">
    <w:p w:rsidR="00094125" w14:paraId="561EFFD2" w14:textId="77777777">
      <w:pPr>
        <w:pStyle w:val="FootnoteText"/>
      </w:pPr>
      <w:r>
        <w:rPr>
          <w:rStyle w:val="FootnoteReference"/>
        </w:rPr>
        <w:footnoteRef/>
      </w:r>
      <w:r>
        <w:t xml:space="preserve"> </w:t>
      </w:r>
      <w:r w:rsidRPr="0060792B">
        <w:t>86 FR 51625 (Sept. 16, 2021).</w:t>
      </w:r>
    </w:p>
  </w:footnote>
  <w:footnote w:id="14">
    <w:p w:rsidR="00D74B86" w:rsidP="00D74B86" w14:paraId="1233A169" w14:textId="77777777">
      <w:pPr>
        <w:pStyle w:val="FootnoteText"/>
      </w:pPr>
      <w:r>
        <w:rPr>
          <w:rStyle w:val="FootnoteReference"/>
        </w:rPr>
        <w:footnoteRef/>
      </w:r>
      <w:r>
        <w:t xml:space="preserve"> The 31</w:t>
      </w:r>
      <w:r w:rsidRPr="00357C58">
        <w:t xml:space="preserve"> </w:t>
      </w:r>
      <w:r>
        <w:t xml:space="preserve">total comments </w:t>
      </w:r>
      <w:r w:rsidRPr="00357C58">
        <w:t xml:space="preserve">include </w:t>
      </w:r>
      <w:r>
        <w:t>1</w:t>
      </w:r>
      <w:r w:rsidRPr="00357C58">
        <w:t xml:space="preserve"> duplicate</w:t>
      </w:r>
      <w:r>
        <w:t>, 1 correction,</w:t>
      </w:r>
      <w:r w:rsidRPr="00357C58">
        <w:t xml:space="preserve"> and 1 confidential submission</w:t>
      </w:r>
      <w:r>
        <w:t>.</w:t>
      </w:r>
    </w:p>
  </w:footnote>
  <w:footnote w:id="15">
    <w:p w:rsidR="00F32E6F" w14:paraId="7E48F859" w14:textId="77777777">
      <w:pPr>
        <w:pStyle w:val="FootnoteText"/>
      </w:pPr>
      <w:r>
        <w:rPr>
          <w:rStyle w:val="FootnoteReference"/>
        </w:rPr>
        <w:footnoteRef/>
      </w:r>
      <w:r>
        <w:t xml:space="preserve"> mDL waiver resubmission burden = 20</w:t>
      </w:r>
      <w:r w:rsidRPr="00354625">
        <w:t xml:space="preserve"> hours [initial mDL waiver application burden] x 0.25 = </w:t>
      </w:r>
      <w:r>
        <w:t>5</w:t>
      </w:r>
      <w:r w:rsidRPr="00354625">
        <w:t xml:space="preserve"> hours</w:t>
      </w:r>
      <w:r>
        <w:t>.</w:t>
      </w:r>
    </w:p>
  </w:footnote>
  <w:footnote w:id="16">
    <w:p w:rsidR="00094125" w14:paraId="506C5F19" w14:textId="270678A3">
      <w:pPr>
        <w:pStyle w:val="FootnoteText"/>
      </w:pPr>
      <w:r>
        <w:rPr>
          <w:rStyle w:val="FootnoteReference"/>
        </w:rPr>
        <w:footnoteRef/>
      </w:r>
      <w:r>
        <w:t xml:space="preserve"> </w:t>
      </w:r>
      <w:r w:rsidR="00DB4F9B">
        <w:t>TSA</w:t>
      </w:r>
      <w:r>
        <w:t xml:space="preserve"> uses the following fully-loaded, average hourly compensation rates for the labor categories within State government that </w:t>
      </w:r>
      <w:r w:rsidR="00FC38F4">
        <w:t xml:space="preserve">will </w:t>
      </w:r>
      <w:r>
        <w:t>complete a</w:t>
      </w:r>
      <w:r w:rsidR="00F05254">
        <w:t>n</w:t>
      </w:r>
      <w:r>
        <w:t xml:space="preserve"> mDL waiver application: $</w:t>
      </w:r>
      <w:r w:rsidR="00FC38F4">
        <w:t>70.26</w:t>
      </w:r>
      <w:r>
        <w:t xml:space="preserve"> for a solutions architect, $</w:t>
      </w:r>
      <w:r w:rsidR="00FC38F4">
        <w:t>90.19</w:t>
      </w:r>
      <w:r>
        <w:t xml:space="preserve"> for an IT manager, $</w:t>
      </w:r>
      <w:r w:rsidR="00FC38F4">
        <w:t>113.31</w:t>
      </w:r>
      <w:r>
        <w:t xml:space="preserve"> for the administrator of the Department of Motor Vehicles, and $</w:t>
      </w:r>
      <w:r w:rsidR="00FC38F4">
        <w:t>79.24</w:t>
      </w:r>
      <w:r>
        <w:t xml:space="preserve"> for a lawyer. </w:t>
      </w:r>
      <w:r w:rsidR="00F05254">
        <w:t xml:space="preserve"> </w:t>
      </w:r>
      <w:r w:rsidR="00DB4F9B">
        <w:t>TSA</w:t>
      </w:r>
      <w:r>
        <w:t xml:space="preserve"> estimates for a</w:t>
      </w:r>
      <w:r w:rsidR="00F05254">
        <w:t>n</w:t>
      </w:r>
      <w:r>
        <w:t xml:space="preserve"> mDL waiver application, a solutions architect and IT manager </w:t>
      </w:r>
      <w:r w:rsidR="00FC38F4">
        <w:t xml:space="preserve">will </w:t>
      </w:r>
      <w:r>
        <w:t xml:space="preserve">each comprise 45 percent of the total time burden, while the administrator and lawyer </w:t>
      </w:r>
      <w:r w:rsidR="00FC38F4">
        <w:t xml:space="preserve">will </w:t>
      </w:r>
      <w:r>
        <w:t xml:space="preserve">each account for 5 percent. </w:t>
      </w:r>
      <w:r w:rsidR="00F05254">
        <w:t xml:space="preserve"> </w:t>
      </w:r>
      <w:r w:rsidR="00DB4F9B">
        <w:t>TSA</w:t>
      </w:r>
      <w:r>
        <w:t xml:space="preserve"> multiplies the average hourly compensation rates by the proportion of each labor category’s burden to complete a</w:t>
      </w:r>
      <w:r w:rsidR="00F05254">
        <w:t>n</w:t>
      </w:r>
      <w:r>
        <w:t xml:space="preserve"> mDL waiver application to calculate the weighted average hourly compensation per mDL waiver application. </w:t>
      </w:r>
      <w:r w:rsidR="00F05254">
        <w:t xml:space="preserve"> </w:t>
      </w:r>
      <w:r>
        <w:t>$</w:t>
      </w:r>
      <w:r w:rsidR="00FC38F4">
        <w:t>81.83</w:t>
      </w:r>
      <w:r>
        <w:t xml:space="preserve"> weighted average hourly compensation = ($</w:t>
      </w:r>
      <w:r w:rsidR="00FC38F4">
        <w:t>70.26</w:t>
      </w:r>
      <w:r>
        <w:t xml:space="preserve"> per hour</w:t>
      </w:r>
      <w:r w:rsidRPr="009857F5">
        <w:t xml:space="preserve"> </w:t>
      </w:r>
      <w:r>
        <w:t>for solutions architect x 45 percent) + ($</w:t>
      </w:r>
      <w:r w:rsidR="00FC38F4">
        <w:t>90.19</w:t>
      </w:r>
      <w:r>
        <w:t xml:space="preserve"> per hour</w:t>
      </w:r>
      <w:r w:rsidRPr="009857F5">
        <w:t xml:space="preserve"> </w:t>
      </w:r>
      <w:r>
        <w:t>for IT manager x 45 percent) + ($</w:t>
      </w:r>
      <w:r w:rsidR="00FC38F4">
        <w:t>113.31</w:t>
      </w:r>
      <w:r>
        <w:t xml:space="preserve"> per hour</w:t>
      </w:r>
      <w:r w:rsidRPr="009857F5">
        <w:t xml:space="preserve"> </w:t>
      </w:r>
      <w:r>
        <w:t>for administrator x 5 percent)</w:t>
      </w:r>
      <w:r w:rsidRPr="009857F5">
        <w:t xml:space="preserve"> </w:t>
      </w:r>
      <w:r>
        <w:t>+ ($</w:t>
      </w:r>
      <w:r w:rsidR="00FC38F4">
        <w:t>79.24</w:t>
      </w:r>
      <w:r>
        <w:t xml:space="preserve"> per hour for lawyer</w:t>
      </w:r>
      <w:r w:rsidRPr="009857F5">
        <w:t xml:space="preserve"> </w:t>
      </w:r>
      <w:r>
        <w:t>x 5 percent).</w:t>
      </w:r>
    </w:p>
  </w:footnote>
  <w:footnote w:id="17">
    <w:p w:rsidR="00D41350" w14:paraId="68892A28" w14:textId="687767A2">
      <w:pPr>
        <w:pStyle w:val="FootnoteText"/>
      </w:pPr>
      <w:r>
        <w:rPr>
          <w:rStyle w:val="FootnoteReference"/>
        </w:rPr>
        <w:footnoteRef/>
      </w:r>
      <w:r>
        <w:t xml:space="preserve"> The table excludes all other information collections. </w:t>
      </w:r>
      <w:r w:rsidR="00F05254">
        <w:t xml:space="preserve"> </w:t>
      </w:r>
      <w:r w:rsidR="00DB4F9B">
        <w:t>TSA</w:t>
      </w:r>
      <w:r w:rsidR="00BE57CF">
        <w:t xml:space="preserve"> assumes </w:t>
      </w:r>
      <w:r w:rsidR="00F05254">
        <w:t xml:space="preserve">nine </w:t>
      </w:r>
      <w:r w:rsidR="00BE57CF">
        <w:t>or fewer collections o</w:t>
      </w:r>
      <w:r>
        <w:t xml:space="preserve">ver the three-year period for reconsideration, mDL waiver reapplications, reporting of modifications, reporting of cyber incidents, and responses to </w:t>
      </w:r>
      <w:r w:rsidR="00DB4F9B">
        <w:t>TSA</w:t>
      </w:r>
      <w:r>
        <w:t xml:space="preserve"> notices of suspension or termination.</w:t>
      </w:r>
    </w:p>
  </w:footnote>
  <w:footnote w:id="18">
    <w:p w:rsidR="00094125" w:rsidP="00FB4DBF" w14:paraId="712325D5" w14:textId="58387F8E">
      <w:pPr>
        <w:pStyle w:val="FootnoteText"/>
      </w:pPr>
      <w:r>
        <w:rPr>
          <w:rStyle w:val="FootnoteReference"/>
        </w:rPr>
        <w:footnoteRef/>
      </w:r>
      <w:r>
        <w:t xml:space="preserve"> Total three-year audit cost of $0.</w:t>
      </w:r>
      <w:r w:rsidR="007160A2">
        <w:t xml:space="preserve">81 </w:t>
      </w:r>
      <w:r>
        <w:t xml:space="preserve">million </w:t>
      </w:r>
      <w:r w:rsidR="007D04FB">
        <w:t>equals</w:t>
      </w:r>
      <w:r>
        <w:t xml:space="preserve"> the 30 waiver applications multiplied by the $</w:t>
      </w:r>
      <w:r w:rsidR="007160A2">
        <w:t>26,974</w:t>
      </w:r>
      <w:r>
        <w:t xml:space="preserve"> audit cost per waiver application. </w:t>
      </w:r>
      <w:r w:rsidR="00F05254">
        <w:t xml:space="preserve"> </w:t>
      </w:r>
      <w:r>
        <w:t>The average annual audit cost of $0.</w:t>
      </w:r>
      <w:r w:rsidR="007D04FB">
        <w:t>27</w:t>
      </w:r>
      <w:r>
        <w:t xml:space="preserve"> million </w:t>
      </w:r>
      <w:r w:rsidR="007D04FB">
        <w:t xml:space="preserve">equals </w:t>
      </w:r>
      <w:r>
        <w:t>the total three-year audit cost of $0.</w:t>
      </w:r>
      <w:r w:rsidR="007D04FB">
        <w:t>81</w:t>
      </w:r>
      <w:r>
        <w:t xml:space="preserve"> million divided by three.</w:t>
      </w:r>
    </w:p>
  </w:footnote>
  <w:footnote w:id="19">
    <w:p w:rsidR="00094125" w14:paraId="6C6F4C65" w14:textId="53EC11E6">
      <w:pPr>
        <w:pStyle w:val="FootnoteText"/>
      </w:pPr>
      <w:r>
        <w:rPr>
          <w:rStyle w:val="FootnoteReference"/>
        </w:rPr>
        <w:footnoteRef/>
      </w:r>
      <w:r>
        <w:t xml:space="preserve"> </w:t>
      </w:r>
      <w:r w:rsidR="00DB4F9B">
        <w:t>TSA</w:t>
      </w:r>
      <w:r>
        <w:t xml:space="preserve"> assumes that the equivalent of a GS-13 employee </w:t>
      </w:r>
      <w:r w:rsidR="007D04FB">
        <w:t xml:space="preserve">will </w:t>
      </w:r>
      <w:r>
        <w:t xml:space="preserve">review mDL waiver applications. </w:t>
      </w:r>
      <w:r w:rsidR="00F05254">
        <w:t xml:space="preserve"> </w:t>
      </w:r>
      <w:r w:rsidR="00DB4F9B">
        <w:t>TSA</w:t>
      </w:r>
      <w:r>
        <w:t xml:space="preserve"> estimates an a</w:t>
      </w:r>
      <w:r w:rsidRPr="000649F9">
        <w:t xml:space="preserve">nnual </w:t>
      </w:r>
      <w:r>
        <w:t xml:space="preserve">fully-loaded </w:t>
      </w:r>
      <w:r w:rsidRPr="000649F9">
        <w:t>compensation of $</w:t>
      </w:r>
      <w:r w:rsidR="007D04FB">
        <w:t>154,324</w:t>
      </w:r>
      <w:r w:rsidRPr="000649F9">
        <w:t>, based on the sum of all Personnel Compensation and Benefits for GS-13 Employees</w:t>
      </w:r>
      <w:r>
        <w:t xml:space="preserve"> ($</w:t>
      </w:r>
      <w:r w:rsidR="007D04FB">
        <w:t>113,944</w:t>
      </w:r>
      <w:r>
        <w:t xml:space="preserve"> in wages and $</w:t>
      </w:r>
      <w:r w:rsidR="007D04FB">
        <w:t>40,380</w:t>
      </w:r>
      <w:r>
        <w:t xml:space="preserve"> in benefit compensation). </w:t>
      </w:r>
      <w:r w:rsidR="00F05254">
        <w:t xml:space="preserve"> </w:t>
      </w:r>
      <w:r w:rsidR="00DB4F9B">
        <w:t>TSA</w:t>
      </w:r>
      <w:r>
        <w:t xml:space="preserve"> divides the annual fully-loaded compensation of $</w:t>
      </w:r>
      <w:r w:rsidR="007D04FB">
        <w:t>154,324</w:t>
      </w:r>
      <w:r>
        <w:t xml:space="preserve"> by 2,087 annual work hours to calculate an hourly compensation rate of $</w:t>
      </w:r>
      <w:r w:rsidR="007D04FB">
        <w:t>73.95</w:t>
      </w:r>
      <w:r>
        <w:t>.</w:t>
      </w:r>
    </w:p>
  </w:footnote>
  <w:footnote w:id="20">
    <w:p w:rsidR="00094125" w:rsidRPr="0070361C" w:rsidP="006A673A" w14:paraId="04D2ADD0" w14:textId="11FA1888">
      <w:pPr>
        <w:pStyle w:val="FootnoteText"/>
      </w:pPr>
      <w:r>
        <w:rPr>
          <w:rStyle w:val="FootnoteReference"/>
        </w:rPr>
        <w:footnoteRef/>
      </w:r>
      <w:r>
        <w:t xml:space="preserve"> Total </w:t>
      </w:r>
      <w:r w:rsidR="00DB4F9B">
        <w:t>TSA</w:t>
      </w:r>
      <w:r>
        <w:t xml:space="preserve"> cost of $</w:t>
      </w:r>
      <w:r w:rsidR="00FC38F4">
        <w:t>108,699</w:t>
      </w:r>
      <w:r>
        <w:t xml:space="preserve"> </w:t>
      </w:r>
      <w:r w:rsidRPr="0070361C">
        <w:t>=</w:t>
      </w:r>
      <w:r>
        <w:t xml:space="preserve"> ((30 total waiver applications </w:t>
      </w:r>
      <w:r w:rsidRPr="006274CA">
        <w:t>x</w:t>
      </w:r>
      <w:r w:rsidRPr="0070361C">
        <w:t xml:space="preserve"> </w:t>
      </w:r>
      <w:r>
        <w:t>40 hours) +</w:t>
      </w:r>
      <w:r w:rsidRPr="0070361C">
        <w:t xml:space="preserve"> </w:t>
      </w:r>
      <w:r>
        <w:t xml:space="preserve">(27 total waiver resubmissions </w:t>
      </w:r>
      <w:r w:rsidRPr="006274CA">
        <w:t>x</w:t>
      </w:r>
      <w:r w:rsidRPr="0070361C">
        <w:t xml:space="preserve"> </w:t>
      </w:r>
      <w:r>
        <w:t xml:space="preserve">10 hours)) </w:t>
      </w:r>
      <w:r w:rsidRPr="006274CA">
        <w:t>x $</w:t>
      </w:r>
      <w:r w:rsidR="007D04FB">
        <w:t>73.95</w:t>
      </w:r>
      <w:r>
        <w:t xml:space="preserve"> per hour</w:t>
      </w:r>
      <w:r w:rsidRPr="006274CA">
        <w:t>.</w:t>
      </w:r>
    </w:p>
    <w:p w:rsidR="00094125" w14:paraId="2162C66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0F5D3A59" w14:textId="1191BE43">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571D62">
      <w:rPr>
        <w:rStyle w:val="PageNumber"/>
        <w:rFonts w:ascii="Times New Roman" w:hAnsi="Times New Roman"/>
        <w:noProof/>
        <w:sz w:val="24"/>
      </w:rPr>
      <w:t>8</w:t>
    </w:r>
    <w:r>
      <w:rPr>
        <w:rStyle w:val="PageNumber"/>
        <w:rFonts w:ascii="Times New Roman" w:hAnsi="Times New Roman"/>
        <w:sz w:val="24"/>
      </w:rPr>
      <w:fldChar w:fldCharType="end"/>
    </w:r>
  </w:p>
  <w:p w:rsidR="00094125" w:rsidRPr="00320387" w14:paraId="069430A5"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1DC29479"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094125" w14:paraId="4CC696F6" w14:textId="77777777">
    <w:pPr>
      <w:jc w:val="center"/>
      <w:rPr>
        <w:rFonts w:cs="Times New Roman"/>
        <w:b/>
        <w:sz w:val="28"/>
      </w:rPr>
    </w:pPr>
  </w:p>
  <w:p w:rsidR="00094125" w14:paraId="799A2D43" w14:textId="561D5E19">
    <w:pPr>
      <w:jc w:val="center"/>
      <w:rPr>
        <w:rFonts w:cs="Times New Roman"/>
        <w:b/>
        <w:sz w:val="28"/>
      </w:rPr>
    </w:pPr>
    <w:r>
      <w:rPr>
        <w:b/>
      </w:rPr>
      <w:t>Minimum Standards for Driver’s licenses and Identification Cards Acceptable by Federal Agencies for Official Purposes</w:t>
    </w:r>
  </w:p>
  <w:p w:rsidR="00094125" w:rsidP="000B7858" w14:paraId="2AC751A3" w14:textId="77777777">
    <w:pPr>
      <w:tabs>
        <w:tab w:val="left" w:pos="1240"/>
      </w:tabs>
      <w:rPr>
        <w:rFonts w:cs="Times New Roman"/>
        <w:b/>
        <w:sz w:val="28"/>
      </w:rPr>
    </w:pPr>
    <w:r>
      <w:rPr>
        <w:rFonts w:cs="Times New Roman"/>
        <w:b/>
        <w:sz w:val="28"/>
      </w:rPr>
      <w:tab/>
    </w:r>
  </w:p>
  <w:p w:rsidR="00094125" w14:paraId="3B939C14" w14:textId="67D8C001">
    <w:pPr>
      <w:jc w:val="center"/>
      <w:rPr>
        <w:rFonts w:cs="Times New Roman"/>
        <w:b/>
        <w:sz w:val="28"/>
      </w:rPr>
    </w:pPr>
    <w:r>
      <w:rPr>
        <w:rFonts w:cs="Times New Roman"/>
        <w:b/>
        <w:sz w:val="28"/>
      </w:rPr>
      <w:t xml:space="preserve">OMB Control No. </w:t>
    </w:r>
    <w:r w:rsidR="00E96821">
      <w:rPr>
        <w:rFonts w:cs="Times New Roman"/>
        <w:b/>
        <w:sz w:val="28"/>
      </w:rPr>
      <w:t>1652-NEW</w:t>
    </w:r>
  </w:p>
  <w:p w:rsidR="00094125" w14:paraId="28D77825" w14:textId="77777777">
    <w:pPr>
      <w:jc w:val="center"/>
      <w:rPr>
        <w:rFonts w:cs="Times New Roman"/>
        <w:b/>
        <w:sz w:val="28"/>
      </w:rPr>
    </w:pPr>
  </w:p>
  <w:p w:rsidR="00094125" w14:paraId="6D28E4DA" w14:textId="77777777">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F0457"/>
    <w:multiLevelType w:val="hybridMultilevel"/>
    <w:tmpl w:val="2FCC1E9A"/>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nsid w:val="0A796488"/>
    <w:multiLevelType w:val="hybridMultilevel"/>
    <w:tmpl w:val="6260760C"/>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35F85"/>
    <w:multiLevelType w:val="hybridMultilevel"/>
    <w:tmpl w:val="EBE094B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color w:val="auto"/>
      </w:rPr>
    </w:lvl>
    <w:lvl w:ilvl="2" w:tentative="1">
      <w:start w:val="1"/>
      <w:numFmt w:val="lowerRoman"/>
      <w:lvlText w:val="%3."/>
      <w:lvlJc w:val="right"/>
      <w:pPr>
        <w:tabs>
          <w:tab w:val="num" w:pos="1440"/>
        </w:tabs>
        <w:ind w:left="1440" w:hanging="180"/>
      </w:pPr>
      <w:rPr>
        <w:rFonts w:cs="Times New Roman"/>
      </w:rPr>
    </w:lvl>
    <w:lvl w:ilvl="3" w:tentative="1">
      <w:start w:val="1"/>
      <w:numFmt w:val="decimal"/>
      <w:lvlText w:val="%4."/>
      <w:lvlJc w:val="left"/>
      <w:pPr>
        <w:tabs>
          <w:tab w:val="num" w:pos="2160"/>
        </w:tabs>
        <w:ind w:left="2160" w:hanging="360"/>
      </w:pPr>
      <w:rPr>
        <w:rFonts w:cs="Times New Roman"/>
      </w:rPr>
    </w:lvl>
    <w:lvl w:ilvl="4" w:tentative="1">
      <w:start w:val="1"/>
      <w:numFmt w:val="lowerLetter"/>
      <w:lvlText w:val="%5."/>
      <w:lvlJc w:val="left"/>
      <w:pPr>
        <w:tabs>
          <w:tab w:val="num" w:pos="2880"/>
        </w:tabs>
        <w:ind w:left="2880" w:hanging="360"/>
      </w:pPr>
      <w:rPr>
        <w:rFonts w:cs="Times New Roman"/>
      </w:rPr>
    </w:lvl>
    <w:lvl w:ilvl="5" w:tentative="1">
      <w:start w:val="1"/>
      <w:numFmt w:val="lowerRoman"/>
      <w:lvlText w:val="%6."/>
      <w:lvlJc w:val="right"/>
      <w:pPr>
        <w:tabs>
          <w:tab w:val="num" w:pos="3600"/>
        </w:tabs>
        <w:ind w:left="3600" w:hanging="180"/>
      </w:pPr>
      <w:rPr>
        <w:rFonts w:cs="Times New Roman"/>
      </w:rPr>
    </w:lvl>
    <w:lvl w:ilvl="6" w:tentative="1">
      <w:start w:val="1"/>
      <w:numFmt w:val="decimal"/>
      <w:lvlText w:val="%7."/>
      <w:lvlJc w:val="left"/>
      <w:pPr>
        <w:tabs>
          <w:tab w:val="num" w:pos="4320"/>
        </w:tabs>
        <w:ind w:left="4320" w:hanging="360"/>
      </w:pPr>
      <w:rPr>
        <w:rFonts w:cs="Times New Roman"/>
      </w:rPr>
    </w:lvl>
    <w:lvl w:ilvl="7" w:tentative="1">
      <w:start w:val="1"/>
      <w:numFmt w:val="lowerLetter"/>
      <w:lvlText w:val="%8."/>
      <w:lvlJc w:val="left"/>
      <w:pPr>
        <w:tabs>
          <w:tab w:val="num" w:pos="5040"/>
        </w:tabs>
        <w:ind w:left="5040" w:hanging="360"/>
      </w:pPr>
      <w:rPr>
        <w:rFonts w:cs="Times New Roman"/>
      </w:rPr>
    </w:lvl>
    <w:lvl w:ilvl="8" w:tentative="1">
      <w:start w:val="1"/>
      <w:numFmt w:val="lowerRoman"/>
      <w:lvlText w:val="%9."/>
      <w:lvlJc w:val="right"/>
      <w:pPr>
        <w:tabs>
          <w:tab w:val="num" w:pos="5760"/>
        </w:tabs>
        <w:ind w:left="5760" w:hanging="180"/>
      </w:pPr>
      <w:rPr>
        <w:rFonts w:cs="Times New Roman"/>
      </w:rPr>
    </w:lvl>
  </w:abstractNum>
  <w:abstractNum w:abstractNumId="3">
    <w:nsid w:val="17A01030"/>
    <w:multiLevelType w:val="hybridMultilevel"/>
    <w:tmpl w:val="70E8D0C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5F0DC4"/>
    <w:multiLevelType w:val="singleLevel"/>
    <w:tmpl w:val="768E828A"/>
    <w:lvl w:ilvl="0">
      <w:start w:val="1"/>
      <w:numFmt w:val="decimal"/>
      <w:lvlText w:val="%1."/>
      <w:legacy w:legacy="1" w:legacySpace="0" w:legacyIndent="360"/>
      <w:lvlJc w:val="left"/>
      <w:pPr>
        <w:ind w:left="360" w:hanging="360"/>
      </w:pPr>
      <w:rPr>
        <w:rFonts w:cs="Times New Roman"/>
      </w:rPr>
    </w:lvl>
  </w:abstractNum>
  <w:abstractNum w:abstractNumId="5">
    <w:nsid w:val="1B4F4D85"/>
    <w:multiLevelType w:val="hybridMultilevel"/>
    <w:tmpl w:val="5EA67AA8"/>
    <w:lvl w:ilvl="0">
      <w:start w:val="9"/>
      <w:numFmt w:val="lowerLetter"/>
      <w:lvlText w:val="(%1)"/>
      <w:lvlJc w:val="left"/>
      <w:pPr>
        <w:ind w:left="1080" w:hanging="360"/>
      </w:pPr>
      <w:rPr>
        <w:rFonts w:ascii="Times New Roman" w:eastAsia="MS Mincho" w:hAnsi="Times New Roman"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943AED"/>
    <w:multiLevelType w:val="hybridMultilevel"/>
    <w:tmpl w:val="861ED3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7">
    <w:nsid w:val="2D8E6A40"/>
    <w:multiLevelType w:val="hybridMultilevel"/>
    <w:tmpl w:val="754A2F8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35C1F57"/>
    <w:multiLevelType w:val="multilevel"/>
    <w:tmpl w:val="79181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37CE1BCA"/>
    <w:multiLevelType w:val="hybridMultilevel"/>
    <w:tmpl w:val="B226F03C"/>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nsid w:val="4134300A"/>
    <w:multiLevelType w:val="hybridMultilevel"/>
    <w:tmpl w:val="98D2543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41CD0B61"/>
    <w:multiLevelType w:val="hybridMultilevel"/>
    <w:tmpl w:val="7DE4FBD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21A2EDA"/>
    <w:multiLevelType w:val="hybridMultilevel"/>
    <w:tmpl w:val="FF98178A"/>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4390D6B"/>
    <w:multiLevelType w:val="hybridMultilevel"/>
    <w:tmpl w:val="42BA356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45373D3"/>
    <w:multiLevelType w:val="hybridMultilevel"/>
    <w:tmpl w:val="6C988B4C"/>
    <w:lvl w:ilvl="0">
      <w:start w:val="1"/>
      <w:numFmt w:val="decimal"/>
      <w:lvlText w:val="%1."/>
      <w:lvlJc w:val="left"/>
      <w:pPr>
        <w:tabs>
          <w:tab w:val="num" w:pos="1080"/>
        </w:tabs>
        <w:ind w:left="108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5">
    <w:nsid w:val="4C4F3725"/>
    <w:multiLevelType w:val="hybridMultilevel"/>
    <w:tmpl w:val="3BDE250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6">
    <w:nsid w:val="518E78F8"/>
    <w:multiLevelType w:val="multilevel"/>
    <w:tmpl w:val="620E4FF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nsid w:val="529C66F2"/>
    <w:multiLevelType w:val="hybridMultilevel"/>
    <w:tmpl w:val="2CCE569E"/>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8">
    <w:nsid w:val="55AE2BD1"/>
    <w:multiLevelType w:val="hybridMultilevel"/>
    <w:tmpl w:val="B2F4E66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9">
    <w:nsid w:val="55C107EB"/>
    <w:multiLevelType w:val="hybridMultilevel"/>
    <w:tmpl w:val="F2EA9E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AD26EA7"/>
    <w:multiLevelType w:val="hybridMultilevel"/>
    <w:tmpl w:val="E4BEF68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BDA0A1C"/>
    <w:multiLevelType w:val="hybridMultilevel"/>
    <w:tmpl w:val="D344635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5CBE1F7A"/>
    <w:multiLevelType w:val="hybridMultilevel"/>
    <w:tmpl w:val="A6582C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063102C"/>
    <w:multiLevelType w:val="hybridMultilevel"/>
    <w:tmpl w:val="B868DE4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615E269B"/>
    <w:multiLevelType w:val="hybridMultilevel"/>
    <w:tmpl w:val="607E23F8"/>
    <w:lvl w:ilvl="0">
      <w:start w:val="1"/>
      <w:numFmt w:val="lowerLetter"/>
      <w:lvlText w:val="(%1)"/>
      <w:lvlJc w:val="left"/>
      <w:pPr>
        <w:ind w:left="1080" w:hanging="360"/>
      </w:pPr>
      <w:rPr>
        <w:rFonts w:ascii="Times New Roman" w:eastAsia="MS Mincho" w:hAnsi="Times New Roman"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1B82E56"/>
    <w:multiLevelType w:val="hybridMultilevel"/>
    <w:tmpl w:val="607E23F8"/>
    <w:lvl w:ilvl="0">
      <w:start w:val="1"/>
      <w:numFmt w:val="lowerLetter"/>
      <w:lvlText w:val="(%1)"/>
      <w:lvlJc w:val="left"/>
      <w:pPr>
        <w:ind w:left="1080" w:hanging="360"/>
      </w:pPr>
      <w:rPr>
        <w:rFonts w:ascii="Times New Roman" w:eastAsia="MS Mincho" w:hAnsi="Times New Roman"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3114D87"/>
    <w:multiLevelType w:val="hybridMultilevel"/>
    <w:tmpl w:val="BDDACCA2"/>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625762E"/>
    <w:multiLevelType w:val="hybridMultilevel"/>
    <w:tmpl w:val="1298C16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6C042024"/>
    <w:multiLevelType w:val="hybridMultilevel"/>
    <w:tmpl w:val="1BEA3F2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724524512">
    <w:abstractNumId w:val="4"/>
  </w:num>
  <w:num w:numId="2" w16cid:durableId="1136608522">
    <w:abstractNumId w:val="28"/>
  </w:num>
  <w:num w:numId="3" w16cid:durableId="1153990277">
    <w:abstractNumId w:val="16"/>
  </w:num>
  <w:num w:numId="4" w16cid:durableId="1898004535">
    <w:abstractNumId w:val="7"/>
  </w:num>
  <w:num w:numId="5" w16cid:durableId="1549801567">
    <w:abstractNumId w:val="15"/>
  </w:num>
  <w:num w:numId="6" w16cid:durableId="286352018">
    <w:abstractNumId w:val="11"/>
  </w:num>
  <w:num w:numId="7" w16cid:durableId="470099723">
    <w:abstractNumId w:val="2"/>
  </w:num>
  <w:num w:numId="8" w16cid:durableId="400833834">
    <w:abstractNumId w:val="12"/>
  </w:num>
  <w:num w:numId="9" w16cid:durableId="605623142">
    <w:abstractNumId w:val="8"/>
  </w:num>
  <w:num w:numId="10" w16cid:durableId="1155150560">
    <w:abstractNumId w:val="10"/>
  </w:num>
  <w:num w:numId="11" w16cid:durableId="1959218910">
    <w:abstractNumId w:val="14"/>
  </w:num>
  <w:num w:numId="12" w16cid:durableId="1621692308">
    <w:abstractNumId w:val="20"/>
  </w:num>
  <w:num w:numId="13" w16cid:durableId="304969606">
    <w:abstractNumId w:val="23"/>
  </w:num>
  <w:num w:numId="14" w16cid:durableId="1332875776">
    <w:abstractNumId w:val="17"/>
  </w:num>
  <w:num w:numId="15" w16cid:durableId="1047989099">
    <w:abstractNumId w:val="18"/>
  </w:num>
  <w:num w:numId="16" w16cid:durableId="1917931624">
    <w:abstractNumId w:val="21"/>
  </w:num>
  <w:num w:numId="17" w16cid:durableId="722413935">
    <w:abstractNumId w:val="9"/>
  </w:num>
  <w:num w:numId="18" w16cid:durableId="915750587">
    <w:abstractNumId w:val="0"/>
  </w:num>
  <w:num w:numId="19" w16cid:durableId="821892804">
    <w:abstractNumId w:val="6"/>
  </w:num>
  <w:num w:numId="20" w16cid:durableId="1557886478">
    <w:abstractNumId w:val="22"/>
  </w:num>
  <w:num w:numId="21" w16cid:durableId="1360660116">
    <w:abstractNumId w:val="3"/>
  </w:num>
  <w:num w:numId="22" w16cid:durableId="1173034423">
    <w:abstractNumId w:val="1"/>
  </w:num>
  <w:num w:numId="23" w16cid:durableId="1982879559">
    <w:abstractNumId w:val="27"/>
  </w:num>
  <w:num w:numId="24" w16cid:durableId="93717711">
    <w:abstractNumId w:val="24"/>
  </w:num>
  <w:num w:numId="25" w16cid:durableId="829637938">
    <w:abstractNumId w:val="19"/>
  </w:num>
  <w:num w:numId="26" w16cid:durableId="159318426">
    <w:abstractNumId w:val="25"/>
  </w:num>
  <w:num w:numId="27" w16cid:durableId="1921672023">
    <w:abstractNumId w:val="26"/>
  </w:num>
  <w:num w:numId="28" w16cid:durableId="1047873633">
    <w:abstractNumId w:val="5"/>
  </w:num>
  <w:num w:numId="29" w16cid:durableId="11390303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F0E"/>
    <w:rsid w:val="00001416"/>
    <w:rsid w:val="000047FE"/>
    <w:rsid w:val="0001185E"/>
    <w:rsid w:val="0001206E"/>
    <w:rsid w:val="000136A9"/>
    <w:rsid w:val="000150B3"/>
    <w:rsid w:val="00021CF9"/>
    <w:rsid w:val="00024666"/>
    <w:rsid w:val="00025F05"/>
    <w:rsid w:val="00033C10"/>
    <w:rsid w:val="0003494C"/>
    <w:rsid w:val="0003538D"/>
    <w:rsid w:val="00036FFB"/>
    <w:rsid w:val="00040696"/>
    <w:rsid w:val="00043974"/>
    <w:rsid w:val="000442F5"/>
    <w:rsid w:val="00047438"/>
    <w:rsid w:val="00050888"/>
    <w:rsid w:val="000508BB"/>
    <w:rsid w:val="00055404"/>
    <w:rsid w:val="00063873"/>
    <w:rsid w:val="000649F9"/>
    <w:rsid w:val="0006533A"/>
    <w:rsid w:val="00066B09"/>
    <w:rsid w:val="00070153"/>
    <w:rsid w:val="0007225F"/>
    <w:rsid w:val="00072A22"/>
    <w:rsid w:val="00073583"/>
    <w:rsid w:val="0007653A"/>
    <w:rsid w:val="000767D7"/>
    <w:rsid w:val="00076DD2"/>
    <w:rsid w:val="000776F1"/>
    <w:rsid w:val="0008123D"/>
    <w:rsid w:val="00083FE6"/>
    <w:rsid w:val="0008522C"/>
    <w:rsid w:val="00087E01"/>
    <w:rsid w:val="00087F14"/>
    <w:rsid w:val="00090F94"/>
    <w:rsid w:val="000928DC"/>
    <w:rsid w:val="0009313F"/>
    <w:rsid w:val="0009394C"/>
    <w:rsid w:val="00093F98"/>
    <w:rsid w:val="00094125"/>
    <w:rsid w:val="0009652F"/>
    <w:rsid w:val="00096C79"/>
    <w:rsid w:val="00097688"/>
    <w:rsid w:val="000A4930"/>
    <w:rsid w:val="000A61A8"/>
    <w:rsid w:val="000A710A"/>
    <w:rsid w:val="000B09B8"/>
    <w:rsid w:val="000B2108"/>
    <w:rsid w:val="000B7858"/>
    <w:rsid w:val="000B7996"/>
    <w:rsid w:val="000C0FBE"/>
    <w:rsid w:val="000C31E3"/>
    <w:rsid w:val="000C491F"/>
    <w:rsid w:val="000C58AF"/>
    <w:rsid w:val="000C60AF"/>
    <w:rsid w:val="000C7766"/>
    <w:rsid w:val="000D0893"/>
    <w:rsid w:val="000D289B"/>
    <w:rsid w:val="000D34EF"/>
    <w:rsid w:val="000D5FC6"/>
    <w:rsid w:val="000D62B9"/>
    <w:rsid w:val="000E491F"/>
    <w:rsid w:val="000E4A64"/>
    <w:rsid w:val="000E7876"/>
    <w:rsid w:val="000F000B"/>
    <w:rsid w:val="000F15B6"/>
    <w:rsid w:val="000F2C90"/>
    <w:rsid w:val="000F54CA"/>
    <w:rsid w:val="00100CB3"/>
    <w:rsid w:val="00101933"/>
    <w:rsid w:val="00102261"/>
    <w:rsid w:val="00102B44"/>
    <w:rsid w:val="00106482"/>
    <w:rsid w:val="001068FD"/>
    <w:rsid w:val="00107C28"/>
    <w:rsid w:val="001102EE"/>
    <w:rsid w:val="001103E2"/>
    <w:rsid w:val="001109A8"/>
    <w:rsid w:val="0011336E"/>
    <w:rsid w:val="001161E7"/>
    <w:rsid w:val="00120A21"/>
    <w:rsid w:val="00120B58"/>
    <w:rsid w:val="001226CB"/>
    <w:rsid w:val="001252C8"/>
    <w:rsid w:val="00132DBA"/>
    <w:rsid w:val="001363FE"/>
    <w:rsid w:val="001401CE"/>
    <w:rsid w:val="00140692"/>
    <w:rsid w:val="00144601"/>
    <w:rsid w:val="00144F49"/>
    <w:rsid w:val="00147AB8"/>
    <w:rsid w:val="00147B9A"/>
    <w:rsid w:val="00151F68"/>
    <w:rsid w:val="00153060"/>
    <w:rsid w:val="00154657"/>
    <w:rsid w:val="0016010A"/>
    <w:rsid w:val="0016020F"/>
    <w:rsid w:val="0016109A"/>
    <w:rsid w:val="00166DC8"/>
    <w:rsid w:val="00180627"/>
    <w:rsid w:val="00181082"/>
    <w:rsid w:val="00182B0F"/>
    <w:rsid w:val="00183BA7"/>
    <w:rsid w:val="00183D16"/>
    <w:rsid w:val="00184758"/>
    <w:rsid w:val="001857B9"/>
    <w:rsid w:val="00185920"/>
    <w:rsid w:val="00186B75"/>
    <w:rsid w:val="00186C03"/>
    <w:rsid w:val="001909F4"/>
    <w:rsid w:val="0019213E"/>
    <w:rsid w:val="00193B62"/>
    <w:rsid w:val="001943B1"/>
    <w:rsid w:val="001961A0"/>
    <w:rsid w:val="00196847"/>
    <w:rsid w:val="00197B93"/>
    <w:rsid w:val="001A44BF"/>
    <w:rsid w:val="001A4806"/>
    <w:rsid w:val="001A4E97"/>
    <w:rsid w:val="001A5A0B"/>
    <w:rsid w:val="001A7125"/>
    <w:rsid w:val="001A7162"/>
    <w:rsid w:val="001A7EA3"/>
    <w:rsid w:val="001B15A2"/>
    <w:rsid w:val="001B2F30"/>
    <w:rsid w:val="001B548F"/>
    <w:rsid w:val="001C179F"/>
    <w:rsid w:val="001C17D4"/>
    <w:rsid w:val="001C2047"/>
    <w:rsid w:val="001C59A8"/>
    <w:rsid w:val="001D0478"/>
    <w:rsid w:val="001D09E3"/>
    <w:rsid w:val="001D0EAE"/>
    <w:rsid w:val="001D0ECE"/>
    <w:rsid w:val="001D214C"/>
    <w:rsid w:val="001D419E"/>
    <w:rsid w:val="001D584C"/>
    <w:rsid w:val="001D631A"/>
    <w:rsid w:val="001D7AE0"/>
    <w:rsid w:val="001D7F0C"/>
    <w:rsid w:val="001E1612"/>
    <w:rsid w:val="001E520C"/>
    <w:rsid w:val="001E55FF"/>
    <w:rsid w:val="001E5CA1"/>
    <w:rsid w:val="001E7A90"/>
    <w:rsid w:val="001E7E7F"/>
    <w:rsid w:val="001F1577"/>
    <w:rsid w:val="001F1E3E"/>
    <w:rsid w:val="001F4226"/>
    <w:rsid w:val="001F4BC5"/>
    <w:rsid w:val="001F5445"/>
    <w:rsid w:val="001F6DDA"/>
    <w:rsid w:val="00200CE4"/>
    <w:rsid w:val="002018DF"/>
    <w:rsid w:val="00203C86"/>
    <w:rsid w:val="00204F95"/>
    <w:rsid w:val="002051C5"/>
    <w:rsid w:val="0020636C"/>
    <w:rsid w:val="002175E2"/>
    <w:rsid w:val="002176CF"/>
    <w:rsid w:val="00217B9B"/>
    <w:rsid w:val="00217E84"/>
    <w:rsid w:val="002212A0"/>
    <w:rsid w:val="00222C9D"/>
    <w:rsid w:val="002245A4"/>
    <w:rsid w:val="00224B25"/>
    <w:rsid w:val="00226FFE"/>
    <w:rsid w:val="0022785E"/>
    <w:rsid w:val="00230499"/>
    <w:rsid w:val="00230C7D"/>
    <w:rsid w:val="00233BEA"/>
    <w:rsid w:val="00236779"/>
    <w:rsid w:val="002370C2"/>
    <w:rsid w:val="00237218"/>
    <w:rsid w:val="0023767F"/>
    <w:rsid w:val="00237F63"/>
    <w:rsid w:val="002414C2"/>
    <w:rsid w:val="002418E0"/>
    <w:rsid w:val="0024466F"/>
    <w:rsid w:val="00244724"/>
    <w:rsid w:val="0024480B"/>
    <w:rsid w:val="0025192B"/>
    <w:rsid w:val="00252575"/>
    <w:rsid w:val="002559C5"/>
    <w:rsid w:val="00257AE9"/>
    <w:rsid w:val="00262808"/>
    <w:rsid w:val="00263523"/>
    <w:rsid w:val="0026420A"/>
    <w:rsid w:val="00265E5D"/>
    <w:rsid w:val="00266F5D"/>
    <w:rsid w:val="002731F2"/>
    <w:rsid w:val="00276EA0"/>
    <w:rsid w:val="0028166C"/>
    <w:rsid w:val="00283C66"/>
    <w:rsid w:val="00284353"/>
    <w:rsid w:val="00286CF7"/>
    <w:rsid w:val="00290146"/>
    <w:rsid w:val="00290EB3"/>
    <w:rsid w:val="0029118B"/>
    <w:rsid w:val="00292A6A"/>
    <w:rsid w:val="00293D7A"/>
    <w:rsid w:val="0029708F"/>
    <w:rsid w:val="002970B6"/>
    <w:rsid w:val="00297421"/>
    <w:rsid w:val="00297C22"/>
    <w:rsid w:val="00297CDE"/>
    <w:rsid w:val="002A11D7"/>
    <w:rsid w:val="002A35A3"/>
    <w:rsid w:val="002A384E"/>
    <w:rsid w:val="002A57DD"/>
    <w:rsid w:val="002A5E21"/>
    <w:rsid w:val="002B1F1B"/>
    <w:rsid w:val="002B3F06"/>
    <w:rsid w:val="002B4A0C"/>
    <w:rsid w:val="002B7D67"/>
    <w:rsid w:val="002C2136"/>
    <w:rsid w:val="002C2FD5"/>
    <w:rsid w:val="002D0057"/>
    <w:rsid w:val="002D2EE7"/>
    <w:rsid w:val="002E0F63"/>
    <w:rsid w:val="002E1BB0"/>
    <w:rsid w:val="002E4103"/>
    <w:rsid w:val="002E77D5"/>
    <w:rsid w:val="002F0B1C"/>
    <w:rsid w:val="002F1A8E"/>
    <w:rsid w:val="002F4309"/>
    <w:rsid w:val="002F4C5D"/>
    <w:rsid w:val="002F7470"/>
    <w:rsid w:val="00301B1C"/>
    <w:rsid w:val="00301D00"/>
    <w:rsid w:val="0030236A"/>
    <w:rsid w:val="0030237A"/>
    <w:rsid w:val="00302BE6"/>
    <w:rsid w:val="00304A68"/>
    <w:rsid w:val="00310F35"/>
    <w:rsid w:val="00311D79"/>
    <w:rsid w:val="003129A6"/>
    <w:rsid w:val="003137EF"/>
    <w:rsid w:val="0031571D"/>
    <w:rsid w:val="00320024"/>
    <w:rsid w:val="00320387"/>
    <w:rsid w:val="00323D02"/>
    <w:rsid w:val="003249AD"/>
    <w:rsid w:val="003266FF"/>
    <w:rsid w:val="003301F5"/>
    <w:rsid w:val="003328AB"/>
    <w:rsid w:val="00341316"/>
    <w:rsid w:val="003416F9"/>
    <w:rsid w:val="00350049"/>
    <w:rsid w:val="00351A66"/>
    <w:rsid w:val="0035360C"/>
    <w:rsid w:val="00353983"/>
    <w:rsid w:val="00354625"/>
    <w:rsid w:val="00354AF1"/>
    <w:rsid w:val="00356A50"/>
    <w:rsid w:val="00357C58"/>
    <w:rsid w:val="00360B74"/>
    <w:rsid w:val="00364529"/>
    <w:rsid w:val="00366A14"/>
    <w:rsid w:val="0036711C"/>
    <w:rsid w:val="00370224"/>
    <w:rsid w:val="00372F14"/>
    <w:rsid w:val="00374BAC"/>
    <w:rsid w:val="00375086"/>
    <w:rsid w:val="0037514B"/>
    <w:rsid w:val="00376AA0"/>
    <w:rsid w:val="0037765D"/>
    <w:rsid w:val="0038134A"/>
    <w:rsid w:val="0038328A"/>
    <w:rsid w:val="0039167B"/>
    <w:rsid w:val="00391A01"/>
    <w:rsid w:val="00392ACD"/>
    <w:rsid w:val="00396F35"/>
    <w:rsid w:val="003A0967"/>
    <w:rsid w:val="003A317C"/>
    <w:rsid w:val="003A49A7"/>
    <w:rsid w:val="003A5714"/>
    <w:rsid w:val="003B0265"/>
    <w:rsid w:val="003B2C2C"/>
    <w:rsid w:val="003B3489"/>
    <w:rsid w:val="003B6A4B"/>
    <w:rsid w:val="003C01FC"/>
    <w:rsid w:val="003C02FC"/>
    <w:rsid w:val="003C0435"/>
    <w:rsid w:val="003C0F11"/>
    <w:rsid w:val="003C16EC"/>
    <w:rsid w:val="003C1AB7"/>
    <w:rsid w:val="003C4DE4"/>
    <w:rsid w:val="003D0050"/>
    <w:rsid w:val="003D168B"/>
    <w:rsid w:val="003D3328"/>
    <w:rsid w:val="003D53BB"/>
    <w:rsid w:val="003E1B97"/>
    <w:rsid w:val="003E5ACF"/>
    <w:rsid w:val="003E5FCF"/>
    <w:rsid w:val="003E7665"/>
    <w:rsid w:val="003F4681"/>
    <w:rsid w:val="003F7A30"/>
    <w:rsid w:val="00402499"/>
    <w:rsid w:val="00403AED"/>
    <w:rsid w:val="004046DC"/>
    <w:rsid w:val="00404C4C"/>
    <w:rsid w:val="0040567D"/>
    <w:rsid w:val="00407ACF"/>
    <w:rsid w:val="004105C4"/>
    <w:rsid w:val="00410C2F"/>
    <w:rsid w:val="00410CDB"/>
    <w:rsid w:val="00411628"/>
    <w:rsid w:val="00413336"/>
    <w:rsid w:val="0041343C"/>
    <w:rsid w:val="00420908"/>
    <w:rsid w:val="004209E8"/>
    <w:rsid w:val="00421601"/>
    <w:rsid w:val="00422970"/>
    <w:rsid w:val="00423803"/>
    <w:rsid w:val="004243D1"/>
    <w:rsid w:val="00426579"/>
    <w:rsid w:val="00426861"/>
    <w:rsid w:val="00426EA8"/>
    <w:rsid w:val="00430226"/>
    <w:rsid w:val="00431792"/>
    <w:rsid w:val="00431E37"/>
    <w:rsid w:val="004323AC"/>
    <w:rsid w:val="0043578E"/>
    <w:rsid w:val="004361E3"/>
    <w:rsid w:val="00436885"/>
    <w:rsid w:val="0044006D"/>
    <w:rsid w:val="00440597"/>
    <w:rsid w:val="00441699"/>
    <w:rsid w:val="00441CFF"/>
    <w:rsid w:val="0044274E"/>
    <w:rsid w:val="00443347"/>
    <w:rsid w:val="004445B3"/>
    <w:rsid w:val="00450842"/>
    <w:rsid w:val="00456FCA"/>
    <w:rsid w:val="004573BE"/>
    <w:rsid w:val="00457F63"/>
    <w:rsid w:val="00461AC0"/>
    <w:rsid w:val="00463EAE"/>
    <w:rsid w:val="004657B4"/>
    <w:rsid w:val="0046785F"/>
    <w:rsid w:val="00467C96"/>
    <w:rsid w:val="0047006E"/>
    <w:rsid w:val="00472F84"/>
    <w:rsid w:val="0047710A"/>
    <w:rsid w:val="004800CE"/>
    <w:rsid w:val="0048081F"/>
    <w:rsid w:val="00481A63"/>
    <w:rsid w:val="00481D72"/>
    <w:rsid w:val="00483CE7"/>
    <w:rsid w:val="00486E6F"/>
    <w:rsid w:val="00490F3B"/>
    <w:rsid w:val="00491606"/>
    <w:rsid w:val="0049164E"/>
    <w:rsid w:val="0049206A"/>
    <w:rsid w:val="00492EBB"/>
    <w:rsid w:val="00494B59"/>
    <w:rsid w:val="004A0A3D"/>
    <w:rsid w:val="004A1A84"/>
    <w:rsid w:val="004A30A6"/>
    <w:rsid w:val="004A3B59"/>
    <w:rsid w:val="004B4202"/>
    <w:rsid w:val="004B5628"/>
    <w:rsid w:val="004C082F"/>
    <w:rsid w:val="004C193F"/>
    <w:rsid w:val="004C1963"/>
    <w:rsid w:val="004C1971"/>
    <w:rsid w:val="004C6BA1"/>
    <w:rsid w:val="004C7C5E"/>
    <w:rsid w:val="004D0A03"/>
    <w:rsid w:val="004D128F"/>
    <w:rsid w:val="004D2EDA"/>
    <w:rsid w:val="004D4198"/>
    <w:rsid w:val="004D4773"/>
    <w:rsid w:val="004D542F"/>
    <w:rsid w:val="004D5617"/>
    <w:rsid w:val="004E1D93"/>
    <w:rsid w:val="004E1DB8"/>
    <w:rsid w:val="004E4C0D"/>
    <w:rsid w:val="004F1D05"/>
    <w:rsid w:val="004F205F"/>
    <w:rsid w:val="004F2227"/>
    <w:rsid w:val="004F3B4C"/>
    <w:rsid w:val="004F4468"/>
    <w:rsid w:val="004F5DBC"/>
    <w:rsid w:val="0050123F"/>
    <w:rsid w:val="005036E2"/>
    <w:rsid w:val="00505F62"/>
    <w:rsid w:val="00506D3A"/>
    <w:rsid w:val="00507CCB"/>
    <w:rsid w:val="0051352A"/>
    <w:rsid w:val="005166ED"/>
    <w:rsid w:val="005167BD"/>
    <w:rsid w:val="00517656"/>
    <w:rsid w:val="0052282A"/>
    <w:rsid w:val="00525F2A"/>
    <w:rsid w:val="0052786F"/>
    <w:rsid w:val="0053203A"/>
    <w:rsid w:val="0053669D"/>
    <w:rsid w:val="00536A3E"/>
    <w:rsid w:val="005409F5"/>
    <w:rsid w:val="00543986"/>
    <w:rsid w:val="00544227"/>
    <w:rsid w:val="005449E4"/>
    <w:rsid w:val="00547EAD"/>
    <w:rsid w:val="00550448"/>
    <w:rsid w:val="005507AC"/>
    <w:rsid w:val="005515B1"/>
    <w:rsid w:val="00564694"/>
    <w:rsid w:val="00570554"/>
    <w:rsid w:val="00571D62"/>
    <w:rsid w:val="0057264C"/>
    <w:rsid w:val="00573707"/>
    <w:rsid w:val="005748AA"/>
    <w:rsid w:val="00574C43"/>
    <w:rsid w:val="0057571F"/>
    <w:rsid w:val="00580760"/>
    <w:rsid w:val="00584ED6"/>
    <w:rsid w:val="00585823"/>
    <w:rsid w:val="00585920"/>
    <w:rsid w:val="00586610"/>
    <w:rsid w:val="005867DD"/>
    <w:rsid w:val="00586B30"/>
    <w:rsid w:val="00587042"/>
    <w:rsid w:val="00591563"/>
    <w:rsid w:val="005919DB"/>
    <w:rsid w:val="005A1B0A"/>
    <w:rsid w:val="005A2158"/>
    <w:rsid w:val="005A38DE"/>
    <w:rsid w:val="005A45AD"/>
    <w:rsid w:val="005A5389"/>
    <w:rsid w:val="005A569E"/>
    <w:rsid w:val="005B1833"/>
    <w:rsid w:val="005B2BE0"/>
    <w:rsid w:val="005B378F"/>
    <w:rsid w:val="005B488E"/>
    <w:rsid w:val="005B69BB"/>
    <w:rsid w:val="005C357E"/>
    <w:rsid w:val="005C5CED"/>
    <w:rsid w:val="005C5F7D"/>
    <w:rsid w:val="005C609B"/>
    <w:rsid w:val="005D0FEE"/>
    <w:rsid w:val="005D1DA2"/>
    <w:rsid w:val="005D2538"/>
    <w:rsid w:val="005D54AE"/>
    <w:rsid w:val="005D78BB"/>
    <w:rsid w:val="005E2682"/>
    <w:rsid w:val="005F0E04"/>
    <w:rsid w:val="005F1822"/>
    <w:rsid w:val="0060046A"/>
    <w:rsid w:val="006043EE"/>
    <w:rsid w:val="0060443C"/>
    <w:rsid w:val="0060792B"/>
    <w:rsid w:val="00610E06"/>
    <w:rsid w:val="006111D0"/>
    <w:rsid w:val="00611C67"/>
    <w:rsid w:val="0061218D"/>
    <w:rsid w:val="00613586"/>
    <w:rsid w:val="006202AF"/>
    <w:rsid w:val="0062519F"/>
    <w:rsid w:val="006274CA"/>
    <w:rsid w:val="00630C8F"/>
    <w:rsid w:val="006335E8"/>
    <w:rsid w:val="0064148D"/>
    <w:rsid w:val="00644D4D"/>
    <w:rsid w:val="00646314"/>
    <w:rsid w:val="00646A55"/>
    <w:rsid w:val="00650E64"/>
    <w:rsid w:val="00651547"/>
    <w:rsid w:val="00655E76"/>
    <w:rsid w:val="00655F47"/>
    <w:rsid w:val="00662B2A"/>
    <w:rsid w:val="0066511D"/>
    <w:rsid w:val="00665287"/>
    <w:rsid w:val="00670714"/>
    <w:rsid w:val="00672FBB"/>
    <w:rsid w:val="00677B1D"/>
    <w:rsid w:val="00680E8C"/>
    <w:rsid w:val="006811D9"/>
    <w:rsid w:val="00685003"/>
    <w:rsid w:val="00685437"/>
    <w:rsid w:val="00685D3B"/>
    <w:rsid w:val="00690C38"/>
    <w:rsid w:val="006914C7"/>
    <w:rsid w:val="00692A8C"/>
    <w:rsid w:val="006933C1"/>
    <w:rsid w:val="0069655C"/>
    <w:rsid w:val="00696F20"/>
    <w:rsid w:val="006A03B3"/>
    <w:rsid w:val="006A6298"/>
    <w:rsid w:val="006A6631"/>
    <w:rsid w:val="006A673A"/>
    <w:rsid w:val="006A6C7E"/>
    <w:rsid w:val="006B010C"/>
    <w:rsid w:val="006B0389"/>
    <w:rsid w:val="006B271F"/>
    <w:rsid w:val="006B2A66"/>
    <w:rsid w:val="006B3A50"/>
    <w:rsid w:val="006C02C5"/>
    <w:rsid w:val="006C43D4"/>
    <w:rsid w:val="006C54FE"/>
    <w:rsid w:val="006C56B0"/>
    <w:rsid w:val="006C6369"/>
    <w:rsid w:val="006C6E0F"/>
    <w:rsid w:val="006D60C5"/>
    <w:rsid w:val="006E0F4C"/>
    <w:rsid w:val="006E1B61"/>
    <w:rsid w:val="006E3C19"/>
    <w:rsid w:val="006E4B9E"/>
    <w:rsid w:val="006E50ED"/>
    <w:rsid w:val="006E7025"/>
    <w:rsid w:val="006E7775"/>
    <w:rsid w:val="006F52A1"/>
    <w:rsid w:val="006F5386"/>
    <w:rsid w:val="006F5898"/>
    <w:rsid w:val="006F627D"/>
    <w:rsid w:val="006F6EEA"/>
    <w:rsid w:val="006F7CD0"/>
    <w:rsid w:val="007002C5"/>
    <w:rsid w:val="0070361C"/>
    <w:rsid w:val="00703BB7"/>
    <w:rsid w:val="007077FD"/>
    <w:rsid w:val="00707C59"/>
    <w:rsid w:val="0071059A"/>
    <w:rsid w:val="00714F91"/>
    <w:rsid w:val="00715EB5"/>
    <w:rsid w:val="007160A2"/>
    <w:rsid w:val="00724C45"/>
    <w:rsid w:val="00727D7B"/>
    <w:rsid w:val="00732FA0"/>
    <w:rsid w:val="00733636"/>
    <w:rsid w:val="00741F3B"/>
    <w:rsid w:val="00743194"/>
    <w:rsid w:val="00744945"/>
    <w:rsid w:val="00745FD3"/>
    <w:rsid w:val="007460E9"/>
    <w:rsid w:val="00746F63"/>
    <w:rsid w:val="00751167"/>
    <w:rsid w:val="00752F46"/>
    <w:rsid w:val="00754324"/>
    <w:rsid w:val="00755B6E"/>
    <w:rsid w:val="0075682F"/>
    <w:rsid w:val="00757D5E"/>
    <w:rsid w:val="00761210"/>
    <w:rsid w:val="0077219A"/>
    <w:rsid w:val="00773420"/>
    <w:rsid w:val="00774689"/>
    <w:rsid w:val="00775C49"/>
    <w:rsid w:val="0077642C"/>
    <w:rsid w:val="00776DBD"/>
    <w:rsid w:val="00777D1B"/>
    <w:rsid w:val="00780DFC"/>
    <w:rsid w:val="00783101"/>
    <w:rsid w:val="00786E3D"/>
    <w:rsid w:val="0078711D"/>
    <w:rsid w:val="00790F80"/>
    <w:rsid w:val="00791A5E"/>
    <w:rsid w:val="0079555E"/>
    <w:rsid w:val="00795B96"/>
    <w:rsid w:val="007A4233"/>
    <w:rsid w:val="007A59D4"/>
    <w:rsid w:val="007B2459"/>
    <w:rsid w:val="007B2F25"/>
    <w:rsid w:val="007B327F"/>
    <w:rsid w:val="007B549A"/>
    <w:rsid w:val="007B6BB2"/>
    <w:rsid w:val="007B743C"/>
    <w:rsid w:val="007C2C9F"/>
    <w:rsid w:val="007C7A61"/>
    <w:rsid w:val="007D04FB"/>
    <w:rsid w:val="007D0FDD"/>
    <w:rsid w:val="007D164D"/>
    <w:rsid w:val="007D5EBD"/>
    <w:rsid w:val="007D63DF"/>
    <w:rsid w:val="007D64B0"/>
    <w:rsid w:val="007D65E6"/>
    <w:rsid w:val="007D6CCC"/>
    <w:rsid w:val="007D6D4C"/>
    <w:rsid w:val="007E067B"/>
    <w:rsid w:val="007E0D41"/>
    <w:rsid w:val="007E1810"/>
    <w:rsid w:val="007E436E"/>
    <w:rsid w:val="007E4A7A"/>
    <w:rsid w:val="007E5B7E"/>
    <w:rsid w:val="007F14B1"/>
    <w:rsid w:val="007F3B77"/>
    <w:rsid w:val="007F4FB2"/>
    <w:rsid w:val="007F51CB"/>
    <w:rsid w:val="00800166"/>
    <w:rsid w:val="008003F3"/>
    <w:rsid w:val="00806588"/>
    <w:rsid w:val="00807831"/>
    <w:rsid w:val="0081044F"/>
    <w:rsid w:val="00813709"/>
    <w:rsid w:val="00814231"/>
    <w:rsid w:val="008165AD"/>
    <w:rsid w:val="00821131"/>
    <w:rsid w:val="008225CF"/>
    <w:rsid w:val="008227FC"/>
    <w:rsid w:val="00823EC4"/>
    <w:rsid w:val="00826C72"/>
    <w:rsid w:val="00830BF4"/>
    <w:rsid w:val="008324DF"/>
    <w:rsid w:val="008336DB"/>
    <w:rsid w:val="00837481"/>
    <w:rsid w:val="008377B5"/>
    <w:rsid w:val="00837E26"/>
    <w:rsid w:val="0084194C"/>
    <w:rsid w:val="00842CB8"/>
    <w:rsid w:val="00843306"/>
    <w:rsid w:val="0084707B"/>
    <w:rsid w:val="0085192D"/>
    <w:rsid w:val="0085305B"/>
    <w:rsid w:val="008605EB"/>
    <w:rsid w:val="0086259A"/>
    <w:rsid w:val="00863246"/>
    <w:rsid w:val="008647D4"/>
    <w:rsid w:val="00864A84"/>
    <w:rsid w:val="0086510C"/>
    <w:rsid w:val="00871B5B"/>
    <w:rsid w:val="00874729"/>
    <w:rsid w:val="008747DE"/>
    <w:rsid w:val="008748F0"/>
    <w:rsid w:val="00874B9E"/>
    <w:rsid w:val="00875D5E"/>
    <w:rsid w:val="00875E94"/>
    <w:rsid w:val="00882928"/>
    <w:rsid w:val="00883DF6"/>
    <w:rsid w:val="008844C9"/>
    <w:rsid w:val="00884705"/>
    <w:rsid w:val="008853DF"/>
    <w:rsid w:val="00885972"/>
    <w:rsid w:val="00885B44"/>
    <w:rsid w:val="00890741"/>
    <w:rsid w:val="0089264B"/>
    <w:rsid w:val="00893D39"/>
    <w:rsid w:val="0089525D"/>
    <w:rsid w:val="008978A5"/>
    <w:rsid w:val="008979AA"/>
    <w:rsid w:val="008A12F7"/>
    <w:rsid w:val="008A455F"/>
    <w:rsid w:val="008A5968"/>
    <w:rsid w:val="008A6A19"/>
    <w:rsid w:val="008A7B58"/>
    <w:rsid w:val="008B13FE"/>
    <w:rsid w:val="008B149F"/>
    <w:rsid w:val="008B3715"/>
    <w:rsid w:val="008B6D3A"/>
    <w:rsid w:val="008C15B8"/>
    <w:rsid w:val="008C3474"/>
    <w:rsid w:val="008C4DDF"/>
    <w:rsid w:val="008C5004"/>
    <w:rsid w:val="008C5FFE"/>
    <w:rsid w:val="008C7FC0"/>
    <w:rsid w:val="008D1840"/>
    <w:rsid w:val="008D1EAD"/>
    <w:rsid w:val="008D7D85"/>
    <w:rsid w:val="008E0A0C"/>
    <w:rsid w:val="008E1C64"/>
    <w:rsid w:val="008E2A7C"/>
    <w:rsid w:val="008E54B0"/>
    <w:rsid w:val="008E5938"/>
    <w:rsid w:val="008E7600"/>
    <w:rsid w:val="008F06A0"/>
    <w:rsid w:val="008F3008"/>
    <w:rsid w:val="008F4AE5"/>
    <w:rsid w:val="008F641F"/>
    <w:rsid w:val="008F7B02"/>
    <w:rsid w:val="008F7B61"/>
    <w:rsid w:val="009006D4"/>
    <w:rsid w:val="00900ADB"/>
    <w:rsid w:val="00901B7E"/>
    <w:rsid w:val="00903D85"/>
    <w:rsid w:val="0090597D"/>
    <w:rsid w:val="009069C6"/>
    <w:rsid w:val="00906C93"/>
    <w:rsid w:val="0091202B"/>
    <w:rsid w:val="009137F3"/>
    <w:rsid w:val="00914986"/>
    <w:rsid w:val="00917871"/>
    <w:rsid w:val="00917912"/>
    <w:rsid w:val="00920611"/>
    <w:rsid w:val="009215A8"/>
    <w:rsid w:val="00922B83"/>
    <w:rsid w:val="00922F1F"/>
    <w:rsid w:val="00923D55"/>
    <w:rsid w:val="009250BB"/>
    <w:rsid w:val="00925B77"/>
    <w:rsid w:val="00925D27"/>
    <w:rsid w:val="00926E96"/>
    <w:rsid w:val="009275CF"/>
    <w:rsid w:val="00930A85"/>
    <w:rsid w:val="00931BAF"/>
    <w:rsid w:val="009322A5"/>
    <w:rsid w:val="00932403"/>
    <w:rsid w:val="00932731"/>
    <w:rsid w:val="00932A61"/>
    <w:rsid w:val="009340DE"/>
    <w:rsid w:val="009345D7"/>
    <w:rsid w:val="00937E56"/>
    <w:rsid w:val="00941408"/>
    <w:rsid w:val="00941C63"/>
    <w:rsid w:val="0094351F"/>
    <w:rsid w:val="009441A4"/>
    <w:rsid w:val="00947744"/>
    <w:rsid w:val="0094774A"/>
    <w:rsid w:val="009501C9"/>
    <w:rsid w:val="00950989"/>
    <w:rsid w:val="00952AF2"/>
    <w:rsid w:val="00952BDF"/>
    <w:rsid w:val="00960997"/>
    <w:rsid w:val="00966C49"/>
    <w:rsid w:val="00971914"/>
    <w:rsid w:val="00974943"/>
    <w:rsid w:val="00976B7C"/>
    <w:rsid w:val="009777B6"/>
    <w:rsid w:val="009833C2"/>
    <w:rsid w:val="00983F69"/>
    <w:rsid w:val="00984856"/>
    <w:rsid w:val="00985776"/>
    <w:rsid w:val="009857F5"/>
    <w:rsid w:val="00990E41"/>
    <w:rsid w:val="009929D3"/>
    <w:rsid w:val="00993F5B"/>
    <w:rsid w:val="00995984"/>
    <w:rsid w:val="009A08BD"/>
    <w:rsid w:val="009A3CD2"/>
    <w:rsid w:val="009B1EAF"/>
    <w:rsid w:val="009B29B9"/>
    <w:rsid w:val="009B2FC3"/>
    <w:rsid w:val="009B48E3"/>
    <w:rsid w:val="009B5955"/>
    <w:rsid w:val="009B6C5D"/>
    <w:rsid w:val="009B6EC4"/>
    <w:rsid w:val="009C43A0"/>
    <w:rsid w:val="009C4AE9"/>
    <w:rsid w:val="009C5508"/>
    <w:rsid w:val="009D1CC3"/>
    <w:rsid w:val="009D50D8"/>
    <w:rsid w:val="009E2EC7"/>
    <w:rsid w:val="009E4E7D"/>
    <w:rsid w:val="009E6753"/>
    <w:rsid w:val="009F3F9A"/>
    <w:rsid w:val="009F4441"/>
    <w:rsid w:val="009F68D6"/>
    <w:rsid w:val="009F7B83"/>
    <w:rsid w:val="00A05B84"/>
    <w:rsid w:val="00A05CAF"/>
    <w:rsid w:val="00A07A22"/>
    <w:rsid w:val="00A1044E"/>
    <w:rsid w:val="00A10D64"/>
    <w:rsid w:val="00A1161B"/>
    <w:rsid w:val="00A17108"/>
    <w:rsid w:val="00A217B0"/>
    <w:rsid w:val="00A21B54"/>
    <w:rsid w:val="00A26877"/>
    <w:rsid w:val="00A27298"/>
    <w:rsid w:val="00A312D7"/>
    <w:rsid w:val="00A32438"/>
    <w:rsid w:val="00A332DE"/>
    <w:rsid w:val="00A34F49"/>
    <w:rsid w:val="00A4451C"/>
    <w:rsid w:val="00A44A89"/>
    <w:rsid w:val="00A477B4"/>
    <w:rsid w:val="00A52614"/>
    <w:rsid w:val="00A53384"/>
    <w:rsid w:val="00A5643D"/>
    <w:rsid w:val="00A56A43"/>
    <w:rsid w:val="00A6418D"/>
    <w:rsid w:val="00A65119"/>
    <w:rsid w:val="00A6536B"/>
    <w:rsid w:val="00A653D7"/>
    <w:rsid w:val="00A6648C"/>
    <w:rsid w:val="00A67A96"/>
    <w:rsid w:val="00A720BE"/>
    <w:rsid w:val="00A744F8"/>
    <w:rsid w:val="00A75E90"/>
    <w:rsid w:val="00A75FEA"/>
    <w:rsid w:val="00A8014D"/>
    <w:rsid w:val="00A81D5F"/>
    <w:rsid w:val="00A82E2E"/>
    <w:rsid w:val="00A83D2D"/>
    <w:rsid w:val="00A857AD"/>
    <w:rsid w:val="00A879F7"/>
    <w:rsid w:val="00A87C8F"/>
    <w:rsid w:val="00A912A8"/>
    <w:rsid w:val="00A92ED0"/>
    <w:rsid w:val="00AA1BF9"/>
    <w:rsid w:val="00AA2039"/>
    <w:rsid w:val="00AA27F1"/>
    <w:rsid w:val="00AA2B21"/>
    <w:rsid w:val="00AA3C87"/>
    <w:rsid w:val="00AA50CE"/>
    <w:rsid w:val="00AA6C99"/>
    <w:rsid w:val="00AA7F68"/>
    <w:rsid w:val="00AB4716"/>
    <w:rsid w:val="00AB5104"/>
    <w:rsid w:val="00AB69BC"/>
    <w:rsid w:val="00AC08EC"/>
    <w:rsid w:val="00AC1175"/>
    <w:rsid w:val="00AC11A2"/>
    <w:rsid w:val="00AC2C67"/>
    <w:rsid w:val="00AC4A54"/>
    <w:rsid w:val="00AD1D1E"/>
    <w:rsid w:val="00AD6244"/>
    <w:rsid w:val="00AD66BE"/>
    <w:rsid w:val="00AD70F3"/>
    <w:rsid w:val="00AD763C"/>
    <w:rsid w:val="00AE0B85"/>
    <w:rsid w:val="00AE6C5A"/>
    <w:rsid w:val="00AF1491"/>
    <w:rsid w:val="00AF184C"/>
    <w:rsid w:val="00AF3908"/>
    <w:rsid w:val="00AF393F"/>
    <w:rsid w:val="00AF5840"/>
    <w:rsid w:val="00AF75CC"/>
    <w:rsid w:val="00B018AE"/>
    <w:rsid w:val="00B05833"/>
    <w:rsid w:val="00B06584"/>
    <w:rsid w:val="00B07951"/>
    <w:rsid w:val="00B1012D"/>
    <w:rsid w:val="00B10A9B"/>
    <w:rsid w:val="00B11733"/>
    <w:rsid w:val="00B11FA2"/>
    <w:rsid w:val="00B1207F"/>
    <w:rsid w:val="00B14DBD"/>
    <w:rsid w:val="00B15149"/>
    <w:rsid w:val="00B15B93"/>
    <w:rsid w:val="00B171DB"/>
    <w:rsid w:val="00B27513"/>
    <w:rsid w:val="00B27A13"/>
    <w:rsid w:val="00B31CD1"/>
    <w:rsid w:val="00B36DEF"/>
    <w:rsid w:val="00B40AF2"/>
    <w:rsid w:val="00B42CA1"/>
    <w:rsid w:val="00B43DBF"/>
    <w:rsid w:val="00B4761D"/>
    <w:rsid w:val="00B47623"/>
    <w:rsid w:val="00B5508D"/>
    <w:rsid w:val="00B55EFA"/>
    <w:rsid w:val="00B56EE6"/>
    <w:rsid w:val="00B6249C"/>
    <w:rsid w:val="00B64556"/>
    <w:rsid w:val="00B652AD"/>
    <w:rsid w:val="00B66938"/>
    <w:rsid w:val="00B671A2"/>
    <w:rsid w:val="00B67394"/>
    <w:rsid w:val="00B7417D"/>
    <w:rsid w:val="00B74A8C"/>
    <w:rsid w:val="00B76B93"/>
    <w:rsid w:val="00B81783"/>
    <w:rsid w:val="00B828A3"/>
    <w:rsid w:val="00B83D39"/>
    <w:rsid w:val="00B85BE8"/>
    <w:rsid w:val="00B86CA3"/>
    <w:rsid w:val="00B86D65"/>
    <w:rsid w:val="00B877F7"/>
    <w:rsid w:val="00B87B59"/>
    <w:rsid w:val="00B9061F"/>
    <w:rsid w:val="00B9198B"/>
    <w:rsid w:val="00B91D7C"/>
    <w:rsid w:val="00B92BDB"/>
    <w:rsid w:val="00B94FDA"/>
    <w:rsid w:val="00B95CD6"/>
    <w:rsid w:val="00B95DFB"/>
    <w:rsid w:val="00BA0A59"/>
    <w:rsid w:val="00BA4E08"/>
    <w:rsid w:val="00BA6389"/>
    <w:rsid w:val="00BA688B"/>
    <w:rsid w:val="00BA6FD2"/>
    <w:rsid w:val="00BA757E"/>
    <w:rsid w:val="00BA769B"/>
    <w:rsid w:val="00BA7A80"/>
    <w:rsid w:val="00BB2E5F"/>
    <w:rsid w:val="00BB662F"/>
    <w:rsid w:val="00BB7965"/>
    <w:rsid w:val="00BB7CB2"/>
    <w:rsid w:val="00BC1C7E"/>
    <w:rsid w:val="00BC36FD"/>
    <w:rsid w:val="00BC4917"/>
    <w:rsid w:val="00BD2BE1"/>
    <w:rsid w:val="00BD430B"/>
    <w:rsid w:val="00BD7CE2"/>
    <w:rsid w:val="00BE5176"/>
    <w:rsid w:val="00BE57CF"/>
    <w:rsid w:val="00BE6448"/>
    <w:rsid w:val="00BE7950"/>
    <w:rsid w:val="00BF10D7"/>
    <w:rsid w:val="00BF5D36"/>
    <w:rsid w:val="00BF722D"/>
    <w:rsid w:val="00BF7837"/>
    <w:rsid w:val="00BF7BC0"/>
    <w:rsid w:val="00C0130C"/>
    <w:rsid w:val="00C04EDC"/>
    <w:rsid w:val="00C05EC6"/>
    <w:rsid w:val="00C06417"/>
    <w:rsid w:val="00C11A92"/>
    <w:rsid w:val="00C11F01"/>
    <w:rsid w:val="00C125F1"/>
    <w:rsid w:val="00C12ED6"/>
    <w:rsid w:val="00C13483"/>
    <w:rsid w:val="00C168BF"/>
    <w:rsid w:val="00C17895"/>
    <w:rsid w:val="00C20943"/>
    <w:rsid w:val="00C23232"/>
    <w:rsid w:val="00C248D7"/>
    <w:rsid w:val="00C26A2B"/>
    <w:rsid w:val="00C27E94"/>
    <w:rsid w:val="00C333CF"/>
    <w:rsid w:val="00C34E87"/>
    <w:rsid w:val="00C40801"/>
    <w:rsid w:val="00C41323"/>
    <w:rsid w:val="00C41E18"/>
    <w:rsid w:val="00C43D22"/>
    <w:rsid w:val="00C4450F"/>
    <w:rsid w:val="00C44EA2"/>
    <w:rsid w:val="00C45437"/>
    <w:rsid w:val="00C4615F"/>
    <w:rsid w:val="00C50683"/>
    <w:rsid w:val="00C51A0B"/>
    <w:rsid w:val="00C52E50"/>
    <w:rsid w:val="00C531B4"/>
    <w:rsid w:val="00C534B6"/>
    <w:rsid w:val="00C5544A"/>
    <w:rsid w:val="00C557F7"/>
    <w:rsid w:val="00C569E0"/>
    <w:rsid w:val="00C57399"/>
    <w:rsid w:val="00C61000"/>
    <w:rsid w:val="00C614CB"/>
    <w:rsid w:val="00C64856"/>
    <w:rsid w:val="00C671F3"/>
    <w:rsid w:val="00C7179F"/>
    <w:rsid w:val="00C72197"/>
    <w:rsid w:val="00C76C85"/>
    <w:rsid w:val="00C81407"/>
    <w:rsid w:val="00C819D3"/>
    <w:rsid w:val="00C81CEC"/>
    <w:rsid w:val="00C87355"/>
    <w:rsid w:val="00C90855"/>
    <w:rsid w:val="00C908B4"/>
    <w:rsid w:val="00C94EC3"/>
    <w:rsid w:val="00C964AD"/>
    <w:rsid w:val="00CA2315"/>
    <w:rsid w:val="00CA3B4C"/>
    <w:rsid w:val="00CA54E6"/>
    <w:rsid w:val="00CA5EAB"/>
    <w:rsid w:val="00CA67A2"/>
    <w:rsid w:val="00CA7F82"/>
    <w:rsid w:val="00CB0F17"/>
    <w:rsid w:val="00CB5F42"/>
    <w:rsid w:val="00CB696F"/>
    <w:rsid w:val="00CC0DED"/>
    <w:rsid w:val="00CC61B2"/>
    <w:rsid w:val="00CC7F9B"/>
    <w:rsid w:val="00CD0369"/>
    <w:rsid w:val="00CD1120"/>
    <w:rsid w:val="00CD532D"/>
    <w:rsid w:val="00CD5535"/>
    <w:rsid w:val="00CE21B1"/>
    <w:rsid w:val="00CE25FF"/>
    <w:rsid w:val="00CE2F54"/>
    <w:rsid w:val="00CE330E"/>
    <w:rsid w:val="00CE37FF"/>
    <w:rsid w:val="00CE48D0"/>
    <w:rsid w:val="00CE612D"/>
    <w:rsid w:val="00CF213B"/>
    <w:rsid w:val="00CF33C2"/>
    <w:rsid w:val="00D03047"/>
    <w:rsid w:val="00D04504"/>
    <w:rsid w:val="00D05E4A"/>
    <w:rsid w:val="00D07D1F"/>
    <w:rsid w:val="00D07F19"/>
    <w:rsid w:val="00D10EB8"/>
    <w:rsid w:val="00D11EC8"/>
    <w:rsid w:val="00D12C9B"/>
    <w:rsid w:val="00D12FC6"/>
    <w:rsid w:val="00D165BF"/>
    <w:rsid w:val="00D205A6"/>
    <w:rsid w:val="00D23AFF"/>
    <w:rsid w:val="00D2447E"/>
    <w:rsid w:val="00D259C8"/>
    <w:rsid w:val="00D2613F"/>
    <w:rsid w:val="00D26818"/>
    <w:rsid w:val="00D272F4"/>
    <w:rsid w:val="00D316D5"/>
    <w:rsid w:val="00D320FE"/>
    <w:rsid w:val="00D330B1"/>
    <w:rsid w:val="00D362D5"/>
    <w:rsid w:val="00D36511"/>
    <w:rsid w:val="00D373AB"/>
    <w:rsid w:val="00D41350"/>
    <w:rsid w:val="00D43290"/>
    <w:rsid w:val="00D46E54"/>
    <w:rsid w:val="00D47734"/>
    <w:rsid w:val="00D500FD"/>
    <w:rsid w:val="00D50C30"/>
    <w:rsid w:val="00D5230F"/>
    <w:rsid w:val="00D5304D"/>
    <w:rsid w:val="00D55B97"/>
    <w:rsid w:val="00D56DE7"/>
    <w:rsid w:val="00D571B2"/>
    <w:rsid w:val="00D66569"/>
    <w:rsid w:val="00D67B05"/>
    <w:rsid w:val="00D67DE6"/>
    <w:rsid w:val="00D73AE8"/>
    <w:rsid w:val="00D74B86"/>
    <w:rsid w:val="00D77180"/>
    <w:rsid w:val="00D805EF"/>
    <w:rsid w:val="00D8060B"/>
    <w:rsid w:val="00D809AB"/>
    <w:rsid w:val="00D82898"/>
    <w:rsid w:val="00D829D4"/>
    <w:rsid w:val="00D84EA3"/>
    <w:rsid w:val="00D86602"/>
    <w:rsid w:val="00D907E7"/>
    <w:rsid w:val="00D90B2D"/>
    <w:rsid w:val="00D9343C"/>
    <w:rsid w:val="00D944B0"/>
    <w:rsid w:val="00D9450E"/>
    <w:rsid w:val="00D95397"/>
    <w:rsid w:val="00D97539"/>
    <w:rsid w:val="00DA180D"/>
    <w:rsid w:val="00DA42BB"/>
    <w:rsid w:val="00DA45C4"/>
    <w:rsid w:val="00DA5A22"/>
    <w:rsid w:val="00DA7898"/>
    <w:rsid w:val="00DB0B65"/>
    <w:rsid w:val="00DB10DE"/>
    <w:rsid w:val="00DB4F9B"/>
    <w:rsid w:val="00DB7E19"/>
    <w:rsid w:val="00DC150F"/>
    <w:rsid w:val="00DC3069"/>
    <w:rsid w:val="00DC3A1A"/>
    <w:rsid w:val="00DC4411"/>
    <w:rsid w:val="00DC66A3"/>
    <w:rsid w:val="00DC74AF"/>
    <w:rsid w:val="00DC7849"/>
    <w:rsid w:val="00DD0E59"/>
    <w:rsid w:val="00DE0FDE"/>
    <w:rsid w:val="00DF19BD"/>
    <w:rsid w:val="00DF483E"/>
    <w:rsid w:val="00E0193D"/>
    <w:rsid w:val="00E038E0"/>
    <w:rsid w:val="00E038FE"/>
    <w:rsid w:val="00E05B22"/>
    <w:rsid w:val="00E06B57"/>
    <w:rsid w:val="00E0707C"/>
    <w:rsid w:val="00E108E9"/>
    <w:rsid w:val="00E10930"/>
    <w:rsid w:val="00E16E7A"/>
    <w:rsid w:val="00E17D25"/>
    <w:rsid w:val="00E203B0"/>
    <w:rsid w:val="00E22DE6"/>
    <w:rsid w:val="00E25865"/>
    <w:rsid w:val="00E304C2"/>
    <w:rsid w:val="00E309B6"/>
    <w:rsid w:val="00E31974"/>
    <w:rsid w:val="00E31E8F"/>
    <w:rsid w:val="00E3414D"/>
    <w:rsid w:val="00E34586"/>
    <w:rsid w:val="00E34E81"/>
    <w:rsid w:val="00E34EE2"/>
    <w:rsid w:val="00E34F70"/>
    <w:rsid w:val="00E35084"/>
    <w:rsid w:val="00E35C94"/>
    <w:rsid w:val="00E36AAB"/>
    <w:rsid w:val="00E416E6"/>
    <w:rsid w:val="00E43523"/>
    <w:rsid w:val="00E43536"/>
    <w:rsid w:val="00E43974"/>
    <w:rsid w:val="00E514D1"/>
    <w:rsid w:val="00E519FB"/>
    <w:rsid w:val="00E51D60"/>
    <w:rsid w:val="00E5259B"/>
    <w:rsid w:val="00E52944"/>
    <w:rsid w:val="00E53E71"/>
    <w:rsid w:val="00E548DA"/>
    <w:rsid w:val="00E54CD8"/>
    <w:rsid w:val="00E57947"/>
    <w:rsid w:val="00E60021"/>
    <w:rsid w:val="00E60C53"/>
    <w:rsid w:val="00E62708"/>
    <w:rsid w:val="00E666A8"/>
    <w:rsid w:val="00E672B2"/>
    <w:rsid w:val="00E71096"/>
    <w:rsid w:val="00E7570C"/>
    <w:rsid w:val="00E75DF4"/>
    <w:rsid w:val="00E858D2"/>
    <w:rsid w:val="00E85A91"/>
    <w:rsid w:val="00E85BF5"/>
    <w:rsid w:val="00E90A8A"/>
    <w:rsid w:val="00E90B82"/>
    <w:rsid w:val="00E9184D"/>
    <w:rsid w:val="00E92871"/>
    <w:rsid w:val="00E94A1F"/>
    <w:rsid w:val="00E953A9"/>
    <w:rsid w:val="00E96821"/>
    <w:rsid w:val="00E975C8"/>
    <w:rsid w:val="00EA0386"/>
    <w:rsid w:val="00EA0D46"/>
    <w:rsid w:val="00EA38E8"/>
    <w:rsid w:val="00EA43E8"/>
    <w:rsid w:val="00EA5465"/>
    <w:rsid w:val="00EA555A"/>
    <w:rsid w:val="00EA7AF3"/>
    <w:rsid w:val="00EB438F"/>
    <w:rsid w:val="00EB5FE2"/>
    <w:rsid w:val="00EB72E6"/>
    <w:rsid w:val="00EC0E4F"/>
    <w:rsid w:val="00EC0F03"/>
    <w:rsid w:val="00EC36B3"/>
    <w:rsid w:val="00EC49D4"/>
    <w:rsid w:val="00EC753E"/>
    <w:rsid w:val="00ED0280"/>
    <w:rsid w:val="00ED266F"/>
    <w:rsid w:val="00ED62C9"/>
    <w:rsid w:val="00ED7D24"/>
    <w:rsid w:val="00EE10EE"/>
    <w:rsid w:val="00EE36A8"/>
    <w:rsid w:val="00EE42F3"/>
    <w:rsid w:val="00EE6FF7"/>
    <w:rsid w:val="00EF0C02"/>
    <w:rsid w:val="00EF3D8A"/>
    <w:rsid w:val="00EF604C"/>
    <w:rsid w:val="00EF7254"/>
    <w:rsid w:val="00EF7ACC"/>
    <w:rsid w:val="00F00FF4"/>
    <w:rsid w:val="00F011F8"/>
    <w:rsid w:val="00F03DB3"/>
    <w:rsid w:val="00F05254"/>
    <w:rsid w:val="00F05DDA"/>
    <w:rsid w:val="00F110DE"/>
    <w:rsid w:val="00F13F86"/>
    <w:rsid w:val="00F16700"/>
    <w:rsid w:val="00F2513E"/>
    <w:rsid w:val="00F26F84"/>
    <w:rsid w:val="00F31187"/>
    <w:rsid w:val="00F32E6F"/>
    <w:rsid w:val="00F33110"/>
    <w:rsid w:val="00F363F3"/>
    <w:rsid w:val="00F40BD5"/>
    <w:rsid w:val="00F44A8D"/>
    <w:rsid w:val="00F44D07"/>
    <w:rsid w:val="00F451EB"/>
    <w:rsid w:val="00F50CFF"/>
    <w:rsid w:val="00F510FE"/>
    <w:rsid w:val="00F54241"/>
    <w:rsid w:val="00F5447C"/>
    <w:rsid w:val="00F565AE"/>
    <w:rsid w:val="00F57545"/>
    <w:rsid w:val="00F6128B"/>
    <w:rsid w:val="00F61FC4"/>
    <w:rsid w:val="00F622A3"/>
    <w:rsid w:val="00F63766"/>
    <w:rsid w:val="00F661DD"/>
    <w:rsid w:val="00F67563"/>
    <w:rsid w:val="00F70925"/>
    <w:rsid w:val="00F712D3"/>
    <w:rsid w:val="00F7268A"/>
    <w:rsid w:val="00F72FBA"/>
    <w:rsid w:val="00F76139"/>
    <w:rsid w:val="00F7782D"/>
    <w:rsid w:val="00F77EE0"/>
    <w:rsid w:val="00F806E0"/>
    <w:rsid w:val="00F82154"/>
    <w:rsid w:val="00F82949"/>
    <w:rsid w:val="00F834CF"/>
    <w:rsid w:val="00F87C1E"/>
    <w:rsid w:val="00FA09B6"/>
    <w:rsid w:val="00FA2AD8"/>
    <w:rsid w:val="00FA38EF"/>
    <w:rsid w:val="00FA4B18"/>
    <w:rsid w:val="00FA5D73"/>
    <w:rsid w:val="00FA5EE5"/>
    <w:rsid w:val="00FA77F8"/>
    <w:rsid w:val="00FB1DA4"/>
    <w:rsid w:val="00FB21EA"/>
    <w:rsid w:val="00FB4094"/>
    <w:rsid w:val="00FB4A75"/>
    <w:rsid w:val="00FB4DBF"/>
    <w:rsid w:val="00FB51B1"/>
    <w:rsid w:val="00FC0903"/>
    <w:rsid w:val="00FC0C7E"/>
    <w:rsid w:val="00FC1CE5"/>
    <w:rsid w:val="00FC2969"/>
    <w:rsid w:val="00FC330C"/>
    <w:rsid w:val="00FC38F4"/>
    <w:rsid w:val="00FD1926"/>
    <w:rsid w:val="00FD30C7"/>
    <w:rsid w:val="00FD56BB"/>
    <w:rsid w:val="00FD5F84"/>
    <w:rsid w:val="00FE0788"/>
    <w:rsid w:val="00FE2243"/>
    <w:rsid w:val="00FE48F2"/>
    <w:rsid w:val="00FE625F"/>
    <w:rsid w:val="00FE7737"/>
    <w:rsid w:val="00FE7C14"/>
    <w:rsid w:val="00FF2AAD"/>
    <w:rsid w:val="00FF40A6"/>
    <w:rsid w:val="00FF4F47"/>
    <w:rsid w:val="00FF70A8"/>
    <w:rsid w:val="03BBF66D"/>
    <w:rsid w:val="0A2F3BD3"/>
    <w:rsid w:val="189AAE92"/>
    <w:rsid w:val="1D490CDF"/>
    <w:rsid w:val="276F75A6"/>
    <w:rsid w:val="2858B79A"/>
    <w:rsid w:val="2C41FD84"/>
    <w:rsid w:val="2D7ED9E3"/>
    <w:rsid w:val="2E1FF4C7"/>
    <w:rsid w:val="307FF2D4"/>
    <w:rsid w:val="3789DCC5"/>
    <w:rsid w:val="38E107A2"/>
    <w:rsid w:val="3D65BDAE"/>
    <w:rsid w:val="4F28CF06"/>
    <w:rsid w:val="56CE5C31"/>
    <w:rsid w:val="5D2998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E5C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387"/>
    <w:rPr>
      <w:rFonts w:cs="Arial"/>
      <w:color w:val="000000"/>
      <w:sz w:val="24"/>
      <w:szCs w:val="20"/>
    </w:rPr>
  </w:style>
  <w:style w:type="paragraph" w:styleId="Heading2">
    <w:name w:val="heading 2"/>
    <w:basedOn w:val="Normal"/>
    <w:next w:val="Normal"/>
    <w:link w:val="Heading2Char"/>
    <w:semiHidden/>
    <w:unhideWhenUsed/>
    <w:qFormat/>
    <w:locked/>
    <w:rsid w:val="00463E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591563"/>
    <w:pPr>
      <w:keepNext/>
      <w:spacing w:before="240" w:after="60"/>
      <w:outlineLvl w:val="2"/>
    </w:pPr>
    <w:rPr>
      <w:rFonts w:ascii="Arial" w:hAnsi="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AF75CC"/>
    <w:rPr>
      <w:rFonts w:ascii="Cambria" w:hAnsi="Cambria" w:cs="Times New Roman"/>
      <w:b/>
      <w:bCs/>
      <w:color w:val="000000"/>
      <w:sz w:val="26"/>
      <w:szCs w:val="26"/>
    </w:rPr>
  </w:style>
  <w:style w:type="paragraph" w:styleId="BalloonText">
    <w:name w:val="Balloon Text"/>
    <w:basedOn w:val="Normal"/>
    <w:link w:val="BalloonTextChar"/>
    <w:uiPriority w:val="99"/>
    <w:semiHidden/>
    <w:rsid w:val="000A71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75CC"/>
    <w:rPr>
      <w:rFonts w:cs="Arial"/>
      <w:color w:val="000000"/>
      <w:sz w:val="2"/>
    </w:rPr>
  </w:style>
  <w:style w:type="paragraph" w:styleId="Footer">
    <w:name w:val="footer"/>
    <w:basedOn w:val="Normal"/>
    <w:link w:val="FooterChar"/>
    <w:uiPriority w:val="99"/>
    <w:rsid w:val="00320387"/>
    <w:pPr>
      <w:tabs>
        <w:tab w:val="center" w:pos="4320"/>
        <w:tab w:val="right" w:pos="8640"/>
      </w:tabs>
    </w:pPr>
  </w:style>
  <w:style w:type="character" w:customStyle="1" w:styleId="FooterChar">
    <w:name w:val="Footer Char"/>
    <w:basedOn w:val="DefaultParagraphFont"/>
    <w:link w:val="Footer"/>
    <w:uiPriority w:val="99"/>
    <w:semiHidden/>
    <w:locked/>
    <w:rsid w:val="00AF75CC"/>
    <w:rPr>
      <w:rFonts w:cs="Arial"/>
      <w:color w:val="000000"/>
      <w:sz w:val="20"/>
      <w:szCs w:val="20"/>
    </w:rPr>
  </w:style>
  <w:style w:type="paragraph" w:styleId="Title">
    <w:name w:val="Title"/>
    <w:basedOn w:val="Normal"/>
    <w:next w:val="Subtitle"/>
    <w:link w:val="TitleChar"/>
    <w:uiPriority w:val="99"/>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uiPriority w:val="99"/>
    <w:locked/>
    <w:rsid w:val="00AF75CC"/>
    <w:rPr>
      <w:rFonts w:ascii="Cambria" w:hAnsi="Cambria" w:cs="Times New Roman"/>
      <w:b/>
      <w:bCs/>
      <w:color w:val="000000"/>
      <w:kern w:val="28"/>
      <w:sz w:val="32"/>
      <w:szCs w:val="32"/>
    </w:rPr>
  </w:style>
  <w:style w:type="paragraph" w:styleId="Index1">
    <w:name w:val="index 1"/>
    <w:basedOn w:val="Normal"/>
    <w:next w:val="Normal"/>
    <w:autoRedefine/>
    <w:uiPriority w:val="99"/>
    <w:semiHidden/>
    <w:rsid w:val="006E3C19"/>
    <w:pPr>
      <w:ind w:left="360"/>
    </w:pPr>
  </w:style>
  <w:style w:type="paragraph" w:styleId="IndexHeading">
    <w:name w:val="index heading"/>
    <w:basedOn w:val="Normal"/>
    <w:next w:val="Index1"/>
    <w:uiPriority w:val="99"/>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uiPriority w:val="99"/>
    <w:rsid w:val="00320387"/>
    <w:rPr>
      <w:rFonts w:ascii="Arial Black" w:hAnsi="Arial Black" w:cs="Times New Roman"/>
      <w:spacing w:val="-10"/>
      <w:sz w:val="18"/>
    </w:rPr>
  </w:style>
  <w:style w:type="paragraph" w:styleId="Header">
    <w:name w:val="header"/>
    <w:basedOn w:val="Normal"/>
    <w:link w:val="HeaderChar"/>
    <w:uiPriority w:val="99"/>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semiHidden/>
    <w:locked/>
    <w:rsid w:val="00AF75CC"/>
    <w:rPr>
      <w:rFonts w:cs="Arial"/>
      <w:color w:val="000000"/>
      <w:sz w:val="20"/>
      <w:szCs w:val="20"/>
    </w:rPr>
  </w:style>
  <w:style w:type="paragraph" w:styleId="Subtitle">
    <w:name w:val="Subtitle"/>
    <w:basedOn w:val="Normal"/>
    <w:link w:val="SubtitleChar"/>
    <w:uiPriority w:val="99"/>
    <w:qFormat/>
    <w:rsid w:val="00320387"/>
    <w:pPr>
      <w:spacing w:after="60"/>
      <w:jc w:val="center"/>
      <w:outlineLvl w:val="1"/>
    </w:pPr>
    <w:rPr>
      <w:rFonts w:ascii="Arial" w:hAnsi="Arial"/>
      <w:szCs w:val="24"/>
    </w:rPr>
  </w:style>
  <w:style w:type="character" w:customStyle="1" w:styleId="SubtitleChar">
    <w:name w:val="Subtitle Char"/>
    <w:basedOn w:val="DefaultParagraphFont"/>
    <w:link w:val="Subtitle"/>
    <w:uiPriority w:val="99"/>
    <w:locked/>
    <w:rsid w:val="00AF75CC"/>
    <w:rPr>
      <w:rFonts w:ascii="Cambria" w:hAnsi="Cambria" w:cs="Times New Roman"/>
      <w:color w:val="000000"/>
      <w:sz w:val="24"/>
      <w:szCs w:val="24"/>
    </w:rPr>
  </w:style>
  <w:style w:type="character" w:styleId="CommentReference">
    <w:name w:val="annotation reference"/>
    <w:basedOn w:val="DefaultParagraphFont"/>
    <w:uiPriority w:val="99"/>
    <w:semiHidden/>
    <w:rsid w:val="004F3B4C"/>
    <w:rPr>
      <w:rFonts w:cs="Times New Roman"/>
      <w:sz w:val="16"/>
      <w:szCs w:val="16"/>
    </w:rPr>
  </w:style>
  <w:style w:type="paragraph" w:styleId="FootnoteText">
    <w:name w:val="footnote text"/>
    <w:aliases w:val=" Char,Footnote Text Char Char,Footnote Text Char1,Footnote Text Char2,Footnote Text Char3,Footnote Text Char4,Footnote Text Char5,ft"/>
    <w:basedOn w:val="Normal"/>
    <w:link w:val="FootnoteTextChar"/>
    <w:uiPriority w:val="99"/>
    <w:qFormat/>
    <w:rsid w:val="009B2FC3"/>
    <w:rPr>
      <w:rFonts w:cs="Times New Roman"/>
      <w:color w:val="auto"/>
      <w:sz w:val="20"/>
    </w:rPr>
  </w:style>
  <w:style w:type="character" w:customStyle="1" w:styleId="FootnoteTextChar">
    <w:name w:val="Footnote Text Char"/>
    <w:aliases w:val=" Char Char,Footnote Text Char Char Char,Footnote Text Char1 Char,Footnote Text Char2 Char,Footnote Text Char3 Char,Footnote Text Char4 Char,Footnote Text Char5 Char,ft Char"/>
    <w:basedOn w:val="DefaultParagraphFont"/>
    <w:link w:val="FootnoteText"/>
    <w:uiPriority w:val="99"/>
    <w:locked/>
    <w:rsid w:val="00AF75CC"/>
    <w:rPr>
      <w:rFonts w:cs="Arial"/>
      <w:color w:val="000000"/>
      <w:sz w:val="20"/>
      <w:szCs w:val="20"/>
    </w:rPr>
  </w:style>
  <w:style w:type="character" w:styleId="FootnoteReference">
    <w:name w:val="footnote reference"/>
    <w:aliases w:val="*Footnote Reference,Number"/>
    <w:basedOn w:val="DefaultParagraphFont"/>
    <w:uiPriority w:val="99"/>
    <w:qFormat/>
    <w:rsid w:val="009B2FC3"/>
    <w:rPr>
      <w:rFonts w:cs="Times New Roman"/>
      <w:vertAlign w:val="superscript"/>
    </w:rPr>
  </w:style>
  <w:style w:type="paragraph" w:styleId="CommentText">
    <w:name w:val="annotation text"/>
    <w:basedOn w:val="Normal"/>
    <w:link w:val="CommentTextChar"/>
    <w:uiPriority w:val="99"/>
    <w:semiHidden/>
    <w:rsid w:val="00236779"/>
    <w:rPr>
      <w:rFonts w:ascii="Verdana" w:hAnsi="Verdana"/>
      <w:sz w:val="20"/>
    </w:rPr>
  </w:style>
  <w:style w:type="character" w:customStyle="1" w:styleId="CommentTextChar">
    <w:name w:val="Comment Text Char"/>
    <w:basedOn w:val="DefaultParagraphFont"/>
    <w:link w:val="CommentText"/>
    <w:uiPriority w:val="99"/>
    <w:semiHidden/>
    <w:locked/>
    <w:rsid w:val="00236779"/>
    <w:rPr>
      <w:rFonts w:ascii="Verdana" w:hAnsi="Verdana" w:cs="Arial"/>
      <w:color w:val="000000"/>
      <w:sz w:val="20"/>
      <w:szCs w:val="20"/>
    </w:rPr>
  </w:style>
  <w:style w:type="paragraph" w:styleId="CommentSubject">
    <w:name w:val="annotation subject"/>
    <w:basedOn w:val="CommentText"/>
    <w:next w:val="CommentText"/>
    <w:link w:val="CommentSubjectChar"/>
    <w:uiPriority w:val="99"/>
    <w:semiHidden/>
    <w:rsid w:val="000A710A"/>
    <w:rPr>
      <w:b/>
      <w:bCs/>
    </w:rPr>
  </w:style>
  <w:style w:type="character" w:customStyle="1" w:styleId="CommentSubjectChar">
    <w:name w:val="Comment Subject Char"/>
    <w:basedOn w:val="CommentTextChar"/>
    <w:link w:val="CommentSubject"/>
    <w:uiPriority w:val="99"/>
    <w:semiHidden/>
    <w:locked/>
    <w:rsid w:val="00AF75CC"/>
    <w:rPr>
      <w:rFonts w:ascii="Verdana" w:hAnsi="Verdana" w:cs="Arial"/>
      <w:b/>
      <w:bCs/>
      <w:color w:val="000000"/>
      <w:sz w:val="20"/>
      <w:szCs w:val="20"/>
    </w:rPr>
  </w:style>
  <w:style w:type="character" w:styleId="Hyperlink">
    <w:name w:val="Hyperlink"/>
    <w:basedOn w:val="DefaultParagraphFont"/>
    <w:uiPriority w:val="99"/>
    <w:rsid w:val="003A49A7"/>
    <w:rPr>
      <w:rFonts w:cs="Times New Roman"/>
      <w:color w:val="0000FF"/>
      <w:u w:val="single"/>
    </w:rPr>
  </w:style>
  <w:style w:type="table" w:styleId="TableGrid">
    <w:name w:val="Table Grid"/>
    <w:basedOn w:val="TableNormal"/>
    <w:uiPriority w:val="99"/>
    <w:rsid w:val="00F726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7710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F75CC"/>
    <w:rPr>
      <w:rFonts w:cs="Arial"/>
      <w:color w:val="000000"/>
      <w:sz w:val="2"/>
    </w:rPr>
  </w:style>
  <w:style w:type="paragraph" w:customStyle="1" w:styleId="Char0">
    <w:name w:val="Char"/>
    <w:basedOn w:val="Normal"/>
    <w:uiPriority w:val="99"/>
    <w:semiHidden/>
    <w:rsid w:val="000776F1"/>
    <w:pPr>
      <w:spacing w:after="160" w:line="240" w:lineRule="exact"/>
    </w:pPr>
    <w:rPr>
      <w:rFonts w:cs="Times New Roman"/>
      <w:color w:val="auto"/>
      <w:szCs w:val="24"/>
    </w:rPr>
  </w:style>
  <w:style w:type="paragraph" w:customStyle="1" w:styleId="Char1">
    <w:name w:val="Char1"/>
    <w:basedOn w:val="Normal"/>
    <w:uiPriority w:val="99"/>
    <w:semiHidden/>
    <w:rsid w:val="00A07A22"/>
    <w:pPr>
      <w:spacing w:after="160" w:line="240" w:lineRule="exact"/>
    </w:pPr>
    <w:rPr>
      <w:rFonts w:cs="Times New Roman"/>
      <w:color w:val="auto"/>
      <w:szCs w:val="24"/>
    </w:rPr>
  </w:style>
  <w:style w:type="character" w:styleId="Strong">
    <w:name w:val="Strong"/>
    <w:basedOn w:val="DefaultParagraphFont"/>
    <w:uiPriority w:val="99"/>
    <w:qFormat/>
    <w:locked/>
    <w:rsid w:val="00F87C1E"/>
    <w:rPr>
      <w:rFonts w:cs="Times New Roman"/>
      <w:b/>
      <w:bCs/>
    </w:rPr>
  </w:style>
  <w:style w:type="paragraph" w:styleId="BodyTextIndent">
    <w:name w:val="Body Text Indent"/>
    <w:basedOn w:val="Normal"/>
    <w:link w:val="BodyTextIndentChar"/>
    <w:uiPriority w:val="99"/>
    <w:semiHidden/>
    <w:rsid w:val="0038134A"/>
    <w:pPr>
      <w:ind w:left="360"/>
    </w:pPr>
    <w:rPr>
      <w:rFonts w:cs="Times New Roman"/>
      <w:color w:val="auto"/>
    </w:rPr>
  </w:style>
  <w:style w:type="character" w:customStyle="1" w:styleId="BodyTextIndentChar">
    <w:name w:val="Body Text Indent Char"/>
    <w:basedOn w:val="DefaultParagraphFont"/>
    <w:link w:val="BodyTextIndent"/>
    <w:uiPriority w:val="99"/>
    <w:semiHidden/>
    <w:locked/>
    <w:rsid w:val="0038134A"/>
    <w:rPr>
      <w:rFonts w:cs="Times New Roman"/>
      <w:sz w:val="20"/>
      <w:szCs w:val="20"/>
    </w:rPr>
  </w:style>
  <w:style w:type="paragraph" w:styleId="Revision">
    <w:name w:val="Revision"/>
    <w:hidden/>
    <w:uiPriority w:val="99"/>
    <w:semiHidden/>
    <w:rsid w:val="00102B44"/>
    <w:rPr>
      <w:rFonts w:cs="Arial"/>
      <w:color w:val="000000"/>
      <w:sz w:val="24"/>
      <w:szCs w:val="20"/>
    </w:rPr>
  </w:style>
  <w:style w:type="paragraph" w:styleId="ListParagraph">
    <w:name w:val="List Paragraph"/>
    <w:basedOn w:val="Normal"/>
    <w:uiPriority w:val="34"/>
    <w:qFormat/>
    <w:rsid w:val="00D944B0"/>
    <w:pPr>
      <w:ind w:left="720"/>
      <w:contextualSpacing/>
    </w:pPr>
  </w:style>
  <w:style w:type="character" w:customStyle="1" w:styleId="Heading2Char">
    <w:name w:val="Heading 2 Char"/>
    <w:basedOn w:val="DefaultParagraphFont"/>
    <w:link w:val="Heading2"/>
    <w:semiHidden/>
    <w:rsid w:val="00463EAE"/>
    <w:rPr>
      <w:rFonts w:asciiTheme="majorHAnsi" w:eastAsiaTheme="majorEastAsia" w:hAnsiTheme="majorHAnsi" w:cstheme="majorBidi"/>
      <w:color w:val="365F91" w:themeColor="accent1" w:themeShade="BF"/>
      <w:sz w:val="26"/>
      <w:szCs w:val="26"/>
    </w:rPr>
  </w:style>
  <w:style w:type="paragraph" w:customStyle="1" w:styleId="RegEvalText">
    <w:name w:val="Reg Eval Text"/>
    <w:basedOn w:val="Normal"/>
    <w:next w:val="Normal"/>
    <w:link w:val="RegEvalTextChar"/>
    <w:autoRedefine/>
    <w:qFormat/>
    <w:rsid w:val="00A44A89"/>
    <w:pPr>
      <w:tabs>
        <w:tab w:val="left" w:pos="180"/>
        <w:tab w:val="left" w:pos="5760"/>
      </w:tabs>
      <w:autoSpaceDE w:val="0"/>
      <w:autoSpaceDN w:val="0"/>
      <w:adjustRightInd w:val="0"/>
      <w:spacing w:after="120" w:line="360" w:lineRule="auto"/>
      <w:textAlignment w:val="baseline"/>
    </w:pPr>
    <w:rPr>
      <w:rFonts w:eastAsia="MS Mincho" w:cstheme="minorBidi"/>
      <w:iCs/>
      <w:color w:val="auto"/>
      <w:szCs w:val="24"/>
    </w:rPr>
  </w:style>
  <w:style w:type="character" w:customStyle="1" w:styleId="RegEvalTextChar">
    <w:name w:val="Reg Eval Text Char"/>
    <w:link w:val="RegEvalText"/>
    <w:rsid w:val="00A44A89"/>
    <w:rPr>
      <w:rFonts w:eastAsia="MS Mincho" w:cstheme="minorBidi"/>
      <w:iCs/>
      <w:sz w:val="24"/>
      <w:szCs w:val="24"/>
    </w:rPr>
  </w:style>
  <w:style w:type="paragraph" w:styleId="BodyText">
    <w:name w:val="Body Text"/>
    <w:basedOn w:val="Normal"/>
    <w:link w:val="BodyTextChar"/>
    <w:uiPriority w:val="99"/>
    <w:semiHidden/>
    <w:unhideWhenUsed/>
    <w:rsid w:val="00985776"/>
    <w:pPr>
      <w:spacing w:after="120"/>
    </w:pPr>
  </w:style>
  <w:style w:type="character" w:customStyle="1" w:styleId="BodyTextChar">
    <w:name w:val="Body Text Char"/>
    <w:basedOn w:val="DefaultParagraphFont"/>
    <w:link w:val="BodyText"/>
    <w:uiPriority w:val="99"/>
    <w:semiHidden/>
    <w:rsid w:val="00985776"/>
    <w:rPr>
      <w:rFonts w:cs="Arial"/>
      <w:color w:val="000000"/>
      <w:sz w:val="24"/>
      <w:szCs w:val="20"/>
    </w:rPr>
  </w:style>
  <w:style w:type="character" w:styleId="UnresolvedMention">
    <w:name w:val="Unresolved Mention"/>
    <w:basedOn w:val="DefaultParagraphFont"/>
    <w:uiPriority w:val="99"/>
    <w:semiHidden/>
    <w:unhideWhenUsed/>
    <w:rsid w:val="0048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app/details/PLAW-116publ2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CB3F-B055-409D-9DC6-C426797B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2024-10-25T13:50:00Z</dcterms:created>
  <dcterms:modified xsi:type="dcterms:W3CDTF">2024-10-25T13:52:00Z</dcterms:modified>
</cp:coreProperties>
</file>